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2141B" w14:textId="77777777" w:rsidR="00040C3A" w:rsidRPr="00AC5261" w:rsidRDefault="00D306D1" w:rsidP="00115E91">
      <w:pPr>
        <w:jc w:val="both"/>
        <w:rPr>
          <w:rFonts w:asciiTheme="majorHAnsi" w:hAnsiTheme="majorHAnsi" w:cs="Univers"/>
          <w:b/>
          <w:bCs/>
          <w:sz w:val="22"/>
          <w:szCs w:val="22"/>
          <w:lang w:val="es-ES_tradnl"/>
        </w:rPr>
      </w:pPr>
      <w:r w:rsidRPr="00AC5261">
        <w:rPr>
          <w:rFonts w:asciiTheme="majorHAnsi" w:hAnsiTheme="majorHAnsi"/>
          <w:noProof/>
          <w:sz w:val="22"/>
          <w:szCs w:val="22"/>
          <w:lang w:val="es-ES_tradnl"/>
        </w:rPr>
        <mc:AlternateContent>
          <mc:Choice Requires="wps">
            <w:drawing>
              <wp:anchor distT="0" distB="0" distL="114300" distR="114300" simplePos="0" relativeHeight="251661311" behindDoc="0" locked="0" layoutInCell="1" allowOverlap="1" wp14:anchorId="13B65E44" wp14:editId="564B1FE8">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4A7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1" style="position:absolute;margin-left:-32.75pt;margin-top:-34.6pt;width:121.5pt;height:716.2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a7194" stroked="f" strokeweight="2pt" w14:anchorId="452B1C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"/>
            </w:pict>
          </mc:Fallback>
        </mc:AlternateContent>
      </w:r>
      <w:r w:rsidR="003E6CA1" w:rsidRPr="00AC5261">
        <w:rPr>
          <w:rFonts w:asciiTheme="majorHAnsi" w:hAnsiTheme="majorHAnsi"/>
          <w:noProof/>
          <w:sz w:val="22"/>
          <w:szCs w:val="22"/>
          <w:lang w:val="es-ES_tradnl"/>
        </w:rPr>
        <mc:AlternateContent>
          <mc:Choice Requires="wps">
            <w:drawing>
              <wp:anchor distT="0" distB="0" distL="114300" distR="114300" simplePos="0" relativeHeight="251673600" behindDoc="0" locked="0" layoutInCell="1" allowOverlap="1" wp14:anchorId="1B13F2E1" wp14:editId="67597548">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1EA2F3" w14:textId="77777777" w:rsidR="00AC2B34" w:rsidRDefault="00AC2B34" w:rsidP="00AE5488">
                            <w:r>
                              <w:rPr>
                                <w:noProof/>
                              </w:rPr>
                              <w:drawing>
                                <wp:inline distT="0" distB="0" distL="0" distR="0" wp14:anchorId="0756E02C" wp14:editId="2AE2B7AD">
                                  <wp:extent cx="2647666" cy="509676"/>
                                  <wp:effectExtent l="0" t="0" r="635" b="5080"/>
                                  <wp:docPr id="2" name="Picture 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13F2E1"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1E1EA2F3" w14:textId="77777777" w:rsidR="00AC2B34" w:rsidRDefault="00AC2B34" w:rsidP="00AE5488">
                      <w:r>
                        <w:rPr>
                          <w:noProof/>
                        </w:rPr>
                        <w:drawing>
                          <wp:inline distT="0" distB="0" distL="0" distR="0" wp14:anchorId="0756E02C" wp14:editId="2AE2B7AD">
                            <wp:extent cx="2647666" cy="509676"/>
                            <wp:effectExtent l="0" t="0" r="635" b="5080"/>
                            <wp:docPr id="2" name="Picture 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tab/>
                        <w:t xml:space="preserve">                              </w:t>
                      </w:r>
                    </w:p>
                  </w:txbxContent>
                </v:textbox>
              </v:shape>
            </w:pict>
          </mc:Fallback>
        </mc:AlternateContent>
      </w:r>
    </w:p>
    <w:p w14:paraId="0B2A2C0D" w14:textId="77777777" w:rsidR="00040C3A" w:rsidRPr="00AC5261" w:rsidRDefault="00040C3A" w:rsidP="00115E91">
      <w:pPr>
        <w:tabs>
          <w:tab w:val="center" w:pos="5400"/>
        </w:tabs>
        <w:suppressAutoHyphens/>
        <w:jc w:val="both"/>
        <w:rPr>
          <w:rFonts w:asciiTheme="majorHAnsi" w:hAnsiTheme="majorHAnsi"/>
          <w:sz w:val="22"/>
          <w:szCs w:val="22"/>
          <w:lang w:val="es-ES_tradnl"/>
        </w:rPr>
      </w:pPr>
    </w:p>
    <w:p w14:paraId="6BE892D6" w14:textId="77777777" w:rsidR="00040C3A" w:rsidRPr="00AC5261" w:rsidRDefault="00040C3A" w:rsidP="00115E91">
      <w:pPr>
        <w:tabs>
          <w:tab w:val="center" w:pos="5400"/>
        </w:tabs>
        <w:suppressAutoHyphens/>
        <w:jc w:val="both"/>
        <w:rPr>
          <w:rFonts w:asciiTheme="majorHAnsi" w:hAnsiTheme="majorHAnsi"/>
          <w:sz w:val="22"/>
          <w:szCs w:val="22"/>
          <w:lang w:val="es-ES_tradnl"/>
        </w:rPr>
      </w:pPr>
    </w:p>
    <w:p w14:paraId="54560AB6" w14:textId="77777777" w:rsidR="005128E4" w:rsidRPr="00AC5261" w:rsidRDefault="005128E4" w:rsidP="00115E91">
      <w:pPr>
        <w:tabs>
          <w:tab w:val="center" w:pos="5400"/>
        </w:tabs>
        <w:suppressAutoHyphens/>
        <w:rPr>
          <w:rFonts w:asciiTheme="majorHAnsi" w:hAnsiTheme="majorHAnsi"/>
          <w:sz w:val="22"/>
          <w:szCs w:val="22"/>
          <w:lang w:val="es-ES_tradnl"/>
        </w:rPr>
      </w:pPr>
    </w:p>
    <w:p w14:paraId="03E5C269" w14:textId="77777777" w:rsidR="005128E4" w:rsidRPr="00AC5261" w:rsidRDefault="005128E4" w:rsidP="00115E91">
      <w:pPr>
        <w:tabs>
          <w:tab w:val="center" w:pos="5400"/>
        </w:tabs>
        <w:suppressAutoHyphens/>
        <w:rPr>
          <w:rFonts w:asciiTheme="majorHAnsi" w:hAnsiTheme="majorHAnsi"/>
          <w:sz w:val="22"/>
          <w:szCs w:val="22"/>
          <w:lang w:val="es-ES_tradnl"/>
        </w:rPr>
      </w:pPr>
    </w:p>
    <w:p w14:paraId="205FE4E7" w14:textId="77777777" w:rsidR="005128E4" w:rsidRPr="00AC5261" w:rsidRDefault="005128E4" w:rsidP="00115E91">
      <w:pPr>
        <w:tabs>
          <w:tab w:val="center" w:pos="5400"/>
        </w:tabs>
        <w:suppressAutoHyphens/>
        <w:rPr>
          <w:rFonts w:asciiTheme="majorHAnsi" w:hAnsiTheme="majorHAnsi"/>
          <w:sz w:val="22"/>
          <w:szCs w:val="22"/>
          <w:lang w:val="es-ES_tradnl"/>
        </w:rPr>
      </w:pPr>
    </w:p>
    <w:p w14:paraId="19DD3295" w14:textId="77777777" w:rsidR="00040C3A" w:rsidRPr="00AC5261" w:rsidRDefault="00040C3A" w:rsidP="00115E91">
      <w:pPr>
        <w:tabs>
          <w:tab w:val="center" w:pos="5400"/>
        </w:tabs>
        <w:suppressAutoHyphens/>
        <w:jc w:val="center"/>
        <w:rPr>
          <w:rFonts w:asciiTheme="majorHAnsi" w:hAnsiTheme="majorHAnsi"/>
          <w:sz w:val="22"/>
          <w:szCs w:val="22"/>
          <w:lang w:val="es-ES_tradnl"/>
        </w:rPr>
      </w:pPr>
    </w:p>
    <w:p w14:paraId="55EA4E9A" w14:textId="77777777" w:rsidR="00040C3A" w:rsidRPr="00AC5261" w:rsidRDefault="00040C3A" w:rsidP="00115E91">
      <w:pPr>
        <w:tabs>
          <w:tab w:val="center" w:pos="5400"/>
        </w:tabs>
        <w:suppressAutoHyphens/>
        <w:jc w:val="center"/>
        <w:rPr>
          <w:rFonts w:asciiTheme="majorHAnsi" w:hAnsiTheme="majorHAnsi"/>
          <w:sz w:val="22"/>
          <w:szCs w:val="22"/>
          <w:lang w:val="es-ES_tradnl"/>
        </w:rPr>
      </w:pPr>
    </w:p>
    <w:p w14:paraId="18D646EF" w14:textId="77777777" w:rsidR="005B52B0" w:rsidRPr="00AC5261" w:rsidRDefault="005B52B0" w:rsidP="00115E91">
      <w:pPr>
        <w:tabs>
          <w:tab w:val="center" w:pos="5400"/>
        </w:tabs>
        <w:suppressAutoHyphens/>
        <w:jc w:val="center"/>
        <w:rPr>
          <w:rFonts w:asciiTheme="majorHAnsi" w:hAnsiTheme="majorHAnsi"/>
          <w:sz w:val="22"/>
          <w:szCs w:val="22"/>
          <w:lang w:val="es-ES_tradnl"/>
        </w:rPr>
      </w:pPr>
    </w:p>
    <w:p w14:paraId="6F6C0242" w14:textId="77777777" w:rsidR="005B52B0" w:rsidRPr="00AC5261" w:rsidRDefault="005B52B0" w:rsidP="00115E91">
      <w:pPr>
        <w:tabs>
          <w:tab w:val="center" w:pos="5400"/>
        </w:tabs>
        <w:suppressAutoHyphens/>
        <w:jc w:val="center"/>
        <w:rPr>
          <w:rFonts w:asciiTheme="majorHAnsi" w:hAnsiTheme="majorHAnsi"/>
          <w:sz w:val="22"/>
          <w:szCs w:val="22"/>
          <w:lang w:val="es-ES_tradnl"/>
        </w:rPr>
      </w:pPr>
    </w:p>
    <w:p w14:paraId="1D9F8A1A" w14:textId="77777777" w:rsidR="005B52B0" w:rsidRPr="00AC5261" w:rsidRDefault="005B52B0" w:rsidP="00115E91">
      <w:pPr>
        <w:tabs>
          <w:tab w:val="center" w:pos="5400"/>
        </w:tabs>
        <w:suppressAutoHyphens/>
        <w:jc w:val="center"/>
        <w:rPr>
          <w:rFonts w:asciiTheme="majorHAnsi" w:hAnsiTheme="majorHAnsi"/>
          <w:sz w:val="22"/>
          <w:szCs w:val="22"/>
          <w:lang w:val="es-ES_tradnl"/>
        </w:rPr>
      </w:pPr>
    </w:p>
    <w:p w14:paraId="0C81BF1F" w14:textId="77777777" w:rsidR="00040C3A" w:rsidRPr="00AC5261" w:rsidRDefault="00040C3A" w:rsidP="00115E91">
      <w:pPr>
        <w:tabs>
          <w:tab w:val="center" w:pos="5400"/>
        </w:tabs>
        <w:suppressAutoHyphens/>
        <w:jc w:val="center"/>
        <w:rPr>
          <w:rFonts w:asciiTheme="majorHAnsi" w:hAnsiTheme="majorHAnsi"/>
          <w:sz w:val="22"/>
          <w:szCs w:val="22"/>
          <w:lang w:val="es-ES_tradnl"/>
        </w:rPr>
      </w:pPr>
    </w:p>
    <w:p w14:paraId="688DBA29" w14:textId="77777777" w:rsidR="00040C3A" w:rsidRPr="00AC5261" w:rsidRDefault="00040C3A" w:rsidP="00115E91">
      <w:pPr>
        <w:tabs>
          <w:tab w:val="center" w:pos="5400"/>
        </w:tabs>
        <w:suppressAutoHyphens/>
        <w:jc w:val="center"/>
        <w:rPr>
          <w:rFonts w:asciiTheme="majorHAnsi" w:hAnsiTheme="majorHAnsi"/>
          <w:sz w:val="22"/>
          <w:szCs w:val="22"/>
          <w:lang w:val="es-ES_tradnl"/>
        </w:rPr>
      </w:pPr>
    </w:p>
    <w:p w14:paraId="202BB60D" w14:textId="77777777" w:rsidR="00040C3A" w:rsidRPr="00AC5261" w:rsidRDefault="003D3BC2" w:rsidP="00115E91">
      <w:pPr>
        <w:tabs>
          <w:tab w:val="center" w:pos="5400"/>
        </w:tabs>
        <w:suppressAutoHyphens/>
        <w:jc w:val="center"/>
        <w:rPr>
          <w:rFonts w:asciiTheme="majorHAnsi" w:hAnsiTheme="majorHAnsi"/>
          <w:sz w:val="22"/>
          <w:szCs w:val="22"/>
          <w:lang w:val="es-ES_tradnl"/>
        </w:rPr>
      </w:pPr>
      <w:r w:rsidRPr="00AC5261">
        <w:rPr>
          <w:rFonts w:asciiTheme="majorHAnsi" w:hAnsiTheme="majorHAnsi"/>
          <w:noProof/>
          <w:sz w:val="22"/>
          <w:szCs w:val="22"/>
          <w:lang w:val="es-ES_tradnl"/>
        </w:rPr>
        <mc:AlternateContent>
          <mc:Choice Requires="wps">
            <w:drawing>
              <wp:anchor distT="0" distB="0" distL="114300" distR="114300" simplePos="0" relativeHeight="251669504" behindDoc="0" locked="0" layoutInCell="1" allowOverlap="1" wp14:anchorId="6DF5394C" wp14:editId="73A41942">
                <wp:simplePos x="0" y="0"/>
                <wp:positionH relativeFrom="column">
                  <wp:posOffset>1352550</wp:posOffset>
                </wp:positionH>
                <wp:positionV relativeFrom="paragraph">
                  <wp:posOffset>107315</wp:posOffset>
                </wp:positionV>
                <wp:extent cx="4441190" cy="2181225"/>
                <wp:effectExtent l="0" t="0" r="0" b="0"/>
                <wp:wrapNone/>
                <wp:docPr id="5" name="Text Box 5"/>
                <wp:cNvGraphicFramePr/>
                <a:graphic xmlns:a="http://schemas.openxmlformats.org/drawingml/2006/main">
                  <a:graphicData uri="http://schemas.microsoft.com/office/word/2010/wordprocessingShape">
                    <wps:wsp>
                      <wps:cNvSpPr txBox="1"/>
                      <wps:spPr>
                        <a:xfrm>
                          <a:off x="0" y="0"/>
                          <a:ext cx="4441190" cy="2181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4C5DE2" w14:textId="76FB87F8" w:rsidR="00AC2B34" w:rsidRPr="000158FD" w:rsidRDefault="00AC2B34" w:rsidP="00997BC5">
                            <w:pPr>
                              <w:spacing w:line="276" w:lineRule="auto"/>
                              <w:rPr>
                                <w:rFonts w:asciiTheme="majorHAnsi" w:hAnsiTheme="majorHAnsi" w:cs="Arial"/>
                                <w:b/>
                                <w:bCs/>
                                <w:color w:val="0D0D0D" w:themeColor="text1" w:themeTint="F2"/>
                                <w:sz w:val="36"/>
                                <w:szCs w:val="22"/>
                                <w:lang w:val="pt-BR"/>
                              </w:rPr>
                            </w:pPr>
                            <w:r w:rsidRPr="000158FD">
                              <w:rPr>
                                <w:rFonts w:asciiTheme="majorHAnsi" w:hAnsiTheme="majorHAnsi" w:cs="Arial"/>
                                <w:b/>
                                <w:bCs/>
                                <w:color w:val="0D0D0D" w:themeColor="text1" w:themeTint="F2"/>
                                <w:sz w:val="36"/>
                                <w:szCs w:val="22"/>
                                <w:lang w:val="pt-BR"/>
                              </w:rPr>
                              <w:t xml:space="preserve">INFORME </w:t>
                            </w:r>
                            <w:r w:rsidRPr="000158FD">
                              <w:rPr>
                                <w:rFonts w:asciiTheme="majorHAnsi" w:hAnsiTheme="majorHAnsi" w:cs="Arial"/>
                                <w:b/>
                                <w:bCs/>
                                <w:color w:val="0D0D0D" w:themeColor="text1" w:themeTint="F2"/>
                                <w:sz w:val="36"/>
                                <w:szCs w:val="40"/>
                                <w:lang w:val="pt-BR"/>
                              </w:rPr>
                              <w:t>No</w:t>
                            </w:r>
                            <w:r w:rsidRPr="00A5621A">
                              <w:rPr>
                                <w:rFonts w:asciiTheme="majorHAnsi" w:hAnsiTheme="majorHAnsi" w:cs="Arial"/>
                                <w:b/>
                                <w:bCs/>
                                <w:color w:val="0D0D0D" w:themeColor="text1" w:themeTint="F2"/>
                                <w:sz w:val="36"/>
                                <w:szCs w:val="40"/>
                                <w:lang w:val="pt-BR"/>
                              </w:rPr>
                              <w:t>.</w:t>
                            </w:r>
                            <w:r w:rsidRPr="00A5621A">
                              <w:rPr>
                                <w:rFonts w:asciiTheme="majorHAnsi" w:hAnsiTheme="majorHAnsi" w:cs="Arial"/>
                                <w:b/>
                                <w:bCs/>
                                <w:color w:val="0D0D0D" w:themeColor="text1" w:themeTint="F2"/>
                                <w:sz w:val="36"/>
                                <w:szCs w:val="22"/>
                                <w:lang w:val="pt-BR"/>
                              </w:rPr>
                              <w:t xml:space="preserve"> </w:t>
                            </w:r>
                            <w:r w:rsidR="005709AB">
                              <w:rPr>
                                <w:rFonts w:asciiTheme="majorHAnsi" w:hAnsiTheme="majorHAnsi" w:cs="Arial"/>
                                <w:b/>
                                <w:bCs/>
                                <w:color w:val="0D0D0D" w:themeColor="text1" w:themeTint="F2"/>
                                <w:sz w:val="36"/>
                                <w:szCs w:val="22"/>
                                <w:lang w:val="pt-BR"/>
                              </w:rPr>
                              <w:t>283</w:t>
                            </w:r>
                            <w:r w:rsidRPr="00A5621A">
                              <w:rPr>
                                <w:rFonts w:asciiTheme="majorHAnsi" w:hAnsiTheme="majorHAnsi" w:cs="Arial"/>
                                <w:b/>
                                <w:bCs/>
                                <w:color w:val="0D0D0D" w:themeColor="text1" w:themeTint="F2"/>
                                <w:sz w:val="36"/>
                                <w:szCs w:val="22"/>
                                <w:lang w:val="pt-BR"/>
                              </w:rPr>
                              <w:t>/</w:t>
                            </w:r>
                            <w:r w:rsidR="005709AB">
                              <w:rPr>
                                <w:rFonts w:asciiTheme="majorHAnsi" w:hAnsiTheme="majorHAnsi" w:cs="Arial"/>
                                <w:b/>
                                <w:bCs/>
                                <w:color w:val="0D0D0D" w:themeColor="text1" w:themeTint="F2"/>
                                <w:sz w:val="36"/>
                                <w:szCs w:val="22"/>
                                <w:lang w:val="pt-BR"/>
                              </w:rPr>
                              <w:t>22</w:t>
                            </w:r>
                          </w:p>
                          <w:p w14:paraId="0EBA99AC" w14:textId="77777777" w:rsidR="00AC2B34" w:rsidRPr="000158FD" w:rsidRDefault="00AC2B34" w:rsidP="00997BC5">
                            <w:pPr>
                              <w:spacing w:line="276" w:lineRule="auto"/>
                              <w:rPr>
                                <w:rFonts w:asciiTheme="majorHAnsi" w:hAnsiTheme="majorHAnsi" w:cs="Arial"/>
                                <w:b/>
                                <w:color w:val="0D0D0D" w:themeColor="text1" w:themeTint="F2"/>
                                <w:sz w:val="36"/>
                                <w:szCs w:val="22"/>
                                <w:lang w:val="pt-BR"/>
                              </w:rPr>
                            </w:pPr>
                            <w:r w:rsidRPr="000158FD">
                              <w:rPr>
                                <w:rFonts w:asciiTheme="majorHAnsi" w:hAnsiTheme="majorHAnsi" w:cs="Arial"/>
                                <w:b/>
                                <w:color w:val="0D0D0D" w:themeColor="text1" w:themeTint="F2"/>
                                <w:sz w:val="36"/>
                                <w:szCs w:val="22"/>
                                <w:lang w:val="pt-BR"/>
                              </w:rPr>
                              <w:t xml:space="preserve">CASO </w:t>
                            </w:r>
                            <w:r>
                              <w:rPr>
                                <w:rFonts w:asciiTheme="majorHAnsi" w:hAnsiTheme="majorHAnsi" w:cs="Arial"/>
                                <w:b/>
                                <w:color w:val="0D0D0D" w:themeColor="text1" w:themeTint="F2"/>
                                <w:sz w:val="36"/>
                                <w:szCs w:val="22"/>
                                <w:lang w:val="pt-BR"/>
                              </w:rPr>
                              <w:t>12.830</w:t>
                            </w:r>
                          </w:p>
                          <w:p w14:paraId="27A6048C" w14:textId="77777777" w:rsidR="00AC2B34" w:rsidRPr="0010736F" w:rsidRDefault="00AC2B34" w:rsidP="000158FD">
                            <w:pPr>
                              <w:spacing w:line="276" w:lineRule="auto"/>
                              <w:rPr>
                                <w:rFonts w:asciiTheme="majorHAnsi" w:hAnsiTheme="majorHAnsi" w:cs="Arial"/>
                                <w:color w:val="0D0D0D" w:themeColor="text1" w:themeTint="F2"/>
                                <w:szCs w:val="22"/>
                                <w:lang w:val="es-ES_tradnl"/>
                              </w:rPr>
                            </w:pPr>
                            <w:r>
                              <w:rPr>
                                <w:rFonts w:asciiTheme="majorHAnsi" w:hAnsiTheme="majorHAnsi" w:cs="Arial"/>
                                <w:color w:val="0D0D0D" w:themeColor="text1" w:themeTint="F2"/>
                                <w:szCs w:val="22"/>
                                <w:lang w:val="es-ES_tradnl"/>
                              </w:rPr>
                              <w:t>INFORME DE FONDO</w:t>
                            </w:r>
                          </w:p>
                          <w:p w14:paraId="27093704" w14:textId="77777777" w:rsidR="00AC2B34" w:rsidRPr="0010736F" w:rsidRDefault="00AC2B34" w:rsidP="00997BC5">
                            <w:pPr>
                              <w:spacing w:line="276" w:lineRule="auto"/>
                              <w:rPr>
                                <w:rFonts w:asciiTheme="majorHAnsi" w:hAnsiTheme="majorHAnsi" w:cs="Arial"/>
                                <w:color w:val="0D0D0D" w:themeColor="text1" w:themeTint="F2"/>
                                <w:szCs w:val="22"/>
                                <w:lang w:val="es-ES_tradnl"/>
                              </w:rPr>
                            </w:pPr>
                            <w:bookmarkStart w:id="0" w:name="_ftnref1"/>
                          </w:p>
                          <w:p w14:paraId="27906B39" w14:textId="77777777" w:rsidR="00AC2B34" w:rsidRPr="0010736F" w:rsidRDefault="00AC2B34" w:rsidP="00997BC5">
                            <w:pPr>
                              <w:spacing w:line="276" w:lineRule="auto"/>
                              <w:rPr>
                                <w:rFonts w:asciiTheme="majorHAnsi" w:hAnsiTheme="majorHAnsi" w:cs="Arial"/>
                                <w:color w:val="0D0D0D" w:themeColor="text1" w:themeTint="F2"/>
                                <w:szCs w:val="22"/>
                                <w:lang w:val="es-ES_tradnl"/>
                              </w:rPr>
                            </w:pPr>
                            <w:r>
                              <w:rPr>
                                <w:rFonts w:asciiTheme="majorHAnsi" w:hAnsiTheme="majorHAnsi" w:cs="Arial"/>
                                <w:color w:val="0D0D0D" w:themeColor="text1" w:themeTint="F2"/>
                                <w:szCs w:val="22"/>
                                <w:lang w:val="es-ES_tradnl"/>
                              </w:rPr>
                              <w:t>DIANORA MALENO</w:t>
                            </w:r>
                          </w:p>
                          <w:bookmarkEnd w:id="0"/>
                          <w:p w14:paraId="6A6E2A38" w14:textId="77777777" w:rsidR="00AC2B34" w:rsidRPr="0010736F" w:rsidRDefault="00AC2B34" w:rsidP="00997BC5">
                            <w:pPr>
                              <w:spacing w:line="276" w:lineRule="auto"/>
                              <w:rPr>
                                <w:rFonts w:asciiTheme="majorHAnsi" w:hAnsiTheme="majorHAnsi" w:cs="Arial"/>
                                <w:color w:val="0D0D0D" w:themeColor="text1" w:themeTint="F2"/>
                                <w:szCs w:val="22"/>
                                <w:lang w:val="es-ES"/>
                              </w:rPr>
                            </w:pPr>
                            <w:r>
                              <w:rPr>
                                <w:rFonts w:asciiTheme="majorHAnsi" w:hAnsiTheme="majorHAnsi" w:cs="Arial"/>
                                <w:color w:val="0D0D0D" w:themeColor="text1" w:themeTint="F2"/>
                                <w:szCs w:val="22"/>
                                <w:lang w:val="es-ES_tradnl"/>
                              </w:rPr>
                              <w:t>VENEZUELA</w:t>
                            </w:r>
                          </w:p>
                          <w:p w14:paraId="1F568F3F" w14:textId="77777777" w:rsidR="00AC2B34" w:rsidRPr="00AE5488" w:rsidRDefault="00AC2B34" w:rsidP="007A5817">
                            <w:pPr>
                              <w:rPr>
                                <w:color w:val="0D0D0D" w:themeColor="text1" w:themeTint="F2"/>
                                <w:lang w:val="es-ES_trad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F5394C" id="Text Box 5" o:spid="_x0000_s1027" type="#_x0000_t202" style="position:absolute;left:0;text-align:left;margin-left:106.5pt;margin-top:8.45pt;width:349.7pt;height:17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" filled="f" stroked="f" strokeweight=".5pt">
                <v:textbox>
                  <w:txbxContent>
                    <w:p w14:paraId="6A4C5DE2" w14:textId="76FB87F8" w:rsidR="00AC2B34" w:rsidRPr="000158FD" w:rsidRDefault="00AC2B34" w:rsidP="00997BC5">
                      <w:pPr>
                        <w:spacing w:line="276" w:lineRule="auto"/>
                        <w:rPr>
                          <w:rFonts w:asciiTheme="majorHAnsi" w:hAnsiTheme="majorHAnsi" w:cs="Arial"/>
                          <w:b/>
                          <w:bCs/>
                          <w:color w:val="0D0D0D" w:themeColor="text1" w:themeTint="F2"/>
                          <w:sz w:val="36"/>
                          <w:szCs w:val="22"/>
                          <w:lang w:val="pt-BR"/>
                        </w:rPr>
                      </w:pPr>
                      <w:r w:rsidRPr="000158FD">
                        <w:rPr>
                          <w:rFonts w:asciiTheme="majorHAnsi" w:hAnsiTheme="majorHAnsi" w:cs="Arial"/>
                          <w:b/>
                          <w:bCs/>
                          <w:color w:val="0D0D0D" w:themeColor="text1" w:themeTint="F2"/>
                          <w:sz w:val="36"/>
                          <w:szCs w:val="22"/>
                          <w:lang w:val="pt-BR"/>
                        </w:rPr>
                        <w:t xml:space="preserve">INFORME </w:t>
                      </w:r>
                      <w:r w:rsidRPr="000158FD">
                        <w:rPr>
                          <w:rFonts w:asciiTheme="majorHAnsi" w:hAnsiTheme="majorHAnsi" w:cs="Arial"/>
                          <w:b/>
                          <w:bCs/>
                          <w:color w:val="0D0D0D" w:themeColor="text1" w:themeTint="F2"/>
                          <w:sz w:val="36"/>
                          <w:szCs w:val="40"/>
                          <w:lang w:val="pt-BR"/>
                        </w:rPr>
                        <w:t>No</w:t>
                      </w:r>
                      <w:r w:rsidRPr="00A5621A">
                        <w:rPr>
                          <w:rFonts w:asciiTheme="majorHAnsi" w:hAnsiTheme="majorHAnsi" w:cs="Arial"/>
                          <w:b/>
                          <w:bCs/>
                          <w:color w:val="0D0D0D" w:themeColor="text1" w:themeTint="F2"/>
                          <w:sz w:val="36"/>
                          <w:szCs w:val="40"/>
                          <w:lang w:val="pt-BR"/>
                        </w:rPr>
                        <w:t>.</w:t>
                      </w:r>
                      <w:r w:rsidRPr="00A5621A">
                        <w:rPr>
                          <w:rFonts w:asciiTheme="majorHAnsi" w:hAnsiTheme="majorHAnsi" w:cs="Arial"/>
                          <w:b/>
                          <w:bCs/>
                          <w:color w:val="0D0D0D" w:themeColor="text1" w:themeTint="F2"/>
                          <w:sz w:val="36"/>
                          <w:szCs w:val="22"/>
                          <w:lang w:val="pt-BR"/>
                        </w:rPr>
                        <w:t xml:space="preserve"> </w:t>
                      </w:r>
                      <w:r w:rsidR="005709AB">
                        <w:rPr>
                          <w:rFonts w:asciiTheme="majorHAnsi" w:hAnsiTheme="majorHAnsi" w:cs="Arial"/>
                          <w:b/>
                          <w:bCs/>
                          <w:color w:val="0D0D0D" w:themeColor="text1" w:themeTint="F2"/>
                          <w:sz w:val="36"/>
                          <w:szCs w:val="22"/>
                          <w:lang w:val="pt-BR"/>
                        </w:rPr>
                        <w:t>283</w:t>
                      </w:r>
                      <w:r w:rsidRPr="00A5621A">
                        <w:rPr>
                          <w:rFonts w:asciiTheme="majorHAnsi" w:hAnsiTheme="majorHAnsi" w:cs="Arial"/>
                          <w:b/>
                          <w:bCs/>
                          <w:color w:val="0D0D0D" w:themeColor="text1" w:themeTint="F2"/>
                          <w:sz w:val="36"/>
                          <w:szCs w:val="22"/>
                          <w:lang w:val="pt-BR"/>
                        </w:rPr>
                        <w:t>/</w:t>
                      </w:r>
                      <w:r w:rsidR="005709AB">
                        <w:rPr>
                          <w:rFonts w:asciiTheme="majorHAnsi" w:hAnsiTheme="majorHAnsi" w:cs="Arial"/>
                          <w:b/>
                          <w:bCs/>
                          <w:color w:val="0D0D0D" w:themeColor="text1" w:themeTint="F2"/>
                          <w:sz w:val="36"/>
                          <w:szCs w:val="22"/>
                          <w:lang w:val="pt-BR"/>
                        </w:rPr>
                        <w:t>22</w:t>
                      </w:r>
                    </w:p>
                    <w:p w14:paraId="0EBA99AC" w14:textId="77777777" w:rsidR="00AC2B34" w:rsidRPr="000158FD" w:rsidRDefault="00AC2B34" w:rsidP="00997BC5">
                      <w:pPr>
                        <w:spacing w:line="276" w:lineRule="auto"/>
                        <w:rPr>
                          <w:rFonts w:asciiTheme="majorHAnsi" w:hAnsiTheme="majorHAnsi" w:cs="Arial"/>
                          <w:b/>
                          <w:color w:val="0D0D0D" w:themeColor="text1" w:themeTint="F2"/>
                          <w:sz w:val="36"/>
                          <w:szCs w:val="22"/>
                          <w:lang w:val="pt-BR"/>
                        </w:rPr>
                      </w:pPr>
                      <w:r w:rsidRPr="000158FD">
                        <w:rPr>
                          <w:rFonts w:asciiTheme="majorHAnsi" w:hAnsiTheme="majorHAnsi" w:cs="Arial"/>
                          <w:b/>
                          <w:color w:val="0D0D0D" w:themeColor="text1" w:themeTint="F2"/>
                          <w:sz w:val="36"/>
                          <w:szCs w:val="22"/>
                          <w:lang w:val="pt-BR"/>
                        </w:rPr>
                        <w:t xml:space="preserve">CASO </w:t>
                      </w:r>
                      <w:r>
                        <w:rPr>
                          <w:rFonts w:asciiTheme="majorHAnsi" w:hAnsiTheme="majorHAnsi" w:cs="Arial"/>
                          <w:b/>
                          <w:color w:val="0D0D0D" w:themeColor="text1" w:themeTint="F2"/>
                          <w:sz w:val="36"/>
                          <w:szCs w:val="22"/>
                          <w:lang w:val="pt-BR"/>
                        </w:rPr>
                        <w:t>12.830</w:t>
                      </w:r>
                    </w:p>
                    <w:p w14:paraId="27A6048C" w14:textId="77777777" w:rsidR="00AC2B34" w:rsidRPr="0010736F" w:rsidRDefault="00AC2B34" w:rsidP="000158FD">
                      <w:pPr>
                        <w:spacing w:line="276" w:lineRule="auto"/>
                        <w:rPr>
                          <w:rFonts w:asciiTheme="majorHAnsi" w:hAnsiTheme="majorHAnsi" w:cs="Arial"/>
                          <w:color w:val="0D0D0D" w:themeColor="text1" w:themeTint="F2"/>
                          <w:szCs w:val="22"/>
                          <w:lang w:val="es-ES_tradnl"/>
                        </w:rPr>
                      </w:pPr>
                      <w:r>
                        <w:rPr>
                          <w:rFonts w:asciiTheme="majorHAnsi" w:hAnsiTheme="majorHAnsi" w:cs="Arial"/>
                          <w:color w:val="0D0D0D" w:themeColor="text1" w:themeTint="F2"/>
                          <w:szCs w:val="22"/>
                          <w:lang w:val="es-ES_tradnl"/>
                        </w:rPr>
                        <w:t>INFORME DE FONDO</w:t>
                      </w:r>
                    </w:p>
                    <w:p w14:paraId="27093704" w14:textId="77777777" w:rsidR="00AC2B34" w:rsidRPr="0010736F" w:rsidRDefault="00AC2B34" w:rsidP="00997BC5">
                      <w:pPr>
                        <w:spacing w:line="276" w:lineRule="auto"/>
                        <w:rPr>
                          <w:rFonts w:asciiTheme="majorHAnsi" w:hAnsiTheme="majorHAnsi" w:cs="Arial"/>
                          <w:color w:val="0D0D0D" w:themeColor="text1" w:themeTint="F2"/>
                          <w:szCs w:val="22"/>
                          <w:lang w:val="es-ES_tradnl"/>
                        </w:rPr>
                      </w:pPr>
                      <w:bookmarkStart w:id="1" w:name="_ftnref1"/>
                    </w:p>
                    <w:p w14:paraId="27906B39" w14:textId="77777777" w:rsidR="00AC2B34" w:rsidRPr="0010736F" w:rsidRDefault="00AC2B34" w:rsidP="00997BC5">
                      <w:pPr>
                        <w:spacing w:line="276" w:lineRule="auto"/>
                        <w:rPr>
                          <w:rFonts w:asciiTheme="majorHAnsi" w:hAnsiTheme="majorHAnsi" w:cs="Arial"/>
                          <w:color w:val="0D0D0D" w:themeColor="text1" w:themeTint="F2"/>
                          <w:szCs w:val="22"/>
                          <w:lang w:val="es-ES_tradnl"/>
                        </w:rPr>
                      </w:pPr>
                      <w:r>
                        <w:rPr>
                          <w:rFonts w:asciiTheme="majorHAnsi" w:hAnsiTheme="majorHAnsi" w:cs="Arial"/>
                          <w:color w:val="0D0D0D" w:themeColor="text1" w:themeTint="F2"/>
                          <w:szCs w:val="22"/>
                          <w:lang w:val="es-ES_tradnl"/>
                        </w:rPr>
                        <w:t>DIANORA MALENO</w:t>
                      </w:r>
                    </w:p>
                    <w:bookmarkEnd w:id="1"/>
                    <w:p w14:paraId="6A6E2A38" w14:textId="77777777" w:rsidR="00AC2B34" w:rsidRPr="0010736F" w:rsidRDefault="00AC2B34" w:rsidP="00997BC5">
                      <w:pPr>
                        <w:spacing w:line="276" w:lineRule="auto"/>
                        <w:rPr>
                          <w:rFonts w:asciiTheme="majorHAnsi" w:hAnsiTheme="majorHAnsi" w:cs="Arial"/>
                          <w:color w:val="0D0D0D" w:themeColor="text1" w:themeTint="F2"/>
                          <w:szCs w:val="22"/>
                          <w:lang w:val="es-ES"/>
                        </w:rPr>
                      </w:pPr>
                      <w:r>
                        <w:rPr>
                          <w:rFonts w:asciiTheme="majorHAnsi" w:hAnsiTheme="majorHAnsi" w:cs="Arial"/>
                          <w:color w:val="0D0D0D" w:themeColor="text1" w:themeTint="F2"/>
                          <w:szCs w:val="22"/>
                          <w:lang w:val="es-ES_tradnl"/>
                        </w:rPr>
                        <w:t>VENEZUELA</w:t>
                      </w:r>
                    </w:p>
                    <w:p w14:paraId="1F568F3F" w14:textId="77777777" w:rsidR="00AC2B34" w:rsidRPr="00AE5488" w:rsidRDefault="00AC2B34" w:rsidP="007A5817">
                      <w:pPr>
                        <w:rPr>
                          <w:color w:val="0D0D0D" w:themeColor="text1" w:themeTint="F2"/>
                          <w:lang w:val="es-ES_tradnl"/>
                        </w:rPr>
                      </w:pPr>
                    </w:p>
                  </w:txbxContent>
                </v:textbox>
              </v:shape>
            </w:pict>
          </mc:Fallback>
        </mc:AlternateContent>
      </w:r>
      <w:r w:rsidR="004E2649" w:rsidRPr="00AC5261">
        <w:rPr>
          <w:rFonts w:asciiTheme="majorHAnsi" w:hAnsiTheme="majorHAnsi"/>
          <w:noProof/>
          <w:sz w:val="22"/>
          <w:szCs w:val="22"/>
          <w:lang w:val="es-ES_tradnl"/>
        </w:rPr>
        <mc:AlternateContent>
          <mc:Choice Requires="wps">
            <w:drawing>
              <wp:anchor distT="0" distB="0" distL="114300" distR="114300" simplePos="0" relativeHeight="251671552" behindDoc="0" locked="0" layoutInCell="1" allowOverlap="1" wp14:anchorId="7969F488" wp14:editId="70D6F379">
                <wp:simplePos x="0" y="0"/>
                <wp:positionH relativeFrom="column">
                  <wp:posOffset>-342900</wp:posOffset>
                </wp:positionH>
                <wp:positionV relativeFrom="paragraph">
                  <wp:posOffset>164465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BC08CC" w14:textId="77777777" w:rsidR="00AC2B34" w:rsidRPr="005709AB" w:rsidRDefault="00AC2B34" w:rsidP="007A5817">
                            <w:pPr>
                              <w:spacing w:line="276" w:lineRule="auto"/>
                              <w:jc w:val="right"/>
                              <w:rPr>
                                <w:rFonts w:asciiTheme="minorHAnsi" w:hAnsiTheme="minorHAnsi"/>
                                <w:color w:val="FFFFFF" w:themeColor="background1"/>
                                <w:sz w:val="22"/>
                                <w:lang w:val="es-ES"/>
                              </w:rPr>
                            </w:pPr>
                            <w:r w:rsidRPr="005709AB">
                              <w:rPr>
                                <w:rFonts w:asciiTheme="minorHAnsi" w:hAnsiTheme="minorHAnsi"/>
                                <w:color w:val="FFFFFF" w:themeColor="background1"/>
                                <w:sz w:val="22"/>
                                <w:lang w:val="es-ES"/>
                              </w:rPr>
                              <w:t>OEA/Ser.L/V/II.XX</w:t>
                            </w:r>
                          </w:p>
                          <w:p w14:paraId="78AA6D45" w14:textId="4CA33691" w:rsidR="00AC2B34" w:rsidRPr="005709AB" w:rsidRDefault="00AC2B34" w:rsidP="007A5817">
                            <w:pPr>
                              <w:spacing w:line="276" w:lineRule="auto"/>
                              <w:jc w:val="right"/>
                              <w:rPr>
                                <w:rFonts w:asciiTheme="minorHAnsi" w:hAnsiTheme="minorHAnsi"/>
                                <w:color w:val="FFFFFF" w:themeColor="background1"/>
                                <w:sz w:val="22"/>
                                <w:lang w:val="es-ES"/>
                              </w:rPr>
                            </w:pPr>
                            <w:r w:rsidRPr="005709AB">
                              <w:rPr>
                                <w:rFonts w:asciiTheme="minorHAnsi" w:hAnsiTheme="minorHAnsi"/>
                                <w:color w:val="FFFFFF" w:themeColor="background1"/>
                                <w:sz w:val="22"/>
                                <w:lang w:val="es-ES"/>
                              </w:rPr>
                              <w:t xml:space="preserve">Doc. </w:t>
                            </w:r>
                            <w:r w:rsidR="005709AB">
                              <w:rPr>
                                <w:rFonts w:asciiTheme="minorHAnsi" w:hAnsiTheme="minorHAnsi"/>
                                <w:color w:val="FFFFFF" w:themeColor="background1"/>
                                <w:sz w:val="22"/>
                                <w:lang w:val="es-ES"/>
                              </w:rPr>
                              <w:t>288</w:t>
                            </w:r>
                          </w:p>
                          <w:p w14:paraId="3D2EF750" w14:textId="4C3D0B29" w:rsidR="00AC2B34" w:rsidRPr="007C756A" w:rsidRDefault="005709AB" w:rsidP="007A5817">
                            <w:pPr>
                              <w:spacing w:line="276" w:lineRule="auto"/>
                              <w:jc w:val="right"/>
                              <w:rPr>
                                <w:rFonts w:asciiTheme="minorHAnsi" w:hAnsiTheme="minorHAnsi"/>
                                <w:color w:val="FFFFFF" w:themeColor="background1"/>
                                <w:sz w:val="22"/>
                                <w:lang w:val="es-US"/>
                              </w:rPr>
                            </w:pPr>
                            <w:r>
                              <w:rPr>
                                <w:rFonts w:asciiTheme="minorHAnsi" w:hAnsiTheme="minorHAnsi"/>
                                <w:color w:val="FFFFFF" w:themeColor="background1"/>
                                <w:sz w:val="22"/>
                                <w:lang w:val="es-US"/>
                              </w:rPr>
                              <w:t>7 noviembre 2022</w:t>
                            </w:r>
                          </w:p>
                          <w:p w14:paraId="4DD28CA8" w14:textId="77777777" w:rsidR="00AC2B34" w:rsidRPr="007C756A" w:rsidRDefault="00AC2B34" w:rsidP="007A5817">
                            <w:pPr>
                              <w:spacing w:line="276" w:lineRule="auto"/>
                              <w:jc w:val="right"/>
                              <w:rPr>
                                <w:rFonts w:asciiTheme="minorHAnsi" w:hAnsiTheme="minorHAnsi"/>
                                <w:color w:val="FFFFFF" w:themeColor="background1"/>
                                <w:sz w:val="22"/>
                                <w:lang w:val="es-US"/>
                              </w:rPr>
                            </w:pPr>
                            <w:r w:rsidRPr="007C756A">
                              <w:rPr>
                                <w:rFonts w:asciiTheme="minorHAnsi" w:hAnsiTheme="minorHAnsi"/>
                                <w:color w:val="FFFFFF" w:themeColor="background1"/>
                                <w:sz w:val="22"/>
                                <w:lang w:val="es-US"/>
                              </w:rPr>
                              <w:t>Original: español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69F488" id="Text Box 8" o:spid="_x0000_s1028" type="#_x0000_t202" style="position:absolute;left:0;text-align:left;margin-left:-27pt;margin-top:12.95pt;width:109.5pt;height:10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" filled="f" stroked="f" strokeweight=".5pt">
                <v:textbox>
                  <w:txbxContent>
                    <w:p w14:paraId="70BC08CC" w14:textId="77777777" w:rsidR="00AC2B34" w:rsidRPr="005709AB" w:rsidRDefault="00AC2B34" w:rsidP="007A5817">
                      <w:pPr>
                        <w:spacing w:line="276" w:lineRule="auto"/>
                        <w:jc w:val="right"/>
                        <w:rPr>
                          <w:rFonts w:asciiTheme="minorHAnsi" w:hAnsiTheme="minorHAnsi"/>
                          <w:color w:val="FFFFFF" w:themeColor="background1"/>
                          <w:sz w:val="22"/>
                          <w:lang w:val="es-ES"/>
                        </w:rPr>
                      </w:pPr>
                      <w:r w:rsidRPr="005709AB">
                        <w:rPr>
                          <w:rFonts w:asciiTheme="minorHAnsi" w:hAnsiTheme="minorHAnsi"/>
                          <w:color w:val="FFFFFF" w:themeColor="background1"/>
                          <w:sz w:val="22"/>
                          <w:lang w:val="es-ES"/>
                        </w:rPr>
                        <w:t>OEA/Ser.L/V/II.XX</w:t>
                      </w:r>
                    </w:p>
                    <w:p w14:paraId="78AA6D45" w14:textId="4CA33691" w:rsidR="00AC2B34" w:rsidRPr="005709AB" w:rsidRDefault="00AC2B34" w:rsidP="007A5817">
                      <w:pPr>
                        <w:spacing w:line="276" w:lineRule="auto"/>
                        <w:jc w:val="right"/>
                        <w:rPr>
                          <w:rFonts w:asciiTheme="minorHAnsi" w:hAnsiTheme="minorHAnsi"/>
                          <w:color w:val="FFFFFF" w:themeColor="background1"/>
                          <w:sz w:val="22"/>
                          <w:lang w:val="es-ES"/>
                        </w:rPr>
                      </w:pPr>
                      <w:r w:rsidRPr="005709AB">
                        <w:rPr>
                          <w:rFonts w:asciiTheme="minorHAnsi" w:hAnsiTheme="minorHAnsi"/>
                          <w:color w:val="FFFFFF" w:themeColor="background1"/>
                          <w:sz w:val="22"/>
                          <w:lang w:val="es-ES"/>
                        </w:rPr>
                        <w:t xml:space="preserve">Doc. </w:t>
                      </w:r>
                      <w:r w:rsidR="005709AB">
                        <w:rPr>
                          <w:rFonts w:asciiTheme="minorHAnsi" w:hAnsiTheme="minorHAnsi"/>
                          <w:color w:val="FFFFFF" w:themeColor="background1"/>
                          <w:sz w:val="22"/>
                          <w:lang w:val="es-ES"/>
                        </w:rPr>
                        <w:t>288</w:t>
                      </w:r>
                    </w:p>
                    <w:p w14:paraId="3D2EF750" w14:textId="4C3D0B29" w:rsidR="00AC2B34" w:rsidRPr="007C756A" w:rsidRDefault="005709AB" w:rsidP="007A5817">
                      <w:pPr>
                        <w:spacing w:line="276" w:lineRule="auto"/>
                        <w:jc w:val="right"/>
                        <w:rPr>
                          <w:rFonts w:asciiTheme="minorHAnsi" w:hAnsiTheme="minorHAnsi"/>
                          <w:color w:val="FFFFFF" w:themeColor="background1"/>
                          <w:sz w:val="22"/>
                          <w:lang w:val="es-US"/>
                        </w:rPr>
                      </w:pPr>
                      <w:r>
                        <w:rPr>
                          <w:rFonts w:asciiTheme="minorHAnsi" w:hAnsiTheme="minorHAnsi"/>
                          <w:color w:val="FFFFFF" w:themeColor="background1"/>
                          <w:sz w:val="22"/>
                          <w:lang w:val="es-US"/>
                        </w:rPr>
                        <w:t>7 noviembre 2022</w:t>
                      </w:r>
                    </w:p>
                    <w:p w14:paraId="4DD28CA8" w14:textId="77777777" w:rsidR="00AC2B34" w:rsidRPr="007C756A" w:rsidRDefault="00AC2B34" w:rsidP="007A5817">
                      <w:pPr>
                        <w:spacing w:line="276" w:lineRule="auto"/>
                        <w:jc w:val="right"/>
                        <w:rPr>
                          <w:rFonts w:asciiTheme="minorHAnsi" w:hAnsiTheme="minorHAnsi"/>
                          <w:color w:val="FFFFFF" w:themeColor="background1"/>
                          <w:sz w:val="22"/>
                          <w:lang w:val="es-US"/>
                        </w:rPr>
                      </w:pPr>
                      <w:r w:rsidRPr="007C756A">
                        <w:rPr>
                          <w:rFonts w:asciiTheme="minorHAnsi" w:hAnsiTheme="minorHAnsi"/>
                          <w:color w:val="FFFFFF" w:themeColor="background1"/>
                          <w:sz w:val="22"/>
                          <w:lang w:val="es-US"/>
                        </w:rPr>
                        <w:t>Original: español</w:t>
                      </w:r>
                    </w:p>
                  </w:txbxContent>
                </v:textbox>
              </v:shape>
            </w:pict>
          </mc:Fallback>
        </mc:AlternateContent>
      </w:r>
    </w:p>
    <w:p w14:paraId="47F3CD90" w14:textId="77777777" w:rsidR="00040C3A" w:rsidRPr="00AC5261" w:rsidRDefault="00040C3A" w:rsidP="00115E91">
      <w:pPr>
        <w:tabs>
          <w:tab w:val="center" w:pos="5400"/>
        </w:tabs>
        <w:suppressAutoHyphens/>
        <w:jc w:val="center"/>
        <w:rPr>
          <w:rFonts w:asciiTheme="majorHAnsi" w:hAnsiTheme="majorHAnsi"/>
          <w:sz w:val="22"/>
          <w:szCs w:val="22"/>
          <w:lang w:val="es-ES_tradnl"/>
        </w:rPr>
      </w:pPr>
    </w:p>
    <w:p w14:paraId="6F21FA08" w14:textId="77777777" w:rsidR="00040C3A" w:rsidRPr="00AC5261" w:rsidRDefault="00040C3A" w:rsidP="00115E91">
      <w:pPr>
        <w:tabs>
          <w:tab w:val="center" w:pos="5400"/>
        </w:tabs>
        <w:suppressAutoHyphens/>
        <w:jc w:val="center"/>
        <w:rPr>
          <w:rFonts w:asciiTheme="majorHAnsi" w:hAnsiTheme="majorHAnsi"/>
          <w:sz w:val="22"/>
          <w:szCs w:val="22"/>
          <w:lang w:val="es-ES_tradnl"/>
        </w:rPr>
      </w:pPr>
    </w:p>
    <w:p w14:paraId="0581F441" w14:textId="77777777" w:rsidR="00040C3A" w:rsidRPr="00AC5261" w:rsidRDefault="00040C3A" w:rsidP="00115E91">
      <w:pPr>
        <w:tabs>
          <w:tab w:val="center" w:pos="5400"/>
        </w:tabs>
        <w:suppressAutoHyphens/>
        <w:jc w:val="center"/>
        <w:rPr>
          <w:rFonts w:asciiTheme="majorHAnsi" w:hAnsiTheme="majorHAnsi" w:cs="Arial"/>
          <w:sz w:val="22"/>
          <w:szCs w:val="22"/>
          <w:lang w:val="es-ES_tradnl"/>
        </w:rPr>
      </w:pPr>
    </w:p>
    <w:p w14:paraId="65841217" w14:textId="77777777" w:rsidR="00040C3A" w:rsidRPr="00AC5261" w:rsidRDefault="00040C3A" w:rsidP="00115E91">
      <w:pPr>
        <w:tabs>
          <w:tab w:val="center" w:pos="5400"/>
        </w:tabs>
        <w:suppressAutoHyphens/>
        <w:jc w:val="center"/>
        <w:rPr>
          <w:rFonts w:asciiTheme="majorHAnsi" w:hAnsiTheme="majorHAnsi"/>
          <w:sz w:val="22"/>
          <w:szCs w:val="22"/>
          <w:lang w:val="es-ES_tradnl"/>
        </w:rPr>
      </w:pPr>
    </w:p>
    <w:p w14:paraId="16B6EA34" w14:textId="77777777" w:rsidR="00040C3A" w:rsidRPr="00AC5261" w:rsidRDefault="00040C3A" w:rsidP="00115E91">
      <w:pPr>
        <w:tabs>
          <w:tab w:val="center" w:pos="5400"/>
        </w:tabs>
        <w:suppressAutoHyphens/>
        <w:jc w:val="center"/>
        <w:rPr>
          <w:rFonts w:asciiTheme="majorHAnsi" w:hAnsiTheme="majorHAnsi"/>
          <w:sz w:val="22"/>
          <w:szCs w:val="22"/>
          <w:lang w:val="es-ES_tradnl"/>
        </w:rPr>
      </w:pPr>
    </w:p>
    <w:p w14:paraId="02438B4F" w14:textId="77777777" w:rsidR="00040C3A" w:rsidRPr="00AC5261" w:rsidRDefault="00040C3A" w:rsidP="00115E91">
      <w:pPr>
        <w:tabs>
          <w:tab w:val="center" w:pos="5400"/>
        </w:tabs>
        <w:suppressAutoHyphens/>
        <w:jc w:val="center"/>
        <w:rPr>
          <w:rFonts w:asciiTheme="majorHAnsi" w:hAnsiTheme="majorHAnsi"/>
          <w:sz w:val="22"/>
          <w:szCs w:val="22"/>
          <w:lang w:val="es-ES_tradnl"/>
        </w:rPr>
      </w:pPr>
    </w:p>
    <w:p w14:paraId="744414F0" w14:textId="77777777" w:rsidR="00040C3A" w:rsidRPr="00AC5261" w:rsidRDefault="00040C3A" w:rsidP="00115E91">
      <w:pPr>
        <w:tabs>
          <w:tab w:val="center" w:pos="5400"/>
        </w:tabs>
        <w:suppressAutoHyphens/>
        <w:jc w:val="center"/>
        <w:rPr>
          <w:rFonts w:asciiTheme="majorHAnsi" w:hAnsiTheme="majorHAnsi"/>
          <w:sz w:val="22"/>
          <w:szCs w:val="22"/>
          <w:lang w:val="es-ES_tradnl"/>
        </w:rPr>
      </w:pPr>
    </w:p>
    <w:p w14:paraId="72E420B7" w14:textId="77777777" w:rsidR="005128E4" w:rsidRPr="00AC5261" w:rsidRDefault="005128E4" w:rsidP="00115E91">
      <w:pPr>
        <w:tabs>
          <w:tab w:val="center" w:pos="5400"/>
        </w:tabs>
        <w:suppressAutoHyphens/>
        <w:jc w:val="center"/>
        <w:rPr>
          <w:rFonts w:asciiTheme="majorHAnsi" w:hAnsiTheme="majorHAnsi"/>
          <w:sz w:val="22"/>
          <w:szCs w:val="22"/>
          <w:lang w:val="es-ES_tradnl"/>
        </w:rPr>
      </w:pPr>
    </w:p>
    <w:p w14:paraId="34C8020B" w14:textId="77777777" w:rsidR="00040C3A" w:rsidRPr="00AC5261" w:rsidRDefault="00040C3A" w:rsidP="00115E91">
      <w:pPr>
        <w:tabs>
          <w:tab w:val="center" w:pos="5400"/>
        </w:tabs>
        <w:suppressAutoHyphens/>
        <w:jc w:val="center"/>
        <w:rPr>
          <w:rFonts w:asciiTheme="majorHAnsi" w:hAnsiTheme="majorHAnsi"/>
          <w:sz w:val="22"/>
          <w:szCs w:val="22"/>
          <w:lang w:val="es-ES_tradnl"/>
        </w:rPr>
      </w:pPr>
    </w:p>
    <w:p w14:paraId="780339AF" w14:textId="77777777" w:rsidR="005128E4" w:rsidRPr="00AC5261" w:rsidRDefault="005128E4" w:rsidP="00115E91">
      <w:pPr>
        <w:tabs>
          <w:tab w:val="center" w:pos="5400"/>
        </w:tabs>
        <w:suppressAutoHyphens/>
        <w:jc w:val="center"/>
        <w:rPr>
          <w:rFonts w:asciiTheme="majorHAnsi" w:hAnsiTheme="majorHAnsi"/>
          <w:sz w:val="22"/>
          <w:szCs w:val="22"/>
          <w:lang w:val="es-ES_tradnl"/>
        </w:rPr>
      </w:pPr>
    </w:p>
    <w:p w14:paraId="2EC8D8AD" w14:textId="77777777" w:rsidR="005128E4" w:rsidRPr="00AC5261" w:rsidRDefault="005128E4" w:rsidP="00115E91">
      <w:pPr>
        <w:tabs>
          <w:tab w:val="center" w:pos="5400"/>
        </w:tabs>
        <w:suppressAutoHyphens/>
        <w:jc w:val="center"/>
        <w:rPr>
          <w:rFonts w:asciiTheme="majorHAnsi" w:hAnsiTheme="majorHAnsi"/>
          <w:sz w:val="22"/>
          <w:szCs w:val="22"/>
          <w:lang w:val="es-ES_tradnl"/>
        </w:rPr>
      </w:pPr>
    </w:p>
    <w:p w14:paraId="6A2D201D" w14:textId="77777777" w:rsidR="005128E4" w:rsidRPr="00AC5261" w:rsidRDefault="005128E4" w:rsidP="00115E91">
      <w:pPr>
        <w:tabs>
          <w:tab w:val="center" w:pos="5400"/>
        </w:tabs>
        <w:suppressAutoHyphens/>
        <w:jc w:val="center"/>
        <w:rPr>
          <w:rFonts w:asciiTheme="majorHAnsi" w:hAnsiTheme="majorHAnsi"/>
          <w:sz w:val="22"/>
          <w:szCs w:val="22"/>
          <w:lang w:val="es-ES_tradnl"/>
        </w:rPr>
      </w:pPr>
    </w:p>
    <w:p w14:paraId="6035EC5F" w14:textId="77777777" w:rsidR="00040C3A" w:rsidRPr="00AC5261" w:rsidRDefault="00040C3A" w:rsidP="00115E91">
      <w:pPr>
        <w:tabs>
          <w:tab w:val="center" w:pos="5400"/>
        </w:tabs>
        <w:suppressAutoHyphens/>
        <w:jc w:val="center"/>
        <w:rPr>
          <w:rFonts w:asciiTheme="majorHAnsi" w:hAnsiTheme="majorHAnsi"/>
          <w:sz w:val="22"/>
          <w:szCs w:val="22"/>
          <w:lang w:val="es-ES_tradnl"/>
        </w:rPr>
      </w:pPr>
    </w:p>
    <w:p w14:paraId="0FB9F1AD" w14:textId="77777777" w:rsidR="00040C3A" w:rsidRPr="00AC5261" w:rsidRDefault="00040C3A" w:rsidP="00115E91">
      <w:pPr>
        <w:tabs>
          <w:tab w:val="center" w:pos="5400"/>
        </w:tabs>
        <w:suppressAutoHyphens/>
        <w:jc w:val="center"/>
        <w:rPr>
          <w:rFonts w:asciiTheme="majorHAnsi" w:hAnsiTheme="majorHAnsi"/>
          <w:sz w:val="22"/>
          <w:szCs w:val="22"/>
          <w:lang w:val="es-ES_tradnl"/>
        </w:rPr>
      </w:pPr>
    </w:p>
    <w:p w14:paraId="6B79224E" w14:textId="77777777" w:rsidR="00A50FCF" w:rsidRPr="00AC5261" w:rsidRDefault="00A50FCF" w:rsidP="00115E91">
      <w:pPr>
        <w:tabs>
          <w:tab w:val="center" w:pos="5400"/>
        </w:tabs>
        <w:suppressAutoHyphens/>
        <w:jc w:val="center"/>
        <w:rPr>
          <w:rFonts w:asciiTheme="majorHAnsi" w:hAnsiTheme="majorHAnsi"/>
          <w:sz w:val="18"/>
          <w:szCs w:val="22"/>
          <w:lang w:val="es-ES_tradnl"/>
        </w:rPr>
      </w:pPr>
    </w:p>
    <w:p w14:paraId="21260DD6" w14:textId="77777777" w:rsidR="00A50FCF" w:rsidRPr="00AC5261" w:rsidRDefault="00A50FCF" w:rsidP="00115E91">
      <w:pPr>
        <w:tabs>
          <w:tab w:val="center" w:pos="5400"/>
        </w:tabs>
        <w:suppressAutoHyphens/>
        <w:jc w:val="center"/>
        <w:rPr>
          <w:rFonts w:asciiTheme="majorHAnsi" w:hAnsiTheme="majorHAnsi"/>
          <w:sz w:val="18"/>
          <w:szCs w:val="22"/>
          <w:lang w:val="es-ES_tradnl"/>
        </w:rPr>
      </w:pPr>
    </w:p>
    <w:p w14:paraId="4BED9C30" w14:textId="77777777" w:rsidR="00A50FCF" w:rsidRPr="00AC5261" w:rsidRDefault="00A50FCF" w:rsidP="00115E91">
      <w:pPr>
        <w:tabs>
          <w:tab w:val="center" w:pos="5400"/>
        </w:tabs>
        <w:suppressAutoHyphens/>
        <w:jc w:val="center"/>
        <w:rPr>
          <w:rFonts w:asciiTheme="majorHAnsi" w:hAnsiTheme="majorHAnsi"/>
          <w:sz w:val="18"/>
          <w:szCs w:val="22"/>
          <w:lang w:val="es-ES_tradnl"/>
        </w:rPr>
      </w:pPr>
    </w:p>
    <w:p w14:paraId="758DC848" w14:textId="77777777" w:rsidR="00A50FCF" w:rsidRPr="00AC5261" w:rsidRDefault="00A50FCF" w:rsidP="00115E91">
      <w:pPr>
        <w:tabs>
          <w:tab w:val="center" w:pos="5400"/>
        </w:tabs>
        <w:suppressAutoHyphens/>
        <w:jc w:val="center"/>
        <w:rPr>
          <w:rFonts w:asciiTheme="majorHAnsi" w:hAnsiTheme="majorHAnsi"/>
          <w:sz w:val="18"/>
          <w:szCs w:val="22"/>
          <w:lang w:val="es-ES_tradnl"/>
        </w:rPr>
      </w:pPr>
    </w:p>
    <w:p w14:paraId="5B49731B" w14:textId="77777777" w:rsidR="00A50FCF" w:rsidRPr="00AC5261" w:rsidRDefault="00A50FCF" w:rsidP="00115E91">
      <w:pPr>
        <w:tabs>
          <w:tab w:val="center" w:pos="5400"/>
        </w:tabs>
        <w:suppressAutoHyphens/>
        <w:jc w:val="center"/>
        <w:rPr>
          <w:rFonts w:asciiTheme="majorHAnsi" w:hAnsiTheme="majorHAnsi"/>
          <w:sz w:val="18"/>
          <w:szCs w:val="22"/>
          <w:lang w:val="es-ES_tradnl"/>
        </w:rPr>
      </w:pPr>
    </w:p>
    <w:p w14:paraId="2BD1C3E0" w14:textId="77777777" w:rsidR="00A50FCF" w:rsidRPr="00AC5261" w:rsidRDefault="00A50FCF" w:rsidP="00115E91">
      <w:pPr>
        <w:tabs>
          <w:tab w:val="center" w:pos="5400"/>
        </w:tabs>
        <w:suppressAutoHyphens/>
        <w:jc w:val="center"/>
        <w:rPr>
          <w:rFonts w:asciiTheme="majorHAnsi" w:hAnsiTheme="majorHAnsi"/>
          <w:sz w:val="18"/>
          <w:szCs w:val="22"/>
          <w:lang w:val="es-ES_tradnl"/>
        </w:rPr>
      </w:pPr>
    </w:p>
    <w:p w14:paraId="295445E3" w14:textId="77777777" w:rsidR="00A50FCF" w:rsidRPr="00AC5261" w:rsidRDefault="00A50FCF" w:rsidP="00115E91">
      <w:pPr>
        <w:tabs>
          <w:tab w:val="center" w:pos="5400"/>
        </w:tabs>
        <w:suppressAutoHyphens/>
        <w:jc w:val="center"/>
        <w:rPr>
          <w:rFonts w:asciiTheme="majorHAnsi" w:hAnsiTheme="majorHAnsi"/>
          <w:sz w:val="18"/>
          <w:szCs w:val="22"/>
          <w:lang w:val="es-ES_tradnl"/>
        </w:rPr>
      </w:pPr>
    </w:p>
    <w:p w14:paraId="2109E351" w14:textId="77777777" w:rsidR="00A50FCF" w:rsidRPr="00AC5261" w:rsidRDefault="00A50FCF" w:rsidP="00115E91">
      <w:pPr>
        <w:tabs>
          <w:tab w:val="center" w:pos="5400"/>
        </w:tabs>
        <w:suppressAutoHyphens/>
        <w:jc w:val="center"/>
        <w:rPr>
          <w:rFonts w:asciiTheme="majorHAnsi" w:hAnsiTheme="majorHAnsi"/>
          <w:sz w:val="18"/>
          <w:szCs w:val="22"/>
          <w:lang w:val="es-ES_tradnl"/>
        </w:rPr>
      </w:pPr>
    </w:p>
    <w:p w14:paraId="136269B4" w14:textId="77777777" w:rsidR="00A50FCF" w:rsidRPr="00AC5261" w:rsidRDefault="00A50FCF" w:rsidP="00115E91">
      <w:pPr>
        <w:tabs>
          <w:tab w:val="center" w:pos="5400"/>
        </w:tabs>
        <w:suppressAutoHyphens/>
        <w:jc w:val="center"/>
        <w:rPr>
          <w:rFonts w:asciiTheme="majorHAnsi" w:hAnsiTheme="majorHAnsi"/>
          <w:sz w:val="18"/>
          <w:szCs w:val="22"/>
          <w:lang w:val="es-ES_tradnl"/>
        </w:rPr>
      </w:pPr>
    </w:p>
    <w:p w14:paraId="417DD89C" w14:textId="77777777" w:rsidR="00A50FCF" w:rsidRPr="00AC5261" w:rsidRDefault="00A50FCF" w:rsidP="00115E91">
      <w:pPr>
        <w:tabs>
          <w:tab w:val="center" w:pos="5400"/>
        </w:tabs>
        <w:suppressAutoHyphens/>
        <w:jc w:val="center"/>
        <w:rPr>
          <w:rFonts w:asciiTheme="majorHAnsi" w:hAnsiTheme="majorHAnsi"/>
          <w:sz w:val="18"/>
          <w:szCs w:val="22"/>
          <w:lang w:val="es-ES_tradnl"/>
        </w:rPr>
      </w:pPr>
    </w:p>
    <w:p w14:paraId="13EBB7AF" w14:textId="77777777" w:rsidR="00A50FCF" w:rsidRPr="00AC5261" w:rsidRDefault="00A50FCF" w:rsidP="00115E91">
      <w:pPr>
        <w:tabs>
          <w:tab w:val="center" w:pos="5400"/>
        </w:tabs>
        <w:suppressAutoHyphens/>
        <w:jc w:val="center"/>
        <w:rPr>
          <w:rFonts w:asciiTheme="majorHAnsi" w:hAnsiTheme="majorHAnsi"/>
          <w:sz w:val="18"/>
          <w:szCs w:val="22"/>
          <w:lang w:val="es-ES_tradnl"/>
        </w:rPr>
      </w:pPr>
    </w:p>
    <w:p w14:paraId="54F27456" w14:textId="77777777" w:rsidR="00A50FCF" w:rsidRPr="00AC5261" w:rsidRDefault="00A50FCF" w:rsidP="00115E91">
      <w:pPr>
        <w:tabs>
          <w:tab w:val="center" w:pos="5400"/>
        </w:tabs>
        <w:suppressAutoHyphens/>
        <w:jc w:val="center"/>
        <w:rPr>
          <w:rFonts w:asciiTheme="majorHAnsi" w:hAnsiTheme="majorHAnsi"/>
          <w:sz w:val="18"/>
          <w:szCs w:val="22"/>
          <w:lang w:val="es-ES_tradnl"/>
        </w:rPr>
      </w:pPr>
    </w:p>
    <w:p w14:paraId="7465F72F" w14:textId="77777777" w:rsidR="00A50FCF" w:rsidRPr="00AC5261" w:rsidRDefault="00A50FCF" w:rsidP="00115E91">
      <w:pPr>
        <w:tabs>
          <w:tab w:val="center" w:pos="5400"/>
        </w:tabs>
        <w:suppressAutoHyphens/>
        <w:jc w:val="center"/>
        <w:rPr>
          <w:rFonts w:asciiTheme="majorHAnsi" w:hAnsiTheme="majorHAnsi"/>
          <w:sz w:val="18"/>
          <w:szCs w:val="22"/>
          <w:lang w:val="es-ES_tradnl"/>
        </w:rPr>
      </w:pPr>
    </w:p>
    <w:p w14:paraId="06C8AE27" w14:textId="77777777" w:rsidR="00A50FCF" w:rsidRPr="00AC5261" w:rsidRDefault="00A50FCF" w:rsidP="00115E91">
      <w:pPr>
        <w:tabs>
          <w:tab w:val="center" w:pos="5400"/>
        </w:tabs>
        <w:suppressAutoHyphens/>
        <w:jc w:val="center"/>
        <w:rPr>
          <w:rFonts w:asciiTheme="majorHAnsi" w:hAnsiTheme="majorHAnsi"/>
          <w:sz w:val="18"/>
          <w:szCs w:val="22"/>
          <w:lang w:val="es-ES_tradnl"/>
        </w:rPr>
      </w:pPr>
    </w:p>
    <w:p w14:paraId="5BCDCD2E" w14:textId="77777777" w:rsidR="00A50FCF" w:rsidRPr="00AC5261" w:rsidRDefault="0090270B" w:rsidP="00115E91">
      <w:pPr>
        <w:tabs>
          <w:tab w:val="center" w:pos="5400"/>
        </w:tabs>
        <w:suppressAutoHyphens/>
        <w:jc w:val="center"/>
        <w:rPr>
          <w:rFonts w:asciiTheme="majorHAnsi" w:hAnsiTheme="majorHAnsi"/>
          <w:sz w:val="18"/>
          <w:szCs w:val="22"/>
          <w:lang w:val="es-ES_tradnl"/>
        </w:rPr>
      </w:pPr>
      <w:r w:rsidRPr="00AC5261">
        <w:rPr>
          <w:rFonts w:asciiTheme="majorHAnsi" w:hAnsiTheme="majorHAnsi"/>
          <w:noProof/>
          <w:sz w:val="22"/>
          <w:szCs w:val="22"/>
          <w:lang w:val="es-ES_tradnl"/>
        </w:rPr>
        <mc:AlternateContent>
          <mc:Choice Requires="wps">
            <w:drawing>
              <wp:anchor distT="0" distB="0" distL="114300" distR="114300" simplePos="0" relativeHeight="251670528" behindDoc="0" locked="0" layoutInCell="1" allowOverlap="1" wp14:anchorId="014762B8" wp14:editId="2AA2E6C4">
                <wp:simplePos x="0" y="0"/>
                <wp:positionH relativeFrom="column">
                  <wp:posOffset>1341755</wp:posOffset>
                </wp:positionH>
                <wp:positionV relativeFrom="paragraph">
                  <wp:posOffset>22860</wp:posOffset>
                </wp:positionV>
                <wp:extent cx="4933950" cy="66484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4933950" cy="664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CE0DAB" w14:textId="0A15F4FA" w:rsidR="00B70493" w:rsidRDefault="00AC2B34" w:rsidP="0059191A">
                            <w:pPr>
                              <w:tabs>
                                <w:tab w:val="center" w:pos="5400"/>
                              </w:tabs>
                              <w:suppressAutoHyphens/>
                              <w:spacing w:before="60"/>
                              <w:rPr>
                                <w:rFonts w:asciiTheme="majorHAnsi" w:hAnsiTheme="majorHAnsi"/>
                                <w:color w:val="0D0D0D" w:themeColor="text1" w:themeTint="F2"/>
                                <w:sz w:val="18"/>
                                <w:szCs w:val="20"/>
                                <w:lang w:val="es-ES"/>
                              </w:rPr>
                            </w:pPr>
                            <w:r>
                              <w:rPr>
                                <w:rFonts w:asciiTheme="majorHAnsi" w:hAnsiTheme="majorHAnsi"/>
                                <w:color w:val="0D0D0D" w:themeColor="text1" w:themeTint="F2"/>
                                <w:sz w:val="18"/>
                                <w:szCs w:val="20"/>
                                <w:lang w:val="es-ES"/>
                              </w:rPr>
                              <w:t>Aprobado</w:t>
                            </w:r>
                            <w:r w:rsidRPr="00890650">
                              <w:rPr>
                                <w:rFonts w:asciiTheme="majorHAnsi" w:hAnsiTheme="majorHAnsi"/>
                                <w:color w:val="0D0D0D" w:themeColor="text1" w:themeTint="F2"/>
                                <w:sz w:val="18"/>
                                <w:szCs w:val="20"/>
                                <w:lang w:val="es-ES"/>
                              </w:rPr>
                              <w:t xml:space="preserve"> por la Comisión en su sesión N</w:t>
                            </w:r>
                            <w:r>
                              <w:rPr>
                                <w:rFonts w:asciiTheme="majorHAnsi" w:hAnsiTheme="majorHAnsi"/>
                                <w:color w:val="0D0D0D" w:themeColor="text1" w:themeTint="F2"/>
                                <w:sz w:val="18"/>
                                <w:szCs w:val="20"/>
                                <w:lang w:val="es-ES"/>
                              </w:rPr>
                              <w:t>o.</w:t>
                            </w:r>
                            <w:r w:rsidRPr="00890650">
                              <w:rPr>
                                <w:rFonts w:asciiTheme="majorHAnsi" w:hAnsiTheme="majorHAnsi"/>
                                <w:color w:val="0D0D0D" w:themeColor="text1" w:themeTint="F2"/>
                                <w:sz w:val="18"/>
                                <w:szCs w:val="20"/>
                                <w:lang w:val="es-ES"/>
                              </w:rPr>
                              <w:t xml:space="preserve"> </w:t>
                            </w:r>
                            <w:r w:rsidR="005709AB">
                              <w:rPr>
                                <w:rFonts w:asciiTheme="majorHAnsi" w:hAnsiTheme="majorHAnsi"/>
                                <w:color w:val="0D0D0D" w:themeColor="text1" w:themeTint="F2"/>
                                <w:sz w:val="18"/>
                                <w:szCs w:val="20"/>
                                <w:lang w:val="es-ES"/>
                              </w:rPr>
                              <w:t>2262</w:t>
                            </w:r>
                            <w:r w:rsidRPr="00890650">
                              <w:rPr>
                                <w:rFonts w:asciiTheme="majorHAnsi" w:hAnsiTheme="majorHAnsi"/>
                                <w:color w:val="0D0D0D" w:themeColor="text1" w:themeTint="F2"/>
                                <w:sz w:val="18"/>
                                <w:szCs w:val="20"/>
                                <w:lang w:val="es-ES"/>
                              </w:rPr>
                              <w:t xml:space="preserve"> c</w:t>
                            </w:r>
                            <w:r>
                              <w:rPr>
                                <w:rFonts w:asciiTheme="majorHAnsi" w:hAnsiTheme="majorHAnsi"/>
                                <w:color w:val="0D0D0D" w:themeColor="text1" w:themeTint="F2"/>
                                <w:sz w:val="18"/>
                                <w:szCs w:val="20"/>
                                <w:lang w:val="es-ES"/>
                              </w:rPr>
                              <w:t xml:space="preserve">elebrada el </w:t>
                            </w:r>
                            <w:r w:rsidR="005709AB">
                              <w:rPr>
                                <w:rFonts w:asciiTheme="majorHAnsi" w:hAnsiTheme="majorHAnsi"/>
                                <w:color w:val="0D0D0D" w:themeColor="text1" w:themeTint="F2"/>
                                <w:sz w:val="18"/>
                                <w:szCs w:val="20"/>
                                <w:lang w:val="es-ES"/>
                              </w:rPr>
                              <w:t>7 de noviembre de 2022</w:t>
                            </w:r>
                            <w:r w:rsidR="00B70493">
                              <w:rPr>
                                <w:rFonts w:asciiTheme="majorHAnsi" w:hAnsiTheme="majorHAnsi"/>
                                <w:color w:val="0D0D0D" w:themeColor="text1" w:themeTint="F2"/>
                                <w:sz w:val="18"/>
                                <w:szCs w:val="20"/>
                                <w:lang w:val="es-ES"/>
                              </w:rPr>
                              <w:t>.</w:t>
                            </w:r>
                            <w:r w:rsidR="005709AB">
                              <w:rPr>
                                <w:rFonts w:asciiTheme="majorHAnsi" w:hAnsiTheme="majorHAnsi"/>
                                <w:color w:val="0D0D0D" w:themeColor="text1" w:themeTint="F2"/>
                                <w:sz w:val="18"/>
                                <w:szCs w:val="20"/>
                                <w:lang w:val="es-ES"/>
                              </w:rPr>
                              <w:t xml:space="preserve"> </w:t>
                            </w:r>
                          </w:p>
                          <w:p w14:paraId="6A567975" w14:textId="6DEF22C6" w:rsidR="00AC2B34" w:rsidRPr="00B21EB4" w:rsidRDefault="005709AB" w:rsidP="0059191A">
                            <w:pPr>
                              <w:tabs>
                                <w:tab w:val="center" w:pos="5400"/>
                              </w:tabs>
                              <w:suppressAutoHyphens/>
                              <w:spacing w:before="60"/>
                              <w:rPr>
                                <w:rFonts w:asciiTheme="majorHAnsi" w:hAnsiTheme="majorHAnsi" w:cs="Univers"/>
                                <w:color w:val="0D0D0D" w:themeColor="text1" w:themeTint="F2"/>
                                <w:sz w:val="18"/>
                                <w:szCs w:val="20"/>
                                <w:lang w:val="es-ES_tradnl"/>
                              </w:rPr>
                            </w:pPr>
                            <w:r>
                              <w:rPr>
                                <w:rFonts w:asciiTheme="majorHAnsi" w:hAnsiTheme="majorHAnsi"/>
                                <w:color w:val="0D0D0D" w:themeColor="text1" w:themeTint="F2"/>
                                <w:sz w:val="18"/>
                                <w:szCs w:val="20"/>
                                <w:lang w:val="es-ES"/>
                              </w:rPr>
                              <w:t xml:space="preserve">185 </w:t>
                            </w:r>
                            <w:r w:rsidR="00AC2B34" w:rsidRPr="00890650">
                              <w:rPr>
                                <w:rFonts w:asciiTheme="majorHAnsi" w:hAnsiTheme="majorHAnsi" w:cs="Univers"/>
                                <w:color w:val="0D0D0D" w:themeColor="text1" w:themeTint="F2"/>
                                <w:sz w:val="18"/>
                                <w:szCs w:val="20"/>
                                <w:lang w:val="es-ES_tradnl"/>
                              </w:rPr>
                              <w:t>período de sesione</w:t>
                            </w:r>
                            <w:r w:rsidR="00B21EB4">
                              <w:rPr>
                                <w:rFonts w:asciiTheme="majorHAnsi" w:hAnsiTheme="majorHAnsi" w:cs="Univers"/>
                                <w:color w:val="0D0D0D" w:themeColor="text1" w:themeTint="F2"/>
                                <w:sz w:val="18"/>
                                <w:szCs w:val="20"/>
                                <w:lang w:val="es-ES_tradnl"/>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4762B8" id="Text Box 7" o:spid="_x0000_s1029" type="#_x0000_t202" style="position:absolute;left:0;text-align:left;margin-left:105.65pt;margin-top:1.8pt;width:388.5pt;height:52.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" filled="f" stroked="f" strokeweight=".5pt">
                <v:textbox>
                  <w:txbxContent>
                    <w:p w14:paraId="1ACE0DAB" w14:textId="0A15F4FA" w:rsidR="00B70493" w:rsidRDefault="00AC2B34" w:rsidP="0059191A">
                      <w:pPr>
                        <w:tabs>
                          <w:tab w:val="center" w:pos="5400"/>
                        </w:tabs>
                        <w:suppressAutoHyphens/>
                        <w:spacing w:before="60"/>
                        <w:rPr>
                          <w:rFonts w:asciiTheme="majorHAnsi" w:hAnsiTheme="majorHAnsi"/>
                          <w:color w:val="0D0D0D" w:themeColor="text1" w:themeTint="F2"/>
                          <w:sz w:val="18"/>
                          <w:szCs w:val="20"/>
                          <w:lang w:val="es-ES"/>
                        </w:rPr>
                      </w:pPr>
                      <w:r>
                        <w:rPr>
                          <w:rFonts w:asciiTheme="majorHAnsi" w:hAnsiTheme="majorHAnsi"/>
                          <w:color w:val="0D0D0D" w:themeColor="text1" w:themeTint="F2"/>
                          <w:sz w:val="18"/>
                          <w:szCs w:val="20"/>
                          <w:lang w:val="es-ES"/>
                        </w:rPr>
                        <w:t>Aprobado</w:t>
                      </w:r>
                      <w:r w:rsidRPr="00890650">
                        <w:rPr>
                          <w:rFonts w:asciiTheme="majorHAnsi" w:hAnsiTheme="majorHAnsi"/>
                          <w:color w:val="0D0D0D" w:themeColor="text1" w:themeTint="F2"/>
                          <w:sz w:val="18"/>
                          <w:szCs w:val="20"/>
                          <w:lang w:val="es-ES"/>
                        </w:rPr>
                        <w:t xml:space="preserve"> por la Comisión en su sesión N</w:t>
                      </w:r>
                      <w:r>
                        <w:rPr>
                          <w:rFonts w:asciiTheme="majorHAnsi" w:hAnsiTheme="majorHAnsi"/>
                          <w:color w:val="0D0D0D" w:themeColor="text1" w:themeTint="F2"/>
                          <w:sz w:val="18"/>
                          <w:szCs w:val="20"/>
                          <w:lang w:val="es-ES"/>
                        </w:rPr>
                        <w:t>o.</w:t>
                      </w:r>
                      <w:r w:rsidRPr="00890650">
                        <w:rPr>
                          <w:rFonts w:asciiTheme="majorHAnsi" w:hAnsiTheme="majorHAnsi"/>
                          <w:color w:val="0D0D0D" w:themeColor="text1" w:themeTint="F2"/>
                          <w:sz w:val="18"/>
                          <w:szCs w:val="20"/>
                          <w:lang w:val="es-ES"/>
                        </w:rPr>
                        <w:t xml:space="preserve"> </w:t>
                      </w:r>
                      <w:r w:rsidR="005709AB">
                        <w:rPr>
                          <w:rFonts w:asciiTheme="majorHAnsi" w:hAnsiTheme="majorHAnsi"/>
                          <w:color w:val="0D0D0D" w:themeColor="text1" w:themeTint="F2"/>
                          <w:sz w:val="18"/>
                          <w:szCs w:val="20"/>
                          <w:lang w:val="es-ES"/>
                        </w:rPr>
                        <w:t>2262</w:t>
                      </w:r>
                      <w:r w:rsidRPr="00890650">
                        <w:rPr>
                          <w:rFonts w:asciiTheme="majorHAnsi" w:hAnsiTheme="majorHAnsi"/>
                          <w:color w:val="0D0D0D" w:themeColor="text1" w:themeTint="F2"/>
                          <w:sz w:val="18"/>
                          <w:szCs w:val="20"/>
                          <w:lang w:val="es-ES"/>
                        </w:rPr>
                        <w:t xml:space="preserve"> c</w:t>
                      </w:r>
                      <w:r>
                        <w:rPr>
                          <w:rFonts w:asciiTheme="majorHAnsi" w:hAnsiTheme="majorHAnsi"/>
                          <w:color w:val="0D0D0D" w:themeColor="text1" w:themeTint="F2"/>
                          <w:sz w:val="18"/>
                          <w:szCs w:val="20"/>
                          <w:lang w:val="es-ES"/>
                        </w:rPr>
                        <w:t xml:space="preserve">elebrada el </w:t>
                      </w:r>
                      <w:r w:rsidR="005709AB">
                        <w:rPr>
                          <w:rFonts w:asciiTheme="majorHAnsi" w:hAnsiTheme="majorHAnsi"/>
                          <w:color w:val="0D0D0D" w:themeColor="text1" w:themeTint="F2"/>
                          <w:sz w:val="18"/>
                          <w:szCs w:val="20"/>
                          <w:lang w:val="es-ES"/>
                        </w:rPr>
                        <w:t>7 de noviembre de 2022</w:t>
                      </w:r>
                      <w:r w:rsidR="00B70493">
                        <w:rPr>
                          <w:rFonts w:asciiTheme="majorHAnsi" w:hAnsiTheme="majorHAnsi"/>
                          <w:color w:val="0D0D0D" w:themeColor="text1" w:themeTint="F2"/>
                          <w:sz w:val="18"/>
                          <w:szCs w:val="20"/>
                          <w:lang w:val="es-ES"/>
                        </w:rPr>
                        <w:t>.</w:t>
                      </w:r>
                      <w:r w:rsidR="005709AB">
                        <w:rPr>
                          <w:rFonts w:asciiTheme="majorHAnsi" w:hAnsiTheme="majorHAnsi"/>
                          <w:color w:val="0D0D0D" w:themeColor="text1" w:themeTint="F2"/>
                          <w:sz w:val="18"/>
                          <w:szCs w:val="20"/>
                          <w:lang w:val="es-ES"/>
                        </w:rPr>
                        <w:t xml:space="preserve"> </w:t>
                      </w:r>
                    </w:p>
                    <w:p w14:paraId="6A567975" w14:textId="6DEF22C6" w:rsidR="00AC2B34" w:rsidRPr="00B21EB4" w:rsidRDefault="005709AB" w:rsidP="0059191A">
                      <w:pPr>
                        <w:tabs>
                          <w:tab w:val="center" w:pos="5400"/>
                        </w:tabs>
                        <w:suppressAutoHyphens/>
                        <w:spacing w:before="60"/>
                        <w:rPr>
                          <w:rFonts w:asciiTheme="majorHAnsi" w:hAnsiTheme="majorHAnsi" w:cs="Univers"/>
                          <w:color w:val="0D0D0D" w:themeColor="text1" w:themeTint="F2"/>
                          <w:sz w:val="18"/>
                          <w:szCs w:val="20"/>
                          <w:lang w:val="es-ES_tradnl"/>
                        </w:rPr>
                      </w:pPr>
                      <w:r>
                        <w:rPr>
                          <w:rFonts w:asciiTheme="majorHAnsi" w:hAnsiTheme="majorHAnsi"/>
                          <w:color w:val="0D0D0D" w:themeColor="text1" w:themeTint="F2"/>
                          <w:sz w:val="18"/>
                          <w:szCs w:val="20"/>
                          <w:lang w:val="es-ES"/>
                        </w:rPr>
                        <w:t xml:space="preserve">185 </w:t>
                      </w:r>
                      <w:r w:rsidR="00AC2B34" w:rsidRPr="00890650">
                        <w:rPr>
                          <w:rFonts w:asciiTheme="majorHAnsi" w:hAnsiTheme="majorHAnsi" w:cs="Univers"/>
                          <w:color w:val="0D0D0D" w:themeColor="text1" w:themeTint="F2"/>
                          <w:sz w:val="18"/>
                          <w:szCs w:val="20"/>
                          <w:lang w:val="es-ES_tradnl"/>
                        </w:rPr>
                        <w:t>período de sesione</w:t>
                      </w:r>
                      <w:r w:rsidR="00B21EB4">
                        <w:rPr>
                          <w:rFonts w:asciiTheme="majorHAnsi" w:hAnsiTheme="majorHAnsi" w:cs="Univers"/>
                          <w:color w:val="0D0D0D" w:themeColor="text1" w:themeTint="F2"/>
                          <w:sz w:val="18"/>
                          <w:szCs w:val="20"/>
                          <w:lang w:val="es-ES_tradnl"/>
                        </w:rPr>
                        <w:t>s</w:t>
                      </w:r>
                    </w:p>
                  </w:txbxContent>
                </v:textbox>
              </v:shape>
            </w:pict>
          </mc:Fallback>
        </mc:AlternateContent>
      </w:r>
    </w:p>
    <w:p w14:paraId="014554B4" w14:textId="77777777" w:rsidR="00A50FCF" w:rsidRPr="00AC5261" w:rsidRDefault="00A50FCF" w:rsidP="00115E91">
      <w:pPr>
        <w:tabs>
          <w:tab w:val="center" w:pos="5400"/>
        </w:tabs>
        <w:suppressAutoHyphens/>
        <w:jc w:val="center"/>
        <w:rPr>
          <w:rFonts w:asciiTheme="majorHAnsi" w:hAnsiTheme="majorHAnsi"/>
          <w:sz w:val="18"/>
          <w:szCs w:val="22"/>
          <w:lang w:val="es-ES_tradnl"/>
        </w:rPr>
      </w:pPr>
    </w:p>
    <w:p w14:paraId="5BCF1B96" w14:textId="77777777" w:rsidR="00A50FCF" w:rsidRPr="00AC5261" w:rsidRDefault="00A50FCF" w:rsidP="00115E91">
      <w:pPr>
        <w:tabs>
          <w:tab w:val="center" w:pos="5400"/>
        </w:tabs>
        <w:suppressAutoHyphens/>
        <w:jc w:val="center"/>
        <w:rPr>
          <w:rFonts w:asciiTheme="majorHAnsi" w:hAnsiTheme="majorHAnsi"/>
          <w:sz w:val="18"/>
          <w:szCs w:val="22"/>
          <w:lang w:val="es-ES_tradnl"/>
        </w:rPr>
      </w:pPr>
    </w:p>
    <w:p w14:paraId="33622B0D" w14:textId="77777777" w:rsidR="00A50FCF" w:rsidRPr="00AC5261" w:rsidRDefault="00A50FCF" w:rsidP="00115E91">
      <w:pPr>
        <w:tabs>
          <w:tab w:val="center" w:pos="5400"/>
        </w:tabs>
        <w:suppressAutoHyphens/>
        <w:jc w:val="center"/>
        <w:rPr>
          <w:rFonts w:asciiTheme="majorHAnsi" w:hAnsiTheme="majorHAnsi"/>
          <w:sz w:val="18"/>
          <w:szCs w:val="22"/>
          <w:lang w:val="es-ES_tradnl"/>
        </w:rPr>
      </w:pPr>
    </w:p>
    <w:p w14:paraId="581A63B1" w14:textId="77777777" w:rsidR="00A50FCF" w:rsidRPr="00AC5261" w:rsidRDefault="00A50FCF" w:rsidP="00115E91">
      <w:pPr>
        <w:tabs>
          <w:tab w:val="center" w:pos="5400"/>
        </w:tabs>
        <w:suppressAutoHyphens/>
        <w:jc w:val="center"/>
        <w:rPr>
          <w:rFonts w:asciiTheme="majorHAnsi" w:hAnsiTheme="majorHAnsi"/>
          <w:sz w:val="18"/>
          <w:szCs w:val="22"/>
          <w:lang w:val="es-ES_tradnl"/>
        </w:rPr>
      </w:pPr>
    </w:p>
    <w:p w14:paraId="076F7291" w14:textId="77777777" w:rsidR="00A50FCF" w:rsidRPr="00AC5261" w:rsidRDefault="00E14313" w:rsidP="00115E91">
      <w:pPr>
        <w:tabs>
          <w:tab w:val="center" w:pos="5400"/>
        </w:tabs>
        <w:suppressAutoHyphens/>
        <w:jc w:val="center"/>
        <w:rPr>
          <w:rFonts w:asciiTheme="majorHAnsi" w:hAnsiTheme="majorHAnsi"/>
          <w:sz w:val="18"/>
          <w:szCs w:val="22"/>
          <w:lang w:val="es-ES_tradnl"/>
        </w:rPr>
      </w:pPr>
      <w:r w:rsidRPr="00AC5261">
        <w:rPr>
          <w:rFonts w:asciiTheme="majorHAnsi" w:hAnsiTheme="majorHAnsi"/>
          <w:noProof/>
          <w:sz w:val="18"/>
          <w:szCs w:val="22"/>
          <w:lang w:val="es-ES_tradnl"/>
        </w:rPr>
        <mc:AlternateContent>
          <mc:Choice Requires="wps">
            <w:drawing>
              <wp:anchor distT="0" distB="0" distL="114300" distR="114300" simplePos="0" relativeHeight="251678720" behindDoc="0" locked="0" layoutInCell="1" allowOverlap="1" wp14:anchorId="467BB057" wp14:editId="1228D55C">
                <wp:simplePos x="0" y="0"/>
                <wp:positionH relativeFrom="column">
                  <wp:posOffset>1333500</wp:posOffset>
                </wp:positionH>
                <wp:positionV relativeFrom="paragraph">
                  <wp:posOffset>5715</wp:posOffset>
                </wp:positionV>
                <wp:extent cx="4943475" cy="6572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43475"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7325BD" w14:textId="7EC03232" w:rsidR="00AC2B34" w:rsidRPr="00B21EB4" w:rsidRDefault="00AC2B34" w:rsidP="00B21EB4">
                            <w:pPr>
                              <w:spacing w:line="276" w:lineRule="auto"/>
                              <w:jc w:val="both"/>
                              <w:rPr>
                                <w:rFonts w:asciiTheme="majorHAnsi" w:hAnsiTheme="majorHAnsi"/>
                                <w:color w:val="595959" w:themeColor="text1" w:themeTint="A6"/>
                                <w:sz w:val="18"/>
                                <w:szCs w:val="18"/>
                                <w:lang w:val="pt-BR"/>
                              </w:rPr>
                            </w:pPr>
                            <w:r w:rsidRPr="00BE73C3">
                              <w:rPr>
                                <w:rFonts w:asciiTheme="majorHAnsi" w:hAnsiTheme="majorHAnsi"/>
                                <w:b/>
                                <w:color w:val="595959" w:themeColor="text1" w:themeTint="A6"/>
                                <w:sz w:val="18"/>
                                <w:szCs w:val="18"/>
                                <w:lang w:val="pt-BR"/>
                              </w:rPr>
                              <w:t>Citar como:</w:t>
                            </w:r>
                            <w:r>
                              <w:rPr>
                                <w:rFonts w:asciiTheme="majorHAnsi" w:hAnsiTheme="majorHAnsi"/>
                                <w:color w:val="595959" w:themeColor="text1" w:themeTint="A6"/>
                                <w:sz w:val="18"/>
                                <w:szCs w:val="18"/>
                                <w:lang w:val="pt-BR"/>
                              </w:rPr>
                              <w:t xml:space="preserve"> CIDH. Informe No. </w:t>
                            </w:r>
                            <w:r w:rsidR="005709AB">
                              <w:rPr>
                                <w:rFonts w:asciiTheme="majorHAnsi" w:hAnsiTheme="majorHAnsi"/>
                                <w:color w:val="595959" w:themeColor="text1" w:themeTint="A6"/>
                                <w:sz w:val="18"/>
                                <w:szCs w:val="18"/>
                                <w:lang w:val="pt-BR"/>
                              </w:rPr>
                              <w:t>283</w:t>
                            </w:r>
                            <w:r w:rsidRPr="00BE73C3">
                              <w:rPr>
                                <w:rFonts w:asciiTheme="majorHAnsi" w:hAnsiTheme="majorHAnsi"/>
                                <w:color w:val="595959" w:themeColor="text1" w:themeTint="A6"/>
                                <w:sz w:val="18"/>
                                <w:szCs w:val="18"/>
                                <w:lang w:val="pt-BR"/>
                              </w:rPr>
                              <w:t>/</w:t>
                            </w:r>
                            <w:r w:rsidR="005709AB">
                              <w:rPr>
                                <w:rFonts w:asciiTheme="majorHAnsi" w:hAnsiTheme="majorHAnsi"/>
                                <w:color w:val="595959" w:themeColor="text1" w:themeTint="A6"/>
                                <w:sz w:val="18"/>
                                <w:szCs w:val="18"/>
                                <w:lang w:val="pt-BR"/>
                              </w:rPr>
                              <w:t>22</w:t>
                            </w:r>
                            <w:r>
                              <w:rPr>
                                <w:rFonts w:asciiTheme="majorHAnsi" w:hAnsiTheme="majorHAnsi"/>
                                <w:color w:val="595959" w:themeColor="text1" w:themeTint="A6"/>
                                <w:sz w:val="18"/>
                                <w:szCs w:val="18"/>
                                <w:lang w:val="pt-BR"/>
                              </w:rPr>
                              <w:t>. Caso 12</w:t>
                            </w:r>
                            <w:r w:rsidRPr="00BE73C3">
                              <w:rPr>
                                <w:rFonts w:asciiTheme="majorHAnsi" w:hAnsiTheme="majorHAnsi"/>
                                <w:color w:val="595959" w:themeColor="text1" w:themeTint="A6"/>
                                <w:sz w:val="18"/>
                                <w:szCs w:val="18"/>
                                <w:lang w:val="pt-BR"/>
                              </w:rPr>
                              <w:t>.</w:t>
                            </w:r>
                            <w:r>
                              <w:rPr>
                                <w:rFonts w:asciiTheme="majorHAnsi" w:hAnsiTheme="majorHAnsi"/>
                                <w:color w:val="595959" w:themeColor="text1" w:themeTint="A6"/>
                                <w:sz w:val="18"/>
                                <w:szCs w:val="18"/>
                                <w:lang w:val="pt-BR"/>
                              </w:rPr>
                              <w:t>830</w:t>
                            </w:r>
                            <w:r w:rsidRPr="00BE73C3">
                              <w:rPr>
                                <w:rFonts w:asciiTheme="majorHAnsi" w:hAnsiTheme="majorHAnsi"/>
                                <w:color w:val="595959" w:themeColor="text1" w:themeTint="A6"/>
                                <w:sz w:val="18"/>
                                <w:szCs w:val="18"/>
                                <w:lang w:val="pt-BR"/>
                              </w:rPr>
                              <w:t xml:space="preserve">. </w:t>
                            </w:r>
                            <w:r w:rsidRPr="00E14313">
                              <w:rPr>
                                <w:rFonts w:asciiTheme="majorHAnsi" w:hAnsiTheme="majorHAnsi"/>
                                <w:color w:val="595959" w:themeColor="text1" w:themeTint="A6"/>
                                <w:sz w:val="18"/>
                                <w:szCs w:val="18"/>
                                <w:lang w:val="es-ES"/>
                              </w:rPr>
                              <w:t>Fondo</w:t>
                            </w:r>
                            <w:r w:rsidRPr="00BE73C3">
                              <w:rPr>
                                <w:rFonts w:asciiTheme="majorHAnsi" w:hAnsiTheme="majorHAnsi"/>
                                <w:color w:val="595959" w:themeColor="text1" w:themeTint="A6"/>
                                <w:sz w:val="18"/>
                                <w:szCs w:val="18"/>
                                <w:lang w:val="pt-BR"/>
                              </w:rPr>
                              <w:t xml:space="preserve">. </w:t>
                            </w:r>
                            <w:r>
                              <w:rPr>
                                <w:rFonts w:asciiTheme="majorHAnsi" w:hAnsiTheme="majorHAnsi"/>
                                <w:color w:val="595959" w:themeColor="text1" w:themeTint="A6"/>
                                <w:sz w:val="18"/>
                                <w:szCs w:val="18"/>
                                <w:lang w:val="pt-BR"/>
                              </w:rPr>
                              <w:t>Dianora Maleno. Venezuela.</w:t>
                            </w:r>
                            <w:r w:rsidR="00B21EB4">
                              <w:rPr>
                                <w:rFonts w:asciiTheme="majorHAnsi" w:hAnsiTheme="majorHAnsi"/>
                                <w:color w:val="595959" w:themeColor="text1" w:themeTint="A6"/>
                                <w:sz w:val="18"/>
                                <w:szCs w:val="18"/>
                                <w:lang w:val="pt-BR"/>
                              </w:rPr>
                              <w:t xml:space="preserve"> </w:t>
                            </w:r>
                            <w:r w:rsidR="005709AB">
                              <w:rPr>
                                <w:rFonts w:asciiTheme="majorHAnsi" w:hAnsiTheme="majorHAnsi"/>
                                <w:color w:val="595959" w:themeColor="text1" w:themeTint="A6"/>
                                <w:sz w:val="18"/>
                                <w:szCs w:val="18"/>
                                <w:lang w:val="pt-BR"/>
                              </w:rPr>
                              <w:t>7 de noviembre de 2022</w:t>
                            </w:r>
                            <w:r w:rsidRPr="00B37F9C">
                              <w:rPr>
                                <w:rFonts w:asciiTheme="majorHAnsi" w:hAnsiTheme="majorHAnsi"/>
                                <w:color w:val="595959" w:themeColor="text1" w:themeTint="A6"/>
                                <w:sz w:val="18"/>
                                <w:szCs w:val="18"/>
                                <w:lang w:val="es-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7BB057" id="Text Box 10" o:spid="_x0000_s1030" type="#_x0000_t202" style="position:absolute;left:0;text-align:left;margin-left:105pt;margin-top:.45pt;width:389.25pt;height:5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" filled="f" stroked="f" strokeweight=".5pt">
                <v:textbox>
                  <w:txbxContent>
                    <w:p w14:paraId="237325BD" w14:textId="7EC03232" w:rsidR="00AC2B34" w:rsidRPr="00B21EB4" w:rsidRDefault="00AC2B34" w:rsidP="00B21EB4">
                      <w:pPr>
                        <w:spacing w:line="276" w:lineRule="auto"/>
                        <w:jc w:val="both"/>
                        <w:rPr>
                          <w:rFonts w:asciiTheme="majorHAnsi" w:hAnsiTheme="majorHAnsi"/>
                          <w:color w:val="595959" w:themeColor="text1" w:themeTint="A6"/>
                          <w:sz w:val="18"/>
                          <w:szCs w:val="18"/>
                          <w:lang w:val="pt-BR"/>
                        </w:rPr>
                      </w:pPr>
                      <w:r w:rsidRPr="00BE73C3">
                        <w:rPr>
                          <w:rFonts w:asciiTheme="majorHAnsi" w:hAnsiTheme="majorHAnsi"/>
                          <w:b/>
                          <w:color w:val="595959" w:themeColor="text1" w:themeTint="A6"/>
                          <w:sz w:val="18"/>
                          <w:szCs w:val="18"/>
                          <w:lang w:val="pt-BR"/>
                        </w:rPr>
                        <w:t>Citar como:</w:t>
                      </w:r>
                      <w:r>
                        <w:rPr>
                          <w:rFonts w:asciiTheme="majorHAnsi" w:hAnsiTheme="majorHAnsi"/>
                          <w:color w:val="595959" w:themeColor="text1" w:themeTint="A6"/>
                          <w:sz w:val="18"/>
                          <w:szCs w:val="18"/>
                          <w:lang w:val="pt-BR"/>
                        </w:rPr>
                        <w:t xml:space="preserve"> CIDH. Informe No. </w:t>
                      </w:r>
                      <w:r w:rsidR="005709AB">
                        <w:rPr>
                          <w:rFonts w:asciiTheme="majorHAnsi" w:hAnsiTheme="majorHAnsi"/>
                          <w:color w:val="595959" w:themeColor="text1" w:themeTint="A6"/>
                          <w:sz w:val="18"/>
                          <w:szCs w:val="18"/>
                          <w:lang w:val="pt-BR"/>
                        </w:rPr>
                        <w:t>283</w:t>
                      </w:r>
                      <w:r w:rsidRPr="00BE73C3">
                        <w:rPr>
                          <w:rFonts w:asciiTheme="majorHAnsi" w:hAnsiTheme="majorHAnsi"/>
                          <w:color w:val="595959" w:themeColor="text1" w:themeTint="A6"/>
                          <w:sz w:val="18"/>
                          <w:szCs w:val="18"/>
                          <w:lang w:val="pt-BR"/>
                        </w:rPr>
                        <w:t>/</w:t>
                      </w:r>
                      <w:r w:rsidR="005709AB">
                        <w:rPr>
                          <w:rFonts w:asciiTheme="majorHAnsi" w:hAnsiTheme="majorHAnsi"/>
                          <w:color w:val="595959" w:themeColor="text1" w:themeTint="A6"/>
                          <w:sz w:val="18"/>
                          <w:szCs w:val="18"/>
                          <w:lang w:val="pt-BR"/>
                        </w:rPr>
                        <w:t>22</w:t>
                      </w:r>
                      <w:r>
                        <w:rPr>
                          <w:rFonts w:asciiTheme="majorHAnsi" w:hAnsiTheme="majorHAnsi"/>
                          <w:color w:val="595959" w:themeColor="text1" w:themeTint="A6"/>
                          <w:sz w:val="18"/>
                          <w:szCs w:val="18"/>
                          <w:lang w:val="pt-BR"/>
                        </w:rPr>
                        <w:t>. Caso 12</w:t>
                      </w:r>
                      <w:r w:rsidRPr="00BE73C3">
                        <w:rPr>
                          <w:rFonts w:asciiTheme="majorHAnsi" w:hAnsiTheme="majorHAnsi"/>
                          <w:color w:val="595959" w:themeColor="text1" w:themeTint="A6"/>
                          <w:sz w:val="18"/>
                          <w:szCs w:val="18"/>
                          <w:lang w:val="pt-BR"/>
                        </w:rPr>
                        <w:t>.</w:t>
                      </w:r>
                      <w:r>
                        <w:rPr>
                          <w:rFonts w:asciiTheme="majorHAnsi" w:hAnsiTheme="majorHAnsi"/>
                          <w:color w:val="595959" w:themeColor="text1" w:themeTint="A6"/>
                          <w:sz w:val="18"/>
                          <w:szCs w:val="18"/>
                          <w:lang w:val="pt-BR"/>
                        </w:rPr>
                        <w:t>830</w:t>
                      </w:r>
                      <w:r w:rsidRPr="00BE73C3">
                        <w:rPr>
                          <w:rFonts w:asciiTheme="majorHAnsi" w:hAnsiTheme="majorHAnsi"/>
                          <w:color w:val="595959" w:themeColor="text1" w:themeTint="A6"/>
                          <w:sz w:val="18"/>
                          <w:szCs w:val="18"/>
                          <w:lang w:val="pt-BR"/>
                        </w:rPr>
                        <w:t xml:space="preserve">. </w:t>
                      </w:r>
                      <w:r w:rsidRPr="00E14313">
                        <w:rPr>
                          <w:rFonts w:asciiTheme="majorHAnsi" w:hAnsiTheme="majorHAnsi"/>
                          <w:color w:val="595959" w:themeColor="text1" w:themeTint="A6"/>
                          <w:sz w:val="18"/>
                          <w:szCs w:val="18"/>
                          <w:lang w:val="es-ES"/>
                        </w:rPr>
                        <w:t>Fondo</w:t>
                      </w:r>
                      <w:r w:rsidRPr="00BE73C3">
                        <w:rPr>
                          <w:rFonts w:asciiTheme="majorHAnsi" w:hAnsiTheme="majorHAnsi"/>
                          <w:color w:val="595959" w:themeColor="text1" w:themeTint="A6"/>
                          <w:sz w:val="18"/>
                          <w:szCs w:val="18"/>
                          <w:lang w:val="pt-BR"/>
                        </w:rPr>
                        <w:t xml:space="preserve">. </w:t>
                      </w:r>
                      <w:r>
                        <w:rPr>
                          <w:rFonts w:asciiTheme="majorHAnsi" w:hAnsiTheme="majorHAnsi"/>
                          <w:color w:val="595959" w:themeColor="text1" w:themeTint="A6"/>
                          <w:sz w:val="18"/>
                          <w:szCs w:val="18"/>
                          <w:lang w:val="pt-BR"/>
                        </w:rPr>
                        <w:t>Dianora Maleno. Venezuela.</w:t>
                      </w:r>
                      <w:r w:rsidR="00B21EB4">
                        <w:rPr>
                          <w:rFonts w:asciiTheme="majorHAnsi" w:hAnsiTheme="majorHAnsi"/>
                          <w:color w:val="595959" w:themeColor="text1" w:themeTint="A6"/>
                          <w:sz w:val="18"/>
                          <w:szCs w:val="18"/>
                          <w:lang w:val="pt-BR"/>
                        </w:rPr>
                        <w:t xml:space="preserve"> </w:t>
                      </w:r>
                      <w:r w:rsidR="005709AB">
                        <w:rPr>
                          <w:rFonts w:asciiTheme="majorHAnsi" w:hAnsiTheme="majorHAnsi"/>
                          <w:color w:val="595959" w:themeColor="text1" w:themeTint="A6"/>
                          <w:sz w:val="18"/>
                          <w:szCs w:val="18"/>
                          <w:lang w:val="pt-BR"/>
                        </w:rPr>
                        <w:t>7 de noviembre de 2022</w:t>
                      </w:r>
                      <w:r w:rsidRPr="00B37F9C">
                        <w:rPr>
                          <w:rFonts w:asciiTheme="majorHAnsi" w:hAnsiTheme="majorHAnsi"/>
                          <w:color w:val="595959" w:themeColor="text1" w:themeTint="A6"/>
                          <w:sz w:val="18"/>
                          <w:szCs w:val="18"/>
                          <w:lang w:val="es-US"/>
                        </w:rPr>
                        <w:t>.</w:t>
                      </w:r>
                    </w:p>
                  </w:txbxContent>
                </v:textbox>
              </v:shape>
            </w:pict>
          </mc:Fallback>
        </mc:AlternateContent>
      </w:r>
    </w:p>
    <w:p w14:paraId="598AE26A" w14:textId="77777777" w:rsidR="00A50FCF" w:rsidRPr="00AC5261" w:rsidRDefault="00A50FCF" w:rsidP="00115E91">
      <w:pPr>
        <w:tabs>
          <w:tab w:val="center" w:pos="5400"/>
        </w:tabs>
        <w:suppressAutoHyphens/>
        <w:jc w:val="center"/>
        <w:rPr>
          <w:rFonts w:asciiTheme="majorHAnsi" w:hAnsiTheme="majorHAnsi"/>
          <w:sz w:val="18"/>
          <w:szCs w:val="22"/>
          <w:lang w:val="es-ES_tradnl"/>
        </w:rPr>
      </w:pPr>
    </w:p>
    <w:p w14:paraId="401CF01F" w14:textId="77777777" w:rsidR="0090270B" w:rsidRPr="00AC5261" w:rsidRDefault="00D306D1" w:rsidP="00115E91">
      <w:pPr>
        <w:tabs>
          <w:tab w:val="center" w:pos="5400"/>
        </w:tabs>
        <w:suppressAutoHyphens/>
        <w:jc w:val="center"/>
        <w:rPr>
          <w:rFonts w:asciiTheme="majorHAnsi" w:hAnsiTheme="majorHAnsi"/>
          <w:b/>
          <w:sz w:val="20"/>
          <w:lang w:val="es-ES_tradnl"/>
        </w:rPr>
      </w:pPr>
      <w:r w:rsidRPr="00AC5261">
        <w:rPr>
          <w:rFonts w:asciiTheme="majorHAnsi" w:hAnsiTheme="majorHAnsi"/>
          <w:noProof/>
          <w:sz w:val="18"/>
          <w:szCs w:val="22"/>
          <w:lang w:val="es-ES_tradnl"/>
        </w:rPr>
        <mc:AlternateContent>
          <mc:Choice Requires="wps">
            <w:drawing>
              <wp:anchor distT="0" distB="0" distL="114300" distR="114300" simplePos="0" relativeHeight="251680768" behindDoc="0" locked="0" layoutInCell="1" allowOverlap="1" wp14:anchorId="438DDAD3" wp14:editId="3410B788">
                <wp:simplePos x="0" y="0"/>
                <wp:positionH relativeFrom="column">
                  <wp:posOffset>1329690</wp:posOffset>
                </wp:positionH>
                <wp:positionV relativeFrom="paragraph">
                  <wp:posOffset>638497</wp:posOffset>
                </wp:positionV>
                <wp:extent cx="4096385" cy="567055"/>
                <wp:effectExtent l="0" t="0" r="0" b="4445"/>
                <wp:wrapNone/>
                <wp:docPr id="9" name="Text Box 9"/>
                <wp:cNvGraphicFramePr/>
                <a:graphic xmlns:a="http://schemas.openxmlformats.org/drawingml/2006/main">
                  <a:graphicData uri="http://schemas.microsoft.com/office/word/2010/wordprocessingShape">
                    <wps:wsp>
                      <wps:cNvSpPr txBox="1"/>
                      <wps:spPr>
                        <a:xfrm>
                          <a:off x="0" y="0"/>
                          <a:ext cx="4096385" cy="567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A3D132" w14:textId="77777777" w:rsidR="00AC2B34" w:rsidRPr="00D72DC6" w:rsidRDefault="00AC2B34" w:rsidP="00F02AD1">
                            <w:pPr>
                              <w:rPr>
                                <w:color w:val="FFFFFF" w:themeColor="background1"/>
                                <w14:textFill>
                                  <w14:noFill/>
                                </w14:textFill>
                              </w:rPr>
                            </w:pPr>
                            <w:r>
                              <w:rPr>
                                <w:noProof/>
                                <w:color w:val="FFFFFF" w:themeColor="background1"/>
                              </w:rPr>
                              <w:drawing>
                                <wp:inline distT="0" distB="0" distL="0" distR="0" wp14:anchorId="56AD2A75" wp14:editId="4C42B6B3">
                                  <wp:extent cx="1658203" cy="426527"/>
                                  <wp:effectExtent l="0" t="0" r="0" b="0"/>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EA-ESP-Main-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61725" cy="42743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8DDAD3" id="Text Box 9" o:spid="_x0000_s1031" type="#_x0000_t202" style="position:absolute;left:0;text-align:left;margin-left:104.7pt;margin-top:50.3pt;width:322.55pt;height:44.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" fillcolor="white [3201]" stroked="f" strokeweight=".5pt">
                <v:textbox>
                  <w:txbxContent>
                    <w:p w14:paraId="07A3D132" w14:textId="77777777" w:rsidR="00AC2B34" w:rsidRPr="00D72DC6" w:rsidRDefault="00AC2B34" w:rsidP="00F02AD1">
                      <w:pPr>
                        <w:rPr>
                          <w:color w:val="FFFFFF" w:themeColor="background1"/>
                          <w14:textFill>
                            <w14:noFill/>
                          </w14:textFill>
                        </w:rPr>
                      </w:pPr>
                      <w:r>
                        <w:rPr>
                          <w:noProof/>
                          <w:color w:val="FFFFFF" w:themeColor="background1"/>
                        </w:rPr>
                        <w:drawing>
                          <wp:inline distT="0" distB="0" distL="0" distR="0" wp14:anchorId="56AD2A75" wp14:editId="4C42B6B3">
                            <wp:extent cx="1658203" cy="426527"/>
                            <wp:effectExtent l="0" t="0" r="0" b="0"/>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EA-ESP-Main-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61725" cy="427433"/>
                                    </a:xfrm>
                                    <a:prstGeom prst="rect">
                                      <a:avLst/>
                                    </a:prstGeom>
                                  </pic:spPr>
                                </pic:pic>
                              </a:graphicData>
                            </a:graphic>
                          </wp:inline>
                        </w:drawing>
                      </w:r>
                    </w:p>
                  </w:txbxContent>
                </v:textbox>
              </v:shape>
            </w:pict>
          </mc:Fallback>
        </mc:AlternateContent>
      </w:r>
      <w:r w:rsidRPr="00AC5261">
        <w:rPr>
          <w:rFonts w:asciiTheme="majorHAnsi" w:hAnsiTheme="majorHAnsi"/>
          <w:noProof/>
          <w:sz w:val="22"/>
          <w:szCs w:val="22"/>
          <w:lang w:val="es-ES_tradnl"/>
        </w:rPr>
        <mc:AlternateContent>
          <mc:Choice Requires="wps">
            <w:drawing>
              <wp:anchor distT="0" distB="0" distL="114300" distR="114300" simplePos="0" relativeHeight="251682816" behindDoc="0" locked="0" layoutInCell="1" allowOverlap="1" wp14:anchorId="005D9EF2" wp14:editId="22A768C8">
                <wp:simplePos x="0" y="0"/>
                <wp:positionH relativeFrom="column">
                  <wp:posOffset>-272225</wp:posOffset>
                </wp:positionH>
                <wp:positionV relativeFrom="paragraph">
                  <wp:posOffset>915035</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A7E287" w14:textId="77777777" w:rsidR="00AC2B34" w:rsidRPr="004B7EB6" w:rsidRDefault="00AC2B34"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5D9EF2" id="Text Box 4" o:spid="_x0000_s1032" type="#_x0000_t202" style="position:absolute;left:0;text-align:left;margin-left:-21.45pt;margin-top:72.05pt;width:93pt;height:26.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7SE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" filled="f" stroked="f" strokeweight=".5pt">
                <v:textbox>
                  <w:txbxContent>
                    <w:p w14:paraId="4EA7E287" w14:textId="77777777" w:rsidR="00AC2B34" w:rsidRPr="004B7EB6" w:rsidRDefault="00AC2B34"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p>
    <w:p w14:paraId="3134B984" w14:textId="77777777" w:rsidR="0070697F" w:rsidRPr="00AC5261" w:rsidRDefault="0070697F" w:rsidP="00115E91">
      <w:pPr>
        <w:tabs>
          <w:tab w:val="center" w:pos="5400"/>
        </w:tabs>
        <w:suppressAutoHyphens/>
        <w:jc w:val="center"/>
        <w:rPr>
          <w:rFonts w:asciiTheme="majorHAnsi" w:hAnsiTheme="majorHAnsi"/>
          <w:b/>
          <w:sz w:val="20"/>
          <w:lang w:val="es-ES_tradnl"/>
        </w:rPr>
        <w:sectPr w:rsidR="0070697F" w:rsidRPr="00AC5261" w:rsidSect="00C054DF">
          <w:headerReference w:type="even" r:id="rId13"/>
          <w:headerReference w:type="default" r:id="rId14"/>
          <w:footerReference w:type="default" r:id="rId15"/>
          <w:footerReference w:type="first" r:id="rId16"/>
          <w:type w:val="oddPage"/>
          <w:pgSz w:w="12240" w:h="15840"/>
          <w:pgMar w:top="1440" w:right="1440" w:bottom="1440" w:left="1440" w:header="720" w:footer="720" w:gutter="0"/>
          <w:pgNumType w:start="0"/>
          <w:cols w:space="720"/>
          <w:titlePg/>
          <w:docGrid w:linePitch="326"/>
        </w:sectPr>
      </w:pPr>
    </w:p>
    <w:p w14:paraId="7F23AFC6" w14:textId="5C52A610" w:rsidR="006E6C9C" w:rsidRPr="006E6C9C" w:rsidRDefault="00BF6095" w:rsidP="006E6C9C">
      <w:pPr>
        <w:jc w:val="center"/>
        <w:rPr>
          <w:rFonts w:ascii="Cambria" w:hAnsi="Cambria"/>
          <w:b/>
          <w:bCs/>
          <w:sz w:val="20"/>
          <w:szCs w:val="20"/>
          <w:lang w:val="es-MX"/>
        </w:rPr>
      </w:pPr>
      <w:r>
        <w:rPr>
          <w:rFonts w:ascii="Cambria" w:hAnsi="Cambria"/>
          <w:b/>
          <w:bCs/>
          <w:sz w:val="20"/>
          <w:szCs w:val="20"/>
          <w:lang w:val="es-MX"/>
        </w:rPr>
        <w:lastRenderedPageBreak/>
        <w:t>I</w:t>
      </w:r>
      <w:r w:rsidR="006E6C9C" w:rsidRPr="006E6C9C">
        <w:rPr>
          <w:rFonts w:ascii="Cambria" w:hAnsi="Cambria"/>
          <w:b/>
          <w:bCs/>
          <w:sz w:val="20"/>
          <w:szCs w:val="20"/>
          <w:lang w:val="es-MX"/>
        </w:rPr>
        <w:t xml:space="preserve">NFORME No. </w:t>
      </w:r>
      <w:r w:rsidR="006E6C9C">
        <w:rPr>
          <w:rFonts w:ascii="Cambria" w:eastAsia="Cambria" w:hAnsi="Cambria" w:cs="Cambria"/>
          <w:b/>
          <w:sz w:val="20"/>
          <w:szCs w:val="22"/>
          <w:bdr w:val="none" w:sz="0" w:space="0" w:color="auto"/>
          <w:lang w:val="es-ES"/>
        </w:rPr>
        <w:t>283</w:t>
      </w:r>
      <w:r w:rsidR="006E6C9C" w:rsidRPr="006E6C9C">
        <w:rPr>
          <w:rFonts w:ascii="Cambria" w:eastAsia="Cambria" w:hAnsi="Cambria" w:cs="Cambria"/>
          <w:b/>
          <w:sz w:val="20"/>
          <w:szCs w:val="22"/>
          <w:bdr w:val="none" w:sz="0" w:space="0" w:color="auto"/>
          <w:lang w:val="es-ES"/>
        </w:rPr>
        <w:t>/22</w:t>
      </w:r>
    </w:p>
    <w:p w14:paraId="171B2B81" w14:textId="4E877DD2" w:rsidR="006E6C9C" w:rsidRPr="006E6C9C" w:rsidRDefault="006E6C9C" w:rsidP="006E6C9C">
      <w:pPr>
        <w:jc w:val="center"/>
        <w:rPr>
          <w:rFonts w:ascii="Cambria" w:hAnsi="Cambria"/>
          <w:b/>
          <w:bCs/>
          <w:sz w:val="20"/>
          <w:szCs w:val="20"/>
          <w:lang w:val="es-MX"/>
        </w:rPr>
      </w:pPr>
      <w:r w:rsidRPr="006E6C9C">
        <w:rPr>
          <w:rFonts w:ascii="Cambria" w:hAnsi="Cambria"/>
          <w:b/>
          <w:bCs/>
          <w:sz w:val="20"/>
          <w:szCs w:val="20"/>
          <w:lang w:val="es-MX"/>
        </w:rPr>
        <w:t>CASO 12.</w:t>
      </w:r>
      <w:r>
        <w:rPr>
          <w:rFonts w:ascii="Cambria" w:hAnsi="Cambria"/>
          <w:b/>
          <w:bCs/>
          <w:sz w:val="20"/>
          <w:szCs w:val="20"/>
          <w:lang w:val="es-MX"/>
        </w:rPr>
        <w:t>830</w:t>
      </w:r>
    </w:p>
    <w:p w14:paraId="42D3C84B" w14:textId="72D363A1" w:rsidR="006E6C9C" w:rsidRDefault="006E6C9C" w:rsidP="006E6C9C">
      <w:pPr>
        <w:jc w:val="center"/>
        <w:rPr>
          <w:rFonts w:ascii="Cambria" w:hAnsi="Cambria"/>
          <w:b/>
          <w:bCs/>
          <w:sz w:val="20"/>
          <w:szCs w:val="20"/>
          <w:lang w:val="es-MX"/>
        </w:rPr>
      </w:pPr>
      <w:r w:rsidRPr="006E6C9C">
        <w:rPr>
          <w:rFonts w:ascii="Cambria" w:hAnsi="Cambria"/>
          <w:b/>
          <w:bCs/>
          <w:sz w:val="20"/>
          <w:szCs w:val="20"/>
          <w:lang w:val="es-MX"/>
        </w:rPr>
        <w:t xml:space="preserve"> FONDO</w:t>
      </w:r>
    </w:p>
    <w:p w14:paraId="0025B917" w14:textId="639AC065" w:rsidR="006E6C9C" w:rsidRPr="006E6C9C" w:rsidRDefault="006E6C9C" w:rsidP="006E6C9C">
      <w:pPr>
        <w:jc w:val="center"/>
        <w:rPr>
          <w:rFonts w:ascii="Cambria" w:hAnsi="Cambria"/>
          <w:b/>
          <w:bCs/>
          <w:sz w:val="20"/>
          <w:szCs w:val="20"/>
          <w:lang w:val="es-MX"/>
        </w:rPr>
      </w:pPr>
      <w:r>
        <w:rPr>
          <w:rFonts w:asciiTheme="majorHAnsi" w:eastAsia="Times New Roman" w:hAnsiTheme="majorHAnsi" w:cs="Arial"/>
          <w:b/>
          <w:bCs/>
          <w:color w:val="0D0D0D" w:themeColor="text1" w:themeTint="F2"/>
          <w:sz w:val="20"/>
          <w:szCs w:val="20"/>
          <w:bdr w:val="none" w:sz="0" w:space="0" w:color="auto"/>
          <w:lang w:val="es-VE" w:eastAsia="es-MX"/>
        </w:rPr>
        <w:t>DIANORA MALENO</w:t>
      </w:r>
    </w:p>
    <w:p w14:paraId="423A5C08" w14:textId="6FF1AA9B" w:rsidR="006E6C9C" w:rsidRPr="006E6C9C" w:rsidRDefault="006E6C9C" w:rsidP="006E6C9C">
      <w:pPr>
        <w:tabs>
          <w:tab w:val="center" w:pos="5400"/>
        </w:tabs>
        <w:suppressAutoHyphens/>
        <w:spacing w:line="276" w:lineRule="auto"/>
        <w:jc w:val="center"/>
        <w:rPr>
          <w:rFonts w:ascii="Cambria" w:eastAsia="Cambria" w:hAnsi="Cambria" w:cs="Cambria"/>
          <w:b/>
          <w:bCs/>
          <w:spacing w:val="-2"/>
          <w:sz w:val="20"/>
          <w:szCs w:val="20"/>
          <w:bdr w:val="none" w:sz="0" w:space="0" w:color="auto"/>
          <w:lang w:val="es-VE"/>
        </w:rPr>
      </w:pPr>
      <w:r>
        <w:rPr>
          <w:rFonts w:ascii="Cambria" w:eastAsia="Cambria" w:hAnsi="Cambria" w:cs="Cambria"/>
          <w:b/>
          <w:bCs/>
          <w:spacing w:val="-2"/>
          <w:sz w:val="20"/>
          <w:szCs w:val="20"/>
          <w:bdr w:val="none" w:sz="0" w:space="0" w:color="auto"/>
          <w:lang w:val="es-VE"/>
        </w:rPr>
        <w:t>VENEZUELA</w:t>
      </w:r>
    </w:p>
    <w:p w14:paraId="5469EFDC" w14:textId="77777777" w:rsidR="006E6C9C" w:rsidRDefault="006E6C9C" w:rsidP="006E6C9C">
      <w:pPr>
        <w:tabs>
          <w:tab w:val="center" w:pos="5400"/>
        </w:tabs>
        <w:suppressAutoHyphens/>
        <w:rPr>
          <w:rFonts w:asciiTheme="majorHAnsi" w:hAnsiTheme="majorHAnsi"/>
          <w:b/>
          <w:sz w:val="20"/>
          <w:szCs w:val="20"/>
          <w:lang w:val="es-ES_tradnl"/>
        </w:rPr>
      </w:pPr>
    </w:p>
    <w:p w14:paraId="02AC0392" w14:textId="656E52C3" w:rsidR="00722C9F" w:rsidRDefault="00722C9F" w:rsidP="00115E91">
      <w:pPr>
        <w:tabs>
          <w:tab w:val="center" w:pos="5400"/>
        </w:tabs>
        <w:suppressAutoHyphens/>
        <w:jc w:val="center"/>
        <w:rPr>
          <w:rFonts w:asciiTheme="majorHAnsi" w:hAnsiTheme="majorHAnsi"/>
          <w:b/>
          <w:sz w:val="20"/>
          <w:szCs w:val="20"/>
          <w:lang w:val="es-ES_tradnl"/>
        </w:rPr>
      </w:pPr>
      <w:r w:rsidRPr="00AC5261">
        <w:rPr>
          <w:rFonts w:asciiTheme="majorHAnsi" w:hAnsiTheme="majorHAnsi"/>
          <w:b/>
          <w:sz w:val="20"/>
          <w:szCs w:val="20"/>
          <w:lang w:val="es-ES_tradnl"/>
        </w:rPr>
        <w:t>ÍNDICE</w:t>
      </w:r>
    </w:p>
    <w:p w14:paraId="2274772E" w14:textId="77777777" w:rsidR="00176489" w:rsidRPr="00AC5261" w:rsidRDefault="00176489" w:rsidP="00115E91">
      <w:pPr>
        <w:tabs>
          <w:tab w:val="center" w:pos="5400"/>
        </w:tabs>
        <w:suppressAutoHyphens/>
        <w:jc w:val="center"/>
        <w:rPr>
          <w:rFonts w:asciiTheme="majorHAnsi" w:hAnsiTheme="majorHAnsi"/>
          <w:b/>
          <w:sz w:val="20"/>
          <w:szCs w:val="20"/>
          <w:lang w:val="es-ES_tradnl"/>
        </w:rPr>
      </w:pPr>
    </w:p>
    <w:sdt>
      <w:sdtPr>
        <w:rPr>
          <w:rFonts w:ascii="Times New Roman" w:eastAsia="Arial Unicode MS" w:hAnsi="Times New Roman" w:cs="Times New Roman"/>
          <w:b w:val="0"/>
          <w:bCs w:val="0"/>
          <w:sz w:val="24"/>
          <w:szCs w:val="20"/>
          <w:bdr w:val="nil"/>
          <w:lang w:val="es-ES_tradnl" w:eastAsia="en-US"/>
        </w:rPr>
        <w:id w:val="1619567012"/>
        <w:docPartObj>
          <w:docPartGallery w:val="Table of Contents"/>
          <w:docPartUnique/>
        </w:docPartObj>
      </w:sdtPr>
      <w:sdtEndPr>
        <w:rPr>
          <w:noProof/>
        </w:rPr>
      </w:sdtEndPr>
      <w:sdtContent>
        <w:p w14:paraId="1C119AA9" w14:textId="77777777" w:rsidR="00C505E4" w:rsidRPr="00BF1DA5" w:rsidRDefault="00C505E4" w:rsidP="00115E91">
          <w:pPr>
            <w:pStyle w:val="TOCHeading"/>
            <w:spacing w:line="240" w:lineRule="auto"/>
            <w:ind w:right="4"/>
            <w:jc w:val="both"/>
            <w:rPr>
              <w:szCs w:val="20"/>
              <w:lang w:val="es-ES_tradnl"/>
            </w:rPr>
          </w:pPr>
        </w:p>
        <w:p w14:paraId="6475592F" w14:textId="0D9311B5" w:rsidR="00BF6095" w:rsidRPr="00BF6095" w:rsidRDefault="00C505E4">
          <w:pPr>
            <w:pStyle w:val="TOC1"/>
            <w:rPr>
              <w:rFonts w:eastAsiaTheme="minorEastAsia" w:cstheme="minorBidi"/>
              <w:b w:val="0"/>
              <w:bCs w:val="0"/>
              <w:kern w:val="2"/>
              <w:bdr w:val="none" w:sz="0" w:space="0" w:color="auto"/>
              <w:lang w:val="en-US"/>
              <w14:ligatures w14:val="standardContextual"/>
            </w:rPr>
          </w:pPr>
          <w:r w:rsidRPr="00176147">
            <w:rPr>
              <w:noProof w:val="0"/>
            </w:rPr>
            <w:fldChar w:fldCharType="begin"/>
          </w:r>
          <w:r w:rsidRPr="00176147">
            <w:instrText xml:space="preserve"> TOC \o "1-3" \h \z \u </w:instrText>
          </w:r>
          <w:r w:rsidRPr="00176147">
            <w:rPr>
              <w:noProof w:val="0"/>
            </w:rPr>
            <w:fldChar w:fldCharType="separate"/>
          </w:r>
          <w:hyperlink w:anchor="_Toc142398944" w:history="1">
            <w:r w:rsidR="00BF6095" w:rsidRPr="00BF6095">
              <w:rPr>
                <w:rStyle w:val="Hyperlink"/>
              </w:rPr>
              <w:t>I.</w:t>
            </w:r>
            <w:r w:rsidR="00BF6095" w:rsidRPr="00BF6095">
              <w:rPr>
                <w:rFonts w:eastAsiaTheme="minorEastAsia" w:cstheme="minorBidi"/>
                <w:b w:val="0"/>
                <w:bCs w:val="0"/>
                <w:kern w:val="2"/>
                <w:bdr w:val="none" w:sz="0" w:space="0" w:color="auto"/>
                <w:lang w:val="en-US"/>
                <w14:ligatures w14:val="standardContextual"/>
              </w:rPr>
              <w:tab/>
            </w:r>
            <w:r w:rsidR="00BF6095" w:rsidRPr="00BF6095">
              <w:rPr>
                <w:rStyle w:val="Hyperlink"/>
              </w:rPr>
              <w:t>INTRODUCCIÓN</w:t>
            </w:r>
            <w:r w:rsidR="00BF6095" w:rsidRPr="00BF6095">
              <w:rPr>
                <w:webHidden/>
              </w:rPr>
              <w:tab/>
            </w:r>
            <w:r w:rsidR="00BF6095" w:rsidRPr="00BF6095">
              <w:rPr>
                <w:webHidden/>
              </w:rPr>
              <w:fldChar w:fldCharType="begin"/>
            </w:r>
            <w:r w:rsidR="00BF6095" w:rsidRPr="00BF6095">
              <w:rPr>
                <w:webHidden/>
              </w:rPr>
              <w:instrText xml:space="preserve"> PAGEREF _Toc142398944 \h </w:instrText>
            </w:r>
            <w:r w:rsidR="00BF6095" w:rsidRPr="00BF6095">
              <w:rPr>
                <w:webHidden/>
              </w:rPr>
            </w:r>
            <w:r w:rsidR="00BF6095" w:rsidRPr="00BF6095">
              <w:rPr>
                <w:webHidden/>
              </w:rPr>
              <w:fldChar w:fldCharType="separate"/>
            </w:r>
            <w:r w:rsidR="005022C3">
              <w:rPr>
                <w:webHidden/>
              </w:rPr>
              <w:t>2</w:t>
            </w:r>
            <w:r w:rsidR="00BF6095" w:rsidRPr="00BF6095">
              <w:rPr>
                <w:webHidden/>
              </w:rPr>
              <w:fldChar w:fldCharType="end"/>
            </w:r>
          </w:hyperlink>
        </w:p>
        <w:p w14:paraId="04EB545E" w14:textId="5B166A8B" w:rsidR="00BF6095" w:rsidRPr="00BF6095" w:rsidRDefault="00BF6095">
          <w:pPr>
            <w:pStyle w:val="TOC1"/>
            <w:rPr>
              <w:rFonts w:eastAsiaTheme="minorEastAsia" w:cstheme="minorBidi"/>
              <w:b w:val="0"/>
              <w:bCs w:val="0"/>
              <w:kern w:val="2"/>
              <w:bdr w:val="none" w:sz="0" w:space="0" w:color="auto"/>
              <w:lang w:val="en-US"/>
              <w14:ligatures w14:val="standardContextual"/>
            </w:rPr>
          </w:pPr>
          <w:hyperlink w:anchor="_Toc142398945" w:history="1">
            <w:r w:rsidRPr="00BF6095">
              <w:rPr>
                <w:rStyle w:val="Hyperlink"/>
              </w:rPr>
              <w:t>II.</w:t>
            </w:r>
            <w:r w:rsidRPr="00BF6095">
              <w:rPr>
                <w:rFonts w:eastAsiaTheme="minorEastAsia" w:cstheme="minorBidi"/>
                <w:b w:val="0"/>
                <w:bCs w:val="0"/>
                <w:kern w:val="2"/>
                <w:bdr w:val="none" w:sz="0" w:space="0" w:color="auto"/>
                <w:lang w:val="en-US"/>
                <w14:ligatures w14:val="standardContextual"/>
              </w:rPr>
              <w:tab/>
            </w:r>
            <w:r w:rsidRPr="00BF6095">
              <w:rPr>
                <w:rStyle w:val="Hyperlink"/>
              </w:rPr>
              <w:t>ALEGATOS DE LAS PARTES</w:t>
            </w:r>
            <w:r w:rsidRPr="00BF6095">
              <w:rPr>
                <w:webHidden/>
              </w:rPr>
              <w:tab/>
            </w:r>
            <w:r w:rsidRPr="00BF6095">
              <w:rPr>
                <w:webHidden/>
              </w:rPr>
              <w:fldChar w:fldCharType="begin"/>
            </w:r>
            <w:r w:rsidRPr="00BF6095">
              <w:rPr>
                <w:webHidden/>
              </w:rPr>
              <w:instrText xml:space="preserve"> PAGEREF _Toc142398945 \h </w:instrText>
            </w:r>
            <w:r w:rsidRPr="00BF6095">
              <w:rPr>
                <w:webHidden/>
              </w:rPr>
            </w:r>
            <w:r w:rsidRPr="00BF6095">
              <w:rPr>
                <w:webHidden/>
              </w:rPr>
              <w:fldChar w:fldCharType="separate"/>
            </w:r>
            <w:r w:rsidR="005022C3">
              <w:rPr>
                <w:webHidden/>
              </w:rPr>
              <w:t>2</w:t>
            </w:r>
            <w:r w:rsidRPr="00BF6095">
              <w:rPr>
                <w:webHidden/>
              </w:rPr>
              <w:fldChar w:fldCharType="end"/>
            </w:r>
          </w:hyperlink>
        </w:p>
        <w:p w14:paraId="53104A07" w14:textId="21019701" w:rsidR="00BF6095" w:rsidRPr="00BF6095" w:rsidRDefault="00BF6095">
          <w:pPr>
            <w:pStyle w:val="TOC2"/>
            <w:rPr>
              <w:rFonts w:asciiTheme="majorHAnsi" w:eastAsiaTheme="minorEastAsia" w:hAnsiTheme="majorHAnsi" w:cstheme="minorBidi"/>
              <w:noProof/>
              <w:kern w:val="2"/>
              <w:sz w:val="20"/>
              <w:szCs w:val="20"/>
              <w:bdr w:val="none" w:sz="0" w:space="0" w:color="auto"/>
              <w14:ligatures w14:val="standardContextual"/>
            </w:rPr>
          </w:pPr>
          <w:hyperlink w:anchor="_Toc142398946" w:history="1">
            <w:r w:rsidRPr="00BF6095">
              <w:rPr>
                <w:rStyle w:val="Hyperlink"/>
                <w:rFonts w:asciiTheme="majorHAnsi" w:hAnsiTheme="majorHAnsi"/>
                <w:noProof/>
                <w:sz w:val="20"/>
                <w:szCs w:val="20"/>
                <w:lang w:val="es-ES_tradnl"/>
              </w:rPr>
              <w:t>A.</w:t>
            </w:r>
            <w:r w:rsidRPr="00BF6095">
              <w:rPr>
                <w:rFonts w:asciiTheme="majorHAnsi" w:eastAsiaTheme="minorEastAsia" w:hAnsiTheme="majorHAnsi" w:cstheme="minorBidi"/>
                <w:noProof/>
                <w:kern w:val="2"/>
                <w:sz w:val="20"/>
                <w:szCs w:val="20"/>
                <w:bdr w:val="none" w:sz="0" w:space="0" w:color="auto"/>
                <w14:ligatures w14:val="standardContextual"/>
              </w:rPr>
              <w:tab/>
            </w:r>
            <w:r w:rsidRPr="00BF6095">
              <w:rPr>
                <w:rStyle w:val="Hyperlink"/>
                <w:rFonts w:asciiTheme="majorHAnsi" w:hAnsiTheme="majorHAnsi"/>
                <w:noProof/>
                <w:sz w:val="20"/>
                <w:szCs w:val="20"/>
                <w:lang w:val="es-ES_tradnl"/>
              </w:rPr>
              <w:t>Parte peticionaria</w:t>
            </w:r>
            <w:r w:rsidRPr="00BF6095">
              <w:rPr>
                <w:rFonts w:asciiTheme="majorHAnsi" w:hAnsiTheme="majorHAnsi"/>
                <w:noProof/>
                <w:webHidden/>
                <w:sz w:val="20"/>
                <w:szCs w:val="20"/>
              </w:rPr>
              <w:tab/>
            </w:r>
            <w:r w:rsidRPr="00BF6095">
              <w:rPr>
                <w:rFonts w:asciiTheme="majorHAnsi" w:hAnsiTheme="majorHAnsi"/>
                <w:noProof/>
                <w:webHidden/>
                <w:sz w:val="20"/>
                <w:szCs w:val="20"/>
              </w:rPr>
              <w:fldChar w:fldCharType="begin"/>
            </w:r>
            <w:r w:rsidRPr="00BF6095">
              <w:rPr>
                <w:rFonts w:asciiTheme="majorHAnsi" w:hAnsiTheme="majorHAnsi"/>
                <w:noProof/>
                <w:webHidden/>
                <w:sz w:val="20"/>
                <w:szCs w:val="20"/>
              </w:rPr>
              <w:instrText xml:space="preserve"> PAGEREF _Toc142398946 \h </w:instrText>
            </w:r>
            <w:r w:rsidRPr="00BF6095">
              <w:rPr>
                <w:rFonts w:asciiTheme="majorHAnsi" w:hAnsiTheme="majorHAnsi"/>
                <w:noProof/>
                <w:webHidden/>
                <w:sz w:val="20"/>
                <w:szCs w:val="20"/>
              </w:rPr>
            </w:r>
            <w:r w:rsidRPr="00BF6095">
              <w:rPr>
                <w:rFonts w:asciiTheme="majorHAnsi" w:hAnsiTheme="majorHAnsi"/>
                <w:noProof/>
                <w:webHidden/>
                <w:sz w:val="20"/>
                <w:szCs w:val="20"/>
              </w:rPr>
              <w:fldChar w:fldCharType="separate"/>
            </w:r>
            <w:r w:rsidR="005022C3">
              <w:rPr>
                <w:rFonts w:asciiTheme="majorHAnsi" w:hAnsiTheme="majorHAnsi"/>
                <w:noProof/>
                <w:webHidden/>
                <w:sz w:val="20"/>
                <w:szCs w:val="20"/>
              </w:rPr>
              <w:t>2</w:t>
            </w:r>
            <w:r w:rsidRPr="00BF6095">
              <w:rPr>
                <w:rFonts w:asciiTheme="majorHAnsi" w:hAnsiTheme="majorHAnsi"/>
                <w:noProof/>
                <w:webHidden/>
                <w:sz w:val="20"/>
                <w:szCs w:val="20"/>
              </w:rPr>
              <w:fldChar w:fldCharType="end"/>
            </w:r>
          </w:hyperlink>
        </w:p>
        <w:p w14:paraId="32F4CB01" w14:textId="1BB09544" w:rsidR="00BF6095" w:rsidRPr="00BF6095" w:rsidRDefault="00BF6095">
          <w:pPr>
            <w:pStyle w:val="TOC2"/>
            <w:rPr>
              <w:rFonts w:asciiTheme="majorHAnsi" w:eastAsiaTheme="minorEastAsia" w:hAnsiTheme="majorHAnsi" w:cstheme="minorBidi"/>
              <w:noProof/>
              <w:kern w:val="2"/>
              <w:sz w:val="20"/>
              <w:szCs w:val="20"/>
              <w:bdr w:val="none" w:sz="0" w:space="0" w:color="auto"/>
              <w14:ligatures w14:val="standardContextual"/>
            </w:rPr>
          </w:pPr>
          <w:hyperlink w:anchor="_Toc142398947" w:history="1">
            <w:r w:rsidRPr="00BF6095">
              <w:rPr>
                <w:rStyle w:val="Hyperlink"/>
                <w:rFonts w:asciiTheme="majorHAnsi" w:hAnsiTheme="majorHAnsi"/>
                <w:noProof/>
                <w:sz w:val="20"/>
                <w:szCs w:val="20"/>
                <w:lang w:val="es-ES_tradnl"/>
              </w:rPr>
              <w:t>B.</w:t>
            </w:r>
            <w:r w:rsidRPr="00BF6095">
              <w:rPr>
                <w:rFonts w:asciiTheme="majorHAnsi" w:eastAsiaTheme="minorEastAsia" w:hAnsiTheme="majorHAnsi" w:cstheme="minorBidi"/>
                <w:noProof/>
                <w:kern w:val="2"/>
                <w:sz w:val="20"/>
                <w:szCs w:val="20"/>
                <w:bdr w:val="none" w:sz="0" w:space="0" w:color="auto"/>
                <w14:ligatures w14:val="standardContextual"/>
              </w:rPr>
              <w:tab/>
            </w:r>
            <w:r w:rsidRPr="00BF6095">
              <w:rPr>
                <w:rStyle w:val="Hyperlink"/>
                <w:rFonts w:asciiTheme="majorHAnsi" w:hAnsiTheme="majorHAnsi"/>
                <w:noProof/>
                <w:sz w:val="20"/>
                <w:szCs w:val="20"/>
                <w:lang w:val="es-ES_tradnl"/>
              </w:rPr>
              <w:t>Estado</w:t>
            </w:r>
            <w:r w:rsidRPr="00BF6095">
              <w:rPr>
                <w:rFonts w:asciiTheme="majorHAnsi" w:hAnsiTheme="majorHAnsi"/>
                <w:noProof/>
                <w:webHidden/>
                <w:sz w:val="20"/>
                <w:szCs w:val="20"/>
              </w:rPr>
              <w:tab/>
            </w:r>
            <w:r w:rsidRPr="00BF6095">
              <w:rPr>
                <w:rFonts w:asciiTheme="majorHAnsi" w:hAnsiTheme="majorHAnsi"/>
                <w:noProof/>
                <w:webHidden/>
                <w:sz w:val="20"/>
                <w:szCs w:val="20"/>
              </w:rPr>
              <w:fldChar w:fldCharType="begin"/>
            </w:r>
            <w:r w:rsidRPr="00BF6095">
              <w:rPr>
                <w:rFonts w:asciiTheme="majorHAnsi" w:hAnsiTheme="majorHAnsi"/>
                <w:noProof/>
                <w:webHidden/>
                <w:sz w:val="20"/>
                <w:szCs w:val="20"/>
              </w:rPr>
              <w:instrText xml:space="preserve"> PAGEREF _Toc142398947 \h </w:instrText>
            </w:r>
            <w:r w:rsidRPr="00BF6095">
              <w:rPr>
                <w:rFonts w:asciiTheme="majorHAnsi" w:hAnsiTheme="majorHAnsi"/>
                <w:noProof/>
                <w:webHidden/>
                <w:sz w:val="20"/>
                <w:szCs w:val="20"/>
              </w:rPr>
            </w:r>
            <w:r w:rsidRPr="00BF6095">
              <w:rPr>
                <w:rFonts w:asciiTheme="majorHAnsi" w:hAnsiTheme="majorHAnsi"/>
                <w:noProof/>
                <w:webHidden/>
                <w:sz w:val="20"/>
                <w:szCs w:val="20"/>
              </w:rPr>
              <w:fldChar w:fldCharType="separate"/>
            </w:r>
            <w:r w:rsidR="005022C3">
              <w:rPr>
                <w:rFonts w:asciiTheme="majorHAnsi" w:hAnsiTheme="majorHAnsi"/>
                <w:noProof/>
                <w:webHidden/>
                <w:sz w:val="20"/>
                <w:szCs w:val="20"/>
              </w:rPr>
              <w:t>4</w:t>
            </w:r>
            <w:r w:rsidRPr="00BF6095">
              <w:rPr>
                <w:rFonts w:asciiTheme="majorHAnsi" w:hAnsiTheme="majorHAnsi"/>
                <w:noProof/>
                <w:webHidden/>
                <w:sz w:val="20"/>
                <w:szCs w:val="20"/>
              </w:rPr>
              <w:fldChar w:fldCharType="end"/>
            </w:r>
          </w:hyperlink>
        </w:p>
        <w:p w14:paraId="741CC4BF" w14:textId="1F24A469" w:rsidR="00BF6095" w:rsidRPr="00BF6095" w:rsidRDefault="00BF6095">
          <w:pPr>
            <w:pStyle w:val="TOC1"/>
            <w:rPr>
              <w:rFonts w:eastAsiaTheme="minorEastAsia" w:cstheme="minorBidi"/>
              <w:b w:val="0"/>
              <w:bCs w:val="0"/>
              <w:kern w:val="2"/>
              <w:bdr w:val="none" w:sz="0" w:space="0" w:color="auto"/>
              <w:lang w:val="en-US"/>
              <w14:ligatures w14:val="standardContextual"/>
            </w:rPr>
          </w:pPr>
          <w:hyperlink w:anchor="_Toc142398948" w:history="1">
            <w:r w:rsidRPr="00BF6095">
              <w:rPr>
                <w:rStyle w:val="Hyperlink"/>
              </w:rPr>
              <w:t>III.</w:t>
            </w:r>
            <w:r w:rsidRPr="00BF6095">
              <w:rPr>
                <w:rFonts w:eastAsiaTheme="minorEastAsia" w:cstheme="minorBidi"/>
                <w:b w:val="0"/>
                <w:bCs w:val="0"/>
                <w:kern w:val="2"/>
                <w:bdr w:val="none" w:sz="0" w:space="0" w:color="auto"/>
                <w:lang w:val="en-US"/>
                <w14:ligatures w14:val="standardContextual"/>
              </w:rPr>
              <w:tab/>
            </w:r>
            <w:r w:rsidRPr="00BF6095">
              <w:rPr>
                <w:rStyle w:val="Hyperlink"/>
              </w:rPr>
              <w:t>DETERMINACIONES DE HECHO</w:t>
            </w:r>
            <w:r w:rsidRPr="00BF6095">
              <w:rPr>
                <w:webHidden/>
              </w:rPr>
              <w:tab/>
            </w:r>
            <w:r w:rsidRPr="00BF6095">
              <w:rPr>
                <w:webHidden/>
              </w:rPr>
              <w:fldChar w:fldCharType="begin"/>
            </w:r>
            <w:r w:rsidRPr="00BF6095">
              <w:rPr>
                <w:webHidden/>
              </w:rPr>
              <w:instrText xml:space="preserve"> PAGEREF _Toc142398948 \h </w:instrText>
            </w:r>
            <w:r w:rsidRPr="00BF6095">
              <w:rPr>
                <w:webHidden/>
              </w:rPr>
            </w:r>
            <w:r w:rsidRPr="00BF6095">
              <w:rPr>
                <w:webHidden/>
              </w:rPr>
              <w:fldChar w:fldCharType="separate"/>
            </w:r>
            <w:r w:rsidR="005022C3">
              <w:rPr>
                <w:webHidden/>
              </w:rPr>
              <w:t>5</w:t>
            </w:r>
            <w:r w:rsidRPr="00BF6095">
              <w:rPr>
                <w:webHidden/>
              </w:rPr>
              <w:fldChar w:fldCharType="end"/>
            </w:r>
          </w:hyperlink>
        </w:p>
        <w:p w14:paraId="0EB4B5FF" w14:textId="0CC57A2A" w:rsidR="00BF6095" w:rsidRPr="00BF6095" w:rsidRDefault="00BF6095">
          <w:pPr>
            <w:pStyle w:val="TOC2"/>
            <w:rPr>
              <w:rFonts w:asciiTheme="majorHAnsi" w:eastAsiaTheme="minorEastAsia" w:hAnsiTheme="majorHAnsi" w:cstheme="minorBidi"/>
              <w:noProof/>
              <w:kern w:val="2"/>
              <w:sz w:val="20"/>
              <w:szCs w:val="20"/>
              <w:bdr w:val="none" w:sz="0" w:space="0" w:color="auto"/>
              <w14:ligatures w14:val="standardContextual"/>
            </w:rPr>
          </w:pPr>
          <w:hyperlink w:anchor="_Toc142398949" w:history="1">
            <w:r w:rsidRPr="00BF6095">
              <w:rPr>
                <w:rStyle w:val="Hyperlink"/>
                <w:rFonts w:asciiTheme="majorHAnsi" w:hAnsiTheme="majorHAnsi"/>
                <w:noProof/>
                <w:sz w:val="20"/>
                <w:szCs w:val="20"/>
                <w:lang w:val="es-ES_tradnl"/>
              </w:rPr>
              <w:t>A.</w:t>
            </w:r>
            <w:r w:rsidRPr="00BF6095">
              <w:rPr>
                <w:rFonts w:asciiTheme="majorHAnsi" w:eastAsiaTheme="minorEastAsia" w:hAnsiTheme="majorHAnsi" w:cstheme="minorBidi"/>
                <w:noProof/>
                <w:kern w:val="2"/>
                <w:sz w:val="20"/>
                <w:szCs w:val="20"/>
                <w:bdr w:val="none" w:sz="0" w:space="0" w:color="auto"/>
                <w14:ligatures w14:val="standardContextual"/>
              </w:rPr>
              <w:tab/>
            </w:r>
            <w:r w:rsidRPr="00BF6095">
              <w:rPr>
                <w:rStyle w:val="Hyperlink"/>
                <w:rFonts w:asciiTheme="majorHAnsi" w:hAnsiTheme="majorHAnsi"/>
                <w:noProof/>
                <w:sz w:val="20"/>
                <w:szCs w:val="20"/>
                <w:lang w:val="es-ES_tradnl"/>
              </w:rPr>
              <w:t>Sobre la detención y el proceso penal seguido contra la señora Maleno</w:t>
            </w:r>
            <w:r w:rsidRPr="00BF6095">
              <w:rPr>
                <w:rFonts w:asciiTheme="majorHAnsi" w:hAnsiTheme="majorHAnsi"/>
                <w:noProof/>
                <w:webHidden/>
                <w:sz w:val="20"/>
                <w:szCs w:val="20"/>
              </w:rPr>
              <w:tab/>
            </w:r>
            <w:r w:rsidRPr="00BF6095">
              <w:rPr>
                <w:rFonts w:asciiTheme="majorHAnsi" w:hAnsiTheme="majorHAnsi"/>
                <w:noProof/>
                <w:webHidden/>
                <w:sz w:val="20"/>
                <w:szCs w:val="20"/>
              </w:rPr>
              <w:fldChar w:fldCharType="begin"/>
            </w:r>
            <w:r w:rsidRPr="00BF6095">
              <w:rPr>
                <w:rFonts w:asciiTheme="majorHAnsi" w:hAnsiTheme="majorHAnsi"/>
                <w:noProof/>
                <w:webHidden/>
                <w:sz w:val="20"/>
                <w:szCs w:val="20"/>
              </w:rPr>
              <w:instrText xml:space="preserve"> PAGEREF _Toc142398949 \h </w:instrText>
            </w:r>
            <w:r w:rsidRPr="00BF6095">
              <w:rPr>
                <w:rFonts w:asciiTheme="majorHAnsi" w:hAnsiTheme="majorHAnsi"/>
                <w:noProof/>
                <w:webHidden/>
                <w:sz w:val="20"/>
                <w:szCs w:val="20"/>
              </w:rPr>
            </w:r>
            <w:r w:rsidRPr="00BF6095">
              <w:rPr>
                <w:rFonts w:asciiTheme="majorHAnsi" w:hAnsiTheme="majorHAnsi"/>
                <w:noProof/>
                <w:webHidden/>
                <w:sz w:val="20"/>
                <w:szCs w:val="20"/>
              </w:rPr>
              <w:fldChar w:fldCharType="separate"/>
            </w:r>
            <w:r w:rsidR="005022C3">
              <w:rPr>
                <w:rFonts w:asciiTheme="majorHAnsi" w:hAnsiTheme="majorHAnsi"/>
                <w:noProof/>
                <w:webHidden/>
                <w:sz w:val="20"/>
                <w:szCs w:val="20"/>
              </w:rPr>
              <w:t>5</w:t>
            </w:r>
            <w:r w:rsidRPr="00BF6095">
              <w:rPr>
                <w:rFonts w:asciiTheme="majorHAnsi" w:hAnsiTheme="majorHAnsi"/>
                <w:noProof/>
                <w:webHidden/>
                <w:sz w:val="20"/>
                <w:szCs w:val="20"/>
              </w:rPr>
              <w:fldChar w:fldCharType="end"/>
            </w:r>
          </w:hyperlink>
        </w:p>
        <w:p w14:paraId="45B6AC9C" w14:textId="1DE18B71" w:rsidR="00BF6095" w:rsidRPr="00BF6095" w:rsidRDefault="00BF6095">
          <w:pPr>
            <w:pStyle w:val="TOC2"/>
            <w:rPr>
              <w:rFonts w:asciiTheme="majorHAnsi" w:eastAsiaTheme="minorEastAsia" w:hAnsiTheme="majorHAnsi" w:cstheme="minorBidi"/>
              <w:noProof/>
              <w:kern w:val="2"/>
              <w:sz w:val="20"/>
              <w:szCs w:val="20"/>
              <w:bdr w:val="none" w:sz="0" w:space="0" w:color="auto"/>
              <w14:ligatures w14:val="standardContextual"/>
            </w:rPr>
          </w:pPr>
          <w:hyperlink w:anchor="_Toc142398950" w:history="1">
            <w:r w:rsidRPr="00BF6095">
              <w:rPr>
                <w:rStyle w:val="Hyperlink"/>
                <w:rFonts w:asciiTheme="majorHAnsi" w:hAnsiTheme="majorHAnsi"/>
                <w:noProof/>
                <w:sz w:val="20"/>
                <w:szCs w:val="20"/>
                <w:lang w:val="es-ES_tradnl"/>
              </w:rPr>
              <w:t>B.</w:t>
            </w:r>
            <w:r w:rsidRPr="00BF6095">
              <w:rPr>
                <w:rFonts w:asciiTheme="majorHAnsi" w:eastAsiaTheme="minorEastAsia" w:hAnsiTheme="majorHAnsi" w:cstheme="minorBidi"/>
                <w:noProof/>
                <w:kern w:val="2"/>
                <w:sz w:val="20"/>
                <w:szCs w:val="20"/>
                <w:bdr w:val="none" w:sz="0" w:space="0" w:color="auto"/>
                <w14:ligatures w14:val="standardContextual"/>
              </w:rPr>
              <w:tab/>
            </w:r>
            <w:r w:rsidRPr="00BF6095">
              <w:rPr>
                <w:rStyle w:val="Hyperlink"/>
                <w:rFonts w:asciiTheme="majorHAnsi" w:hAnsiTheme="majorHAnsi"/>
                <w:noProof/>
                <w:sz w:val="20"/>
                <w:szCs w:val="20"/>
                <w:lang w:val="es-ES_tradnl"/>
              </w:rPr>
              <w:t>Sobre las condiciones carcelarias y la violación sexual contra la presunta víctima durante su detención</w:t>
            </w:r>
            <w:r w:rsidRPr="00BF6095">
              <w:rPr>
                <w:rFonts w:asciiTheme="majorHAnsi" w:hAnsiTheme="majorHAnsi"/>
                <w:noProof/>
                <w:webHidden/>
                <w:sz w:val="20"/>
                <w:szCs w:val="20"/>
              </w:rPr>
              <w:tab/>
            </w:r>
            <w:r w:rsidRPr="00BF6095">
              <w:rPr>
                <w:rFonts w:asciiTheme="majorHAnsi" w:hAnsiTheme="majorHAnsi"/>
                <w:noProof/>
                <w:webHidden/>
                <w:sz w:val="20"/>
                <w:szCs w:val="20"/>
              </w:rPr>
              <w:fldChar w:fldCharType="begin"/>
            </w:r>
            <w:r w:rsidRPr="00BF6095">
              <w:rPr>
                <w:rFonts w:asciiTheme="majorHAnsi" w:hAnsiTheme="majorHAnsi"/>
                <w:noProof/>
                <w:webHidden/>
                <w:sz w:val="20"/>
                <w:szCs w:val="20"/>
              </w:rPr>
              <w:instrText xml:space="preserve"> PAGEREF _Toc142398950 \h </w:instrText>
            </w:r>
            <w:r w:rsidRPr="00BF6095">
              <w:rPr>
                <w:rFonts w:asciiTheme="majorHAnsi" w:hAnsiTheme="majorHAnsi"/>
                <w:noProof/>
                <w:webHidden/>
                <w:sz w:val="20"/>
                <w:szCs w:val="20"/>
              </w:rPr>
            </w:r>
            <w:r w:rsidRPr="00BF6095">
              <w:rPr>
                <w:rFonts w:asciiTheme="majorHAnsi" w:hAnsiTheme="majorHAnsi"/>
                <w:noProof/>
                <w:webHidden/>
                <w:sz w:val="20"/>
                <w:szCs w:val="20"/>
              </w:rPr>
              <w:fldChar w:fldCharType="separate"/>
            </w:r>
            <w:r w:rsidR="005022C3">
              <w:rPr>
                <w:rFonts w:asciiTheme="majorHAnsi" w:hAnsiTheme="majorHAnsi"/>
                <w:noProof/>
                <w:webHidden/>
                <w:sz w:val="20"/>
                <w:szCs w:val="20"/>
              </w:rPr>
              <w:t>6</w:t>
            </w:r>
            <w:r w:rsidRPr="00BF6095">
              <w:rPr>
                <w:rFonts w:asciiTheme="majorHAnsi" w:hAnsiTheme="majorHAnsi"/>
                <w:noProof/>
                <w:webHidden/>
                <w:sz w:val="20"/>
                <w:szCs w:val="20"/>
              </w:rPr>
              <w:fldChar w:fldCharType="end"/>
            </w:r>
          </w:hyperlink>
        </w:p>
        <w:p w14:paraId="0C08C6A0" w14:textId="0B69556A" w:rsidR="00BF6095" w:rsidRPr="00BF6095" w:rsidRDefault="00BF6095">
          <w:pPr>
            <w:pStyle w:val="TOC3"/>
            <w:rPr>
              <w:rFonts w:asciiTheme="majorHAnsi" w:eastAsiaTheme="minorEastAsia" w:hAnsiTheme="majorHAnsi" w:cstheme="minorBidi"/>
              <w:noProof/>
              <w:kern w:val="2"/>
              <w:sz w:val="20"/>
              <w:szCs w:val="20"/>
              <w:bdr w:val="none" w:sz="0" w:space="0" w:color="auto"/>
              <w14:ligatures w14:val="standardContextual"/>
            </w:rPr>
          </w:pPr>
          <w:hyperlink w:anchor="_Toc142398951" w:history="1">
            <w:r w:rsidRPr="00BF6095">
              <w:rPr>
                <w:rStyle w:val="Hyperlink"/>
                <w:rFonts w:asciiTheme="majorHAnsi" w:hAnsiTheme="majorHAnsi"/>
                <w:noProof/>
                <w:sz w:val="20"/>
                <w:szCs w:val="20"/>
                <w:lang w:val="es-ES_tradnl"/>
              </w:rPr>
              <w:t>1.</w:t>
            </w:r>
            <w:r w:rsidRPr="00BF6095">
              <w:rPr>
                <w:rFonts w:asciiTheme="majorHAnsi" w:eastAsiaTheme="minorEastAsia" w:hAnsiTheme="majorHAnsi" w:cstheme="minorBidi"/>
                <w:noProof/>
                <w:kern w:val="2"/>
                <w:sz w:val="20"/>
                <w:szCs w:val="20"/>
                <w:bdr w:val="none" w:sz="0" w:space="0" w:color="auto"/>
                <w14:ligatures w14:val="standardContextual"/>
              </w:rPr>
              <w:tab/>
            </w:r>
            <w:r w:rsidRPr="00BF6095">
              <w:rPr>
                <w:rStyle w:val="Hyperlink"/>
                <w:rFonts w:asciiTheme="majorHAnsi" w:hAnsiTheme="majorHAnsi"/>
                <w:noProof/>
                <w:sz w:val="20"/>
                <w:szCs w:val="20"/>
                <w:lang w:val="es-ES_tradnl"/>
              </w:rPr>
              <w:t>Contexto de situación carcelaria en Venezuela</w:t>
            </w:r>
            <w:r w:rsidRPr="00BF6095">
              <w:rPr>
                <w:rFonts w:asciiTheme="majorHAnsi" w:hAnsiTheme="majorHAnsi"/>
                <w:noProof/>
                <w:webHidden/>
                <w:sz w:val="20"/>
                <w:szCs w:val="20"/>
              </w:rPr>
              <w:tab/>
            </w:r>
            <w:r w:rsidRPr="00BF6095">
              <w:rPr>
                <w:rFonts w:asciiTheme="majorHAnsi" w:hAnsiTheme="majorHAnsi"/>
                <w:noProof/>
                <w:webHidden/>
                <w:sz w:val="20"/>
                <w:szCs w:val="20"/>
              </w:rPr>
              <w:fldChar w:fldCharType="begin"/>
            </w:r>
            <w:r w:rsidRPr="00BF6095">
              <w:rPr>
                <w:rFonts w:asciiTheme="majorHAnsi" w:hAnsiTheme="majorHAnsi"/>
                <w:noProof/>
                <w:webHidden/>
                <w:sz w:val="20"/>
                <w:szCs w:val="20"/>
              </w:rPr>
              <w:instrText xml:space="preserve"> PAGEREF _Toc142398951 \h </w:instrText>
            </w:r>
            <w:r w:rsidRPr="00BF6095">
              <w:rPr>
                <w:rFonts w:asciiTheme="majorHAnsi" w:hAnsiTheme="majorHAnsi"/>
                <w:noProof/>
                <w:webHidden/>
                <w:sz w:val="20"/>
                <w:szCs w:val="20"/>
              </w:rPr>
            </w:r>
            <w:r w:rsidRPr="00BF6095">
              <w:rPr>
                <w:rFonts w:asciiTheme="majorHAnsi" w:hAnsiTheme="majorHAnsi"/>
                <w:noProof/>
                <w:webHidden/>
                <w:sz w:val="20"/>
                <w:szCs w:val="20"/>
              </w:rPr>
              <w:fldChar w:fldCharType="separate"/>
            </w:r>
            <w:r w:rsidR="005022C3">
              <w:rPr>
                <w:rFonts w:asciiTheme="majorHAnsi" w:hAnsiTheme="majorHAnsi"/>
                <w:noProof/>
                <w:webHidden/>
                <w:sz w:val="20"/>
                <w:szCs w:val="20"/>
              </w:rPr>
              <w:t>6</w:t>
            </w:r>
            <w:r w:rsidRPr="00BF6095">
              <w:rPr>
                <w:rFonts w:asciiTheme="majorHAnsi" w:hAnsiTheme="majorHAnsi"/>
                <w:noProof/>
                <w:webHidden/>
                <w:sz w:val="20"/>
                <w:szCs w:val="20"/>
              </w:rPr>
              <w:fldChar w:fldCharType="end"/>
            </w:r>
          </w:hyperlink>
        </w:p>
        <w:p w14:paraId="47B89575" w14:textId="57DF6AF1" w:rsidR="00BF6095" w:rsidRPr="00BF6095" w:rsidRDefault="00BF6095">
          <w:pPr>
            <w:pStyle w:val="TOC3"/>
            <w:rPr>
              <w:rFonts w:asciiTheme="majorHAnsi" w:eastAsiaTheme="minorEastAsia" w:hAnsiTheme="majorHAnsi" w:cstheme="minorBidi"/>
              <w:noProof/>
              <w:kern w:val="2"/>
              <w:sz w:val="20"/>
              <w:szCs w:val="20"/>
              <w:bdr w:val="none" w:sz="0" w:space="0" w:color="auto"/>
              <w14:ligatures w14:val="standardContextual"/>
            </w:rPr>
          </w:pPr>
          <w:hyperlink w:anchor="_Toc142398952" w:history="1">
            <w:r w:rsidRPr="00BF6095">
              <w:rPr>
                <w:rStyle w:val="Hyperlink"/>
                <w:rFonts w:asciiTheme="majorHAnsi" w:hAnsiTheme="majorHAnsi"/>
                <w:noProof/>
                <w:sz w:val="20"/>
                <w:szCs w:val="20"/>
                <w:lang w:val="es-ES_tradnl"/>
              </w:rPr>
              <w:t>2.</w:t>
            </w:r>
            <w:r w:rsidRPr="00BF6095">
              <w:rPr>
                <w:rFonts w:asciiTheme="majorHAnsi" w:eastAsiaTheme="minorEastAsia" w:hAnsiTheme="majorHAnsi" w:cstheme="minorBidi"/>
                <w:noProof/>
                <w:kern w:val="2"/>
                <w:sz w:val="20"/>
                <w:szCs w:val="20"/>
                <w:bdr w:val="none" w:sz="0" w:space="0" w:color="auto"/>
                <w14:ligatures w14:val="standardContextual"/>
              </w:rPr>
              <w:tab/>
            </w:r>
            <w:r w:rsidRPr="00BF6095">
              <w:rPr>
                <w:rStyle w:val="Hyperlink"/>
                <w:rFonts w:asciiTheme="majorHAnsi" w:hAnsiTheme="majorHAnsi"/>
                <w:noProof/>
                <w:sz w:val="20"/>
                <w:szCs w:val="20"/>
                <w:lang w:val="es-ES_tradnl"/>
              </w:rPr>
              <w:t>Condiciones carcelarias y violación sexual en el Internado Anzoátegui</w:t>
            </w:r>
            <w:r w:rsidRPr="00BF6095">
              <w:rPr>
                <w:rFonts w:asciiTheme="majorHAnsi" w:hAnsiTheme="majorHAnsi"/>
                <w:noProof/>
                <w:webHidden/>
                <w:sz w:val="20"/>
                <w:szCs w:val="20"/>
              </w:rPr>
              <w:tab/>
            </w:r>
            <w:r w:rsidRPr="00BF6095">
              <w:rPr>
                <w:rFonts w:asciiTheme="majorHAnsi" w:hAnsiTheme="majorHAnsi"/>
                <w:noProof/>
                <w:webHidden/>
                <w:sz w:val="20"/>
                <w:szCs w:val="20"/>
              </w:rPr>
              <w:fldChar w:fldCharType="begin"/>
            </w:r>
            <w:r w:rsidRPr="00BF6095">
              <w:rPr>
                <w:rFonts w:asciiTheme="majorHAnsi" w:hAnsiTheme="majorHAnsi"/>
                <w:noProof/>
                <w:webHidden/>
                <w:sz w:val="20"/>
                <w:szCs w:val="20"/>
              </w:rPr>
              <w:instrText xml:space="preserve"> PAGEREF _Toc142398952 \h </w:instrText>
            </w:r>
            <w:r w:rsidRPr="00BF6095">
              <w:rPr>
                <w:rFonts w:asciiTheme="majorHAnsi" w:hAnsiTheme="majorHAnsi"/>
                <w:noProof/>
                <w:webHidden/>
                <w:sz w:val="20"/>
                <w:szCs w:val="20"/>
              </w:rPr>
            </w:r>
            <w:r w:rsidRPr="00BF6095">
              <w:rPr>
                <w:rFonts w:asciiTheme="majorHAnsi" w:hAnsiTheme="majorHAnsi"/>
                <w:noProof/>
                <w:webHidden/>
                <w:sz w:val="20"/>
                <w:szCs w:val="20"/>
              </w:rPr>
              <w:fldChar w:fldCharType="separate"/>
            </w:r>
            <w:r w:rsidR="005022C3">
              <w:rPr>
                <w:rFonts w:asciiTheme="majorHAnsi" w:hAnsiTheme="majorHAnsi"/>
                <w:noProof/>
                <w:webHidden/>
                <w:sz w:val="20"/>
                <w:szCs w:val="20"/>
              </w:rPr>
              <w:t>8</w:t>
            </w:r>
            <w:r w:rsidRPr="00BF6095">
              <w:rPr>
                <w:rFonts w:asciiTheme="majorHAnsi" w:hAnsiTheme="majorHAnsi"/>
                <w:noProof/>
                <w:webHidden/>
                <w:sz w:val="20"/>
                <w:szCs w:val="20"/>
              </w:rPr>
              <w:fldChar w:fldCharType="end"/>
            </w:r>
          </w:hyperlink>
        </w:p>
        <w:p w14:paraId="0F4A7F3A" w14:textId="46E27B80" w:rsidR="00BF6095" w:rsidRPr="00BF6095" w:rsidRDefault="00BF6095">
          <w:pPr>
            <w:pStyle w:val="TOC3"/>
            <w:rPr>
              <w:rFonts w:asciiTheme="majorHAnsi" w:eastAsiaTheme="minorEastAsia" w:hAnsiTheme="majorHAnsi" w:cstheme="minorBidi"/>
              <w:noProof/>
              <w:kern w:val="2"/>
              <w:sz w:val="20"/>
              <w:szCs w:val="20"/>
              <w:bdr w:val="none" w:sz="0" w:space="0" w:color="auto"/>
              <w14:ligatures w14:val="standardContextual"/>
            </w:rPr>
          </w:pPr>
          <w:hyperlink w:anchor="_Toc142398953" w:history="1">
            <w:r w:rsidRPr="00BF6095">
              <w:rPr>
                <w:rStyle w:val="Hyperlink"/>
                <w:rFonts w:asciiTheme="majorHAnsi" w:hAnsiTheme="majorHAnsi"/>
                <w:noProof/>
                <w:sz w:val="20"/>
                <w:szCs w:val="20"/>
                <w:lang w:val="es-ES_tradnl"/>
              </w:rPr>
              <w:t>3.</w:t>
            </w:r>
            <w:r w:rsidRPr="00BF6095">
              <w:rPr>
                <w:rFonts w:asciiTheme="majorHAnsi" w:eastAsiaTheme="minorEastAsia" w:hAnsiTheme="majorHAnsi" w:cstheme="minorBidi"/>
                <w:noProof/>
                <w:kern w:val="2"/>
                <w:sz w:val="20"/>
                <w:szCs w:val="20"/>
                <w:bdr w:val="none" w:sz="0" w:space="0" w:color="auto"/>
                <w14:ligatures w14:val="standardContextual"/>
              </w:rPr>
              <w:tab/>
            </w:r>
            <w:r w:rsidRPr="00BF6095">
              <w:rPr>
                <w:rStyle w:val="Hyperlink"/>
                <w:rFonts w:asciiTheme="majorHAnsi" w:hAnsiTheme="majorHAnsi"/>
                <w:noProof/>
                <w:sz w:val="20"/>
                <w:szCs w:val="20"/>
                <w:lang w:val="es-ES_tradnl"/>
              </w:rPr>
              <w:t>Condiciones de detención en el Retén Policial de Lecherías</w:t>
            </w:r>
            <w:r w:rsidRPr="00BF6095">
              <w:rPr>
                <w:rFonts w:asciiTheme="majorHAnsi" w:hAnsiTheme="majorHAnsi"/>
                <w:noProof/>
                <w:webHidden/>
                <w:sz w:val="20"/>
                <w:szCs w:val="20"/>
              </w:rPr>
              <w:tab/>
            </w:r>
            <w:r w:rsidRPr="00BF6095">
              <w:rPr>
                <w:rFonts w:asciiTheme="majorHAnsi" w:hAnsiTheme="majorHAnsi"/>
                <w:noProof/>
                <w:webHidden/>
                <w:sz w:val="20"/>
                <w:szCs w:val="20"/>
              </w:rPr>
              <w:fldChar w:fldCharType="begin"/>
            </w:r>
            <w:r w:rsidRPr="00BF6095">
              <w:rPr>
                <w:rFonts w:asciiTheme="majorHAnsi" w:hAnsiTheme="majorHAnsi"/>
                <w:noProof/>
                <w:webHidden/>
                <w:sz w:val="20"/>
                <w:szCs w:val="20"/>
              </w:rPr>
              <w:instrText xml:space="preserve"> PAGEREF _Toc142398953 \h </w:instrText>
            </w:r>
            <w:r w:rsidRPr="00BF6095">
              <w:rPr>
                <w:rFonts w:asciiTheme="majorHAnsi" w:hAnsiTheme="majorHAnsi"/>
                <w:noProof/>
                <w:webHidden/>
                <w:sz w:val="20"/>
                <w:szCs w:val="20"/>
              </w:rPr>
            </w:r>
            <w:r w:rsidRPr="00BF6095">
              <w:rPr>
                <w:rFonts w:asciiTheme="majorHAnsi" w:hAnsiTheme="majorHAnsi"/>
                <w:noProof/>
                <w:webHidden/>
                <w:sz w:val="20"/>
                <w:szCs w:val="20"/>
              </w:rPr>
              <w:fldChar w:fldCharType="separate"/>
            </w:r>
            <w:r w:rsidR="005022C3">
              <w:rPr>
                <w:rFonts w:asciiTheme="majorHAnsi" w:hAnsiTheme="majorHAnsi"/>
                <w:noProof/>
                <w:webHidden/>
                <w:sz w:val="20"/>
                <w:szCs w:val="20"/>
              </w:rPr>
              <w:t>10</w:t>
            </w:r>
            <w:r w:rsidRPr="00BF6095">
              <w:rPr>
                <w:rFonts w:asciiTheme="majorHAnsi" w:hAnsiTheme="majorHAnsi"/>
                <w:noProof/>
                <w:webHidden/>
                <w:sz w:val="20"/>
                <w:szCs w:val="20"/>
              </w:rPr>
              <w:fldChar w:fldCharType="end"/>
            </w:r>
          </w:hyperlink>
        </w:p>
        <w:p w14:paraId="37FF7FC1" w14:textId="5729E650" w:rsidR="00BF6095" w:rsidRPr="00BF6095" w:rsidRDefault="00BF6095">
          <w:pPr>
            <w:pStyle w:val="TOC2"/>
            <w:rPr>
              <w:rFonts w:asciiTheme="majorHAnsi" w:eastAsiaTheme="minorEastAsia" w:hAnsiTheme="majorHAnsi" w:cstheme="minorBidi"/>
              <w:noProof/>
              <w:kern w:val="2"/>
              <w:sz w:val="20"/>
              <w:szCs w:val="20"/>
              <w:bdr w:val="none" w:sz="0" w:space="0" w:color="auto"/>
              <w14:ligatures w14:val="standardContextual"/>
            </w:rPr>
          </w:pPr>
          <w:hyperlink w:anchor="_Toc142398954" w:history="1">
            <w:r w:rsidRPr="00BF6095">
              <w:rPr>
                <w:rStyle w:val="Hyperlink"/>
                <w:rFonts w:asciiTheme="majorHAnsi" w:hAnsiTheme="majorHAnsi"/>
                <w:noProof/>
                <w:sz w:val="20"/>
                <w:szCs w:val="20"/>
                <w:lang w:val="es-ES_tradnl"/>
              </w:rPr>
              <w:t>C.</w:t>
            </w:r>
            <w:r w:rsidRPr="00BF6095">
              <w:rPr>
                <w:rFonts w:asciiTheme="majorHAnsi" w:eastAsiaTheme="minorEastAsia" w:hAnsiTheme="majorHAnsi" w:cstheme="minorBidi"/>
                <w:noProof/>
                <w:kern w:val="2"/>
                <w:sz w:val="20"/>
                <w:szCs w:val="20"/>
                <w:bdr w:val="none" w:sz="0" w:space="0" w:color="auto"/>
                <w14:ligatures w14:val="standardContextual"/>
              </w:rPr>
              <w:tab/>
            </w:r>
            <w:r w:rsidRPr="00BF6095">
              <w:rPr>
                <w:rStyle w:val="Hyperlink"/>
                <w:rFonts w:asciiTheme="majorHAnsi" w:hAnsiTheme="majorHAnsi"/>
                <w:noProof/>
                <w:sz w:val="20"/>
                <w:szCs w:val="20"/>
                <w:lang w:val="es-ES_tradnl"/>
              </w:rPr>
              <w:t>Procesos judiciales iniciados por las condiciones carcelarias y violación sexual contra la señora Maleno</w:t>
            </w:r>
            <w:r w:rsidRPr="00BF6095">
              <w:rPr>
                <w:rFonts w:asciiTheme="majorHAnsi" w:hAnsiTheme="majorHAnsi"/>
                <w:noProof/>
                <w:webHidden/>
                <w:sz w:val="20"/>
                <w:szCs w:val="20"/>
              </w:rPr>
              <w:tab/>
            </w:r>
            <w:r w:rsidRPr="00BF6095">
              <w:rPr>
                <w:rFonts w:asciiTheme="majorHAnsi" w:hAnsiTheme="majorHAnsi"/>
                <w:noProof/>
                <w:webHidden/>
                <w:sz w:val="20"/>
                <w:szCs w:val="20"/>
              </w:rPr>
              <w:fldChar w:fldCharType="begin"/>
            </w:r>
            <w:r w:rsidRPr="00BF6095">
              <w:rPr>
                <w:rFonts w:asciiTheme="majorHAnsi" w:hAnsiTheme="majorHAnsi"/>
                <w:noProof/>
                <w:webHidden/>
                <w:sz w:val="20"/>
                <w:szCs w:val="20"/>
              </w:rPr>
              <w:instrText xml:space="preserve"> PAGEREF _Toc142398954 \h </w:instrText>
            </w:r>
            <w:r w:rsidRPr="00BF6095">
              <w:rPr>
                <w:rFonts w:asciiTheme="majorHAnsi" w:hAnsiTheme="majorHAnsi"/>
                <w:noProof/>
                <w:webHidden/>
                <w:sz w:val="20"/>
                <w:szCs w:val="20"/>
              </w:rPr>
            </w:r>
            <w:r w:rsidRPr="00BF6095">
              <w:rPr>
                <w:rFonts w:asciiTheme="majorHAnsi" w:hAnsiTheme="majorHAnsi"/>
                <w:noProof/>
                <w:webHidden/>
                <w:sz w:val="20"/>
                <w:szCs w:val="20"/>
              </w:rPr>
              <w:fldChar w:fldCharType="separate"/>
            </w:r>
            <w:r w:rsidR="005022C3">
              <w:rPr>
                <w:rFonts w:asciiTheme="majorHAnsi" w:hAnsiTheme="majorHAnsi"/>
                <w:noProof/>
                <w:webHidden/>
                <w:sz w:val="20"/>
                <w:szCs w:val="20"/>
              </w:rPr>
              <w:t>10</w:t>
            </w:r>
            <w:r w:rsidRPr="00BF6095">
              <w:rPr>
                <w:rFonts w:asciiTheme="majorHAnsi" w:hAnsiTheme="majorHAnsi"/>
                <w:noProof/>
                <w:webHidden/>
                <w:sz w:val="20"/>
                <w:szCs w:val="20"/>
              </w:rPr>
              <w:fldChar w:fldCharType="end"/>
            </w:r>
          </w:hyperlink>
        </w:p>
        <w:p w14:paraId="5FD4E4FB" w14:textId="1D78AEE6" w:rsidR="00BF6095" w:rsidRPr="00BF6095" w:rsidRDefault="00BF6095">
          <w:pPr>
            <w:pStyle w:val="TOC3"/>
            <w:rPr>
              <w:rFonts w:asciiTheme="majorHAnsi" w:eastAsiaTheme="minorEastAsia" w:hAnsiTheme="majorHAnsi" w:cstheme="minorBidi"/>
              <w:noProof/>
              <w:kern w:val="2"/>
              <w:sz w:val="20"/>
              <w:szCs w:val="20"/>
              <w:bdr w:val="none" w:sz="0" w:space="0" w:color="auto"/>
              <w14:ligatures w14:val="standardContextual"/>
            </w:rPr>
          </w:pPr>
          <w:hyperlink w:anchor="_Toc142398955" w:history="1">
            <w:r w:rsidRPr="00BF6095">
              <w:rPr>
                <w:rStyle w:val="Hyperlink"/>
                <w:rFonts w:asciiTheme="majorHAnsi" w:hAnsiTheme="majorHAnsi"/>
                <w:noProof/>
                <w:sz w:val="20"/>
                <w:szCs w:val="20"/>
                <w:lang w:val="es-ES_tradnl"/>
              </w:rPr>
              <w:t>1.</w:t>
            </w:r>
            <w:r w:rsidRPr="00BF6095">
              <w:rPr>
                <w:rFonts w:asciiTheme="majorHAnsi" w:eastAsiaTheme="minorEastAsia" w:hAnsiTheme="majorHAnsi" w:cstheme="minorBidi"/>
                <w:noProof/>
                <w:kern w:val="2"/>
                <w:sz w:val="20"/>
                <w:szCs w:val="20"/>
                <w:bdr w:val="none" w:sz="0" w:space="0" w:color="auto"/>
                <w14:ligatures w14:val="standardContextual"/>
              </w:rPr>
              <w:tab/>
            </w:r>
            <w:r w:rsidRPr="00BF6095">
              <w:rPr>
                <w:rStyle w:val="Hyperlink"/>
                <w:rFonts w:asciiTheme="majorHAnsi" w:hAnsiTheme="majorHAnsi"/>
                <w:noProof/>
                <w:sz w:val="20"/>
                <w:szCs w:val="20"/>
                <w:lang w:val="es-ES_tradnl"/>
              </w:rPr>
              <w:t>Proceso penal iniciado ante la denuncia de violación sexual de la presunta víctima</w:t>
            </w:r>
            <w:r w:rsidRPr="00BF6095">
              <w:rPr>
                <w:rFonts w:asciiTheme="majorHAnsi" w:hAnsiTheme="majorHAnsi"/>
                <w:noProof/>
                <w:webHidden/>
                <w:sz w:val="20"/>
                <w:szCs w:val="20"/>
              </w:rPr>
              <w:tab/>
            </w:r>
            <w:r w:rsidRPr="00BF6095">
              <w:rPr>
                <w:rFonts w:asciiTheme="majorHAnsi" w:hAnsiTheme="majorHAnsi"/>
                <w:noProof/>
                <w:webHidden/>
                <w:sz w:val="20"/>
                <w:szCs w:val="20"/>
              </w:rPr>
              <w:fldChar w:fldCharType="begin"/>
            </w:r>
            <w:r w:rsidRPr="00BF6095">
              <w:rPr>
                <w:rFonts w:asciiTheme="majorHAnsi" w:hAnsiTheme="majorHAnsi"/>
                <w:noProof/>
                <w:webHidden/>
                <w:sz w:val="20"/>
                <w:szCs w:val="20"/>
              </w:rPr>
              <w:instrText xml:space="preserve"> PAGEREF _Toc142398955 \h </w:instrText>
            </w:r>
            <w:r w:rsidRPr="00BF6095">
              <w:rPr>
                <w:rFonts w:asciiTheme="majorHAnsi" w:hAnsiTheme="majorHAnsi"/>
                <w:noProof/>
                <w:webHidden/>
                <w:sz w:val="20"/>
                <w:szCs w:val="20"/>
              </w:rPr>
            </w:r>
            <w:r w:rsidRPr="00BF6095">
              <w:rPr>
                <w:rFonts w:asciiTheme="majorHAnsi" w:hAnsiTheme="majorHAnsi"/>
                <w:noProof/>
                <w:webHidden/>
                <w:sz w:val="20"/>
                <w:szCs w:val="20"/>
              </w:rPr>
              <w:fldChar w:fldCharType="separate"/>
            </w:r>
            <w:r w:rsidR="005022C3">
              <w:rPr>
                <w:rFonts w:asciiTheme="majorHAnsi" w:hAnsiTheme="majorHAnsi"/>
                <w:noProof/>
                <w:webHidden/>
                <w:sz w:val="20"/>
                <w:szCs w:val="20"/>
              </w:rPr>
              <w:t>10</w:t>
            </w:r>
            <w:r w:rsidRPr="00BF6095">
              <w:rPr>
                <w:rFonts w:asciiTheme="majorHAnsi" w:hAnsiTheme="majorHAnsi"/>
                <w:noProof/>
                <w:webHidden/>
                <w:sz w:val="20"/>
                <w:szCs w:val="20"/>
              </w:rPr>
              <w:fldChar w:fldCharType="end"/>
            </w:r>
          </w:hyperlink>
        </w:p>
        <w:p w14:paraId="0561512C" w14:textId="0E698C4D" w:rsidR="00BF6095" w:rsidRPr="00BF6095" w:rsidRDefault="00BF6095">
          <w:pPr>
            <w:pStyle w:val="TOC3"/>
            <w:rPr>
              <w:rFonts w:asciiTheme="majorHAnsi" w:eastAsiaTheme="minorEastAsia" w:hAnsiTheme="majorHAnsi" w:cstheme="minorBidi"/>
              <w:noProof/>
              <w:kern w:val="2"/>
              <w:sz w:val="20"/>
              <w:szCs w:val="20"/>
              <w:bdr w:val="none" w:sz="0" w:space="0" w:color="auto"/>
              <w14:ligatures w14:val="standardContextual"/>
            </w:rPr>
          </w:pPr>
          <w:hyperlink w:anchor="_Toc142398956" w:history="1">
            <w:r w:rsidRPr="00BF6095">
              <w:rPr>
                <w:rStyle w:val="Hyperlink"/>
                <w:rFonts w:asciiTheme="majorHAnsi" w:hAnsiTheme="majorHAnsi"/>
                <w:noProof/>
                <w:sz w:val="20"/>
                <w:szCs w:val="20"/>
                <w:lang w:val="es-ES_tradnl"/>
              </w:rPr>
              <w:t>2.</w:t>
            </w:r>
            <w:r w:rsidRPr="00BF6095">
              <w:rPr>
                <w:rFonts w:asciiTheme="majorHAnsi" w:eastAsiaTheme="minorEastAsia" w:hAnsiTheme="majorHAnsi" w:cstheme="minorBidi"/>
                <w:noProof/>
                <w:kern w:val="2"/>
                <w:sz w:val="20"/>
                <w:szCs w:val="20"/>
                <w:bdr w:val="none" w:sz="0" w:space="0" w:color="auto"/>
                <w14:ligatures w14:val="standardContextual"/>
              </w:rPr>
              <w:tab/>
            </w:r>
            <w:r w:rsidRPr="00BF6095">
              <w:rPr>
                <w:rStyle w:val="Hyperlink"/>
                <w:rFonts w:asciiTheme="majorHAnsi" w:hAnsiTheme="majorHAnsi"/>
                <w:noProof/>
                <w:sz w:val="20"/>
                <w:szCs w:val="20"/>
                <w:lang w:val="es-ES_tradnl"/>
              </w:rPr>
              <w:t>Proceso de amparo</w:t>
            </w:r>
            <w:r w:rsidRPr="00BF6095">
              <w:rPr>
                <w:rFonts w:asciiTheme="majorHAnsi" w:hAnsiTheme="majorHAnsi"/>
                <w:noProof/>
                <w:webHidden/>
                <w:sz w:val="20"/>
                <w:szCs w:val="20"/>
              </w:rPr>
              <w:tab/>
            </w:r>
            <w:r w:rsidRPr="00BF6095">
              <w:rPr>
                <w:rFonts w:asciiTheme="majorHAnsi" w:hAnsiTheme="majorHAnsi"/>
                <w:noProof/>
                <w:webHidden/>
                <w:sz w:val="20"/>
                <w:szCs w:val="20"/>
              </w:rPr>
              <w:fldChar w:fldCharType="begin"/>
            </w:r>
            <w:r w:rsidRPr="00BF6095">
              <w:rPr>
                <w:rFonts w:asciiTheme="majorHAnsi" w:hAnsiTheme="majorHAnsi"/>
                <w:noProof/>
                <w:webHidden/>
                <w:sz w:val="20"/>
                <w:szCs w:val="20"/>
              </w:rPr>
              <w:instrText xml:space="preserve"> PAGEREF _Toc142398956 \h </w:instrText>
            </w:r>
            <w:r w:rsidRPr="00BF6095">
              <w:rPr>
                <w:rFonts w:asciiTheme="majorHAnsi" w:hAnsiTheme="majorHAnsi"/>
                <w:noProof/>
                <w:webHidden/>
                <w:sz w:val="20"/>
                <w:szCs w:val="20"/>
              </w:rPr>
            </w:r>
            <w:r w:rsidRPr="00BF6095">
              <w:rPr>
                <w:rFonts w:asciiTheme="majorHAnsi" w:hAnsiTheme="majorHAnsi"/>
                <w:noProof/>
                <w:webHidden/>
                <w:sz w:val="20"/>
                <w:szCs w:val="20"/>
              </w:rPr>
              <w:fldChar w:fldCharType="separate"/>
            </w:r>
            <w:r w:rsidR="005022C3">
              <w:rPr>
                <w:rFonts w:asciiTheme="majorHAnsi" w:hAnsiTheme="majorHAnsi"/>
                <w:noProof/>
                <w:webHidden/>
                <w:sz w:val="20"/>
                <w:szCs w:val="20"/>
              </w:rPr>
              <w:t>12</w:t>
            </w:r>
            <w:r w:rsidRPr="00BF6095">
              <w:rPr>
                <w:rFonts w:asciiTheme="majorHAnsi" w:hAnsiTheme="majorHAnsi"/>
                <w:noProof/>
                <w:webHidden/>
                <w:sz w:val="20"/>
                <w:szCs w:val="20"/>
              </w:rPr>
              <w:fldChar w:fldCharType="end"/>
            </w:r>
          </w:hyperlink>
        </w:p>
        <w:p w14:paraId="0173AC40" w14:textId="3BA8744C" w:rsidR="00BF6095" w:rsidRPr="00BF6095" w:rsidRDefault="00BF6095">
          <w:pPr>
            <w:pStyle w:val="TOC1"/>
            <w:rPr>
              <w:rFonts w:eastAsiaTheme="minorEastAsia" w:cstheme="minorBidi"/>
              <w:b w:val="0"/>
              <w:bCs w:val="0"/>
              <w:kern w:val="2"/>
              <w:bdr w:val="none" w:sz="0" w:space="0" w:color="auto"/>
              <w:lang w:val="en-US"/>
              <w14:ligatures w14:val="standardContextual"/>
            </w:rPr>
          </w:pPr>
          <w:hyperlink w:anchor="_Toc142398957" w:history="1">
            <w:r w:rsidRPr="00BF6095">
              <w:rPr>
                <w:rStyle w:val="Hyperlink"/>
              </w:rPr>
              <w:t>IV.</w:t>
            </w:r>
            <w:r w:rsidRPr="00BF6095">
              <w:rPr>
                <w:rFonts w:eastAsiaTheme="minorEastAsia" w:cstheme="minorBidi"/>
                <w:b w:val="0"/>
                <w:bCs w:val="0"/>
                <w:kern w:val="2"/>
                <w:bdr w:val="none" w:sz="0" w:space="0" w:color="auto"/>
                <w:lang w:val="en-US"/>
                <w14:ligatures w14:val="standardContextual"/>
              </w:rPr>
              <w:tab/>
            </w:r>
            <w:r w:rsidRPr="00BF6095">
              <w:rPr>
                <w:rStyle w:val="Hyperlink"/>
              </w:rPr>
              <w:t>ANÁLISIS DE DERECHO</w:t>
            </w:r>
            <w:r w:rsidRPr="00BF6095">
              <w:rPr>
                <w:webHidden/>
              </w:rPr>
              <w:tab/>
            </w:r>
            <w:r w:rsidRPr="00BF6095">
              <w:rPr>
                <w:webHidden/>
              </w:rPr>
              <w:fldChar w:fldCharType="begin"/>
            </w:r>
            <w:r w:rsidRPr="00BF6095">
              <w:rPr>
                <w:webHidden/>
              </w:rPr>
              <w:instrText xml:space="preserve"> PAGEREF _Toc142398957 \h </w:instrText>
            </w:r>
            <w:r w:rsidRPr="00BF6095">
              <w:rPr>
                <w:webHidden/>
              </w:rPr>
            </w:r>
            <w:r w:rsidRPr="00BF6095">
              <w:rPr>
                <w:webHidden/>
              </w:rPr>
              <w:fldChar w:fldCharType="separate"/>
            </w:r>
            <w:r w:rsidR="005022C3">
              <w:rPr>
                <w:webHidden/>
              </w:rPr>
              <w:t>14</w:t>
            </w:r>
            <w:r w:rsidRPr="00BF6095">
              <w:rPr>
                <w:webHidden/>
              </w:rPr>
              <w:fldChar w:fldCharType="end"/>
            </w:r>
          </w:hyperlink>
        </w:p>
        <w:p w14:paraId="4DA3CD9E" w14:textId="4BCD6DDE" w:rsidR="00BF6095" w:rsidRPr="00BF6095" w:rsidRDefault="00BF6095">
          <w:pPr>
            <w:pStyle w:val="TOC2"/>
            <w:rPr>
              <w:rFonts w:asciiTheme="majorHAnsi" w:eastAsiaTheme="minorEastAsia" w:hAnsiTheme="majorHAnsi" w:cstheme="minorBidi"/>
              <w:noProof/>
              <w:kern w:val="2"/>
              <w:sz w:val="20"/>
              <w:szCs w:val="20"/>
              <w:bdr w:val="none" w:sz="0" w:space="0" w:color="auto"/>
              <w14:ligatures w14:val="standardContextual"/>
            </w:rPr>
          </w:pPr>
          <w:hyperlink w:anchor="_Toc142398958" w:history="1">
            <w:r w:rsidRPr="00BF6095">
              <w:rPr>
                <w:rStyle w:val="Hyperlink"/>
                <w:rFonts w:asciiTheme="majorHAnsi" w:hAnsiTheme="majorHAnsi"/>
                <w:noProof/>
                <w:sz w:val="20"/>
                <w:szCs w:val="20"/>
                <w:lang w:val="es-ES_tradnl"/>
              </w:rPr>
              <w:t>A.</w:t>
            </w:r>
            <w:r w:rsidRPr="00BF6095">
              <w:rPr>
                <w:rFonts w:asciiTheme="majorHAnsi" w:eastAsiaTheme="minorEastAsia" w:hAnsiTheme="majorHAnsi" w:cstheme="minorBidi"/>
                <w:noProof/>
                <w:kern w:val="2"/>
                <w:sz w:val="20"/>
                <w:szCs w:val="20"/>
                <w:bdr w:val="none" w:sz="0" w:space="0" w:color="auto"/>
                <w14:ligatures w14:val="standardContextual"/>
              </w:rPr>
              <w:tab/>
            </w:r>
            <w:r w:rsidRPr="00BF6095">
              <w:rPr>
                <w:rStyle w:val="Hyperlink"/>
                <w:rFonts w:asciiTheme="majorHAnsi" w:hAnsiTheme="majorHAnsi"/>
                <w:noProof/>
                <w:sz w:val="20"/>
                <w:szCs w:val="20"/>
                <w:lang w:val="es-ES_tradnl"/>
              </w:rPr>
              <w:t xml:space="preserve">Derecho a la libertad personal </w:t>
            </w:r>
            <w:r w:rsidRPr="00BF6095">
              <w:rPr>
                <w:rStyle w:val="Hyperlink"/>
                <w:rFonts w:asciiTheme="majorHAnsi" w:hAnsiTheme="majorHAnsi"/>
                <w:noProof/>
                <w:sz w:val="20"/>
                <w:szCs w:val="20"/>
                <w:lang w:val="es-ES"/>
              </w:rPr>
              <w:t>(artículo 7 de la Convención Americana en relación con los artículos 1.1 del mismo instrumento)</w:t>
            </w:r>
            <w:r w:rsidRPr="00BF6095">
              <w:rPr>
                <w:rFonts w:asciiTheme="majorHAnsi" w:hAnsiTheme="majorHAnsi"/>
                <w:noProof/>
                <w:webHidden/>
                <w:sz w:val="20"/>
                <w:szCs w:val="20"/>
              </w:rPr>
              <w:tab/>
            </w:r>
            <w:r w:rsidRPr="00BF6095">
              <w:rPr>
                <w:rFonts w:asciiTheme="majorHAnsi" w:hAnsiTheme="majorHAnsi"/>
                <w:noProof/>
                <w:webHidden/>
                <w:sz w:val="20"/>
                <w:szCs w:val="20"/>
              </w:rPr>
              <w:fldChar w:fldCharType="begin"/>
            </w:r>
            <w:r w:rsidRPr="00BF6095">
              <w:rPr>
                <w:rFonts w:asciiTheme="majorHAnsi" w:hAnsiTheme="majorHAnsi"/>
                <w:noProof/>
                <w:webHidden/>
                <w:sz w:val="20"/>
                <w:szCs w:val="20"/>
              </w:rPr>
              <w:instrText xml:space="preserve"> PAGEREF _Toc142398958 \h </w:instrText>
            </w:r>
            <w:r w:rsidRPr="00BF6095">
              <w:rPr>
                <w:rFonts w:asciiTheme="majorHAnsi" w:hAnsiTheme="majorHAnsi"/>
                <w:noProof/>
                <w:webHidden/>
                <w:sz w:val="20"/>
                <w:szCs w:val="20"/>
              </w:rPr>
            </w:r>
            <w:r w:rsidRPr="00BF6095">
              <w:rPr>
                <w:rFonts w:asciiTheme="majorHAnsi" w:hAnsiTheme="majorHAnsi"/>
                <w:noProof/>
                <w:webHidden/>
                <w:sz w:val="20"/>
                <w:szCs w:val="20"/>
              </w:rPr>
              <w:fldChar w:fldCharType="separate"/>
            </w:r>
            <w:r w:rsidR="005022C3">
              <w:rPr>
                <w:rFonts w:asciiTheme="majorHAnsi" w:hAnsiTheme="majorHAnsi"/>
                <w:noProof/>
                <w:webHidden/>
                <w:sz w:val="20"/>
                <w:szCs w:val="20"/>
              </w:rPr>
              <w:t>14</w:t>
            </w:r>
            <w:r w:rsidRPr="00BF6095">
              <w:rPr>
                <w:rFonts w:asciiTheme="majorHAnsi" w:hAnsiTheme="majorHAnsi"/>
                <w:noProof/>
                <w:webHidden/>
                <w:sz w:val="20"/>
                <w:szCs w:val="20"/>
              </w:rPr>
              <w:fldChar w:fldCharType="end"/>
            </w:r>
          </w:hyperlink>
        </w:p>
        <w:p w14:paraId="20141359" w14:textId="5476E3D0" w:rsidR="00BF6095" w:rsidRPr="00BF6095" w:rsidRDefault="00BF6095">
          <w:pPr>
            <w:pStyle w:val="TOC3"/>
            <w:rPr>
              <w:rFonts w:asciiTheme="majorHAnsi" w:eastAsiaTheme="minorEastAsia" w:hAnsiTheme="majorHAnsi" w:cstheme="minorBidi"/>
              <w:noProof/>
              <w:kern w:val="2"/>
              <w:sz w:val="20"/>
              <w:szCs w:val="20"/>
              <w:bdr w:val="none" w:sz="0" w:space="0" w:color="auto"/>
              <w14:ligatures w14:val="standardContextual"/>
            </w:rPr>
          </w:pPr>
          <w:hyperlink w:anchor="_Toc142398959" w:history="1">
            <w:r w:rsidRPr="00BF6095">
              <w:rPr>
                <w:rStyle w:val="Hyperlink"/>
                <w:rFonts w:asciiTheme="majorHAnsi" w:hAnsiTheme="majorHAnsi"/>
                <w:noProof/>
                <w:sz w:val="20"/>
                <w:szCs w:val="20"/>
                <w:lang w:val="es-ES_tradnl"/>
              </w:rPr>
              <w:t>1.</w:t>
            </w:r>
            <w:r w:rsidRPr="00BF6095">
              <w:rPr>
                <w:rFonts w:asciiTheme="majorHAnsi" w:eastAsiaTheme="minorEastAsia" w:hAnsiTheme="majorHAnsi" w:cstheme="minorBidi"/>
                <w:noProof/>
                <w:kern w:val="2"/>
                <w:sz w:val="20"/>
                <w:szCs w:val="20"/>
                <w:bdr w:val="none" w:sz="0" w:space="0" w:color="auto"/>
                <w14:ligatures w14:val="standardContextual"/>
              </w:rPr>
              <w:tab/>
            </w:r>
            <w:r w:rsidRPr="00BF6095">
              <w:rPr>
                <w:rStyle w:val="Hyperlink"/>
                <w:rFonts w:asciiTheme="majorHAnsi" w:hAnsiTheme="majorHAnsi"/>
                <w:noProof/>
                <w:sz w:val="20"/>
                <w:szCs w:val="20"/>
                <w:lang w:val="es-ES"/>
              </w:rPr>
              <w:t>El derecho a no ser privado de libertad arbitrariamente y consideraciones sobre la duración de la detención preventiva</w:t>
            </w:r>
            <w:r w:rsidRPr="00BF6095">
              <w:rPr>
                <w:rFonts w:asciiTheme="majorHAnsi" w:hAnsiTheme="majorHAnsi"/>
                <w:noProof/>
                <w:webHidden/>
                <w:sz w:val="20"/>
                <w:szCs w:val="20"/>
              </w:rPr>
              <w:tab/>
            </w:r>
            <w:r w:rsidRPr="00BF6095">
              <w:rPr>
                <w:rFonts w:asciiTheme="majorHAnsi" w:hAnsiTheme="majorHAnsi"/>
                <w:noProof/>
                <w:webHidden/>
                <w:sz w:val="20"/>
                <w:szCs w:val="20"/>
              </w:rPr>
              <w:fldChar w:fldCharType="begin"/>
            </w:r>
            <w:r w:rsidRPr="00BF6095">
              <w:rPr>
                <w:rFonts w:asciiTheme="majorHAnsi" w:hAnsiTheme="majorHAnsi"/>
                <w:noProof/>
                <w:webHidden/>
                <w:sz w:val="20"/>
                <w:szCs w:val="20"/>
              </w:rPr>
              <w:instrText xml:space="preserve"> PAGEREF _Toc142398959 \h </w:instrText>
            </w:r>
            <w:r w:rsidRPr="00BF6095">
              <w:rPr>
                <w:rFonts w:asciiTheme="majorHAnsi" w:hAnsiTheme="majorHAnsi"/>
                <w:noProof/>
                <w:webHidden/>
                <w:sz w:val="20"/>
                <w:szCs w:val="20"/>
              </w:rPr>
            </w:r>
            <w:r w:rsidRPr="00BF6095">
              <w:rPr>
                <w:rFonts w:asciiTheme="majorHAnsi" w:hAnsiTheme="majorHAnsi"/>
                <w:noProof/>
                <w:webHidden/>
                <w:sz w:val="20"/>
                <w:szCs w:val="20"/>
              </w:rPr>
              <w:fldChar w:fldCharType="separate"/>
            </w:r>
            <w:r w:rsidR="005022C3">
              <w:rPr>
                <w:rFonts w:asciiTheme="majorHAnsi" w:hAnsiTheme="majorHAnsi"/>
                <w:noProof/>
                <w:webHidden/>
                <w:sz w:val="20"/>
                <w:szCs w:val="20"/>
              </w:rPr>
              <w:t>14</w:t>
            </w:r>
            <w:r w:rsidRPr="00BF6095">
              <w:rPr>
                <w:rFonts w:asciiTheme="majorHAnsi" w:hAnsiTheme="majorHAnsi"/>
                <w:noProof/>
                <w:webHidden/>
                <w:sz w:val="20"/>
                <w:szCs w:val="20"/>
              </w:rPr>
              <w:fldChar w:fldCharType="end"/>
            </w:r>
          </w:hyperlink>
        </w:p>
        <w:p w14:paraId="3D370052" w14:textId="7953CFBB" w:rsidR="00BF6095" w:rsidRPr="00BF6095" w:rsidRDefault="00BF6095">
          <w:pPr>
            <w:pStyle w:val="TOC3"/>
            <w:rPr>
              <w:rFonts w:asciiTheme="majorHAnsi" w:eastAsiaTheme="minorEastAsia" w:hAnsiTheme="majorHAnsi" w:cstheme="minorBidi"/>
              <w:noProof/>
              <w:kern w:val="2"/>
              <w:sz w:val="20"/>
              <w:szCs w:val="20"/>
              <w:bdr w:val="none" w:sz="0" w:space="0" w:color="auto"/>
              <w14:ligatures w14:val="standardContextual"/>
            </w:rPr>
          </w:pPr>
          <w:hyperlink w:anchor="_Toc142398960" w:history="1">
            <w:r w:rsidRPr="00BF6095">
              <w:rPr>
                <w:rStyle w:val="Hyperlink"/>
                <w:rFonts w:asciiTheme="majorHAnsi" w:hAnsiTheme="majorHAnsi"/>
                <w:noProof/>
                <w:sz w:val="20"/>
                <w:szCs w:val="20"/>
                <w:lang w:val="es-ES_tradnl"/>
              </w:rPr>
              <w:t>2.</w:t>
            </w:r>
            <w:r w:rsidRPr="00BF6095">
              <w:rPr>
                <w:rFonts w:asciiTheme="majorHAnsi" w:eastAsiaTheme="minorEastAsia" w:hAnsiTheme="majorHAnsi" w:cstheme="minorBidi"/>
                <w:noProof/>
                <w:kern w:val="2"/>
                <w:sz w:val="20"/>
                <w:szCs w:val="20"/>
                <w:bdr w:val="none" w:sz="0" w:space="0" w:color="auto"/>
                <w14:ligatures w14:val="standardContextual"/>
              </w:rPr>
              <w:tab/>
            </w:r>
            <w:r w:rsidRPr="00BF6095">
              <w:rPr>
                <w:rStyle w:val="Hyperlink"/>
                <w:rFonts w:asciiTheme="majorHAnsi" w:hAnsiTheme="majorHAnsi"/>
                <w:noProof/>
                <w:sz w:val="20"/>
                <w:szCs w:val="20"/>
                <w:lang w:val="es-ES_tradnl"/>
              </w:rPr>
              <w:t>Análisis del caso</w:t>
            </w:r>
            <w:r w:rsidRPr="00BF6095">
              <w:rPr>
                <w:rFonts w:asciiTheme="majorHAnsi" w:hAnsiTheme="majorHAnsi"/>
                <w:noProof/>
                <w:webHidden/>
                <w:sz w:val="20"/>
                <w:szCs w:val="20"/>
              </w:rPr>
              <w:tab/>
            </w:r>
            <w:r w:rsidRPr="00BF6095">
              <w:rPr>
                <w:rFonts w:asciiTheme="majorHAnsi" w:hAnsiTheme="majorHAnsi"/>
                <w:noProof/>
                <w:webHidden/>
                <w:sz w:val="20"/>
                <w:szCs w:val="20"/>
              </w:rPr>
              <w:fldChar w:fldCharType="begin"/>
            </w:r>
            <w:r w:rsidRPr="00BF6095">
              <w:rPr>
                <w:rFonts w:asciiTheme="majorHAnsi" w:hAnsiTheme="majorHAnsi"/>
                <w:noProof/>
                <w:webHidden/>
                <w:sz w:val="20"/>
                <w:szCs w:val="20"/>
              </w:rPr>
              <w:instrText xml:space="preserve"> PAGEREF _Toc142398960 \h </w:instrText>
            </w:r>
            <w:r w:rsidRPr="00BF6095">
              <w:rPr>
                <w:rFonts w:asciiTheme="majorHAnsi" w:hAnsiTheme="majorHAnsi"/>
                <w:noProof/>
                <w:webHidden/>
                <w:sz w:val="20"/>
                <w:szCs w:val="20"/>
              </w:rPr>
            </w:r>
            <w:r w:rsidRPr="00BF6095">
              <w:rPr>
                <w:rFonts w:asciiTheme="majorHAnsi" w:hAnsiTheme="majorHAnsi"/>
                <w:noProof/>
                <w:webHidden/>
                <w:sz w:val="20"/>
                <w:szCs w:val="20"/>
              </w:rPr>
              <w:fldChar w:fldCharType="separate"/>
            </w:r>
            <w:r w:rsidR="005022C3">
              <w:rPr>
                <w:rFonts w:asciiTheme="majorHAnsi" w:hAnsiTheme="majorHAnsi"/>
                <w:noProof/>
                <w:webHidden/>
                <w:sz w:val="20"/>
                <w:szCs w:val="20"/>
              </w:rPr>
              <w:t>15</w:t>
            </w:r>
            <w:r w:rsidRPr="00BF6095">
              <w:rPr>
                <w:rFonts w:asciiTheme="majorHAnsi" w:hAnsiTheme="majorHAnsi"/>
                <w:noProof/>
                <w:webHidden/>
                <w:sz w:val="20"/>
                <w:szCs w:val="20"/>
              </w:rPr>
              <w:fldChar w:fldCharType="end"/>
            </w:r>
          </w:hyperlink>
        </w:p>
        <w:p w14:paraId="02140C1B" w14:textId="21391F96" w:rsidR="00BF6095" w:rsidRPr="00BF6095" w:rsidRDefault="00BF6095">
          <w:pPr>
            <w:pStyle w:val="TOC2"/>
            <w:rPr>
              <w:rFonts w:asciiTheme="majorHAnsi" w:eastAsiaTheme="minorEastAsia" w:hAnsiTheme="majorHAnsi" w:cstheme="minorBidi"/>
              <w:noProof/>
              <w:kern w:val="2"/>
              <w:sz w:val="20"/>
              <w:szCs w:val="20"/>
              <w:bdr w:val="none" w:sz="0" w:space="0" w:color="auto"/>
              <w14:ligatures w14:val="standardContextual"/>
            </w:rPr>
          </w:pPr>
          <w:hyperlink w:anchor="_Toc142398961" w:history="1">
            <w:r w:rsidRPr="00BF6095">
              <w:rPr>
                <w:rStyle w:val="Hyperlink"/>
                <w:rFonts w:asciiTheme="majorHAnsi" w:hAnsiTheme="majorHAnsi"/>
                <w:noProof/>
                <w:sz w:val="20"/>
                <w:szCs w:val="20"/>
                <w:lang w:val="es-ES_tradnl"/>
              </w:rPr>
              <w:t>B.</w:t>
            </w:r>
            <w:r w:rsidRPr="00BF6095">
              <w:rPr>
                <w:rFonts w:asciiTheme="majorHAnsi" w:eastAsiaTheme="minorEastAsia" w:hAnsiTheme="majorHAnsi" w:cstheme="minorBidi"/>
                <w:noProof/>
                <w:kern w:val="2"/>
                <w:sz w:val="20"/>
                <w:szCs w:val="20"/>
                <w:bdr w:val="none" w:sz="0" w:space="0" w:color="auto"/>
                <w14:ligatures w14:val="standardContextual"/>
              </w:rPr>
              <w:tab/>
            </w:r>
            <w:r w:rsidRPr="00BF6095">
              <w:rPr>
                <w:rStyle w:val="Hyperlink"/>
                <w:rFonts w:asciiTheme="majorHAnsi" w:hAnsiTheme="majorHAnsi"/>
                <w:noProof/>
                <w:sz w:val="20"/>
                <w:szCs w:val="20"/>
                <w:lang w:val="es-ES_tradnl"/>
              </w:rPr>
              <w:t>Derecho a las garantías judiciales (artículos 8.1 y 8.2) en relación con el artículo 1.1 de la Convención Americana en el marco del proceso penal seguido contra la presunta víctima</w:t>
            </w:r>
            <w:r w:rsidRPr="00BF6095">
              <w:rPr>
                <w:rFonts w:asciiTheme="majorHAnsi" w:hAnsiTheme="majorHAnsi"/>
                <w:noProof/>
                <w:webHidden/>
                <w:sz w:val="20"/>
                <w:szCs w:val="20"/>
              </w:rPr>
              <w:tab/>
            </w:r>
            <w:r w:rsidRPr="00BF6095">
              <w:rPr>
                <w:rFonts w:asciiTheme="majorHAnsi" w:hAnsiTheme="majorHAnsi"/>
                <w:noProof/>
                <w:webHidden/>
                <w:sz w:val="20"/>
                <w:szCs w:val="20"/>
              </w:rPr>
              <w:fldChar w:fldCharType="begin"/>
            </w:r>
            <w:r w:rsidRPr="00BF6095">
              <w:rPr>
                <w:rFonts w:asciiTheme="majorHAnsi" w:hAnsiTheme="majorHAnsi"/>
                <w:noProof/>
                <w:webHidden/>
                <w:sz w:val="20"/>
                <w:szCs w:val="20"/>
              </w:rPr>
              <w:instrText xml:space="preserve"> PAGEREF _Toc142398961 \h </w:instrText>
            </w:r>
            <w:r w:rsidRPr="00BF6095">
              <w:rPr>
                <w:rFonts w:asciiTheme="majorHAnsi" w:hAnsiTheme="majorHAnsi"/>
                <w:noProof/>
                <w:webHidden/>
                <w:sz w:val="20"/>
                <w:szCs w:val="20"/>
              </w:rPr>
            </w:r>
            <w:r w:rsidRPr="00BF6095">
              <w:rPr>
                <w:rFonts w:asciiTheme="majorHAnsi" w:hAnsiTheme="majorHAnsi"/>
                <w:noProof/>
                <w:webHidden/>
                <w:sz w:val="20"/>
                <w:szCs w:val="20"/>
              </w:rPr>
              <w:fldChar w:fldCharType="separate"/>
            </w:r>
            <w:r w:rsidR="005022C3">
              <w:rPr>
                <w:rFonts w:asciiTheme="majorHAnsi" w:hAnsiTheme="majorHAnsi"/>
                <w:noProof/>
                <w:webHidden/>
                <w:sz w:val="20"/>
                <w:szCs w:val="20"/>
              </w:rPr>
              <w:t>16</w:t>
            </w:r>
            <w:r w:rsidRPr="00BF6095">
              <w:rPr>
                <w:rFonts w:asciiTheme="majorHAnsi" w:hAnsiTheme="majorHAnsi"/>
                <w:noProof/>
                <w:webHidden/>
                <w:sz w:val="20"/>
                <w:szCs w:val="20"/>
              </w:rPr>
              <w:fldChar w:fldCharType="end"/>
            </w:r>
          </w:hyperlink>
        </w:p>
        <w:p w14:paraId="562111C4" w14:textId="1762D238" w:rsidR="00BF6095" w:rsidRPr="00BF6095" w:rsidRDefault="00BF6095">
          <w:pPr>
            <w:pStyle w:val="TOC3"/>
            <w:rPr>
              <w:rFonts w:asciiTheme="majorHAnsi" w:eastAsiaTheme="minorEastAsia" w:hAnsiTheme="majorHAnsi" w:cstheme="minorBidi"/>
              <w:noProof/>
              <w:kern w:val="2"/>
              <w:sz w:val="20"/>
              <w:szCs w:val="20"/>
              <w:bdr w:val="none" w:sz="0" w:space="0" w:color="auto"/>
              <w14:ligatures w14:val="standardContextual"/>
            </w:rPr>
          </w:pPr>
          <w:hyperlink w:anchor="_Toc142398962" w:history="1">
            <w:r w:rsidRPr="00BF6095">
              <w:rPr>
                <w:rStyle w:val="Hyperlink"/>
                <w:rFonts w:asciiTheme="majorHAnsi" w:hAnsiTheme="majorHAnsi"/>
                <w:noProof/>
                <w:sz w:val="20"/>
                <w:szCs w:val="20"/>
                <w:lang w:val="es-ES_tradnl"/>
              </w:rPr>
              <w:t>1.</w:t>
            </w:r>
            <w:r w:rsidRPr="00BF6095">
              <w:rPr>
                <w:rFonts w:asciiTheme="majorHAnsi" w:eastAsiaTheme="minorEastAsia" w:hAnsiTheme="majorHAnsi" w:cstheme="minorBidi"/>
                <w:noProof/>
                <w:kern w:val="2"/>
                <w:sz w:val="20"/>
                <w:szCs w:val="20"/>
                <w:bdr w:val="none" w:sz="0" w:space="0" w:color="auto"/>
                <w14:ligatures w14:val="standardContextual"/>
              </w:rPr>
              <w:tab/>
            </w:r>
            <w:r w:rsidRPr="00BF6095">
              <w:rPr>
                <w:rStyle w:val="Hyperlink"/>
                <w:rFonts w:asciiTheme="majorHAnsi" w:hAnsiTheme="majorHAnsi"/>
                <w:noProof/>
                <w:sz w:val="20"/>
                <w:szCs w:val="20"/>
                <w:lang w:val="es-ES_tradnl"/>
              </w:rPr>
              <w:t>Consideraciones generales sobre las garantías judiciales en el marco de un proceso penal</w:t>
            </w:r>
            <w:r w:rsidRPr="00BF6095">
              <w:rPr>
                <w:rFonts w:asciiTheme="majorHAnsi" w:hAnsiTheme="majorHAnsi"/>
                <w:noProof/>
                <w:webHidden/>
                <w:sz w:val="20"/>
                <w:szCs w:val="20"/>
              </w:rPr>
              <w:tab/>
            </w:r>
            <w:r w:rsidRPr="00BF6095">
              <w:rPr>
                <w:rFonts w:asciiTheme="majorHAnsi" w:hAnsiTheme="majorHAnsi"/>
                <w:noProof/>
                <w:webHidden/>
                <w:sz w:val="20"/>
                <w:szCs w:val="20"/>
              </w:rPr>
              <w:fldChar w:fldCharType="begin"/>
            </w:r>
            <w:r w:rsidRPr="00BF6095">
              <w:rPr>
                <w:rFonts w:asciiTheme="majorHAnsi" w:hAnsiTheme="majorHAnsi"/>
                <w:noProof/>
                <w:webHidden/>
                <w:sz w:val="20"/>
                <w:szCs w:val="20"/>
              </w:rPr>
              <w:instrText xml:space="preserve"> PAGEREF _Toc142398962 \h </w:instrText>
            </w:r>
            <w:r w:rsidRPr="00BF6095">
              <w:rPr>
                <w:rFonts w:asciiTheme="majorHAnsi" w:hAnsiTheme="majorHAnsi"/>
                <w:noProof/>
                <w:webHidden/>
                <w:sz w:val="20"/>
                <w:szCs w:val="20"/>
              </w:rPr>
            </w:r>
            <w:r w:rsidRPr="00BF6095">
              <w:rPr>
                <w:rFonts w:asciiTheme="majorHAnsi" w:hAnsiTheme="majorHAnsi"/>
                <w:noProof/>
                <w:webHidden/>
                <w:sz w:val="20"/>
                <w:szCs w:val="20"/>
              </w:rPr>
              <w:fldChar w:fldCharType="separate"/>
            </w:r>
            <w:r w:rsidR="005022C3">
              <w:rPr>
                <w:rFonts w:asciiTheme="majorHAnsi" w:hAnsiTheme="majorHAnsi"/>
                <w:noProof/>
                <w:webHidden/>
                <w:sz w:val="20"/>
                <w:szCs w:val="20"/>
              </w:rPr>
              <w:t>16</w:t>
            </w:r>
            <w:r w:rsidRPr="00BF6095">
              <w:rPr>
                <w:rFonts w:asciiTheme="majorHAnsi" w:hAnsiTheme="majorHAnsi"/>
                <w:noProof/>
                <w:webHidden/>
                <w:sz w:val="20"/>
                <w:szCs w:val="20"/>
              </w:rPr>
              <w:fldChar w:fldCharType="end"/>
            </w:r>
          </w:hyperlink>
        </w:p>
        <w:p w14:paraId="4DB3819E" w14:textId="13F19AAE" w:rsidR="00BF6095" w:rsidRPr="00BF6095" w:rsidRDefault="00BF6095">
          <w:pPr>
            <w:pStyle w:val="TOC3"/>
            <w:rPr>
              <w:rFonts w:asciiTheme="majorHAnsi" w:eastAsiaTheme="minorEastAsia" w:hAnsiTheme="majorHAnsi" w:cstheme="minorBidi"/>
              <w:noProof/>
              <w:kern w:val="2"/>
              <w:sz w:val="20"/>
              <w:szCs w:val="20"/>
              <w:bdr w:val="none" w:sz="0" w:space="0" w:color="auto"/>
              <w14:ligatures w14:val="standardContextual"/>
            </w:rPr>
          </w:pPr>
          <w:hyperlink w:anchor="_Toc142398963" w:history="1">
            <w:r w:rsidRPr="00BF6095">
              <w:rPr>
                <w:rStyle w:val="Hyperlink"/>
                <w:rFonts w:asciiTheme="majorHAnsi" w:hAnsiTheme="majorHAnsi"/>
                <w:noProof/>
                <w:sz w:val="20"/>
                <w:szCs w:val="20"/>
                <w:lang w:val="es-ES_tradnl"/>
              </w:rPr>
              <w:t>2.</w:t>
            </w:r>
            <w:r w:rsidRPr="00BF6095">
              <w:rPr>
                <w:rFonts w:asciiTheme="majorHAnsi" w:eastAsiaTheme="minorEastAsia" w:hAnsiTheme="majorHAnsi" w:cstheme="minorBidi"/>
                <w:noProof/>
                <w:kern w:val="2"/>
                <w:sz w:val="20"/>
                <w:szCs w:val="20"/>
                <w:bdr w:val="none" w:sz="0" w:space="0" w:color="auto"/>
                <w14:ligatures w14:val="standardContextual"/>
              </w:rPr>
              <w:tab/>
            </w:r>
            <w:r w:rsidRPr="00BF6095">
              <w:rPr>
                <w:rStyle w:val="Hyperlink"/>
                <w:rFonts w:asciiTheme="majorHAnsi" w:hAnsiTheme="majorHAnsi"/>
                <w:noProof/>
                <w:sz w:val="20"/>
                <w:szCs w:val="20"/>
                <w:lang w:val="es-ES_tradnl"/>
              </w:rPr>
              <w:t>Análisis del presente caso</w:t>
            </w:r>
            <w:r w:rsidRPr="00BF6095">
              <w:rPr>
                <w:rFonts w:asciiTheme="majorHAnsi" w:hAnsiTheme="majorHAnsi"/>
                <w:noProof/>
                <w:webHidden/>
                <w:sz w:val="20"/>
                <w:szCs w:val="20"/>
              </w:rPr>
              <w:tab/>
            </w:r>
            <w:r w:rsidRPr="00BF6095">
              <w:rPr>
                <w:rFonts w:asciiTheme="majorHAnsi" w:hAnsiTheme="majorHAnsi"/>
                <w:noProof/>
                <w:webHidden/>
                <w:sz w:val="20"/>
                <w:szCs w:val="20"/>
              </w:rPr>
              <w:fldChar w:fldCharType="begin"/>
            </w:r>
            <w:r w:rsidRPr="00BF6095">
              <w:rPr>
                <w:rFonts w:asciiTheme="majorHAnsi" w:hAnsiTheme="majorHAnsi"/>
                <w:noProof/>
                <w:webHidden/>
                <w:sz w:val="20"/>
                <w:szCs w:val="20"/>
              </w:rPr>
              <w:instrText xml:space="preserve"> PAGEREF _Toc142398963 \h </w:instrText>
            </w:r>
            <w:r w:rsidRPr="00BF6095">
              <w:rPr>
                <w:rFonts w:asciiTheme="majorHAnsi" w:hAnsiTheme="majorHAnsi"/>
                <w:noProof/>
                <w:webHidden/>
                <w:sz w:val="20"/>
                <w:szCs w:val="20"/>
              </w:rPr>
            </w:r>
            <w:r w:rsidRPr="00BF6095">
              <w:rPr>
                <w:rFonts w:asciiTheme="majorHAnsi" w:hAnsiTheme="majorHAnsi"/>
                <w:noProof/>
                <w:webHidden/>
                <w:sz w:val="20"/>
                <w:szCs w:val="20"/>
              </w:rPr>
              <w:fldChar w:fldCharType="separate"/>
            </w:r>
            <w:r w:rsidR="005022C3">
              <w:rPr>
                <w:rFonts w:asciiTheme="majorHAnsi" w:hAnsiTheme="majorHAnsi"/>
                <w:noProof/>
                <w:webHidden/>
                <w:sz w:val="20"/>
                <w:szCs w:val="20"/>
              </w:rPr>
              <w:t>18</w:t>
            </w:r>
            <w:r w:rsidRPr="00BF6095">
              <w:rPr>
                <w:rFonts w:asciiTheme="majorHAnsi" w:hAnsiTheme="majorHAnsi"/>
                <w:noProof/>
                <w:webHidden/>
                <w:sz w:val="20"/>
                <w:szCs w:val="20"/>
              </w:rPr>
              <w:fldChar w:fldCharType="end"/>
            </w:r>
          </w:hyperlink>
        </w:p>
        <w:p w14:paraId="7A806D13" w14:textId="25C5F7F7" w:rsidR="00BF6095" w:rsidRPr="00BF6095" w:rsidRDefault="00BF6095">
          <w:pPr>
            <w:pStyle w:val="TOC2"/>
            <w:rPr>
              <w:rFonts w:asciiTheme="majorHAnsi" w:eastAsiaTheme="minorEastAsia" w:hAnsiTheme="majorHAnsi" w:cstheme="minorBidi"/>
              <w:noProof/>
              <w:kern w:val="2"/>
              <w:sz w:val="20"/>
              <w:szCs w:val="20"/>
              <w:bdr w:val="none" w:sz="0" w:space="0" w:color="auto"/>
              <w14:ligatures w14:val="standardContextual"/>
            </w:rPr>
          </w:pPr>
          <w:hyperlink w:anchor="_Toc142398964" w:history="1">
            <w:r w:rsidRPr="00BF6095">
              <w:rPr>
                <w:rStyle w:val="Hyperlink"/>
                <w:rFonts w:asciiTheme="majorHAnsi" w:hAnsiTheme="majorHAnsi"/>
                <w:noProof/>
                <w:sz w:val="20"/>
                <w:szCs w:val="20"/>
                <w:lang w:val="es-ES_tradnl"/>
              </w:rPr>
              <w:t>C.</w:t>
            </w:r>
            <w:r w:rsidRPr="00BF6095">
              <w:rPr>
                <w:rFonts w:asciiTheme="majorHAnsi" w:eastAsiaTheme="minorEastAsia" w:hAnsiTheme="majorHAnsi" w:cstheme="minorBidi"/>
                <w:noProof/>
                <w:kern w:val="2"/>
                <w:sz w:val="20"/>
                <w:szCs w:val="20"/>
                <w:bdr w:val="none" w:sz="0" w:space="0" w:color="auto"/>
                <w14:ligatures w14:val="standardContextual"/>
              </w:rPr>
              <w:tab/>
            </w:r>
            <w:r w:rsidRPr="00BF6095">
              <w:rPr>
                <w:rStyle w:val="Hyperlink"/>
                <w:rFonts w:asciiTheme="majorHAnsi" w:hAnsiTheme="majorHAnsi"/>
                <w:noProof/>
                <w:sz w:val="20"/>
                <w:szCs w:val="20"/>
                <w:lang w:val="es-ES_tradnl"/>
              </w:rPr>
              <w:t>Derecho a la integridad (artículos 5.1, 5.2 y 5.4)</w:t>
            </w:r>
            <w:r w:rsidRPr="00BF6095">
              <w:rPr>
                <w:rStyle w:val="Hyperlink"/>
                <w:rFonts w:asciiTheme="majorHAnsi" w:hAnsiTheme="majorHAnsi"/>
                <w:noProof/>
                <w:sz w:val="20"/>
                <w:szCs w:val="20"/>
                <w:vertAlign w:val="superscript"/>
                <w:lang w:val="es-ES_tradnl"/>
              </w:rPr>
              <w:t xml:space="preserve"> </w:t>
            </w:r>
            <w:r w:rsidRPr="00BF6095">
              <w:rPr>
                <w:rStyle w:val="Hyperlink"/>
                <w:rFonts w:asciiTheme="majorHAnsi" w:hAnsiTheme="majorHAnsi"/>
                <w:noProof/>
                <w:sz w:val="20"/>
                <w:szCs w:val="20"/>
                <w:lang w:val="es-ES_tradnl"/>
              </w:rPr>
              <w:t>, garantías judiciales (artículo 8.1), a la vida privada (artículo 11), a la igualdad ante la ley (artículo 24) y el derecho de acceso a la justicia (artículo 25.1), en relación con las obligaciones de respeto y garantía de la Convención Americana (1.1), el deber de prevención y sanción de la CIPST (1, 6 y 8) y el deber de prevenir, sancionar y erradicar la violencia contra la mujer de la Convención de Belém do Pará (artículo 7)</w:t>
            </w:r>
            <w:r w:rsidRPr="00BF6095">
              <w:rPr>
                <w:rFonts w:asciiTheme="majorHAnsi" w:hAnsiTheme="majorHAnsi"/>
                <w:noProof/>
                <w:webHidden/>
                <w:sz w:val="20"/>
                <w:szCs w:val="20"/>
              </w:rPr>
              <w:tab/>
            </w:r>
            <w:r w:rsidRPr="00BF6095">
              <w:rPr>
                <w:rFonts w:asciiTheme="majorHAnsi" w:hAnsiTheme="majorHAnsi"/>
                <w:noProof/>
                <w:webHidden/>
                <w:sz w:val="20"/>
                <w:szCs w:val="20"/>
              </w:rPr>
              <w:fldChar w:fldCharType="begin"/>
            </w:r>
            <w:r w:rsidRPr="00BF6095">
              <w:rPr>
                <w:rFonts w:asciiTheme="majorHAnsi" w:hAnsiTheme="majorHAnsi"/>
                <w:noProof/>
                <w:webHidden/>
                <w:sz w:val="20"/>
                <w:szCs w:val="20"/>
              </w:rPr>
              <w:instrText xml:space="preserve"> PAGEREF _Toc142398964 \h </w:instrText>
            </w:r>
            <w:r w:rsidRPr="00BF6095">
              <w:rPr>
                <w:rFonts w:asciiTheme="majorHAnsi" w:hAnsiTheme="majorHAnsi"/>
                <w:noProof/>
                <w:webHidden/>
                <w:sz w:val="20"/>
                <w:szCs w:val="20"/>
              </w:rPr>
            </w:r>
            <w:r w:rsidRPr="00BF6095">
              <w:rPr>
                <w:rFonts w:asciiTheme="majorHAnsi" w:hAnsiTheme="majorHAnsi"/>
                <w:noProof/>
                <w:webHidden/>
                <w:sz w:val="20"/>
                <w:szCs w:val="20"/>
              </w:rPr>
              <w:fldChar w:fldCharType="separate"/>
            </w:r>
            <w:r w:rsidR="005022C3">
              <w:rPr>
                <w:rFonts w:asciiTheme="majorHAnsi" w:hAnsiTheme="majorHAnsi"/>
                <w:noProof/>
                <w:webHidden/>
                <w:sz w:val="20"/>
                <w:szCs w:val="20"/>
              </w:rPr>
              <w:t>20</w:t>
            </w:r>
            <w:r w:rsidRPr="00BF6095">
              <w:rPr>
                <w:rFonts w:asciiTheme="majorHAnsi" w:hAnsiTheme="majorHAnsi"/>
                <w:noProof/>
                <w:webHidden/>
                <w:sz w:val="20"/>
                <w:szCs w:val="20"/>
              </w:rPr>
              <w:fldChar w:fldCharType="end"/>
            </w:r>
          </w:hyperlink>
        </w:p>
        <w:p w14:paraId="2BE57A93" w14:textId="7B569087" w:rsidR="00BF6095" w:rsidRPr="00BF6095" w:rsidRDefault="00BF6095">
          <w:pPr>
            <w:pStyle w:val="TOC3"/>
            <w:rPr>
              <w:rFonts w:asciiTheme="majorHAnsi" w:eastAsiaTheme="minorEastAsia" w:hAnsiTheme="majorHAnsi" w:cstheme="minorBidi"/>
              <w:noProof/>
              <w:kern w:val="2"/>
              <w:sz w:val="20"/>
              <w:szCs w:val="20"/>
              <w:bdr w:val="none" w:sz="0" w:space="0" w:color="auto"/>
              <w14:ligatures w14:val="standardContextual"/>
            </w:rPr>
          </w:pPr>
          <w:hyperlink w:anchor="_Toc142398965" w:history="1">
            <w:r w:rsidRPr="00BF6095">
              <w:rPr>
                <w:rStyle w:val="Hyperlink"/>
                <w:rFonts w:asciiTheme="majorHAnsi" w:hAnsiTheme="majorHAnsi"/>
                <w:noProof/>
                <w:sz w:val="20"/>
                <w:szCs w:val="20"/>
                <w:lang w:val="es-ES_tradnl"/>
              </w:rPr>
              <w:t>1.</w:t>
            </w:r>
            <w:r w:rsidRPr="00BF6095">
              <w:rPr>
                <w:rFonts w:asciiTheme="majorHAnsi" w:eastAsiaTheme="minorEastAsia" w:hAnsiTheme="majorHAnsi" w:cstheme="minorBidi"/>
                <w:noProof/>
                <w:kern w:val="2"/>
                <w:sz w:val="20"/>
                <w:szCs w:val="20"/>
                <w:bdr w:val="none" w:sz="0" w:space="0" w:color="auto"/>
                <w14:ligatures w14:val="standardContextual"/>
              </w:rPr>
              <w:tab/>
            </w:r>
            <w:r w:rsidRPr="00BF6095">
              <w:rPr>
                <w:rStyle w:val="Hyperlink"/>
                <w:rFonts w:asciiTheme="majorHAnsi" w:hAnsiTheme="majorHAnsi"/>
                <w:noProof/>
                <w:sz w:val="20"/>
                <w:szCs w:val="20"/>
                <w:lang w:val="es-ES_tradnl"/>
              </w:rPr>
              <w:t>Consideraciones generales sobre las condiciones de detención, la violencia sexual y la prohibición de tortura en relación con las personas privadas de libertad</w:t>
            </w:r>
            <w:r w:rsidRPr="00BF6095">
              <w:rPr>
                <w:rFonts w:asciiTheme="majorHAnsi" w:hAnsiTheme="majorHAnsi"/>
                <w:noProof/>
                <w:webHidden/>
                <w:sz w:val="20"/>
                <w:szCs w:val="20"/>
              </w:rPr>
              <w:tab/>
            </w:r>
            <w:r w:rsidRPr="00BF6095">
              <w:rPr>
                <w:rFonts w:asciiTheme="majorHAnsi" w:hAnsiTheme="majorHAnsi"/>
                <w:noProof/>
                <w:webHidden/>
                <w:sz w:val="20"/>
                <w:szCs w:val="20"/>
              </w:rPr>
              <w:fldChar w:fldCharType="begin"/>
            </w:r>
            <w:r w:rsidRPr="00BF6095">
              <w:rPr>
                <w:rFonts w:asciiTheme="majorHAnsi" w:hAnsiTheme="majorHAnsi"/>
                <w:noProof/>
                <w:webHidden/>
                <w:sz w:val="20"/>
                <w:szCs w:val="20"/>
              </w:rPr>
              <w:instrText xml:space="preserve"> PAGEREF _Toc142398965 \h </w:instrText>
            </w:r>
            <w:r w:rsidRPr="00BF6095">
              <w:rPr>
                <w:rFonts w:asciiTheme="majorHAnsi" w:hAnsiTheme="majorHAnsi"/>
                <w:noProof/>
                <w:webHidden/>
                <w:sz w:val="20"/>
                <w:szCs w:val="20"/>
              </w:rPr>
            </w:r>
            <w:r w:rsidRPr="00BF6095">
              <w:rPr>
                <w:rFonts w:asciiTheme="majorHAnsi" w:hAnsiTheme="majorHAnsi"/>
                <w:noProof/>
                <w:webHidden/>
                <w:sz w:val="20"/>
                <w:szCs w:val="20"/>
              </w:rPr>
              <w:fldChar w:fldCharType="separate"/>
            </w:r>
            <w:r w:rsidR="005022C3">
              <w:rPr>
                <w:rFonts w:asciiTheme="majorHAnsi" w:hAnsiTheme="majorHAnsi"/>
                <w:noProof/>
                <w:webHidden/>
                <w:sz w:val="20"/>
                <w:szCs w:val="20"/>
              </w:rPr>
              <w:t>21</w:t>
            </w:r>
            <w:r w:rsidRPr="00BF6095">
              <w:rPr>
                <w:rFonts w:asciiTheme="majorHAnsi" w:hAnsiTheme="majorHAnsi"/>
                <w:noProof/>
                <w:webHidden/>
                <w:sz w:val="20"/>
                <w:szCs w:val="20"/>
              </w:rPr>
              <w:fldChar w:fldCharType="end"/>
            </w:r>
          </w:hyperlink>
        </w:p>
        <w:p w14:paraId="1D9C18DE" w14:textId="132C2D55" w:rsidR="00BF6095" w:rsidRPr="00BF6095" w:rsidRDefault="00BF6095">
          <w:pPr>
            <w:pStyle w:val="TOC3"/>
            <w:rPr>
              <w:rFonts w:asciiTheme="majorHAnsi" w:eastAsiaTheme="minorEastAsia" w:hAnsiTheme="majorHAnsi" w:cstheme="minorBidi"/>
              <w:noProof/>
              <w:kern w:val="2"/>
              <w:sz w:val="20"/>
              <w:szCs w:val="20"/>
              <w:bdr w:val="none" w:sz="0" w:space="0" w:color="auto"/>
              <w14:ligatures w14:val="standardContextual"/>
            </w:rPr>
          </w:pPr>
          <w:hyperlink w:anchor="_Toc142398966" w:history="1">
            <w:r w:rsidRPr="00BF6095">
              <w:rPr>
                <w:rStyle w:val="Hyperlink"/>
                <w:rFonts w:asciiTheme="majorHAnsi" w:hAnsiTheme="majorHAnsi"/>
                <w:noProof/>
                <w:sz w:val="20"/>
                <w:szCs w:val="20"/>
                <w:lang w:val="es-ES_tradnl"/>
              </w:rPr>
              <w:t>2.</w:t>
            </w:r>
            <w:r w:rsidRPr="00BF6095">
              <w:rPr>
                <w:rFonts w:asciiTheme="majorHAnsi" w:eastAsiaTheme="minorEastAsia" w:hAnsiTheme="majorHAnsi" w:cstheme="minorBidi"/>
                <w:noProof/>
                <w:kern w:val="2"/>
                <w:sz w:val="20"/>
                <w:szCs w:val="20"/>
                <w:bdr w:val="none" w:sz="0" w:space="0" w:color="auto"/>
                <w14:ligatures w14:val="standardContextual"/>
              </w:rPr>
              <w:tab/>
            </w:r>
            <w:r w:rsidRPr="00BF6095">
              <w:rPr>
                <w:rStyle w:val="Hyperlink"/>
                <w:rFonts w:asciiTheme="majorHAnsi" w:hAnsiTheme="majorHAnsi"/>
                <w:noProof/>
                <w:sz w:val="20"/>
                <w:szCs w:val="20"/>
                <w:lang w:val="es-ES_tradnl"/>
              </w:rPr>
              <w:t>Análisis del presente caso</w:t>
            </w:r>
            <w:r w:rsidRPr="00BF6095">
              <w:rPr>
                <w:rFonts w:asciiTheme="majorHAnsi" w:hAnsiTheme="majorHAnsi"/>
                <w:noProof/>
                <w:webHidden/>
                <w:sz w:val="20"/>
                <w:szCs w:val="20"/>
              </w:rPr>
              <w:tab/>
            </w:r>
            <w:r w:rsidRPr="00BF6095">
              <w:rPr>
                <w:rFonts w:asciiTheme="majorHAnsi" w:hAnsiTheme="majorHAnsi"/>
                <w:noProof/>
                <w:webHidden/>
                <w:sz w:val="20"/>
                <w:szCs w:val="20"/>
              </w:rPr>
              <w:fldChar w:fldCharType="begin"/>
            </w:r>
            <w:r w:rsidRPr="00BF6095">
              <w:rPr>
                <w:rFonts w:asciiTheme="majorHAnsi" w:hAnsiTheme="majorHAnsi"/>
                <w:noProof/>
                <w:webHidden/>
                <w:sz w:val="20"/>
                <w:szCs w:val="20"/>
              </w:rPr>
              <w:instrText xml:space="preserve"> PAGEREF _Toc142398966 \h </w:instrText>
            </w:r>
            <w:r w:rsidRPr="00BF6095">
              <w:rPr>
                <w:rFonts w:asciiTheme="majorHAnsi" w:hAnsiTheme="majorHAnsi"/>
                <w:noProof/>
                <w:webHidden/>
                <w:sz w:val="20"/>
                <w:szCs w:val="20"/>
              </w:rPr>
            </w:r>
            <w:r w:rsidRPr="00BF6095">
              <w:rPr>
                <w:rFonts w:asciiTheme="majorHAnsi" w:hAnsiTheme="majorHAnsi"/>
                <w:noProof/>
                <w:webHidden/>
                <w:sz w:val="20"/>
                <w:szCs w:val="20"/>
              </w:rPr>
              <w:fldChar w:fldCharType="separate"/>
            </w:r>
            <w:r w:rsidR="005022C3">
              <w:rPr>
                <w:rFonts w:asciiTheme="majorHAnsi" w:hAnsiTheme="majorHAnsi"/>
                <w:noProof/>
                <w:webHidden/>
                <w:sz w:val="20"/>
                <w:szCs w:val="20"/>
              </w:rPr>
              <w:t>26</w:t>
            </w:r>
            <w:r w:rsidRPr="00BF6095">
              <w:rPr>
                <w:rFonts w:asciiTheme="majorHAnsi" w:hAnsiTheme="majorHAnsi"/>
                <w:noProof/>
                <w:webHidden/>
                <w:sz w:val="20"/>
                <w:szCs w:val="20"/>
              </w:rPr>
              <w:fldChar w:fldCharType="end"/>
            </w:r>
          </w:hyperlink>
        </w:p>
        <w:p w14:paraId="0872D0B9" w14:textId="7684A960" w:rsidR="00BF6095" w:rsidRDefault="00BF6095">
          <w:pPr>
            <w:pStyle w:val="TOC1"/>
            <w:rPr>
              <w:rFonts w:asciiTheme="minorHAnsi" w:eastAsiaTheme="minorEastAsia" w:hAnsiTheme="minorHAnsi" w:cstheme="minorBidi"/>
              <w:b w:val="0"/>
              <w:bCs w:val="0"/>
              <w:kern w:val="2"/>
              <w:sz w:val="22"/>
              <w:szCs w:val="22"/>
              <w:bdr w:val="none" w:sz="0" w:space="0" w:color="auto"/>
              <w:lang w:val="en-US"/>
              <w14:ligatures w14:val="standardContextual"/>
            </w:rPr>
          </w:pPr>
          <w:hyperlink w:anchor="_Toc142398967" w:history="1">
            <w:r w:rsidRPr="00BF6095">
              <w:rPr>
                <w:rStyle w:val="Hyperlink"/>
              </w:rPr>
              <w:t>V.</w:t>
            </w:r>
            <w:r w:rsidRPr="00BF6095">
              <w:rPr>
                <w:rFonts w:eastAsiaTheme="minorEastAsia" w:cstheme="minorBidi"/>
                <w:b w:val="0"/>
                <w:bCs w:val="0"/>
                <w:kern w:val="2"/>
                <w:bdr w:val="none" w:sz="0" w:space="0" w:color="auto"/>
                <w:lang w:val="en-US"/>
                <w14:ligatures w14:val="standardContextual"/>
              </w:rPr>
              <w:tab/>
            </w:r>
            <w:r w:rsidRPr="00BF6095">
              <w:rPr>
                <w:rStyle w:val="Hyperlink"/>
              </w:rPr>
              <w:t>CONCLUSIONES Y RECOMENDACIONES</w:t>
            </w:r>
            <w:r w:rsidRPr="00BF6095">
              <w:rPr>
                <w:webHidden/>
              </w:rPr>
              <w:tab/>
            </w:r>
            <w:r w:rsidRPr="00BF6095">
              <w:rPr>
                <w:webHidden/>
              </w:rPr>
              <w:fldChar w:fldCharType="begin"/>
            </w:r>
            <w:r w:rsidRPr="00BF6095">
              <w:rPr>
                <w:webHidden/>
              </w:rPr>
              <w:instrText xml:space="preserve"> PAGEREF _Toc142398967 \h </w:instrText>
            </w:r>
            <w:r w:rsidRPr="00BF6095">
              <w:rPr>
                <w:webHidden/>
              </w:rPr>
            </w:r>
            <w:r w:rsidRPr="00BF6095">
              <w:rPr>
                <w:webHidden/>
              </w:rPr>
              <w:fldChar w:fldCharType="separate"/>
            </w:r>
            <w:r w:rsidR="005022C3">
              <w:rPr>
                <w:webHidden/>
              </w:rPr>
              <w:t>31</w:t>
            </w:r>
            <w:r w:rsidRPr="00BF6095">
              <w:rPr>
                <w:webHidden/>
              </w:rPr>
              <w:fldChar w:fldCharType="end"/>
            </w:r>
          </w:hyperlink>
        </w:p>
        <w:p w14:paraId="2A4A1C26" w14:textId="37BDF50A" w:rsidR="00C505E4" w:rsidRPr="00467050" w:rsidRDefault="00C505E4" w:rsidP="00176147">
          <w:pPr>
            <w:jc w:val="both"/>
            <w:rPr>
              <w:rFonts w:asciiTheme="majorHAnsi" w:hAnsiTheme="majorHAnsi"/>
              <w:sz w:val="20"/>
              <w:szCs w:val="20"/>
              <w:lang w:val="es-ES_tradnl"/>
            </w:rPr>
          </w:pPr>
          <w:r w:rsidRPr="00176147">
            <w:rPr>
              <w:rFonts w:asciiTheme="majorHAnsi" w:hAnsiTheme="majorHAnsi"/>
              <w:b/>
              <w:bCs/>
              <w:noProof/>
              <w:sz w:val="20"/>
              <w:szCs w:val="20"/>
              <w:lang w:val="es-ES_tradnl"/>
            </w:rPr>
            <w:fldChar w:fldCharType="end"/>
          </w:r>
        </w:p>
      </w:sdtContent>
    </w:sdt>
    <w:p w14:paraId="7826AC67" w14:textId="77777777" w:rsidR="008D768D" w:rsidRPr="00467050" w:rsidRDefault="008D768D" w:rsidP="00115E91">
      <w:pPr>
        <w:tabs>
          <w:tab w:val="center" w:pos="5400"/>
        </w:tabs>
        <w:suppressAutoHyphens/>
        <w:jc w:val="both"/>
        <w:rPr>
          <w:rFonts w:asciiTheme="majorHAnsi" w:hAnsiTheme="majorHAnsi"/>
          <w:sz w:val="20"/>
          <w:szCs w:val="20"/>
          <w:lang w:val="es-ES_tradnl"/>
        </w:rPr>
      </w:pPr>
    </w:p>
    <w:p w14:paraId="7EB0DA02" w14:textId="77777777" w:rsidR="00E909AA" w:rsidRDefault="00E909AA" w:rsidP="00115E91">
      <w:pPr>
        <w:suppressAutoHyphens/>
        <w:rPr>
          <w:rFonts w:asciiTheme="majorHAnsi" w:hAnsiTheme="majorHAnsi"/>
          <w:b/>
          <w:sz w:val="20"/>
          <w:szCs w:val="20"/>
          <w:lang w:val="es-ES_tradnl"/>
        </w:rPr>
      </w:pPr>
    </w:p>
    <w:p w14:paraId="61A882D3" w14:textId="77777777" w:rsidR="00467050" w:rsidRDefault="00467050" w:rsidP="00115E91">
      <w:pPr>
        <w:suppressAutoHyphens/>
        <w:rPr>
          <w:rFonts w:asciiTheme="majorHAnsi" w:hAnsiTheme="majorHAnsi"/>
          <w:b/>
          <w:sz w:val="20"/>
          <w:szCs w:val="20"/>
          <w:lang w:val="es-ES_tradnl"/>
        </w:rPr>
      </w:pPr>
    </w:p>
    <w:p w14:paraId="4B0DC10F" w14:textId="045DAC2F" w:rsidR="00115E91" w:rsidRDefault="00115E91">
      <w:pPr>
        <w:rPr>
          <w:rFonts w:asciiTheme="majorHAnsi" w:hAnsiTheme="majorHAnsi"/>
          <w:b/>
          <w:sz w:val="18"/>
          <w:szCs w:val="20"/>
          <w:lang w:val="es-ES_tradnl"/>
        </w:rPr>
      </w:pPr>
    </w:p>
    <w:p w14:paraId="0EF66D9B" w14:textId="53F49B29" w:rsidR="006E6C9C" w:rsidRPr="006E6C9C" w:rsidRDefault="00BF6095" w:rsidP="006E6C9C">
      <w:pPr>
        <w:jc w:val="center"/>
        <w:rPr>
          <w:rFonts w:ascii="Cambria" w:hAnsi="Cambria"/>
          <w:b/>
          <w:bCs/>
          <w:sz w:val="20"/>
          <w:szCs w:val="20"/>
          <w:lang w:val="es-MX"/>
        </w:rPr>
      </w:pPr>
      <w:r>
        <w:rPr>
          <w:rFonts w:ascii="Cambria" w:hAnsi="Cambria"/>
          <w:b/>
          <w:bCs/>
          <w:sz w:val="20"/>
          <w:szCs w:val="20"/>
          <w:lang w:val="es-MX"/>
        </w:rPr>
        <w:lastRenderedPageBreak/>
        <w:t>I</w:t>
      </w:r>
      <w:r w:rsidR="006E6C9C" w:rsidRPr="006E6C9C">
        <w:rPr>
          <w:rFonts w:ascii="Cambria" w:hAnsi="Cambria"/>
          <w:b/>
          <w:bCs/>
          <w:sz w:val="20"/>
          <w:szCs w:val="20"/>
          <w:lang w:val="es-MX"/>
        </w:rPr>
        <w:t xml:space="preserve">NFORME No. </w:t>
      </w:r>
      <w:r w:rsidR="006E6C9C">
        <w:rPr>
          <w:rFonts w:ascii="Cambria" w:eastAsia="Cambria" w:hAnsi="Cambria" w:cs="Cambria"/>
          <w:b/>
          <w:sz w:val="20"/>
          <w:szCs w:val="22"/>
          <w:bdr w:val="none" w:sz="0" w:space="0" w:color="auto"/>
          <w:lang w:val="es-ES"/>
        </w:rPr>
        <w:t>283</w:t>
      </w:r>
      <w:r w:rsidR="006E6C9C" w:rsidRPr="006E6C9C">
        <w:rPr>
          <w:rFonts w:ascii="Cambria" w:eastAsia="Cambria" w:hAnsi="Cambria" w:cs="Cambria"/>
          <w:b/>
          <w:sz w:val="20"/>
          <w:szCs w:val="22"/>
          <w:bdr w:val="none" w:sz="0" w:space="0" w:color="auto"/>
          <w:lang w:val="es-ES"/>
        </w:rPr>
        <w:t>/22</w:t>
      </w:r>
    </w:p>
    <w:p w14:paraId="1ED78729" w14:textId="77777777" w:rsidR="006E6C9C" w:rsidRPr="006E6C9C" w:rsidRDefault="006E6C9C" w:rsidP="006E6C9C">
      <w:pPr>
        <w:jc w:val="center"/>
        <w:rPr>
          <w:rFonts w:ascii="Cambria" w:hAnsi="Cambria"/>
          <w:b/>
          <w:bCs/>
          <w:sz w:val="20"/>
          <w:szCs w:val="20"/>
          <w:lang w:val="es-MX"/>
        </w:rPr>
      </w:pPr>
      <w:r w:rsidRPr="006E6C9C">
        <w:rPr>
          <w:rFonts w:ascii="Cambria" w:hAnsi="Cambria"/>
          <w:b/>
          <w:bCs/>
          <w:sz w:val="20"/>
          <w:szCs w:val="20"/>
          <w:lang w:val="es-MX"/>
        </w:rPr>
        <w:t>CASO 12.</w:t>
      </w:r>
      <w:r>
        <w:rPr>
          <w:rFonts w:ascii="Cambria" w:hAnsi="Cambria"/>
          <w:b/>
          <w:bCs/>
          <w:sz w:val="20"/>
          <w:szCs w:val="20"/>
          <w:lang w:val="es-MX"/>
        </w:rPr>
        <w:t>830</w:t>
      </w:r>
    </w:p>
    <w:p w14:paraId="4D68FE0B" w14:textId="44D6ED62" w:rsidR="006E6C9C" w:rsidRDefault="006E6C9C" w:rsidP="006E6C9C">
      <w:pPr>
        <w:jc w:val="center"/>
        <w:rPr>
          <w:rFonts w:ascii="Cambria" w:hAnsi="Cambria"/>
          <w:b/>
          <w:bCs/>
          <w:sz w:val="20"/>
          <w:szCs w:val="20"/>
          <w:lang w:val="es-MX"/>
        </w:rPr>
      </w:pPr>
      <w:r w:rsidRPr="006E6C9C">
        <w:rPr>
          <w:rFonts w:ascii="Cambria" w:hAnsi="Cambria"/>
          <w:b/>
          <w:bCs/>
          <w:sz w:val="20"/>
          <w:szCs w:val="20"/>
          <w:lang w:val="es-MX"/>
        </w:rPr>
        <w:t>FONDO</w:t>
      </w:r>
    </w:p>
    <w:p w14:paraId="4FE6D725" w14:textId="77777777" w:rsidR="006E6C9C" w:rsidRPr="006E6C9C" w:rsidRDefault="006E6C9C" w:rsidP="006E6C9C">
      <w:pPr>
        <w:jc w:val="center"/>
        <w:rPr>
          <w:rFonts w:ascii="Cambria" w:hAnsi="Cambria"/>
          <w:b/>
          <w:bCs/>
          <w:sz w:val="20"/>
          <w:szCs w:val="20"/>
          <w:lang w:val="es-MX"/>
        </w:rPr>
      </w:pPr>
      <w:r>
        <w:rPr>
          <w:rFonts w:asciiTheme="majorHAnsi" w:eastAsia="Times New Roman" w:hAnsiTheme="majorHAnsi" w:cs="Arial"/>
          <w:b/>
          <w:bCs/>
          <w:color w:val="0D0D0D" w:themeColor="text1" w:themeTint="F2"/>
          <w:sz w:val="20"/>
          <w:szCs w:val="20"/>
          <w:bdr w:val="none" w:sz="0" w:space="0" w:color="auto"/>
          <w:lang w:val="es-VE" w:eastAsia="es-MX"/>
        </w:rPr>
        <w:t>DIANORA MALENO</w:t>
      </w:r>
    </w:p>
    <w:p w14:paraId="65D8768A" w14:textId="77777777" w:rsidR="006E6C9C" w:rsidRPr="006E6C9C" w:rsidRDefault="006E6C9C" w:rsidP="006E6C9C">
      <w:pPr>
        <w:tabs>
          <w:tab w:val="center" w:pos="5400"/>
        </w:tabs>
        <w:suppressAutoHyphens/>
        <w:spacing w:line="276" w:lineRule="auto"/>
        <w:jc w:val="center"/>
        <w:rPr>
          <w:rFonts w:ascii="Cambria" w:eastAsia="Cambria" w:hAnsi="Cambria" w:cs="Cambria"/>
          <w:b/>
          <w:bCs/>
          <w:spacing w:val="-2"/>
          <w:sz w:val="20"/>
          <w:szCs w:val="20"/>
          <w:bdr w:val="none" w:sz="0" w:space="0" w:color="auto"/>
          <w:lang w:val="es-VE"/>
        </w:rPr>
      </w:pPr>
      <w:r>
        <w:rPr>
          <w:rFonts w:ascii="Cambria" w:eastAsia="Cambria" w:hAnsi="Cambria" w:cs="Cambria"/>
          <w:b/>
          <w:bCs/>
          <w:spacing w:val="-2"/>
          <w:sz w:val="20"/>
          <w:szCs w:val="20"/>
          <w:bdr w:val="none" w:sz="0" w:space="0" w:color="auto"/>
          <w:lang w:val="es-VE"/>
        </w:rPr>
        <w:t>VENEZUELA</w:t>
      </w:r>
    </w:p>
    <w:p w14:paraId="69B42F8B" w14:textId="77777777" w:rsidR="00E93E88" w:rsidRPr="00AC5261" w:rsidRDefault="00E93E88" w:rsidP="00115E91">
      <w:pPr>
        <w:tabs>
          <w:tab w:val="center" w:pos="5400"/>
        </w:tabs>
        <w:suppressAutoHyphens/>
        <w:jc w:val="center"/>
        <w:rPr>
          <w:rFonts w:asciiTheme="majorHAnsi" w:hAnsiTheme="majorHAnsi"/>
          <w:sz w:val="18"/>
          <w:szCs w:val="20"/>
          <w:lang w:val="es-ES_tradnl"/>
        </w:rPr>
      </w:pPr>
    </w:p>
    <w:p w14:paraId="4090D232" w14:textId="140F4888" w:rsidR="00D12193" w:rsidRPr="004B114F" w:rsidRDefault="00467A4A" w:rsidP="004B114F">
      <w:pPr>
        <w:pStyle w:val="Heading1"/>
        <w:rPr>
          <w:szCs w:val="20"/>
          <w:lang w:val="es-ES_tradnl"/>
        </w:rPr>
      </w:pPr>
      <w:bookmarkStart w:id="2" w:name="_Toc142398944"/>
      <w:r>
        <w:rPr>
          <w:szCs w:val="20"/>
          <w:lang w:val="es-ES_tradnl"/>
        </w:rPr>
        <w:t>INTRODUCCIÓN</w:t>
      </w:r>
      <w:bookmarkEnd w:id="2"/>
    </w:p>
    <w:p w14:paraId="0EDC94D2" w14:textId="77777777" w:rsidR="005C4CA5" w:rsidRPr="004B114F" w:rsidRDefault="005C4CA5" w:rsidP="004B114F">
      <w:pPr>
        <w:suppressAutoHyphens/>
        <w:ind w:left="360"/>
        <w:rPr>
          <w:rFonts w:asciiTheme="majorHAnsi" w:hAnsiTheme="majorHAnsi"/>
          <w:b/>
          <w:sz w:val="20"/>
          <w:szCs w:val="20"/>
          <w:lang w:val="es-ES_tradnl"/>
        </w:rPr>
      </w:pPr>
    </w:p>
    <w:p w14:paraId="3F45E8CC" w14:textId="1F06A26A" w:rsidR="009014A4" w:rsidRPr="004B114F" w:rsidRDefault="005C4CA5" w:rsidP="07C31400">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630"/>
        <w:jc w:val="both"/>
        <w:rPr>
          <w:rFonts w:asciiTheme="majorHAnsi" w:hAnsiTheme="majorHAnsi"/>
          <w:color w:val="000000" w:themeColor="text1"/>
          <w:sz w:val="20"/>
          <w:szCs w:val="20"/>
          <w:lang w:val="es-ES"/>
        </w:rPr>
      </w:pPr>
      <w:r w:rsidRPr="07C31400">
        <w:rPr>
          <w:rFonts w:asciiTheme="majorHAnsi" w:hAnsiTheme="majorHAnsi"/>
          <w:color w:val="000000" w:themeColor="text1"/>
          <w:sz w:val="20"/>
          <w:szCs w:val="20"/>
          <w:lang w:val="es-ES"/>
        </w:rPr>
        <w:t xml:space="preserve">El </w:t>
      </w:r>
      <w:r w:rsidR="00194939" w:rsidRPr="07C31400">
        <w:rPr>
          <w:rFonts w:asciiTheme="majorHAnsi" w:hAnsiTheme="majorHAnsi"/>
          <w:color w:val="000000" w:themeColor="text1"/>
          <w:sz w:val="20"/>
          <w:szCs w:val="20"/>
          <w:lang w:val="es-ES"/>
        </w:rPr>
        <w:t xml:space="preserve">29 de mayo </w:t>
      </w:r>
      <w:r w:rsidR="00BE7D0F" w:rsidRPr="07C31400">
        <w:rPr>
          <w:rFonts w:asciiTheme="majorHAnsi" w:hAnsiTheme="majorHAnsi"/>
          <w:color w:val="000000" w:themeColor="text1"/>
          <w:sz w:val="20"/>
          <w:szCs w:val="20"/>
          <w:lang w:val="es-ES"/>
        </w:rPr>
        <w:t>d</w:t>
      </w:r>
      <w:r w:rsidR="00194939" w:rsidRPr="07C31400">
        <w:rPr>
          <w:rFonts w:asciiTheme="majorHAnsi" w:hAnsiTheme="majorHAnsi"/>
          <w:color w:val="000000" w:themeColor="text1"/>
          <w:sz w:val="20"/>
          <w:szCs w:val="20"/>
          <w:lang w:val="es-ES"/>
        </w:rPr>
        <w:t>e 2006</w:t>
      </w:r>
      <w:r w:rsidRPr="07C31400">
        <w:rPr>
          <w:rFonts w:asciiTheme="majorHAnsi" w:hAnsiTheme="majorHAnsi"/>
          <w:color w:val="000000" w:themeColor="text1"/>
          <w:sz w:val="20"/>
          <w:szCs w:val="20"/>
          <w:lang w:val="es-ES"/>
        </w:rPr>
        <w:t xml:space="preserve"> la Comisión Interamericana de Derechos Humanos (en adelante “la Comisión Interamericana”, “la Comisión” o “la CIDH”) recibió una petición presentada por </w:t>
      </w:r>
      <w:r w:rsidR="00194939" w:rsidRPr="07C31400">
        <w:rPr>
          <w:rFonts w:asciiTheme="majorHAnsi" w:hAnsiTheme="majorHAnsi"/>
          <w:color w:val="000000" w:themeColor="text1"/>
          <w:sz w:val="20"/>
          <w:szCs w:val="20"/>
          <w:lang w:val="es-ES"/>
        </w:rPr>
        <w:t>la organización “Hogares sin Violencia” (</w:t>
      </w:r>
      <w:r w:rsidRPr="07C31400">
        <w:rPr>
          <w:rFonts w:asciiTheme="majorHAnsi" w:hAnsiTheme="majorHAnsi"/>
          <w:color w:val="000000" w:themeColor="text1"/>
          <w:sz w:val="20"/>
          <w:szCs w:val="20"/>
          <w:lang w:val="es-ES"/>
        </w:rPr>
        <w:t>en adelante “la parte peticionaria”</w:t>
      </w:r>
      <w:r w:rsidR="00194939" w:rsidRPr="07C31400">
        <w:rPr>
          <w:rFonts w:asciiTheme="majorHAnsi" w:hAnsiTheme="majorHAnsi"/>
          <w:color w:val="000000" w:themeColor="text1"/>
          <w:sz w:val="20"/>
          <w:szCs w:val="20"/>
          <w:lang w:val="es-ES"/>
        </w:rPr>
        <w:t xml:space="preserve"> o “l</w:t>
      </w:r>
      <w:r w:rsidR="00BE7D0F" w:rsidRPr="07C31400">
        <w:rPr>
          <w:rFonts w:asciiTheme="majorHAnsi" w:hAnsiTheme="majorHAnsi"/>
          <w:color w:val="000000" w:themeColor="text1"/>
          <w:sz w:val="20"/>
          <w:szCs w:val="20"/>
          <w:lang w:val="es-ES"/>
        </w:rPr>
        <w:t>a</w:t>
      </w:r>
      <w:r w:rsidR="00194939" w:rsidRPr="07C31400">
        <w:rPr>
          <w:rFonts w:asciiTheme="majorHAnsi" w:hAnsiTheme="majorHAnsi"/>
          <w:color w:val="000000" w:themeColor="text1"/>
          <w:sz w:val="20"/>
          <w:szCs w:val="20"/>
          <w:lang w:val="es-ES"/>
        </w:rPr>
        <w:t xml:space="preserve"> peticionari</w:t>
      </w:r>
      <w:r w:rsidR="00BE7D0F" w:rsidRPr="07C31400">
        <w:rPr>
          <w:rFonts w:asciiTheme="majorHAnsi" w:hAnsiTheme="majorHAnsi"/>
          <w:color w:val="000000" w:themeColor="text1"/>
          <w:sz w:val="20"/>
          <w:szCs w:val="20"/>
          <w:lang w:val="es-ES"/>
        </w:rPr>
        <w:t>a</w:t>
      </w:r>
      <w:r w:rsidR="00194939" w:rsidRPr="07C31400">
        <w:rPr>
          <w:rFonts w:asciiTheme="majorHAnsi" w:hAnsiTheme="majorHAnsi"/>
          <w:color w:val="000000" w:themeColor="text1"/>
          <w:sz w:val="20"/>
          <w:szCs w:val="20"/>
          <w:lang w:val="es-ES"/>
        </w:rPr>
        <w:t>”</w:t>
      </w:r>
      <w:r w:rsidRPr="07C31400">
        <w:rPr>
          <w:rFonts w:asciiTheme="majorHAnsi" w:hAnsiTheme="majorHAnsi"/>
          <w:color w:val="000000" w:themeColor="text1"/>
          <w:sz w:val="20"/>
          <w:szCs w:val="20"/>
          <w:lang w:val="es-ES"/>
        </w:rPr>
        <w:t>)</w:t>
      </w:r>
      <w:r w:rsidR="00BE7D0F" w:rsidRPr="07C31400">
        <w:rPr>
          <w:rFonts w:asciiTheme="majorHAnsi" w:hAnsiTheme="majorHAnsi"/>
          <w:color w:val="000000" w:themeColor="text1"/>
          <w:sz w:val="20"/>
          <w:szCs w:val="20"/>
          <w:lang w:val="es-ES"/>
        </w:rPr>
        <w:t>. E</w:t>
      </w:r>
      <w:r w:rsidRPr="07C31400">
        <w:rPr>
          <w:rFonts w:asciiTheme="majorHAnsi" w:hAnsiTheme="majorHAnsi"/>
          <w:color w:val="000000" w:themeColor="text1"/>
          <w:sz w:val="20"/>
          <w:szCs w:val="20"/>
          <w:lang w:val="es-ES"/>
        </w:rPr>
        <w:t>n la</w:t>
      </w:r>
      <w:r w:rsidR="00BE7D0F" w:rsidRPr="07C31400">
        <w:rPr>
          <w:rFonts w:asciiTheme="majorHAnsi" w:hAnsiTheme="majorHAnsi"/>
          <w:color w:val="000000" w:themeColor="text1"/>
          <w:sz w:val="20"/>
          <w:szCs w:val="20"/>
          <w:lang w:val="es-ES"/>
        </w:rPr>
        <w:t xml:space="preserve"> petición</w:t>
      </w:r>
      <w:r w:rsidRPr="07C31400">
        <w:rPr>
          <w:rFonts w:asciiTheme="majorHAnsi" w:hAnsiTheme="majorHAnsi"/>
          <w:color w:val="000000" w:themeColor="text1"/>
          <w:sz w:val="20"/>
          <w:szCs w:val="20"/>
          <w:lang w:val="es-ES"/>
        </w:rPr>
        <w:t xml:space="preserve"> se aleg</w:t>
      </w:r>
      <w:r w:rsidR="00BE7D0F" w:rsidRPr="07C31400">
        <w:rPr>
          <w:rFonts w:asciiTheme="majorHAnsi" w:hAnsiTheme="majorHAnsi"/>
          <w:color w:val="000000" w:themeColor="text1"/>
          <w:sz w:val="20"/>
          <w:szCs w:val="20"/>
          <w:lang w:val="es-ES"/>
        </w:rPr>
        <w:t>ó</w:t>
      </w:r>
      <w:r w:rsidRPr="07C31400">
        <w:rPr>
          <w:rFonts w:asciiTheme="majorHAnsi" w:hAnsiTheme="majorHAnsi"/>
          <w:color w:val="000000" w:themeColor="text1"/>
          <w:sz w:val="20"/>
          <w:szCs w:val="20"/>
          <w:lang w:val="es-ES"/>
        </w:rPr>
        <w:t xml:space="preserve"> la responsabilidad internacional de </w:t>
      </w:r>
      <w:r w:rsidR="00DE775A" w:rsidRPr="07C31400">
        <w:rPr>
          <w:rFonts w:asciiTheme="majorHAnsi" w:hAnsiTheme="majorHAnsi"/>
          <w:color w:val="000000" w:themeColor="text1"/>
          <w:sz w:val="20"/>
          <w:szCs w:val="20"/>
          <w:lang w:val="es-ES"/>
        </w:rPr>
        <w:t>la República</w:t>
      </w:r>
      <w:r w:rsidR="00194939" w:rsidRPr="07C31400">
        <w:rPr>
          <w:rFonts w:asciiTheme="majorHAnsi" w:hAnsiTheme="majorHAnsi"/>
          <w:color w:val="000000" w:themeColor="text1"/>
          <w:sz w:val="20"/>
          <w:szCs w:val="20"/>
          <w:lang w:val="es-ES"/>
        </w:rPr>
        <w:t xml:space="preserve"> Bolivariana de Venezuela</w:t>
      </w:r>
      <w:r w:rsidRPr="07C31400">
        <w:rPr>
          <w:rFonts w:asciiTheme="majorHAnsi" w:hAnsiTheme="majorHAnsi"/>
          <w:color w:val="000000" w:themeColor="text1"/>
          <w:sz w:val="20"/>
          <w:szCs w:val="20"/>
          <w:lang w:val="es-ES"/>
        </w:rPr>
        <w:t xml:space="preserve"> </w:t>
      </w:r>
      <w:r w:rsidR="00194939" w:rsidRPr="07C31400">
        <w:rPr>
          <w:rFonts w:asciiTheme="majorHAnsi" w:hAnsiTheme="majorHAnsi"/>
          <w:color w:val="000000" w:themeColor="text1"/>
          <w:sz w:val="20"/>
          <w:szCs w:val="20"/>
          <w:lang w:val="es-ES"/>
        </w:rPr>
        <w:t>(en adelante “el Estado Venezolano”, “el Estado” o “Venezuela”)</w:t>
      </w:r>
      <w:r w:rsidRPr="07C31400">
        <w:rPr>
          <w:rFonts w:asciiTheme="majorHAnsi" w:hAnsiTheme="majorHAnsi"/>
          <w:color w:val="000000" w:themeColor="text1"/>
          <w:sz w:val="20"/>
          <w:szCs w:val="20"/>
          <w:lang w:val="es-ES"/>
        </w:rPr>
        <w:t xml:space="preserve"> </w:t>
      </w:r>
      <w:r w:rsidR="00BE7D0F" w:rsidRPr="07C31400">
        <w:rPr>
          <w:rFonts w:asciiTheme="majorHAnsi" w:hAnsiTheme="majorHAnsi"/>
          <w:sz w:val="20"/>
          <w:szCs w:val="20"/>
          <w:lang w:val="es-ES"/>
        </w:rPr>
        <w:t xml:space="preserve">por </w:t>
      </w:r>
      <w:r w:rsidR="00664F03" w:rsidRPr="07C31400">
        <w:rPr>
          <w:rFonts w:asciiTheme="majorHAnsi" w:hAnsiTheme="majorHAnsi"/>
          <w:sz w:val="20"/>
          <w:szCs w:val="20"/>
          <w:lang w:val="es-ES"/>
        </w:rPr>
        <w:t xml:space="preserve">el incumplimiento de las garantías </w:t>
      </w:r>
      <w:r w:rsidR="00946ADF" w:rsidRPr="07C31400">
        <w:rPr>
          <w:rFonts w:asciiTheme="majorHAnsi" w:hAnsiTheme="majorHAnsi"/>
          <w:sz w:val="20"/>
          <w:szCs w:val="20"/>
          <w:lang w:val="es-ES"/>
        </w:rPr>
        <w:t>judiciales y protección judicial</w:t>
      </w:r>
      <w:r w:rsidR="00664F03" w:rsidRPr="07C31400">
        <w:rPr>
          <w:rFonts w:asciiTheme="majorHAnsi" w:hAnsiTheme="majorHAnsi"/>
          <w:sz w:val="20"/>
          <w:szCs w:val="20"/>
          <w:lang w:val="es-ES"/>
        </w:rPr>
        <w:t xml:space="preserve"> en el proceso penal seguido contra Dianora Maleno (en adelante, “la presunta víctima” o “la señora Maleno”), así como por </w:t>
      </w:r>
      <w:r w:rsidR="00946ADF" w:rsidRPr="07C31400">
        <w:rPr>
          <w:rFonts w:asciiTheme="majorHAnsi" w:hAnsiTheme="majorHAnsi"/>
          <w:sz w:val="20"/>
          <w:szCs w:val="20"/>
          <w:lang w:val="es-ES"/>
        </w:rPr>
        <w:t xml:space="preserve">el sometimiento a condiciones inhumanas de detención y la </w:t>
      </w:r>
      <w:r w:rsidR="00C061B1" w:rsidRPr="07C31400">
        <w:rPr>
          <w:rFonts w:asciiTheme="majorHAnsi" w:hAnsiTheme="majorHAnsi"/>
          <w:sz w:val="20"/>
          <w:szCs w:val="20"/>
          <w:lang w:val="es-ES"/>
        </w:rPr>
        <w:t xml:space="preserve">violación sexual </w:t>
      </w:r>
      <w:r w:rsidR="007B6302" w:rsidRPr="07C31400">
        <w:rPr>
          <w:rFonts w:asciiTheme="majorHAnsi" w:hAnsiTheme="majorHAnsi"/>
          <w:sz w:val="20"/>
          <w:szCs w:val="20"/>
          <w:lang w:val="es-ES"/>
        </w:rPr>
        <w:t>encontrándose</w:t>
      </w:r>
      <w:r w:rsidR="00946ADF" w:rsidRPr="07C31400">
        <w:rPr>
          <w:rFonts w:asciiTheme="majorHAnsi" w:hAnsiTheme="majorHAnsi"/>
          <w:sz w:val="20"/>
          <w:szCs w:val="20"/>
          <w:lang w:val="es-ES"/>
        </w:rPr>
        <w:t xml:space="preserve"> la presunta víctima</w:t>
      </w:r>
      <w:r w:rsidR="00BE7D0F" w:rsidRPr="07C31400">
        <w:rPr>
          <w:rFonts w:asciiTheme="majorHAnsi" w:hAnsiTheme="majorHAnsi"/>
          <w:sz w:val="20"/>
          <w:szCs w:val="20"/>
          <w:lang w:val="es-ES"/>
        </w:rPr>
        <w:t xml:space="preserve"> </w:t>
      </w:r>
      <w:r w:rsidR="00C061B1" w:rsidRPr="07C31400">
        <w:rPr>
          <w:rFonts w:asciiTheme="majorHAnsi" w:hAnsiTheme="majorHAnsi"/>
          <w:sz w:val="20"/>
          <w:szCs w:val="20"/>
          <w:lang w:val="es-ES"/>
        </w:rPr>
        <w:t>privada de su libertad</w:t>
      </w:r>
      <w:r w:rsidR="003D46C7" w:rsidRPr="07C31400">
        <w:rPr>
          <w:rFonts w:asciiTheme="majorHAnsi" w:hAnsiTheme="majorHAnsi"/>
          <w:sz w:val="20"/>
          <w:szCs w:val="20"/>
          <w:lang w:val="es-ES"/>
        </w:rPr>
        <w:t xml:space="preserve">. </w:t>
      </w:r>
    </w:p>
    <w:p w14:paraId="7800AFE6" w14:textId="77777777" w:rsidR="009014A4" w:rsidRPr="004B114F" w:rsidRDefault="009014A4" w:rsidP="004B114F">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630"/>
        <w:jc w:val="both"/>
        <w:rPr>
          <w:rFonts w:asciiTheme="majorHAnsi" w:hAnsiTheme="majorHAnsi"/>
          <w:color w:val="000000" w:themeColor="text1"/>
          <w:sz w:val="20"/>
          <w:szCs w:val="20"/>
          <w:lang w:val="es-ES_tradnl"/>
        </w:rPr>
      </w:pPr>
    </w:p>
    <w:p w14:paraId="4D6909EF" w14:textId="611D47FC" w:rsidR="009014A4" w:rsidRPr="004B114F" w:rsidRDefault="009014A4" w:rsidP="07C31400">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630"/>
        <w:jc w:val="both"/>
        <w:rPr>
          <w:rFonts w:asciiTheme="majorHAnsi" w:hAnsiTheme="majorHAnsi"/>
          <w:color w:val="000000" w:themeColor="text1"/>
          <w:sz w:val="20"/>
          <w:szCs w:val="20"/>
          <w:lang w:val="es-ES"/>
        </w:rPr>
      </w:pPr>
      <w:r w:rsidRPr="07C31400">
        <w:rPr>
          <w:rFonts w:asciiTheme="majorHAnsi" w:hAnsiTheme="majorHAnsi"/>
          <w:color w:val="000000" w:themeColor="text1"/>
          <w:sz w:val="20"/>
          <w:szCs w:val="20"/>
          <w:lang w:val="es-ES"/>
        </w:rPr>
        <w:t>L</w:t>
      </w:r>
      <w:r w:rsidRPr="07C31400">
        <w:rPr>
          <w:rFonts w:asciiTheme="majorHAnsi" w:hAnsiTheme="majorHAnsi"/>
          <w:sz w:val="20"/>
          <w:szCs w:val="20"/>
          <w:lang w:val="es-ES"/>
        </w:rPr>
        <w:t xml:space="preserve">a Comisión aprobó el informe de admisibilidad No. </w:t>
      </w:r>
      <w:r w:rsidR="00C061B1" w:rsidRPr="07C31400">
        <w:rPr>
          <w:rFonts w:asciiTheme="majorHAnsi" w:hAnsiTheme="majorHAnsi"/>
          <w:sz w:val="20"/>
          <w:szCs w:val="20"/>
          <w:lang w:val="es-ES"/>
        </w:rPr>
        <w:t>122/11</w:t>
      </w:r>
      <w:r w:rsidRPr="07C31400">
        <w:rPr>
          <w:rFonts w:asciiTheme="majorHAnsi" w:hAnsiTheme="majorHAnsi"/>
          <w:sz w:val="20"/>
          <w:szCs w:val="20"/>
          <w:lang w:val="es-ES"/>
        </w:rPr>
        <w:t xml:space="preserve"> el </w:t>
      </w:r>
      <w:r w:rsidR="00C061B1" w:rsidRPr="07C31400">
        <w:rPr>
          <w:rFonts w:asciiTheme="majorHAnsi" w:hAnsiTheme="majorHAnsi"/>
          <w:sz w:val="20"/>
          <w:szCs w:val="20"/>
          <w:lang w:val="es-ES"/>
        </w:rPr>
        <w:t>19 de octubre de 2011</w:t>
      </w:r>
      <w:r w:rsidR="00912170" w:rsidRPr="07C31400">
        <w:rPr>
          <w:rStyle w:val="FootnoteReference"/>
          <w:rFonts w:asciiTheme="majorHAnsi" w:hAnsiTheme="majorHAnsi"/>
          <w:sz w:val="20"/>
          <w:szCs w:val="20"/>
          <w:lang w:val="es-ES"/>
        </w:rPr>
        <w:footnoteReference w:id="2"/>
      </w:r>
      <w:r w:rsidR="00AF7988" w:rsidRPr="07C31400">
        <w:rPr>
          <w:rFonts w:asciiTheme="majorHAnsi" w:hAnsiTheme="majorHAnsi"/>
          <w:sz w:val="20"/>
          <w:szCs w:val="20"/>
          <w:lang w:val="es-ES"/>
        </w:rPr>
        <w:t xml:space="preserve">. </w:t>
      </w:r>
      <w:r w:rsidRPr="07C31400">
        <w:rPr>
          <w:rFonts w:asciiTheme="majorHAnsi" w:hAnsiTheme="majorHAnsi"/>
          <w:sz w:val="20"/>
          <w:szCs w:val="20"/>
          <w:lang w:val="es-ES"/>
        </w:rPr>
        <w:t xml:space="preserve">El </w:t>
      </w:r>
      <w:r w:rsidR="004A00DC" w:rsidRPr="07C31400">
        <w:rPr>
          <w:rFonts w:asciiTheme="majorHAnsi" w:hAnsiTheme="majorHAnsi"/>
          <w:sz w:val="20"/>
          <w:szCs w:val="20"/>
          <w:lang w:val="es-ES"/>
        </w:rPr>
        <w:t>10</w:t>
      </w:r>
      <w:r w:rsidRPr="07C31400">
        <w:rPr>
          <w:rFonts w:asciiTheme="majorHAnsi" w:hAnsiTheme="majorHAnsi"/>
          <w:sz w:val="20"/>
          <w:szCs w:val="20"/>
          <w:lang w:val="es-ES"/>
        </w:rPr>
        <w:t xml:space="preserve"> de </w:t>
      </w:r>
      <w:r w:rsidR="005A77AE" w:rsidRPr="07C31400">
        <w:rPr>
          <w:rFonts w:asciiTheme="majorHAnsi" w:hAnsiTheme="majorHAnsi"/>
          <w:sz w:val="20"/>
          <w:szCs w:val="20"/>
          <w:lang w:val="es-ES"/>
        </w:rPr>
        <w:t>noviembre</w:t>
      </w:r>
      <w:r w:rsidRPr="07C31400">
        <w:rPr>
          <w:rFonts w:asciiTheme="majorHAnsi" w:hAnsiTheme="majorHAnsi"/>
          <w:sz w:val="20"/>
          <w:szCs w:val="20"/>
          <w:lang w:val="es-ES"/>
        </w:rPr>
        <w:t xml:space="preserve"> de </w:t>
      </w:r>
      <w:r w:rsidR="005A77AE" w:rsidRPr="07C31400">
        <w:rPr>
          <w:rFonts w:asciiTheme="majorHAnsi" w:hAnsiTheme="majorHAnsi"/>
          <w:sz w:val="20"/>
          <w:szCs w:val="20"/>
          <w:lang w:val="es-ES"/>
        </w:rPr>
        <w:t>201</w:t>
      </w:r>
      <w:r w:rsidR="004A00DC" w:rsidRPr="07C31400">
        <w:rPr>
          <w:rFonts w:asciiTheme="majorHAnsi" w:hAnsiTheme="majorHAnsi"/>
          <w:sz w:val="20"/>
          <w:szCs w:val="20"/>
          <w:lang w:val="es-ES"/>
        </w:rPr>
        <w:t xml:space="preserve">1 </w:t>
      </w:r>
      <w:r w:rsidRPr="07C31400">
        <w:rPr>
          <w:rFonts w:asciiTheme="majorHAnsi" w:hAnsiTheme="majorHAnsi"/>
          <w:sz w:val="20"/>
          <w:szCs w:val="20"/>
          <w:lang w:val="es-ES"/>
        </w:rPr>
        <w:t>la Comisión notificó dicho informe a las partes y se puso a su disposición a fin de llegar a una solución amistosa</w:t>
      </w:r>
      <w:r w:rsidR="00386D2D" w:rsidRPr="07C31400">
        <w:rPr>
          <w:rFonts w:asciiTheme="majorHAnsi" w:hAnsiTheme="majorHAnsi"/>
          <w:sz w:val="20"/>
          <w:szCs w:val="20"/>
          <w:lang w:val="es-ES"/>
        </w:rPr>
        <w:t xml:space="preserve">. </w:t>
      </w:r>
      <w:r w:rsidRPr="07C31400">
        <w:rPr>
          <w:rFonts w:asciiTheme="majorHAnsi" w:hAnsiTheme="majorHAnsi"/>
          <w:sz w:val="20"/>
          <w:szCs w:val="20"/>
          <w:lang w:val="es-ES"/>
        </w:rPr>
        <w:t>Las partes contaron con los plazos reglamentarios para presentar sus observaciones adicionales sobre el fondo.</w:t>
      </w:r>
      <w:r w:rsidR="00254D3A" w:rsidRPr="07C31400">
        <w:rPr>
          <w:rFonts w:asciiTheme="majorHAnsi" w:hAnsiTheme="majorHAnsi"/>
          <w:sz w:val="20"/>
          <w:szCs w:val="20"/>
          <w:lang w:val="es-ES"/>
        </w:rPr>
        <w:t xml:space="preserve"> </w:t>
      </w:r>
      <w:r w:rsidRPr="07C31400">
        <w:rPr>
          <w:rFonts w:asciiTheme="majorHAnsi" w:hAnsiTheme="majorHAnsi"/>
          <w:sz w:val="20"/>
          <w:szCs w:val="20"/>
          <w:lang w:val="es-ES"/>
        </w:rPr>
        <w:t>Toda la información recibida fue debidamente trasladada entre las partes.</w:t>
      </w:r>
    </w:p>
    <w:p w14:paraId="57337F2A" w14:textId="77777777" w:rsidR="004B2AB0" w:rsidRPr="004B114F" w:rsidRDefault="004B2AB0" w:rsidP="00DE778C">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jc w:val="both"/>
        <w:rPr>
          <w:rFonts w:asciiTheme="majorHAnsi" w:hAnsiTheme="majorHAnsi"/>
          <w:sz w:val="20"/>
          <w:szCs w:val="20"/>
          <w:highlight w:val="yellow"/>
          <w:lang w:val="es-ES_tradnl"/>
        </w:rPr>
      </w:pPr>
    </w:p>
    <w:p w14:paraId="6DA258BA" w14:textId="77777777" w:rsidR="00D12193" w:rsidRPr="004B114F" w:rsidRDefault="00D12193" w:rsidP="004B114F">
      <w:pPr>
        <w:pStyle w:val="Heading1"/>
        <w:rPr>
          <w:szCs w:val="20"/>
          <w:lang w:val="es-ES_tradnl"/>
        </w:rPr>
      </w:pPr>
      <w:bookmarkStart w:id="3" w:name="_Toc142398945"/>
      <w:r w:rsidRPr="004B114F">
        <w:rPr>
          <w:szCs w:val="20"/>
          <w:lang w:val="es-ES_tradnl"/>
        </w:rPr>
        <w:t>ALEGATOS DE LAS PARTES</w:t>
      </w:r>
      <w:bookmarkEnd w:id="3"/>
    </w:p>
    <w:p w14:paraId="0832DC0C" w14:textId="77777777" w:rsidR="00D83D73" w:rsidRPr="004B114F" w:rsidRDefault="00D83D73" w:rsidP="004B114F">
      <w:pPr>
        <w:pStyle w:val="ListParagraph"/>
        <w:suppressAutoHyphens/>
        <w:ind w:left="1440"/>
        <w:rPr>
          <w:rFonts w:asciiTheme="majorHAnsi" w:hAnsiTheme="majorHAnsi"/>
          <w:b/>
          <w:sz w:val="20"/>
          <w:szCs w:val="20"/>
          <w:lang w:val="es-ES_tradnl"/>
        </w:rPr>
      </w:pPr>
    </w:p>
    <w:p w14:paraId="2230713B" w14:textId="77777777" w:rsidR="00D12193" w:rsidRPr="004B114F" w:rsidRDefault="00C87FF4" w:rsidP="004B114F">
      <w:pPr>
        <w:pStyle w:val="Heading2"/>
        <w:rPr>
          <w:rFonts w:asciiTheme="majorHAnsi" w:hAnsiTheme="majorHAnsi"/>
          <w:szCs w:val="20"/>
          <w:lang w:val="es-ES_tradnl"/>
        </w:rPr>
      </w:pPr>
      <w:bookmarkStart w:id="4" w:name="_Toc142398946"/>
      <w:r w:rsidRPr="004B114F">
        <w:rPr>
          <w:rFonts w:asciiTheme="majorHAnsi" w:hAnsiTheme="majorHAnsi"/>
          <w:szCs w:val="20"/>
          <w:lang w:val="es-ES_tradnl"/>
        </w:rPr>
        <w:t>Parte peticionaria</w:t>
      </w:r>
      <w:bookmarkEnd w:id="4"/>
    </w:p>
    <w:p w14:paraId="3774B91A" w14:textId="77777777" w:rsidR="00361415" w:rsidRPr="004B114F" w:rsidRDefault="00361415" w:rsidP="004B114F">
      <w:pPr>
        <w:suppressAutoHyphens/>
        <w:rPr>
          <w:rFonts w:asciiTheme="majorHAnsi" w:hAnsiTheme="majorHAnsi"/>
          <w:sz w:val="20"/>
          <w:szCs w:val="20"/>
          <w:lang w:val="es-ES_tradnl"/>
        </w:rPr>
      </w:pPr>
    </w:p>
    <w:p w14:paraId="13EDFE07" w14:textId="5411F25F" w:rsidR="00B566A4" w:rsidRPr="004B114F" w:rsidRDefault="00B566A4" w:rsidP="07C31400">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630"/>
        <w:jc w:val="both"/>
        <w:rPr>
          <w:rFonts w:asciiTheme="majorHAnsi" w:hAnsiTheme="majorHAnsi"/>
          <w:color w:val="000000" w:themeColor="text1"/>
          <w:sz w:val="20"/>
          <w:szCs w:val="20"/>
          <w:lang w:val="es-ES"/>
        </w:rPr>
      </w:pPr>
      <w:r w:rsidRPr="07C31400">
        <w:rPr>
          <w:rFonts w:asciiTheme="majorHAnsi" w:hAnsiTheme="majorHAnsi"/>
          <w:color w:val="000000" w:themeColor="text1"/>
          <w:sz w:val="20"/>
          <w:szCs w:val="20"/>
          <w:lang w:val="es-ES"/>
        </w:rPr>
        <w:t>La parte peticionaria afirma que el 18 de octubre de 2001 la señora Maleno</w:t>
      </w:r>
      <w:r w:rsidR="0018393D" w:rsidRPr="07C31400">
        <w:rPr>
          <w:rFonts w:asciiTheme="majorHAnsi" w:hAnsiTheme="majorHAnsi"/>
          <w:color w:val="000000" w:themeColor="text1"/>
          <w:sz w:val="20"/>
          <w:szCs w:val="20"/>
          <w:lang w:val="es-ES"/>
        </w:rPr>
        <w:t>, una mujer campesina, iletrada y en situación de pobreza,</w:t>
      </w:r>
      <w:r w:rsidRPr="07C31400">
        <w:rPr>
          <w:rFonts w:asciiTheme="majorHAnsi" w:hAnsiTheme="majorHAnsi"/>
          <w:color w:val="000000" w:themeColor="text1"/>
          <w:sz w:val="20"/>
          <w:szCs w:val="20"/>
          <w:lang w:val="es-ES"/>
        </w:rPr>
        <w:t xml:space="preserve"> fue detenida por la presunta comisión del delito de homicidio en perjuicio de su hija</w:t>
      </w:r>
      <w:r w:rsidR="0006786C" w:rsidRPr="07C31400">
        <w:rPr>
          <w:rFonts w:asciiTheme="majorHAnsi" w:hAnsiTheme="majorHAnsi"/>
          <w:color w:val="000000" w:themeColor="text1"/>
          <w:sz w:val="20"/>
          <w:szCs w:val="20"/>
          <w:lang w:val="es-ES"/>
        </w:rPr>
        <w:t xml:space="preserve"> de</w:t>
      </w:r>
      <w:r w:rsidRPr="07C31400">
        <w:rPr>
          <w:rFonts w:asciiTheme="majorHAnsi" w:hAnsiTheme="majorHAnsi"/>
          <w:color w:val="000000" w:themeColor="text1"/>
          <w:sz w:val="20"/>
          <w:szCs w:val="20"/>
          <w:lang w:val="es-ES"/>
        </w:rPr>
        <w:t xml:space="preserve"> </w:t>
      </w:r>
      <w:r w:rsidR="0006786C" w:rsidRPr="07C31400">
        <w:rPr>
          <w:rFonts w:asciiTheme="majorHAnsi" w:hAnsiTheme="majorHAnsi"/>
          <w:color w:val="000000" w:themeColor="text1"/>
          <w:sz w:val="20"/>
          <w:szCs w:val="20"/>
          <w:lang w:val="es-ES"/>
        </w:rPr>
        <w:t xml:space="preserve">diez </w:t>
      </w:r>
      <w:r w:rsidRPr="07C31400">
        <w:rPr>
          <w:rFonts w:asciiTheme="majorHAnsi" w:hAnsiTheme="majorHAnsi"/>
          <w:color w:val="000000" w:themeColor="text1"/>
          <w:sz w:val="20"/>
          <w:szCs w:val="20"/>
          <w:lang w:val="es-ES"/>
        </w:rPr>
        <w:t>días de nacida</w:t>
      </w:r>
      <w:r w:rsidR="0018393D" w:rsidRPr="07C31400">
        <w:rPr>
          <w:rFonts w:asciiTheme="majorHAnsi" w:hAnsiTheme="majorHAnsi"/>
          <w:color w:val="000000" w:themeColor="text1"/>
          <w:sz w:val="20"/>
          <w:szCs w:val="20"/>
          <w:lang w:val="es-ES"/>
        </w:rPr>
        <w:t>. El 20 de octubre del mismo año la presunta víctima</w:t>
      </w:r>
      <w:r w:rsidRPr="07C31400">
        <w:rPr>
          <w:rFonts w:asciiTheme="majorHAnsi" w:hAnsiTheme="majorHAnsi"/>
          <w:color w:val="000000" w:themeColor="text1"/>
          <w:sz w:val="20"/>
          <w:szCs w:val="20"/>
          <w:lang w:val="es-ES"/>
        </w:rPr>
        <w:t xml:space="preserve"> </w:t>
      </w:r>
      <w:r w:rsidR="0018393D" w:rsidRPr="07C31400">
        <w:rPr>
          <w:rFonts w:asciiTheme="majorHAnsi" w:hAnsiTheme="majorHAnsi"/>
          <w:color w:val="000000" w:themeColor="text1"/>
          <w:sz w:val="20"/>
          <w:szCs w:val="20"/>
          <w:lang w:val="es-ES"/>
        </w:rPr>
        <w:t xml:space="preserve">fue presentada por la Fiscalía Décimo Sexta de la Circunscripción Judicial del Estado de Anzoátegui </w:t>
      </w:r>
      <w:r w:rsidR="00126177" w:rsidRPr="07C31400">
        <w:rPr>
          <w:rFonts w:asciiTheme="majorHAnsi" w:hAnsiTheme="majorHAnsi"/>
          <w:color w:val="000000" w:themeColor="text1"/>
          <w:sz w:val="20"/>
          <w:szCs w:val="20"/>
          <w:lang w:val="es-ES"/>
        </w:rPr>
        <w:t xml:space="preserve">(en adelante “Fiscalía Décimo Sexta”) </w:t>
      </w:r>
      <w:r w:rsidR="0018393D" w:rsidRPr="07C31400">
        <w:rPr>
          <w:rFonts w:asciiTheme="majorHAnsi" w:hAnsiTheme="majorHAnsi"/>
          <w:color w:val="000000" w:themeColor="text1"/>
          <w:sz w:val="20"/>
          <w:szCs w:val="20"/>
          <w:lang w:val="es-ES"/>
        </w:rPr>
        <w:t>ante el Tribunal Cuarto de Control en funciones</w:t>
      </w:r>
      <w:r w:rsidR="00E768AB" w:rsidRPr="07C31400">
        <w:rPr>
          <w:rFonts w:asciiTheme="majorHAnsi" w:hAnsiTheme="majorHAnsi"/>
          <w:color w:val="000000" w:themeColor="text1"/>
          <w:sz w:val="20"/>
          <w:szCs w:val="20"/>
          <w:lang w:val="es-ES"/>
        </w:rPr>
        <w:t xml:space="preserve"> </w:t>
      </w:r>
      <w:r w:rsidR="00E768AB" w:rsidRPr="07C31400">
        <w:rPr>
          <w:rFonts w:asciiTheme="majorHAnsi" w:hAnsiTheme="majorHAnsi"/>
          <w:sz w:val="20"/>
          <w:szCs w:val="20"/>
          <w:lang w:val="es-ES"/>
        </w:rPr>
        <w:t>(en adelante “Tribunal Cuarto”)</w:t>
      </w:r>
      <w:r w:rsidR="0018393D" w:rsidRPr="07C31400">
        <w:rPr>
          <w:rFonts w:asciiTheme="majorHAnsi" w:hAnsiTheme="majorHAnsi"/>
          <w:color w:val="000000" w:themeColor="text1"/>
          <w:sz w:val="20"/>
          <w:szCs w:val="20"/>
          <w:lang w:val="es-ES"/>
        </w:rPr>
        <w:t>.</w:t>
      </w:r>
    </w:p>
    <w:p w14:paraId="2C371561" w14:textId="77777777" w:rsidR="0018393D" w:rsidRPr="004B114F" w:rsidRDefault="0018393D" w:rsidP="004B114F">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630"/>
        <w:jc w:val="both"/>
        <w:rPr>
          <w:rFonts w:asciiTheme="majorHAnsi" w:hAnsiTheme="majorHAnsi"/>
          <w:color w:val="000000" w:themeColor="text1"/>
          <w:sz w:val="20"/>
          <w:szCs w:val="20"/>
          <w:lang w:val="es-ES_tradnl"/>
        </w:rPr>
      </w:pPr>
    </w:p>
    <w:p w14:paraId="062F7B45" w14:textId="229D9276" w:rsidR="0020691A" w:rsidRPr="004B114F" w:rsidRDefault="0018393D" w:rsidP="00DE778C">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630"/>
        <w:jc w:val="both"/>
        <w:rPr>
          <w:rFonts w:asciiTheme="majorHAnsi" w:hAnsiTheme="majorHAnsi"/>
          <w:color w:val="000000" w:themeColor="text1"/>
          <w:sz w:val="20"/>
          <w:szCs w:val="20"/>
          <w:lang w:val="es-ES_tradnl"/>
        </w:rPr>
      </w:pPr>
      <w:r w:rsidRPr="004B114F">
        <w:rPr>
          <w:rFonts w:asciiTheme="majorHAnsi" w:hAnsiTheme="majorHAnsi"/>
          <w:color w:val="000000" w:themeColor="text1"/>
          <w:sz w:val="20"/>
          <w:szCs w:val="20"/>
          <w:lang w:val="es-ES_tradnl"/>
        </w:rPr>
        <w:t>Indica que</w:t>
      </w:r>
      <w:r w:rsidR="00372521" w:rsidRPr="004B114F">
        <w:rPr>
          <w:rFonts w:asciiTheme="majorHAnsi" w:hAnsiTheme="majorHAnsi"/>
          <w:color w:val="000000" w:themeColor="text1"/>
          <w:sz w:val="20"/>
          <w:szCs w:val="20"/>
          <w:lang w:val="es-ES_tradnl"/>
        </w:rPr>
        <w:t>,</w:t>
      </w:r>
      <w:r w:rsidRPr="004B114F">
        <w:rPr>
          <w:rFonts w:asciiTheme="majorHAnsi" w:hAnsiTheme="majorHAnsi"/>
          <w:color w:val="000000" w:themeColor="text1"/>
          <w:sz w:val="20"/>
          <w:szCs w:val="20"/>
          <w:lang w:val="es-ES_tradnl"/>
        </w:rPr>
        <w:t xml:space="preserve"> a</w:t>
      </w:r>
      <w:r w:rsidR="00372521" w:rsidRPr="004B114F">
        <w:rPr>
          <w:rFonts w:asciiTheme="majorHAnsi" w:hAnsiTheme="majorHAnsi"/>
          <w:color w:val="000000" w:themeColor="text1"/>
          <w:sz w:val="20"/>
          <w:szCs w:val="20"/>
          <w:lang w:val="es-ES_tradnl"/>
        </w:rPr>
        <w:t>l momento de su detención,</w:t>
      </w:r>
      <w:r w:rsidRPr="004B114F">
        <w:rPr>
          <w:rFonts w:asciiTheme="majorHAnsi" w:hAnsiTheme="majorHAnsi"/>
          <w:color w:val="000000" w:themeColor="text1"/>
          <w:sz w:val="20"/>
          <w:szCs w:val="20"/>
          <w:lang w:val="es-ES_tradnl"/>
        </w:rPr>
        <w:t xml:space="preserve"> la señora Maleno presenta</w:t>
      </w:r>
      <w:r w:rsidR="00372521" w:rsidRPr="004B114F">
        <w:rPr>
          <w:rFonts w:asciiTheme="majorHAnsi" w:hAnsiTheme="majorHAnsi"/>
          <w:color w:val="000000" w:themeColor="text1"/>
          <w:sz w:val="20"/>
          <w:szCs w:val="20"/>
          <w:lang w:val="es-ES_tradnl"/>
        </w:rPr>
        <w:t>ba</w:t>
      </w:r>
      <w:r w:rsidRPr="004B114F">
        <w:rPr>
          <w:rFonts w:asciiTheme="majorHAnsi" w:hAnsiTheme="majorHAnsi"/>
          <w:color w:val="000000" w:themeColor="text1"/>
          <w:sz w:val="20"/>
          <w:szCs w:val="20"/>
          <w:lang w:val="es-ES_tradnl"/>
        </w:rPr>
        <w:t xml:space="preserve"> muestras claras de </w:t>
      </w:r>
      <w:r w:rsidR="0006786C" w:rsidRPr="004B114F">
        <w:rPr>
          <w:rFonts w:asciiTheme="majorHAnsi" w:hAnsiTheme="majorHAnsi"/>
          <w:color w:val="000000" w:themeColor="text1"/>
          <w:sz w:val="20"/>
          <w:szCs w:val="20"/>
          <w:lang w:val="es-ES_tradnl"/>
        </w:rPr>
        <w:t>“</w:t>
      </w:r>
      <w:r w:rsidR="00372521" w:rsidRPr="004B114F">
        <w:rPr>
          <w:rFonts w:asciiTheme="majorHAnsi" w:hAnsiTheme="majorHAnsi"/>
          <w:color w:val="000000" w:themeColor="text1"/>
          <w:sz w:val="20"/>
          <w:szCs w:val="20"/>
          <w:lang w:val="es-ES_tradnl"/>
        </w:rPr>
        <w:t>incapacidad mental</w:t>
      </w:r>
      <w:r w:rsidR="0006786C" w:rsidRPr="004B114F">
        <w:rPr>
          <w:rFonts w:asciiTheme="majorHAnsi" w:hAnsiTheme="majorHAnsi"/>
          <w:color w:val="000000" w:themeColor="text1"/>
          <w:sz w:val="20"/>
          <w:szCs w:val="20"/>
          <w:lang w:val="es-ES_tradnl"/>
        </w:rPr>
        <w:t>”</w:t>
      </w:r>
      <w:r w:rsidR="00372521" w:rsidRPr="004B114F">
        <w:rPr>
          <w:rFonts w:asciiTheme="majorHAnsi" w:hAnsiTheme="majorHAnsi"/>
          <w:color w:val="000000" w:themeColor="text1"/>
          <w:sz w:val="20"/>
          <w:szCs w:val="20"/>
          <w:lang w:val="es-ES_tradnl"/>
        </w:rPr>
        <w:t xml:space="preserve"> e incoherencia del lenguaje producto del periodo de puerperio que venía </w:t>
      </w:r>
      <w:r w:rsidR="008645D1" w:rsidRPr="004B114F">
        <w:rPr>
          <w:rFonts w:asciiTheme="majorHAnsi" w:hAnsiTheme="majorHAnsi"/>
          <w:color w:val="000000" w:themeColor="text1"/>
          <w:sz w:val="20"/>
          <w:szCs w:val="20"/>
          <w:lang w:val="es-ES_tradnl"/>
        </w:rPr>
        <w:t>atravesand</w:t>
      </w:r>
      <w:r w:rsidR="00372521" w:rsidRPr="004B114F">
        <w:rPr>
          <w:rFonts w:asciiTheme="majorHAnsi" w:hAnsiTheme="majorHAnsi"/>
          <w:color w:val="000000" w:themeColor="text1"/>
          <w:sz w:val="20"/>
          <w:szCs w:val="20"/>
          <w:lang w:val="es-ES_tradnl"/>
        </w:rPr>
        <w:t>o.</w:t>
      </w:r>
      <w:r w:rsidR="003A6D59" w:rsidRPr="004B114F">
        <w:rPr>
          <w:rFonts w:asciiTheme="majorHAnsi" w:hAnsiTheme="majorHAnsi"/>
          <w:sz w:val="20"/>
          <w:szCs w:val="20"/>
          <w:lang w:val="es-ES_tradnl"/>
        </w:rPr>
        <w:t xml:space="preserve"> </w:t>
      </w:r>
      <w:r w:rsidR="00372521" w:rsidRPr="004B114F">
        <w:rPr>
          <w:rFonts w:asciiTheme="majorHAnsi" w:hAnsiTheme="majorHAnsi"/>
          <w:color w:val="000000" w:themeColor="text1"/>
          <w:sz w:val="20"/>
          <w:szCs w:val="20"/>
          <w:lang w:val="es-ES_tradnl"/>
        </w:rPr>
        <w:t>Sin embargo, afirma que la Fiscalía omitió ordenar que se practiquen las evaluaciones médico-forenses necesarias para establecer si se encontraba en capacidad de entender sus derechos procesales o de declarar en juicio</w:t>
      </w:r>
      <w:r w:rsidR="0020691A" w:rsidRPr="004B114F">
        <w:rPr>
          <w:rFonts w:asciiTheme="majorHAnsi" w:hAnsiTheme="majorHAnsi"/>
          <w:color w:val="000000" w:themeColor="text1"/>
          <w:sz w:val="20"/>
          <w:szCs w:val="20"/>
          <w:lang w:val="es-ES_tradnl"/>
        </w:rPr>
        <w:t>, aun cuando su defensa pública lo solicitó de manera expresa</w:t>
      </w:r>
      <w:r w:rsidR="003A6D59" w:rsidRPr="004B114F">
        <w:rPr>
          <w:rFonts w:asciiTheme="majorHAnsi" w:hAnsiTheme="majorHAnsi"/>
          <w:color w:val="000000" w:themeColor="text1"/>
          <w:sz w:val="20"/>
          <w:szCs w:val="20"/>
          <w:lang w:val="es-ES_tradnl"/>
        </w:rPr>
        <w:t xml:space="preserve"> </w:t>
      </w:r>
      <w:r w:rsidR="003A6D59" w:rsidRPr="004B114F">
        <w:rPr>
          <w:rFonts w:asciiTheme="majorHAnsi" w:hAnsiTheme="majorHAnsi"/>
          <w:sz w:val="20"/>
          <w:szCs w:val="20"/>
          <w:lang w:val="es-ES_tradnl"/>
        </w:rPr>
        <w:t>al considerarlo indispensable para su derecho a la defensa y debido proceso</w:t>
      </w:r>
      <w:r w:rsidR="00372521" w:rsidRPr="004B114F">
        <w:rPr>
          <w:rFonts w:asciiTheme="majorHAnsi" w:hAnsiTheme="majorHAnsi"/>
          <w:color w:val="000000" w:themeColor="text1"/>
          <w:sz w:val="20"/>
          <w:szCs w:val="20"/>
          <w:lang w:val="es-ES_tradnl"/>
        </w:rPr>
        <w:t>.</w:t>
      </w:r>
      <w:r w:rsidR="00E768AB" w:rsidRPr="004B114F">
        <w:rPr>
          <w:rFonts w:asciiTheme="majorHAnsi" w:hAnsiTheme="majorHAnsi"/>
          <w:color w:val="000000" w:themeColor="text1"/>
          <w:sz w:val="20"/>
          <w:szCs w:val="20"/>
          <w:lang w:val="es-ES_tradnl"/>
        </w:rPr>
        <w:t xml:space="preserve"> Señala que, </w:t>
      </w:r>
      <w:r w:rsidR="008A7935" w:rsidRPr="004B114F">
        <w:rPr>
          <w:rFonts w:asciiTheme="majorHAnsi" w:hAnsiTheme="majorHAnsi"/>
          <w:color w:val="000000" w:themeColor="text1"/>
          <w:sz w:val="20"/>
          <w:szCs w:val="20"/>
          <w:lang w:val="es-ES_tradnl"/>
        </w:rPr>
        <w:t xml:space="preserve">en atención a las condiciones en que se encontraba, su defensa pública solicitó también que se le asignase un local </w:t>
      </w:r>
      <w:r w:rsidR="008A7935" w:rsidRPr="004B114F">
        <w:rPr>
          <w:rFonts w:asciiTheme="majorHAnsi" w:hAnsiTheme="majorHAnsi"/>
          <w:i/>
          <w:color w:val="000000" w:themeColor="text1"/>
          <w:sz w:val="20"/>
          <w:szCs w:val="20"/>
          <w:lang w:val="es-ES_tradnl"/>
        </w:rPr>
        <w:t xml:space="preserve">ad hoc </w:t>
      </w:r>
      <w:r w:rsidR="008A7935" w:rsidRPr="004B114F">
        <w:rPr>
          <w:rFonts w:asciiTheme="majorHAnsi" w:hAnsiTheme="majorHAnsi"/>
          <w:color w:val="000000" w:themeColor="text1"/>
          <w:sz w:val="20"/>
          <w:szCs w:val="20"/>
          <w:lang w:val="es-ES_tradnl"/>
        </w:rPr>
        <w:t>y que se le imponga</w:t>
      </w:r>
      <w:r w:rsidR="00BE7D0F" w:rsidRPr="004B114F">
        <w:rPr>
          <w:rFonts w:asciiTheme="majorHAnsi" w:hAnsiTheme="majorHAnsi"/>
          <w:color w:val="000000" w:themeColor="text1"/>
          <w:sz w:val="20"/>
          <w:szCs w:val="20"/>
          <w:lang w:val="es-ES_tradnl"/>
        </w:rPr>
        <w:t>n</w:t>
      </w:r>
      <w:r w:rsidR="008A7935" w:rsidRPr="004B114F">
        <w:rPr>
          <w:rFonts w:asciiTheme="majorHAnsi" w:hAnsiTheme="majorHAnsi"/>
          <w:color w:val="000000" w:themeColor="text1"/>
          <w:sz w:val="20"/>
          <w:szCs w:val="20"/>
          <w:lang w:val="es-ES_tradnl"/>
        </w:rPr>
        <w:t xml:space="preserve"> medidas cautelares sustitutivas que le permitan seguir el proceso penal en libertad. No obstante, alega que</w:t>
      </w:r>
      <w:r w:rsidR="00E768AB" w:rsidRPr="004B114F">
        <w:rPr>
          <w:rFonts w:asciiTheme="majorHAnsi" w:hAnsiTheme="majorHAnsi"/>
          <w:color w:val="000000" w:themeColor="text1"/>
          <w:sz w:val="20"/>
          <w:szCs w:val="20"/>
          <w:lang w:val="es-ES_tradnl"/>
        </w:rPr>
        <w:t xml:space="preserve"> el Tribunal Cuarto decretó medida preventiva </w:t>
      </w:r>
      <w:r w:rsidR="009F67A9" w:rsidRPr="004B114F">
        <w:rPr>
          <w:rFonts w:asciiTheme="majorHAnsi" w:hAnsiTheme="majorHAnsi"/>
          <w:color w:val="000000" w:themeColor="text1"/>
          <w:sz w:val="20"/>
          <w:szCs w:val="20"/>
          <w:lang w:val="es-ES_tradnl"/>
        </w:rPr>
        <w:t xml:space="preserve">privativa </w:t>
      </w:r>
      <w:r w:rsidR="00E768AB" w:rsidRPr="004B114F">
        <w:rPr>
          <w:rFonts w:asciiTheme="majorHAnsi" w:hAnsiTheme="majorHAnsi"/>
          <w:color w:val="000000" w:themeColor="text1"/>
          <w:sz w:val="20"/>
          <w:szCs w:val="20"/>
          <w:lang w:val="es-ES_tradnl"/>
        </w:rPr>
        <w:t>de libertad</w:t>
      </w:r>
      <w:r w:rsidR="00670F8F" w:rsidRPr="004B114F">
        <w:rPr>
          <w:rFonts w:asciiTheme="majorHAnsi" w:hAnsiTheme="majorHAnsi"/>
          <w:color w:val="000000" w:themeColor="text1"/>
          <w:sz w:val="20"/>
          <w:szCs w:val="20"/>
          <w:lang w:val="es-ES_tradnl"/>
        </w:rPr>
        <w:t xml:space="preserve"> en contra de </w:t>
      </w:r>
      <w:r w:rsidR="008A7935" w:rsidRPr="004B114F">
        <w:rPr>
          <w:rFonts w:asciiTheme="majorHAnsi" w:hAnsiTheme="majorHAnsi"/>
          <w:color w:val="000000" w:themeColor="text1"/>
          <w:sz w:val="20"/>
          <w:szCs w:val="20"/>
          <w:lang w:val="es-ES_tradnl"/>
        </w:rPr>
        <w:t>la presunta víctima</w:t>
      </w:r>
      <w:r w:rsidR="008645D1" w:rsidRPr="004B114F">
        <w:rPr>
          <w:rFonts w:asciiTheme="majorHAnsi" w:hAnsiTheme="majorHAnsi"/>
          <w:color w:val="000000" w:themeColor="text1"/>
          <w:sz w:val="20"/>
          <w:szCs w:val="20"/>
          <w:lang w:val="es-ES_tradnl"/>
        </w:rPr>
        <w:t xml:space="preserve"> en ausencia de certificación psiquiátrica alguna</w:t>
      </w:r>
      <w:r w:rsidR="008A7935" w:rsidRPr="004B114F">
        <w:rPr>
          <w:rFonts w:asciiTheme="majorHAnsi" w:hAnsiTheme="majorHAnsi"/>
          <w:color w:val="000000" w:themeColor="text1"/>
          <w:sz w:val="20"/>
          <w:szCs w:val="20"/>
          <w:lang w:val="es-ES_tradnl"/>
        </w:rPr>
        <w:t xml:space="preserve">. </w:t>
      </w:r>
      <w:r w:rsidR="008645D1" w:rsidRPr="004B114F">
        <w:rPr>
          <w:rFonts w:asciiTheme="majorHAnsi" w:hAnsiTheme="majorHAnsi"/>
          <w:color w:val="000000" w:themeColor="text1"/>
          <w:sz w:val="20"/>
          <w:szCs w:val="20"/>
          <w:lang w:val="es-ES_tradnl"/>
        </w:rPr>
        <w:t>I</w:t>
      </w:r>
      <w:r w:rsidR="008A7935" w:rsidRPr="004B114F">
        <w:rPr>
          <w:rFonts w:asciiTheme="majorHAnsi" w:hAnsiTheme="majorHAnsi"/>
          <w:color w:val="000000" w:themeColor="text1"/>
          <w:sz w:val="20"/>
          <w:szCs w:val="20"/>
          <w:lang w:val="es-ES_tradnl"/>
        </w:rPr>
        <w:t>ndica que</w:t>
      </w:r>
      <w:r w:rsidR="008645D1" w:rsidRPr="004B114F">
        <w:rPr>
          <w:rFonts w:asciiTheme="majorHAnsi" w:hAnsiTheme="majorHAnsi"/>
          <w:color w:val="000000" w:themeColor="text1"/>
          <w:sz w:val="20"/>
          <w:szCs w:val="20"/>
          <w:lang w:val="es-ES_tradnl"/>
        </w:rPr>
        <w:t>, en consecuencia,</w:t>
      </w:r>
      <w:r w:rsidR="008A7935" w:rsidRPr="004B114F">
        <w:rPr>
          <w:rFonts w:asciiTheme="majorHAnsi" w:hAnsiTheme="majorHAnsi"/>
          <w:color w:val="000000" w:themeColor="text1"/>
          <w:sz w:val="20"/>
          <w:szCs w:val="20"/>
          <w:lang w:val="es-ES_tradnl"/>
        </w:rPr>
        <w:t xml:space="preserve"> </w:t>
      </w:r>
      <w:r w:rsidR="008645D1" w:rsidRPr="004B114F">
        <w:rPr>
          <w:rFonts w:asciiTheme="majorHAnsi" w:hAnsiTheme="majorHAnsi"/>
          <w:color w:val="000000" w:themeColor="text1"/>
          <w:sz w:val="20"/>
          <w:szCs w:val="20"/>
          <w:lang w:val="es-ES_tradnl"/>
        </w:rPr>
        <w:t xml:space="preserve">la señora Maleno </w:t>
      </w:r>
      <w:r w:rsidR="00670F8F" w:rsidRPr="004B114F">
        <w:rPr>
          <w:rFonts w:asciiTheme="majorHAnsi" w:hAnsiTheme="majorHAnsi"/>
          <w:color w:val="000000" w:themeColor="text1"/>
          <w:sz w:val="20"/>
          <w:szCs w:val="20"/>
          <w:lang w:val="es-ES_tradnl"/>
        </w:rPr>
        <w:t>fue trasladada al Internado Judicial José Antonio Anzoátegui (en adelante, “Internado Anzoátegui”)</w:t>
      </w:r>
      <w:r w:rsidR="009F67A9" w:rsidRPr="004B114F">
        <w:rPr>
          <w:rFonts w:asciiTheme="majorHAnsi" w:hAnsiTheme="majorHAnsi"/>
          <w:color w:val="000000" w:themeColor="text1"/>
          <w:sz w:val="20"/>
          <w:szCs w:val="20"/>
          <w:lang w:val="es-ES_tradnl"/>
        </w:rPr>
        <w:t xml:space="preserve">. </w:t>
      </w:r>
      <w:r w:rsidR="00BE7D0F" w:rsidRPr="004B114F">
        <w:rPr>
          <w:rFonts w:asciiTheme="majorHAnsi" w:hAnsiTheme="majorHAnsi"/>
          <w:color w:val="000000" w:themeColor="text1"/>
          <w:sz w:val="20"/>
          <w:szCs w:val="20"/>
          <w:lang w:val="es-ES_tradnl"/>
        </w:rPr>
        <w:t>A</w:t>
      </w:r>
      <w:r w:rsidR="00124F05" w:rsidRPr="004B114F">
        <w:rPr>
          <w:rFonts w:asciiTheme="majorHAnsi" w:hAnsiTheme="majorHAnsi"/>
          <w:color w:val="000000" w:themeColor="text1"/>
          <w:sz w:val="20"/>
          <w:szCs w:val="20"/>
          <w:lang w:val="es-ES_tradnl"/>
        </w:rPr>
        <w:t xml:space="preserve">grega que </w:t>
      </w:r>
      <w:r w:rsidR="00BE7D0F" w:rsidRPr="004B114F">
        <w:rPr>
          <w:rFonts w:asciiTheme="majorHAnsi" w:hAnsiTheme="majorHAnsi"/>
          <w:color w:val="000000" w:themeColor="text1"/>
          <w:sz w:val="20"/>
          <w:szCs w:val="20"/>
          <w:lang w:val="es-ES_tradnl"/>
        </w:rPr>
        <w:t xml:space="preserve">la defensa pública </w:t>
      </w:r>
      <w:r w:rsidR="00124F05" w:rsidRPr="004B114F">
        <w:rPr>
          <w:rFonts w:asciiTheme="majorHAnsi" w:hAnsiTheme="majorHAnsi"/>
          <w:color w:val="000000" w:themeColor="text1"/>
          <w:sz w:val="20"/>
          <w:szCs w:val="20"/>
          <w:lang w:val="es-ES_tradnl"/>
        </w:rPr>
        <w:t>no apeló</w:t>
      </w:r>
      <w:r w:rsidR="00BE7D0F" w:rsidRPr="004B114F">
        <w:rPr>
          <w:rFonts w:asciiTheme="majorHAnsi" w:hAnsiTheme="majorHAnsi"/>
          <w:color w:val="000000" w:themeColor="text1"/>
          <w:sz w:val="20"/>
          <w:szCs w:val="20"/>
          <w:lang w:val="es-ES_tradnl"/>
        </w:rPr>
        <w:t xml:space="preserve"> esta medida</w:t>
      </w:r>
      <w:r w:rsidR="00124F05" w:rsidRPr="004B114F">
        <w:rPr>
          <w:rFonts w:asciiTheme="majorHAnsi" w:hAnsiTheme="majorHAnsi"/>
          <w:color w:val="000000" w:themeColor="text1"/>
          <w:sz w:val="20"/>
          <w:szCs w:val="20"/>
          <w:lang w:val="es-ES_tradnl"/>
        </w:rPr>
        <w:t>.</w:t>
      </w:r>
    </w:p>
    <w:p w14:paraId="6698B26C" w14:textId="77777777" w:rsidR="0020691A" w:rsidRPr="004B114F" w:rsidRDefault="0020691A" w:rsidP="004B114F">
      <w:pPr>
        <w:pStyle w:val="ListParagraph"/>
        <w:rPr>
          <w:rFonts w:asciiTheme="majorHAnsi" w:hAnsiTheme="majorHAnsi"/>
          <w:color w:val="000000" w:themeColor="text1"/>
          <w:sz w:val="20"/>
          <w:szCs w:val="20"/>
          <w:lang w:val="es-ES_tradnl"/>
        </w:rPr>
      </w:pPr>
    </w:p>
    <w:p w14:paraId="0B01C775" w14:textId="23FC33B8" w:rsidR="0018393D" w:rsidRPr="004B114F" w:rsidRDefault="007D4796" w:rsidP="004B114F">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630"/>
        <w:jc w:val="both"/>
        <w:rPr>
          <w:rFonts w:asciiTheme="majorHAnsi" w:hAnsiTheme="majorHAnsi"/>
          <w:color w:val="000000" w:themeColor="text1"/>
          <w:sz w:val="20"/>
          <w:szCs w:val="20"/>
          <w:lang w:val="es-ES_tradnl"/>
        </w:rPr>
      </w:pPr>
      <w:bookmarkStart w:id="5" w:name="_Ref133934131"/>
      <w:r w:rsidRPr="004B114F">
        <w:rPr>
          <w:rFonts w:asciiTheme="majorHAnsi" w:hAnsiTheme="majorHAnsi"/>
          <w:color w:val="000000" w:themeColor="text1"/>
          <w:sz w:val="20"/>
          <w:szCs w:val="20"/>
          <w:lang w:val="es-ES_tradnl"/>
        </w:rPr>
        <w:t>A</w:t>
      </w:r>
      <w:r w:rsidR="00366901" w:rsidRPr="004B114F">
        <w:rPr>
          <w:rFonts w:asciiTheme="majorHAnsi" w:hAnsiTheme="majorHAnsi"/>
          <w:color w:val="000000" w:themeColor="text1"/>
          <w:sz w:val="20"/>
          <w:szCs w:val="20"/>
          <w:lang w:val="es-ES_tradnl"/>
        </w:rPr>
        <w:t xml:space="preserve">rgumenta que las condiciones de internamiento en el Internado Anzoátegui eran inhumanas. Afirma que sus instalaciones, incluido el anexo femenino, se </w:t>
      </w:r>
      <w:r w:rsidRPr="004B114F">
        <w:rPr>
          <w:rFonts w:asciiTheme="majorHAnsi" w:hAnsiTheme="majorHAnsi"/>
          <w:color w:val="000000" w:themeColor="text1"/>
          <w:sz w:val="20"/>
          <w:szCs w:val="20"/>
          <w:lang w:val="es-ES_tradnl"/>
        </w:rPr>
        <w:t>encontraba</w:t>
      </w:r>
      <w:r w:rsidR="00B96F54" w:rsidRPr="004B114F">
        <w:rPr>
          <w:rFonts w:asciiTheme="majorHAnsi" w:hAnsiTheme="majorHAnsi"/>
          <w:color w:val="000000" w:themeColor="text1"/>
          <w:sz w:val="20"/>
          <w:szCs w:val="20"/>
          <w:lang w:val="es-ES_tradnl"/>
        </w:rPr>
        <w:t>n</w:t>
      </w:r>
      <w:r w:rsidRPr="004B114F">
        <w:rPr>
          <w:rFonts w:asciiTheme="majorHAnsi" w:hAnsiTheme="majorHAnsi"/>
          <w:color w:val="000000" w:themeColor="text1"/>
          <w:sz w:val="20"/>
          <w:szCs w:val="20"/>
          <w:lang w:val="es-ES_tradnl"/>
        </w:rPr>
        <w:t xml:space="preserve"> </w:t>
      </w:r>
      <w:r w:rsidR="00366901" w:rsidRPr="004B114F">
        <w:rPr>
          <w:rFonts w:asciiTheme="majorHAnsi" w:hAnsiTheme="majorHAnsi"/>
          <w:color w:val="000000" w:themeColor="text1"/>
          <w:sz w:val="20"/>
          <w:szCs w:val="20"/>
          <w:lang w:val="es-ES_tradnl"/>
        </w:rPr>
        <w:t xml:space="preserve">bajo el control de los propios internos, lo que ha expuesto por años a las mujeres a </w:t>
      </w:r>
      <w:r w:rsidR="00BE7D0F" w:rsidRPr="004B114F">
        <w:rPr>
          <w:rFonts w:asciiTheme="majorHAnsi" w:hAnsiTheme="majorHAnsi"/>
          <w:color w:val="000000" w:themeColor="text1"/>
          <w:sz w:val="20"/>
          <w:szCs w:val="20"/>
          <w:lang w:val="es-ES_tradnl"/>
        </w:rPr>
        <w:t xml:space="preserve">diversas </w:t>
      </w:r>
      <w:r w:rsidR="00366901" w:rsidRPr="004B114F">
        <w:rPr>
          <w:rFonts w:asciiTheme="majorHAnsi" w:hAnsiTheme="majorHAnsi"/>
          <w:color w:val="000000" w:themeColor="text1"/>
          <w:sz w:val="20"/>
          <w:szCs w:val="20"/>
          <w:lang w:val="es-ES_tradnl"/>
        </w:rPr>
        <w:t xml:space="preserve">formas de violación de su dignidad y libertad sexual. Sostiene que las autoridades no tomaron las medidas adecuadas para </w:t>
      </w:r>
      <w:r w:rsidR="00A35AD1" w:rsidRPr="004B114F">
        <w:rPr>
          <w:rFonts w:asciiTheme="majorHAnsi" w:hAnsiTheme="majorHAnsi"/>
          <w:color w:val="000000" w:themeColor="text1"/>
          <w:sz w:val="20"/>
          <w:szCs w:val="20"/>
          <w:lang w:val="es-ES_tradnl"/>
        </w:rPr>
        <w:t>solucionar</w:t>
      </w:r>
      <w:r w:rsidR="00366901" w:rsidRPr="004B114F">
        <w:rPr>
          <w:rFonts w:asciiTheme="majorHAnsi" w:hAnsiTheme="majorHAnsi"/>
          <w:color w:val="000000" w:themeColor="text1"/>
          <w:sz w:val="20"/>
          <w:szCs w:val="20"/>
          <w:lang w:val="es-ES_tradnl"/>
        </w:rPr>
        <w:t xml:space="preserve"> </w:t>
      </w:r>
      <w:r w:rsidR="00A35AD1" w:rsidRPr="004B114F">
        <w:rPr>
          <w:rFonts w:asciiTheme="majorHAnsi" w:hAnsiTheme="majorHAnsi"/>
          <w:color w:val="000000" w:themeColor="text1"/>
          <w:sz w:val="20"/>
          <w:szCs w:val="20"/>
          <w:lang w:val="es-ES_tradnl"/>
        </w:rPr>
        <w:t xml:space="preserve">esta situación </w:t>
      </w:r>
      <w:r w:rsidR="00366901" w:rsidRPr="004B114F">
        <w:rPr>
          <w:rFonts w:asciiTheme="majorHAnsi" w:hAnsiTheme="majorHAnsi"/>
          <w:color w:val="000000" w:themeColor="text1"/>
          <w:sz w:val="20"/>
          <w:szCs w:val="20"/>
          <w:lang w:val="es-ES_tradnl"/>
        </w:rPr>
        <w:t xml:space="preserve">que se traducía en un número importante de muertes violentas mensualmente, así como en la ausencia de </w:t>
      </w:r>
      <w:r w:rsidR="002F1DAE" w:rsidRPr="004B114F">
        <w:rPr>
          <w:rFonts w:asciiTheme="majorHAnsi" w:hAnsiTheme="majorHAnsi"/>
          <w:color w:val="000000" w:themeColor="text1"/>
          <w:sz w:val="20"/>
          <w:szCs w:val="20"/>
          <w:lang w:val="es-ES_tradnl"/>
        </w:rPr>
        <w:t>separación entre</w:t>
      </w:r>
      <w:r w:rsidR="00366901" w:rsidRPr="004B114F">
        <w:rPr>
          <w:rFonts w:asciiTheme="majorHAnsi" w:hAnsiTheme="majorHAnsi"/>
          <w:color w:val="000000" w:themeColor="text1"/>
          <w:sz w:val="20"/>
          <w:szCs w:val="20"/>
          <w:lang w:val="es-ES_tradnl"/>
        </w:rPr>
        <w:t xml:space="preserve"> procesados </w:t>
      </w:r>
      <w:r w:rsidR="002F1DAE" w:rsidRPr="004B114F">
        <w:rPr>
          <w:rFonts w:asciiTheme="majorHAnsi" w:hAnsiTheme="majorHAnsi"/>
          <w:color w:val="000000" w:themeColor="text1"/>
          <w:sz w:val="20"/>
          <w:szCs w:val="20"/>
          <w:lang w:val="es-ES_tradnl"/>
        </w:rPr>
        <w:t xml:space="preserve">y </w:t>
      </w:r>
      <w:r w:rsidR="00366901" w:rsidRPr="004B114F">
        <w:rPr>
          <w:rFonts w:asciiTheme="majorHAnsi" w:hAnsiTheme="majorHAnsi"/>
          <w:color w:val="000000" w:themeColor="text1"/>
          <w:sz w:val="20"/>
          <w:szCs w:val="20"/>
          <w:lang w:val="es-ES_tradnl"/>
        </w:rPr>
        <w:t xml:space="preserve">condenados, </w:t>
      </w:r>
      <w:r w:rsidR="002F1DAE" w:rsidRPr="004B114F">
        <w:rPr>
          <w:rFonts w:asciiTheme="majorHAnsi" w:hAnsiTheme="majorHAnsi"/>
          <w:color w:val="000000" w:themeColor="text1"/>
          <w:sz w:val="20"/>
          <w:szCs w:val="20"/>
          <w:lang w:val="es-ES_tradnl"/>
        </w:rPr>
        <w:t>y entre</w:t>
      </w:r>
      <w:r w:rsidR="00366901" w:rsidRPr="004B114F">
        <w:rPr>
          <w:rFonts w:asciiTheme="majorHAnsi" w:hAnsiTheme="majorHAnsi"/>
          <w:color w:val="000000" w:themeColor="text1"/>
          <w:sz w:val="20"/>
          <w:szCs w:val="20"/>
          <w:lang w:val="es-ES_tradnl"/>
        </w:rPr>
        <w:t xml:space="preserve"> varones </w:t>
      </w:r>
      <w:r w:rsidR="002F1DAE" w:rsidRPr="004B114F">
        <w:rPr>
          <w:rFonts w:asciiTheme="majorHAnsi" w:hAnsiTheme="majorHAnsi"/>
          <w:color w:val="000000" w:themeColor="text1"/>
          <w:sz w:val="20"/>
          <w:szCs w:val="20"/>
          <w:lang w:val="es-ES_tradnl"/>
        </w:rPr>
        <w:t>y</w:t>
      </w:r>
      <w:r w:rsidR="00366901" w:rsidRPr="004B114F">
        <w:rPr>
          <w:rFonts w:asciiTheme="majorHAnsi" w:hAnsiTheme="majorHAnsi"/>
          <w:color w:val="000000" w:themeColor="text1"/>
          <w:sz w:val="20"/>
          <w:szCs w:val="20"/>
          <w:lang w:val="es-ES_tradnl"/>
        </w:rPr>
        <w:t xml:space="preserve"> mujeres. Destaca que en el Internado Anzoátegui existía una </w:t>
      </w:r>
      <w:r w:rsidR="00366901" w:rsidRPr="004B114F">
        <w:rPr>
          <w:rFonts w:asciiTheme="majorHAnsi" w:hAnsiTheme="majorHAnsi"/>
          <w:color w:val="000000" w:themeColor="text1"/>
          <w:sz w:val="20"/>
          <w:szCs w:val="20"/>
          <w:lang w:val="es-ES_tradnl"/>
        </w:rPr>
        <w:lastRenderedPageBreak/>
        <w:t>práctica arraiga</w:t>
      </w:r>
      <w:r w:rsidR="00903B81" w:rsidRPr="004B114F">
        <w:rPr>
          <w:rFonts w:asciiTheme="majorHAnsi" w:hAnsiTheme="majorHAnsi"/>
          <w:color w:val="000000" w:themeColor="text1"/>
          <w:sz w:val="20"/>
          <w:szCs w:val="20"/>
          <w:lang w:val="es-ES_tradnl"/>
        </w:rPr>
        <w:t>da</w:t>
      </w:r>
      <w:r w:rsidR="00366901" w:rsidRPr="004B114F">
        <w:rPr>
          <w:rFonts w:asciiTheme="majorHAnsi" w:hAnsiTheme="majorHAnsi"/>
          <w:color w:val="000000" w:themeColor="text1"/>
          <w:sz w:val="20"/>
          <w:szCs w:val="20"/>
          <w:lang w:val="es-ES_tradnl"/>
        </w:rPr>
        <w:t xml:space="preserve"> de servidumbre sexual en perjuicio de las reclusas</w:t>
      </w:r>
      <w:r w:rsidR="00DD3144" w:rsidRPr="004B114F">
        <w:rPr>
          <w:rFonts w:asciiTheme="majorHAnsi" w:hAnsiTheme="majorHAnsi"/>
          <w:color w:val="000000" w:themeColor="text1"/>
          <w:sz w:val="20"/>
          <w:szCs w:val="20"/>
          <w:lang w:val="es-ES_tradnl"/>
        </w:rPr>
        <w:t xml:space="preserve"> por parte de los internos varones</w:t>
      </w:r>
      <w:r w:rsidR="00366901" w:rsidRPr="004B114F">
        <w:rPr>
          <w:rFonts w:asciiTheme="majorHAnsi" w:hAnsiTheme="majorHAnsi"/>
          <w:color w:val="000000" w:themeColor="text1"/>
          <w:sz w:val="20"/>
          <w:szCs w:val="20"/>
          <w:lang w:val="es-ES_tradnl"/>
        </w:rPr>
        <w:t>, que no fue atendida ni corregida por las autoridades pertinentes.</w:t>
      </w:r>
      <w:bookmarkEnd w:id="5"/>
    </w:p>
    <w:p w14:paraId="5E4D8E65" w14:textId="77777777" w:rsidR="00DD3144" w:rsidRPr="004B114F" w:rsidRDefault="00DD3144" w:rsidP="004B114F">
      <w:pPr>
        <w:pStyle w:val="ListParagraph"/>
        <w:rPr>
          <w:rFonts w:asciiTheme="majorHAnsi" w:hAnsiTheme="majorHAnsi"/>
          <w:color w:val="000000" w:themeColor="text1"/>
          <w:sz w:val="20"/>
          <w:szCs w:val="20"/>
          <w:lang w:val="es-ES_tradnl"/>
        </w:rPr>
      </w:pPr>
    </w:p>
    <w:p w14:paraId="0A88FA94" w14:textId="6D4CBF49" w:rsidR="00DD3144" w:rsidRPr="004B114F" w:rsidRDefault="00DD3144" w:rsidP="07C31400">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630"/>
        <w:jc w:val="both"/>
        <w:rPr>
          <w:rFonts w:asciiTheme="majorHAnsi" w:hAnsiTheme="majorHAnsi"/>
          <w:color w:val="000000" w:themeColor="text1"/>
          <w:sz w:val="20"/>
          <w:szCs w:val="20"/>
          <w:lang w:val="es-ES"/>
        </w:rPr>
      </w:pPr>
      <w:r w:rsidRPr="07C31400">
        <w:rPr>
          <w:rFonts w:asciiTheme="majorHAnsi" w:hAnsiTheme="majorHAnsi"/>
          <w:color w:val="000000" w:themeColor="text1"/>
          <w:sz w:val="20"/>
          <w:szCs w:val="20"/>
          <w:lang w:val="es-ES"/>
        </w:rPr>
        <w:t>Expone que, en dicho contexto, el 6 de enero de 2002 la señora Maleno fue</w:t>
      </w:r>
      <w:r w:rsidR="00432912" w:rsidRPr="07C31400">
        <w:rPr>
          <w:rFonts w:asciiTheme="majorHAnsi" w:hAnsiTheme="majorHAnsi"/>
          <w:color w:val="000000" w:themeColor="text1"/>
          <w:sz w:val="20"/>
          <w:szCs w:val="20"/>
          <w:lang w:val="es-ES"/>
        </w:rPr>
        <w:t xml:space="preserve"> amenazada y</w:t>
      </w:r>
      <w:r w:rsidRPr="07C31400">
        <w:rPr>
          <w:rFonts w:asciiTheme="majorHAnsi" w:hAnsiTheme="majorHAnsi"/>
          <w:color w:val="000000" w:themeColor="text1"/>
          <w:sz w:val="20"/>
          <w:szCs w:val="20"/>
          <w:lang w:val="es-ES"/>
        </w:rPr>
        <w:t xml:space="preserve"> </w:t>
      </w:r>
      <w:r w:rsidR="00432912" w:rsidRPr="07C31400">
        <w:rPr>
          <w:rFonts w:asciiTheme="majorHAnsi" w:hAnsiTheme="majorHAnsi"/>
          <w:color w:val="000000" w:themeColor="text1"/>
          <w:sz w:val="20"/>
          <w:szCs w:val="20"/>
          <w:lang w:val="es-ES"/>
        </w:rPr>
        <w:t>violada sexualmente por cinco reclusos que ingresaron armados al anexo de mujeres.</w:t>
      </w:r>
      <w:r w:rsidR="002D6847" w:rsidRPr="07C31400">
        <w:rPr>
          <w:rFonts w:asciiTheme="majorHAnsi" w:hAnsiTheme="majorHAnsi"/>
          <w:color w:val="000000" w:themeColor="text1"/>
          <w:sz w:val="20"/>
          <w:szCs w:val="20"/>
          <w:lang w:val="es-ES"/>
        </w:rPr>
        <w:t xml:space="preserve"> Alega que, horas después de los hechos, la presunta víctima fue trasladada por las autoridades penitenciarias a un hospital a fin de que reciba atención médica urgen</w:t>
      </w:r>
      <w:r w:rsidR="002F1DAE" w:rsidRPr="07C31400">
        <w:rPr>
          <w:rFonts w:asciiTheme="majorHAnsi" w:hAnsiTheme="majorHAnsi"/>
          <w:color w:val="000000" w:themeColor="text1"/>
          <w:sz w:val="20"/>
          <w:szCs w:val="20"/>
          <w:lang w:val="es-ES"/>
        </w:rPr>
        <w:t>te</w:t>
      </w:r>
      <w:r w:rsidR="002D6847" w:rsidRPr="07C31400">
        <w:rPr>
          <w:rFonts w:asciiTheme="majorHAnsi" w:hAnsiTheme="majorHAnsi"/>
          <w:color w:val="000000" w:themeColor="text1"/>
          <w:sz w:val="20"/>
          <w:szCs w:val="20"/>
          <w:lang w:val="es-ES"/>
        </w:rPr>
        <w:t xml:space="preserve">, luego de lo cual, regresó nuevamente al Internado Anzoátegui. </w:t>
      </w:r>
      <w:r w:rsidR="002F1DAE" w:rsidRPr="07C31400">
        <w:rPr>
          <w:rFonts w:asciiTheme="majorHAnsi" w:hAnsiTheme="majorHAnsi"/>
          <w:color w:val="000000" w:themeColor="text1"/>
          <w:sz w:val="20"/>
          <w:szCs w:val="20"/>
          <w:lang w:val="es-ES"/>
        </w:rPr>
        <w:t>A</w:t>
      </w:r>
      <w:r w:rsidR="002D6847" w:rsidRPr="07C31400">
        <w:rPr>
          <w:rFonts w:asciiTheme="majorHAnsi" w:hAnsiTheme="majorHAnsi"/>
          <w:color w:val="000000" w:themeColor="text1"/>
          <w:sz w:val="20"/>
          <w:szCs w:val="20"/>
          <w:lang w:val="es-ES"/>
        </w:rPr>
        <w:t xml:space="preserve">firma que las autoridades no aseguraron que la presunta víctima reciba </w:t>
      </w:r>
      <w:r w:rsidR="00A35AD1" w:rsidRPr="07C31400">
        <w:rPr>
          <w:rFonts w:asciiTheme="majorHAnsi" w:hAnsiTheme="majorHAnsi"/>
          <w:color w:val="000000" w:themeColor="text1"/>
          <w:sz w:val="20"/>
          <w:szCs w:val="20"/>
          <w:lang w:val="es-ES"/>
        </w:rPr>
        <w:t>la</w:t>
      </w:r>
      <w:r w:rsidR="002D6847" w:rsidRPr="07C31400">
        <w:rPr>
          <w:rFonts w:asciiTheme="majorHAnsi" w:hAnsiTheme="majorHAnsi"/>
          <w:color w:val="000000" w:themeColor="text1"/>
          <w:sz w:val="20"/>
          <w:szCs w:val="20"/>
          <w:lang w:val="es-ES"/>
        </w:rPr>
        <w:t xml:space="preserve"> atención médica</w:t>
      </w:r>
      <w:r w:rsidR="00E574CE" w:rsidRPr="07C31400">
        <w:rPr>
          <w:rFonts w:asciiTheme="majorHAnsi" w:hAnsiTheme="majorHAnsi"/>
          <w:color w:val="000000" w:themeColor="text1"/>
          <w:sz w:val="20"/>
          <w:szCs w:val="20"/>
          <w:lang w:val="es-ES"/>
        </w:rPr>
        <w:t>, física</w:t>
      </w:r>
      <w:r w:rsidR="002D6847" w:rsidRPr="07C31400">
        <w:rPr>
          <w:rFonts w:asciiTheme="majorHAnsi" w:hAnsiTheme="majorHAnsi"/>
          <w:color w:val="000000" w:themeColor="text1"/>
          <w:sz w:val="20"/>
          <w:szCs w:val="20"/>
          <w:lang w:val="es-ES"/>
        </w:rPr>
        <w:t xml:space="preserve"> y psicológica que </w:t>
      </w:r>
      <w:r w:rsidR="005D647F" w:rsidRPr="07C31400">
        <w:rPr>
          <w:rFonts w:asciiTheme="majorHAnsi" w:hAnsiTheme="majorHAnsi"/>
          <w:color w:val="000000" w:themeColor="text1"/>
          <w:sz w:val="20"/>
          <w:szCs w:val="20"/>
          <w:lang w:val="es-ES"/>
        </w:rPr>
        <w:t xml:space="preserve">los </w:t>
      </w:r>
      <w:r w:rsidR="002D6847" w:rsidRPr="07C31400">
        <w:rPr>
          <w:rFonts w:asciiTheme="majorHAnsi" w:hAnsiTheme="majorHAnsi"/>
          <w:color w:val="000000" w:themeColor="text1"/>
          <w:sz w:val="20"/>
          <w:szCs w:val="20"/>
          <w:lang w:val="es-ES"/>
        </w:rPr>
        <w:t xml:space="preserve">casos </w:t>
      </w:r>
      <w:r w:rsidR="005D647F" w:rsidRPr="07C31400">
        <w:rPr>
          <w:rFonts w:asciiTheme="majorHAnsi" w:hAnsiTheme="majorHAnsi"/>
          <w:color w:val="000000" w:themeColor="text1"/>
          <w:sz w:val="20"/>
          <w:szCs w:val="20"/>
          <w:lang w:val="es-ES"/>
        </w:rPr>
        <w:t xml:space="preserve">de violencia sexual </w:t>
      </w:r>
      <w:r w:rsidR="002D6847" w:rsidRPr="07C31400">
        <w:rPr>
          <w:rFonts w:asciiTheme="majorHAnsi" w:hAnsiTheme="majorHAnsi"/>
          <w:color w:val="000000" w:themeColor="text1"/>
          <w:sz w:val="20"/>
          <w:szCs w:val="20"/>
          <w:lang w:val="es-ES"/>
        </w:rPr>
        <w:t xml:space="preserve">requieren, ni se </w:t>
      </w:r>
      <w:r w:rsidR="005D647F" w:rsidRPr="07C31400">
        <w:rPr>
          <w:rFonts w:asciiTheme="majorHAnsi" w:hAnsiTheme="majorHAnsi"/>
          <w:color w:val="000000" w:themeColor="text1"/>
          <w:sz w:val="20"/>
          <w:szCs w:val="20"/>
          <w:lang w:val="es-ES"/>
        </w:rPr>
        <w:t>le pract</w:t>
      </w:r>
      <w:r w:rsidR="00A35AD1" w:rsidRPr="07C31400">
        <w:rPr>
          <w:rFonts w:asciiTheme="majorHAnsi" w:hAnsiTheme="majorHAnsi"/>
          <w:color w:val="000000" w:themeColor="text1"/>
          <w:sz w:val="20"/>
          <w:szCs w:val="20"/>
          <w:lang w:val="es-ES"/>
        </w:rPr>
        <w:t>icaron</w:t>
      </w:r>
      <w:r w:rsidR="002D6847" w:rsidRPr="07C31400">
        <w:rPr>
          <w:rFonts w:asciiTheme="majorHAnsi" w:hAnsiTheme="majorHAnsi"/>
          <w:color w:val="000000" w:themeColor="text1"/>
          <w:sz w:val="20"/>
          <w:szCs w:val="20"/>
          <w:lang w:val="es-ES"/>
        </w:rPr>
        <w:t xml:space="preserve"> las pruebas de despistaje de </w:t>
      </w:r>
      <w:r w:rsidR="00E574CE" w:rsidRPr="07C31400">
        <w:rPr>
          <w:rFonts w:asciiTheme="majorHAnsi" w:hAnsiTheme="majorHAnsi"/>
          <w:color w:val="000000" w:themeColor="text1"/>
          <w:sz w:val="20"/>
          <w:szCs w:val="20"/>
          <w:lang w:val="es-ES"/>
        </w:rPr>
        <w:t xml:space="preserve">enfermedades venéreas </w:t>
      </w:r>
      <w:r w:rsidR="002120D8" w:rsidRPr="07C31400">
        <w:rPr>
          <w:rFonts w:asciiTheme="majorHAnsi" w:hAnsiTheme="majorHAnsi"/>
          <w:color w:val="000000" w:themeColor="text1"/>
          <w:sz w:val="20"/>
          <w:szCs w:val="20"/>
          <w:lang w:val="es-ES"/>
        </w:rPr>
        <w:t>ni</w:t>
      </w:r>
      <w:r w:rsidR="00E574CE" w:rsidRPr="07C31400">
        <w:rPr>
          <w:rFonts w:asciiTheme="majorHAnsi" w:hAnsiTheme="majorHAnsi"/>
          <w:color w:val="000000" w:themeColor="text1"/>
          <w:sz w:val="20"/>
          <w:szCs w:val="20"/>
          <w:lang w:val="es-ES"/>
        </w:rPr>
        <w:t xml:space="preserve"> de VIH.</w:t>
      </w:r>
      <w:r w:rsidR="002D6847" w:rsidRPr="07C31400">
        <w:rPr>
          <w:rFonts w:asciiTheme="majorHAnsi" w:hAnsiTheme="majorHAnsi"/>
          <w:color w:val="000000" w:themeColor="text1"/>
          <w:sz w:val="20"/>
          <w:szCs w:val="20"/>
          <w:lang w:val="es-ES"/>
        </w:rPr>
        <w:t xml:space="preserve"> Indica que </w:t>
      </w:r>
      <w:r w:rsidR="005D647F" w:rsidRPr="07C31400">
        <w:rPr>
          <w:rFonts w:asciiTheme="majorHAnsi" w:hAnsiTheme="majorHAnsi"/>
          <w:color w:val="000000" w:themeColor="text1"/>
          <w:sz w:val="20"/>
          <w:szCs w:val="20"/>
          <w:lang w:val="es-ES"/>
        </w:rPr>
        <w:t>la situación sufrida</w:t>
      </w:r>
      <w:r w:rsidR="00EF1007" w:rsidRPr="07C31400">
        <w:rPr>
          <w:rFonts w:asciiTheme="majorHAnsi" w:hAnsiTheme="majorHAnsi"/>
          <w:color w:val="000000" w:themeColor="text1"/>
          <w:sz w:val="20"/>
          <w:szCs w:val="20"/>
          <w:lang w:val="es-ES"/>
        </w:rPr>
        <w:t xml:space="preserve"> por</w:t>
      </w:r>
      <w:r w:rsidR="002D6847" w:rsidRPr="07C31400">
        <w:rPr>
          <w:rFonts w:asciiTheme="majorHAnsi" w:hAnsiTheme="majorHAnsi"/>
          <w:color w:val="000000" w:themeColor="text1"/>
          <w:sz w:val="20"/>
          <w:szCs w:val="20"/>
          <w:lang w:val="es-ES"/>
        </w:rPr>
        <w:t xml:space="preserve"> la presunta víctima no representa un hecho aislado</w:t>
      </w:r>
      <w:r w:rsidR="00EF1007" w:rsidRPr="07C31400">
        <w:rPr>
          <w:rFonts w:asciiTheme="majorHAnsi" w:hAnsiTheme="majorHAnsi"/>
          <w:color w:val="000000" w:themeColor="text1"/>
          <w:sz w:val="20"/>
          <w:szCs w:val="20"/>
          <w:lang w:val="es-ES"/>
        </w:rPr>
        <w:t>,</w:t>
      </w:r>
      <w:r w:rsidR="002D6847" w:rsidRPr="07C31400">
        <w:rPr>
          <w:rFonts w:asciiTheme="majorHAnsi" w:hAnsiTheme="majorHAnsi"/>
          <w:color w:val="000000" w:themeColor="text1"/>
          <w:sz w:val="20"/>
          <w:szCs w:val="20"/>
          <w:lang w:val="es-ES"/>
        </w:rPr>
        <w:t xml:space="preserve"> sino </w:t>
      </w:r>
      <w:r w:rsidR="00EF1007" w:rsidRPr="07C31400">
        <w:rPr>
          <w:rFonts w:asciiTheme="majorHAnsi" w:hAnsiTheme="majorHAnsi"/>
          <w:color w:val="000000" w:themeColor="text1"/>
          <w:sz w:val="20"/>
          <w:szCs w:val="20"/>
          <w:lang w:val="es-ES"/>
        </w:rPr>
        <w:t xml:space="preserve">que constituye </w:t>
      </w:r>
      <w:r w:rsidR="002D6847" w:rsidRPr="07C31400">
        <w:rPr>
          <w:rFonts w:asciiTheme="majorHAnsi" w:hAnsiTheme="majorHAnsi"/>
          <w:color w:val="000000" w:themeColor="text1"/>
          <w:sz w:val="20"/>
          <w:szCs w:val="20"/>
          <w:lang w:val="es-ES"/>
        </w:rPr>
        <w:t>una muestra de cómo opera el sistema carcelario en Venezuela sin que las autoridades desplieguen esfuerzos para prevenir, sancionar y erradicar la violencia contra la mujer.</w:t>
      </w:r>
      <w:r w:rsidR="005D647F" w:rsidRPr="07C31400">
        <w:rPr>
          <w:rFonts w:asciiTheme="majorHAnsi" w:hAnsiTheme="majorHAnsi"/>
          <w:color w:val="000000" w:themeColor="text1"/>
          <w:sz w:val="20"/>
          <w:szCs w:val="20"/>
          <w:lang w:val="es-ES"/>
        </w:rPr>
        <w:t xml:space="preserve"> Añade que el Estado no cuenta con normativa alguna ni protocolos de actuación aplicables a casos de violencia contra mujeres privadas de su libertad. </w:t>
      </w:r>
    </w:p>
    <w:p w14:paraId="4401C825" w14:textId="77777777" w:rsidR="005D647F" w:rsidRPr="004B114F" w:rsidRDefault="005D647F" w:rsidP="004B114F">
      <w:pPr>
        <w:pStyle w:val="ListParagraph"/>
        <w:rPr>
          <w:rFonts w:asciiTheme="majorHAnsi" w:hAnsiTheme="majorHAnsi"/>
          <w:color w:val="000000" w:themeColor="text1"/>
          <w:sz w:val="20"/>
          <w:szCs w:val="20"/>
          <w:lang w:val="es-ES_tradnl"/>
        </w:rPr>
      </w:pPr>
    </w:p>
    <w:p w14:paraId="3A839462" w14:textId="64E583B3" w:rsidR="005D647F" w:rsidRPr="004B114F" w:rsidRDefault="0088374C" w:rsidP="00DE778C">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630"/>
        <w:jc w:val="both"/>
        <w:rPr>
          <w:rFonts w:asciiTheme="majorHAnsi" w:hAnsiTheme="majorHAnsi"/>
          <w:color w:val="000000" w:themeColor="text1"/>
          <w:sz w:val="20"/>
          <w:szCs w:val="20"/>
          <w:lang w:val="es-ES_tradnl"/>
        </w:rPr>
      </w:pPr>
      <w:r w:rsidRPr="004B114F">
        <w:rPr>
          <w:rFonts w:asciiTheme="majorHAnsi" w:hAnsiTheme="majorHAnsi"/>
          <w:color w:val="000000" w:themeColor="text1"/>
          <w:sz w:val="20"/>
          <w:szCs w:val="20"/>
          <w:lang w:val="es-ES_tradnl"/>
        </w:rPr>
        <w:t>S</w:t>
      </w:r>
      <w:r w:rsidR="005D647F" w:rsidRPr="004B114F">
        <w:rPr>
          <w:rFonts w:asciiTheme="majorHAnsi" w:hAnsiTheme="majorHAnsi"/>
          <w:color w:val="000000" w:themeColor="text1"/>
          <w:sz w:val="20"/>
          <w:szCs w:val="20"/>
          <w:lang w:val="es-ES_tradnl"/>
        </w:rPr>
        <w:t>eñala que</w:t>
      </w:r>
      <w:r w:rsidRPr="004B114F">
        <w:rPr>
          <w:rFonts w:asciiTheme="majorHAnsi" w:hAnsiTheme="majorHAnsi"/>
          <w:color w:val="000000" w:themeColor="text1"/>
          <w:sz w:val="20"/>
          <w:szCs w:val="20"/>
          <w:lang w:val="es-ES_tradnl"/>
        </w:rPr>
        <w:t>,</w:t>
      </w:r>
      <w:r w:rsidR="005D647F" w:rsidRPr="004B114F">
        <w:rPr>
          <w:rFonts w:asciiTheme="majorHAnsi" w:hAnsiTheme="majorHAnsi"/>
          <w:color w:val="000000" w:themeColor="text1"/>
          <w:sz w:val="20"/>
          <w:szCs w:val="20"/>
          <w:lang w:val="es-ES_tradnl"/>
        </w:rPr>
        <w:t xml:space="preserve"> al conocer la señora Maleno la identidad de sus agresores</w:t>
      </w:r>
      <w:r w:rsidRPr="004B114F">
        <w:rPr>
          <w:rFonts w:asciiTheme="majorHAnsi" w:hAnsiTheme="majorHAnsi"/>
          <w:color w:val="000000" w:themeColor="text1"/>
          <w:sz w:val="20"/>
          <w:szCs w:val="20"/>
          <w:lang w:val="es-ES_tradnl"/>
        </w:rPr>
        <w:t>,</w:t>
      </w:r>
      <w:r w:rsidR="005D647F" w:rsidRPr="004B114F">
        <w:rPr>
          <w:rFonts w:asciiTheme="majorHAnsi" w:hAnsiTheme="majorHAnsi"/>
          <w:color w:val="000000" w:themeColor="text1"/>
          <w:sz w:val="20"/>
          <w:szCs w:val="20"/>
          <w:lang w:val="es-ES_tradnl"/>
        </w:rPr>
        <w:t xml:space="preserve"> denunció lo sucedido ante el director del Internado Anzoátegui y otras autoridades judiciales, mostrando su disposición a declarar contra ellos. Sostiene que, frente a esta denuncia, las autoridades penitenciarias, judiciales, la Defensoría del Pueblo y el Ministerio Público adoptaron una serie de medidas que resultaron insuficientes </w:t>
      </w:r>
      <w:r w:rsidR="00E9095B" w:rsidRPr="004B114F">
        <w:rPr>
          <w:rFonts w:asciiTheme="majorHAnsi" w:hAnsiTheme="majorHAnsi"/>
          <w:color w:val="000000" w:themeColor="text1"/>
          <w:sz w:val="20"/>
          <w:szCs w:val="20"/>
          <w:lang w:val="es-ES_tradnl"/>
        </w:rPr>
        <w:t>e</w:t>
      </w:r>
      <w:r w:rsidR="005D647F" w:rsidRPr="004B114F">
        <w:rPr>
          <w:rFonts w:asciiTheme="majorHAnsi" w:hAnsiTheme="majorHAnsi"/>
          <w:color w:val="000000" w:themeColor="text1"/>
          <w:sz w:val="20"/>
          <w:szCs w:val="20"/>
          <w:lang w:val="es-ES_tradnl"/>
        </w:rPr>
        <w:t xml:space="preserve"> inapropiadas.</w:t>
      </w:r>
      <w:r w:rsidR="00E9095B" w:rsidRPr="004B114F">
        <w:rPr>
          <w:rFonts w:asciiTheme="majorHAnsi" w:hAnsiTheme="majorHAnsi"/>
          <w:color w:val="000000" w:themeColor="text1"/>
          <w:sz w:val="20"/>
          <w:szCs w:val="20"/>
          <w:lang w:val="es-ES_tradnl"/>
        </w:rPr>
        <w:t xml:space="preserve"> </w:t>
      </w:r>
      <w:r w:rsidR="00A35AD1" w:rsidRPr="004B114F">
        <w:rPr>
          <w:rFonts w:asciiTheme="majorHAnsi" w:hAnsiTheme="majorHAnsi"/>
          <w:color w:val="000000" w:themeColor="text1"/>
          <w:sz w:val="20"/>
          <w:szCs w:val="20"/>
          <w:lang w:val="es-ES_tradnl"/>
        </w:rPr>
        <w:t>Por un lado</w:t>
      </w:r>
      <w:r w:rsidR="005D647F" w:rsidRPr="004B114F">
        <w:rPr>
          <w:rFonts w:asciiTheme="majorHAnsi" w:hAnsiTheme="majorHAnsi"/>
          <w:color w:val="000000" w:themeColor="text1"/>
          <w:sz w:val="20"/>
          <w:szCs w:val="20"/>
          <w:lang w:val="es-ES_tradnl"/>
        </w:rPr>
        <w:t xml:space="preserve">, </w:t>
      </w:r>
      <w:r w:rsidR="00E9095B" w:rsidRPr="004B114F">
        <w:rPr>
          <w:rFonts w:asciiTheme="majorHAnsi" w:hAnsiTheme="majorHAnsi"/>
          <w:color w:val="000000" w:themeColor="text1"/>
          <w:sz w:val="20"/>
          <w:szCs w:val="20"/>
          <w:lang w:val="es-ES_tradnl"/>
        </w:rPr>
        <w:t xml:space="preserve">indica que </w:t>
      </w:r>
      <w:r w:rsidR="005D647F" w:rsidRPr="004B114F">
        <w:rPr>
          <w:rFonts w:asciiTheme="majorHAnsi" w:hAnsiTheme="majorHAnsi"/>
          <w:color w:val="000000" w:themeColor="text1"/>
          <w:sz w:val="20"/>
          <w:szCs w:val="20"/>
          <w:lang w:val="es-ES_tradnl"/>
        </w:rPr>
        <w:t xml:space="preserve">se dispuso que la presunta víctima se someta a </w:t>
      </w:r>
      <w:r w:rsidR="00181190" w:rsidRPr="004B114F">
        <w:rPr>
          <w:rFonts w:asciiTheme="majorHAnsi" w:hAnsiTheme="majorHAnsi"/>
          <w:color w:val="000000" w:themeColor="text1"/>
          <w:sz w:val="20"/>
          <w:szCs w:val="20"/>
          <w:lang w:val="es-ES_tradnl"/>
        </w:rPr>
        <w:t xml:space="preserve">una prueba médica forense </w:t>
      </w:r>
      <w:r w:rsidRPr="004B114F">
        <w:rPr>
          <w:rFonts w:asciiTheme="majorHAnsi" w:hAnsiTheme="majorHAnsi"/>
          <w:color w:val="000000" w:themeColor="text1"/>
          <w:sz w:val="20"/>
          <w:szCs w:val="20"/>
          <w:lang w:val="es-ES_tradnl"/>
        </w:rPr>
        <w:t>varios</w:t>
      </w:r>
      <w:r w:rsidR="00181190" w:rsidRPr="004B114F">
        <w:rPr>
          <w:rFonts w:asciiTheme="majorHAnsi" w:hAnsiTheme="majorHAnsi"/>
          <w:color w:val="000000" w:themeColor="text1"/>
          <w:sz w:val="20"/>
          <w:szCs w:val="20"/>
          <w:lang w:val="es-ES_tradnl"/>
        </w:rPr>
        <w:t xml:space="preserve"> días después de la agresión sexual. </w:t>
      </w:r>
      <w:r w:rsidR="00E9095B" w:rsidRPr="004B114F">
        <w:rPr>
          <w:rFonts w:asciiTheme="majorHAnsi" w:hAnsiTheme="majorHAnsi"/>
          <w:color w:val="000000" w:themeColor="text1"/>
          <w:sz w:val="20"/>
          <w:szCs w:val="20"/>
          <w:lang w:val="es-ES_tradnl"/>
        </w:rPr>
        <w:t>I</w:t>
      </w:r>
      <w:r w:rsidR="00A35AD1" w:rsidRPr="004B114F">
        <w:rPr>
          <w:rFonts w:asciiTheme="majorHAnsi" w:hAnsiTheme="majorHAnsi"/>
          <w:color w:val="000000" w:themeColor="text1"/>
          <w:sz w:val="20"/>
          <w:szCs w:val="20"/>
          <w:lang w:val="es-ES_tradnl"/>
        </w:rPr>
        <w:t xml:space="preserve">nforma </w:t>
      </w:r>
      <w:r w:rsidR="00181190" w:rsidRPr="004B114F">
        <w:rPr>
          <w:rFonts w:asciiTheme="majorHAnsi" w:hAnsiTheme="majorHAnsi"/>
          <w:color w:val="000000" w:themeColor="text1"/>
          <w:sz w:val="20"/>
          <w:szCs w:val="20"/>
          <w:lang w:val="es-ES_tradnl"/>
        </w:rPr>
        <w:t xml:space="preserve">que la pericia arrojó que la señora Maleno tenía una inflamación inespecífica en la región anal cuya causa no se podía precisar. </w:t>
      </w:r>
      <w:r w:rsidR="00EB7A42">
        <w:rPr>
          <w:rFonts w:asciiTheme="majorHAnsi" w:hAnsiTheme="majorHAnsi"/>
          <w:color w:val="000000" w:themeColor="text1"/>
          <w:sz w:val="20"/>
          <w:szCs w:val="20"/>
          <w:lang w:val="es-ES_tradnl"/>
        </w:rPr>
        <w:t>Sobre la</w:t>
      </w:r>
      <w:r w:rsidR="00181190" w:rsidRPr="004B114F">
        <w:rPr>
          <w:rFonts w:asciiTheme="majorHAnsi" w:hAnsiTheme="majorHAnsi"/>
          <w:color w:val="000000" w:themeColor="text1"/>
          <w:sz w:val="20"/>
          <w:szCs w:val="20"/>
          <w:lang w:val="es-ES_tradnl"/>
        </w:rPr>
        <w:t xml:space="preserve"> base </w:t>
      </w:r>
      <w:r w:rsidR="00EB7A42">
        <w:rPr>
          <w:rFonts w:asciiTheme="majorHAnsi" w:hAnsiTheme="majorHAnsi"/>
          <w:color w:val="000000" w:themeColor="text1"/>
          <w:sz w:val="20"/>
          <w:szCs w:val="20"/>
          <w:lang w:val="es-ES_tradnl"/>
        </w:rPr>
        <w:t>de</w:t>
      </w:r>
      <w:r w:rsidR="00181190" w:rsidRPr="004B114F">
        <w:rPr>
          <w:rFonts w:asciiTheme="majorHAnsi" w:hAnsiTheme="majorHAnsi"/>
          <w:color w:val="000000" w:themeColor="text1"/>
          <w:sz w:val="20"/>
          <w:szCs w:val="20"/>
          <w:lang w:val="es-ES_tradnl"/>
        </w:rPr>
        <w:t xml:space="preserve"> esta información, el Fiscal Penitenciario abri</w:t>
      </w:r>
      <w:r w:rsidRPr="004B114F">
        <w:rPr>
          <w:rFonts w:asciiTheme="majorHAnsi" w:hAnsiTheme="majorHAnsi"/>
          <w:color w:val="000000" w:themeColor="text1"/>
          <w:sz w:val="20"/>
          <w:szCs w:val="20"/>
          <w:lang w:val="es-ES_tradnl"/>
        </w:rPr>
        <w:t>ó</w:t>
      </w:r>
      <w:r w:rsidR="00181190" w:rsidRPr="004B114F">
        <w:rPr>
          <w:rFonts w:asciiTheme="majorHAnsi" w:hAnsiTheme="majorHAnsi"/>
          <w:color w:val="000000" w:themeColor="text1"/>
          <w:sz w:val="20"/>
          <w:szCs w:val="20"/>
          <w:lang w:val="es-ES_tradnl"/>
        </w:rPr>
        <w:t xml:space="preserve"> una causa por delito de “simulación de hecho punible”</w:t>
      </w:r>
      <w:r w:rsidRPr="004B114F">
        <w:rPr>
          <w:rFonts w:asciiTheme="majorHAnsi" w:hAnsiTheme="majorHAnsi"/>
          <w:color w:val="000000" w:themeColor="text1"/>
          <w:sz w:val="20"/>
          <w:szCs w:val="20"/>
          <w:lang w:val="es-ES_tradnl"/>
        </w:rPr>
        <w:t xml:space="preserve"> contra la presunta víctima</w:t>
      </w:r>
      <w:r w:rsidR="00181190" w:rsidRPr="004B114F">
        <w:rPr>
          <w:rFonts w:asciiTheme="majorHAnsi" w:hAnsiTheme="majorHAnsi"/>
          <w:color w:val="000000" w:themeColor="text1"/>
          <w:sz w:val="20"/>
          <w:szCs w:val="20"/>
          <w:lang w:val="es-ES_tradnl"/>
        </w:rPr>
        <w:t>.</w:t>
      </w:r>
    </w:p>
    <w:p w14:paraId="64E04E43" w14:textId="77777777" w:rsidR="00181190" w:rsidRPr="004B114F" w:rsidRDefault="00181190" w:rsidP="004B114F">
      <w:pPr>
        <w:pStyle w:val="ListParagraph"/>
        <w:rPr>
          <w:rFonts w:asciiTheme="majorHAnsi" w:hAnsiTheme="majorHAnsi"/>
          <w:color w:val="000000" w:themeColor="text1"/>
          <w:sz w:val="20"/>
          <w:szCs w:val="20"/>
          <w:lang w:val="es-ES_tradnl"/>
        </w:rPr>
      </w:pPr>
    </w:p>
    <w:p w14:paraId="4F797909" w14:textId="7B9CB756" w:rsidR="00181190" w:rsidRPr="004B114F" w:rsidRDefault="00181190" w:rsidP="07C31400">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630"/>
        <w:jc w:val="both"/>
        <w:rPr>
          <w:rFonts w:asciiTheme="majorHAnsi" w:hAnsiTheme="majorHAnsi"/>
          <w:color w:val="000000" w:themeColor="text1"/>
          <w:sz w:val="20"/>
          <w:szCs w:val="20"/>
          <w:lang w:val="es-ES"/>
        </w:rPr>
      </w:pPr>
      <w:r w:rsidRPr="07C31400">
        <w:rPr>
          <w:rFonts w:asciiTheme="majorHAnsi" w:hAnsiTheme="majorHAnsi"/>
          <w:color w:val="000000" w:themeColor="text1"/>
          <w:sz w:val="20"/>
          <w:szCs w:val="20"/>
          <w:lang w:val="es-ES"/>
        </w:rPr>
        <w:t xml:space="preserve">Además, sostiene que, </w:t>
      </w:r>
      <w:r w:rsidR="00E62A4E" w:rsidRPr="07C31400">
        <w:rPr>
          <w:rFonts w:asciiTheme="majorHAnsi" w:hAnsiTheme="majorHAnsi"/>
          <w:color w:val="000000" w:themeColor="text1"/>
          <w:sz w:val="20"/>
          <w:szCs w:val="20"/>
          <w:lang w:val="es-ES"/>
        </w:rPr>
        <w:t xml:space="preserve">como medida correctiva, </w:t>
      </w:r>
      <w:r w:rsidRPr="07C31400">
        <w:rPr>
          <w:rFonts w:asciiTheme="majorHAnsi" w:hAnsiTheme="majorHAnsi"/>
          <w:color w:val="000000" w:themeColor="text1"/>
          <w:sz w:val="20"/>
          <w:szCs w:val="20"/>
          <w:lang w:val="es-ES"/>
        </w:rPr>
        <w:t>las autoridades penitenciarias decidieron trasladar</w:t>
      </w:r>
      <w:r w:rsidR="00E62A4E" w:rsidRPr="07C31400">
        <w:rPr>
          <w:rFonts w:asciiTheme="majorHAnsi" w:hAnsiTheme="majorHAnsi"/>
          <w:color w:val="000000" w:themeColor="text1"/>
          <w:sz w:val="20"/>
          <w:szCs w:val="20"/>
          <w:lang w:val="es-ES"/>
        </w:rPr>
        <w:t xml:space="preserve"> a los reclusos identificados por la presunta víctima como sus agresores </w:t>
      </w:r>
      <w:r w:rsidRPr="07C31400">
        <w:rPr>
          <w:rFonts w:asciiTheme="majorHAnsi" w:hAnsiTheme="majorHAnsi"/>
          <w:color w:val="000000" w:themeColor="text1"/>
          <w:sz w:val="20"/>
          <w:szCs w:val="20"/>
          <w:lang w:val="es-ES"/>
        </w:rPr>
        <w:t>a la cárcel “El Dorado”, donde cumplirían con un castigo de carácter administrativo. Indica que</w:t>
      </w:r>
      <w:r w:rsidR="00E62A4E" w:rsidRPr="07C31400">
        <w:rPr>
          <w:rFonts w:asciiTheme="majorHAnsi" w:hAnsiTheme="majorHAnsi"/>
          <w:color w:val="000000" w:themeColor="text1"/>
          <w:sz w:val="20"/>
          <w:szCs w:val="20"/>
          <w:lang w:val="es-ES"/>
        </w:rPr>
        <w:t>, a pesar de que</w:t>
      </w:r>
      <w:r w:rsidRPr="07C31400">
        <w:rPr>
          <w:rFonts w:asciiTheme="majorHAnsi" w:hAnsiTheme="majorHAnsi"/>
          <w:color w:val="000000" w:themeColor="text1"/>
          <w:sz w:val="20"/>
          <w:szCs w:val="20"/>
          <w:lang w:val="es-ES"/>
        </w:rPr>
        <w:t xml:space="preserve"> los presuntos responsables </w:t>
      </w:r>
      <w:r w:rsidR="00E62A4E" w:rsidRPr="07C31400">
        <w:rPr>
          <w:rFonts w:asciiTheme="majorHAnsi" w:hAnsiTheme="majorHAnsi"/>
          <w:color w:val="000000" w:themeColor="text1"/>
          <w:sz w:val="20"/>
          <w:szCs w:val="20"/>
          <w:lang w:val="es-ES"/>
        </w:rPr>
        <w:t xml:space="preserve">se encontraban </w:t>
      </w:r>
      <w:r w:rsidRPr="07C31400">
        <w:rPr>
          <w:rFonts w:asciiTheme="majorHAnsi" w:hAnsiTheme="majorHAnsi"/>
          <w:color w:val="000000" w:themeColor="text1"/>
          <w:sz w:val="20"/>
          <w:szCs w:val="20"/>
          <w:lang w:val="es-ES"/>
        </w:rPr>
        <w:t>a disposición de las autoridades por su condición de reclusos</w:t>
      </w:r>
      <w:r w:rsidR="00E62A4E" w:rsidRPr="07C31400">
        <w:rPr>
          <w:rFonts w:asciiTheme="majorHAnsi" w:hAnsiTheme="majorHAnsi"/>
          <w:color w:val="000000" w:themeColor="text1"/>
          <w:sz w:val="20"/>
          <w:szCs w:val="20"/>
          <w:lang w:val="es-ES"/>
        </w:rPr>
        <w:t xml:space="preserve">, nunca se aseguró que rindan declaraciones </w:t>
      </w:r>
      <w:r w:rsidRPr="07C31400">
        <w:rPr>
          <w:rFonts w:asciiTheme="majorHAnsi" w:hAnsiTheme="majorHAnsi"/>
          <w:color w:val="000000" w:themeColor="text1"/>
          <w:sz w:val="20"/>
          <w:szCs w:val="20"/>
          <w:lang w:val="es-ES"/>
        </w:rPr>
        <w:t>ni que se practiquen las pruebas correspondientes.</w:t>
      </w:r>
      <w:r w:rsidR="00162B39" w:rsidRPr="07C31400">
        <w:rPr>
          <w:rFonts w:asciiTheme="majorHAnsi" w:hAnsiTheme="majorHAnsi"/>
          <w:color w:val="000000" w:themeColor="text1"/>
          <w:sz w:val="20"/>
          <w:szCs w:val="20"/>
          <w:lang w:val="es-ES"/>
        </w:rPr>
        <w:t xml:space="preserve"> </w:t>
      </w:r>
      <w:r w:rsidRPr="07C31400">
        <w:rPr>
          <w:rFonts w:asciiTheme="majorHAnsi" w:hAnsiTheme="majorHAnsi"/>
          <w:color w:val="000000" w:themeColor="text1"/>
          <w:sz w:val="20"/>
          <w:szCs w:val="20"/>
          <w:lang w:val="es-ES"/>
        </w:rPr>
        <w:t xml:space="preserve">Añade que uno de ellos habría perdido la vida en una riña en el penal </w:t>
      </w:r>
      <w:r w:rsidR="00162B39" w:rsidRPr="07C31400">
        <w:rPr>
          <w:rFonts w:asciiTheme="majorHAnsi" w:hAnsiTheme="majorHAnsi"/>
          <w:color w:val="000000" w:themeColor="text1"/>
          <w:sz w:val="20"/>
          <w:szCs w:val="20"/>
          <w:lang w:val="es-ES"/>
        </w:rPr>
        <w:t>y que el paradero de los demás en la actualidad es desconocido por el Estado.</w:t>
      </w:r>
      <w:r w:rsidR="00E62A4E" w:rsidRPr="07C31400">
        <w:rPr>
          <w:rFonts w:asciiTheme="majorHAnsi" w:hAnsiTheme="majorHAnsi"/>
          <w:color w:val="000000" w:themeColor="text1"/>
          <w:sz w:val="20"/>
          <w:szCs w:val="20"/>
          <w:lang w:val="es-ES"/>
        </w:rPr>
        <w:t xml:space="preserve"> </w:t>
      </w:r>
      <w:r w:rsidR="00B11FAB" w:rsidRPr="07C31400">
        <w:rPr>
          <w:rFonts w:asciiTheme="majorHAnsi" w:hAnsiTheme="majorHAnsi"/>
          <w:color w:val="000000" w:themeColor="text1"/>
          <w:sz w:val="20"/>
          <w:szCs w:val="20"/>
          <w:lang w:val="es-ES"/>
        </w:rPr>
        <w:t>S</w:t>
      </w:r>
      <w:r w:rsidR="00E62A4E" w:rsidRPr="07C31400">
        <w:rPr>
          <w:rFonts w:asciiTheme="majorHAnsi" w:hAnsiTheme="majorHAnsi"/>
          <w:color w:val="000000" w:themeColor="text1"/>
          <w:sz w:val="20"/>
          <w:szCs w:val="20"/>
          <w:lang w:val="es-ES"/>
        </w:rPr>
        <w:t xml:space="preserve">i bien existe un proceso penal en curso por </w:t>
      </w:r>
      <w:r w:rsidR="00E9095B" w:rsidRPr="07C31400">
        <w:rPr>
          <w:rFonts w:asciiTheme="majorHAnsi" w:hAnsiTheme="majorHAnsi"/>
          <w:color w:val="000000" w:themeColor="text1"/>
          <w:sz w:val="20"/>
          <w:szCs w:val="20"/>
          <w:lang w:val="es-ES"/>
        </w:rPr>
        <w:t>esto</w:t>
      </w:r>
      <w:r w:rsidR="00E62A4E" w:rsidRPr="07C31400">
        <w:rPr>
          <w:rFonts w:asciiTheme="majorHAnsi" w:hAnsiTheme="majorHAnsi"/>
          <w:color w:val="000000" w:themeColor="text1"/>
          <w:sz w:val="20"/>
          <w:szCs w:val="20"/>
          <w:lang w:val="es-ES"/>
        </w:rPr>
        <w:t xml:space="preserve">s hechos, </w:t>
      </w:r>
      <w:r w:rsidR="00B11FAB" w:rsidRPr="07C31400">
        <w:rPr>
          <w:rFonts w:asciiTheme="majorHAnsi" w:hAnsiTheme="majorHAnsi"/>
          <w:color w:val="000000" w:themeColor="text1"/>
          <w:sz w:val="20"/>
          <w:szCs w:val="20"/>
          <w:lang w:val="es-ES"/>
        </w:rPr>
        <w:t xml:space="preserve">sostiene que </w:t>
      </w:r>
      <w:r w:rsidR="00E62A4E" w:rsidRPr="07C31400">
        <w:rPr>
          <w:rFonts w:asciiTheme="majorHAnsi" w:hAnsiTheme="majorHAnsi"/>
          <w:color w:val="000000" w:themeColor="text1"/>
          <w:sz w:val="20"/>
          <w:szCs w:val="20"/>
          <w:lang w:val="es-ES"/>
        </w:rPr>
        <w:t>este no ha sido conducido con la debida diligencia</w:t>
      </w:r>
      <w:r w:rsidR="00B11FAB" w:rsidRPr="07C31400">
        <w:rPr>
          <w:rFonts w:asciiTheme="majorHAnsi" w:hAnsiTheme="majorHAnsi"/>
          <w:color w:val="000000" w:themeColor="text1"/>
          <w:sz w:val="20"/>
          <w:szCs w:val="20"/>
          <w:lang w:val="es-ES"/>
        </w:rPr>
        <w:t xml:space="preserve"> y</w:t>
      </w:r>
      <w:r w:rsidR="00E62A4E" w:rsidRPr="07C31400">
        <w:rPr>
          <w:rFonts w:asciiTheme="majorHAnsi" w:hAnsiTheme="majorHAnsi"/>
          <w:color w:val="000000" w:themeColor="text1"/>
          <w:sz w:val="20"/>
          <w:szCs w:val="20"/>
          <w:lang w:val="es-ES"/>
        </w:rPr>
        <w:t xml:space="preserve"> se encuentra en fase preparatoria</w:t>
      </w:r>
      <w:r w:rsidR="00B11FAB" w:rsidRPr="07C31400">
        <w:rPr>
          <w:rFonts w:asciiTheme="majorHAnsi" w:hAnsiTheme="majorHAnsi"/>
          <w:color w:val="000000" w:themeColor="text1"/>
          <w:sz w:val="20"/>
          <w:szCs w:val="20"/>
          <w:lang w:val="es-ES"/>
        </w:rPr>
        <w:t xml:space="preserve"> pese al tiempo transcurrido</w:t>
      </w:r>
      <w:r w:rsidR="00E62A4E" w:rsidRPr="07C31400">
        <w:rPr>
          <w:rFonts w:asciiTheme="majorHAnsi" w:hAnsiTheme="majorHAnsi"/>
          <w:color w:val="000000" w:themeColor="text1"/>
          <w:sz w:val="20"/>
          <w:szCs w:val="20"/>
          <w:lang w:val="es-ES"/>
        </w:rPr>
        <w:t xml:space="preserve">. Sostiene que, al menos seis años después de la </w:t>
      </w:r>
      <w:r w:rsidR="00B11FAB" w:rsidRPr="07C31400">
        <w:rPr>
          <w:rFonts w:asciiTheme="majorHAnsi" w:hAnsiTheme="majorHAnsi"/>
          <w:color w:val="000000" w:themeColor="text1"/>
          <w:sz w:val="20"/>
          <w:szCs w:val="20"/>
          <w:lang w:val="es-ES"/>
        </w:rPr>
        <w:t xml:space="preserve">violación </w:t>
      </w:r>
      <w:r w:rsidR="00E62A4E" w:rsidRPr="07C31400">
        <w:rPr>
          <w:rFonts w:asciiTheme="majorHAnsi" w:hAnsiTheme="majorHAnsi"/>
          <w:color w:val="000000" w:themeColor="text1"/>
          <w:sz w:val="20"/>
          <w:szCs w:val="20"/>
          <w:lang w:val="es-ES"/>
        </w:rPr>
        <w:t xml:space="preserve">sexual, la Fiscalía seguía esperando los resultados de diligencias o elementos de pruebas </w:t>
      </w:r>
      <w:r w:rsidR="00E9095B" w:rsidRPr="07C31400">
        <w:rPr>
          <w:rFonts w:asciiTheme="majorHAnsi" w:hAnsiTheme="majorHAnsi"/>
          <w:color w:val="000000" w:themeColor="text1"/>
          <w:sz w:val="20"/>
          <w:szCs w:val="20"/>
          <w:lang w:val="es-ES"/>
        </w:rPr>
        <w:t>para</w:t>
      </w:r>
      <w:r w:rsidR="00E62A4E" w:rsidRPr="07C31400">
        <w:rPr>
          <w:rFonts w:asciiTheme="majorHAnsi" w:hAnsiTheme="majorHAnsi"/>
          <w:color w:val="000000" w:themeColor="text1"/>
          <w:sz w:val="20"/>
          <w:szCs w:val="20"/>
          <w:lang w:val="es-ES"/>
        </w:rPr>
        <w:t xml:space="preserve"> el esclarecimiento de los hechos y que debieron realizarse de forma inmediata.</w:t>
      </w:r>
    </w:p>
    <w:p w14:paraId="02254004" w14:textId="77777777" w:rsidR="00181190" w:rsidRPr="004B114F" w:rsidRDefault="00181190" w:rsidP="004B114F">
      <w:pPr>
        <w:pStyle w:val="ListParagraph"/>
        <w:rPr>
          <w:rFonts w:asciiTheme="majorHAnsi" w:hAnsiTheme="majorHAnsi"/>
          <w:color w:val="000000" w:themeColor="text1"/>
          <w:sz w:val="20"/>
          <w:szCs w:val="20"/>
          <w:lang w:val="es-ES_tradnl"/>
        </w:rPr>
      </w:pPr>
    </w:p>
    <w:p w14:paraId="6368EBD5" w14:textId="6868F7B2" w:rsidR="00181190" w:rsidRPr="004B114F" w:rsidRDefault="00D11334" w:rsidP="00DE778C">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630"/>
        <w:jc w:val="both"/>
        <w:rPr>
          <w:rFonts w:asciiTheme="majorHAnsi" w:hAnsiTheme="majorHAnsi"/>
          <w:color w:val="000000" w:themeColor="text1"/>
          <w:sz w:val="20"/>
          <w:szCs w:val="20"/>
          <w:lang w:val="es-ES_tradnl"/>
        </w:rPr>
      </w:pPr>
      <w:r w:rsidRPr="004B114F">
        <w:rPr>
          <w:rFonts w:asciiTheme="majorHAnsi" w:hAnsiTheme="majorHAnsi"/>
          <w:color w:val="000000" w:themeColor="text1"/>
          <w:sz w:val="20"/>
          <w:szCs w:val="20"/>
          <w:lang w:val="es-ES_tradnl"/>
        </w:rPr>
        <w:t>Asimismo,</w:t>
      </w:r>
      <w:r w:rsidR="00181190" w:rsidRPr="004B114F">
        <w:rPr>
          <w:rFonts w:asciiTheme="majorHAnsi" w:hAnsiTheme="majorHAnsi"/>
          <w:color w:val="000000" w:themeColor="text1"/>
          <w:sz w:val="20"/>
          <w:szCs w:val="20"/>
          <w:lang w:val="es-ES_tradnl"/>
        </w:rPr>
        <w:t xml:space="preserve"> indica que las autoridades </w:t>
      </w:r>
      <w:r w:rsidRPr="004B114F">
        <w:rPr>
          <w:rFonts w:asciiTheme="majorHAnsi" w:hAnsiTheme="majorHAnsi"/>
          <w:color w:val="000000" w:themeColor="text1"/>
          <w:sz w:val="20"/>
          <w:szCs w:val="20"/>
          <w:lang w:val="es-ES_tradnl"/>
        </w:rPr>
        <w:t>trasladaron</w:t>
      </w:r>
      <w:r w:rsidR="00181190" w:rsidRPr="004B114F">
        <w:rPr>
          <w:rFonts w:asciiTheme="majorHAnsi" w:hAnsiTheme="majorHAnsi"/>
          <w:color w:val="000000" w:themeColor="text1"/>
          <w:sz w:val="20"/>
          <w:szCs w:val="20"/>
          <w:lang w:val="es-ES_tradnl"/>
        </w:rPr>
        <w:t xml:space="preserve"> a </w:t>
      </w:r>
      <w:r w:rsidRPr="004B114F">
        <w:rPr>
          <w:rFonts w:asciiTheme="majorHAnsi" w:hAnsiTheme="majorHAnsi"/>
          <w:color w:val="000000" w:themeColor="text1"/>
          <w:sz w:val="20"/>
          <w:szCs w:val="20"/>
          <w:lang w:val="es-ES_tradnl"/>
        </w:rPr>
        <w:t xml:space="preserve">las </w:t>
      </w:r>
      <w:r w:rsidR="00181190" w:rsidRPr="004B114F">
        <w:rPr>
          <w:rFonts w:asciiTheme="majorHAnsi" w:hAnsiTheme="majorHAnsi"/>
          <w:color w:val="000000" w:themeColor="text1"/>
          <w:sz w:val="20"/>
          <w:szCs w:val="20"/>
          <w:lang w:val="es-ES_tradnl"/>
        </w:rPr>
        <w:t>reclusas mujeres</w:t>
      </w:r>
      <w:r w:rsidRPr="004B114F">
        <w:rPr>
          <w:rFonts w:asciiTheme="majorHAnsi" w:hAnsiTheme="majorHAnsi"/>
          <w:color w:val="000000" w:themeColor="text1"/>
          <w:sz w:val="20"/>
          <w:szCs w:val="20"/>
          <w:lang w:val="es-ES_tradnl"/>
        </w:rPr>
        <w:t xml:space="preserve"> con calidad</w:t>
      </w:r>
      <w:r w:rsidR="00181190" w:rsidRPr="004B114F">
        <w:rPr>
          <w:rFonts w:asciiTheme="majorHAnsi" w:hAnsiTheme="majorHAnsi"/>
          <w:color w:val="000000" w:themeColor="text1"/>
          <w:sz w:val="20"/>
          <w:szCs w:val="20"/>
          <w:lang w:val="es-ES_tradnl"/>
        </w:rPr>
        <w:t xml:space="preserve"> procesadas</w:t>
      </w:r>
      <w:r w:rsidR="00162B39" w:rsidRPr="004B114F">
        <w:rPr>
          <w:rFonts w:asciiTheme="majorHAnsi" w:hAnsiTheme="majorHAnsi"/>
          <w:color w:val="000000" w:themeColor="text1"/>
          <w:sz w:val="20"/>
          <w:szCs w:val="20"/>
          <w:lang w:val="es-ES_tradnl"/>
        </w:rPr>
        <w:t xml:space="preserve"> -</w:t>
      </w:r>
      <w:r w:rsidR="00181190" w:rsidRPr="004B114F">
        <w:rPr>
          <w:rFonts w:asciiTheme="majorHAnsi" w:hAnsiTheme="majorHAnsi"/>
          <w:color w:val="000000" w:themeColor="text1"/>
          <w:sz w:val="20"/>
          <w:szCs w:val="20"/>
          <w:lang w:val="es-ES_tradnl"/>
        </w:rPr>
        <w:t xml:space="preserve"> incluida la presunta víctima</w:t>
      </w:r>
      <w:r w:rsidR="00162B39" w:rsidRPr="004B114F">
        <w:rPr>
          <w:rFonts w:asciiTheme="majorHAnsi" w:hAnsiTheme="majorHAnsi"/>
          <w:color w:val="000000" w:themeColor="text1"/>
          <w:sz w:val="20"/>
          <w:szCs w:val="20"/>
          <w:lang w:val="es-ES_tradnl"/>
        </w:rPr>
        <w:t xml:space="preserve"> -</w:t>
      </w:r>
      <w:r w:rsidR="00181190" w:rsidRPr="004B114F">
        <w:rPr>
          <w:rFonts w:asciiTheme="majorHAnsi" w:hAnsiTheme="majorHAnsi"/>
          <w:color w:val="000000" w:themeColor="text1"/>
          <w:sz w:val="20"/>
          <w:szCs w:val="20"/>
          <w:lang w:val="es-ES_tradnl"/>
        </w:rPr>
        <w:t xml:space="preserve"> </w:t>
      </w:r>
      <w:r w:rsidRPr="004B114F">
        <w:rPr>
          <w:rFonts w:asciiTheme="majorHAnsi" w:hAnsiTheme="majorHAnsi"/>
          <w:color w:val="000000" w:themeColor="text1"/>
          <w:sz w:val="20"/>
          <w:szCs w:val="20"/>
          <w:lang w:val="es-ES_tradnl"/>
        </w:rPr>
        <w:t xml:space="preserve">del Internado Anzoátegui </w:t>
      </w:r>
      <w:r w:rsidR="00181190" w:rsidRPr="004B114F">
        <w:rPr>
          <w:rFonts w:asciiTheme="majorHAnsi" w:hAnsiTheme="majorHAnsi"/>
          <w:color w:val="000000" w:themeColor="text1"/>
          <w:sz w:val="20"/>
          <w:szCs w:val="20"/>
          <w:lang w:val="es-ES_tradnl"/>
        </w:rPr>
        <w:t>al Retén</w:t>
      </w:r>
      <w:r w:rsidR="00162B39" w:rsidRPr="004B114F">
        <w:rPr>
          <w:rFonts w:asciiTheme="majorHAnsi" w:hAnsiTheme="majorHAnsi"/>
          <w:color w:val="000000" w:themeColor="text1"/>
          <w:sz w:val="20"/>
          <w:szCs w:val="20"/>
          <w:lang w:val="es-ES_tradnl"/>
        </w:rPr>
        <w:t xml:space="preserve"> de la Policía Metropolitana de Lecherías (en adelante, </w:t>
      </w:r>
      <w:r w:rsidR="00A15DE4" w:rsidRPr="004B114F">
        <w:rPr>
          <w:rFonts w:asciiTheme="majorHAnsi" w:hAnsiTheme="majorHAnsi"/>
          <w:color w:val="000000" w:themeColor="text1"/>
          <w:sz w:val="20"/>
          <w:szCs w:val="20"/>
          <w:lang w:val="es-ES_tradnl"/>
        </w:rPr>
        <w:t>“</w:t>
      </w:r>
      <w:r w:rsidR="00162B39" w:rsidRPr="004B114F">
        <w:rPr>
          <w:rFonts w:asciiTheme="majorHAnsi" w:hAnsiTheme="majorHAnsi"/>
          <w:color w:val="000000" w:themeColor="text1"/>
          <w:sz w:val="20"/>
          <w:szCs w:val="20"/>
          <w:lang w:val="es-ES_tradnl"/>
        </w:rPr>
        <w:t>Retén Policial</w:t>
      </w:r>
      <w:r w:rsidR="00E02116" w:rsidRPr="004B114F">
        <w:rPr>
          <w:rFonts w:asciiTheme="majorHAnsi" w:hAnsiTheme="majorHAnsi"/>
          <w:color w:val="000000" w:themeColor="text1"/>
          <w:sz w:val="20"/>
          <w:szCs w:val="20"/>
          <w:lang w:val="es-ES_tradnl"/>
        </w:rPr>
        <w:t xml:space="preserve"> de Lecherías</w:t>
      </w:r>
      <w:r w:rsidR="00A15DE4" w:rsidRPr="004B114F">
        <w:rPr>
          <w:rFonts w:asciiTheme="majorHAnsi" w:hAnsiTheme="majorHAnsi"/>
          <w:color w:val="000000" w:themeColor="text1"/>
          <w:sz w:val="20"/>
          <w:szCs w:val="20"/>
          <w:lang w:val="es-ES_tradnl"/>
        </w:rPr>
        <w:t>” o “Retén Policial”</w:t>
      </w:r>
      <w:r w:rsidR="00162B39" w:rsidRPr="004B114F">
        <w:rPr>
          <w:rFonts w:asciiTheme="majorHAnsi" w:hAnsiTheme="majorHAnsi"/>
          <w:color w:val="000000" w:themeColor="text1"/>
          <w:sz w:val="20"/>
          <w:szCs w:val="20"/>
          <w:lang w:val="es-ES_tradnl"/>
        </w:rPr>
        <w:t xml:space="preserve">). </w:t>
      </w:r>
      <w:r w:rsidR="00E9095B" w:rsidRPr="004B114F">
        <w:rPr>
          <w:rFonts w:asciiTheme="majorHAnsi" w:hAnsiTheme="majorHAnsi"/>
          <w:color w:val="000000" w:themeColor="text1"/>
          <w:sz w:val="20"/>
          <w:szCs w:val="20"/>
          <w:lang w:val="es-ES_tradnl"/>
        </w:rPr>
        <w:t>S</w:t>
      </w:r>
      <w:r w:rsidR="00162B39" w:rsidRPr="004B114F">
        <w:rPr>
          <w:rFonts w:asciiTheme="majorHAnsi" w:hAnsiTheme="majorHAnsi"/>
          <w:color w:val="000000" w:themeColor="text1"/>
          <w:sz w:val="20"/>
          <w:szCs w:val="20"/>
          <w:lang w:val="es-ES_tradnl"/>
        </w:rPr>
        <w:t xml:space="preserve">ostiene que las condiciones </w:t>
      </w:r>
      <w:r w:rsidRPr="004B114F">
        <w:rPr>
          <w:rFonts w:asciiTheme="majorHAnsi" w:hAnsiTheme="majorHAnsi"/>
          <w:color w:val="000000" w:themeColor="text1"/>
          <w:sz w:val="20"/>
          <w:szCs w:val="20"/>
          <w:lang w:val="es-ES_tradnl"/>
        </w:rPr>
        <w:t>en dicho lugar</w:t>
      </w:r>
      <w:r w:rsidR="00162B39" w:rsidRPr="004B114F">
        <w:rPr>
          <w:rFonts w:asciiTheme="majorHAnsi" w:hAnsiTheme="majorHAnsi"/>
          <w:color w:val="000000" w:themeColor="text1"/>
          <w:sz w:val="20"/>
          <w:szCs w:val="20"/>
          <w:lang w:val="es-ES_tradnl"/>
        </w:rPr>
        <w:t xml:space="preserve"> eran inhumanas</w:t>
      </w:r>
      <w:r w:rsidR="00FA3E2F" w:rsidRPr="004B114F">
        <w:rPr>
          <w:rFonts w:asciiTheme="majorHAnsi" w:hAnsiTheme="majorHAnsi"/>
          <w:color w:val="000000" w:themeColor="text1"/>
          <w:sz w:val="20"/>
          <w:szCs w:val="20"/>
          <w:lang w:val="es-ES_tradnl"/>
        </w:rPr>
        <w:t xml:space="preserve">: </w:t>
      </w:r>
      <w:r w:rsidR="006B71BE" w:rsidRPr="004B114F">
        <w:rPr>
          <w:rFonts w:asciiTheme="majorHAnsi" w:hAnsiTheme="majorHAnsi"/>
          <w:color w:val="000000" w:themeColor="text1"/>
          <w:sz w:val="20"/>
          <w:szCs w:val="20"/>
          <w:lang w:val="es-ES_tradnl"/>
        </w:rPr>
        <w:t>celdas diseñadas para detenciones transitorias</w:t>
      </w:r>
      <w:r w:rsidR="00607C1B" w:rsidRPr="004B114F">
        <w:rPr>
          <w:rFonts w:asciiTheme="majorHAnsi" w:hAnsiTheme="majorHAnsi"/>
          <w:color w:val="000000" w:themeColor="text1"/>
          <w:sz w:val="20"/>
          <w:szCs w:val="20"/>
          <w:lang w:val="es-ES_tradnl"/>
        </w:rPr>
        <w:t xml:space="preserve">, </w:t>
      </w:r>
      <w:r w:rsidRPr="004B114F">
        <w:rPr>
          <w:rFonts w:asciiTheme="majorHAnsi" w:hAnsiTheme="majorHAnsi"/>
          <w:color w:val="000000" w:themeColor="text1"/>
          <w:sz w:val="20"/>
          <w:szCs w:val="20"/>
          <w:lang w:val="es-ES_tradnl"/>
        </w:rPr>
        <w:t>falta de</w:t>
      </w:r>
      <w:r w:rsidR="00F1064A" w:rsidRPr="004B114F">
        <w:rPr>
          <w:rFonts w:asciiTheme="majorHAnsi" w:hAnsiTheme="majorHAnsi"/>
          <w:color w:val="000000" w:themeColor="text1"/>
          <w:sz w:val="20"/>
          <w:szCs w:val="20"/>
          <w:lang w:val="es-ES_tradnl"/>
        </w:rPr>
        <w:t xml:space="preserve"> agua, comida, servicios higiénicos </w:t>
      </w:r>
      <w:r w:rsidRPr="004B114F">
        <w:rPr>
          <w:rFonts w:asciiTheme="majorHAnsi" w:hAnsiTheme="majorHAnsi"/>
          <w:color w:val="000000" w:themeColor="text1"/>
          <w:sz w:val="20"/>
          <w:szCs w:val="20"/>
          <w:lang w:val="es-ES_tradnl"/>
        </w:rPr>
        <w:t>y</w:t>
      </w:r>
      <w:r w:rsidR="00F1064A" w:rsidRPr="004B114F">
        <w:rPr>
          <w:rFonts w:asciiTheme="majorHAnsi" w:hAnsiTheme="majorHAnsi"/>
          <w:color w:val="000000" w:themeColor="text1"/>
          <w:sz w:val="20"/>
          <w:szCs w:val="20"/>
          <w:lang w:val="es-ES_tradnl"/>
        </w:rPr>
        <w:t xml:space="preserve"> ventilación</w:t>
      </w:r>
      <w:r w:rsidR="00C96EB2" w:rsidRPr="004B114F">
        <w:rPr>
          <w:rFonts w:asciiTheme="majorHAnsi" w:hAnsiTheme="majorHAnsi"/>
          <w:color w:val="000000" w:themeColor="text1"/>
          <w:sz w:val="20"/>
          <w:szCs w:val="20"/>
          <w:lang w:val="es-ES_tradnl"/>
        </w:rPr>
        <w:t xml:space="preserve"> adecuada</w:t>
      </w:r>
      <w:r w:rsidR="00607C1B" w:rsidRPr="004B114F">
        <w:rPr>
          <w:rFonts w:asciiTheme="majorHAnsi" w:hAnsiTheme="majorHAnsi"/>
          <w:color w:val="000000" w:themeColor="text1"/>
          <w:sz w:val="20"/>
          <w:szCs w:val="20"/>
          <w:lang w:val="es-ES_tradnl"/>
        </w:rPr>
        <w:t>.</w:t>
      </w:r>
      <w:r w:rsidR="00F1064A" w:rsidRPr="004B114F">
        <w:rPr>
          <w:rFonts w:asciiTheme="majorHAnsi" w:hAnsiTheme="majorHAnsi"/>
          <w:color w:val="000000" w:themeColor="text1"/>
          <w:sz w:val="20"/>
          <w:szCs w:val="20"/>
          <w:lang w:val="es-ES_tradnl"/>
        </w:rPr>
        <w:t xml:space="preserve"> </w:t>
      </w:r>
      <w:r w:rsidR="00607C1B" w:rsidRPr="004B114F">
        <w:rPr>
          <w:rFonts w:asciiTheme="majorHAnsi" w:hAnsiTheme="majorHAnsi"/>
          <w:color w:val="000000" w:themeColor="text1"/>
          <w:sz w:val="20"/>
          <w:szCs w:val="20"/>
          <w:lang w:val="es-ES_tradnl"/>
        </w:rPr>
        <w:t>I</w:t>
      </w:r>
      <w:r w:rsidR="006B71BE" w:rsidRPr="004B114F">
        <w:rPr>
          <w:rFonts w:asciiTheme="majorHAnsi" w:hAnsiTheme="majorHAnsi"/>
          <w:color w:val="000000" w:themeColor="text1"/>
          <w:sz w:val="20"/>
          <w:szCs w:val="20"/>
          <w:lang w:val="es-ES_tradnl"/>
        </w:rPr>
        <w:t>ndica</w:t>
      </w:r>
      <w:r w:rsidR="00F1064A" w:rsidRPr="004B114F">
        <w:rPr>
          <w:rFonts w:asciiTheme="majorHAnsi" w:hAnsiTheme="majorHAnsi"/>
          <w:color w:val="000000" w:themeColor="text1"/>
          <w:sz w:val="20"/>
          <w:szCs w:val="20"/>
          <w:lang w:val="es-ES_tradnl"/>
        </w:rPr>
        <w:t xml:space="preserve"> que la situación de la señora Maleno era particularmente grave </w:t>
      </w:r>
      <w:r w:rsidR="006B71BE" w:rsidRPr="004B114F">
        <w:rPr>
          <w:rFonts w:asciiTheme="majorHAnsi" w:hAnsiTheme="majorHAnsi"/>
          <w:color w:val="000000" w:themeColor="text1"/>
          <w:sz w:val="20"/>
          <w:szCs w:val="20"/>
          <w:lang w:val="es-ES_tradnl"/>
        </w:rPr>
        <w:t xml:space="preserve">no solo como consecuencia del estado convaleciente en que se encontraba por la violación sufrida, sino debido a que estaba constantemente </w:t>
      </w:r>
      <w:r w:rsidR="00F1064A" w:rsidRPr="004B114F">
        <w:rPr>
          <w:rFonts w:asciiTheme="majorHAnsi" w:hAnsiTheme="majorHAnsi"/>
          <w:color w:val="000000" w:themeColor="text1"/>
          <w:sz w:val="20"/>
          <w:szCs w:val="20"/>
          <w:lang w:val="es-ES_tradnl"/>
        </w:rPr>
        <w:t>expuesta a hostilidades de las otras reclusas que la veían como responsable del deterioro de sus condiciones de internamiento.</w:t>
      </w:r>
      <w:r w:rsidR="00C96EB2" w:rsidRPr="004B114F">
        <w:rPr>
          <w:rFonts w:asciiTheme="majorHAnsi" w:hAnsiTheme="majorHAnsi"/>
          <w:color w:val="000000" w:themeColor="text1"/>
          <w:sz w:val="20"/>
          <w:szCs w:val="20"/>
          <w:lang w:val="es-ES_tradnl"/>
        </w:rPr>
        <w:t xml:space="preserve"> Afirma que esto motiv</w:t>
      </w:r>
      <w:r w:rsidR="00225D36" w:rsidRPr="004B114F">
        <w:rPr>
          <w:rFonts w:asciiTheme="majorHAnsi" w:hAnsiTheme="majorHAnsi"/>
          <w:color w:val="000000" w:themeColor="text1"/>
          <w:sz w:val="20"/>
          <w:szCs w:val="20"/>
          <w:lang w:val="es-ES_tradnl"/>
        </w:rPr>
        <w:t>ó</w:t>
      </w:r>
      <w:r w:rsidR="00C96EB2" w:rsidRPr="004B114F">
        <w:rPr>
          <w:rFonts w:asciiTheme="majorHAnsi" w:hAnsiTheme="majorHAnsi"/>
          <w:color w:val="000000" w:themeColor="text1"/>
          <w:sz w:val="20"/>
          <w:szCs w:val="20"/>
          <w:lang w:val="es-ES_tradnl"/>
        </w:rPr>
        <w:t xml:space="preserve"> que las autoridades policiales se vean obligadas a reubicar a </w:t>
      </w:r>
      <w:r w:rsidR="00607C1B" w:rsidRPr="004B114F">
        <w:rPr>
          <w:rFonts w:asciiTheme="majorHAnsi" w:hAnsiTheme="majorHAnsi"/>
          <w:color w:val="000000" w:themeColor="text1"/>
          <w:sz w:val="20"/>
          <w:szCs w:val="20"/>
          <w:lang w:val="es-ES_tradnl"/>
        </w:rPr>
        <w:t xml:space="preserve">la </w:t>
      </w:r>
      <w:r w:rsidR="00C96EB2" w:rsidRPr="004B114F">
        <w:rPr>
          <w:rFonts w:asciiTheme="majorHAnsi" w:hAnsiTheme="majorHAnsi"/>
          <w:color w:val="000000" w:themeColor="text1"/>
          <w:sz w:val="20"/>
          <w:szCs w:val="20"/>
          <w:lang w:val="es-ES_tradnl"/>
        </w:rPr>
        <w:t>señora Maleno en una celda separada.</w:t>
      </w:r>
    </w:p>
    <w:p w14:paraId="4B2C2890" w14:textId="77777777" w:rsidR="00C96EB2" w:rsidRPr="004B114F" w:rsidRDefault="00C96EB2" w:rsidP="004B114F">
      <w:pPr>
        <w:pStyle w:val="ListParagraph"/>
        <w:rPr>
          <w:rFonts w:asciiTheme="majorHAnsi" w:hAnsiTheme="majorHAnsi"/>
          <w:color w:val="000000" w:themeColor="text1"/>
          <w:sz w:val="20"/>
          <w:szCs w:val="20"/>
          <w:lang w:val="es-ES_tradnl"/>
        </w:rPr>
      </w:pPr>
    </w:p>
    <w:p w14:paraId="781D0283" w14:textId="30B9BE23" w:rsidR="00C96EB2" w:rsidRPr="004B114F" w:rsidRDefault="00FA3E2F" w:rsidP="004B114F">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630"/>
        <w:jc w:val="both"/>
        <w:rPr>
          <w:rFonts w:asciiTheme="majorHAnsi" w:hAnsiTheme="majorHAnsi"/>
          <w:color w:val="000000" w:themeColor="text1"/>
          <w:sz w:val="20"/>
          <w:szCs w:val="20"/>
          <w:lang w:val="es-ES_tradnl"/>
        </w:rPr>
      </w:pPr>
      <w:r w:rsidRPr="004B114F">
        <w:rPr>
          <w:rFonts w:asciiTheme="majorHAnsi" w:hAnsiTheme="majorHAnsi"/>
          <w:color w:val="000000" w:themeColor="text1"/>
          <w:sz w:val="20"/>
          <w:szCs w:val="20"/>
          <w:lang w:val="es-ES_tradnl"/>
        </w:rPr>
        <w:t>De otro lado, s</w:t>
      </w:r>
      <w:r w:rsidR="00C96EB2" w:rsidRPr="004B114F">
        <w:rPr>
          <w:rFonts w:asciiTheme="majorHAnsi" w:hAnsiTheme="majorHAnsi"/>
          <w:color w:val="000000" w:themeColor="text1"/>
          <w:sz w:val="20"/>
          <w:szCs w:val="20"/>
          <w:lang w:val="es-ES_tradnl"/>
        </w:rPr>
        <w:t xml:space="preserve">ostiene que, el 12 de octubre de 2002, durante la audiencia preliminar celebrada en el marco del proceso penal por homicidio seguido contra la presunta víctima, la defensa pública denunció ante el Tribunal Cuarto la violación sexual sufrida y detalló las condiciones </w:t>
      </w:r>
      <w:r w:rsidR="00607C1B" w:rsidRPr="004B114F">
        <w:rPr>
          <w:rFonts w:asciiTheme="majorHAnsi" w:hAnsiTheme="majorHAnsi"/>
          <w:color w:val="000000" w:themeColor="text1"/>
          <w:sz w:val="20"/>
          <w:szCs w:val="20"/>
          <w:lang w:val="es-ES_tradnl"/>
        </w:rPr>
        <w:t xml:space="preserve">inapropiadas </w:t>
      </w:r>
      <w:r w:rsidR="00C96EB2" w:rsidRPr="004B114F">
        <w:rPr>
          <w:rFonts w:asciiTheme="majorHAnsi" w:hAnsiTheme="majorHAnsi"/>
          <w:color w:val="000000" w:themeColor="text1"/>
          <w:sz w:val="20"/>
          <w:szCs w:val="20"/>
          <w:lang w:val="es-ES_tradnl"/>
        </w:rPr>
        <w:t xml:space="preserve">bajo las cuales se encontraba detenida. Al amparo de esta información, la defensa pública solicitó al Tribunal Cuarto que la señora Maleno continúe su proceso en libertad y que se le practique un peritaje psiquiátrico. Sin embargo, afirma que ambas solicitudes fueron denegadas sin que la defensa pública las apele </w:t>
      </w:r>
      <w:r w:rsidR="00607C1B" w:rsidRPr="004B114F">
        <w:rPr>
          <w:rFonts w:asciiTheme="majorHAnsi" w:hAnsiTheme="majorHAnsi"/>
          <w:color w:val="000000" w:themeColor="text1"/>
          <w:sz w:val="20"/>
          <w:szCs w:val="20"/>
          <w:lang w:val="es-ES_tradnl"/>
        </w:rPr>
        <w:t>oportunamente</w:t>
      </w:r>
      <w:r w:rsidR="00C96EB2" w:rsidRPr="004B114F">
        <w:rPr>
          <w:rFonts w:asciiTheme="majorHAnsi" w:hAnsiTheme="majorHAnsi"/>
          <w:color w:val="000000" w:themeColor="text1"/>
          <w:sz w:val="20"/>
          <w:szCs w:val="20"/>
          <w:lang w:val="es-ES_tradnl"/>
        </w:rPr>
        <w:t>.</w:t>
      </w:r>
      <w:r w:rsidR="00A33D86" w:rsidRPr="004B114F">
        <w:rPr>
          <w:rFonts w:asciiTheme="majorHAnsi" w:hAnsiTheme="majorHAnsi"/>
          <w:sz w:val="20"/>
          <w:szCs w:val="20"/>
          <w:lang w:val="es-ES_tradnl"/>
        </w:rPr>
        <w:t xml:space="preserve"> Indica que </w:t>
      </w:r>
      <w:r w:rsidR="009133BF" w:rsidRPr="004B114F">
        <w:rPr>
          <w:rFonts w:asciiTheme="majorHAnsi" w:hAnsiTheme="majorHAnsi"/>
          <w:sz w:val="20"/>
          <w:szCs w:val="20"/>
          <w:lang w:val="es-ES_tradnl"/>
        </w:rPr>
        <w:t xml:space="preserve">solo </w:t>
      </w:r>
      <w:r w:rsidR="00A33D86" w:rsidRPr="004B114F">
        <w:rPr>
          <w:rFonts w:asciiTheme="majorHAnsi" w:hAnsiTheme="majorHAnsi"/>
          <w:sz w:val="20"/>
          <w:szCs w:val="20"/>
          <w:lang w:val="es-ES_tradnl"/>
        </w:rPr>
        <w:t>se promovió la realización de la pericia ya en juicio oral, fase procesal que no tiene por fin la investigación, lo cual es contrario al derecho al debido proceso y a la defensa.</w:t>
      </w:r>
    </w:p>
    <w:p w14:paraId="0BF65281" w14:textId="77777777" w:rsidR="0044430F" w:rsidRPr="004B114F" w:rsidRDefault="0044430F" w:rsidP="004B114F">
      <w:pPr>
        <w:pStyle w:val="ListParagraph"/>
        <w:rPr>
          <w:rFonts w:asciiTheme="majorHAnsi" w:hAnsiTheme="majorHAnsi"/>
          <w:color w:val="000000" w:themeColor="text1"/>
          <w:sz w:val="20"/>
          <w:szCs w:val="20"/>
          <w:lang w:val="es-ES_tradnl"/>
        </w:rPr>
      </w:pPr>
    </w:p>
    <w:p w14:paraId="3FEA72E9" w14:textId="29BB1FB7" w:rsidR="00527DA3" w:rsidRPr="004B114F" w:rsidRDefault="00D11334" w:rsidP="07C31400">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630"/>
        <w:jc w:val="both"/>
        <w:rPr>
          <w:rFonts w:asciiTheme="majorHAnsi" w:hAnsiTheme="majorHAnsi"/>
          <w:color w:val="000000" w:themeColor="text1"/>
          <w:sz w:val="20"/>
          <w:szCs w:val="20"/>
          <w:lang w:val="es-ES"/>
        </w:rPr>
      </w:pPr>
      <w:r w:rsidRPr="07C31400">
        <w:rPr>
          <w:rFonts w:asciiTheme="majorHAnsi" w:hAnsiTheme="majorHAnsi"/>
          <w:color w:val="000000" w:themeColor="text1"/>
          <w:sz w:val="20"/>
          <w:szCs w:val="20"/>
          <w:lang w:val="es-ES"/>
        </w:rPr>
        <w:t>A</w:t>
      </w:r>
      <w:r w:rsidR="00537E9D" w:rsidRPr="07C31400">
        <w:rPr>
          <w:rFonts w:asciiTheme="majorHAnsi" w:hAnsiTheme="majorHAnsi"/>
          <w:color w:val="000000" w:themeColor="text1"/>
          <w:sz w:val="20"/>
          <w:szCs w:val="20"/>
          <w:lang w:val="es-ES"/>
        </w:rPr>
        <w:t>grega que, en representación de la presunta víctima, el 1 de julio de 2002 interpuso un recurso de amparo solicitando</w:t>
      </w:r>
      <w:r w:rsidR="00366F0B" w:rsidRPr="07C31400">
        <w:rPr>
          <w:rFonts w:asciiTheme="majorHAnsi" w:hAnsiTheme="majorHAnsi"/>
          <w:color w:val="000000" w:themeColor="text1"/>
          <w:sz w:val="20"/>
          <w:szCs w:val="20"/>
          <w:lang w:val="es-ES"/>
        </w:rPr>
        <w:t xml:space="preserve"> </w:t>
      </w:r>
      <w:r w:rsidR="00366F0B" w:rsidRPr="07C31400">
        <w:rPr>
          <w:rFonts w:asciiTheme="majorHAnsi" w:hAnsiTheme="majorHAnsi"/>
          <w:i/>
          <w:iCs/>
          <w:color w:val="000000" w:themeColor="text1"/>
          <w:sz w:val="20"/>
          <w:szCs w:val="20"/>
          <w:lang w:val="es-ES"/>
        </w:rPr>
        <w:t>inter alia</w:t>
      </w:r>
      <w:r w:rsidR="00537E9D" w:rsidRPr="07C31400">
        <w:rPr>
          <w:rFonts w:asciiTheme="majorHAnsi" w:hAnsiTheme="majorHAnsi"/>
          <w:color w:val="000000" w:themeColor="text1"/>
          <w:sz w:val="20"/>
          <w:szCs w:val="20"/>
          <w:lang w:val="es-ES"/>
        </w:rPr>
        <w:t xml:space="preserve"> que se suspenda el proceso penal en</w:t>
      </w:r>
      <w:r w:rsidR="00607C1B" w:rsidRPr="07C31400">
        <w:rPr>
          <w:rFonts w:asciiTheme="majorHAnsi" w:hAnsiTheme="majorHAnsi"/>
          <w:color w:val="000000" w:themeColor="text1"/>
          <w:sz w:val="20"/>
          <w:szCs w:val="20"/>
          <w:lang w:val="es-ES"/>
        </w:rPr>
        <w:t xml:space="preserve"> su</w:t>
      </w:r>
      <w:r w:rsidR="00537E9D" w:rsidRPr="07C31400">
        <w:rPr>
          <w:rFonts w:asciiTheme="majorHAnsi" w:hAnsiTheme="majorHAnsi"/>
          <w:color w:val="000000" w:themeColor="text1"/>
          <w:sz w:val="20"/>
          <w:szCs w:val="20"/>
          <w:lang w:val="es-ES"/>
        </w:rPr>
        <w:t xml:space="preserve"> contra, se le asigne a un local </w:t>
      </w:r>
      <w:r w:rsidR="00537E9D" w:rsidRPr="07C31400">
        <w:rPr>
          <w:rFonts w:asciiTheme="majorHAnsi" w:hAnsiTheme="majorHAnsi"/>
          <w:i/>
          <w:iCs/>
          <w:color w:val="000000" w:themeColor="text1"/>
          <w:sz w:val="20"/>
          <w:szCs w:val="20"/>
          <w:lang w:val="es-ES"/>
        </w:rPr>
        <w:lastRenderedPageBreak/>
        <w:t>ad hoc</w:t>
      </w:r>
      <w:r w:rsidRPr="07C31400">
        <w:rPr>
          <w:rFonts w:asciiTheme="majorHAnsi" w:hAnsiTheme="majorHAnsi"/>
          <w:color w:val="000000" w:themeColor="text1"/>
          <w:sz w:val="20"/>
          <w:szCs w:val="20"/>
          <w:lang w:val="es-ES"/>
        </w:rPr>
        <w:t>,</w:t>
      </w:r>
      <w:r w:rsidR="00537E9D" w:rsidRPr="07C31400">
        <w:rPr>
          <w:rFonts w:asciiTheme="majorHAnsi" w:hAnsiTheme="majorHAnsi"/>
          <w:i/>
          <w:iCs/>
          <w:color w:val="000000" w:themeColor="text1"/>
          <w:sz w:val="20"/>
          <w:szCs w:val="20"/>
          <w:lang w:val="es-ES"/>
        </w:rPr>
        <w:t xml:space="preserve"> </w:t>
      </w:r>
      <w:r w:rsidR="00537E9D" w:rsidRPr="07C31400">
        <w:rPr>
          <w:rFonts w:asciiTheme="majorHAnsi" w:hAnsiTheme="majorHAnsi"/>
          <w:color w:val="000000" w:themeColor="text1"/>
          <w:sz w:val="20"/>
          <w:szCs w:val="20"/>
          <w:lang w:val="es-ES"/>
        </w:rPr>
        <w:t>se le examine psiquiátric</w:t>
      </w:r>
      <w:r w:rsidRPr="07C31400">
        <w:rPr>
          <w:rFonts w:asciiTheme="majorHAnsi" w:hAnsiTheme="majorHAnsi"/>
          <w:color w:val="000000" w:themeColor="text1"/>
          <w:sz w:val="20"/>
          <w:szCs w:val="20"/>
          <w:lang w:val="es-ES"/>
        </w:rPr>
        <w:t>amente</w:t>
      </w:r>
      <w:r w:rsidR="00537E9D" w:rsidRPr="07C31400">
        <w:rPr>
          <w:rFonts w:asciiTheme="majorHAnsi" w:hAnsiTheme="majorHAnsi"/>
          <w:color w:val="000000" w:themeColor="text1"/>
          <w:sz w:val="20"/>
          <w:szCs w:val="20"/>
          <w:lang w:val="es-ES"/>
        </w:rPr>
        <w:t xml:space="preserve"> para determinar su capacidad de comparecer en juicio, </w:t>
      </w:r>
      <w:r w:rsidRPr="07C31400">
        <w:rPr>
          <w:rFonts w:asciiTheme="majorHAnsi" w:hAnsiTheme="majorHAnsi"/>
          <w:color w:val="000000" w:themeColor="text1"/>
          <w:sz w:val="20"/>
          <w:szCs w:val="20"/>
          <w:lang w:val="es-ES"/>
        </w:rPr>
        <w:t>y se</w:t>
      </w:r>
      <w:r w:rsidR="00537E9D" w:rsidRPr="07C31400">
        <w:rPr>
          <w:rFonts w:asciiTheme="majorHAnsi" w:hAnsiTheme="majorHAnsi"/>
          <w:color w:val="000000" w:themeColor="text1"/>
          <w:sz w:val="20"/>
          <w:szCs w:val="20"/>
          <w:lang w:val="es-ES"/>
        </w:rPr>
        <w:t xml:space="preserve"> investig</w:t>
      </w:r>
      <w:r w:rsidRPr="07C31400">
        <w:rPr>
          <w:rFonts w:asciiTheme="majorHAnsi" w:hAnsiTheme="majorHAnsi"/>
          <w:color w:val="000000" w:themeColor="text1"/>
          <w:sz w:val="20"/>
          <w:szCs w:val="20"/>
          <w:lang w:val="es-ES"/>
        </w:rPr>
        <w:t>ue</w:t>
      </w:r>
      <w:r w:rsidR="00537E9D" w:rsidRPr="07C31400">
        <w:rPr>
          <w:rFonts w:asciiTheme="majorHAnsi" w:hAnsiTheme="majorHAnsi"/>
          <w:color w:val="000000" w:themeColor="text1"/>
          <w:sz w:val="20"/>
          <w:szCs w:val="20"/>
          <w:lang w:val="es-ES"/>
        </w:rPr>
        <w:t xml:space="preserve"> </w:t>
      </w:r>
      <w:r w:rsidRPr="07C31400">
        <w:rPr>
          <w:rFonts w:asciiTheme="majorHAnsi" w:hAnsiTheme="majorHAnsi"/>
          <w:color w:val="000000" w:themeColor="text1"/>
          <w:sz w:val="20"/>
          <w:szCs w:val="20"/>
          <w:lang w:val="es-ES"/>
        </w:rPr>
        <w:t>a</w:t>
      </w:r>
      <w:r w:rsidR="00537E9D" w:rsidRPr="07C31400">
        <w:rPr>
          <w:rFonts w:asciiTheme="majorHAnsi" w:hAnsiTheme="majorHAnsi"/>
          <w:color w:val="000000" w:themeColor="text1"/>
          <w:sz w:val="20"/>
          <w:szCs w:val="20"/>
          <w:lang w:val="es-ES"/>
        </w:rPr>
        <w:t xml:space="preserve"> las autoridades del Internado.</w:t>
      </w:r>
      <w:r w:rsidR="00607C1B" w:rsidRPr="07C31400">
        <w:rPr>
          <w:rFonts w:asciiTheme="majorHAnsi" w:hAnsiTheme="majorHAnsi"/>
          <w:color w:val="000000" w:themeColor="text1"/>
          <w:sz w:val="20"/>
          <w:szCs w:val="20"/>
          <w:lang w:val="es-ES"/>
        </w:rPr>
        <w:t xml:space="preserve"> </w:t>
      </w:r>
      <w:r w:rsidR="00537E9D" w:rsidRPr="07C31400">
        <w:rPr>
          <w:rFonts w:asciiTheme="majorHAnsi" w:hAnsiTheme="majorHAnsi"/>
          <w:color w:val="000000" w:themeColor="text1"/>
          <w:sz w:val="20"/>
          <w:szCs w:val="20"/>
          <w:lang w:val="es-ES"/>
        </w:rPr>
        <w:t xml:space="preserve">Alega que este recurso fue declarado “sin lugar” </w:t>
      </w:r>
      <w:r w:rsidRPr="07C31400">
        <w:rPr>
          <w:rFonts w:asciiTheme="majorHAnsi" w:hAnsiTheme="majorHAnsi"/>
          <w:color w:val="000000" w:themeColor="text1"/>
          <w:sz w:val="20"/>
          <w:szCs w:val="20"/>
          <w:lang w:val="es-ES"/>
        </w:rPr>
        <w:t>en</w:t>
      </w:r>
      <w:r w:rsidR="00CC6371" w:rsidRPr="07C31400">
        <w:rPr>
          <w:rFonts w:asciiTheme="majorHAnsi" w:hAnsiTheme="majorHAnsi"/>
          <w:color w:val="000000" w:themeColor="text1"/>
          <w:sz w:val="20"/>
          <w:szCs w:val="20"/>
          <w:lang w:val="es-ES"/>
        </w:rPr>
        <w:t xml:space="preserve"> julio de 2002</w:t>
      </w:r>
      <w:r w:rsidRPr="07C31400">
        <w:rPr>
          <w:rFonts w:asciiTheme="majorHAnsi" w:hAnsiTheme="majorHAnsi"/>
          <w:color w:val="000000" w:themeColor="text1"/>
          <w:sz w:val="20"/>
          <w:szCs w:val="20"/>
          <w:lang w:val="es-ES"/>
        </w:rPr>
        <w:t xml:space="preserve"> y que la apelación interpuesta fue también rechazada en </w:t>
      </w:r>
      <w:r w:rsidR="00537E9D" w:rsidRPr="07C31400">
        <w:rPr>
          <w:rFonts w:asciiTheme="majorHAnsi" w:hAnsiTheme="majorHAnsi"/>
          <w:color w:val="000000" w:themeColor="text1"/>
          <w:sz w:val="20"/>
          <w:szCs w:val="20"/>
          <w:lang w:val="es-ES"/>
        </w:rPr>
        <w:t xml:space="preserve"> noviembre de 2005</w:t>
      </w:r>
      <w:r w:rsidR="00FA3E2F" w:rsidRPr="07C31400">
        <w:rPr>
          <w:rFonts w:asciiTheme="majorHAnsi" w:hAnsiTheme="majorHAnsi"/>
          <w:color w:val="000000" w:themeColor="text1"/>
          <w:sz w:val="20"/>
          <w:szCs w:val="20"/>
          <w:lang w:val="es-ES"/>
        </w:rPr>
        <w:t xml:space="preserve">. </w:t>
      </w:r>
      <w:r w:rsidR="00E94C62" w:rsidRPr="07C31400">
        <w:rPr>
          <w:rFonts w:asciiTheme="majorHAnsi" w:hAnsiTheme="majorHAnsi"/>
          <w:color w:val="000000" w:themeColor="text1"/>
          <w:sz w:val="20"/>
          <w:szCs w:val="20"/>
          <w:lang w:val="es-ES"/>
        </w:rPr>
        <w:t>S</w:t>
      </w:r>
      <w:r w:rsidR="0044430F" w:rsidRPr="07C31400">
        <w:rPr>
          <w:rFonts w:asciiTheme="majorHAnsi" w:hAnsiTheme="majorHAnsi"/>
          <w:color w:val="000000" w:themeColor="text1"/>
          <w:sz w:val="20"/>
          <w:szCs w:val="20"/>
          <w:lang w:val="es-ES"/>
        </w:rPr>
        <w:t xml:space="preserve">eñala que la presunta víctima </w:t>
      </w:r>
      <w:r w:rsidR="00E94C62" w:rsidRPr="07C31400">
        <w:rPr>
          <w:rFonts w:asciiTheme="majorHAnsi" w:hAnsiTheme="majorHAnsi"/>
          <w:color w:val="000000" w:themeColor="text1"/>
          <w:sz w:val="20"/>
          <w:szCs w:val="20"/>
          <w:lang w:val="es-ES"/>
        </w:rPr>
        <w:t>tuvo que</w:t>
      </w:r>
      <w:r w:rsidR="0044430F" w:rsidRPr="07C31400">
        <w:rPr>
          <w:rFonts w:asciiTheme="majorHAnsi" w:hAnsiTheme="majorHAnsi"/>
          <w:color w:val="000000" w:themeColor="text1"/>
          <w:sz w:val="20"/>
          <w:szCs w:val="20"/>
          <w:lang w:val="es-ES"/>
        </w:rPr>
        <w:t xml:space="preserve"> tolerar estas condiciones de detención hasta noviembre de 2003, </w:t>
      </w:r>
      <w:r w:rsidR="00E94C62" w:rsidRPr="07C31400">
        <w:rPr>
          <w:rFonts w:asciiTheme="majorHAnsi" w:hAnsiTheme="majorHAnsi"/>
          <w:color w:val="000000" w:themeColor="text1"/>
          <w:sz w:val="20"/>
          <w:szCs w:val="20"/>
          <w:lang w:val="es-ES"/>
        </w:rPr>
        <w:t xml:space="preserve">cuando se levantó </w:t>
      </w:r>
      <w:r w:rsidR="0044430F" w:rsidRPr="07C31400">
        <w:rPr>
          <w:rFonts w:asciiTheme="majorHAnsi" w:hAnsiTheme="majorHAnsi"/>
          <w:color w:val="000000" w:themeColor="text1"/>
          <w:sz w:val="20"/>
          <w:szCs w:val="20"/>
          <w:lang w:val="es-ES"/>
        </w:rPr>
        <w:t>la prisión preventiva.</w:t>
      </w:r>
      <w:r w:rsidR="00366F0B" w:rsidRPr="07C31400">
        <w:rPr>
          <w:rFonts w:asciiTheme="majorHAnsi" w:hAnsiTheme="majorHAnsi"/>
          <w:color w:val="000000" w:themeColor="text1"/>
          <w:sz w:val="20"/>
          <w:szCs w:val="20"/>
          <w:lang w:val="es-ES"/>
        </w:rPr>
        <w:t xml:space="preserve"> </w:t>
      </w:r>
      <w:r w:rsidR="00FA3E2F" w:rsidRPr="07C31400">
        <w:rPr>
          <w:rFonts w:asciiTheme="majorHAnsi" w:hAnsiTheme="majorHAnsi"/>
          <w:color w:val="000000" w:themeColor="text1"/>
          <w:sz w:val="20"/>
          <w:szCs w:val="20"/>
          <w:lang w:val="es-ES"/>
        </w:rPr>
        <w:t>Indica que</w:t>
      </w:r>
      <w:r w:rsidR="00366F0B" w:rsidRPr="07C31400">
        <w:rPr>
          <w:rFonts w:asciiTheme="majorHAnsi" w:hAnsiTheme="majorHAnsi"/>
          <w:color w:val="000000" w:themeColor="text1"/>
          <w:sz w:val="20"/>
          <w:szCs w:val="20"/>
          <w:lang w:val="es-ES"/>
        </w:rPr>
        <w:t xml:space="preserve"> el proceso penal en </w:t>
      </w:r>
      <w:r w:rsidR="00FA3E2F" w:rsidRPr="07C31400">
        <w:rPr>
          <w:rFonts w:asciiTheme="majorHAnsi" w:hAnsiTheme="majorHAnsi"/>
          <w:color w:val="000000" w:themeColor="text1"/>
          <w:sz w:val="20"/>
          <w:szCs w:val="20"/>
          <w:lang w:val="es-ES"/>
        </w:rPr>
        <w:t xml:space="preserve">su </w:t>
      </w:r>
      <w:r w:rsidR="00366F0B" w:rsidRPr="07C31400">
        <w:rPr>
          <w:rFonts w:asciiTheme="majorHAnsi" w:hAnsiTheme="majorHAnsi"/>
          <w:color w:val="000000" w:themeColor="text1"/>
          <w:sz w:val="20"/>
          <w:szCs w:val="20"/>
          <w:lang w:val="es-ES"/>
        </w:rPr>
        <w:t xml:space="preserve">contra permanece abierto, </w:t>
      </w:r>
      <w:r w:rsidR="00E94C62" w:rsidRPr="07C31400">
        <w:rPr>
          <w:rFonts w:asciiTheme="majorHAnsi" w:hAnsiTheme="majorHAnsi"/>
          <w:color w:val="000000" w:themeColor="text1"/>
          <w:sz w:val="20"/>
          <w:szCs w:val="20"/>
          <w:lang w:val="es-ES"/>
        </w:rPr>
        <w:t>por lo que hay</w:t>
      </w:r>
      <w:r w:rsidR="00366F0B" w:rsidRPr="07C31400">
        <w:rPr>
          <w:rFonts w:asciiTheme="majorHAnsi" w:hAnsiTheme="majorHAnsi"/>
          <w:color w:val="000000" w:themeColor="text1"/>
          <w:sz w:val="20"/>
          <w:szCs w:val="20"/>
          <w:lang w:val="es-ES"/>
        </w:rPr>
        <w:t xml:space="preserve"> un retardo </w:t>
      </w:r>
      <w:r w:rsidR="00E9685E" w:rsidRPr="07C31400">
        <w:rPr>
          <w:rFonts w:asciiTheme="majorHAnsi" w:hAnsiTheme="majorHAnsi"/>
          <w:color w:val="000000" w:themeColor="text1"/>
          <w:sz w:val="20"/>
          <w:szCs w:val="20"/>
          <w:lang w:val="es-ES"/>
        </w:rPr>
        <w:t>grave</w:t>
      </w:r>
      <w:r w:rsidR="00AD17C2" w:rsidRPr="07C31400">
        <w:rPr>
          <w:rFonts w:asciiTheme="majorHAnsi" w:hAnsiTheme="majorHAnsi"/>
          <w:color w:val="000000" w:themeColor="text1"/>
          <w:sz w:val="20"/>
          <w:szCs w:val="20"/>
          <w:lang w:val="es-ES"/>
        </w:rPr>
        <w:t xml:space="preserve"> e</w:t>
      </w:r>
      <w:r w:rsidR="00E9685E" w:rsidRPr="07C31400">
        <w:rPr>
          <w:rFonts w:asciiTheme="majorHAnsi" w:hAnsiTheme="majorHAnsi"/>
          <w:color w:val="000000" w:themeColor="text1"/>
          <w:sz w:val="20"/>
          <w:szCs w:val="20"/>
          <w:lang w:val="es-ES"/>
        </w:rPr>
        <w:t xml:space="preserve"> </w:t>
      </w:r>
      <w:r w:rsidR="00366F0B" w:rsidRPr="07C31400">
        <w:rPr>
          <w:rFonts w:asciiTheme="majorHAnsi" w:hAnsiTheme="majorHAnsi"/>
          <w:color w:val="000000" w:themeColor="text1"/>
          <w:sz w:val="20"/>
          <w:szCs w:val="20"/>
          <w:lang w:val="es-ES"/>
        </w:rPr>
        <w:t>injustificado.</w:t>
      </w:r>
      <w:r w:rsidR="00634378" w:rsidRPr="07C31400">
        <w:rPr>
          <w:rFonts w:asciiTheme="majorHAnsi" w:hAnsiTheme="majorHAnsi"/>
          <w:color w:val="000000" w:themeColor="text1"/>
          <w:sz w:val="20"/>
          <w:szCs w:val="20"/>
          <w:lang w:val="es-ES"/>
        </w:rPr>
        <w:t xml:space="preserve"> </w:t>
      </w:r>
    </w:p>
    <w:p w14:paraId="16391FD4" w14:textId="77777777" w:rsidR="00A33D86" w:rsidRPr="004B114F" w:rsidRDefault="00A33D86" w:rsidP="00DE778C">
      <w:pPr>
        <w:pStyle w:val="ListParagraph"/>
        <w:rPr>
          <w:rFonts w:asciiTheme="majorHAnsi" w:hAnsiTheme="majorHAnsi"/>
          <w:color w:val="000000" w:themeColor="text1"/>
          <w:sz w:val="20"/>
          <w:szCs w:val="20"/>
          <w:lang w:val="es-ES_tradnl"/>
        </w:rPr>
      </w:pPr>
    </w:p>
    <w:p w14:paraId="0C4B7226" w14:textId="2D4CEB45" w:rsidR="008A36D9" w:rsidRPr="004B114F" w:rsidRDefault="008A36D9" w:rsidP="004B114F">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630"/>
        <w:jc w:val="both"/>
        <w:rPr>
          <w:rFonts w:asciiTheme="majorHAnsi" w:hAnsiTheme="majorHAnsi"/>
          <w:color w:val="000000" w:themeColor="text1"/>
          <w:sz w:val="20"/>
          <w:szCs w:val="20"/>
          <w:lang w:val="es-ES_tradnl"/>
        </w:rPr>
      </w:pPr>
      <w:r w:rsidRPr="004B114F">
        <w:rPr>
          <w:rFonts w:asciiTheme="majorHAnsi" w:hAnsiTheme="majorHAnsi"/>
          <w:color w:val="000000" w:themeColor="text1"/>
          <w:sz w:val="20"/>
          <w:szCs w:val="20"/>
          <w:lang w:val="es-ES_tradnl"/>
        </w:rPr>
        <w:t>En virtud a lo anterior, alega que el Estado es responsable por la violación de los artículos 5, 8 y 25 de la Convención Americana sobre Derechos Humanos (en adelante “la CADH”, “la Convención”, o “la Convención Americana”) en relación con los artículos 1 y 2 del mismo tratado, así como por las obligaciones que derivan de los artículos 1, 2, 5 y 6 de la Convención Interamericana para Prevenir y Sancionar la Tortura (en adelante, “CIPST”), y de los artículos 3, 4, 5, 6 y 7 de la  Convención Interamericana para Prevenir, Sancionar y Erradicar la violencia contra la Mujer (en adelante, “Convención de Belém do Pará”)</w:t>
      </w:r>
      <w:r w:rsidR="00E3186D" w:rsidRPr="004B114F">
        <w:rPr>
          <w:rFonts w:asciiTheme="majorHAnsi" w:hAnsiTheme="majorHAnsi"/>
          <w:color w:val="000000" w:themeColor="text1"/>
          <w:sz w:val="20"/>
          <w:szCs w:val="20"/>
          <w:lang w:val="es-ES_tradnl"/>
        </w:rPr>
        <w:t>.</w:t>
      </w:r>
    </w:p>
    <w:p w14:paraId="20471ED3" w14:textId="77777777" w:rsidR="00166189" w:rsidRPr="004B114F" w:rsidRDefault="00166189" w:rsidP="004B114F">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630"/>
        <w:jc w:val="both"/>
        <w:rPr>
          <w:rFonts w:asciiTheme="majorHAnsi" w:hAnsiTheme="majorHAnsi"/>
          <w:color w:val="000000" w:themeColor="text1"/>
          <w:sz w:val="20"/>
          <w:szCs w:val="20"/>
          <w:lang w:val="es-ES_tradnl"/>
        </w:rPr>
      </w:pPr>
    </w:p>
    <w:p w14:paraId="637657BF" w14:textId="21480D42" w:rsidR="00D12193" w:rsidRPr="004B114F" w:rsidRDefault="00C87FF4" w:rsidP="004B114F">
      <w:pPr>
        <w:pStyle w:val="Heading2"/>
        <w:rPr>
          <w:rFonts w:asciiTheme="majorHAnsi" w:hAnsiTheme="majorHAnsi"/>
          <w:szCs w:val="20"/>
          <w:lang w:val="es-ES_tradnl"/>
        </w:rPr>
      </w:pPr>
      <w:bookmarkStart w:id="6" w:name="_Toc142398947"/>
      <w:r w:rsidRPr="004B114F">
        <w:rPr>
          <w:rFonts w:asciiTheme="majorHAnsi" w:hAnsiTheme="majorHAnsi"/>
          <w:szCs w:val="20"/>
          <w:lang w:val="es-ES_tradnl"/>
        </w:rPr>
        <w:t>Estado</w:t>
      </w:r>
      <w:r w:rsidR="00F24EF9" w:rsidRPr="004B114F">
        <w:rPr>
          <w:rStyle w:val="FootnoteReference"/>
          <w:rFonts w:asciiTheme="majorHAnsi" w:hAnsiTheme="majorHAnsi"/>
          <w:szCs w:val="20"/>
          <w:lang w:val="es-ES_tradnl"/>
        </w:rPr>
        <w:footnoteReference w:id="3"/>
      </w:r>
      <w:bookmarkEnd w:id="6"/>
    </w:p>
    <w:p w14:paraId="617BCEEC" w14:textId="77777777" w:rsidR="004D03B6" w:rsidRPr="00DE778C" w:rsidRDefault="004D03B6" w:rsidP="00DE778C">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630"/>
        <w:jc w:val="both"/>
        <w:rPr>
          <w:rFonts w:asciiTheme="majorHAnsi" w:hAnsiTheme="majorHAnsi"/>
          <w:color w:val="000000" w:themeColor="text1"/>
          <w:sz w:val="20"/>
          <w:szCs w:val="20"/>
          <w:lang w:val="es-ES_tradnl"/>
        </w:rPr>
      </w:pPr>
    </w:p>
    <w:p w14:paraId="4CC58D05" w14:textId="6A059D2B" w:rsidR="005B01CF" w:rsidRPr="004B114F" w:rsidRDefault="00AF15E9" w:rsidP="07C31400">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630"/>
        <w:jc w:val="both"/>
        <w:rPr>
          <w:rFonts w:asciiTheme="majorHAnsi" w:hAnsiTheme="majorHAnsi"/>
          <w:color w:val="000000" w:themeColor="text1"/>
          <w:sz w:val="20"/>
          <w:szCs w:val="20"/>
          <w:lang w:val="es-ES"/>
        </w:rPr>
      </w:pPr>
      <w:r w:rsidRPr="07C31400">
        <w:rPr>
          <w:rFonts w:asciiTheme="majorHAnsi" w:hAnsiTheme="majorHAnsi"/>
          <w:color w:val="000000" w:themeColor="text1"/>
          <w:sz w:val="20"/>
          <w:szCs w:val="20"/>
          <w:lang w:val="es-ES"/>
        </w:rPr>
        <w:t>El Estado a</w:t>
      </w:r>
      <w:r w:rsidR="005B01CF" w:rsidRPr="07C31400">
        <w:rPr>
          <w:rFonts w:asciiTheme="majorHAnsi" w:hAnsiTheme="majorHAnsi"/>
          <w:color w:val="000000" w:themeColor="text1"/>
          <w:sz w:val="20"/>
          <w:szCs w:val="20"/>
          <w:lang w:val="es-ES"/>
        </w:rPr>
        <w:t xml:space="preserve">lega que el 20 de octubre de 2001, la presunta víctima fue puesta a la orden del Tribunal Cuarto, pues se le imputaba el homicidio de su hija recién nacida. Indica que en aquella fecha </w:t>
      </w:r>
      <w:r w:rsidRPr="07C31400">
        <w:rPr>
          <w:rFonts w:asciiTheme="majorHAnsi" w:hAnsiTheme="majorHAnsi"/>
          <w:color w:val="000000" w:themeColor="text1"/>
          <w:sz w:val="20"/>
          <w:szCs w:val="20"/>
          <w:lang w:val="es-ES"/>
        </w:rPr>
        <w:t xml:space="preserve">dicho </w:t>
      </w:r>
      <w:r w:rsidR="005B01CF" w:rsidRPr="07C31400">
        <w:rPr>
          <w:rFonts w:asciiTheme="majorHAnsi" w:hAnsiTheme="majorHAnsi"/>
          <w:color w:val="000000" w:themeColor="text1"/>
          <w:sz w:val="20"/>
          <w:szCs w:val="20"/>
          <w:lang w:val="es-ES"/>
        </w:rPr>
        <w:t xml:space="preserve">tribunal ordenó medida privativa preventiva de libertad, </w:t>
      </w:r>
      <w:r w:rsidRPr="07C31400">
        <w:rPr>
          <w:rFonts w:asciiTheme="majorHAnsi" w:hAnsiTheme="majorHAnsi"/>
          <w:color w:val="000000" w:themeColor="text1"/>
          <w:sz w:val="20"/>
          <w:szCs w:val="20"/>
          <w:lang w:val="es-ES"/>
        </w:rPr>
        <w:t xml:space="preserve">por lo que </w:t>
      </w:r>
      <w:r w:rsidR="005B01CF" w:rsidRPr="07C31400">
        <w:rPr>
          <w:rFonts w:asciiTheme="majorHAnsi" w:hAnsiTheme="majorHAnsi"/>
          <w:color w:val="000000" w:themeColor="text1"/>
          <w:sz w:val="20"/>
          <w:szCs w:val="20"/>
          <w:lang w:val="es-ES"/>
        </w:rPr>
        <w:t xml:space="preserve">fue trasladada y recluida en el Internado Anzoátegui. </w:t>
      </w:r>
      <w:r w:rsidRPr="07C31400">
        <w:rPr>
          <w:rFonts w:asciiTheme="majorHAnsi" w:hAnsiTheme="majorHAnsi"/>
          <w:color w:val="000000" w:themeColor="text1"/>
          <w:sz w:val="20"/>
          <w:szCs w:val="20"/>
          <w:lang w:val="es-ES"/>
        </w:rPr>
        <w:t>S</w:t>
      </w:r>
      <w:r w:rsidR="005B01CF" w:rsidRPr="07C31400">
        <w:rPr>
          <w:rFonts w:asciiTheme="majorHAnsi" w:hAnsiTheme="majorHAnsi"/>
          <w:color w:val="000000" w:themeColor="text1"/>
          <w:sz w:val="20"/>
          <w:szCs w:val="20"/>
          <w:lang w:val="es-ES"/>
        </w:rPr>
        <w:t xml:space="preserve">ostiene que, una vez concluida la investigación penal, el Ministerio Público formuló acusación penal contra la señora Maleno por el delito de homicidio calificado (filicidio). Afirma que dicha acusación fue admitida en audiencia preliminar </w:t>
      </w:r>
      <w:r w:rsidRPr="07C31400">
        <w:rPr>
          <w:rFonts w:asciiTheme="majorHAnsi" w:hAnsiTheme="majorHAnsi"/>
          <w:color w:val="000000" w:themeColor="text1"/>
          <w:sz w:val="20"/>
          <w:szCs w:val="20"/>
          <w:lang w:val="es-ES"/>
        </w:rPr>
        <w:t>en</w:t>
      </w:r>
      <w:r w:rsidR="005B01CF" w:rsidRPr="07C31400">
        <w:rPr>
          <w:rFonts w:asciiTheme="majorHAnsi" w:hAnsiTheme="majorHAnsi"/>
          <w:color w:val="000000" w:themeColor="text1"/>
          <w:sz w:val="20"/>
          <w:szCs w:val="20"/>
          <w:lang w:val="es-ES"/>
        </w:rPr>
        <w:t xml:space="preserve"> marzo de 2002, de modo que se dictó auto de apertura a juicio y la causa pasó a conocimiento del </w:t>
      </w:r>
      <w:r w:rsidRPr="07C31400">
        <w:rPr>
          <w:rFonts w:asciiTheme="majorHAnsi" w:hAnsiTheme="majorHAnsi"/>
          <w:color w:val="000000" w:themeColor="text1"/>
          <w:sz w:val="20"/>
          <w:szCs w:val="20"/>
          <w:lang w:val="es-ES"/>
        </w:rPr>
        <w:t>juez correspondiente</w:t>
      </w:r>
      <w:r w:rsidR="005B01CF" w:rsidRPr="07C31400">
        <w:rPr>
          <w:rFonts w:asciiTheme="majorHAnsi" w:hAnsiTheme="majorHAnsi"/>
          <w:color w:val="000000" w:themeColor="text1"/>
          <w:sz w:val="20"/>
          <w:szCs w:val="20"/>
          <w:lang w:val="es-ES"/>
        </w:rPr>
        <w:t>. Argumenta que</w:t>
      </w:r>
      <w:r w:rsidR="00B7454E" w:rsidRPr="07C31400">
        <w:rPr>
          <w:rFonts w:asciiTheme="majorHAnsi" w:hAnsiTheme="majorHAnsi"/>
          <w:color w:val="000000" w:themeColor="text1"/>
          <w:sz w:val="20"/>
          <w:szCs w:val="20"/>
          <w:lang w:val="es-ES"/>
        </w:rPr>
        <w:t>,</w:t>
      </w:r>
      <w:r w:rsidR="005B01CF" w:rsidRPr="07C31400">
        <w:rPr>
          <w:rFonts w:asciiTheme="majorHAnsi" w:hAnsiTheme="majorHAnsi"/>
          <w:color w:val="000000" w:themeColor="text1"/>
          <w:sz w:val="20"/>
          <w:szCs w:val="20"/>
          <w:lang w:val="es-ES"/>
        </w:rPr>
        <w:t xml:space="preserve"> </w:t>
      </w:r>
      <w:r w:rsidRPr="07C31400">
        <w:rPr>
          <w:rFonts w:asciiTheme="majorHAnsi" w:hAnsiTheme="majorHAnsi"/>
          <w:color w:val="000000" w:themeColor="text1"/>
          <w:sz w:val="20"/>
          <w:szCs w:val="20"/>
          <w:lang w:val="es-ES"/>
        </w:rPr>
        <w:t>en noviembre</w:t>
      </w:r>
      <w:r w:rsidR="005B01CF" w:rsidRPr="07C31400">
        <w:rPr>
          <w:rFonts w:asciiTheme="majorHAnsi" w:hAnsiTheme="majorHAnsi"/>
          <w:color w:val="000000" w:themeColor="text1"/>
          <w:sz w:val="20"/>
          <w:szCs w:val="20"/>
          <w:lang w:val="es-ES"/>
        </w:rPr>
        <w:t xml:space="preserve"> de 2002</w:t>
      </w:r>
      <w:r w:rsidR="00B7454E" w:rsidRPr="07C31400">
        <w:rPr>
          <w:rFonts w:asciiTheme="majorHAnsi" w:hAnsiTheme="majorHAnsi"/>
          <w:color w:val="000000" w:themeColor="text1"/>
          <w:sz w:val="20"/>
          <w:szCs w:val="20"/>
          <w:lang w:val="es-ES"/>
        </w:rPr>
        <w:t>,</w:t>
      </w:r>
      <w:r w:rsidR="005B01CF" w:rsidRPr="07C31400">
        <w:rPr>
          <w:rFonts w:asciiTheme="majorHAnsi" w:hAnsiTheme="majorHAnsi"/>
          <w:color w:val="000000" w:themeColor="text1"/>
          <w:sz w:val="20"/>
          <w:szCs w:val="20"/>
          <w:lang w:val="es-ES"/>
        </w:rPr>
        <w:t xml:space="preserve"> el </w:t>
      </w:r>
      <w:r w:rsidRPr="07C31400">
        <w:rPr>
          <w:rFonts w:asciiTheme="majorHAnsi" w:hAnsiTheme="majorHAnsi"/>
          <w:color w:val="000000" w:themeColor="text1"/>
          <w:sz w:val="20"/>
          <w:szCs w:val="20"/>
          <w:lang w:val="es-ES"/>
        </w:rPr>
        <w:t>juez a cargo</w:t>
      </w:r>
      <w:r w:rsidR="005B01CF" w:rsidRPr="07C31400">
        <w:rPr>
          <w:rFonts w:asciiTheme="majorHAnsi" w:hAnsiTheme="majorHAnsi"/>
          <w:color w:val="000000" w:themeColor="text1"/>
          <w:sz w:val="20"/>
          <w:szCs w:val="20"/>
          <w:lang w:val="es-ES"/>
        </w:rPr>
        <w:t xml:space="preserve"> ordenó se practique a la presunta víctima una evaluación psiquiátrica forense, </w:t>
      </w:r>
      <w:r w:rsidRPr="07C31400">
        <w:rPr>
          <w:rFonts w:asciiTheme="majorHAnsi" w:hAnsiTheme="majorHAnsi"/>
          <w:color w:val="000000" w:themeColor="text1"/>
          <w:sz w:val="20"/>
          <w:szCs w:val="20"/>
          <w:lang w:val="es-ES"/>
        </w:rPr>
        <w:t>a solicitud de</w:t>
      </w:r>
      <w:r w:rsidR="005B01CF" w:rsidRPr="07C31400">
        <w:rPr>
          <w:rFonts w:asciiTheme="majorHAnsi" w:hAnsiTheme="majorHAnsi"/>
          <w:color w:val="000000" w:themeColor="text1"/>
          <w:sz w:val="20"/>
          <w:szCs w:val="20"/>
          <w:lang w:val="es-ES"/>
        </w:rPr>
        <w:t xml:space="preserve"> su defensa. </w:t>
      </w:r>
      <w:r w:rsidR="00B7454E" w:rsidRPr="07C31400">
        <w:rPr>
          <w:rFonts w:asciiTheme="majorHAnsi" w:hAnsiTheme="majorHAnsi"/>
          <w:color w:val="000000" w:themeColor="text1"/>
          <w:sz w:val="20"/>
          <w:szCs w:val="20"/>
          <w:lang w:val="es-ES"/>
        </w:rPr>
        <w:t>A</w:t>
      </w:r>
      <w:r w:rsidR="005B01CF" w:rsidRPr="07C31400">
        <w:rPr>
          <w:rFonts w:asciiTheme="majorHAnsi" w:hAnsiTheme="majorHAnsi"/>
          <w:color w:val="000000" w:themeColor="text1"/>
          <w:sz w:val="20"/>
          <w:szCs w:val="20"/>
          <w:lang w:val="es-ES"/>
        </w:rPr>
        <w:t>grega que</w:t>
      </w:r>
      <w:r w:rsidR="00B7454E" w:rsidRPr="07C31400">
        <w:rPr>
          <w:rFonts w:asciiTheme="majorHAnsi" w:hAnsiTheme="majorHAnsi"/>
          <w:color w:val="000000" w:themeColor="text1"/>
          <w:sz w:val="20"/>
          <w:szCs w:val="20"/>
          <w:lang w:val="es-ES"/>
        </w:rPr>
        <w:t>,</w:t>
      </w:r>
      <w:r w:rsidR="005B01CF" w:rsidRPr="07C31400">
        <w:rPr>
          <w:rFonts w:asciiTheme="majorHAnsi" w:hAnsiTheme="majorHAnsi"/>
          <w:color w:val="000000" w:themeColor="text1"/>
          <w:sz w:val="20"/>
          <w:szCs w:val="20"/>
          <w:lang w:val="es-ES"/>
        </w:rPr>
        <w:t xml:space="preserve"> </w:t>
      </w:r>
      <w:r w:rsidRPr="07C31400">
        <w:rPr>
          <w:rFonts w:asciiTheme="majorHAnsi" w:hAnsiTheme="majorHAnsi"/>
          <w:color w:val="000000" w:themeColor="text1"/>
          <w:sz w:val="20"/>
          <w:szCs w:val="20"/>
          <w:lang w:val="es-ES"/>
        </w:rPr>
        <w:t>en</w:t>
      </w:r>
      <w:r w:rsidR="005B01CF" w:rsidRPr="07C31400">
        <w:rPr>
          <w:rFonts w:asciiTheme="majorHAnsi" w:hAnsiTheme="majorHAnsi"/>
          <w:color w:val="000000" w:themeColor="text1"/>
          <w:sz w:val="20"/>
          <w:szCs w:val="20"/>
          <w:lang w:val="es-ES"/>
        </w:rPr>
        <w:t xml:space="preserve"> agosto de 2003, el </w:t>
      </w:r>
      <w:r w:rsidRPr="07C31400">
        <w:rPr>
          <w:rFonts w:asciiTheme="majorHAnsi" w:hAnsiTheme="majorHAnsi"/>
          <w:color w:val="000000" w:themeColor="text1"/>
          <w:sz w:val="20"/>
          <w:szCs w:val="20"/>
          <w:lang w:val="es-ES"/>
        </w:rPr>
        <w:t>juez</w:t>
      </w:r>
      <w:r w:rsidR="005B01CF" w:rsidRPr="07C31400">
        <w:rPr>
          <w:rFonts w:asciiTheme="majorHAnsi" w:hAnsiTheme="majorHAnsi"/>
          <w:color w:val="000000" w:themeColor="text1"/>
          <w:sz w:val="20"/>
          <w:szCs w:val="20"/>
          <w:lang w:val="es-ES"/>
        </w:rPr>
        <w:t xml:space="preserve"> </w:t>
      </w:r>
      <w:r w:rsidRPr="07C31400">
        <w:rPr>
          <w:rFonts w:asciiTheme="majorHAnsi" w:hAnsiTheme="majorHAnsi"/>
          <w:color w:val="000000" w:themeColor="text1"/>
          <w:sz w:val="20"/>
          <w:szCs w:val="20"/>
          <w:lang w:val="es-ES"/>
        </w:rPr>
        <w:t>suspendió</w:t>
      </w:r>
      <w:r w:rsidR="005B01CF" w:rsidRPr="07C31400">
        <w:rPr>
          <w:rFonts w:asciiTheme="majorHAnsi" w:hAnsiTheme="majorHAnsi"/>
          <w:color w:val="000000" w:themeColor="text1"/>
          <w:sz w:val="20"/>
          <w:szCs w:val="20"/>
          <w:lang w:val="es-ES"/>
        </w:rPr>
        <w:t xml:space="preserve"> el proceso penal hasta </w:t>
      </w:r>
      <w:r w:rsidRPr="07C31400">
        <w:rPr>
          <w:rFonts w:asciiTheme="majorHAnsi" w:hAnsiTheme="majorHAnsi"/>
          <w:color w:val="000000" w:themeColor="text1"/>
          <w:sz w:val="20"/>
          <w:szCs w:val="20"/>
          <w:lang w:val="es-ES"/>
        </w:rPr>
        <w:t>tener</w:t>
      </w:r>
      <w:r w:rsidR="005B01CF" w:rsidRPr="07C31400">
        <w:rPr>
          <w:rFonts w:asciiTheme="majorHAnsi" w:hAnsiTheme="majorHAnsi"/>
          <w:color w:val="000000" w:themeColor="text1"/>
          <w:sz w:val="20"/>
          <w:szCs w:val="20"/>
          <w:lang w:val="es-ES"/>
        </w:rPr>
        <w:t xml:space="preserve"> los resultados de </w:t>
      </w:r>
      <w:r w:rsidRPr="07C31400">
        <w:rPr>
          <w:rFonts w:asciiTheme="majorHAnsi" w:hAnsiTheme="majorHAnsi"/>
          <w:color w:val="000000" w:themeColor="text1"/>
          <w:sz w:val="20"/>
          <w:szCs w:val="20"/>
          <w:lang w:val="es-ES"/>
        </w:rPr>
        <w:t xml:space="preserve">tal </w:t>
      </w:r>
      <w:r w:rsidR="005B01CF" w:rsidRPr="07C31400">
        <w:rPr>
          <w:rFonts w:asciiTheme="majorHAnsi" w:hAnsiTheme="majorHAnsi"/>
          <w:color w:val="000000" w:themeColor="text1"/>
          <w:sz w:val="20"/>
          <w:szCs w:val="20"/>
          <w:lang w:val="es-ES"/>
        </w:rPr>
        <w:t>perici</w:t>
      </w:r>
      <w:r w:rsidR="00CF5E69" w:rsidRPr="07C31400">
        <w:rPr>
          <w:rFonts w:asciiTheme="majorHAnsi" w:hAnsiTheme="majorHAnsi"/>
          <w:color w:val="000000" w:themeColor="text1"/>
          <w:sz w:val="20"/>
          <w:szCs w:val="20"/>
          <w:lang w:val="es-ES"/>
        </w:rPr>
        <w:t>a</w:t>
      </w:r>
      <w:r w:rsidR="005B01CF" w:rsidRPr="07C31400">
        <w:rPr>
          <w:rFonts w:asciiTheme="majorHAnsi" w:hAnsiTheme="majorHAnsi"/>
          <w:color w:val="000000" w:themeColor="text1"/>
          <w:sz w:val="20"/>
          <w:szCs w:val="20"/>
          <w:lang w:val="es-ES"/>
        </w:rPr>
        <w:t>. Sostiene que</w:t>
      </w:r>
      <w:r w:rsidR="00214084" w:rsidRPr="07C31400">
        <w:rPr>
          <w:rFonts w:asciiTheme="majorHAnsi" w:hAnsiTheme="majorHAnsi"/>
          <w:color w:val="000000" w:themeColor="text1"/>
          <w:sz w:val="20"/>
          <w:szCs w:val="20"/>
          <w:lang w:val="es-ES"/>
        </w:rPr>
        <w:t>,</w:t>
      </w:r>
      <w:r w:rsidR="005B01CF" w:rsidRPr="07C31400">
        <w:rPr>
          <w:rFonts w:asciiTheme="majorHAnsi" w:hAnsiTheme="majorHAnsi"/>
          <w:color w:val="000000" w:themeColor="text1"/>
          <w:sz w:val="20"/>
          <w:szCs w:val="20"/>
          <w:lang w:val="es-ES"/>
        </w:rPr>
        <w:t xml:space="preserve"> </w:t>
      </w:r>
      <w:r w:rsidR="00DF0B28" w:rsidRPr="07C31400">
        <w:rPr>
          <w:rFonts w:asciiTheme="majorHAnsi" w:hAnsiTheme="majorHAnsi"/>
          <w:color w:val="000000" w:themeColor="text1"/>
          <w:sz w:val="20"/>
          <w:szCs w:val="20"/>
          <w:lang w:val="es-ES"/>
        </w:rPr>
        <w:t>debido a</w:t>
      </w:r>
      <w:r w:rsidR="005B01CF" w:rsidRPr="07C31400">
        <w:rPr>
          <w:rFonts w:asciiTheme="majorHAnsi" w:hAnsiTheme="majorHAnsi"/>
          <w:color w:val="000000" w:themeColor="text1"/>
          <w:sz w:val="20"/>
          <w:szCs w:val="20"/>
          <w:lang w:val="es-ES"/>
        </w:rPr>
        <w:t xml:space="preserve"> lo anterior, </w:t>
      </w:r>
      <w:r w:rsidRPr="07C31400">
        <w:rPr>
          <w:rFonts w:asciiTheme="majorHAnsi" w:hAnsiTheme="majorHAnsi"/>
          <w:color w:val="000000" w:themeColor="text1"/>
          <w:sz w:val="20"/>
          <w:szCs w:val="20"/>
          <w:lang w:val="es-ES"/>
        </w:rPr>
        <w:t xml:space="preserve">el juez </w:t>
      </w:r>
      <w:r w:rsidR="005B01CF" w:rsidRPr="07C31400">
        <w:rPr>
          <w:rFonts w:asciiTheme="majorHAnsi" w:hAnsiTheme="majorHAnsi"/>
          <w:color w:val="000000" w:themeColor="text1"/>
          <w:sz w:val="20"/>
          <w:szCs w:val="20"/>
          <w:lang w:val="es-ES"/>
        </w:rPr>
        <w:t xml:space="preserve">concedió a la presunta víctima medidas cautelares sustitutivas de la prisión preventiva, </w:t>
      </w:r>
      <w:r w:rsidR="00DF0B28" w:rsidRPr="07C31400">
        <w:rPr>
          <w:rFonts w:asciiTheme="majorHAnsi" w:hAnsiTheme="majorHAnsi"/>
          <w:color w:val="000000" w:themeColor="text1"/>
          <w:sz w:val="20"/>
          <w:szCs w:val="20"/>
          <w:lang w:val="es-ES"/>
        </w:rPr>
        <w:t>quedando</w:t>
      </w:r>
      <w:r w:rsidR="005B01CF" w:rsidRPr="07C31400">
        <w:rPr>
          <w:rFonts w:asciiTheme="majorHAnsi" w:hAnsiTheme="majorHAnsi"/>
          <w:color w:val="000000" w:themeColor="text1"/>
          <w:sz w:val="20"/>
          <w:szCs w:val="20"/>
          <w:lang w:val="es-ES"/>
        </w:rPr>
        <w:t xml:space="preserve"> en libertad el 6 de noviembre de 2003.</w:t>
      </w:r>
      <w:r w:rsidRPr="07C31400">
        <w:rPr>
          <w:rFonts w:asciiTheme="majorHAnsi" w:hAnsiTheme="majorHAnsi"/>
          <w:color w:val="000000" w:themeColor="text1"/>
          <w:sz w:val="20"/>
          <w:szCs w:val="20"/>
          <w:lang w:val="es-ES"/>
        </w:rPr>
        <w:t xml:space="preserve"> </w:t>
      </w:r>
    </w:p>
    <w:p w14:paraId="51BFE0F7" w14:textId="77777777" w:rsidR="006838F0" w:rsidRPr="004B114F" w:rsidRDefault="006838F0" w:rsidP="004B114F">
      <w:pPr>
        <w:pStyle w:val="ListParagraph"/>
        <w:rPr>
          <w:rFonts w:asciiTheme="majorHAnsi" w:hAnsiTheme="majorHAnsi"/>
          <w:color w:val="000000" w:themeColor="text1"/>
          <w:sz w:val="20"/>
          <w:szCs w:val="20"/>
          <w:lang w:val="es-ES_tradnl"/>
        </w:rPr>
      </w:pPr>
    </w:p>
    <w:p w14:paraId="49265000" w14:textId="3260AF41" w:rsidR="006838F0" w:rsidRPr="004B114F" w:rsidRDefault="00AF15E9" w:rsidP="004B114F">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630"/>
        <w:jc w:val="both"/>
        <w:rPr>
          <w:rFonts w:asciiTheme="majorHAnsi" w:hAnsiTheme="majorHAnsi"/>
          <w:color w:val="000000" w:themeColor="text1"/>
          <w:sz w:val="20"/>
          <w:szCs w:val="20"/>
          <w:lang w:val="es-ES_tradnl"/>
        </w:rPr>
      </w:pPr>
      <w:r w:rsidRPr="004B114F">
        <w:rPr>
          <w:rFonts w:asciiTheme="majorHAnsi" w:hAnsiTheme="majorHAnsi"/>
          <w:color w:val="000000" w:themeColor="text1"/>
          <w:sz w:val="20"/>
          <w:szCs w:val="20"/>
          <w:lang w:val="es-ES_tradnl"/>
        </w:rPr>
        <w:t>Agrega</w:t>
      </w:r>
      <w:r w:rsidR="006838F0" w:rsidRPr="004B114F">
        <w:rPr>
          <w:rFonts w:asciiTheme="majorHAnsi" w:hAnsiTheme="majorHAnsi"/>
          <w:color w:val="000000" w:themeColor="text1"/>
          <w:sz w:val="20"/>
          <w:szCs w:val="20"/>
          <w:lang w:val="es-ES_tradnl"/>
        </w:rPr>
        <w:t xml:space="preserve"> que</w:t>
      </w:r>
      <w:r w:rsidR="00B7454E" w:rsidRPr="004B114F">
        <w:rPr>
          <w:rFonts w:asciiTheme="majorHAnsi" w:hAnsiTheme="majorHAnsi"/>
          <w:color w:val="000000" w:themeColor="text1"/>
          <w:sz w:val="20"/>
          <w:szCs w:val="20"/>
          <w:lang w:val="es-ES_tradnl"/>
        </w:rPr>
        <w:t>,</w:t>
      </w:r>
      <w:r w:rsidR="006838F0" w:rsidRPr="004B114F">
        <w:rPr>
          <w:rFonts w:asciiTheme="majorHAnsi" w:hAnsiTheme="majorHAnsi"/>
          <w:color w:val="000000" w:themeColor="text1"/>
          <w:sz w:val="20"/>
          <w:szCs w:val="20"/>
          <w:lang w:val="es-ES_tradnl"/>
        </w:rPr>
        <w:t xml:space="preserve"> </w:t>
      </w:r>
      <w:r w:rsidRPr="004B114F">
        <w:rPr>
          <w:rFonts w:asciiTheme="majorHAnsi" w:hAnsiTheme="majorHAnsi"/>
          <w:color w:val="000000" w:themeColor="text1"/>
          <w:sz w:val="20"/>
          <w:szCs w:val="20"/>
          <w:lang w:val="es-ES_tradnl"/>
        </w:rPr>
        <w:t>en</w:t>
      </w:r>
      <w:r w:rsidR="006838F0" w:rsidRPr="004B114F">
        <w:rPr>
          <w:rFonts w:asciiTheme="majorHAnsi" w:hAnsiTheme="majorHAnsi"/>
          <w:color w:val="000000" w:themeColor="text1"/>
          <w:sz w:val="20"/>
          <w:szCs w:val="20"/>
          <w:lang w:val="es-ES_tradnl"/>
        </w:rPr>
        <w:t xml:space="preserve"> junio de 2007, el </w:t>
      </w:r>
      <w:r w:rsidRPr="004B114F">
        <w:rPr>
          <w:rFonts w:asciiTheme="majorHAnsi" w:hAnsiTheme="majorHAnsi"/>
          <w:color w:val="000000" w:themeColor="text1"/>
          <w:sz w:val="20"/>
          <w:szCs w:val="20"/>
          <w:lang w:val="es-ES_tradnl"/>
        </w:rPr>
        <w:t xml:space="preserve">juez </w:t>
      </w:r>
      <w:r w:rsidR="006838F0" w:rsidRPr="004B114F">
        <w:rPr>
          <w:rFonts w:asciiTheme="majorHAnsi" w:hAnsiTheme="majorHAnsi"/>
          <w:color w:val="000000" w:themeColor="text1"/>
          <w:sz w:val="20"/>
          <w:szCs w:val="20"/>
          <w:lang w:val="es-ES_tradnl"/>
        </w:rPr>
        <w:t xml:space="preserve">celebró audiencia oral con el fin de ventilar la causa y verificar qué actuaciones quedaban pendientes para reanudar el proceso penal. </w:t>
      </w:r>
      <w:r w:rsidR="00B7454E" w:rsidRPr="004B114F">
        <w:rPr>
          <w:rFonts w:asciiTheme="majorHAnsi" w:hAnsiTheme="majorHAnsi"/>
          <w:color w:val="000000" w:themeColor="text1"/>
          <w:sz w:val="20"/>
          <w:szCs w:val="20"/>
          <w:lang w:val="es-ES_tradnl"/>
        </w:rPr>
        <w:t>A</w:t>
      </w:r>
      <w:r w:rsidR="006838F0" w:rsidRPr="004B114F">
        <w:rPr>
          <w:rFonts w:asciiTheme="majorHAnsi" w:hAnsiTheme="majorHAnsi"/>
          <w:color w:val="000000" w:themeColor="text1"/>
          <w:sz w:val="20"/>
          <w:szCs w:val="20"/>
          <w:lang w:val="es-ES_tradnl"/>
        </w:rPr>
        <w:t xml:space="preserve">firma que ante la información brindada por la señora Maleno de su imposibilidad de realizarse la evaluación psiquiátrica forense por no contar con los medios económicos suficientes, el </w:t>
      </w:r>
      <w:r w:rsidRPr="004B114F">
        <w:rPr>
          <w:rFonts w:asciiTheme="majorHAnsi" w:hAnsiTheme="majorHAnsi"/>
          <w:color w:val="000000" w:themeColor="text1"/>
          <w:sz w:val="20"/>
          <w:szCs w:val="20"/>
          <w:lang w:val="es-ES_tradnl"/>
        </w:rPr>
        <w:t>juez</w:t>
      </w:r>
      <w:r w:rsidR="006838F0" w:rsidRPr="004B114F">
        <w:rPr>
          <w:rFonts w:asciiTheme="majorHAnsi" w:hAnsiTheme="majorHAnsi"/>
          <w:color w:val="000000" w:themeColor="text1"/>
          <w:sz w:val="20"/>
          <w:szCs w:val="20"/>
          <w:lang w:val="es-ES_tradnl"/>
        </w:rPr>
        <w:t xml:space="preserve"> emitió una nueva orden para que la pericia le fuera practicada </w:t>
      </w:r>
      <w:r w:rsidR="00195C7B" w:rsidRPr="004B114F">
        <w:rPr>
          <w:rFonts w:asciiTheme="majorHAnsi" w:hAnsiTheme="majorHAnsi"/>
          <w:color w:val="000000" w:themeColor="text1"/>
          <w:sz w:val="20"/>
          <w:szCs w:val="20"/>
          <w:lang w:val="es-ES_tradnl"/>
        </w:rPr>
        <w:t>en</w:t>
      </w:r>
      <w:r w:rsidR="006838F0" w:rsidRPr="004B114F">
        <w:rPr>
          <w:rFonts w:asciiTheme="majorHAnsi" w:hAnsiTheme="majorHAnsi"/>
          <w:color w:val="000000" w:themeColor="text1"/>
          <w:sz w:val="20"/>
          <w:szCs w:val="20"/>
          <w:lang w:val="es-ES_tradnl"/>
        </w:rPr>
        <w:t xml:space="preserve"> junio de 2007, lo cual no sucedió por la inasistencia de la presunta víctima. Añade que, luego de ello, el Juzgado fijó fecha para audiencia del juicio oral </w:t>
      </w:r>
      <w:r w:rsidR="00195C7B" w:rsidRPr="004B114F">
        <w:rPr>
          <w:rFonts w:asciiTheme="majorHAnsi" w:hAnsiTheme="majorHAnsi"/>
          <w:color w:val="000000" w:themeColor="text1"/>
          <w:sz w:val="20"/>
          <w:szCs w:val="20"/>
          <w:lang w:val="es-ES_tradnl"/>
        </w:rPr>
        <w:t>en</w:t>
      </w:r>
      <w:r w:rsidR="006838F0" w:rsidRPr="004B114F">
        <w:rPr>
          <w:rFonts w:asciiTheme="majorHAnsi" w:hAnsiTheme="majorHAnsi"/>
          <w:color w:val="000000" w:themeColor="text1"/>
          <w:sz w:val="20"/>
          <w:szCs w:val="20"/>
          <w:lang w:val="es-ES_tradnl"/>
        </w:rPr>
        <w:t xml:space="preserve"> octubre de 2007, pero debió reprogramarla por la no comparecencia de la señora Maleno, a quien se acordó conducir por la fuerza pública al acto judicial, de ser necesario.</w:t>
      </w:r>
      <w:r w:rsidR="00195C7B" w:rsidRPr="004B114F">
        <w:rPr>
          <w:rFonts w:asciiTheme="majorHAnsi" w:hAnsiTheme="majorHAnsi"/>
          <w:color w:val="000000" w:themeColor="text1"/>
          <w:sz w:val="20"/>
          <w:szCs w:val="20"/>
          <w:lang w:val="es-ES_tradnl"/>
        </w:rPr>
        <w:t xml:space="preserve"> Indica que el proceso penal se encuentra en fase de juicio.</w:t>
      </w:r>
    </w:p>
    <w:p w14:paraId="5DD7FBE5" w14:textId="77777777" w:rsidR="006838F0" w:rsidRPr="004B114F" w:rsidRDefault="006838F0" w:rsidP="004B114F">
      <w:pPr>
        <w:pStyle w:val="ListParagraph"/>
        <w:rPr>
          <w:rFonts w:asciiTheme="majorHAnsi" w:hAnsiTheme="majorHAnsi"/>
          <w:color w:val="000000" w:themeColor="text1"/>
          <w:sz w:val="20"/>
          <w:szCs w:val="20"/>
          <w:lang w:val="es-ES_tradnl"/>
        </w:rPr>
      </w:pPr>
    </w:p>
    <w:p w14:paraId="7D60517F" w14:textId="089EF366" w:rsidR="009200FE" w:rsidRPr="004B114F" w:rsidRDefault="006838F0" w:rsidP="07C31400">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630"/>
        <w:jc w:val="both"/>
        <w:rPr>
          <w:rFonts w:asciiTheme="majorHAnsi" w:hAnsiTheme="majorHAnsi"/>
          <w:color w:val="000000" w:themeColor="text1"/>
          <w:sz w:val="20"/>
          <w:szCs w:val="20"/>
          <w:lang w:val="es-ES"/>
        </w:rPr>
      </w:pPr>
      <w:r w:rsidRPr="07C31400">
        <w:rPr>
          <w:rFonts w:asciiTheme="majorHAnsi" w:hAnsiTheme="majorHAnsi"/>
          <w:color w:val="000000" w:themeColor="text1"/>
          <w:sz w:val="20"/>
          <w:szCs w:val="20"/>
          <w:lang w:val="es-ES"/>
        </w:rPr>
        <w:t>Con respecto a la denuncia de violación sexual formulada por la presunta víctima,</w:t>
      </w:r>
      <w:r w:rsidR="00195C7B" w:rsidRPr="07C31400">
        <w:rPr>
          <w:rFonts w:asciiTheme="majorHAnsi" w:hAnsiTheme="majorHAnsi"/>
          <w:color w:val="000000" w:themeColor="text1"/>
          <w:sz w:val="20"/>
          <w:szCs w:val="20"/>
          <w:lang w:val="es-ES"/>
        </w:rPr>
        <w:t xml:space="preserve"> sin negar la ocurrencia de los hechos,</w:t>
      </w:r>
      <w:r w:rsidRPr="07C31400">
        <w:rPr>
          <w:rFonts w:asciiTheme="majorHAnsi" w:hAnsiTheme="majorHAnsi"/>
          <w:color w:val="000000" w:themeColor="text1"/>
          <w:sz w:val="20"/>
          <w:szCs w:val="20"/>
          <w:lang w:val="es-ES"/>
        </w:rPr>
        <w:t xml:space="preserve"> el Estado afirma que </w:t>
      </w:r>
      <w:r w:rsidR="00195C7B" w:rsidRPr="07C31400">
        <w:rPr>
          <w:rFonts w:asciiTheme="majorHAnsi" w:hAnsiTheme="majorHAnsi"/>
          <w:color w:val="000000" w:themeColor="text1"/>
          <w:sz w:val="20"/>
          <w:szCs w:val="20"/>
          <w:lang w:val="es-ES"/>
        </w:rPr>
        <w:t>en</w:t>
      </w:r>
      <w:r w:rsidR="00102748" w:rsidRPr="07C31400">
        <w:rPr>
          <w:rFonts w:asciiTheme="majorHAnsi" w:hAnsiTheme="majorHAnsi"/>
          <w:color w:val="000000" w:themeColor="text1"/>
          <w:sz w:val="20"/>
          <w:szCs w:val="20"/>
          <w:lang w:val="es-ES"/>
        </w:rPr>
        <w:t xml:space="preserve"> febrero de 2002, </w:t>
      </w:r>
      <w:r w:rsidR="00195C7B" w:rsidRPr="07C31400">
        <w:rPr>
          <w:rFonts w:asciiTheme="majorHAnsi" w:hAnsiTheme="majorHAnsi"/>
          <w:color w:val="000000" w:themeColor="text1"/>
          <w:sz w:val="20"/>
          <w:szCs w:val="20"/>
          <w:lang w:val="es-ES"/>
        </w:rPr>
        <w:t>el Ministerio Público</w:t>
      </w:r>
      <w:r w:rsidR="009200FE" w:rsidRPr="07C31400">
        <w:rPr>
          <w:rFonts w:asciiTheme="majorHAnsi" w:hAnsiTheme="majorHAnsi"/>
          <w:color w:val="000000" w:themeColor="text1"/>
          <w:sz w:val="20"/>
          <w:szCs w:val="20"/>
          <w:lang w:val="es-ES"/>
        </w:rPr>
        <w:t xml:space="preserve"> </w:t>
      </w:r>
      <w:r w:rsidR="00195C7B" w:rsidRPr="07C31400">
        <w:rPr>
          <w:rFonts w:asciiTheme="majorHAnsi" w:hAnsiTheme="majorHAnsi"/>
          <w:color w:val="000000" w:themeColor="text1"/>
          <w:sz w:val="20"/>
          <w:szCs w:val="20"/>
          <w:lang w:val="es-ES"/>
        </w:rPr>
        <w:t>inició</w:t>
      </w:r>
      <w:r w:rsidR="009200FE" w:rsidRPr="07C31400">
        <w:rPr>
          <w:rFonts w:asciiTheme="majorHAnsi" w:hAnsiTheme="majorHAnsi"/>
          <w:color w:val="000000" w:themeColor="text1"/>
          <w:sz w:val="20"/>
          <w:szCs w:val="20"/>
          <w:lang w:val="es-ES"/>
        </w:rPr>
        <w:t xml:space="preserve"> una investigación penal a partir de información recibida por autoridades del Internado Anzoátegui.</w:t>
      </w:r>
      <w:r w:rsidR="00DF0B28" w:rsidRPr="07C31400">
        <w:rPr>
          <w:rFonts w:asciiTheme="majorHAnsi" w:hAnsiTheme="majorHAnsi"/>
          <w:color w:val="000000" w:themeColor="text1"/>
          <w:sz w:val="20"/>
          <w:szCs w:val="20"/>
          <w:lang w:val="es-ES"/>
        </w:rPr>
        <w:t xml:space="preserve"> </w:t>
      </w:r>
      <w:r w:rsidR="009200FE" w:rsidRPr="07C31400">
        <w:rPr>
          <w:rFonts w:asciiTheme="majorHAnsi" w:hAnsiTheme="majorHAnsi"/>
          <w:color w:val="000000" w:themeColor="text1"/>
          <w:sz w:val="20"/>
          <w:szCs w:val="20"/>
          <w:lang w:val="es-ES"/>
        </w:rPr>
        <w:t xml:space="preserve">Alega que, </w:t>
      </w:r>
      <w:r w:rsidR="00195C7B" w:rsidRPr="07C31400">
        <w:rPr>
          <w:rFonts w:asciiTheme="majorHAnsi" w:hAnsiTheme="majorHAnsi"/>
          <w:color w:val="000000" w:themeColor="text1"/>
          <w:sz w:val="20"/>
          <w:szCs w:val="20"/>
          <w:lang w:val="es-ES"/>
        </w:rPr>
        <w:t>en</w:t>
      </w:r>
      <w:r w:rsidR="009200FE" w:rsidRPr="07C31400">
        <w:rPr>
          <w:rFonts w:asciiTheme="majorHAnsi" w:hAnsiTheme="majorHAnsi"/>
          <w:color w:val="000000" w:themeColor="text1"/>
          <w:sz w:val="20"/>
          <w:szCs w:val="20"/>
          <w:lang w:val="es-ES"/>
        </w:rPr>
        <w:t xml:space="preserve"> enero de 2008, la investigación se encontraba en </w:t>
      </w:r>
      <w:r w:rsidR="00A127AA" w:rsidRPr="07C31400">
        <w:rPr>
          <w:rFonts w:asciiTheme="majorHAnsi" w:hAnsiTheme="majorHAnsi"/>
          <w:color w:val="000000" w:themeColor="text1"/>
          <w:sz w:val="20"/>
          <w:szCs w:val="20"/>
          <w:lang w:val="es-ES"/>
        </w:rPr>
        <w:t>f</w:t>
      </w:r>
      <w:r w:rsidR="009200FE" w:rsidRPr="07C31400">
        <w:rPr>
          <w:rFonts w:asciiTheme="majorHAnsi" w:hAnsiTheme="majorHAnsi"/>
          <w:color w:val="000000" w:themeColor="text1"/>
          <w:sz w:val="20"/>
          <w:szCs w:val="20"/>
          <w:lang w:val="es-ES"/>
        </w:rPr>
        <w:t xml:space="preserve">ase </w:t>
      </w:r>
      <w:r w:rsidR="00A127AA" w:rsidRPr="07C31400">
        <w:rPr>
          <w:rFonts w:asciiTheme="majorHAnsi" w:hAnsiTheme="majorHAnsi"/>
          <w:color w:val="000000" w:themeColor="text1"/>
          <w:sz w:val="20"/>
          <w:szCs w:val="20"/>
          <w:lang w:val="es-ES"/>
        </w:rPr>
        <w:t>p</w:t>
      </w:r>
      <w:r w:rsidR="009200FE" w:rsidRPr="07C31400">
        <w:rPr>
          <w:rFonts w:asciiTheme="majorHAnsi" w:hAnsiTheme="majorHAnsi"/>
          <w:color w:val="000000" w:themeColor="text1"/>
          <w:sz w:val="20"/>
          <w:szCs w:val="20"/>
          <w:lang w:val="es-ES"/>
        </w:rPr>
        <w:t>reparatoria y que el Ministerio Público había conducido todas las diligencias necesarias. Sostiene que, como parte de estas diligencias, la presunta víctima fue trasladada de forma inmediata a la Coordinación Nacional de Ciencias Forenses del Cuerpo de Investigaciones Científicas, Penales y Criminalísticas para el reconocimiento médico legal. Indica que el resultado de dicha pericia arrojó la ausencia de signos de violencia que pudieran dar indicios de la materialización del delito de violación.</w:t>
      </w:r>
      <w:r w:rsidR="00195C7B" w:rsidRPr="07C31400">
        <w:rPr>
          <w:rFonts w:asciiTheme="majorHAnsi" w:hAnsiTheme="majorHAnsi"/>
          <w:color w:val="000000" w:themeColor="text1"/>
          <w:sz w:val="20"/>
          <w:szCs w:val="20"/>
          <w:lang w:val="es-ES"/>
        </w:rPr>
        <w:t xml:space="preserve"> </w:t>
      </w:r>
      <w:r w:rsidR="009200FE" w:rsidRPr="07C31400">
        <w:rPr>
          <w:rFonts w:asciiTheme="majorHAnsi" w:hAnsiTheme="majorHAnsi"/>
          <w:color w:val="000000" w:themeColor="text1"/>
          <w:sz w:val="20"/>
          <w:szCs w:val="20"/>
          <w:lang w:val="es-ES"/>
        </w:rPr>
        <w:t xml:space="preserve">Afirma que se </w:t>
      </w:r>
      <w:r w:rsidR="00195C7B" w:rsidRPr="07C31400">
        <w:rPr>
          <w:rFonts w:asciiTheme="majorHAnsi" w:hAnsiTheme="majorHAnsi"/>
          <w:color w:val="000000" w:themeColor="text1"/>
          <w:sz w:val="20"/>
          <w:szCs w:val="20"/>
          <w:lang w:val="es-ES"/>
        </w:rPr>
        <w:t xml:space="preserve">realizaron </w:t>
      </w:r>
      <w:r w:rsidR="009200FE" w:rsidRPr="07C31400">
        <w:rPr>
          <w:rFonts w:asciiTheme="majorHAnsi" w:hAnsiTheme="majorHAnsi"/>
          <w:color w:val="000000" w:themeColor="text1"/>
          <w:sz w:val="20"/>
          <w:szCs w:val="20"/>
          <w:lang w:val="es-ES"/>
        </w:rPr>
        <w:t xml:space="preserve">otras diligencias como inspecciones oculares en el lugar de los hechos, recolección de las prendas íntimas de la presunta víctima, verificación de la identidad y ubicación de los reclusos sindicados como responsables de la violación, entre otros. </w:t>
      </w:r>
      <w:r w:rsidR="00195C7B" w:rsidRPr="07C31400">
        <w:rPr>
          <w:rFonts w:asciiTheme="majorHAnsi" w:hAnsiTheme="majorHAnsi"/>
          <w:color w:val="000000" w:themeColor="text1"/>
          <w:sz w:val="20"/>
          <w:szCs w:val="20"/>
          <w:lang w:val="es-ES"/>
        </w:rPr>
        <w:t>I</w:t>
      </w:r>
      <w:r w:rsidR="00DF0B28" w:rsidRPr="07C31400">
        <w:rPr>
          <w:rFonts w:asciiTheme="majorHAnsi" w:hAnsiTheme="majorHAnsi"/>
          <w:color w:val="000000" w:themeColor="text1"/>
          <w:sz w:val="20"/>
          <w:szCs w:val="20"/>
          <w:lang w:val="es-ES"/>
        </w:rPr>
        <w:t xml:space="preserve">ndica </w:t>
      </w:r>
      <w:r w:rsidR="009200FE" w:rsidRPr="07C31400">
        <w:rPr>
          <w:rFonts w:asciiTheme="majorHAnsi" w:hAnsiTheme="majorHAnsi"/>
          <w:color w:val="000000" w:themeColor="text1"/>
          <w:sz w:val="20"/>
          <w:szCs w:val="20"/>
          <w:lang w:val="es-ES"/>
        </w:rPr>
        <w:t>que el Ministerio Público se encuentra a la espera de los resultados de aquellas diligencias para dictar el acto conclusivo correspondiente.</w:t>
      </w:r>
    </w:p>
    <w:p w14:paraId="73237377" w14:textId="77777777" w:rsidR="009200FE" w:rsidRPr="004B114F" w:rsidRDefault="009200FE" w:rsidP="004B114F">
      <w:pPr>
        <w:pStyle w:val="ListParagraph"/>
        <w:rPr>
          <w:rFonts w:asciiTheme="majorHAnsi" w:hAnsiTheme="majorHAnsi"/>
          <w:color w:val="000000" w:themeColor="text1"/>
          <w:sz w:val="20"/>
          <w:szCs w:val="20"/>
          <w:lang w:val="es-ES_tradnl"/>
        </w:rPr>
      </w:pPr>
    </w:p>
    <w:p w14:paraId="32117FA9" w14:textId="5659AF58" w:rsidR="009200FE" w:rsidRPr="004B114F" w:rsidRDefault="00EB7A42" w:rsidP="004B114F">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630"/>
        <w:jc w:val="both"/>
        <w:rPr>
          <w:rFonts w:asciiTheme="majorHAnsi" w:hAnsiTheme="majorHAnsi"/>
          <w:color w:val="000000" w:themeColor="text1"/>
          <w:sz w:val="20"/>
          <w:szCs w:val="20"/>
          <w:lang w:val="es-ES_tradnl"/>
        </w:rPr>
      </w:pPr>
      <w:r>
        <w:rPr>
          <w:rFonts w:asciiTheme="majorHAnsi" w:hAnsiTheme="majorHAnsi"/>
          <w:color w:val="000000" w:themeColor="text1"/>
          <w:sz w:val="20"/>
          <w:szCs w:val="20"/>
          <w:lang w:val="es-ES_tradnl"/>
        </w:rPr>
        <w:t xml:space="preserve">Sobre la </w:t>
      </w:r>
      <w:r w:rsidR="009200FE" w:rsidRPr="004B114F">
        <w:rPr>
          <w:rFonts w:asciiTheme="majorHAnsi" w:hAnsiTheme="majorHAnsi"/>
          <w:color w:val="000000" w:themeColor="text1"/>
          <w:sz w:val="20"/>
          <w:szCs w:val="20"/>
          <w:lang w:val="es-ES_tradnl"/>
        </w:rPr>
        <w:t xml:space="preserve">base </w:t>
      </w:r>
      <w:r>
        <w:rPr>
          <w:rFonts w:asciiTheme="majorHAnsi" w:hAnsiTheme="majorHAnsi"/>
          <w:color w:val="000000" w:themeColor="text1"/>
          <w:sz w:val="20"/>
          <w:szCs w:val="20"/>
          <w:lang w:val="es-ES_tradnl"/>
        </w:rPr>
        <w:t>de</w:t>
      </w:r>
      <w:r w:rsidR="009200FE" w:rsidRPr="004B114F">
        <w:rPr>
          <w:rFonts w:asciiTheme="majorHAnsi" w:hAnsiTheme="majorHAnsi"/>
          <w:color w:val="000000" w:themeColor="text1"/>
          <w:sz w:val="20"/>
          <w:szCs w:val="20"/>
          <w:lang w:val="es-ES_tradnl"/>
        </w:rPr>
        <w:t xml:space="preserve"> estos alegatos, sostiene que ha cumplido con respetar </w:t>
      </w:r>
      <w:r w:rsidR="00E62D25" w:rsidRPr="004B114F">
        <w:rPr>
          <w:rFonts w:asciiTheme="majorHAnsi" w:hAnsiTheme="majorHAnsi"/>
          <w:color w:val="000000" w:themeColor="text1"/>
          <w:sz w:val="20"/>
          <w:szCs w:val="20"/>
          <w:lang w:val="es-ES_tradnl"/>
        </w:rPr>
        <w:t>los derechos</w:t>
      </w:r>
      <w:r w:rsidR="009200FE" w:rsidRPr="004B114F">
        <w:rPr>
          <w:rFonts w:asciiTheme="majorHAnsi" w:hAnsiTheme="majorHAnsi"/>
          <w:color w:val="000000" w:themeColor="text1"/>
          <w:sz w:val="20"/>
          <w:szCs w:val="20"/>
          <w:lang w:val="es-ES_tradnl"/>
        </w:rPr>
        <w:t xml:space="preserve"> a un juicio previo, debido proceso y a la tutela judicial efectiva, así como </w:t>
      </w:r>
      <w:r w:rsidR="00E62D25" w:rsidRPr="004B114F">
        <w:rPr>
          <w:rFonts w:asciiTheme="majorHAnsi" w:hAnsiTheme="majorHAnsi"/>
          <w:color w:val="000000" w:themeColor="text1"/>
          <w:sz w:val="20"/>
          <w:szCs w:val="20"/>
          <w:lang w:val="es-ES_tradnl"/>
        </w:rPr>
        <w:t xml:space="preserve">los </w:t>
      </w:r>
      <w:r w:rsidR="009200FE" w:rsidRPr="004B114F">
        <w:rPr>
          <w:rFonts w:asciiTheme="majorHAnsi" w:hAnsiTheme="majorHAnsi"/>
          <w:color w:val="000000" w:themeColor="text1"/>
          <w:sz w:val="20"/>
          <w:szCs w:val="20"/>
          <w:lang w:val="es-ES_tradnl"/>
        </w:rPr>
        <w:t>otros derechos humanos</w:t>
      </w:r>
      <w:r w:rsidR="00E62D25" w:rsidRPr="004B114F">
        <w:rPr>
          <w:rFonts w:asciiTheme="majorHAnsi" w:hAnsiTheme="majorHAnsi"/>
          <w:color w:val="000000" w:themeColor="text1"/>
          <w:sz w:val="20"/>
          <w:szCs w:val="20"/>
          <w:lang w:val="es-ES_tradnl"/>
        </w:rPr>
        <w:t xml:space="preserve"> de la presunta víctima</w:t>
      </w:r>
      <w:r w:rsidR="009200FE" w:rsidRPr="004B114F">
        <w:rPr>
          <w:rFonts w:asciiTheme="majorHAnsi" w:hAnsiTheme="majorHAnsi"/>
          <w:color w:val="000000" w:themeColor="text1"/>
          <w:sz w:val="20"/>
          <w:szCs w:val="20"/>
          <w:lang w:val="es-ES_tradnl"/>
        </w:rPr>
        <w:t xml:space="preserve">. </w:t>
      </w:r>
    </w:p>
    <w:p w14:paraId="63EAEFFC" w14:textId="3C486CA4" w:rsidR="004B114F" w:rsidRDefault="004B114F">
      <w:pPr>
        <w:rPr>
          <w:rFonts w:asciiTheme="majorHAnsi" w:hAnsiTheme="majorHAnsi"/>
          <w:color w:val="000000" w:themeColor="text1"/>
          <w:sz w:val="20"/>
          <w:szCs w:val="20"/>
          <w:lang w:val="es-ES_tradnl"/>
        </w:rPr>
      </w:pPr>
    </w:p>
    <w:p w14:paraId="1E5B5CE2" w14:textId="77777777" w:rsidR="00D12193" w:rsidRPr="004B114F" w:rsidRDefault="00D12193" w:rsidP="004B114F">
      <w:pPr>
        <w:pStyle w:val="Heading1"/>
        <w:rPr>
          <w:szCs w:val="20"/>
          <w:lang w:val="es-ES_tradnl"/>
        </w:rPr>
      </w:pPr>
      <w:bookmarkStart w:id="7" w:name="_Toc142398948"/>
      <w:r w:rsidRPr="004B114F">
        <w:rPr>
          <w:szCs w:val="20"/>
          <w:lang w:val="es-ES_tradnl"/>
        </w:rPr>
        <w:t>DETERMINACIONES DE HECHO</w:t>
      </w:r>
      <w:r w:rsidR="000C4E2A" w:rsidRPr="004B114F">
        <w:rPr>
          <w:rStyle w:val="FootnoteReference"/>
          <w:szCs w:val="20"/>
          <w:lang w:val="es-ES_tradnl"/>
        </w:rPr>
        <w:footnoteReference w:id="4"/>
      </w:r>
      <w:bookmarkEnd w:id="7"/>
    </w:p>
    <w:p w14:paraId="32071DCC" w14:textId="77777777" w:rsidR="007C756A" w:rsidRPr="004B114F" w:rsidRDefault="007C756A" w:rsidP="004B114F">
      <w:pPr>
        <w:rPr>
          <w:rFonts w:asciiTheme="majorHAnsi" w:hAnsiTheme="majorHAnsi"/>
          <w:b/>
          <w:sz w:val="20"/>
          <w:szCs w:val="20"/>
          <w:lang w:val="es-ES_tradnl"/>
        </w:rPr>
      </w:pPr>
    </w:p>
    <w:p w14:paraId="560EF0D4" w14:textId="697C5342" w:rsidR="00815021" w:rsidRPr="004B114F" w:rsidRDefault="00F86531" w:rsidP="00DE778C">
      <w:pPr>
        <w:pStyle w:val="Heading2"/>
        <w:numPr>
          <w:ilvl w:val="0"/>
          <w:numId w:val="61"/>
        </w:numPr>
        <w:jc w:val="both"/>
        <w:rPr>
          <w:rFonts w:asciiTheme="majorHAnsi" w:hAnsiTheme="majorHAnsi"/>
          <w:szCs w:val="20"/>
          <w:lang w:val="es-ES_tradnl"/>
        </w:rPr>
      </w:pPr>
      <w:bookmarkStart w:id="8" w:name="_Toc142398949"/>
      <w:r w:rsidRPr="004B114F">
        <w:rPr>
          <w:rFonts w:asciiTheme="majorHAnsi" w:hAnsiTheme="majorHAnsi"/>
          <w:szCs w:val="20"/>
          <w:lang w:val="es-ES_tradnl"/>
        </w:rPr>
        <w:t>Sobre la detención</w:t>
      </w:r>
      <w:r w:rsidR="00026B83" w:rsidRPr="004B114F">
        <w:rPr>
          <w:rFonts w:asciiTheme="majorHAnsi" w:hAnsiTheme="majorHAnsi"/>
          <w:szCs w:val="20"/>
          <w:lang w:val="es-ES_tradnl"/>
        </w:rPr>
        <w:t xml:space="preserve"> y </w:t>
      </w:r>
      <w:r w:rsidR="006525CC" w:rsidRPr="004B114F">
        <w:rPr>
          <w:rFonts w:asciiTheme="majorHAnsi" w:hAnsiTheme="majorHAnsi"/>
          <w:szCs w:val="20"/>
          <w:lang w:val="es-ES_tradnl"/>
        </w:rPr>
        <w:t xml:space="preserve">el </w:t>
      </w:r>
      <w:r w:rsidR="00026B83" w:rsidRPr="004B114F">
        <w:rPr>
          <w:rFonts w:asciiTheme="majorHAnsi" w:hAnsiTheme="majorHAnsi"/>
          <w:szCs w:val="20"/>
          <w:lang w:val="es-ES_tradnl"/>
        </w:rPr>
        <w:t>proceso penal</w:t>
      </w:r>
      <w:r w:rsidRPr="004B114F">
        <w:rPr>
          <w:rFonts w:asciiTheme="majorHAnsi" w:hAnsiTheme="majorHAnsi"/>
          <w:szCs w:val="20"/>
          <w:lang w:val="es-ES_tradnl"/>
        </w:rPr>
        <w:t xml:space="preserve"> </w:t>
      </w:r>
      <w:r w:rsidR="00026B83" w:rsidRPr="004B114F">
        <w:rPr>
          <w:rFonts w:asciiTheme="majorHAnsi" w:hAnsiTheme="majorHAnsi"/>
          <w:szCs w:val="20"/>
          <w:lang w:val="es-ES_tradnl"/>
        </w:rPr>
        <w:t xml:space="preserve">seguido contra </w:t>
      </w:r>
      <w:r w:rsidRPr="004B114F">
        <w:rPr>
          <w:rFonts w:asciiTheme="majorHAnsi" w:hAnsiTheme="majorHAnsi"/>
          <w:szCs w:val="20"/>
          <w:lang w:val="es-ES_tradnl"/>
        </w:rPr>
        <w:t xml:space="preserve">la </w:t>
      </w:r>
      <w:r w:rsidR="00C551C3" w:rsidRPr="004B114F">
        <w:rPr>
          <w:rFonts w:asciiTheme="majorHAnsi" w:hAnsiTheme="majorHAnsi"/>
          <w:szCs w:val="20"/>
          <w:lang w:val="es-ES_tradnl"/>
        </w:rPr>
        <w:t>señora Maleno</w:t>
      </w:r>
      <w:bookmarkEnd w:id="8"/>
      <w:r w:rsidRPr="004B114F">
        <w:rPr>
          <w:rFonts w:asciiTheme="majorHAnsi" w:hAnsiTheme="majorHAnsi"/>
          <w:szCs w:val="20"/>
          <w:lang w:val="es-ES_tradnl"/>
        </w:rPr>
        <w:t xml:space="preserve"> </w:t>
      </w:r>
    </w:p>
    <w:p w14:paraId="1639C711" w14:textId="77777777" w:rsidR="00C65A69" w:rsidRPr="004B114F" w:rsidRDefault="00C65A69" w:rsidP="004B114F">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630"/>
        <w:jc w:val="both"/>
        <w:rPr>
          <w:rFonts w:asciiTheme="majorHAnsi" w:hAnsiTheme="majorHAnsi"/>
          <w:color w:val="000000" w:themeColor="text1"/>
          <w:sz w:val="20"/>
          <w:szCs w:val="20"/>
          <w:lang w:val="es-ES_tradnl"/>
        </w:rPr>
      </w:pPr>
    </w:p>
    <w:p w14:paraId="01B381DE" w14:textId="2515F5A6" w:rsidR="00507410" w:rsidRPr="004B114F" w:rsidRDefault="008A36D9" w:rsidP="07C31400">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630"/>
        <w:jc w:val="both"/>
        <w:rPr>
          <w:rFonts w:asciiTheme="majorHAnsi" w:hAnsiTheme="majorHAnsi"/>
          <w:color w:val="000000" w:themeColor="text1"/>
          <w:sz w:val="20"/>
          <w:szCs w:val="20"/>
          <w:lang w:val="es-ES"/>
        </w:rPr>
      </w:pPr>
      <w:r w:rsidRPr="07C31400">
        <w:rPr>
          <w:rFonts w:asciiTheme="majorHAnsi" w:hAnsiTheme="majorHAnsi"/>
          <w:sz w:val="20"/>
          <w:szCs w:val="20"/>
          <w:lang w:val="es-ES"/>
        </w:rPr>
        <w:t>El 18 de octubre de 2001 la señora Maleno fue detenida por la presunta comisión del delito de homicidio calificado en perjuicio de su menor hija</w:t>
      </w:r>
      <w:r w:rsidR="002B755C" w:rsidRPr="07C31400">
        <w:rPr>
          <w:rFonts w:asciiTheme="majorHAnsi" w:hAnsiTheme="majorHAnsi"/>
          <w:sz w:val="20"/>
          <w:szCs w:val="20"/>
          <w:lang w:val="es-ES"/>
        </w:rPr>
        <w:t xml:space="preserve">. Fue </w:t>
      </w:r>
      <w:r w:rsidRPr="07C31400">
        <w:rPr>
          <w:rFonts w:asciiTheme="majorHAnsi" w:hAnsiTheme="majorHAnsi"/>
          <w:sz w:val="20"/>
          <w:szCs w:val="20"/>
          <w:lang w:val="es-ES"/>
        </w:rPr>
        <w:t xml:space="preserve">presentada por la Fiscalía Décimo Sexta al Tribunal Cuarto el 20 de octubre de 2001. </w:t>
      </w:r>
      <w:r w:rsidR="00221DE3" w:rsidRPr="07C31400">
        <w:rPr>
          <w:rFonts w:asciiTheme="majorHAnsi" w:hAnsiTheme="majorHAnsi"/>
          <w:color w:val="000000" w:themeColor="text1"/>
          <w:sz w:val="20"/>
          <w:szCs w:val="20"/>
          <w:lang w:val="es-ES"/>
        </w:rPr>
        <w:t xml:space="preserve">De acuerdo con la información </w:t>
      </w:r>
      <w:r w:rsidR="007A52BA" w:rsidRPr="07C31400">
        <w:rPr>
          <w:rFonts w:asciiTheme="majorHAnsi" w:hAnsiTheme="majorHAnsi"/>
          <w:color w:val="000000" w:themeColor="text1"/>
          <w:sz w:val="20"/>
          <w:szCs w:val="20"/>
          <w:lang w:val="es-ES"/>
        </w:rPr>
        <w:t>que obra en el expediente</w:t>
      </w:r>
      <w:r w:rsidR="00221DE3" w:rsidRPr="07C31400">
        <w:rPr>
          <w:rFonts w:asciiTheme="majorHAnsi" w:hAnsiTheme="majorHAnsi"/>
          <w:color w:val="000000" w:themeColor="text1"/>
          <w:sz w:val="20"/>
          <w:szCs w:val="20"/>
          <w:lang w:val="es-ES"/>
        </w:rPr>
        <w:t>,</w:t>
      </w:r>
      <w:r w:rsidR="0037635B" w:rsidRPr="07C31400">
        <w:rPr>
          <w:rFonts w:asciiTheme="majorHAnsi" w:hAnsiTheme="majorHAnsi"/>
          <w:color w:val="000000" w:themeColor="text1"/>
          <w:sz w:val="20"/>
          <w:szCs w:val="20"/>
          <w:lang w:val="es-ES"/>
        </w:rPr>
        <w:t xml:space="preserve"> en octubre de 2001 </w:t>
      </w:r>
      <w:r w:rsidR="002B755C" w:rsidRPr="07C31400">
        <w:rPr>
          <w:rFonts w:asciiTheme="majorHAnsi" w:hAnsiTheme="majorHAnsi"/>
          <w:color w:val="000000" w:themeColor="text1"/>
          <w:sz w:val="20"/>
          <w:szCs w:val="20"/>
          <w:lang w:val="es-ES"/>
        </w:rPr>
        <w:t xml:space="preserve">se le </w:t>
      </w:r>
      <w:r w:rsidR="0037635B" w:rsidRPr="07C31400">
        <w:rPr>
          <w:rFonts w:asciiTheme="majorHAnsi" w:hAnsiTheme="majorHAnsi"/>
          <w:color w:val="000000" w:themeColor="text1"/>
          <w:sz w:val="20"/>
          <w:szCs w:val="20"/>
          <w:lang w:val="es-ES"/>
        </w:rPr>
        <w:t>inició una investigación penal por el delito de homicidio intencional, previsto en el artículo 407 del Código Penal de Venezuela</w:t>
      </w:r>
      <w:r w:rsidR="0037635B" w:rsidRPr="07C31400">
        <w:rPr>
          <w:rStyle w:val="FootnoteReference"/>
          <w:rFonts w:asciiTheme="majorHAnsi" w:hAnsiTheme="majorHAnsi"/>
          <w:color w:val="000000" w:themeColor="text1"/>
          <w:sz w:val="20"/>
          <w:szCs w:val="20"/>
          <w:lang w:val="es-ES"/>
        </w:rPr>
        <w:footnoteReference w:id="5"/>
      </w:r>
      <w:r w:rsidR="00F86531" w:rsidRPr="07C31400">
        <w:rPr>
          <w:rFonts w:asciiTheme="majorHAnsi" w:hAnsiTheme="majorHAnsi"/>
          <w:color w:val="000000" w:themeColor="text1"/>
          <w:sz w:val="20"/>
          <w:szCs w:val="20"/>
          <w:lang w:val="es-ES"/>
        </w:rPr>
        <w:t xml:space="preserve"> </w:t>
      </w:r>
      <w:r w:rsidR="002B755C" w:rsidRPr="07C31400">
        <w:rPr>
          <w:rFonts w:asciiTheme="majorHAnsi" w:hAnsiTheme="majorHAnsi"/>
          <w:color w:val="000000" w:themeColor="text1"/>
          <w:sz w:val="20"/>
          <w:szCs w:val="20"/>
          <w:lang w:val="es-ES"/>
        </w:rPr>
        <w:t>(</w:t>
      </w:r>
      <w:r w:rsidR="0037635B" w:rsidRPr="07C31400">
        <w:rPr>
          <w:rFonts w:asciiTheme="majorHAnsi" w:hAnsiTheme="majorHAnsi"/>
          <w:color w:val="000000" w:themeColor="text1"/>
          <w:sz w:val="20"/>
          <w:szCs w:val="20"/>
          <w:lang w:val="es-ES"/>
        </w:rPr>
        <w:t>expediente No. BP01-S-2001-0001268</w:t>
      </w:r>
      <w:r w:rsidR="002B755C" w:rsidRPr="07C31400">
        <w:rPr>
          <w:rFonts w:asciiTheme="majorHAnsi" w:hAnsiTheme="majorHAnsi"/>
          <w:color w:val="000000" w:themeColor="text1"/>
          <w:sz w:val="20"/>
          <w:szCs w:val="20"/>
          <w:lang w:val="es-ES"/>
        </w:rPr>
        <w:t>)</w:t>
      </w:r>
      <w:r w:rsidR="00507410" w:rsidRPr="07C31400">
        <w:rPr>
          <w:rFonts w:asciiTheme="majorHAnsi" w:hAnsiTheme="majorHAnsi"/>
          <w:color w:val="000000" w:themeColor="text1"/>
          <w:sz w:val="20"/>
          <w:szCs w:val="20"/>
          <w:lang w:val="es-ES"/>
        </w:rPr>
        <w:t>.</w:t>
      </w:r>
      <w:r w:rsidR="0037635B" w:rsidRPr="07C31400">
        <w:rPr>
          <w:rFonts w:asciiTheme="majorHAnsi" w:hAnsiTheme="majorHAnsi"/>
          <w:color w:val="000000" w:themeColor="text1"/>
          <w:sz w:val="20"/>
          <w:szCs w:val="20"/>
          <w:lang w:val="es-ES"/>
        </w:rPr>
        <w:t xml:space="preserve"> </w:t>
      </w:r>
    </w:p>
    <w:p w14:paraId="4D922A58" w14:textId="77777777" w:rsidR="00FE0950" w:rsidRPr="004B114F" w:rsidRDefault="00FE0950" w:rsidP="00DE778C">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jc w:val="both"/>
        <w:rPr>
          <w:rFonts w:asciiTheme="majorHAnsi" w:hAnsiTheme="majorHAnsi"/>
          <w:b/>
          <w:sz w:val="20"/>
          <w:szCs w:val="20"/>
          <w:lang w:val="es-ES_tradnl"/>
        </w:rPr>
      </w:pPr>
    </w:p>
    <w:p w14:paraId="7B6F516D" w14:textId="4F2E6D8C" w:rsidR="00FE0950" w:rsidRPr="004B114F" w:rsidRDefault="00507410" w:rsidP="07C31400">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630"/>
        <w:jc w:val="both"/>
        <w:rPr>
          <w:rFonts w:asciiTheme="majorHAnsi" w:hAnsiTheme="majorHAnsi"/>
          <w:b/>
          <w:bCs/>
          <w:sz w:val="20"/>
          <w:szCs w:val="20"/>
          <w:lang w:val="es-ES"/>
        </w:rPr>
      </w:pPr>
      <w:r w:rsidRPr="07C31400">
        <w:rPr>
          <w:rFonts w:asciiTheme="majorHAnsi" w:hAnsiTheme="majorHAnsi"/>
          <w:sz w:val="20"/>
          <w:szCs w:val="20"/>
          <w:lang w:val="es-ES"/>
        </w:rPr>
        <w:t>E</w:t>
      </w:r>
      <w:r w:rsidR="00FE0950" w:rsidRPr="07C31400">
        <w:rPr>
          <w:rFonts w:asciiTheme="majorHAnsi" w:hAnsiTheme="majorHAnsi"/>
          <w:sz w:val="20"/>
          <w:szCs w:val="20"/>
          <w:lang w:val="es-ES"/>
        </w:rPr>
        <w:t xml:space="preserve">l 22 de octubre de 2001 se celebró audiencia oral, </w:t>
      </w:r>
      <w:r w:rsidR="00902131" w:rsidRPr="07C31400">
        <w:rPr>
          <w:rFonts w:asciiTheme="majorHAnsi" w:hAnsiTheme="majorHAnsi"/>
          <w:sz w:val="20"/>
          <w:szCs w:val="20"/>
          <w:lang w:val="es-ES"/>
        </w:rPr>
        <w:t>oportunidad</w:t>
      </w:r>
      <w:r w:rsidR="00FE0950" w:rsidRPr="07C31400">
        <w:rPr>
          <w:rFonts w:asciiTheme="majorHAnsi" w:hAnsiTheme="majorHAnsi"/>
          <w:sz w:val="20"/>
          <w:szCs w:val="20"/>
          <w:lang w:val="es-ES"/>
        </w:rPr>
        <w:t xml:space="preserve"> en la que la defensora pública de la señora Maleno </w:t>
      </w:r>
      <w:r w:rsidR="00D96C28" w:rsidRPr="07C31400">
        <w:rPr>
          <w:rFonts w:asciiTheme="majorHAnsi" w:hAnsiTheme="majorHAnsi"/>
          <w:sz w:val="20"/>
          <w:szCs w:val="20"/>
          <w:lang w:val="es-ES"/>
        </w:rPr>
        <w:t>solicit</w:t>
      </w:r>
      <w:r w:rsidR="00FE0950" w:rsidRPr="07C31400">
        <w:rPr>
          <w:rFonts w:asciiTheme="majorHAnsi" w:hAnsiTheme="majorHAnsi"/>
          <w:sz w:val="20"/>
          <w:szCs w:val="20"/>
          <w:lang w:val="es-ES"/>
        </w:rPr>
        <w:t xml:space="preserve">ó al Tribunal Cuarto que ordene </w:t>
      </w:r>
      <w:r w:rsidR="00D96C28" w:rsidRPr="07C31400">
        <w:rPr>
          <w:rFonts w:asciiTheme="majorHAnsi" w:hAnsiTheme="majorHAnsi"/>
          <w:sz w:val="20"/>
          <w:szCs w:val="20"/>
          <w:lang w:val="es-ES"/>
        </w:rPr>
        <w:t xml:space="preserve">se le practique </w:t>
      </w:r>
      <w:r w:rsidR="00FE0950" w:rsidRPr="07C31400">
        <w:rPr>
          <w:rFonts w:asciiTheme="majorHAnsi" w:hAnsiTheme="majorHAnsi"/>
          <w:sz w:val="20"/>
          <w:szCs w:val="20"/>
          <w:lang w:val="es-ES"/>
        </w:rPr>
        <w:t>un examen psiquiátrico forense y se evite la medida privativa de libertad a fin de que la presunta víctima sea trasladada a un centro hospitalario</w:t>
      </w:r>
      <w:r w:rsidRPr="07C31400">
        <w:rPr>
          <w:rFonts w:asciiTheme="majorHAnsi" w:hAnsiTheme="majorHAnsi"/>
          <w:sz w:val="20"/>
          <w:szCs w:val="20"/>
          <w:lang w:val="es-ES"/>
        </w:rPr>
        <w:t>.</w:t>
      </w:r>
      <w:r w:rsidR="00FE0950" w:rsidRPr="07C31400">
        <w:rPr>
          <w:rFonts w:asciiTheme="majorHAnsi" w:hAnsiTheme="majorHAnsi"/>
          <w:sz w:val="20"/>
          <w:szCs w:val="20"/>
          <w:lang w:val="es-ES"/>
        </w:rPr>
        <w:t xml:space="preserve"> </w:t>
      </w:r>
      <w:r w:rsidRPr="07C31400">
        <w:rPr>
          <w:rFonts w:asciiTheme="majorHAnsi" w:hAnsiTheme="majorHAnsi"/>
          <w:sz w:val="20"/>
          <w:szCs w:val="20"/>
          <w:lang w:val="es-ES"/>
        </w:rPr>
        <w:t>S</w:t>
      </w:r>
      <w:r w:rsidR="00FE0950" w:rsidRPr="07C31400">
        <w:rPr>
          <w:rFonts w:asciiTheme="majorHAnsi" w:hAnsiTheme="majorHAnsi"/>
          <w:sz w:val="20"/>
          <w:szCs w:val="20"/>
          <w:lang w:val="es-ES"/>
        </w:rPr>
        <w:t>in embargo, según consta en el acta de la audiencia, su requerimiento no fue acogido por dicho tribunal</w:t>
      </w:r>
      <w:r w:rsidR="00FE0950" w:rsidRPr="07C31400">
        <w:rPr>
          <w:rStyle w:val="FootnoteReference"/>
          <w:rFonts w:asciiTheme="majorHAnsi" w:hAnsiTheme="majorHAnsi"/>
          <w:sz w:val="20"/>
          <w:szCs w:val="20"/>
          <w:lang w:val="es-ES"/>
        </w:rPr>
        <w:footnoteReference w:id="6"/>
      </w:r>
      <w:r w:rsidR="00FE0950" w:rsidRPr="07C31400">
        <w:rPr>
          <w:rFonts w:asciiTheme="majorHAnsi" w:hAnsiTheme="majorHAnsi"/>
          <w:sz w:val="20"/>
          <w:szCs w:val="20"/>
          <w:lang w:val="es-ES"/>
        </w:rPr>
        <w:t xml:space="preserve">. En la misma diligencia, la Fiscalía Décimo Sexta solicitó al Tribunal Cuarto imponga la medida judicial </w:t>
      </w:r>
      <w:r w:rsidR="00902131" w:rsidRPr="07C31400">
        <w:rPr>
          <w:rFonts w:asciiTheme="majorHAnsi" w:hAnsiTheme="majorHAnsi"/>
          <w:sz w:val="20"/>
          <w:szCs w:val="20"/>
          <w:lang w:val="es-ES"/>
        </w:rPr>
        <w:t xml:space="preserve">preventiva </w:t>
      </w:r>
      <w:r w:rsidR="00FE0950" w:rsidRPr="07C31400">
        <w:rPr>
          <w:rFonts w:asciiTheme="majorHAnsi" w:hAnsiTheme="majorHAnsi"/>
          <w:sz w:val="20"/>
          <w:szCs w:val="20"/>
          <w:lang w:val="es-ES"/>
        </w:rPr>
        <w:t>privativa de libertad en contra de la presunta víctima, sustent</w:t>
      </w:r>
      <w:r w:rsidR="00902131" w:rsidRPr="07C31400">
        <w:rPr>
          <w:rFonts w:asciiTheme="majorHAnsi" w:hAnsiTheme="majorHAnsi"/>
          <w:sz w:val="20"/>
          <w:szCs w:val="20"/>
          <w:lang w:val="es-ES"/>
        </w:rPr>
        <w:t>á</w:t>
      </w:r>
      <w:r w:rsidR="00FE0950" w:rsidRPr="07C31400">
        <w:rPr>
          <w:rFonts w:asciiTheme="majorHAnsi" w:hAnsiTheme="majorHAnsi"/>
          <w:sz w:val="20"/>
          <w:szCs w:val="20"/>
          <w:lang w:val="es-ES"/>
        </w:rPr>
        <w:t>ndo</w:t>
      </w:r>
      <w:r w:rsidR="00902131" w:rsidRPr="07C31400">
        <w:rPr>
          <w:rFonts w:asciiTheme="majorHAnsi" w:hAnsiTheme="majorHAnsi"/>
          <w:sz w:val="20"/>
          <w:szCs w:val="20"/>
          <w:lang w:val="es-ES"/>
        </w:rPr>
        <w:t>la</w:t>
      </w:r>
      <w:r w:rsidR="00FE0950" w:rsidRPr="07C31400">
        <w:rPr>
          <w:rFonts w:asciiTheme="majorHAnsi" w:hAnsiTheme="majorHAnsi"/>
          <w:sz w:val="20"/>
          <w:szCs w:val="20"/>
          <w:lang w:val="es-ES"/>
        </w:rPr>
        <w:t xml:space="preserve"> en la supuesta existencia de “elementos de prueba suficientes que la responsabilizan en el delito que se le imputa”. Accediendo a su solicitud, </w:t>
      </w:r>
      <w:r w:rsidR="00D96C28" w:rsidRPr="07C31400">
        <w:rPr>
          <w:rFonts w:asciiTheme="majorHAnsi" w:hAnsiTheme="majorHAnsi"/>
          <w:sz w:val="20"/>
          <w:szCs w:val="20"/>
          <w:lang w:val="es-ES"/>
        </w:rPr>
        <w:t>dicho</w:t>
      </w:r>
      <w:r w:rsidR="00FE0950" w:rsidRPr="07C31400">
        <w:rPr>
          <w:rFonts w:asciiTheme="majorHAnsi" w:hAnsiTheme="majorHAnsi"/>
          <w:sz w:val="20"/>
          <w:szCs w:val="20"/>
          <w:lang w:val="es-ES"/>
        </w:rPr>
        <w:t xml:space="preserve"> </w:t>
      </w:r>
      <w:r w:rsidR="00D96C28" w:rsidRPr="07C31400">
        <w:rPr>
          <w:rFonts w:asciiTheme="majorHAnsi" w:hAnsiTheme="majorHAnsi"/>
          <w:sz w:val="20"/>
          <w:szCs w:val="20"/>
          <w:lang w:val="es-ES"/>
        </w:rPr>
        <w:t>t</w:t>
      </w:r>
      <w:r w:rsidR="00FE0950" w:rsidRPr="07C31400">
        <w:rPr>
          <w:rFonts w:asciiTheme="majorHAnsi" w:hAnsiTheme="majorHAnsi"/>
          <w:sz w:val="20"/>
          <w:szCs w:val="20"/>
          <w:lang w:val="es-ES"/>
        </w:rPr>
        <w:t>ribunal impuso prisión preventiva a la señora Maleno</w:t>
      </w:r>
      <w:r w:rsidR="00CB24A2" w:rsidRPr="07C31400">
        <w:rPr>
          <w:rFonts w:asciiTheme="majorHAnsi" w:hAnsiTheme="majorHAnsi"/>
          <w:sz w:val="20"/>
          <w:szCs w:val="20"/>
          <w:lang w:val="es-ES"/>
        </w:rPr>
        <w:t xml:space="preserve"> “tomando en consideración la precalificación jurídica atribuido referente al delito de homicidio intencional…se considera la magnitud del daño causado y la pena que podría llegársele a imponer”.</w:t>
      </w:r>
      <w:r w:rsidR="00FE0950" w:rsidRPr="07C31400">
        <w:rPr>
          <w:rFonts w:asciiTheme="majorHAnsi" w:hAnsiTheme="majorHAnsi"/>
          <w:sz w:val="20"/>
          <w:szCs w:val="20"/>
          <w:lang w:val="es-ES"/>
        </w:rPr>
        <w:t xml:space="preserve"> </w:t>
      </w:r>
      <w:r w:rsidR="00CB24A2" w:rsidRPr="07C31400">
        <w:rPr>
          <w:rFonts w:asciiTheme="majorHAnsi" w:hAnsiTheme="majorHAnsi"/>
          <w:sz w:val="20"/>
          <w:szCs w:val="20"/>
          <w:lang w:val="es-ES"/>
        </w:rPr>
        <w:t>En consecuencia,</w:t>
      </w:r>
      <w:r w:rsidR="00FE0950" w:rsidRPr="07C31400">
        <w:rPr>
          <w:rFonts w:asciiTheme="majorHAnsi" w:hAnsiTheme="majorHAnsi"/>
          <w:sz w:val="20"/>
          <w:szCs w:val="20"/>
          <w:lang w:val="es-ES"/>
        </w:rPr>
        <w:t xml:space="preserve"> ordenó sea trasladada y recluida en el Internado Anzoátegui</w:t>
      </w:r>
      <w:r w:rsidR="00FE0950" w:rsidRPr="07C31400">
        <w:rPr>
          <w:rStyle w:val="FootnoteReference"/>
          <w:rFonts w:asciiTheme="majorHAnsi" w:hAnsiTheme="majorHAnsi"/>
          <w:sz w:val="20"/>
          <w:szCs w:val="20"/>
          <w:lang w:val="es-ES"/>
        </w:rPr>
        <w:footnoteReference w:id="7"/>
      </w:r>
      <w:r w:rsidR="00FE0950" w:rsidRPr="07C31400">
        <w:rPr>
          <w:rFonts w:asciiTheme="majorHAnsi" w:hAnsiTheme="majorHAnsi"/>
          <w:sz w:val="20"/>
          <w:szCs w:val="20"/>
          <w:lang w:val="es-ES"/>
        </w:rPr>
        <w:t xml:space="preserve">. </w:t>
      </w:r>
      <w:r w:rsidR="00D96C28" w:rsidRPr="07C31400">
        <w:rPr>
          <w:rFonts w:asciiTheme="majorHAnsi" w:hAnsiTheme="majorHAnsi"/>
          <w:sz w:val="20"/>
          <w:szCs w:val="20"/>
          <w:lang w:val="es-ES"/>
        </w:rPr>
        <w:t xml:space="preserve">Tal </w:t>
      </w:r>
      <w:r w:rsidR="00FE0950" w:rsidRPr="07C31400">
        <w:rPr>
          <w:rFonts w:asciiTheme="majorHAnsi" w:hAnsiTheme="majorHAnsi"/>
          <w:sz w:val="20"/>
          <w:szCs w:val="20"/>
          <w:lang w:val="es-ES"/>
        </w:rPr>
        <w:t xml:space="preserve">decisión </w:t>
      </w:r>
      <w:r w:rsidR="00D96C28" w:rsidRPr="07C31400">
        <w:rPr>
          <w:rFonts w:asciiTheme="majorHAnsi" w:hAnsiTheme="majorHAnsi"/>
          <w:sz w:val="20"/>
          <w:szCs w:val="20"/>
          <w:lang w:val="es-ES"/>
        </w:rPr>
        <w:t>de</w:t>
      </w:r>
      <w:r w:rsidR="00FE0950" w:rsidRPr="07C31400">
        <w:rPr>
          <w:rFonts w:asciiTheme="majorHAnsi" w:hAnsiTheme="majorHAnsi"/>
          <w:sz w:val="20"/>
          <w:szCs w:val="20"/>
          <w:lang w:val="es-ES"/>
        </w:rPr>
        <w:t xml:space="preserve"> prisión preventiva no fue apelada por la defensa pública de la presunta víctima</w:t>
      </w:r>
      <w:r w:rsidR="00FE0950" w:rsidRPr="07C31400">
        <w:rPr>
          <w:rStyle w:val="FootnoteReference"/>
          <w:rFonts w:asciiTheme="majorHAnsi" w:hAnsiTheme="majorHAnsi"/>
          <w:sz w:val="20"/>
          <w:szCs w:val="20"/>
          <w:lang w:val="es-ES"/>
        </w:rPr>
        <w:footnoteReference w:id="8"/>
      </w:r>
      <w:r w:rsidR="00FE0950" w:rsidRPr="07C31400">
        <w:rPr>
          <w:rFonts w:asciiTheme="majorHAnsi" w:hAnsiTheme="majorHAnsi"/>
          <w:sz w:val="20"/>
          <w:szCs w:val="20"/>
          <w:lang w:val="es-ES"/>
        </w:rPr>
        <w:t>.</w:t>
      </w:r>
    </w:p>
    <w:p w14:paraId="7893AC2B" w14:textId="77777777" w:rsidR="00FE0950" w:rsidRPr="004B114F" w:rsidRDefault="00FE0950" w:rsidP="004B114F">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630"/>
        <w:jc w:val="both"/>
        <w:rPr>
          <w:rFonts w:asciiTheme="majorHAnsi" w:hAnsiTheme="majorHAnsi"/>
          <w:b/>
          <w:sz w:val="20"/>
          <w:szCs w:val="20"/>
          <w:lang w:val="es-ES_tradnl"/>
        </w:rPr>
      </w:pPr>
    </w:p>
    <w:p w14:paraId="5679DE21" w14:textId="0AC236AF" w:rsidR="00FE0950" w:rsidRPr="0043794B" w:rsidRDefault="00FE0950" w:rsidP="07C31400">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630"/>
        <w:jc w:val="both"/>
        <w:rPr>
          <w:rFonts w:asciiTheme="majorHAnsi" w:hAnsiTheme="majorHAnsi"/>
          <w:sz w:val="20"/>
          <w:szCs w:val="20"/>
          <w:lang w:val="es-US"/>
        </w:rPr>
      </w:pPr>
      <w:r w:rsidRPr="0043794B">
        <w:rPr>
          <w:rFonts w:asciiTheme="majorHAnsi" w:hAnsiTheme="majorHAnsi"/>
          <w:sz w:val="20"/>
          <w:szCs w:val="20"/>
          <w:lang w:val="es-US"/>
        </w:rPr>
        <w:t xml:space="preserve">El 11 de noviembre de 2001 la </w:t>
      </w:r>
      <w:r w:rsidR="00D96C28" w:rsidRPr="0043794B">
        <w:rPr>
          <w:rFonts w:asciiTheme="majorHAnsi" w:hAnsiTheme="majorHAnsi"/>
          <w:sz w:val="20"/>
          <w:szCs w:val="20"/>
          <w:lang w:val="es-US"/>
        </w:rPr>
        <w:t xml:space="preserve">referida </w:t>
      </w:r>
      <w:r w:rsidRPr="0043794B">
        <w:rPr>
          <w:rFonts w:asciiTheme="majorHAnsi" w:hAnsiTheme="majorHAnsi"/>
          <w:sz w:val="20"/>
          <w:szCs w:val="20"/>
          <w:lang w:val="es-US"/>
        </w:rPr>
        <w:t>Fiscalía formuló acusación penal en contra de la señora Maleno, imputándole el delito de filicidio previsto en el artículo 408, numeral 3, literal a) del Código Penal</w:t>
      </w:r>
      <w:r w:rsidRPr="07C31400">
        <w:rPr>
          <w:rStyle w:val="FootnoteReference"/>
          <w:rFonts w:asciiTheme="majorHAnsi" w:hAnsiTheme="majorHAnsi"/>
          <w:sz w:val="20"/>
          <w:szCs w:val="20"/>
        </w:rPr>
        <w:footnoteReference w:id="9"/>
      </w:r>
      <w:r w:rsidRPr="0043794B">
        <w:rPr>
          <w:rFonts w:asciiTheme="majorHAnsi" w:hAnsiTheme="majorHAnsi"/>
          <w:sz w:val="20"/>
          <w:szCs w:val="20"/>
          <w:lang w:val="es-US"/>
        </w:rPr>
        <w:t xml:space="preserve">.  </w:t>
      </w:r>
      <w:r w:rsidR="00D86ADD" w:rsidRPr="0043794B">
        <w:rPr>
          <w:rFonts w:asciiTheme="majorHAnsi" w:hAnsiTheme="majorHAnsi"/>
          <w:sz w:val="20"/>
          <w:szCs w:val="20"/>
          <w:lang w:val="es-US"/>
        </w:rPr>
        <w:t>El</w:t>
      </w:r>
      <w:r w:rsidRPr="0043794B">
        <w:rPr>
          <w:rFonts w:asciiTheme="majorHAnsi" w:hAnsiTheme="majorHAnsi"/>
          <w:sz w:val="20"/>
          <w:szCs w:val="20"/>
          <w:lang w:val="es-US"/>
        </w:rPr>
        <w:t xml:space="preserve"> 12 de marzo de 2002 se llevó a cabo la audiencia preliminar según lo previsto en el artículo 327 del Código Orgánico Procesal Penal. Durante la celebración de la diligencia, la defensora pública rechazó las imputaciones formuladas y solicitó sobreseer la causa alegando la inexistencia de elementos de convicción suficientes para que el caso pase a etapa de juicio oral</w:t>
      </w:r>
      <w:r w:rsidRPr="07C31400">
        <w:rPr>
          <w:rStyle w:val="FootnoteReference"/>
          <w:rFonts w:asciiTheme="majorHAnsi" w:hAnsiTheme="majorHAnsi"/>
          <w:sz w:val="20"/>
          <w:szCs w:val="20"/>
        </w:rPr>
        <w:footnoteReference w:id="10"/>
      </w:r>
      <w:r w:rsidRPr="0043794B">
        <w:rPr>
          <w:rFonts w:asciiTheme="majorHAnsi" w:hAnsiTheme="majorHAnsi"/>
          <w:sz w:val="20"/>
          <w:szCs w:val="20"/>
          <w:lang w:val="es-US"/>
        </w:rPr>
        <w:t>. De igual manera, requirió revisar la medida de prisión preventiva vigente, alegando que la señora Maleno presentaba trastornos de salud</w:t>
      </w:r>
      <w:r w:rsidRPr="07C31400">
        <w:rPr>
          <w:rStyle w:val="FootnoteReference"/>
          <w:rFonts w:asciiTheme="majorHAnsi" w:hAnsiTheme="majorHAnsi"/>
          <w:sz w:val="20"/>
          <w:szCs w:val="20"/>
        </w:rPr>
        <w:footnoteReference w:id="11"/>
      </w:r>
      <w:r w:rsidRPr="0043794B">
        <w:rPr>
          <w:rFonts w:asciiTheme="majorHAnsi" w:hAnsiTheme="majorHAnsi"/>
          <w:sz w:val="20"/>
          <w:szCs w:val="20"/>
          <w:lang w:val="es-US"/>
        </w:rPr>
        <w:t xml:space="preserve">. </w:t>
      </w:r>
      <w:r w:rsidR="00D86ADD" w:rsidRPr="0043794B">
        <w:rPr>
          <w:rFonts w:asciiTheme="majorHAnsi" w:hAnsiTheme="majorHAnsi"/>
          <w:sz w:val="20"/>
          <w:szCs w:val="20"/>
          <w:lang w:val="es-US"/>
        </w:rPr>
        <w:t>Consta que la presunta víctima expresó durante dicha audiencia lo siguiente: “(l)e solicito al Tribunal una oportunidad para consignar los papeles del Médico de la Cabeza”</w:t>
      </w:r>
      <w:r w:rsidR="00D86ADD" w:rsidRPr="07C31400">
        <w:rPr>
          <w:rStyle w:val="FootnoteReference"/>
          <w:rFonts w:asciiTheme="majorHAnsi" w:hAnsiTheme="majorHAnsi"/>
          <w:sz w:val="20"/>
          <w:szCs w:val="20"/>
        </w:rPr>
        <w:footnoteReference w:id="12"/>
      </w:r>
      <w:r w:rsidR="00D86ADD" w:rsidRPr="0043794B">
        <w:rPr>
          <w:rFonts w:asciiTheme="majorHAnsi" w:hAnsiTheme="majorHAnsi"/>
          <w:sz w:val="20"/>
          <w:szCs w:val="20"/>
          <w:lang w:val="es-US"/>
        </w:rPr>
        <w:t>. La CIDH entiende que, con esta referencia, la presunta víctima habría hecho alusión al examen psiquiátrico solicitado.</w:t>
      </w:r>
      <w:r w:rsidRPr="0043794B">
        <w:rPr>
          <w:rFonts w:asciiTheme="majorHAnsi" w:hAnsiTheme="majorHAnsi"/>
          <w:sz w:val="20"/>
          <w:szCs w:val="20"/>
          <w:lang w:val="es-US"/>
        </w:rPr>
        <w:t xml:space="preserve"> </w:t>
      </w:r>
      <w:r w:rsidR="00D86ADD" w:rsidRPr="0043794B">
        <w:rPr>
          <w:rFonts w:asciiTheme="majorHAnsi" w:hAnsiTheme="majorHAnsi"/>
          <w:sz w:val="20"/>
          <w:szCs w:val="20"/>
          <w:lang w:val="es-US"/>
        </w:rPr>
        <w:t>L</w:t>
      </w:r>
      <w:r w:rsidRPr="0043794B">
        <w:rPr>
          <w:rFonts w:asciiTheme="majorHAnsi" w:hAnsiTheme="majorHAnsi"/>
          <w:sz w:val="20"/>
          <w:szCs w:val="20"/>
          <w:lang w:val="es-US"/>
        </w:rPr>
        <w:t xml:space="preserve">a defensora pública insistió ante el Tribunal </w:t>
      </w:r>
      <w:r w:rsidR="00D86ADD" w:rsidRPr="0043794B">
        <w:rPr>
          <w:rFonts w:asciiTheme="majorHAnsi" w:hAnsiTheme="majorHAnsi"/>
          <w:sz w:val="20"/>
          <w:szCs w:val="20"/>
          <w:lang w:val="es-US"/>
        </w:rPr>
        <w:t xml:space="preserve">que, de no acceder a esta solicitud, </w:t>
      </w:r>
      <w:r w:rsidRPr="0043794B">
        <w:rPr>
          <w:rFonts w:asciiTheme="majorHAnsi" w:hAnsiTheme="majorHAnsi"/>
          <w:sz w:val="20"/>
          <w:szCs w:val="20"/>
          <w:lang w:val="es-US"/>
        </w:rPr>
        <w:t xml:space="preserve">la presunta víctima sea trasladada a otro centro de detención policial, señalado que </w:t>
      </w:r>
      <w:r w:rsidR="00D86ADD" w:rsidRPr="0043794B">
        <w:rPr>
          <w:rFonts w:asciiTheme="majorHAnsi" w:hAnsiTheme="majorHAnsi"/>
          <w:sz w:val="20"/>
          <w:szCs w:val="20"/>
          <w:lang w:val="es-US"/>
        </w:rPr>
        <w:t>su</w:t>
      </w:r>
      <w:r w:rsidRPr="0043794B">
        <w:rPr>
          <w:rFonts w:asciiTheme="majorHAnsi" w:hAnsiTheme="majorHAnsi"/>
          <w:sz w:val="20"/>
          <w:szCs w:val="20"/>
          <w:lang w:val="es-US"/>
        </w:rPr>
        <w:t xml:space="preserve"> integridad física corría peligro en el Retén Policial de Lecherías</w:t>
      </w:r>
      <w:r w:rsidR="00D96C28" w:rsidRPr="0043794B">
        <w:rPr>
          <w:rFonts w:asciiTheme="majorHAnsi" w:hAnsiTheme="majorHAnsi"/>
          <w:sz w:val="20"/>
          <w:szCs w:val="20"/>
          <w:lang w:val="es-US"/>
        </w:rPr>
        <w:t>, donde se encontraba para entonces</w:t>
      </w:r>
      <w:r w:rsidR="00981499" w:rsidRPr="0043794B">
        <w:rPr>
          <w:rFonts w:asciiTheme="majorHAnsi" w:hAnsiTheme="majorHAnsi"/>
          <w:sz w:val="20"/>
          <w:szCs w:val="20"/>
          <w:lang w:val="es-US"/>
        </w:rPr>
        <w:t xml:space="preserve"> (</w:t>
      </w:r>
      <w:r w:rsidR="00981499" w:rsidRPr="0043794B">
        <w:rPr>
          <w:rFonts w:asciiTheme="majorHAnsi" w:hAnsiTheme="majorHAnsi"/>
          <w:i/>
          <w:iCs/>
          <w:sz w:val="20"/>
          <w:szCs w:val="20"/>
          <w:lang w:val="es-US"/>
        </w:rPr>
        <w:t xml:space="preserve">infra </w:t>
      </w:r>
      <w:r w:rsidR="00981499" w:rsidRPr="0043794B">
        <w:rPr>
          <w:rFonts w:asciiTheme="majorHAnsi" w:hAnsiTheme="majorHAnsi"/>
          <w:sz w:val="20"/>
          <w:szCs w:val="20"/>
          <w:lang w:val="es-US"/>
        </w:rPr>
        <w:t xml:space="preserve">sección </w:t>
      </w:r>
      <w:hyperlink w:anchor="_Condiciones_de_detención" w:history="1">
        <w:r w:rsidR="00981499" w:rsidRPr="0043794B">
          <w:rPr>
            <w:rStyle w:val="Hyperlink"/>
            <w:rFonts w:asciiTheme="majorHAnsi" w:hAnsiTheme="majorHAnsi"/>
            <w:sz w:val="20"/>
            <w:szCs w:val="20"/>
            <w:lang w:val="es-US"/>
          </w:rPr>
          <w:t>III.B.3</w:t>
        </w:r>
      </w:hyperlink>
      <w:r w:rsidR="00981499" w:rsidRPr="0043794B">
        <w:rPr>
          <w:rFonts w:asciiTheme="majorHAnsi" w:hAnsiTheme="majorHAnsi"/>
          <w:sz w:val="20"/>
          <w:szCs w:val="20"/>
          <w:lang w:val="es-US"/>
        </w:rPr>
        <w:t>)</w:t>
      </w:r>
      <w:r w:rsidRPr="07C31400">
        <w:rPr>
          <w:rStyle w:val="FootnoteReference"/>
          <w:rFonts w:asciiTheme="majorHAnsi" w:hAnsiTheme="majorHAnsi"/>
          <w:sz w:val="20"/>
          <w:szCs w:val="20"/>
        </w:rPr>
        <w:footnoteReference w:id="13"/>
      </w:r>
      <w:r w:rsidRPr="0043794B">
        <w:rPr>
          <w:rFonts w:asciiTheme="majorHAnsi" w:hAnsiTheme="majorHAnsi"/>
          <w:sz w:val="20"/>
          <w:szCs w:val="20"/>
          <w:lang w:val="es-US"/>
        </w:rPr>
        <w:t>.</w:t>
      </w:r>
    </w:p>
    <w:p w14:paraId="1C4B7BB8" w14:textId="77777777" w:rsidR="00FE0950" w:rsidRPr="004B114F" w:rsidRDefault="00FE0950" w:rsidP="004B114F">
      <w:pPr>
        <w:pStyle w:val="ListParagraph"/>
        <w:rPr>
          <w:rFonts w:asciiTheme="majorHAnsi" w:hAnsiTheme="majorHAnsi"/>
          <w:sz w:val="20"/>
          <w:szCs w:val="20"/>
          <w:lang w:val="es-ES_tradnl"/>
        </w:rPr>
      </w:pPr>
    </w:p>
    <w:p w14:paraId="16D6129F" w14:textId="31C321F8" w:rsidR="00FE0950" w:rsidRPr="004B114F" w:rsidRDefault="00025F42" w:rsidP="004B114F">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630"/>
        <w:jc w:val="both"/>
        <w:rPr>
          <w:rFonts w:asciiTheme="majorHAnsi" w:hAnsiTheme="majorHAnsi"/>
          <w:sz w:val="20"/>
          <w:szCs w:val="20"/>
          <w:lang w:val="es-ES_tradnl"/>
        </w:rPr>
      </w:pPr>
      <w:r w:rsidRPr="004B114F">
        <w:rPr>
          <w:rFonts w:asciiTheme="majorHAnsi" w:hAnsiTheme="majorHAnsi"/>
          <w:sz w:val="20"/>
          <w:szCs w:val="20"/>
          <w:lang w:val="es-ES_tradnl"/>
        </w:rPr>
        <w:t>Mediante decisión del 12 de marzo de 2002, el</w:t>
      </w:r>
      <w:r w:rsidR="00FE0950" w:rsidRPr="004B114F">
        <w:rPr>
          <w:rFonts w:asciiTheme="majorHAnsi" w:hAnsiTheme="majorHAnsi"/>
          <w:sz w:val="20"/>
          <w:szCs w:val="20"/>
          <w:lang w:val="es-ES_tradnl"/>
        </w:rPr>
        <w:t xml:space="preserve"> Tribunal Cuarto denegó la solicitud de sobreseimiento y ordenó la fase de juicio, dictando auto de apertura a juicio oral y público</w:t>
      </w:r>
      <w:r w:rsidR="00FE0950" w:rsidRPr="004B114F">
        <w:rPr>
          <w:rStyle w:val="FootnoteReference"/>
          <w:rFonts w:asciiTheme="majorHAnsi" w:hAnsiTheme="majorHAnsi"/>
          <w:sz w:val="20"/>
          <w:szCs w:val="20"/>
          <w:lang w:val="es-ES_tradnl"/>
        </w:rPr>
        <w:footnoteReference w:id="14"/>
      </w:r>
      <w:r w:rsidRPr="004B114F">
        <w:rPr>
          <w:rFonts w:asciiTheme="majorHAnsi" w:hAnsiTheme="majorHAnsi"/>
          <w:sz w:val="20"/>
          <w:szCs w:val="20"/>
          <w:lang w:val="es-ES_tradnl"/>
        </w:rPr>
        <w:t xml:space="preserve">. </w:t>
      </w:r>
      <w:r w:rsidR="00170FA4" w:rsidRPr="004B114F">
        <w:rPr>
          <w:rFonts w:asciiTheme="majorHAnsi" w:hAnsiTheme="majorHAnsi"/>
          <w:sz w:val="20"/>
          <w:szCs w:val="20"/>
          <w:lang w:val="es-ES_tradnl"/>
        </w:rPr>
        <w:t>En virtud de</w:t>
      </w:r>
      <w:r w:rsidRPr="004B114F">
        <w:rPr>
          <w:rFonts w:asciiTheme="majorHAnsi" w:hAnsiTheme="majorHAnsi"/>
          <w:sz w:val="20"/>
          <w:szCs w:val="20"/>
          <w:lang w:val="es-ES_tradnl"/>
        </w:rPr>
        <w:t xml:space="preserve"> ello</w:t>
      </w:r>
      <w:r w:rsidR="00FE0950" w:rsidRPr="004B114F">
        <w:rPr>
          <w:rFonts w:asciiTheme="majorHAnsi" w:hAnsiTheme="majorHAnsi"/>
          <w:sz w:val="20"/>
          <w:szCs w:val="20"/>
          <w:lang w:val="es-ES_tradnl"/>
        </w:rPr>
        <w:t xml:space="preserve">, la causa pasó a conocimiento del </w:t>
      </w:r>
      <w:r w:rsidR="00F716C8" w:rsidRPr="00DE778C">
        <w:rPr>
          <w:rFonts w:asciiTheme="majorHAnsi" w:hAnsiTheme="majorHAnsi"/>
          <w:color w:val="000000" w:themeColor="text1"/>
          <w:sz w:val="20"/>
          <w:szCs w:val="20"/>
          <w:lang w:val="es-ES_tradnl"/>
        </w:rPr>
        <w:t>Juzgado Primero de Primera Instancia en Funciones de Juicio del circuito judicial de Anzoátegui (en adelante, “Juzgado Primero”)</w:t>
      </w:r>
      <w:r w:rsidR="00FE0950" w:rsidRPr="004B114F">
        <w:rPr>
          <w:rFonts w:asciiTheme="majorHAnsi" w:hAnsiTheme="majorHAnsi"/>
          <w:sz w:val="20"/>
          <w:szCs w:val="20"/>
          <w:lang w:val="es-ES_tradnl"/>
        </w:rPr>
        <w:t xml:space="preserve">. Además, el Tribunal decidió mantener la medida de prisión preventiva argumentando que </w:t>
      </w:r>
      <w:r w:rsidR="0093295D" w:rsidRPr="004B114F">
        <w:rPr>
          <w:rFonts w:asciiTheme="majorHAnsi" w:hAnsiTheme="majorHAnsi"/>
          <w:sz w:val="20"/>
          <w:szCs w:val="20"/>
          <w:lang w:val="es-ES_tradnl"/>
        </w:rPr>
        <w:t>“</w:t>
      </w:r>
      <w:r w:rsidR="00FE0950" w:rsidRPr="004B114F">
        <w:rPr>
          <w:rFonts w:asciiTheme="majorHAnsi" w:hAnsiTheme="majorHAnsi"/>
          <w:sz w:val="20"/>
          <w:szCs w:val="20"/>
          <w:lang w:val="es-ES_tradnl"/>
        </w:rPr>
        <w:t xml:space="preserve">los motivos y circunstancias en </w:t>
      </w:r>
      <w:r w:rsidR="0030125E" w:rsidRPr="004B114F">
        <w:rPr>
          <w:rFonts w:asciiTheme="majorHAnsi" w:hAnsiTheme="majorHAnsi"/>
          <w:sz w:val="20"/>
          <w:szCs w:val="20"/>
          <w:lang w:val="es-ES_tradnl"/>
        </w:rPr>
        <w:t xml:space="preserve">que se </w:t>
      </w:r>
      <w:r w:rsidR="00170FA4" w:rsidRPr="004B114F">
        <w:rPr>
          <w:rFonts w:asciiTheme="majorHAnsi" w:hAnsiTheme="majorHAnsi"/>
          <w:sz w:val="20"/>
          <w:szCs w:val="20"/>
          <w:lang w:val="es-ES_tradnl"/>
        </w:rPr>
        <w:t>fundamentó</w:t>
      </w:r>
      <w:r w:rsidR="0030125E" w:rsidRPr="004B114F">
        <w:rPr>
          <w:rFonts w:asciiTheme="majorHAnsi" w:hAnsiTheme="majorHAnsi"/>
          <w:sz w:val="20"/>
          <w:szCs w:val="20"/>
          <w:lang w:val="es-ES_tradnl"/>
        </w:rPr>
        <w:t xml:space="preserve"> la misma hasta la </w:t>
      </w:r>
      <w:r w:rsidR="0030125E" w:rsidRPr="004B114F">
        <w:rPr>
          <w:rFonts w:asciiTheme="majorHAnsi" w:hAnsiTheme="majorHAnsi"/>
          <w:sz w:val="20"/>
          <w:szCs w:val="20"/>
          <w:lang w:val="es-ES_tradnl"/>
        </w:rPr>
        <w:lastRenderedPageBreak/>
        <w:t>presente fecha no han variado”</w:t>
      </w:r>
      <w:r w:rsidR="00FE0950" w:rsidRPr="004B114F">
        <w:rPr>
          <w:rStyle w:val="FootnoteReference"/>
          <w:rFonts w:asciiTheme="majorHAnsi" w:hAnsiTheme="majorHAnsi"/>
          <w:sz w:val="20"/>
          <w:szCs w:val="20"/>
          <w:lang w:val="es-ES_tradnl"/>
        </w:rPr>
        <w:footnoteReference w:id="15"/>
      </w:r>
      <w:r w:rsidR="00FE0950" w:rsidRPr="004B114F">
        <w:rPr>
          <w:rFonts w:asciiTheme="majorHAnsi" w:hAnsiTheme="majorHAnsi"/>
          <w:sz w:val="20"/>
          <w:szCs w:val="20"/>
          <w:lang w:val="es-ES_tradnl"/>
        </w:rPr>
        <w:t>. Por lo tanto, indicó que la señora Maleno permanecería recluida en el Retén Policial de Lecherías</w:t>
      </w:r>
      <w:r w:rsidR="00FE0950" w:rsidRPr="004B114F">
        <w:rPr>
          <w:rStyle w:val="FootnoteReference"/>
          <w:rFonts w:asciiTheme="majorHAnsi" w:hAnsiTheme="majorHAnsi"/>
          <w:sz w:val="20"/>
          <w:szCs w:val="20"/>
          <w:lang w:val="es-ES_tradnl"/>
        </w:rPr>
        <w:footnoteReference w:id="16"/>
      </w:r>
      <w:r w:rsidR="00FE0950" w:rsidRPr="004B114F">
        <w:rPr>
          <w:rFonts w:asciiTheme="majorHAnsi" w:hAnsiTheme="majorHAnsi"/>
          <w:sz w:val="20"/>
          <w:szCs w:val="20"/>
          <w:lang w:val="es-ES_tradnl"/>
        </w:rPr>
        <w:t xml:space="preserve">. No consta que este extremo de la decisión haya sido objeto de apelación por la defensa pública. </w:t>
      </w:r>
      <w:r w:rsidRPr="004B114F">
        <w:rPr>
          <w:rFonts w:asciiTheme="majorHAnsi" w:hAnsiTheme="majorHAnsi"/>
          <w:sz w:val="20"/>
          <w:szCs w:val="20"/>
          <w:lang w:val="es-ES_tradnl"/>
        </w:rPr>
        <w:t>E</w:t>
      </w:r>
      <w:r w:rsidR="00FE0950" w:rsidRPr="004B114F">
        <w:rPr>
          <w:rFonts w:asciiTheme="majorHAnsi" w:hAnsiTheme="majorHAnsi"/>
          <w:sz w:val="20"/>
          <w:szCs w:val="20"/>
          <w:lang w:val="es-ES_tradnl"/>
        </w:rPr>
        <w:t xml:space="preserve">l Tribunal Cuarto no se pronunció </w:t>
      </w:r>
      <w:r w:rsidRPr="004B114F">
        <w:rPr>
          <w:rFonts w:asciiTheme="majorHAnsi" w:hAnsiTheme="majorHAnsi"/>
          <w:sz w:val="20"/>
          <w:szCs w:val="20"/>
          <w:lang w:val="es-ES_tradnl"/>
        </w:rPr>
        <w:t>sobre</w:t>
      </w:r>
      <w:r w:rsidR="00FE0950" w:rsidRPr="004B114F">
        <w:rPr>
          <w:rFonts w:asciiTheme="majorHAnsi" w:hAnsiTheme="majorHAnsi"/>
          <w:sz w:val="20"/>
          <w:szCs w:val="20"/>
          <w:lang w:val="es-ES_tradnl"/>
        </w:rPr>
        <w:t xml:space="preserve"> la </w:t>
      </w:r>
      <w:r w:rsidR="0018666F" w:rsidRPr="004B114F">
        <w:rPr>
          <w:rFonts w:asciiTheme="majorHAnsi" w:hAnsiTheme="majorHAnsi"/>
          <w:sz w:val="20"/>
          <w:szCs w:val="20"/>
          <w:lang w:val="es-ES_tradnl"/>
        </w:rPr>
        <w:t>solicitud</w:t>
      </w:r>
      <w:r w:rsidR="00FE0950" w:rsidRPr="004B114F">
        <w:rPr>
          <w:rFonts w:asciiTheme="majorHAnsi" w:hAnsiTheme="majorHAnsi"/>
          <w:sz w:val="20"/>
          <w:szCs w:val="20"/>
          <w:lang w:val="es-ES_tradnl"/>
        </w:rPr>
        <w:t xml:space="preserve"> de la evaluación psiquiátrica forense solicitada de manera reiterada por la presunta víctima, </w:t>
      </w:r>
      <w:r w:rsidR="0018666F" w:rsidRPr="004B114F">
        <w:rPr>
          <w:rFonts w:asciiTheme="majorHAnsi" w:hAnsiTheme="majorHAnsi"/>
          <w:sz w:val="20"/>
          <w:szCs w:val="20"/>
          <w:lang w:val="es-ES_tradnl"/>
        </w:rPr>
        <w:t>tanto</w:t>
      </w:r>
      <w:r w:rsidR="00FE0950" w:rsidRPr="004B114F">
        <w:rPr>
          <w:rFonts w:asciiTheme="majorHAnsi" w:hAnsiTheme="majorHAnsi"/>
          <w:sz w:val="20"/>
          <w:szCs w:val="20"/>
          <w:lang w:val="es-ES_tradnl"/>
        </w:rPr>
        <w:t xml:space="preserve"> directamente </w:t>
      </w:r>
      <w:r w:rsidR="0018666F" w:rsidRPr="004B114F">
        <w:rPr>
          <w:rFonts w:asciiTheme="majorHAnsi" w:hAnsiTheme="majorHAnsi"/>
          <w:sz w:val="20"/>
          <w:szCs w:val="20"/>
          <w:lang w:val="es-ES_tradnl"/>
        </w:rPr>
        <w:t>como</w:t>
      </w:r>
      <w:r w:rsidR="00FE0950" w:rsidRPr="004B114F">
        <w:rPr>
          <w:rFonts w:asciiTheme="majorHAnsi" w:hAnsiTheme="majorHAnsi"/>
          <w:sz w:val="20"/>
          <w:szCs w:val="20"/>
          <w:lang w:val="es-ES_tradnl"/>
        </w:rPr>
        <w:t xml:space="preserve"> a través de su representante legal</w:t>
      </w:r>
      <w:r w:rsidR="0050163C" w:rsidRPr="004B114F">
        <w:rPr>
          <w:rFonts w:asciiTheme="majorHAnsi" w:hAnsiTheme="majorHAnsi"/>
          <w:sz w:val="20"/>
          <w:szCs w:val="20"/>
          <w:lang w:val="es-ES_tradnl"/>
        </w:rPr>
        <w:t xml:space="preserve"> según se observa en la información aportada</w:t>
      </w:r>
      <w:r w:rsidR="00FE0950" w:rsidRPr="004B114F">
        <w:rPr>
          <w:rFonts w:asciiTheme="majorHAnsi" w:hAnsiTheme="majorHAnsi"/>
          <w:sz w:val="20"/>
          <w:szCs w:val="20"/>
          <w:lang w:val="es-ES_tradnl"/>
        </w:rPr>
        <w:t>.</w:t>
      </w:r>
    </w:p>
    <w:p w14:paraId="2D9509E5" w14:textId="77777777" w:rsidR="00FE0950" w:rsidRPr="004B114F" w:rsidRDefault="00FE0950" w:rsidP="004B114F">
      <w:pPr>
        <w:pStyle w:val="ListParagraph"/>
        <w:rPr>
          <w:rFonts w:asciiTheme="majorHAnsi" w:hAnsiTheme="majorHAnsi"/>
          <w:sz w:val="20"/>
          <w:szCs w:val="20"/>
          <w:lang w:val="es-ES_tradnl"/>
        </w:rPr>
      </w:pPr>
    </w:p>
    <w:p w14:paraId="65729945" w14:textId="36A09C77" w:rsidR="005E04F5" w:rsidRPr="004B114F" w:rsidRDefault="00AF7E06" w:rsidP="004B114F">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630"/>
        <w:jc w:val="both"/>
        <w:rPr>
          <w:rFonts w:asciiTheme="majorHAnsi" w:hAnsiTheme="majorHAnsi"/>
          <w:sz w:val="20"/>
          <w:szCs w:val="20"/>
          <w:lang w:val="es-ES_tradnl"/>
        </w:rPr>
      </w:pPr>
      <w:r w:rsidRPr="004B114F">
        <w:rPr>
          <w:rFonts w:asciiTheme="majorHAnsi" w:hAnsiTheme="majorHAnsi"/>
          <w:sz w:val="20"/>
          <w:szCs w:val="20"/>
          <w:lang w:val="es-ES_tradnl"/>
        </w:rPr>
        <w:t>Sobre el examen psiquiátrico forense e</w:t>
      </w:r>
      <w:r w:rsidR="00FE0950" w:rsidRPr="004B114F">
        <w:rPr>
          <w:rFonts w:asciiTheme="majorHAnsi" w:hAnsiTheme="majorHAnsi"/>
          <w:sz w:val="20"/>
          <w:szCs w:val="20"/>
          <w:lang w:val="es-ES_tradnl"/>
        </w:rPr>
        <w:t xml:space="preserve">l Estado </w:t>
      </w:r>
      <w:r w:rsidRPr="004B114F">
        <w:rPr>
          <w:rFonts w:asciiTheme="majorHAnsi" w:hAnsiTheme="majorHAnsi"/>
          <w:sz w:val="20"/>
          <w:szCs w:val="20"/>
          <w:lang w:val="es-ES_tradnl"/>
        </w:rPr>
        <w:t>formuló observaciones</w:t>
      </w:r>
      <w:r w:rsidR="00FE0950" w:rsidRPr="004B114F">
        <w:rPr>
          <w:rFonts w:asciiTheme="majorHAnsi" w:hAnsiTheme="majorHAnsi"/>
          <w:sz w:val="20"/>
          <w:szCs w:val="20"/>
          <w:lang w:val="es-ES_tradnl"/>
        </w:rPr>
        <w:t xml:space="preserve">, sin </w:t>
      </w:r>
      <w:r w:rsidRPr="004B114F">
        <w:rPr>
          <w:rFonts w:asciiTheme="majorHAnsi" w:hAnsiTheme="majorHAnsi"/>
          <w:sz w:val="20"/>
          <w:szCs w:val="20"/>
          <w:lang w:val="es-ES_tradnl"/>
        </w:rPr>
        <w:t>presentar prueba al respecto. E</w:t>
      </w:r>
      <w:r w:rsidR="00442667" w:rsidRPr="004B114F">
        <w:rPr>
          <w:rFonts w:asciiTheme="majorHAnsi" w:hAnsiTheme="majorHAnsi"/>
          <w:sz w:val="20"/>
          <w:szCs w:val="20"/>
          <w:lang w:val="es-ES_tradnl"/>
        </w:rPr>
        <w:t>n particular, e</w:t>
      </w:r>
      <w:r w:rsidR="00FE0950" w:rsidRPr="004B114F">
        <w:rPr>
          <w:rFonts w:asciiTheme="majorHAnsi" w:hAnsiTheme="majorHAnsi"/>
          <w:sz w:val="20"/>
          <w:szCs w:val="20"/>
          <w:lang w:val="es-ES_tradnl"/>
        </w:rPr>
        <w:t>l 4 de noviembre de 2002, el Juzgado Primero ordenó la práctica del examen psiquiátrico forense a la presunta víctima, acogiendo la solicitud de su defensa</w:t>
      </w:r>
      <w:r w:rsidR="00FE0950" w:rsidRPr="004B114F">
        <w:rPr>
          <w:rStyle w:val="FootnoteReference"/>
          <w:rFonts w:asciiTheme="majorHAnsi" w:hAnsiTheme="majorHAnsi"/>
          <w:sz w:val="20"/>
          <w:szCs w:val="20"/>
          <w:lang w:val="es-ES_tradnl"/>
        </w:rPr>
        <w:footnoteReference w:id="17"/>
      </w:r>
      <w:r w:rsidR="00FE0950" w:rsidRPr="004B114F">
        <w:rPr>
          <w:rFonts w:asciiTheme="majorHAnsi" w:hAnsiTheme="majorHAnsi"/>
          <w:sz w:val="20"/>
          <w:szCs w:val="20"/>
          <w:lang w:val="es-ES_tradnl"/>
        </w:rPr>
        <w:t xml:space="preserve">. </w:t>
      </w:r>
      <w:r w:rsidRPr="004B114F">
        <w:rPr>
          <w:rFonts w:asciiTheme="majorHAnsi" w:hAnsiTheme="majorHAnsi"/>
          <w:sz w:val="20"/>
          <w:szCs w:val="20"/>
          <w:lang w:val="es-ES_tradnl"/>
        </w:rPr>
        <w:t>Según el Estado</w:t>
      </w:r>
      <w:r w:rsidR="00FE0950" w:rsidRPr="004B114F">
        <w:rPr>
          <w:rFonts w:asciiTheme="majorHAnsi" w:hAnsiTheme="majorHAnsi"/>
          <w:sz w:val="20"/>
          <w:szCs w:val="20"/>
          <w:lang w:val="es-ES_tradnl"/>
        </w:rPr>
        <w:t xml:space="preserve">, </w:t>
      </w:r>
      <w:r w:rsidR="0018666F" w:rsidRPr="004B114F">
        <w:rPr>
          <w:rFonts w:asciiTheme="majorHAnsi" w:hAnsiTheme="majorHAnsi"/>
          <w:sz w:val="20"/>
          <w:szCs w:val="20"/>
          <w:lang w:val="es-ES_tradnl"/>
        </w:rPr>
        <w:t>dicho</w:t>
      </w:r>
      <w:r w:rsidR="00FE0950" w:rsidRPr="004B114F">
        <w:rPr>
          <w:rFonts w:asciiTheme="majorHAnsi" w:hAnsiTheme="majorHAnsi"/>
          <w:sz w:val="20"/>
          <w:szCs w:val="20"/>
          <w:lang w:val="es-ES_tradnl"/>
        </w:rPr>
        <w:t xml:space="preserve"> Juzgado comisionó a la Subdelegación del Cuerpo de Investigaciones Científicas Penales y Criminalísticas de la ciudad de Barcelona, </w:t>
      </w:r>
      <w:r w:rsidRPr="004B114F">
        <w:rPr>
          <w:rFonts w:asciiTheme="majorHAnsi" w:hAnsiTheme="majorHAnsi"/>
          <w:sz w:val="20"/>
          <w:szCs w:val="20"/>
          <w:lang w:val="es-ES_tradnl"/>
        </w:rPr>
        <w:t>para</w:t>
      </w:r>
      <w:r w:rsidR="00FE0950" w:rsidRPr="004B114F">
        <w:rPr>
          <w:rFonts w:asciiTheme="majorHAnsi" w:hAnsiTheme="majorHAnsi"/>
          <w:sz w:val="20"/>
          <w:szCs w:val="20"/>
          <w:lang w:val="es-ES_tradnl"/>
        </w:rPr>
        <w:t xml:space="preserve"> que la señora Maleno </w:t>
      </w:r>
      <w:r w:rsidRPr="004B114F">
        <w:rPr>
          <w:rFonts w:asciiTheme="majorHAnsi" w:hAnsiTheme="majorHAnsi"/>
          <w:sz w:val="20"/>
          <w:szCs w:val="20"/>
          <w:lang w:val="es-ES_tradnl"/>
        </w:rPr>
        <w:t>sea</w:t>
      </w:r>
      <w:r w:rsidR="00FE0950" w:rsidRPr="004B114F">
        <w:rPr>
          <w:rFonts w:asciiTheme="majorHAnsi" w:hAnsiTheme="majorHAnsi"/>
          <w:sz w:val="20"/>
          <w:szCs w:val="20"/>
          <w:lang w:val="es-ES_tradnl"/>
        </w:rPr>
        <w:t xml:space="preserve"> trasladada a la ciudad de Cumaná </w:t>
      </w:r>
      <w:r w:rsidRPr="004B114F">
        <w:rPr>
          <w:rFonts w:asciiTheme="majorHAnsi" w:hAnsiTheme="majorHAnsi"/>
          <w:sz w:val="20"/>
          <w:szCs w:val="20"/>
          <w:lang w:val="es-ES_tradnl"/>
        </w:rPr>
        <w:t>a</w:t>
      </w:r>
      <w:r w:rsidR="00FE0950" w:rsidRPr="004B114F">
        <w:rPr>
          <w:rFonts w:asciiTheme="majorHAnsi" w:hAnsiTheme="majorHAnsi"/>
          <w:sz w:val="20"/>
          <w:szCs w:val="20"/>
          <w:lang w:val="es-ES_tradnl"/>
        </w:rPr>
        <w:t xml:space="preserve"> </w:t>
      </w:r>
      <w:r w:rsidRPr="004B114F">
        <w:rPr>
          <w:rFonts w:asciiTheme="majorHAnsi" w:hAnsiTheme="majorHAnsi"/>
          <w:sz w:val="20"/>
          <w:szCs w:val="20"/>
          <w:lang w:val="es-ES_tradnl"/>
        </w:rPr>
        <w:t>realizarse</w:t>
      </w:r>
      <w:r w:rsidR="00FE0950" w:rsidRPr="004B114F">
        <w:rPr>
          <w:rFonts w:asciiTheme="majorHAnsi" w:hAnsiTheme="majorHAnsi"/>
          <w:sz w:val="20"/>
          <w:szCs w:val="20"/>
          <w:lang w:val="es-ES_tradnl"/>
        </w:rPr>
        <w:t xml:space="preserve"> </w:t>
      </w:r>
      <w:r w:rsidRPr="004B114F">
        <w:rPr>
          <w:rFonts w:asciiTheme="majorHAnsi" w:hAnsiTheme="majorHAnsi"/>
          <w:sz w:val="20"/>
          <w:szCs w:val="20"/>
          <w:lang w:val="es-ES_tradnl"/>
        </w:rPr>
        <w:t>tal</w:t>
      </w:r>
      <w:r w:rsidR="00FE0950" w:rsidRPr="004B114F">
        <w:rPr>
          <w:rFonts w:asciiTheme="majorHAnsi" w:hAnsiTheme="majorHAnsi"/>
          <w:sz w:val="20"/>
          <w:szCs w:val="20"/>
          <w:lang w:val="es-ES_tradnl"/>
        </w:rPr>
        <w:t xml:space="preserve"> evaluación</w:t>
      </w:r>
      <w:r w:rsidR="00FE0950" w:rsidRPr="004B114F">
        <w:rPr>
          <w:rStyle w:val="FootnoteReference"/>
          <w:rFonts w:asciiTheme="majorHAnsi" w:hAnsiTheme="majorHAnsi"/>
          <w:sz w:val="20"/>
          <w:szCs w:val="20"/>
          <w:lang w:val="es-ES_tradnl"/>
        </w:rPr>
        <w:footnoteReference w:id="18"/>
      </w:r>
      <w:r w:rsidR="00FE0950" w:rsidRPr="004B114F">
        <w:rPr>
          <w:rFonts w:asciiTheme="majorHAnsi" w:hAnsiTheme="majorHAnsi"/>
          <w:sz w:val="20"/>
          <w:szCs w:val="20"/>
          <w:lang w:val="es-ES_tradnl"/>
        </w:rPr>
        <w:t xml:space="preserve">. </w:t>
      </w:r>
      <w:r w:rsidRPr="004B114F">
        <w:rPr>
          <w:rFonts w:asciiTheme="majorHAnsi" w:hAnsiTheme="majorHAnsi"/>
          <w:sz w:val="20"/>
          <w:szCs w:val="20"/>
          <w:lang w:val="es-ES_tradnl"/>
        </w:rPr>
        <w:t>E</w:t>
      </w:r>
      <w:r w:rsidR="00FE0950" w:rsidRPr="004B114F">
        <w:rPr>
          <w:rFonts w:asciiTheme="majorHAnsi" w:hAnsiTheme="majorHAnsi"/>
          <w:sz w:val="20"/>
          <w:szCs w:val="20"/>
          <w:lang w:val="es-ES_tradnl"/>
        </w:rPr>
        <w:t>l 20 de agosto de 2003</w:t>
      </w:r>
      <w:r w:rsidRPr="004B114F">
        <w:rPr>
          <w:rFonts w:asciiTheme="majorHAnsi" w:hAnsiTheme="majorHAnsi"/>
          <w:sz w:val="20"/>
          <w:szCs w:val="20"/>
          <w:lang w:val="es-ES_tradnl"/>
        </w:rPr>
        <w:t>,</w:t>
      </w:r>
      <w:r w:rsidR="00FE0950" w:rsidRPr="004B114F">
        <w:rPr>
          <w:rFonts w:asciiTheme="majorHAnsi" w:hAnsiTheme="majorHAnsi"/>
          <w:sz w:val="20"/>
          <w:szCs w:val="20"/>
          <w:lang w:val="es-ES_tradnl"/>
        </w:rPr>
        <w:t xml:space="preserve"> el Juzgado Primero suspendió el proceso penal por delito de filicidio hasta que sean agregados al expediente los resultados de la pericia forense</w:t>
      </w:r>
      <w:r w:rsidR="00FE0950" w:rsidRPr="004B114F">
        <w:rPr>
          <w:rStyle w:val="FootnoteReference"/>
          <w:rFonts w:asciiTheme="majorHAnsi" w:hAnsiTheme="majorHAnsi"/>
          <w:sz w:val="20"/>
          <w:szCs w:val="20"/>
          <w:lang w:val="es-ES_tradnl"/>
        </w:rPr>
        <w:footnoteReference w:id="19"/>
      </w:r>
      <w:r w:rsidR="00FE0950" w:rsidRPr="004B114F">
        <w:rPr>
          <w:rFonts w:asciiTheme="majorHAnsi" w:hAnsiTheme="majorHAnsi"/>
          <w:sz w:val="20"/>
          <w:szCs w:val="20"/>
          <w:lang w:val="es-ES_tradnl"/>
        </w:rPr>
        <w:t xml:space="preserve">. </w:t>
      </w:r>
    </w:p>
    <w:p w14:paraId="786ED6FC" w14:textId="77777777" w:rsidR="005E04F5" w:rsidRPr="004B114F" w:rsidRDefault="005E04F5" w:rsidP="00DE778C">
      <w:pPr>
        <w:pStyle w:val="ListParagraph"/>
        <w:rPr>
          <w:rFonts w:asciiTheme="majorHAnsi" w:hAnsiTheme="majorHAnsi"/>
          <w:sz w:val="20"/>
          <w:szCs w:val="20"/>
          <w:lang w:val="es-ES_tradnl"/>
        </w:rPr>
      </w:pPr>
    </w:p>
    <w:p w14:paraId="49A96F81" w14:textId="2B052767" w:rsidR="00FE0950" w:rsidRPr="004B114F" w:rsidRDefault="00FE0950" w:rsidP="004B114F">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630"/>
        <w:jc w:val="both"/>
        <w:rPr>
          <w:rFonts w:asciiTheme="majorHAnsi" w:hAnsiTheme="majorHAnsi"/>
          <w:sz w:val="20"/>
          <w:szCs w:val="20"/>
          <w:lang w:val="es-ES_tradnl"/>
        </w:rPr>
      </w:pPr>
      <w:bookmarkStart w:id="9" w:name="_Ref133934006"/>
      <w:r w:rsidRPr="004B114F">
        <w:rPr>
          <w:rFonts w:asciiTheme="majorHAnsi" w:hAnsiTheme="majorHAnsi"/>
          <w:sz w:val="20"/>
          <w:szCs w:val="20"/>
          <w:lang w:val="es-ES_tradnl"/>
        </w:rPr>
        <w:t xml:space="preserve">El 6 de noviembre de 2003 el Juzgado Primero sustituyó la medida de prisión preventiva por una medida cautelar alternativa </w:t>
      </w:r>
      <w:r w:rsidR="0018666F" w:rsidRPr="004B114F">
        <w:rPr>
          <w:rFonts w:asciiTheme="majorHAnsi" w:hAnsiTheme="majorHAnsi"/>
          <w:sz w:val="20"/>
          <w:szCs w:val="20"/>
          <w:lang w:val="es-ES_tradnl"/>
        </w:rPr>
        <w:t>para que</w:t>
      </w:r>
      <w:r w:rsidRPr="004B114F">
        <w:rPr>
          <w:rFonts w:asciiTheme="majorHAnsi" w:hAnsiTheme="majorHAnsi"/>
          <w:sz w:val="20"/>
          <w:szCs w:val="20"/>
          <w:lang w:val="es-ES_tradnl"/>
        </w:rPr>
        <w:t xml:space="preserve"> la presunta víctima </w:t>
      </w:r>
      <w:r w:rsidR="0018666F" w:rsidRPr="004B114F">
        <w:rPr>
          <w:rFonts w:asciiTheme="majorHAnsi" w:hAnsiTheme="majorHAnsi"/>
          <w:sz w:val="20"/>
          <w:szCs w:val="20"/>
          <w:lang w:val="es-ES_tradnl"/>
        </w:rPr>
        <w:t>continúe</w:t>
      </w:r>
      <w:r w:rsidRPr="004B114F">
        <w:rPr>
          <w:rFonts w:asciiTheme="majorHAnsi" w:hAnsiTheme="majorHAnsi"/>
          <w:sz w:val="20"/>
          <w:szCs w:val="20"/>
          <w:lang w:val="es-ES_tradnl"/>
        </w:rPr>
        <w:t xml:space="preserve"> el proceso en libertad</w:t>
      </w:r>
      <w:r w:rsidR="00262F9C" w:rsidRPr="004B114F">
        <w:rPr>
          <w:rFonts w:asciiTheme="majorHAnsi" w:hAnsiTheme="majorHAnsi"/>
          <w:sz w:val="20"/>
          <w:szCs w:val="20"/>
          <w:lang w:val="es-ES_tradnl"/>
        </w:rPr>
        <w:t>, según ambas partes</w:t>
      </w:r>
      <w:r w:rsidR="005E04F5" w:rsidRPr="004B114F">
        <w:rPr>
          <w:rStyle w:val="FootnoteReference"/>
          <w:rFonts w:asciiTheme="majorHAnsi" w:hAnsiTheme="majorHAnsi"/>
          <w:sz w:val="20"/>
          <w:szCs w:val="20"/>
          <w:lang w:val="es-ES_tradnl"/>
        </w:rPr>
        <w:footnoteReference w:id="20"/>
      </w:r>
      <w:r w:rsidR="005E04F5" w:rsidRPr="004B114F">
        <w:rPr>
          <w:rFonts w:asciiTheme="majorHAnsi" w:hAnsiTheme="majorHAnsi"/>
          <w:sz w:val="20"/>
          <w:szCs w:val="20"/>
          <w:lang w:val="es-ES_tradnl"/>
        </w:rPr>
        <w:t xml:space="preserve">. </w:t>
      </w:r>
      <w:r w:rsidR="00426E44" w:rsidRPr="004B114F">
        <w:rPr>
          <w:rFonts w:asciiTheme="majorHAnsi" w:hAnsiTheme="majorHAnsi"/>
          <w:sz w:val="20"/>
          <w:szCs w:val="20"/>
          <w:lang w:val="es-ES_tradnl"/>
        </w:rPr>
        <w:t>E</w:t>
      </w:r>
      <w:r w:rsidR="005E04F5" w:rsidRPr="004B114F">
        <w:rPr>
          <w:rFonts w:asciiTheme="majorHAnsi" w:hAnsiTheme="majorHAnsi"/>
          <w:sz w:val="20"/>
          <w:szCs w:val="20"/>
          <w:lang w:val="es-ES_tradnl"/>
        </w:rPr>
        <w:t xml:space="preserve">l Juzgado Primero decretó a su favor una medida cautelar sustitutiva de la privativa de libertad, al amparo </w:t>
      </w:r>
      <w:r w:rsidR="00426E44" w:rsidRPr="004B114F">
        <w:rPr>
          <w:rFonts w:asciiTheme="majorHAnsi" w:hAnsiTheme="majorHAnsi"/>
          <w:sz w:val="20"/>
          <w:szCs w:val="20"/>
          <w:lang w:val="es-ES_tradnl"/>
        </w:rPr>
        <w:t>d</w:t>
      </w:r>
      <w:r w:rsidR="005E04F5" w:rsidRPr="004B114F">
        <w:rPr>
          <w:rFonts w:asciiTheme="majorHAnsi" w:hAnsiTheme="majorHAnsi"/>
          <w:sz w:val="20"/>
          <w:szCs w:val="20"/>
          <w:lang w:val="es-ES_tradnl"/>
        </w:rPr>
        <w:t xml:space="preserve">el artículo 256 </w:t>
      </w:r>
      <w:r w:rsidR="00B87411" w:rsidRPr="004B114F">
        <w:rPr>
          <w:rFonts w:asciiTheme="majorHAnsi" w:hAnsiTheme="majorHAnsi"/>
          <w:sz w:val="20"/>
          <w:szCs w:val="20"/>
          <w:lang w:val="es-ES_tradnl"/>
        </w:rPr>
        <w:t xml:space="preserve">(numerales 2, 3, 4 y 9) </w:t>
      </w:r>
      <w:r w:rsidR="005E04F5" w:rsidRPr="004B114F">
        <w:rPr>
          <w:rFonts w:asciiTheme="majorHAnsi" w:hAnsiTheme="majorHAnsi"/>
          <w:sz w:val="20"/>
          <w:szCs w:val="20"/>
          <w:lang w:val="es-ES_tradnl"/>
        </w:rPr>
        <w:t xml:space="preserve">del Código Orgánico Procesal Penal vigente </w:t>
      </w:r>
      <w:r w:rsidR="009454DE" w:rsidRPr="004B114F">
        <w:rPr>
          <w:rFonts w:asciiTheme="majorHAnsi" w:hAnsiTheme="majorHAnsi"/>
          <w:sz w:val="20"/>
          <w:szCs w:val="20"/>
          <w:lang w:val="es-ES_tradnl"/>
        </w:rPr>
        <w:t>a la</w:t>
      </w:r>
      <w:r w:rsidR="005E04F5" w:rsidRPr="004B114F">
        <w:rPr>
          <w:rFonts w:asciiTheme="majorHAnsi" w:hAnsiTheme="majorHAnsi"/>
          <w:sz w:val="20"/>
          <w:szCs w:val="20"/>
          <w:lang w:val="es-ES_tradnl"/>
        </w:rPr>
        <w:t xml:space="preserve"> época.</w:t>
      </w:r>
      <w:bookmarkEnd w:id="9"/>
    </w:p>
    <w:p w14:paraId="0427957D" w14:textId="77777777" w:rsidR="00FE0950" w:rsidRPr="004B114F" w:rsidRDefault="00FE0950" w:rsidP="004B114F">
      <w:pPr>
        <w:pStyle w:val="ListParagraph"/>
        <w:rPr>
          <w:rFonts w:asciiTheme="majorHAnsi" w:hAnsiTheme="majorHAnsi"/>
          <w:sz w:val="20"/>
          <w:szCs w:val="20"/>
          <w:lang w:val="es-ES_tradnl"/>
        </w:rPr>
      </w:pPr>
    </w:p>
    <w:p w14:paraId="065619BA" w14:textId="200F6F8D" w:rsidR="00FE0950" w:rsidRPr="004B114F" w:rsidRDefault="00FE0950" w:rsidP="07C31400">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630"/>
        <w:jc w:val="both"/>
        <w:rPr>
          <w:rFonts w:asciiTheme="majorHAnsi" w:hAnsiTheme="majorHAnsi"/>
          <w:color w:val="000000" w:themeColor="text1"/>
          <w:sz w:val="20"/>
          <w:szCs w:val="20"/>
          <w:lang w:val="es-ES"/>
        </w:rPr>
      </w:pPr>
      <w:r w:rsidRPr="07C31400">
        <w:rPr>
          <w:rFonts w:asciiTheme="majorHAnsi" w:hAnsiTheme="majorHAnsi"/>
          <w:sz w:val="20"/>
          <w:szCs w:val="20"/>
          <w:lang w:val="es-ES"/>
        </w:rPr>
        <w:t xml:space="preserve">El 15 de junio de 2007 tuvo lugar la audiencia oral, </w:t>
      </w:r>
      <w:r w:rsidR="0018666F" w:rsidRPr="07C31400">
        <w:rPr>
          <w:rFonts w:asciiTheme="majorHAnsi" w:hAnsiTheme="majorHAnsi"/>
          <w:sz w:val="20"/>
          <w:szCs w:val="20"/>
          <w:lang w:val="es-ES"/>
        </w:rPr>
        <w:t>en la que</w:t>
      </w:r>
      <w:r w:rsidRPr="07C31400">
        <w:rPr>
          <w:rFonts w:asciiTheme="majorHAnsi" w:hAnsiTheme="majorHAnsi"/>
          <w:sz w:val="20"/>
          <w:szCs w:val="20"/>
          <w:lang w:val="es-ES"/>
        </w:rPr>
        <w:t xml:space="preserve"> </w:t>
      </w:r>
      <w:r w:rsidR="0018666F" w:rsidRPr="07C31400">
        <w:rPr>
          <w:rFonts w:asciiTheme="majorHAnsi" w:hAnsiTheme="majorHAnsi"/>
          <w:sz w:val="20"/>
          <w:szCs w:val="20"/>
          <w:lang w:val="es-ES"/>
        </w:rPr>
        <w:t>e</w:t>
      </w:r>
      <w:r w:rsidRPr="07C31400">
        <w:rPr>
          <w:rFonts w:asciiTheme="majorHAnsi" w:hAnsiTheme="majorHAnsi"/>
          <w:sz w:val="20"/>
          <w:szCs w:val="20"/>
          <w:lang w:val="es-ES"/>
        </w:rPr>
        <w:t>l Juzgado Primero corrobo</w:t>
      </w:r>
      <w:r w:rsidR="0018666F" w:rsidRPr="07C31400">
        <w:rPr>
          <w:rFonts w:asciiTheme="majorHAnsi" w:hAnsiTheme="majorHAnsi"/>
          <w:sz w:val="20"/>
          <w:szCs w:val="20"/>
          <w:lang w:val="es-ES"/>
        </w:rPr>
        <w:t>ró</w:t>
      </w:r>
      <w:r w:rsidRPr="07C31400">
        <w:rPr>
          <w:rFonts w:asciiTheme="majorHAnsi" w:hAnsiTheme="majorHAnsi"/>
          <w:sz w:val="20"/>
          <w:szCs w:val="20"/>
          <w:lang w:val="es-ES"/>
        </w:rPr>
        <w:t xml:space="preserve"> que la pericia psiquiátrica forense no se había</w:t>
      </w:r>
      <w:r w:rsidR="00AF7E06" w:rsidRPr="07C31400">
        <w:rPr>
          <w:rFonts w:asciiTheme="majorHAnsi" w:hAnsiTheme="majorHAnsi"/>
          <w:sz w:val="20"/>
          <w:szCs w:val="20"/>
          <w:lang w:val="es-ES"/>
        </w:rPr>
        <w:t xml:space="preserve"> realizado</w:t>
      </w:r>
      <w:r w:rsidRPr="07C31400">
        <w:rPr>
          <w:rStyle w:val="FootnoteReference"/>
          <w:rFonts w:asciiTheme="majorHAnsi" w:hAnsiTheme="majorHAnsi"/>
          <w:sz w:val="20"/>
          <w:szCs w:val="20"/>
          <w:lang w:val="es-ES"/>
        </w:rPr>
        <w:footnoteReference w:id="21"/>
      </w:r>
      <w:r w:rsidRPr="07C31400">
        <w:rPr>
          <w:rFonts w:asciiTheme="majorHAnsi" w:hAnsiTheme="majorHAnsi"/>
          <w:sz w:val="20"/>
          <w:szCs w:val="20"/>
          <w:lang w:val="es-ES"/>
        </w:rPr>
        <w:t>. En dicha oportunidad la señora Maleno indicó que no contaba con los medios económicos para realizarla</w:t>
      </w:r>
      <w:r w:rsidRPr="07C31400">
        <w:rPr>
          <w:rStyle w:val="FootnoteReference"/>
          <w:rFonts w:asciiTheme="majorHAnsi" w:hAnsiTheme="majorHAnsi"/>
          <w:sz w:val="20"/>
          <w:szCs w:val="20"/>
          <w:lang w:val="es-ES"/>
        </w:rPr>
        <w:footnoteReference w:id="22"/>
      </w:r>
      <w:r w:rsidR="0018666F" w:rsidRPr="07C31400">
        <w:rPr>
          <w:rFonts w:asciiTheme="majorHAnsi" w:hAnsiTheme="majorHAnsi"/>
          <w:sz w:val="20"/>
          <w:szCs w:val="20"/>
          <w:lang w:val="es-ES"/>
        </w:rPr>
        <w:t>. Al respecto,</w:t>
      </w:r>
      <w:r w:rsidRPr="07C31400">
        <w:rPr>
          <w:rFonts w:asciiTheme="majorHAnsi" w:hAnsiTheme="majorHAnsi"/>
          <w:sz w:val="20"/>
          <w:szCs w:val="20"/>
          <w:lang w:val="es-ES"/>
        </w:rPr>
        <w:t xml:space="preserve"> la parte peticionaria </w:t>
      </w:r>
      <w:r w:rsidR="0018666F" w:rsidRPr="07C31400">
        <w:rPr>
          <w:rFonts w:asciiTheme="majorHAnsi" w:hAnsiTheme="majorHAnsi"/>
          <w:sz w:val="20"/>
          <w:szCs w:val="20"/>
          <w:lang w:val="es-ES"/>
        </w:rPr>
        <w:t>indicó</w:t>
      </w:r>
      <w:r w:rsidRPr="07C31400">
        <w:rPr>
          <w:rFonts w:asciiTheme="majorHAnsi" w:hAnsiTheme="majorHAnsi"/>
          <w:sz w:val="20"/>
          <w:szCs w:val="20"/>
          <w:lang w:val="es-ES"/>
        </w:rPr>
        <w:t xml:space="preserve"> que, en cualquier caso, la realización de la prueba era inoportuna, pues debió ser solicitada por el Ministerio Público durante la etapa de investigación, y no por el Juzgado Primero </w:t>
      </w:r>
      <w:r w:rsidR="00AF7E06" w:rsidRPr="07C31400">
        <w:rPr>
          <w:rFonts w:asciiTheme="majorHAnsi" w:hAnsiTheme="majorHAnsi"/>
          <w:sz w:val="20"/>
          <w:szCs w:val="20"/>
          <w:lang w:val="es-ES"/>
        </w:rPr>
        <w:t>en</w:t>
      </w:r>
      <w:r w:rsidRPr="07C31400">
        <w:rPr>
          <w:rFonts w:asciiTheme="majorHAnsi" w:hAnsiTheme="majorHAnsi"/>
          <w:sz w:val="20"/>
          <w:szCs w:val="20"/>
          <w:lang w:val="es-ES"/>
        </w:rPr>
        <w:t xml:space="preserve"> la fase de juicio oral y público</w:t>
      </w:r>
      <w:r w:rsidRPr="07C31400">
        <w:rPr>
          <w:rStyle w:val="FootnoteReference"/>
          <w:rFonts w:asciiTheme="majorHAnsi" w:hAnsiTheme="majorHAnsi"/>
          <w:sz w:val="20"/>
          <w:szCs w:val="20"/>
          <w:lang w:val="es-ES"/>
        </w:rPr>
        <w:footnoteReference w:id="23"/>
      </w:r>
      <w:r w:rsidR="00A33D86" w:rsidRPr="07C31400">
        <w:rPr>
          <w:rFonts w:asciiTheme="majorHAnsi" w:hAnsiTheme="majorHAnsi"/>
          <w:sz w:val="20"/>
          <w:szCs w:val="20"/>
          <w:lang w:val="es-ES"/>
        </w:rPr>
        <w:t xml:space="preserve">. </w:t>
      </w:r>
      <w:r w:rsidRPr="07C31400">
        <w:rPr>
          <w:rFonts w:asciiTheme="majorHAnsi" w:hAnsiTheme="majorHAnsi"/>
          <w:sz w:val="20"/>
          <w:szCs w:val="20"/>
          <w:lang w:val="es-ES"/>
        </w:rPr>
        <w:t xml:space="preserve">Sin perjuicio de </w:t>
      </w:r>
      <w:r w:rsidR="00A33D86" w:rsidRPr="07C31400">
        <w:rPr>
          <w:rFonts w:asciiTheme="majorHAnsi" w:hAnsiTheme="majorHAnsi"/>
          <w:sz w:val="20"/>
          <w:szCs w:val="20"/>
          <w:lang w:val="es-ES"/>
        </w:rPr>
        <w:t>ello</w:t>
      </w:r>
      <w:r w:rsidRPr="07C31400">
        <w:rPr>
          <w:rFonts w:asciiTheme="majorHAnsi" w:hAnsiTheme="majorHAnsi"/>
          <w:sz w:val="20"/>
          <w:szCs w:val="20"/>
          <w:lang w:val="es-ES"/>
        </w:rPr>
        <w:t xml:space="preserve">, el Juzgado cursó oficio al Director General del Hospital Luis Razetti con el fin de que el examen psiquiátrico forense sea programado para el 20 de junio de 2007. En la misma oportunidad, el Juzgado fijó como fecha para la audiencia del juicio oral y público el 17 de octubre de 2007. Según sostiene el Estado - y no </w:t>
      </w:r>
      <w:r w:rsidR="00AF7E06" w:rsidRPr="07C31400">
        <w:rPr>
          <w:rFonts w:asciiTheme="majorHAnsi" w:hAnsiTheme="majorHAnsi"/>
          <w:sz w:val="20"/>
          <w:szCs w:val="20"/>
          <w:lang w:val="es-ES"/>
        </w:rPr>
        <w:t>controvierte</w:t>
      </w:r>
      <w:r w:rsidRPr="07C31400">
        <w:rPr>
          <w:rFonts w:asciiTheme="majorHAnsi" w:hAnsiTheme="majorHAnsi"/>
          <w:sz w:val="20"/>
          <w:szCs w:val="20"/>
          <w:lang w:val="es-ES"/>
        </w:rPr>
        <w:t xml:space="preserve"> la parte peticionaria - el Juzgado Primero reprogramó dicha diligencia procesal para el 29 de noviembre de 2007 debido a la incomparecencia de la señora Maleno. </w:t>
      </w:r>
      <w:r w:rsidR="00AF7E06" w:rsidRPr="07C31400">
        <w:rPr>
          <w:rFonts w:asciiTheme="majorHAnsi" w:hAnsiTheme="majorHAnsi"/>
          <w:sz w:val="20"/>
          <w:szCs w:val="20"/>
          <w:lang w:val="es-ES"/>
        </w:rPr>
        <w:t>E</w:t>
      </w:r>
      <w:r w:rsidRPr="07C31400">
        <w:rPr>
          <w:rFonts w:asciiTheme="majorHAnsi" w:hAnsiTheme="majorHAnsi"/>
          <w:sz w:val="20"/>
          <w:szCs w:val="20"/>
          <w:lang w:val="es-ES"/>
        </w:rPr>
        <w:t>n tal ocasión</w:t>
      </w:r>
      <w:r w:rsidR="00AF7E06" w:rsidRPr="07C31400">
        <w:rPr>
          <w:rFonts w:asciiTheme="majorHAnsi" w:hAnsiTheme="majorHAnsi"/>
          <w:sz w:val="20"/>
          <w:szCs w:val="20"/>
          <w:lang w:val="es-ES"/>
        </w:rPr>
        <w:t>, informa el Estado,</w:t>
      </w:r>
      <w:r w:rsidRPr="07C31400">
        <w:rPr>
          <w:rFonts w:asciiTheme="majorHAnsi" w:hAnsiTheme="majorHAnsi"/>
          <w:sz w:val="20"/>
          <w:szCs w:val="20"/>
          <w:lang w:val="es-ES"/>
        </w:rPr>
        <w:t xml:space="preserve"> el Juzgado Primero acordó autorizar que la presunta víctima sea conducida por la fuerza pública a la audiencia programada, precisando que esta tampoco había comparecido </w:t>
      </w:r>
      <w:r w:rsidR="00AF7E06" w:rsidRPr="07C31400">
        <w:rPr>
          <w:rFonts w:asciiTheme="majorHAnsi" w:hAnsiTheme="majorHAnsi"/>
          <w:sz w:val="20"/>
          <w:szCs w:val="20"/>
          <w:lang w:val="es-ES"/>
        </w:rPr>
        <w:t>a</w:t>
      </w:r>
      <w:r w:rsidRPr="07C31400">
        <w:rPr>
          <w:rFonts w:asciiTheme="majorHAnsi" w:hAnsiTheme="majorHAnsi"/>
          <w:sz w:val="20"/>
          <w:szCs w:val="20"/>
          <w:lang w:val="es-ES"/>
        </w:rPr>
        <w:t>l peritaje psiquiátrico forense</w:t>
      </w:r>
      <w:r w:rsidRPr="07C31400">
        <w:rPr>
          <w:rStyle w:val="FootnoteReference"/>
          <w:rFonts w:asciiTheme="majorHAnsi" w:hAnsiTheme="majorHAnsi"/>
          <w:sz w:val="20"/>
          <w:szCs w:val="20"/>
          <w:lang w:val="es-ES"/>
        </w:rPr>
        <w:footnoteReference w:id="24"/>
      </w:r>
      <w:r w:rsidRPr="07C31400">
        <w:rPr>
          <w:rFonts w:asciiTheme="majorHAnsi" w:hAnsiTheme="majorHAnsi"/>
          <w:sz w:val="20"/>
          <w:szCs w:val="20"/>
          <w:lang w:val="es-ES"/>
        </w:rPr>
        <w:t>.</w:t>
      </w:r>
    </w:p>
    <w:p w14:paraId="302597F0" w14:textId="77777777" w:rsidR="00FE0950" w:rsidRPr="004B114F" w:rsidRDefault="00FE0950" w:rsidP="004B114F">
      <w:pPr>
        <w:pStyle w:val="ListParagraph"/>
        <w:rPr>
          <w:rFonts w:asciiTheme="majorHAnsi" w:hAnsiTheme="majorHAnsi"/>
          <w:color w:val="000000" w:themeColor="text1"/>
          <w:sz w:val="20"/>
          <w:szCs w:val="20"/>
          <w:lang w:val="es-ES_tradnl"/>
        </w:rPr>
      </w:pPr>
    </w:p>
    <w:p w14:paraId="2D42A1D6" w14:textId="7A6141E0" w:rsidR="00FE0950" w:rsidRPr="004B114F" w:rsidRDefault="006857CE" w:rsidP="004B114F">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630"/>
        <w:jc w:val="both"/>
        <w:rPr>
          <w:rFonts w:asciiTheme="majorHAnsi" w:hAnsiTheme="majorHAnsi"/>
          <w:sz w:val="20"/>
          <w:szCs w:val="20"/>
          <w:lang w:val="es-ES_tradnl"/>
        </w:rPr>
      </w:pPr>
      <w:r w:rsidRPr="004B114F">
        <w:rPr>
          <w:rFonts w:asciiTheme="majorHAnsi" w:hAnsiTheme="majorHAnsi"/>
          <w:sz w:val="20"/>
          <w:szCs w:val="20"/>
          <w:lang w:val="es-ES_tradnl"/>
        </w:rPr>
        <w:t xml:space="preserve">No consta en </w:t>
      </w:r>
      <w:r w:rsidR="00FE0950" w:rsidRPr="004B114F">
        <w:rPr>
          <w:rFonts w:asciiTheme="majorHAnsi" w:hAnsiTheme="majorHAnsi"/>
          <w:sz w:val="20"/>
          <w:szCs w:val="20"/>
          <w:lang w:val="es-ES_tradnl"/>
        </w:rPr>
        <w:t>el expediente</w:t>
      </w:r>
      <w:r w:rsidRPr="004B114F">
        <w:rPr>
          <w:rFonts w:asciiTheme="majorHAnsi" w:hAnsiTheme="majorHAnsi"/>
          <w:sz w:val="20"/>
          <w:szCs w:val="20"/>
          <w:lang w:val="es-ES_tradnl"/>
        </w:rPr>
        <w:t xml:space="preserve"> </w:t>
      </w:r>
      <w:r w:rsidR="00FE0950" w:rsidRPr="004B114F">
        <w:rPr>
          <w:rFonts w:asciiTheme="majorHAnsi" w:hAnsiTheme="majorHAnsi"/>
          <w:sz w:val="20"/>
          <w:szCs w:val="20"/>
          <w:lang w:val="es-ES_tradnl"/>
        </w:rPr>
        <w:t>actuaci</w:t>
      </w:r>
      <w:r w:rsidRPr="004B114F">
        <w:rPr>
          <w:rFonts w:asciiTheme="majorHAnsi" w:hAnsiTheme="majorHAnsi"/>
          <w:sz w:val="20"/>
          <w:szCs w:val="20"/>
          <w:lang w:val="es-ES_tradnl"/>
        </w:rPr>
        <w:t>ones</w:t>
      </w:r>
      <w:r w:rsidR="00FE0950" w:rsidRPr="004B114F">
        <w:rPr>
          <w:rFonts w:asciiTheme="majorHAnsi" w:hAnsiTheme="majorHAnsi"/>
          <w:sz w:val="20"/>
          <w:szCs w:val="20"/>
          <w:lang w:val="es-ES_tradnl"/>
        </w:rPr>
        <w:t xml:space="preserve"> procesal</w:t>
      </w:r>
      <w:r w:rsidRPr="004B114F">
        <w:rPr>
          <w:rFonts w:asciiTheme="majorHAnsi" w:hAnsiTheme="majorHAnsi"/>
          <w:sz w:val="20"/>
          <w:szCs w:val="20"/>
          <w:lang w:val="es-ES_tradnl"/>
        </w:rPr>
        <w:t>es</w:t>
      </w:r>
      <w:r w:rsidR="00FE0950" w:rsidRPr="004B114F">
        <w:rPr>
          <w:rFonts w:asciiTheme="majorHAnsi" w:hAnsiTheme="majorHAnsi"/>
          <w:sz w:val="20"/>
          <w:szCs w:val="20"/>
          <w:lang w:val="es-ES_tradnl"/>
        </w:rPr>
        <w:t xml:space="preserve"> adicional</w:t>
      </w:r>
      <w:r w:rsidRPr="004B114F">
        <w:rPr>
          <w:rFonts w:asciiTheme="majorHAnsi" w:hAnsiTheme="majorHAnsi"/>
          <w:sz w:val="20"/>
          <w:szCs w:val="20"/>
          <w:lang w:val="es-ES_tradnl"/>
        </w:rPr>
        <w:t>es y/o posteriores,</w:t>
      </w:r>
      <w:r w:rsidR="00FE0950" w:rsidRPr="004B114F">
        <w:rPr>
          <w:rFonts w:asciiTheme="majorHAnsi" w:hAnsiTheme="majorHAnsi"/>
          <w:sz w:val="20"/>
          <w:szCs w:val="20"/>
          <w:lang w:val="es-ES_tradnl"/>
        </w:rPr>
        <w:t xml:space="preserve"> de modo que el proceso penal contra la señora Maleno iniciado en </w:t>
      </w:r>
      <w:r w:rsidRPr="004B114F">
        <w:rPr>
          <w:rFonts w:asciiTheme="majorHAnsi" w:hAnsiTheme="majorHAnsi"/>
          <w:sz w:val="20"/>
          <w:szCs w:val="20"/>
          <w:lang w:val="es-ES_tradnl"/>
        </w:rPr>
        <w:t xml:space="preserve">octubre de </w:t>
      </w:r>
      <w:r w:rsidR="00FE0950" w:rsidRPr="004B114F">
        <w:rPr>
          <w:rFonts w:asciiTheme="majorHAnsi" w:hAnsiTheme="majorHAnsi"/>
          <w:sz w:val="20"/>
          <w:szCs w:val="20"/>
          <w:lang w:val="es-ES_tradnl"/>
        </w:rPr>
        <w:t>2001 se encontraría inactivo al menos desde noviembre de 2007, sin contar con una sentencia en primera instancia</w:t>
      </w:r>
      <w:r w:rsidRPr="004B114F">
        <w:rPr>
          <w:rFonts w:asciiTheme="majorHAnsi" w:hAnsiTheme="majorHAnsi"/>
          <w:sz w:val="20"/>
          <w:szCs w:val="20"/>
          <w:lang w:val="es-ES_tradnl"/>
        </w:rPr>
        <w:t xml:space="preserve"> a la fecha</w:t>
      </w:r>
      <w:r w:rsidR="00FE0950" w:rsidRPr="004B114F">
        <w:rPr>
          <w:rFonts w:asciiTheme="majorHAnsi" w:hAnsiTheme="majorHAnsi"/>
          <w:sz w:val="20"/>
          <w:szCs w:val="20"/>
          <w:lang w:val="es-ES_tradnl"/>
        </w:rPr>
        <w:t xml:space="preserve">. </w:t>
      </w:r>
    </w:p>
    <w:p w14:paraId="520479CD" w14:textId="69B99AFD" w:rsidR="007E7A63" w:rsidRPr="004B114F" w:rsidRDefault="007E7A63" w:rsidP="004B114F">
      <w:pPr>
        <w:rPr>
          <w:rFonts w:asciiTheme="majorHAnsi" w:hAnsiTheme="majorHAnsi"/>
          <w:color w:val="000000" w:themeColor="text1"/>
          <w:sz w:val="20"/>
          <w:szCs w:val="20"/>
          <w:lang w:val="es-ES"/>
        </w:rPr>
      </w:pPr>
    </w:p>
    <w:p w14:paraId="5899CA2F" w14:textId="624882D9" w:rsidR="006525CC" w:rsidRPr="00DE778C" w:rsidRDefault="006525CC" w:rsidP="00DE778C">
      <w:pPr>
        <w:pStyle w:val="Heading2"/>
        <w:numPr>
          <w:ilvl w:val="0"/>
          <w:numId w:val="61"/>
        </w:numPr>
        <w:jc w:val="both"/>
        <w:rPr>
          <w:rFonts w:asciiTheme="majorHAnsi" w:hAnsiTheme="majorHAnsi"/>
          <w:szCs w:val="20"/>
          <w:lang w:val="es-ES_tradnl"/>
        </w:rPr>
      </w:pPr>
      <w:bookmarkStart w:id="10" w:name="_Toc142398950"/>
      <w:r w:rsidRPr="00DE778C">
        <w:rPr>
          <w:rFonts w:asciiTheme="majorHAnsi" w:hAnsiTheme="majorHAnsi"/>
          <w:szCs w:val="20"/>
          <w:lang w:val="es-ES_tradnl"/>
        </w:rPr>
        <w:t xml:space="preserve">Sobre las condiciones carcelarias y </w:t>
      </w:r>
      <w:r w:rsidR="00FE0950" w:rsidRPr="004B114F">
        <w:rPr>
          <w:rFonts w:asciiTheme="majorHAnsi" w:hAnsiTheme="majorHAnsi"/>
          <w:szCs w:val="20"/>
          <w:lang w:val="es-ES_tradnl"/>
        </w:rPr>
        <w:t xml:space="preserve">la </w:t>
      </w:r>
      <w:r w:rsidRPr="00DE778C">
        <w:rPr>
          <w:rFonts w:asciiTheme="majorHAnsi" w:hAnsiTheme="majorHAnsi"/>
          <w:szCs w:val="20"/>
          <w:lang w:val="es-ES_tradnl"/>
        </w:rPr>
        <w:t xml:space="preserve">violación sexual </w:t>
      </w:r>
      <w:r w:rsidR="00E96514" w:rsidRPr="004B114F">
        <w:rPr>
          <w:rFonts w:asciiTheme="majorHAnsi" w:hAnsiTheme="majorHAnsi"/>
          <w:szCs w:val="20"/>
          <w:lang w:val="es-ES_tradnl"/>
        </w:rPr>
        <w:t xml:space="preserve">contra la presunta víctima </w:t>
      </w:r>
      <w:r w:rsidRPr="00DE778C">
        <w:rPr>
          <w:rFonts w:asciiTheme="majorHAnsi" w:hAnsiTheme="majorHAnsi"/>
          <w:szCs w:val="20"/>
          <w:lang w:val="es-ES_tradnl"/>
        </w:rPr>
        <w:t>durante su detención</w:t>
      </w:r>
      <w:bookmarkEnd w:id="10"/>
    </w:p>
    <w:p w14:paraId="1E212D81" w14:textId="59034EBC" w:rsidR="00F90DDC" w:rsidRPr="004B114F" w:rsidRDefault="00F90DDC" w:rsidP="004B114F">
      <w:pPr>
        <w:rPr>
          <w:rFonts w:asciiTheme="majorHAnsi" w:hAnsiTheme="majorHAnsi"/>
          <w:color w:val="000000" w:themeColor="text1"/>
          <w:sz w:val="20"/>
          <w:szCs w:val="20"/>
          <w:lang w:val="es-ES_tradnl"/>
        </w:rPr>
      </w:pPr>
    </w:p>
    <w:p w14:paraId="5B065C5E" w14:textId="09897B9A" w:rsidR="007703BC" w:rsidRPr="004B114F" w:rsidRDefault="007703BC" w:rsidP="00DE778C">
      <w:pPr>
        <w:pStyle w:val="Heading3"/>
        <w:numPr>
          <w:ilvl w:val="2"/>
          <w:numId w:val="71"/>
        </w:numPr>
        <w:ind w:left="709" w:hanging="283"/>
        <w:rPr>
          <w:rFonts w:asciiTheme="majorHAnsi" w:hAnsiTheme="majorHAnsi"/>
          <w:szCs w:val="20"/>
          <w:lang w:val="es-ES_tradnl"/>
        </w:rPr>
      </w:pPr>
      <w:bookmarkStart w:id="11" w:name="_Toc142398951"/>
      <w:r w:rsidRPr="004B114F">
        <w:rPr>
          <w:rFonts w:asciiTheme="majorHAnsi" w:hAnsiTheme="majorHAnsi"/>
          <w:szCs w:val="20"/>
          <w:lang w:val="es-ES_tradnl"/>
        </w:rPr>
        <w:t>Contexto</w:t>
      </w:r>
      <w:r w:rsidR="00B3688A" w:rsidRPr="004B114F">
        <w:rPr>
          <w:rFonts w:asciiTheme="majorHAnsi" w:hAnsiTheme="majorHAnsi"/>
          <w:szCs w:val="20"/>
          <w:lang w:val="es-ES_tradnl"/>
        </w:rPr>
        <w:t xml:space="preserve"> de situación carcelaria en Venezuela</w:t>
      </w:r>
      <w:bookmarkEnd w:id="11"/>
    </w:p>
    <w:p w14:paraId="258D725F" w14:textId="73D26EBB" w:rsidR="00B3688A" w:rsidRPr="004B114F" w:rsidRDefault="00B3688A" w:rsidP="00DE778C">
      <w:pPr>
        <w:pStyle w:val="ListParagraph"/>
        <w:rPr>
          <w:rFonts w:asciiTheme="majorHAnsi" w:hAnsiTheme="majorHAnsi"/>
          <w:color w:val="000000" w:themeColor="text1"/>
          <w:sz w:val="20"/>
          <w:szCs w:val="20"/>
          <w:lang w:val="es-ES_tradnl"/>
        </w:rPr>
      </w:pPr>
    </w:p>
    <w:p w14:paraId="69DC8B0D" w14:textId="41300852" w:rsidR="00B3688A" w:rsidRPr="004B114F" w:rsidRDefault="000957CA" w:rsidP="004B114F">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630"/>
        <w:jc w:val="both"/>
        <w:rPr>
          <w:rFonts w:asciiTheme="majorHAnsi" w:hAnsiTheme="majorHAnsi"/>
          <w:color w:val="000000" w:themeColor="text1"/>
          <w:sz w:val="20"/>
          <w:szCs w:val="20"/>
          <w:lang w:val="es-ES_tradnl"/>
        </w:rPr>
      </w:pPr>
      <w:r w:rsidRPr="004B114F">
        <w:rPr>
          <w:rFonts w:asciiTheme="majorHAnsi" w:hAnsiTheme="majorHAnsi"/>
          <w:color w:val="000000" w:themeColor="text1"/>
          <w:sz w:val="20"/>
          <w:szCs w:val="20"/>
          <w:lang w:val="es-ES_tradnl"/>
        </w:rPr>
        <w:t>La CIDH</w:t>
      </w:r>
      <w:r w:rsidR="00442667" w:rsidRPr="004B114F">
        <w:rPr>
          <w:rFonts w:asciiTheme="majorHAnsi" w:hAnsiTheme="majorHAnsi"/>
          <w:color w:val="000000" w:themeColor="text1"/>
          <w:sz w:val="20"/>
          <w:szCs w:val="20"/>
          <w:lang w:val="es-ES_tradnl"/>
        </w:rPr>
        <w:t xml:space="preserve"> </w:t>
      </w:r>
      <w:r w:rsidRPr="004B114F">
        <w:rPr>
          <w:rFonts w:asciiTheme="majorHAnsi" w:hAnsiTheme="majorHAnsi"/>
          <w:color w:val="000000" w:themeColor="text1"/>
          <w:sz w:val="20"/>
          <w:szCs w:val="20"/>
          <w:lang w:val="es-ES_tradnl"/>
        </w:rPr>
        <w:t>ha expresado de manera reiterada su preocupación ante la</w:t>
      </w:r>
      <w:r w:rsidR="003872C0" w:rsidRPr="004B114F">
        <w:rPr>
          <w:rFonts w:asciiTheme="majorHAnsi" w:hAnsiTheme="majorHAnsi"/>
          <w:color w:val="000000" w:themeColor="text1"/>
          <w:sz w:val="20"/>
          <w:szCs w:val="20"/>
          <w:lang w:val="es-ES_tradnl"/>
        </w:rPr>
        <w:t xml:space="preserve"> crítica situación que enfrentan las personas privadas de libertad en Venezuela</w:t>
      </w:r>
      <w:r w:rsidR="000D6A0F" w:rsidRPr="004B114F">
        <w:rPr>
          <w:rStyle w:val="FootnoteReference"/>
          <w:rFonts w:asciiTheme="majorHAnsi" w:hAnsiTheme="majorHAnsi"/>
          <w:color w:val="000000" w:themeColor="text1"/>
          <w:sz w:val="20"/>
          <w:szCs w:val="20"/>
          <w:lang w:val="es-ES_tradnl"/>
        </w:rPr>
        <w:footnoteReference w:id="25"/>
      </w:r>
      <w:r w:rsidR="003872C0" w:rsidRPr="004B114F">
        <w:rPr>
          <w:rFonts w:asciiTheme="majorHAnsi" w:hAnsiTheme="majorHAnsi"/>
          <w:color w:val="000000" w:themeColor="text1"/>
          <w:sz w:val="20"/>
          <w:szCs w:val="20"/>
          <w:lang w:val="es-ES_tradnl"/>
        </w:rPr>
        <w:t>,</w:t>
      </w:r>
      <w:r w:rsidR="000D6A0F" w:rsidRPr="004B114F">
        <w:rPr>
          <w:rFonts w:asciiTheme="majorHAnsi" w:hAnsiTheme="majorHAnsi"/>
          <w:color w:val="000000" w:themeColor="text1"/>
          <w:sz w:val="20"/>
          <w:szCs w:val="20"/>
          <w:lang w:val="es-ES_tradnl"/>
        </w:rPr>
        <w:t xml:space="preserve"> calificando a esta situación como una de las más </w:t>
      </w:r>
      <w:r w:rsidR="000D6A0F" w:rsidRPr="004B114F">
        <w:rPr>
          <w:rFonts w:asciiTheme="majorHAnsi" w:hAnsiTheme="majorHAnsi"/>
          <w:color w:val="000000" w:themeColor="text1"/>
          <w:sz w:val="20"/>
          <w:szCs w:val="20"/>
          <w:lang w:val="es-ES_tradnl"/>
        </w:rPr>
        <w:lastRenderedPageBreak/>
        <w:t>graves del continente</w:t>
      </w:r>
      <w:r w:rsidR="00383A4E" w:rsidRPr="004B114F">
        <w:rPr>
          <w:rStyle w:val="FootnoteReference"/>
          <w:rFonts w:asciiTheme="majorHAnsi" w:hAnsiTheme="majorHAnsi"/>
          <w:color w:val="000000" w:themeColor="text1"/>
          <w:sz w:val="20"/>
          <w:szCs w:val="20"/>
          <w:lang w:val="es-ES_tradnl"/>
        </w:rPr>
        <w:footnoteReference w:id="26"/>
      </w:r>
      <w:r w:rsidR="007E7A63" w:rsidRPr="004B114F">
        <w:rPr>
          <w:rFonts w:asciiTheme="majorHAnsi" w:hAnsiTheme="majorHAnsi"/>
          <w:color w:val="000000" w:themeColor="text1"/>
          <w:sz w:val="20"/>
          <w:szCs w:val="20"/>
          <w:lang w:val="es-ES_tradnl"/>
        </w:rPr>
        <w:t xml:space="preserve">. Según la CIDH ha podido observar a través de sus distintos mecanismos, tal situación </w:t>
      </w:r>
      <w:r w:rsidR="000D6A0F" w:rsidRPr="004B114F">
        <w:rPr>
          <w:rFonts w:asciiTheme="majorHAnsi" w:hAnsiTheme="majorHAnsi"/>
          <w:color w:val="000000" w:themeColor="text1"/>
          <w:sz w:val="20"/>
          <w:szCs w:val="20"/>
          <w:lang w:val="es-ES_tradnl"/>
        </w:rPr>
        <w:t>se caracteriza por el hacinamiento de los reclusos, el uso excesivo de la prisión preventiva, la falta de control efectivo por parte del Estado,</w:t>
      </w:r>
      <w:r w:rsidR="00FD1EF0" w:rsidRPr="004B114F">
        <w:rPr>
          <w:rFonts w:asciiTheme="majorHAnsi" w:hAnsiTheme="majorHAnsi"/>
          <w:color w:val="000000" w:themeColor="text1"/>
          <w:sz w:val="20"/>
          <w:szCs w:val="20"/>
          <w:lang w:val="es-ES_tradnl"/>
        </w:rPr>
        <w:t xml:space="preserve"> la</w:t>
      </w:r>
      <w:r w:rsidR="000D6A0F" w:rsidRPr="004B114F">
        <w:rPr>
          <w:rFonts w:asciiTheme="majorHAnsi" w:hAnsiTheme="majorHAnsi"/>
          <w:color w:val="000000" w:themeColor="text1"/>
          <w:sz w:val="20"/>
          <w:szCs w:val="20"/>
          <w:lang w:val="es-ES_tradnl"/>
        </w:rPr>
        <w:t xml:space="preserve"> existencia de violencia generalizada, entre otros</w:t>
      </w:r>
      <w:r w:rsidR="00383A4E" w:rsidRPr="004B114F">
        <w:rPr>
          <w:rStyle w:val="FootnoteReference"/>
          <w:rFonts w:asciiTheme="majorHAnsi" w:hAnsiTheme="majorHAnsi"/>
          <w:color w:val="000000" w:themeColor="text1"/>
          <w:sz w:val="20"/>
          <w:szCs w:val="20"/>
          <w:lang w:val="es-ES_tradnl"/>
        </w:rPr>
        <w:footnoteReference w:id="27"/>
      </w:r>
      <w:r w:rsidR="000D6A0F" w:rsidRPr="004B114F">
        <w:rPr>
          <w:rFonts w:asciiTheme="majorHAnsi" w:hAnsiTheme="majorHAnsi"/>
          <w:color w:val="000000" w:themeColor="text1"/>
          <w:sz w:val="20"/>
          <w:szCs w:val="20"/>
          <w:lang w:val="es-ES_tradnl"/>
        </w:rPr>
        <w:t>.</w:t>
      </w:r>
      <w:r w:rsidR="00B85F84" w:rsidRPr="004B114F">
        <w:rPr>
          <w:rFonts w:asciiTheme="majorHAnsi" w:hAnsiTheme="majorHAnsi"/>
          <w:color w:val="000000" w:themeColor="text1"/>
          <w:sz w:val="20"/>
          <w:szCs w:val="20"/>
          <w:lang w:val="es-ES_tradnl"/>
        </w:rPr>
        <w:t xml:space="preserve"> </w:t>
      </w:r>
      <w:r w:rsidR="007E7A63" w:rsidRPr="00DE778C">
        <w:rPr>
          <w:rFonts w:asciiTheme="majorHAnsi" w:hAnsiTheme="majorHAnsi"/>
          <w:color w:val="000000" w:themeColor="text1"/>
          <w:sz w:val="20"/>
          <w:szCs w:val="20"/>
          <w:lang w:val="es-ES_tradnl"/>
        </w:rPr>
        <w:t>Desde inicios de los 2000, la CIDH ha puesto especial énfasis en la necesidad de investigar los diferentes abusos contra la vida e integridad a los que se encuentran expuestas las personas privadas de libertad</w:t>
      </w:r>
      <w:r w:rsidR="007E7A63" w:rsidRPr="00DE778C">
        <w:rPr>
          <w:rStyle w:val="FootnoteReference"/>
          <w:rFonts w:asciiTheme="majorHAnsi" w:eastAsia="Calibri" w:hAnsiTheme="majorHAnsi"/>
          <w:color w:val="000000" w:themeColor="text1"/>
          <w:sz w:val="20"/>
          <w:szCs w:val="20"/>
          <w:lang w:val="es-ES_tradnl"/>
        </w:rPr>
        <w:footnoteReference w:id="28"/>
      </w:r>
      <w:r w:rsidR="007E7A63" w:rsidRPr="00DE778C">
        <w:rPr>
          <w:rFonts w:asciiTheme="majorHAnsi" w:hAnsiTheme="majorHAnsi"/>
          <w:color w:val="000000" w:themeColor="text1"/>
          <w:sz w:val="20"/>
          <w:szCs w:val="20"/>
          <w:lang w:val="es-ES_tradnl"/>
        </w:rPr>
        <w:t xml:space="preserve">. En el </w:t>
      </w:r>
      <w:r w:rsidR="007E7A63" w:rsidRPr="00DE778C">
        <w:rPr>
          <w:rFonts w:asciiTheme="majorHAnsi" w:hAnsiTheme="majorHAnsi"/>
          <w:i/>
          <w:iCs/>
          <w:color w:val="000000" w:themeColor="text1"/>
          <w:sz w:val="20"/>
          <w:szCs w:val="20"/>
          <w:lang w:val="es-419"/>
        </w:rPr>
        <w:t>Informe sobre la situación de los derechos humanos en Venezuela</w:t>
      </w:r>
      <w:r w:rsidR="007E7A63" w:rsidRPr="00DE778C">
        <w:rPr>
          <w:rFonts w:asciiTheme="majorHAnsi" w:hAnsiTheme="majorHAnsi"/>
          <w:color w:val="000000" w:themeColor="text1"/>
          <w:sz w:val="20"/>
          <w:szCs w:val="20"/>
          <w:lang w:val="es-ES_tradnl"/>
        </w:rPr>
        <w:t xml:space="preserve"> de 2003 reportó haber recibido información sobre graves violaciones de derechos humanos en las cárceles de Venezuela, que se mantenían en total impunidad</w:t>
      </w:r>
      <w:r w:rsidR="007E7A63" w:rsidRPr="00DE778C">
        <w:rPr>
          <w:rStyle w:val="FootnoteReference"/>
          <w:rFonts w:asciiTheme="majorHAnsi" w:hAnsiTheme="majorHAnsi"/>
          <w:color w:val="000000" w:themeColor="text1"/>
          <w:sz w:val="20"/>
          <w:szCs w:val="20"/>
          <w:lang w:val="es-ES_tradnl"/>
        </w:rPr>
        <w:footnoteReference w:id="29"/>
      </w:r>
      <w:r w:rsidR="007E7A63" w:rsidRPr="00DE778C">
        <w:rPr>
          <w:rFonts w:asciiTheme="majorHAnsi" w:hAnsiTheme="majorHAnsi"/>
          <w:color w:val="000000" w:themeColor="text1"/>
          <w:sz w:val="20"/>
          <w:szCs w:val="20"/>
          <w:lang w:val="es-ES_tradnl"/>
        </w:rPr>
        <w:t>. Como ejemplos de dichos sucesos, se reportó la masacre en la prisión de Sabaneta en Maracaibo, en enero de 1994, con alrededor de un centenar de muertos; así como la muerte de 25 reclusos calcinados en un pabell</w:t>
      </w:r>
      <w:r w:rsidR="007E7A63" w:rsidRPr="00DE778C">
        <w:rPr>
          <w:rFonts w:asciiTheme="majorHAnsi" w:hAnsiTheme="majorHAnsi"/>
          <w:color w:val="000000" w:themeColor="text1"/>
          <w:sz w:val="20"/>
          <w:szCs w:val="20"/>
          <w:lang w:val="es-419"/>
        </w:rPr>
        <w:t>ón del Centro de Reeducación y Trabajo Artesanal “El Paraíso”, en octubre de 1996</w:t>
      </w:r>
      <w:r w:rsidR="007E7A63" w:rsidRPr="00DE778C">
        <w:rPr>
          <w:rStyle w:val="FootnoteReference"/>
          <w:rFonts w:asciiTheme="majorHAnsi" w:hAnsiTheme="majorHAnsi"/>
          <w:color w:val="000000" w:themeColor="text1"/>
          <w:sz w:val="20"/>
          <w:szCs w:val="20"/>
          <w:lang w:val="es-ES_tradnl"/>
        </w:rPr>
        <w:footnoteReference w:id="30"/>
      </w:r>
      <w:r w:rsidR="007E7A63" w:rsidRPr="00DE778C">
        <w:rPr>
          <w:rFonts w:asciiTheme="majorHAnsi" w:hAnsiTheme="majorHAnsi"/>
          <w:color w:val="000000" w:themeColor="text1"/>
          <w:sz w:val="20"/>
          <w:szCs w:val="20"/>
          <w:lang w:val="es-419"/>
        </w:rPr>
        <w:t>. A ello se suma la muerte de 29 internos al interior del Internado Judicial “El Dorado”, en agosto de 1997</w:t>
      </w:r>
      <w:r w:rsidR="007E7A63" w:rsidRPr="00DE778C">
        <w:rPr>
          <w:rStyle w:val="FootnoteReference"/>
          <w:rFonts w:asciiTheme="majorHAnsi" w:hAnsiTheme="majorHAnsi"/>
          <w:color w:val="000000" w:themeColor="text1"/>
          <w:sz w:val="20"/>
          <w:szCs w:val="20"/>
          <w:lang w:val="es-ES_tradnl"/>
        </w:rPr>
        <w:footnoteReference w:id="31"/>
      </w:r>
      <w:r w:rsidR="007E7A63" w:rsidRPr="00DE778C">
        <w:rPr>
          <w:rFonts w:asciiTheme="majorHAnsi" w:hAnsiTheme="majorHAnsi"/>
          <w:color w:val="000000" w:themeColor="text1"/>
          <w:sz w:val="20"/>
          <w:szCs w:val="20"/>
          <w:lang w:val="es-419"/>
        </w:rPr>
        <w:t>.</w:t>
      </w:r>
      <w:r w:rsidR="00F33606" w:rsidRPr="00DE778C">
        <w:rPr>
          <w:rFonts w:asciiTheme="majorHAnsi" w:hAnsiTheme="majorHAnsi"/>
          <w:color w:val="000000" w:themeColor="text1"/>
          <w:sz w:val="20"/>
          <w:szCs w:val="20"/>
          <w:lang w:val="es-ES_tradnl"/>
        </w:rPr>
        <w:t xml:space="preserve"> </w:t>
      </w:r>
    </w:p>
    <w:p w14:paraId="76B34419" w14:textId="77777777" w:rsidR="00B370CA" w:rsidRPr="004B114F" w:rsidRDefault="00B370CA" w:rsidP="00DE778C">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630"/>
        <w:jc w:val="both"/>
        <w:rPr>
          <w:rFonts w:asciiTheme="majorHAnsi" w:hAnsiTheme="majorHAnsi"/>
          <w:color w:val="000000" w:themeColor="text1"/>
          <w:sz w:val="20"/>
          <w:szCs w:val="20"/>
          <w:lang w:val="es-ES_tradnl"/>
        </w:rPr>
      </w:pPr>
    </w:p>
    <w:p w14:paraId="7C202DA2" w14:textId="48FD6958" w:rsidR="00B3688A" w:rsidRPr="00DE778C" w:rsidRDefault="007E7A63" w:rsidP="00DE778C">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630"/>
        <w:jc w:val="both"/>
        <w:rPr>
          <w:rFonts w:asciiTheme="majorHAnsi" w:hAnsiTheme="majorHAnsi"/>
          <w:color w:val="000000" w:themeColor="text1"/>
          <w:sz w:val="20"/>
          <w:szCs w:val="20"/>
          <w:lang w:val="es-ES_tradnl"/>
        </w:rPr>
      </w:pPr>
      <w:r w:rsidRPr="00DE778C">
        <w:rPr>
          <w:rFonts w:asciiTheme="majorHAnsi" w:hAnsiTheme="majorHAnsi"/>
          <w:color w:val="7030A0"/>
          <w:sz w:val="20"/>
          <w:szCs w:val="20"/>
          <w:lang w:val="es-419"/>
        </w:rPr>
        <w:t xml:space="preserve"> </w:t>
      </w:r>
      <w:r w:rsidRPr="00DE778C">
        <w:rPr>
          <w:rFonts w:asciiTheme="majorHAnsi" w:hAnsiTheme="majorHAnsi"/>
          <w:color w:val="000000" w:themeColor="text1"/>
          <w:sz w:val="20"/>
          <w:szCs w:val="20"/>
          <w:lang w:val="es-419"/>
        </w:rPr>
        <w:t>La situación carcelaria también ha sido abordada por la Corte IDH a través de su jurisprudencia</w:t>
      </w:r>
      <w:r w:rsidRPr="00DE778C">
        <w:rPr>
          <w:rStyle w:val="FootnoteReference"/>
          <w:rFonts w:asciiTheme="majorHAnsi" w:eastAsia="Calibri" w:hAnsiTheme="majorHAnsi"/>
          <w:color w:val="000000" w:themeColor="text1"/>
          <w:sz w:val="20"/>
          <w:szCs w:val="20"/>
          <w:lang w:val="es-ES_tradnl"/>
        </w:rPr>
        <w:footnoteReference w:id="32"/>
      </w:r>
      <w:r w:rsidRPr="00DE778C">
        <w:rPr>
          <w:rFonts w:asciiTheme="majorHAnsi" w:hAnsiTheme="majorHAnsi"/>
          <w:color w:val="000000" w:themeColor="text1"/>
          <w:sz w:val="20"/>
          <w:szCs w:val="20"/>
          <w:lang w:val="es-419"/>
        </w:rPr>
        <w:t xml:space="preserve"> y por organizaciones de sociedad civil en</w:t>
      </w:r>
      <w:r w:rsidRPr="00DE778C">
        <w:rPr>
          <w:rFonts w:asciiTheme="majorHAnsi" w:hAnsiTheme="majorHAnsi"/>
          <w:color w:val="000000" w:themeColor="text1"/>
          <w:sz w:val="20"/>
          <w:szCs w:val="20"/>
          <w:lang w:val="es-ES_tradnl"/>
        </w:rPr>
        <w:t>Venezuela</w:t>
      </w:r>
      <w:r w:rsidR="00B3688A" w:rsidRPr="00DE778C">
        <w:rPr>
          <w:rStyle w:val="FootnoteReference"/>
          <w:rFonts w:asciiTheme="majorHAnsi" w:hAnsiTheme="majorHAnsi"/>
          <w:color w:val="000000" w:themeColor="text1"/>
          <w:sz w:val="20"/>
          <w:szCs w:val="20"/>
          <w:lang w:val="es-ES_tradnl"/>
        </w:rPr>
        <w:footnoteReference w:id="33"/>
      </w:r>
      <w:r w:rsidR="00B3688A" w:rsidRPr="00DE778C">
        <w:rPr>
          <w:rFonts w:asciiTheme="majorHAnsi" w:hAnsiTheme="majorHAnsi"/>
          <w:color w:val="000000" w:themeColor="text1"/>
          <w:sz w:val="20"/>
          <w:szCs w:val="20"/>
          <w:lang w:val="es-ES_tradnl"/>
        </w:rPr>
        <w:t xml:space="preserve">. </w:t>
      </w:r>
      <w:r w:rsidRPr="004B114F">
        <w:rPr>
          <w:rFonts w:asciiTheme="majorHAnsi" w:hAnsiTheme="majorHAnsi"/>
          <w:color w:val="000000" w:themeColor="text1"/>
          <w:sz w:val="20"/>
          <w:szCs w:val="20"/>
          <w:lang w:val="es-ES_tradnl"/>
        </w:rPr>
        <w:t>En ese mismo sentido, en el 2015, el Comité de Derechos Humanos mostró su preocupación por los niveles de hacinamiento y las condiciones de detención en los lugares de privación de libertad en Venezuela, así como de los episodios de violencia que ocurren en estos espacios. En ese marco, recomendó al Estado a “</w:t>
      </w:r>
      <w:r w:rsidRPr="00DE778C">
        <w:rPr>
          <w:rFonts w:asciiTheme="majorHAnsi" w:hAnsiTheme="majorHAnsi"/>
          <w:color w:val="000000" w:themeColor="text1"/>
          <w:sz w:val="20"/>
          <w:szCs w:val="20"/>
          <w:lang w:val="es-419"/>
        </w:rPr>
        <w:t>[r]edoblar sus esfuerzos para poner fin a la violencia en los centros de privación de libertad, incluyendo mediante la efectiva eliminación de la tenencia de armas, y asegurar que todos los casos de violencia sean investigados de manera pronta, exhaustiva, independiente e imparcial, y que los autores sean llevados ante la justicia y debidamente sancionados”</w:t>
      </w:r>
      <w:r w:rsidRPr="004B114F">
        <w:rPr>
          <w:rStyle w:val="FootnoteReference"/>
          <w:rFonts w:asciiTheme="majorHAnsi" w:eastAsia="Calibri" w:hAnsiTheme="majorHAnsi"/>
          <w:color w:val="000000" w:themeColor="text1"/>
          <w:sz w:val="20"/>
          <w:szCs w:val="20"/>
        </w:rPr>
        <w:footnoteReference w:id="34"/>
      </w:r>
      <w:r w:rsidRPr="00DE778C">
        <w:rPr>
          <w:rFonts w:asciiTheme="majorHAnsi" w:hAnsiTheme="majorHAnsi"/>
          <w:color w:val="000000" w:themeColor="text1"/>
          <w:sz w:val="20"/>
          <w:szCs w:val="20"/>
          <w:lang w:val="es-419"/>
        </w:rPr>
        <w:t>.</w:t>
      </w:r>
    </w:p>
    <w:p w14:paraId="4A1F27A1" w14:textId="77777777" w:rsidR="00B3688A" w:rsidRPr="004B114F" w:rsidRDefault="00B3688A" w:rsidP="00DE778C">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630"/>
        <w:jc w:val="both"/>
        <w:rPr>
          <w:rFonts w:asciiTheme="majorHAnsi" w:hAnsiTheme="majorHAnsi"/>
          <w:color w:val="000000" w:themeColor="text1"/>
          <w:sz w:val="20"/>
          <w:szCs w:val="20"/>
          <w:lang w:val="es-ES_tradnl"/>
        </w:rPr>
      </w:pPr>
    </w:p>
    <w:p w14:paraId="3F854102" w14:textId="2BB8158D" w:rsidR="000957CA" w:rsidRPr="004B114F" w:rsidRDefault="007E7A63" w:rsidP="004B114F">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630"/>
        <w:jc w:val="both"/>
        <w:rPr>
          <w:rFonts w:asciiTheme="majorHAnsi" w:hAnsiTheme="majorHAnsi"/>
          <w:color w:val="000000" w:themeColor="text1"/>
          <w:sz w:val="20"/>
          <w:szCs w:val="20"/>
          <w:lang w:val="es-ES_tradnl"/>
        </w:rPr>
      </w:pPr>
      <w:r w:rsidRPr="004B114F">
        <w:rPr>
          <w:rFonts w:asciiTheme="majorHAnsi" w:hAnsiTheme="majorHAnsi"/>
          <w:color w:val="000000" w:themeColor="text1"/>
          <w:sz w:val="20"/>
          <w:szCs w:val="20"/>
          <w:lang w:val="es-ES_tradnl"/>
        </w:rPr>
        <w:t>En cuanto a las mujeres privadas de libertad en Venezuela</w:t>
      </w:r>
      <w:r w:rsidR="00F33606" w:rsidRPr="004B114F">
        <w:rPr>
          <w:rFonts w:asciiTheme="majorHAnsi" w:hAnsiTheme="majorHAnsi"/>
          <w:color w:val="000000" w:themeColor="text1"/>
          <w:sz w:val="20"/>
          <w:szCs w:val="20"/>
          <w:lang w:val="es-ES_tradnl"/>
        </w:rPr>
        <w:t xml:space="preserve">, en el 2016, la Comisión destacó que las mujeres privadas de libertad </w:t>
      </w:r>
      <w:r w:rsidR="008E3D0D" w:rsidRPr="004B114F">
        <w:rPr>
          <w:rFonts w:asciiTheme="majorHAnsi" w:hAnsiTheme="majorHAnsi"/>
          <w:color w:val="000000" w:themeColor="text1"/>
          <w:sz w:val="20"/>
          <w:szCs w:val="20"/>
          <w:lang w:val="es-ES_tradnl"/>
        </w:rPr>
        <w:t xml:space="preserve">en Venezuela </w:t>
      </w:r>
      <w:r w:rsidR="00F33606" w:rsidRPr="004B114F">
        <w:rPr>
          <w:rFonts w:asciiTheme="majorHAnsi" w:hAnsiTheme="majorHAnsi"/>
          <w:color w:val="000000" w:themeColor="text1"/>
          <w:sz w:val="20"/>
          <w:szCs w:val="20"/>
          <w:lang w:val="es-ES_tradnl"/>
        </w:rPr>
        <w:t>se encontraban en una situación particular de riesgo pues el Estado no cuenta con políticas penitenciarias que incorporen un enfoque de género</w:t>
      </w:r>
      <w:r w:rsidR="00F33606" w:rsidRPr="004B114F">
        <w:rPr>
          <w:rStyle w:val="FootnoteReference"/>
          <w:rFonts w:asciiTheme="majorHAnsi" w:hAnsiTheme="majorHAnsi"/>
          <w:color w:val="000000" w:themeColor="text1"/>
          <w:sz w:val="20"/>
          <w:szCs w:val="20"/>
          <w:lang w:val="es-ES_tradnl"/>
        </w:rPr>
        <w:footnoteReference w:id="35"/>
      </w:r>
      <w:r w:rsidR="00F33606" w:rsidRPr="004B114F">
        <w:rPr>
          <w:rFonts w:asciiTheme="majorHAnsi" w:hAnsiTheme="majorHAnsi"/>
          <w:color w:val="000000" w:themeColor="text1"/>
          <w:sz w:val="20"/>
          <w:szCs w:val="20"/>
          <w:lang w:val="es-ES_tradnl"/>
        </w:rPr>
        <w:t>.</w:t>
      </w:r>
      <w:r w:rsidR="001474E1" w:rsidRPr="004B114F">
        <w:rPr>
          <w:rFonts w:asciiTheme="majorHAnsi" w:hAnsiTheme="majorHAnsi"/>
          <w:color w:val="000000" w:themeColor="text1"/>
          <w:sz w:val="20"/>
          <w:szCs w:val="20"/>
          <w:lang w:val="es-ES_tradnl"/>
        </w:rPr>
        <w:t xml:space="preserve"> Si bien los hechos del presente caso son anteriores a las constataciones realizadas por la CIDH</w:t>
      </w:r>
      <w:r w:rsidR="00CB6BF5" w:rsidRPr="004B114F">
        <w:rPr>
          <w:rFonts w:asciiTheme="majorHAnsi" w:hAnsiTheme="majorHAnsi"/>
          <w:color w:val="000000" w:themeColor="text1"/>
          <w:sz w:val="20"/>
          <w:szCs w:val="20"/>
          <w:lang w:val="es-ES_tradnl"/>
        </w:rPr>
        <w:t xml:space="preserve"> en los informes citados</w:t>
      </w:r>
      <w:r w:rsidR="001474E1" w:rsidRPr="004B114F">
        <w:rPr>
          <w:rFonts w:asciiTheme="majorHAnsi" w:hAnsiTheme="majorHAnsi"/>
          <w:color w:val="000000" w:themeColor="text1"/>
          <w:sz w:val="20"/>
          <w:szCs w:val="20"/>
          <w:lang w:val="es-ES_tradnl"/>
        </w:rPr>
        <w:t>, la identificación de coincidencias entre los alegatos de la parte peticionaria y los hallazgos de la Comisión permiten contextualizar la petición materia de análisis.</w:t>
      </w:r>
    </w:p>
    <w:p w14:paraId="761BBCAB" w14:textId="77777777" w:rsidR="000957CA" w:rsidRPr="004B114F" w:rsidRDefault="000957CA" w:rsidP="004B114F">
      <w:pPr>
        <w:pStyle w:val="ListParagraph"/>
        <w:rPr>
          <w:rFonts w:asciiTheme="majorHAnsi" w:hAnsiTheme="majorHAnsi"/>
          <w:color w:val="000000" w:themeColor="text1"/>
          <w:sz w:val="20"/>
          <w:szCs w:val="20"/>
          <w:lang w:val="es-ES_tradnl"/>
        </w:rPr>
      </w:pPr>
    </w:p>
    <w:p w14:paraId="656A3305" w14:textId="3CF32FC6" w:rsidR="00E96514" w:rsidRPr="004B114F" w:rsidRDefault="00E96514" w:rsidP="00DE778C">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630"/>
        <w:jc w:val="both"/>
        <w:rPr>
          <w:rFonts w:asciiTheme="majorHAnsi" w:hAnsiTheme="majorHAnsi"/>
          <w:sz w:val="20"/>
          <w:szCs w:val="20"/>
          <w:lang w:val="es-ES_tradnl"/>
        </w:rPr>
      </w:pPr>
      <w:r w:rsidRPr="004B114F">
        <w:rPr>
          <w:rFonts w:asciiTheme="majorHAnsi" w:hAnsiTheme="majorHAnsi"/>
          <w:sz w:val="20"/>
          <w:szCs w:val="20"/>
          <w:lang w:val="es-ES_tradnl"/>
        </w:rPr>
        <w:t xml:space="preserve">La CIDH también ha expresado de forma reiterada su preocupación respecto del uso de comisarías como centros de detención permanente, </w:t>
      </w:r>
      <w:r w:rsidRPr="00DE778C">
        <w:rPr>
          <w:rFonts w:asciiTheme="majorHAnsi" w:hAnsiTheme="majorHAnsi"/>
          <w:color w:val="000000" w:themeColor="text1"/>
          <w:sz w:val="20"/>
          <w:szCs w:val="20"/>
          <w:lang w:val="es-ES_tradnl"/>
        </w:rPr>
        <w:t>pese</w:t>
      </w:r>
      <w:r w:rsidRPr="004B114F">
        <w:rPr>
          <w:rFonts w:asciiTheme="majorHAnsi" w:hAnsiTheme="majorHAnsi"/>
          <w:sz w:val="20"/>
          <w:szCs w:val="20"/>
          <w:lang w:val="es-ES_tradnl"/>
        </w:rPr>
        <w:t xml:space="preserve"> a que estos son concebidos específicamente para </w:t>
      </w:r>
      <w:r w:rsidRPr="004B114F">
        <w:rPr>
          <w:rFonts w:asciiTheme="majorHAnsi" w:hAnsiTheme="majorHAnsi"/>
          <w:sz w:val="20"/>
          <w:szCs w:val="20"/>
          <w:lang w:val="es-ES_tradnl"/>
        </w:rPr>
        <w:lastRenderedPageBreak/>
        <w:t>detenciones de naturaleza transitoria, agregando que aquellos se han caracterizado por su situación de hacinamiento y por no ofrecer la infraestructura adecuada ni los servicios básicos que permitan garantizar a los reclusos condiciones dignas de detención</w:t>
      </w:r>
      <w:r w:rsidRPr="004B114F">
        <w:rPr>
          <w:rStyle w:val="FootnoteReference"/>
          <w:rFonts w:asciiTheme="majorHAnsi" w:hAnsiTheme="majorHAnsi"/>
          <w:sz w:val="20"/>
          <w:szCs w:val="20"/>
          <w:lang w:val="es-ES_tradnl"/>
        </w:rPr>
        <w:footnoteReference w:id="36"/>
      </w:r>
      <w:r w:rsidRPr="004B114F">
        <w:rPr>
          <w:rFonts w:asciiTheme="majorHAnsi" w:hAnsiTheme="majorHAnsi"/>
          <w:sz w:val="20"/>
          <w:szCs w:val="20"/>
          <w:lang w:val="es-ES_tradnl"/>
        </w:rPr>
        <w:t>.</w:t>
      </w:r>
    </w:p>
    <w:p w14:paraId="1D3D16F3" w14:textId="2FE1014D" w:rsidR="00B370CA" w:rsidRPr="004B114F" w:rsidRDefault="00B370CA" w:rsidP="004B114F">
      <w:pPr>
        <w:rPr>
          <w:rFonts w:asciiTheme="majorHAnsi" w:eastAsia="Cambria" w:hAnsiTheme="majorHAnsi" w:cs="Cambria"/>
          <w:color w:val="000000" w:themeColor="text1"/>
          <w:sz w:val="20"/>
          <w:szCs w:val="20"/>
          <w:u w:color="000000"/>
          <w:lang w:val="es-ES_tradnl" w:eastAsia="es-ES"/>
        </w:rPr>
      </w:pPr>
    </w:p>
    <w:p w14:paraId="5750980C" w14:textId="3CBEA91B" w:rsidR="007703BC" w:rsidRPr="004B114F" w:rsidRDefault="006525CC" w:rsidP="00DE778C">
      <w:pPr>
        <w:pStyle w:val="Heading3"/>
        <w:numPr>
          <w:ilvl w:val="2"/>
          <w:numId w:val="71"/>
        </w:numPr>
        <w:ind w:left="709" w:hanging="283"/>
        <w:rPr>
          <w:rFonts w:asciiTheme="majorHAnsi" w:hAnsiTheme="majorHAnsi"/>
          <w:color w:val="000000" w:themeColor="text1"/>
          <w:szCs w:val="20"/>
          <w:lang w:val="es-ES_tradnl"/>
        </w:rPr>
      </w:pPr>
      <w:bookmarkStart w:id="12" w:name="_Condiciones_carcelarias_y"/>
      <w:bookmarkStart w:id="13" w:name="_Toc142398952"/>
      <w:bookmarkEnd w:id="12"/>
      <w:r w:rsidRPr="004B114F">
        <w:rPr>
          <w:rFonts w:asciiTheme="majorHAnsi" w:hAnsiTheme="majorHAnsi"/>
          <w:szCs w:val="20"/>
          <w:lang w:val="es-ES_tradnl"/>
        </w:rPr>
        <w:t xml:space="preserve">Condiciones carcelarias y violación sexual </w:t>
      </w:r>
      <w:r w:rsidRPr="004B114F">
        <w:rPr>
          <w:rFonts w:asciiTheme="majorHAnsi" w:hAnsiTheme="majorHAnsi"/>
          <w:color w:val="000000" w:themeColor="text1"/>
          <w:szCs w:val="20"/>
          <w:lang w:val="es-ES_tradnl"/>
        </w:rPr>
        <w:t>en el Internado Anzoátegui</w:t>
      </w:r>
      <w:bookmarkEnd w:id="13"/>
    </w:p>
    <w:p w14:paraId="12F152E3" w14:textId="77777777" w:rsidR="00B370CA" w:rsidRPr="004B114F" w:rsidRDefault="00B370CA" w:rsidP="004B114F">
      <w:pPr>
        <w:pStyle w:val="ListParagraph"/>
        <w:rPr>
          <w:rFonts w:asciiTheme="majorHAnsi" w:hAnsiTheme="majorHAnsi"/>
          <w:color w:val="000000" w:themeColor="text1"/>
          <w:sz w:val="20"/>
          <w:szCs w:val="20"/>
          <w:lang w:val="es-ES_tradnl"/>
        </w:rPr>
      </w:pPr>
    </w:p>
    <w:p w14:paraId="5593D587" w14:textId="1F46033D" w:rsidR="00B3688A" w:rsidRPr="004B114F" w:rsidRDefault="00170FA4" w:rsidP="004B114F">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630"/>
        <w:jc w:val="both"/>
        <w:rPr>
          <w:rFonts w:asciiTheme="majorHAnsi" w:hAnsiTheme="majorHAnsi"/>
          <w:color w:val="000000" w:themeColor="text1"/>
          <w:sz w:val="20"/>
          <w:szCs w:val="20"/>
          <w:lang w:val="es-ES_tradnl"/>
        </w:rPr>
      </w:pPr>
      <w:r w:rsidRPr="004B114F">
        <w:rPr>
          <w:rFonts w:asciiTheme="majorHAnsi" w:hAnsiTheme="majorHAnsi"/>
          <w:sz w:val="20"/>
          <w:szCs w:val="20"/>
          <w:lang w:val="es-ES_tradnl"/>
        </w:rPr>
        <w:t>De</w:t>
      </w:r>
      <w:r w:rsidRPr="004B114F">
        <w:rPr>
          <w:rFonts w:asciiTheme="majorHAnsi" w:hAnsiTheme="majorHAnsi"/>
          <w:color w:val="000000" w:themeColor="text1"/>
          <w:sz w:val="20"/>
          <w:szCs w:val="20"/>
          <w:lang w:val="es-ES_tradnl"/>
        </w:rPr>
        <w:t xml:space="preserve"> acuerdo con</w:t>
      </w:r>
      <w:r w:rsidR="00B3688A" w:rsidRPr="004B114F">
        <w:rPr>
          <w:rFonts w:asciiTheme="majorHAnsi" w:hAnsiTheme="majorHAnsi"/>
          <w:color w:val="000000" w:themeColor="text1"/>
          <w:sz w:val="20"/>
          <w:szCs w:val="20"/>
          <w:lang w:val="es-ES_tradnl"/>
        </w:rPr>
        <w:t xml:space="preserve"> lo informado por la peticionaria </w:t>
      </w:r>
      <w:r w:rsidR="007E381B" w:rsidRPr="004B114F">
        <w:rPr>
          <w:rFonts w:asciiTheme="majorHAnsi" w:hAnsiTheme="majorHAnsi"/>
          <w:color w:val="000000" w:themeColor="text1"/>
          <w:sz w:val="20"/>
          <w:szCs w:val="20"/>
          <w:lang w:val="es-ES_tradnl"/>
        </w:rPr>
        <w:t>y no controvertido</w:t>
      </w:r>
      <w:r w:rsidR="00B3688A" w:rsidRPr="004B114F">
        <w:rPr>
          <w:rFonts w:asciiTheme="majorHAnsi" w:hAnsiTheme="majorHAnsi"/>
          <w:color w:val="000000" w:themeColor="text1"/>
          <w:sz w:val="20"/>
          <w:szCs w:val="20"/>
          <w:lang w:val="es-ES_tradnl"/>
        </w:rPr>
        <w:t xml:space="preserve"> por el Estado, el Internado Anzoátegui presentaba condiciones de hacinamiento e infraestructuras deficientes; ausencia de servicios esenciales de salud, alimentación, agua y recreación; así como la no separación efectiva de las personas internadas </w:t>
      </w:r>
      <w:r w:rsidR="00EB7A42">
        <w:rPr>
          <w:rFonts w:asciiTheme="majorHAnsi" w:hAnsiTheme="majorHAnsi"/>
          <w:color w:val="000000" w:themeColor="text1"/>
          <w:sz w:val="20"/>
          <w:szCs w:val="20"/>
          <w:lang w:val="es-ES_tradnl"/>
        </w:rPr>
        <w:t>con</w:t>
      </w:r>
      <w:r w:rsidR="00B3688A" w:rsidRPr="004B114F">
        <w:rPr>
          <w:rFonts w:asciiTheme="majorHAnsi" w:hAnsiTheme="majorHAnsi"/>
          <w:color w:val="000000" w:themeColor="text1"/>
          <w:sz w:val="20"/>
          <w:szCs w:val="20"/>
          <w:lang w:val="es-ES_tradnl"/>
        </w:rPr>
        <w:t xml:space="preserve"> base </w:t>
      </w:r>
      <w:r w:rsidR="00EB7A42">
        <w:rPr>
          <w:rFonts w:asciiTheme="majorHAnsi" w:hAnsiTheme="majorHAnsi"/>
          <w:color w:val="000000" w:themeColor="text1"/>
          <w:sz w:val="20"/>
          <w:szCs w:val="20"/>
          <w:lang w:val="es-ES_tradnl"/>
        </w:rPr>
        <w:t>en</w:t>
      </w:r>
      <w:r w:rsidR="00B3688A" w:rsidRPr="004B114F">
        <w:rPr>
          <w:rFonts w:asciiTheme="majorHAnsi" w:hAnsiTheme="majorHAnsi"/>
          <w:color w:val="000000" w:themeColor="text1"/>
          <w:sz w:val="20"/>
          <w:szCs w:val="20"/>
          <w:lang w:val="es-ES_tradnl"/>
        </w:rPr>
        <w:t xml:space="preserve"> su sexo y/o género</w:t>
      </w:r>
      <w:r w:rsidR="00B3688A" w:rsidRPr="004B114F">
        <w:rPr>
          <w:rStyle w:val="FootnoteReference"/>
          <w:rFonts w:asciiTheme="majorHAnsi" w:hAnsiTheme="majorHAnsi"/>
          <w:color w:val="000000" w:themeColor="text1"/>
          <w:sz w:val="20"/>
          <w:szCs w:val="20"/>
          <w:lang w:val="es-ES_tradnl"/>
        </w:rPr>
        <w:footnoteReference w:id="37"/>
      </w:r>
      <w:r w:rsidR="00B3688A" w:rsidRPr="004B114F">
        <w:rPr>
          <w:rFonts w:asciiTheme="majorHAnsi" w:hAnsiTheme="majorHAnsi"/>
          <w:color w:val="000000" w:themeColor="text1"/>
          <w:sz w:val="20"/>
          <w:szCs w:val="20"/>
          <w:lang w:val="es-ES_tradnl"/>
        </w:rPr>
        <w:t>, pues los reclusos varones podían transitar libremente por el anexo femenino del penal</w:t>
      </w:r>
      <w:r w:rsidR="00B3688A" w:rsidRPr="004B114F">
        <w:rPr>
          <w:rStyle w:val="FootnoteReference"/>
          <w:rFonts w:asciiTheme="majorHAnsi" w:hAnsiTheme="majorHAnsi"/>
          <w:color w:val="000000" w:themeColor="text1"/>
          <w:sz w:val="20"/>
          <w:szCs w:val="20"/>
          <w:lang w:val="es-ES_tradnl"/>
        </w:rPr>
        <w:footnoteReference w:id="38"/>
      </w:r>
      <w:r w:rsidR="00B3688A" w:rsidRPr="004B114F">
        <w:rPr>
          <w:rFonts w:asciiTheme="majorHAnsi" w:hAnsiTheme="majorHAnsi"/>
          <w:color w:val="000000" w:themeColor="text1"/>
          <w:sz w:val="20"/>
          <w:szCs w:val="20"/>
          <w:lang w:val="es-ES_tradnl"/>
        </w:rPr>
        <w:t>. Además, las autoridades penitenciarias habían perdido el control del penal y diferentes manifestaciones de violencia eran constantes en sus instalaciones</w:t>
      </w:r>
      <w:r w:rsidR="00B3688A" w:rsidRPr="004B114F">
        <w:rPr>
          <w:rStyle w:val="FootnoteReference"/>
          <w:rFonts w:asciiTheme="majorHAnsi" w:hAnsiTheme="majorHAnsi"/>
          <w:color w:val="000000" w:themeColor="text1"/>
          <w:sz w:val="20"/>
          <w:szCs w:val="20"/>
          <w:lang w:val="es-ES_tradnl"/>
        </w:rPr>
        <w:footnoteReference w:id="39"/>
      </w:r>
      <w:r w:rsidR="00B3688A" w:rsidRPr="004B114F">
        <w:rPr>
          <w:rFonts w:asciiTheme="majorHAnsi" w:hAnsiTheme="majorHAnsi"/>
          <w:color w:val="000000" w:themeColor="text1"/>
          <w:sz w:val="20"/>
          <w:szCs w:val="20"/>
          <w:lang w:val="es-ES_tradnl"/>
        </w:rPr>
        <w:t xml:space="preserve">. </w:t>
      </w:r>
    </w:p>
    <w:p w14:paraId="56FE5DEC" w14:textId="77777777" w:rsidR="00C404DD" w:rsidRPr="004B114F" w:rsidRDefault="00C404DD" w:rsidP="004B114F">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630"/>
        <w:jc w:val="both"/>
        <w:rPr>
          <w:rFonts w:asciiTheme="majorHAnsi" w:hAnsiTheme="majorHAnsi"/>
          <w:color w:val="000000" w:themeColor="text1"/>
          <w:sz w:val="20"/>
          <w:szCs w:val="20"/>
          <w:lang w:val="es-ES_tradnl"/>
        </w:rPr>
      </w:pPr>
    </w:p>
    <w:p w14:paraId="1EDD7232" w14:textId="7AB676E4" w:rsidR="00B3688A" w:rsidRPr="004B114F" w:rsidRDefault="007E381B" w:rsidP="004B114F">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630"/>
        <w:jc w:val="both"/>
        <w:rPr>
          <w:rFonts w:asciiTheme="majorHAnsi" w:hAnsiTheme="majorHAnsi"/>
          <w:color w:val="000000" w:themeColor="text1"/>
          <w:sz w:val="20"/>
          <w:szCs w:val="20"/>
          <w:lang w:val="es-ES_tradnl"/>
        </w:rPr>
      </w:pPr>
      <w:r w:rsidRPr="00DE778C">
        <w:rPr>
          <w:rFonts w:asciiTheme="majorHAnsi" w:hAnsiTheme="majorHAnsi"/>
          <w:color w:val="000000" w:themeColor="text1"/>
          <w:sz w:val="20"/>
          <w:szCs w:val="20"/>
          <w:lang w:val="es-ES_tradnl"/>
        </w:rPr>
        <w:t xml:space="preserve">Distintos pronunciamientos de agentes estatales presentados al proceso ante la CIDH dan cuenta de las </w:t>
      </w:r>
      <w:r w:rsidRPr="004B114F">
        <w:rPr>
          <w:rFonts w:asciiTheme="majorHAnsi" w:hAnsiTheme="majorHAnsi"/>
          <w:color w:val="000000" w:themeColor="text1"/>
          <w:sz w:val="20"/>
          <w:szCs w:val="20"/>
          <w:lang w:val="es-ES_tradnl"/>
        </w:rPr>
        <w:t>condiciones</w:t>
      </w:r>
      <w:r w:rsidRPr="00DE778C">
        <w:rPr>
          <w:rFonts w:asciiTheme="majorHAnsi" w:hAnsiTheme="majorHAnsi"/>
          <w:color w:val="000000" w:themeColor="text1"/>
          <w:sz w:val="20"/>
          <w:szCs w:val="20"/>
          <w:lang w:val="es-ES_tradnl"/>
        </w:rPr>
        <w:t xml:space="preserve"> </w:t>
      </w:r>
      <w:r w:rsidRPr="00DE778C">
        <w:rPr>
          <w:rFonts w:asciiTheme="majorHAnsi" w:hAnsiTheme="majorHAnsi"/>
          <w:sz w:val="20"/>
          <w:szCs w:val="20"/>
          <w:lang w:val="es-ES_tradnl"/>
        </w:rPr>
        <w:t>carcelarias</w:t>
      </w:r>
      <w:r w:rsidRPr="00DE778C">
        <w:rPr>
          <w:rFonts w:asciiTheme="majorHAnsi" w:hAnsiTheme="majorHAnsi"/>
          <w:color w:val="000000" w:themeColor="text1"/>
          <w:sz w:val="20"/>
          <w:szCs w:val="20"/>
          <w:lang w:val="es-ES_tradnl"/>
        </w:rPr>
        <w:t xml:space="preserve"> en el Internado Anzoátegui. En particular, </w:t>
      </w:r>
      <w:r w:rsidRPr="004B114F">
        <w:rPr>
          <w:rFonts w:asciiTheme="majorHAnsi" w:hAnsiTheme="majorHAnsi"/>
          <w:color w:val="000000" w:themeColor="text1"/>
          <w:sz w:val="20"/>
          <w:szCs w:val="20"/>
          <w:lang w:val="es-ES_tradnl"/>
        </w:rPr>
        <w:t xml:space="preserve">el director nacional de custodia del Ministerio del Interior y Justicia, coronel Juan José Gómez Angulo, declaró a la prensa que “las cosas en ese recinto </w:t>
      </w:r>
      <w:r w:rsidRPr="004B114F">
        <w:rPr>
          <w:rFonts w:asciiTheme="majorHAnsi" w:hAnsiTheme="majorHAnsi"/>
          <w:sz w:val="20"/>
          <w:szCs w:val="20"/>
          <w:lang w:val="es-ES_tradnl"/>
        </w:rPr>
        <w:t>carcelario</w:t>
      </w:r>
      <w:r w:rsidRPr="004B114F">
        <w:rPr>
          <w:rFonts w:asciiTheme="majorHAnsi" w:hAnsiTheme="majorHAnsi"/>
          <w:color w:val="000000" w:themeColor="text1"/>
          <w:sz w:val="20"/>
          <w:szCs w:val="20"/>
          <w:lang w:val="es-ES_tradnl"/>
        </w:rPr>
        <w:t xml:space="preserve"> marchan mal, la infraestructura está deteriorada, hay insalubridad, promiscuidad, pérdida del régimen interno, entre otras irregularidades”</w:t>
      </w:r>
      <w:r w:rsidRPr="004B114F">
        <w:rPr>
          <w:rStyle w:val="FootnoteReference"/>
          <w:rFonts w:asciiTheme="majorHAnsi" w:hAnsiTheme="majorHAnsi"/>
          <w:color w:val="000000" w:themeColor="text1"/>
          <w:sz w:val="20"/>
          <w:szCs w:val="20"/>
          <w:lang w:val="es-ES_tradnl"/>
        </w:rPr>
        <w:footnoteReference w:id="40"/>
      </w:r>
      <w:r w:rsidRPr="004B114F">
        <w:rPr>
          <w:rFonts w:asciiTheme="majorHAnsi" w:hAnsiTheme="majorHAnsi"/>
          <w:color w:val="000000" w:themeColor="text1"/>
          <w:sz w:val="20"/>
          <w:szCs w:val="20"/>
          <w:lang w:val="es-ES_tradnl"/>
        </w:rPr>
        <w:t xml:space="preserve">. Igualmente, </w:t>
      </w:r>
      <w:r w:rsidRPr="00DE778C">
        <w:rPr>
          <w:rFonts w:asciiTheme="majorHAnsi" w:hAnsiTheme="majorHAnsi"/>
          <w:color w:val="000000" w:themeColor="text1"/>
          <w:sz w:val="20"/>
          <w:szCs w:val="20"/>
          <w:lang w:val="es-ES_tradnl"/>
        </w:rPr>
        <w:t xml:space="preserve">consta la </w:t>
      </w:r>
      <w:r w:rsidRPr="00DE778C">
        <w:rPr>
          <w:rFonts w:asciiTheme="majorHAnsi" w:hAnsiTheme="majorHAnsi"/>
          <w:sz w:val="20"/>
          <w:szCs w:val="20"/>
          <w:lang w:val="es-ES_tradnl"/>
        </w:rPr>
        <w:t xml:space="preserve">ponencia del Fiscal Ricardo Maita, dirigido a la Corte de Apelaciones del Circuito Penal de la Circunscripción Judicial de Anzoátegui de fecha 2 de octubre de 2002, según la cual </w:t>
      </w:r>
      <w:r w:rsidRPr="00DE778C">
        <w:rPr>
          <w:rFonts w:asciiTheme="majorHAnsi" w:hAnsiTheme="majorHAnsi"/>
          <w:color w:val="000000" w:themeColor="text1"/>
          <w:sz w:val="20"/>
          <w:szCs w:val="20"/>
          <w:lang w:val="es-ES_tradnl"/>
        </w:rPr>
        <w:t>no había separación entre personas procesadas y condenadas</w:t>
      </w:r>
      <w:r w:rsidRPr="00DE778C">
        <w:rPr>
          <w:rStyle w:val="FootnoteReference"/>
          <w:rFonts w:asciiTheme="majorHAnsi" w:hAnsiTheme="majorHAnsi"/>
          <w:color w:val="000000" w:themeColor="text1"/>
          <w:sz w:val="20"/>
          <w:szCs w:val="20"/>
          <w:lang w:val="es-ES_tradnl"/>
        </w:rPr>
        <w:footnoteReference w:id="41"/>
      </w:r>
      <w:r w:rsidRPr="00DE778C">
        <w:rPr>
          <w:rFonts w:asciiTheme="majorHAnsi" w:hAnsiTheme="majorHAnsi"/>
          <w:color w:val="000000" w:themeColor="text1"/>
          <w:sz w:val="20"/>
          <w:szCs w:val="20"/>
          <w:lang w:val="es-ES_tradnl"/>
        </w:rPr>
        <w:t>.</w:t>
      </w:r>
      <w:r w:rsidRPr="004B114F">
        <w:rPr>
          <w:rFonts w:asciiTheme="majorHAnsi" w:hAnsiTheme="majorHAnsi"/>
          <w:color w:val="000000" w:themeColor="text1"/>
          <w:sz w:val="20"/>
          <w:szCs w:val="20"/>
          <w:lang w:val="es-ES_tradnl"/>
        </w:rPr>
        <w:t xml:space="preserve"> En similar sentido</w:t>
      </w:r>
      <w:r w:rsidR="00B3688A" w:rsidRPr="004B114F">
        <w:rPr>
          <w:rFonts w:asciiTheme="majorHAnsi" w:hAnsiTheme="majorHAnsi"/>
          <w:color w:val="000000" w:themeColor="text1"/>
          <w:sz w:val="20"/>
          <w:szCs w:val="20"/>
          <w:lang w:val="es-ES_tradnl"/>
        </w:rPr>
        <w:t xml:space="preserve">, la Corte de Apelaciones en su decisión del 7 de octubre de 2002 – a la cual se </w:t>
      </w:r>
      <w:r w:rsidR="00B370CA" w:rsidRPr="004B114F">
        <w:rPr>
          <w:rFonts w:asciiTheme="majorHAnsi" w:hAnsiTheme="majorHAnsi"/>
          <w:color w:val="000000" w:themeColor="text1"/>
          <w:sz w:val="20"/>
          <w:szCs w:val="20"/>
          <w:lang w:val="es-ES_tradnl"/>
        </w:rPr>
        <w:t xml:space="preserve">refiere </w:t>
      </w:r>
      <w:r w:rsidR="00B3688A" w:rsidRPr="004B114F">
        <w:rPr>
          <w:rFonts w:asciiTheme="majorHAnsi" w:hAnsiTheme="majorHAnsi"/>
          <w:color w:val="000000" w:themeColor="text1"/>
          <w:sz w:val="20"/>
          <w:szCs w:val="20"/>
          <w:lang w:val="es-ES_tradnl"/>
        </w:rPr>
        <w:t xml:space="preserve">la CIDH en </w:t>
      </w:r>
      <w:r w:rsidR="00B370CA" w:rsidRPr="004B114F">
        <w:rPr>
          <w:rFonts w:asciiTheme="majorHAnsi" w:hAnsiTheme="majorHAnsi"/>
          <w:color w:val="000000" w:themeColor="text1"/>
          <w:sz w:val="20"/>
          <w:szCs w:val="20"/>
          <w:lang w:val="es-ES_tradnl"/>
        </w:rPr>
        <w:t xml:space="preserve">la </w:t>
      </w:r>
      <w:hyperlink w:anchor="_Proceso_de_amparo" w:history="1">
        <w:r w:rsidR="00B370CA" w:rsidRPr="004B114F">
          <w:rPr>
            <w:rStyle w:val="Hyperlink"/>
            <w:rFonts w:asciiTheme="majorHAnsi" w:hAnsiTheme="majorHAnsi"/>
            <w:sz w:val="20"/>
            <w:szCs w:val="20"/>
            <w:lang w:val="es-ES_tradnl"/>
          </w:rPr>
          <w:t>sección III.C.2</w:t>
        </w:r>
      </w:hyperlink>
      <w:r w:rsidR="00B3688A" w:rsidRPr="004B114F">
        <w:rPr>
          <w:rFonts w:asciiTheme="majorHAnsi" w:hAnsiTheme="majorHAnsi"/>
          <w:color w:val="000000" w:themeColor="text1"/>
          <w:sz w:val="20"/>
          <w:szCs w:val="20"/>
          <w:lang w:val="es-ES_tradnl"/>
        </w:rPr>
        <w:t xml:space="preserve"> – reconoció la existencia de condiciones carcelarias </w:t>
      </w:r>
      <w:r w:rsidRPr="004B114F">
        <w:rPr>
          <w:rFonts w:asciiTheme="majorHAnsi" w:hAnsiTheme="majorHAnsi"/>
          <w:color w:val="000000" w:themeColor="text1"/>
          <w:sz w:val="20"/>
          <w:szCs w:val="20"/>
          <w:lang w:val="es-ES_tradnl"/>
        </w:rPr>
        <w:t>inadecuadas</w:t>
      </w:r>
      <w:r w:rsidR="00B3688A" w:rsidRPr="004B114F">
        <w:rPr>
          <w:rFonts w:asciiTheme="majorHAnsi" w:hAnsiTheme="majorHAnsi"/>
          <w:color w:val="000000" w:themeColor="text1"/>
          <w:sz w:val="20"/>
          <w:szCs w:val="20"/>
          <w:lang w:val="es-ES_tradnl"/>
        </w:rPr>
        <w:t xml:space="preserve"> en los siguientes términos:</w:t>
      </w:r>
    </w:p>
    <w:p w14:paraId="3072B844" w14:textId="77777777" w:rsidR="00B3688A" w:rsidRPr="004B114F" w:rsidRDefault="00B3688A" w:rsidP="004B114F">
      <w:pPr>
        <w:pStyle w:val="ListParagraph"/>
        <w:rPr>
          <w:rFonts w:asciiTheme="majorHAnsi" w:hAnsiTheme="majorHAnsi"/>
          <w:color w:val="000000" w:themeColor="text1"/>
          <w:sz w:val="20"/>
          <w:szCs w:val="20"/>
          <w:lang w:val="es-ES_tradnl"/>
        </w:rPr>
      </w:pPr>
    </w:p>
    <w:p w14:paraId="360E1343" w14:textId="6C61EB83" w:rsidR="00B3688A" w:rsidRPr="004B114F" w:rsidRDefault="00B3688A" w:rsidP="004B114F">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8931"/>
        </w:tabs>
        <w:ind w:left="630" w:right="429"/>
        <w:jc w:val="both"/>
        <w:rPr>
          <w:rFonts w:asciiTheme="majorHAnsi" w:hAnsiTheme="majorHAnsi"/>
          <w:color w:val="000000" w:themeColor="text1"/>
          <w:sz w:val="18"/>
          <w:szCs w:val="18"/>
          <w:lang w:val="es-ES_tradnl"/>
        </w:rPr>
      </w:pPr>
      <w:r w:rsidRPr="004B114F">
        <w:rPr>
          <w:rFonts w:asciiTheme="majorHAnsi" w:hAnsiTheme="majorHAnsi"/>
          <w:color w:val="000000" w:themeColor="text1"/>
          <w:sz w:val="18"/>
          <w:szCs w:val="18"/>
          <w:lang w:val="es-ES_tradnl"/>
        </w:rPr>
        <w:t>“</w:t>
      </w:r>
      <w:r w:rsidRPr="004B114F">
        <w:rPr>
          <w:rFonts w:asciiTheme="majorHAnsi" w:hAnsiTheme="majorHAnsi"/>
          <w:b/>
          <w:color w:val="000000" w:themeColor="text1"/>
          <w:sz w:val="18"/>
          <w:szCs w:val="18"/>
          <w:u w:val="single"/>
          <w:lang w:val="es-ES_tradnl"/>
        </w:rPr>
        <w:t>es un hecho notorio que nuestro sistema penitenciario se encuentra carente de los más elementales programas que hagan la vida dentro del penal digna, respetuosa y garante [de] derechos humanos esenciales</w:t>
      </w:r>
      <w:r w:rsidRPr="004B114F">
        <w:rPr>
          <w:rFonts w:asciiTheme="majorHAnsi" w:hAnsiTheme="majorHAnsi"/>
          <w:color w:val="000000" w:themeColor="text1"/>
          <w:sz w:val="18"/>
          <w:szCs w:val="18"/>
          <w:lang w:val="es-ES_tradnl"/>
        </w:rPr>
        <w:t>, es decir, de los que es titular y merecedora la persona humana, por el solo hecho de serlo.</w:t>
      </w:r>
      <w:r w:rsidR="007E381B" w:rsidRPr="004B114F">
        <w:rPr>
          <w:rFonts w:asciiTheme="majorHAnsi" w:hAnsiTheme="majorHAnsi"/>
          <w:color w:val="000000" w:themeColor="text1"/>
          <w:sz w:val="18"/>
          <w:szCs w:val="18"/>
          <w:lang w:val="es-ES_tradnl"/>
        </w:rPr>
        <w:t xml:space="preserve"> </w:t>
      </w:r>
      <w:r w:rsidRPr="004B114F">
        <w:rPr>
          <w:rFonts w:asciiTheme="majorHAnsi" w:hAnsiTheme="majorHAnsi"/>
          <w:color w:val="000000" w:themeColor="text1"/>
          <w:sz w:val="18"/>
          <w:szCs w:val="18"/>
          <w:lang w:val="es-ES_tradnl"/>
        </w:rPr>
        <w:t>Así pues, al mantener a una persona privada de su libertad, de ese derecho humano fundamental, lo ideal es que cumpla su medida preventiva o su sanción en un lugar adecuado, pulcro, que le ofrezca condiciones de salubridad, esparcimiento y trabajo que no comprometan su posterior reinserción a la sociedad con una vida útil y productiva”</w:t>
      </w:r>
      <w:r w:rsidRPr="004B114F">
        <w:rPr>
          <w:rStyle w:val="FootnoteReference"/>
          <w:rFonts w:asciiTheme="majorHAnsi" w:hAnsiTheme="majorHAnsi"/>
          <w:color w:val="000000" w:themeColor="text1"/>
          <w:sz w:val="18"/>
          <w:szCs w:val="18"/>
          <w:lang w:val="es-ES_tradnl"/>
        </w:rPr>
        <w:footnoteReference w:id="42"/>
      </w:r>
      <w:r w:rsidRPr="004B114F">
        <w:rPr>
          <w:rFonts w:asciiTheme="majorHAnsi" w:hAnsiTheme="majorHAnsi"/>
          <w:color w:val="000000" w:themeColor="text1"/>
          <w:sz w:val="18"/>
          <w:szCs w:val="18"/>
          <w:lang w:val="es-ES_tradnl"/>
        </w:rPr>
        <w:t>. (énfasis agregado).</w:t>
      </w:r>
    </w:p>
    <w:p w14:paraId="0534CC72" w14:textId="396F4158" w:rsidR="00B3688A" w:rsidRPr="004B114F" w:rsidRDefault="00B3688A" w:rsidP="004B114F">
      <w:pPr>
        <w:pStyle w:val="ListParagraph"/>
        <w:rPr>
          <w:rFonts w:asciiTheme="majorHAnsi" w:hAnsiTheme="majorHAnsi"/>
          <w:color w:val="000000" w:themeColor="text1"/>
          <w:sz w:val="20"/>
          <w:szCs w:val="20"/>
          <w:lang w:val="es-ES_tradnl"/>
        </w:rPr>
      </w:pPr>
    </w:p>
    <w:p w14:paraId="088544F3" w14:textId="75287E6A" w:rsidR="007E381B" w:rsidRPr="004B114F" w:rsidRDefault="007E381B" w:rsidP="004B114F">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630"/>
        <w:jc w:val="both"/>
        <w:rPr>
          <w:rFonts w:asciiTheme="majorHAnsi" w:hAnsiTheme="majorHAnsi"/>
          <w:color w:val="000000" w:themeColor="text1"/>
          <w:sz w:val="20"/>
          <w:szCs w:val="20"/>
          <w:lang w:val="es-ES_tradnl"/>
        </w:rPr>
      </w:pPr>
      <w:bookmarkStart w:id="14" w:name="_Ref133934143"/>
      <w:r w:rsidRPr="004B114F">
        <w:rPr>
          <w:rFonts w:asciiTheme="majorHAnsi" w:hAnsiTheme="majorHAnsi"/>
          <w:color w:val="000000" w:themeColor="text1"/>
          <w:sz w:val="20"/>
          <w:szCs w:val="20"/>
          <w:lang w:val="es-ES_tradnl"/>
        </w:rPr>
        <w:t xml:space="preserve">Según lo informado por la parte peticionaria sin que sea desvirtuado por el Estado, las mujeres recluidas en el Internado Anzoátegui enfrentaban riesgos agravados </w:t>
      </w:r>
      <w:r w:rsidR="00170FA4" w:rsidRPr="004B114F">
        <w:rPr>
          <w:rFonts w:asciiTheme="majorHAnsi" w:hAnsiTheme="majorHAnsi"/>
          <w:color w:val="000000" w:themeColor="text1"/>
          <w:sz w:val="20"/>
          <w:szCs w:val="20"/>
          <w:lang w:val="es-ES_tradnl"/>
        </w:rPr>
        <w:t>debido a</w:t>
      </w:r>
      <w:r w:rsidRPr="004B114F">
        <w:rPr>
          <w:rFonts w:asciiTheme="majorHAnsi" w:hAnsiTheme="majorHAnsi"/>
          <w:color w:val="000000" w:themeColor="text1"/>
          <w:sz w:val="20"/>
          <w:szCs w:val="20"/>
          <w:lang w:val="es-ES_tradnl"/>
        </w:rPr>
        <w:t xml:space="preserve"> su sexo y género. Ciertamente, en las instalaciones del Internado existía un sistema de violencia sexual por el cual las reclusas eran sometidas por sus pares varones a prácticas de servidumbre sexual, prostitución forzada y abusos similares</w:t>
      </w:r>
      <w:r w:rsidRPr="004B114F">
        <w:rPr>
          <w:rStyle w:val="FootnoteReference"/>
          <w:rFonts w:asciiTheme="majorHAnsi" w:hAnsiTheme="majorHAnsi"/>
          <w:color w:val="000000" w:themeColor="text1"/>
          <w:sz w:val="20"/>
          <w:szCs w:val="20"/>
          <w:lang w:val="es-ES_tradnl"/>
        </w:rPr>
        <w:footnoteReference w:id="43"/>
      </w:r>
      <w:r w:rsidRPr="004B114F">
        <w:rPr>
          <w:rFonts w:asciiTheme="majorHAnsi" w:hAnsiTheme="majorHAnsi"/>
          <w:color w:val="000000" w:themeColor="text1"/>
          <w:sz w:val="20"/>
          <w:szCs w:val="20"/>
          <w:lang w:val="es-ES_tradnl"/>
        </w:rPr>
        <w:t xml:space="preserve">. Las internas se veían obligadas a tolerar estas formas de violencia como un mecanismo para protegerse de otros daños, en vista de que las autoridades del penal no ofrecían garantías mínimas para su seguridad pese a tener </w:t>
      </w:r>
      <w:r w:rsidRPr="004B114F">
        <w:rPr>
          <w:rFonts w:asciiTheme="majorHAnsi" w:hAnsiTheme="majorHAnsi"/>
          <w:color w:val="000000" w:themeColor="text1"/>
          <w:sz w:val="20"/>
          <w:szCs w:val="20"/>
          <w:lang w:val="es-ES_tradnl"/>
        </w:rPr>
        <w:lastRenderedPageBreak/>
        <w:t>conocimiento de estas vejaciones</w:t>
      </w:r>
      <w:r w:rsidRPr="004B114F">
        <w:rPr>
          <w:rStyle w:val="FootnoteReference"/>
          <w:rFonts w:asciiTheme="majorHAnsi" w:hAnsiTheme="majorHAnsi"/>
          <w:color w:val="000000" w:themeColor="text1"/>
          <w:sz w:val="20"/>
          <w:szCs w:val="20"/>
          <w:lang w:val="es-ES_tradnl"/>
        </w:rPr>
        <w:footnoteReference w:id="44"/>
      </w:r>
      <w:r w:rsidRPr="004B114F">
        <w:rPr>
          <w:rFonts w:asciiTheme="majorHAnsi" w:hAnsiTheme="majorHAnsi"/>
          <w:color w:val="000000" w:themeColor="text1"/>
          <w:sz w:val="20"/>
          <w:szCs w:val="20"/>
          <w:lang w:val="es-ES_tradnl"/>
        </w:rPr>
        <w:t>. El Estado no ha aportado ningún argumento ni elemento de prueba que controvierta o desvirtúe estas afirmaciones.</w:t>
      </w:r>
      <w:bookmarkEnd w:id="14"/>
    </w:p>
    <w:p w14:paraId="7C2A9439" w14:textId="77777777" w:rsidR="007E381B" w:rsidRPr="004B114F" w:rsidRDefault="007E381B" w:rsidP="004B114F">
      <w:pPr>
        <w:pStyle w:val="ListParagraph"/>
        <w:rPr>
          <w:rFonts w:asciiTheme="majorHAnsi" w:hAnsiTheme="majorHAnsi"/>
          <w:color w:val="000000" w:themeColor="text1"/>
          <w:sz w:val="20"/>
          <w:szCs w:val="20"/>
          <w:lang w:val="es-ES_tradnl"/>
        </w:rPr>
      </w:pPr>
    </w:p>
    <w:p w14:paraId="229D4285" w14:textId="61C9FD27" w:rsidR="00942177" w:rsidRPr="004B114F" w:rsidRDefault="00666653" w:rsidP="004B114F">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630"/>
        <w:jc w:val="both"/>
        <w:rPr>
          <w:rFonts w:asciiTheme="majorHAnsi" w:hAnsiTheme="majorHAnsi"/>
          <w:color w:val="000000" w:themeColor="text1"/>
          <w:sz w:val="20"/>
          <w:szCs w:val="20"/>
          <w:lang w:val="es-ES_tradnl"/>
        </w:rPr>
      </w:pPr>
      <w:r w:rsidRPr="004B114F">
        <w:rPr>
          <w:rFonts w:asciiTheme="majorHAnsi" w:hAnsiTheme="majorHAnsi"/>
          <w:color w:val="000000" w:themeColor="text1"/>
          <w:sz w:val="20"/>
          <w:szCs w:val="20"/>
          <w:lang w:val="es-ES_tradnl"/>
        </w:rPr>
        <w:t>Es en este contexto que el 6 de enero de 2002,</w:t>
      </w:r>
      <w:r w:rsidR="005103AB" w:rsidRPr="004B114F">
        <w:rPr>
          <w:rFonts w:asciiTheme="majorHAnsi" w:hAnsiTheme="majorHAnsi"/>
          <w:color w:val="000000" w:themeColor="text1"/>
          <w:sz w:val="20"/>
          <w:szCs w:val="20"/>
          <w:lang w:val="es-ES_tradnl"/>
        </w:rPr>
        <w:t xml:space="preserve"> aproximadamente al mediodía,</w:t>
      </w:r>
      <w:r w:rsidRPr="004B114F">
        <w:rPr>
          <w:rFonts w:asciiTheme="majorHAnsi" w:hAnsiTheme="majorHAnsi"/>
          <w:color w:val="000000" w:themeColor="text1"/>
          <w:sz w:val="20"/>
          <w:szCs w:val="20"/>
          <w:lang w:val="es-ES_tradnl"/>
        </w:rPr>
        <w:t xml:space="preserve"> la señora Maleno fue víctima de una violación sexual por parte de cinco reclusos varones, quienes ingresaron al anexo femenino del Internado Anzoátegui y, amenazándola con un revólver, la violaron por vía vaginal y anal durante dos horas</w:t>
      </w:r>
      <w:r w:rsidRPr="004B114F">
        <w:rPr>
          <w:rStyle w:val="FootnoteReference"/>
          <w:rFonts w:asciiTheme="majorHAnsi" w:hAnsiTheme="majorHAnsi"/>
          <w:color w:val="000000" w:themeColor="text1"/>
          <w:sz w:val="20"/>
          <w:szCs w:val="20"/>
          <w:lang w:val="es-ES_tradnl"/>
        </w:rPr>
        <w:footnoteReference w:id="45"/>
      </w:r>
      <w:r w:rsidRPr="004B114F">
        <w:rPr>
          <w:rFonts w:asciiTheme="majorHAnsi" w:hAnsiTheme="majorHAnsi"/>
          <w:color w:val="000000" w:themeColor="text1"/>
          <w:sz w:val="20"/>
          <w:szCs w:val="20"/>
          <w:lang w:val="es-ES_tradnl"/>
        </w:rPr>
        <w:t xml:space="preserve">. </w:t>
      </w:r>
      <w:r w:rsidR="00453B04" w:rsidRPr="004B114F">
        <w:rPr>
          <w:rFonts w:asciiTheme="majorHAnsi" w:hAnsiTheme="majorHAnsi"/>
          <w:color w:val="000000" w:themeColor="text1"/>
          <w:sz w:val="20"/>
          <w:szCs w:val="20"/>
          <w:lang w:val="es-ES_tradnl"/>
        </w:rPr>
        <w:t xml:space="preserve">La presunta víctima se </w:t>
      </w:r>
      <w:r w:rsidR="00A33D86" w:rsidRPr="004B114F">
        <w:rPr>
          <w:rFonts w:asciiTheme="majorHAnsi" w:hAnsiTheme="majorHAnsi"/>
          <w:color w:val="000000" w:themeColor="text1"/>
          <w:sz w:val="20"/>
          <w:szCs w:val="20"/>
          <w:lang w:val="es-ES_tradnl"/>
        </w:rPr>
        <w:t>refirió</w:t>
      </w:r>
      <w:r w:rsidR="00081208" w:rsidRPr="004B114F">
        <w:rPr>
          <w:rFonts w:asciiTheme="majorHAnsi" w:hAnsiTheme="majorHAnsi"/>
          <w:color w:val="000000" w:themeColor="text1"/>
          <w:sz w:val="20"/>
          <w:szCs w:val="20"/>
          <w:lang w:val="es-ES_tradnl"/>
        </w:rPr>
        <w:t xml:space="preserve"> a la violación sufrida como un “hecho realizado en la forma más brutal y con el uso de armas de fuego […] amenazándola de muerte si hablaba”</w:t>
      </w:r>
      <w:r w:rsidR="00081208" w:rsidRPr="004B114F">
        <w:rPr>
          <w:rStyle w:val="FootnoteReference"/>
          <w:rFonts w:asciiTheme="majorHAnsi" w:hAnsiTheme="majorHAnsi"/>
          <w:color w:val="000000" w:themeColor="text1"/>
          <w:sz w:val="20"/>
          <w:szCs w:val="20"/>
          <w:lang w:val="es-ES_tradnl"/>
        </w:rPr>
        <w:footnoteReference w:id="46"/>
      </w:r>
      <w:r w:rsidR="00A33D86" w:rsidRPr="004B114F">
        <w:rPr>
          <w:rFonts w:asciiTheme="majorHAnsi" w:hAnsiTheme="majorHAnsi"/>
          <w:color w:val="000000" w:themeColor="text1"/>
          <w:sz w:val="20"/>
          <w:szCs w:val="20"/>
          <w:lang w:val="es-ES_tradnl"/>
        </w:rPr>
        <w:t>, y ha afirmado que n</w:t>
      </w:r>
      <w:r w:rsidR="005103AB" w:rsidRPr="004B114F">
        <w:rPr>
          <w:rFonts w:asciiTheme="majorHAnsi" w:hAnsiTheme="majorHAnsi"/>
          <w:color w:val="000000" w:themeColor="text1"/>
          <w:sz w:val="20"/>
          <w:szCs w:val="20"/>
          <w:lang w:val="es-ES_tradnl"/>
        </w:rPr>
        <w:t xml:space="preserve">inguna autoridad acudió </w:t>
      </w:r>
      <w:r w:rsidR="00A33D86" w:rsidRPr="004B114F">
        <w:rPr>
          <w:rFonts w:asciiTheme="majorHAnsi" w:hAnsiTheme="majorHAnsi"/>
          <w:color w:val="000000" w:themeColor="text1"/>
          <w:sz w:val="20"/>
          <w:szCs w:val="20"/>
          <w:lang w:val="es-ES_tradnl"/>
        </w:rPr>
        <w:t xml:space="preserve">a su </w:t>
      </w:r>
      <w:r w:rsidR="005103AB" w:rsidRPr="004B114F">
        <w:rPr>
          <w:rFonts w:asciiTheme="majorHAnsi" w:hAnsiTheme="majorHAnsi"/>
          <w:color w:val="000000" w:themeColor="text1"/>
          <w:sz w:val="20"/>
          <w:szCs w:val="20"/>
          <w:lang w:val="es-ES_tradnl"/>
        </w:rPr>
        <w:t>auxilio para impedir o detener la agresión</w:t>
      </w:r>
      <w:r w:rsidR="005103AB" w:rsidRPr="004B114F">
        <w:rPr>
          <w:rStyle w:val="FootnoteReference"/>
          <w:rFonts w:asciiTheme="majorHAnsi" w:hAnsiTheme="majorHAnsi"/>
          <w:color w:val="000000" w:themeColor="text1"/>
          <w:sz w:val="20"/>
          <w:szCs w:val="20"/>
          <w:lang w:val="es-ES_tradnl"/>
        </w:rPr>
        <w:footnoteReference w:id="47"/>
      </w:r>
      <w:r w:rsidR="005103AB" w:rsidRPr="004B114F">
        <w:rPr>
          <w:rFonts w:asciiTheme="majorHAnsi" w:hAnsiTheme="majorHAnsi"/>
          <w:color w:val="000000" w:themeColor="text1"/>
          <w:sz w:val="20"/>
          <w:szCs w:val="20"/>
          <w:lang w:val="es-ES_tradnl"/>
        </w:rPr>
        <w:t>.</w:t>
      </w:r>
      <w:r w:rsidR="0018413D" w:rsidRPr="004B114F">
        <w:rPr>
          <w:rFonts w:asciiTheme="majorHAnsi" w:hAnsiTheme="majorHAnsi"/>
          <w:color w:val="000000" w:themeColor="text1"/>
          <w:sz w:val="20"/>
          <w:szCs w:val="20"/>
          <w:lang w:val="es-ES_tradnl"/>
        </w:rPr>
        <w:t xml:space="preserve"> </w:t>
      </w:r>
      <w:r w:rsidR="0018413D" w:rsidRPr="004B114F">
        <w:rPr>
          <w:rFonts w:asciiTheme="majorHAnsi" w:hAnsiTheme="majorHAnsi"/>
          <w:sz w:val="20"/>
          <w:szCs w:val="20"/>
          <w:lang w:val="es-ES_tradnl"/>
        </w:rPr>
        <w:t>De acuerdo con la parte peticionaria, la presunta víctima “no podía caminar ni sentarse viéndose obligada a permanecer en el suelo por varios días, sin alimentos ni medicinas”</w:t>
      </w:r>
      <w:r w:rsidR="0018413D" w:rsidRPr="004B114F">
        <w:rPr>
          <w:rStyle w:val="FootnoteReference"/>
          <w:rFonts w:asciiTheme="majorHAnsi" w:hAnsiTheme="majorHAnsi"/>
          <w:sz w:val="20"/>
          <w:szCs w:val="20"/>
          <w:lang w:val="es-ES_tradnl"/>
        </w:rPr>
        <w:footnoteReference w:id="48"/>
      </w:r>
      <w:r w:rsidR="0018413D" w:rsidRPr="004B114F">
        <w:rPr>
          <w:rFonts w:asciiTheme="majorHAnsi" w:hAnsiTheme="majorHAnsi"/>
          <w:sz w:val="20"/>
          <w:szCs w:val="20"/>
          <w:lang w:val="es-ES_tradnl"/>
        </w:rPr>
        <w:t>. Estas afirmaciones no fueron desvirtuadas por el Estado.</w:t>
      </w:r>
    </w:p>
    <w:p w14:paraId="060DBCEA" w14:textId="77777777" w:rsidR="001208B8" w:rsidRPr="004B114F" w:rsidRDefault="001208B8" w:rsidP="004B114F">
      <w:pPr>
        <w:pStyle w:val="ListParagraph"/>
        <w:rPr>
          <w:rFonts w:asciiTheme="majorHAnsi" w:hAnsiTheme="majorHAnsi"/>
          <w:color w:val="000000" w:themeColor="text1"/>
          <w:sz w:val="20"/>
          <w:szCs w:val="20"/>
          <w:lang w:val="es-ES_tradnl"/>
        </w:rPr>
      </w:pPr>
    </w:p>
    <w:p w14:paraId="58151341" w14:textId="5E17AF52" w:rsidR="001208B8" w:rsidRPr="004B114F" w:rsidRDefault="001879FB" w:rsidP="07C31400">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630"/>
        <w:jc w:val="both"/>
        <w:rPr>
          <w:rFonts w:asciiTheme="majorHAnsi" w:hAnsiTheme="majorHAnsi"/>
          <w:color w:val="000000" w:themeColor="text1"/>
          <w:sz w:val="20"/>
          <w:szCs w:val="20"/>
          <w:lang w:val="es-ES"/>
        </w:rPr>
      </w:pPr>
      <w:r w:rsidRPr="07C31400">
        <w:rPr>
          <w:rFonts w:asciiTheme="majorHAnsi" w:hAnsiTheme="majorHAnsi"/>
          <w:color w:val="000000" w:themeColor="text1"/>
          <w:sz w:val="20"/>
          <w:szCs w:val="20"/>
          <w:lang w:val="es-ES"/>
        </w:rPr>
        <w:t xml:space="preserve">El 7 de enero de 2002, la presunta víctima informó al director del Internado Anzoátegui, Cristian Benavides, sobre la violación sexual perpetrada en su contra e identificó a los cinco reclusos responsables: Florencio Brito Vásquez, Carlos Ramos Gómez, </w:t>
      </w:r>
      <w:r w:rsidR="00C07514" w:rsidRPr="07C31400">
        <w:rPr>
          <w:rFonts w:asciiTheme="majorHAnsi" w:hAnsiTheme="majorHAnsi"/>
          <w:color w:val="000000" w:themeColor="text1"/>
          <w:sz w:val="20"/>
          <w:szCs w:val="20"/>
          <w:lang w:val="es-ES"/>
        </w:rPr>
        <w:t xml:space="preserve">Cesar </w:t>
      </w:r>
      <w:r w:rsidRPr="07C31400">
        <w:rPr>
          <w:rFonts w:asciiTheme="majorHAnsi" w:hAnsiTheme="majorHAnsi"/>
          <w:color w:val="000000" w:themeColor="text1"/>
          <w:sz w:val="20"/>
          <w:szCs w:val="20"/>
          <w:lang w:val="es-ES"/>
        </w:rPr>
        <w:t xml:space="preserve">Gregorio Jiménez, </w:t>
      </w:r>
      <w:r w:rsidR="00BD25E9" w:rsidRPr="07C31400">
        <w:rPr>
          <w:rFonts w:asciiTheme="majorHAnsi" w:hAnsiTheme="majorHAnsi"/>
          <w:color w:val="000000" w:themeColor="text1"/>
          <w:sz w:val="20"/>
          <w:szCs w:val="20"/>
          <w:lang w:val="es-ES"/>
        </w:rPr>
        <w:t>Francisco Guaina Yirber y Darigil de Jesús Díaz</w:t>
      </w:r>
      <w:r w:rsidR="00542DF3" w:rsidRPr="07C31400">
        <w:rPr>
          <w:rStyle w:val="FootnoteReference"/>
          <w:rFonts w:asciiTheme="majorHAnsi" w:hAnsiTheme="majorHAnsi"/>
          <w:color w:val="000000" w:themeColor="text1"/>
          <w:sz w:val="20"/>
          <w:szCs w:val="20"/>
          <w:lang w:val="es-ES"/>
        </w:rPr>
        <w:footnoteReference w:id="49"/>
      </w:r>
      <w:r w:rsidR="00BD25E9" w:rsidRPr="07C31400">
        <w:rPr>
          <w:rFonts w:asciiTheme="majorHAnsi" w:hAnsiTheme="majorHAnsi"/>
          <w:color w:val="000000" w:themeColor="text1"/>
          <w:sz w:val="20"/>
          <w:szCs w:val="20"/>
          <w:lang w:val="es-ES"/>
        </w:rPr>
        <w:t>.</w:t>
      </w:r>
      <w:r w:rsidR="00542DF3" w:rsidRPr="07C31400">
        <w:rPr>
          <w:rFonts w:asciiTheme="majorHAnsi" w:hAnsiTheme="majorHAnsi"/>
          <w:color w:val="000000" w:themeColor="text1"/>
          <w:sz w:val="20"/>
          <w:szCs w:val="20"/>
          <w:lang w:val="es-ES"/>
        </w:rPr>
        <w:t xml:space="preserve"> </w:t>
      </w:r>
      <w:r w:rsidR="00EB7A42" w:rsidRPr="07C31400">
        <w:rPr>
          <w:rFonts w:asciiTheme="majorHAnsi" w:hAnsiTheme="majorHAnsi"/>
          <w:color w:val="000000" w:themeColor="text1"/>
          <w:sz w:val="20"/>
          <w:szCs w:val="20"/>
          <w:lang w:val="es-ES"/>
        </w:rPr>
        <w:t>Sobre la</w:t>
      </w:r>
      <w:r w:rsidR="00542DF3" w:rsidRPr="07C31400">
        <w:rPr>
          <w:rFonts w:asciiTheme="majorHAnsi" w:hAnsiTheme="majorHAnsi"/>
          <w:color w:val="000000" w:themeColor="text1"/>
          <w:sz w:val="20"/>
          <w:szCs w:val="20"/>
          <w:lang w:val="es-ES"/>
        </w:rPr>
        <w:t xml:space="preserve"> base </w:t>
      </w:r>
      <w:r w:rsidR="00EB7A42" w:rsidRPr="07C31400">
        <w:rPr>
          <w:rFonts w:asciiTheme="majorHAnsi" w:hAnsiTheme="majorHAnsi"/>
          <w:color w:val="000000" w:themeColor="text1"/>
          <w:sz w:val="20"/>
          <w:szCs w:val="20"/>
          <w:lang w:val="es-ES"/>
        </w:rPr>
        <w:t>de</w:t>
      </w:r>
      <w:r w:rsidR="00542DF3" w:rsidRPr="07C31400">
        <w:rPr>
          <w:rFonts w:asciiTheme="majorHAnsi" w:hAnsiTheme="majorHAnsi"/>
          <w:color w:val="000000" w:themeColor="text1"/>
          <w:sz w:val="20"/>
          <w:szCs w:val="20"/>
          <w:lang w:val="es-ES"/>
        </w:rPr>
        <w:t xml:space="preserve"> dicha información, el director del penal corrió traslado al Fiscal y a la Juez</w:t>
      </w:r>
      <w:r w:rsidR="006357A3" w:rsidRPr="07C31400">
        <w:rPr>
          <w:rFonts w:asciiTheme="majorHAnsi" w:hAnsiTheme="majorHAnsi"/>
          <w:color w:val="000000" w:themeColor="text1"/>
          <w:sz w:val="20"/>
          <w:szCs w:val="20"/>
          <w:lang w:val="es-ES"/>
        </w:rPr>
        <w:t>a</w:t>
      </w:r>
      <w:r w:rsidR="00542DF3" w:rsidRPr="07C31400">
        <w:rPr>
          <w:rFonts w:asciiTheme="majorHAnsi" w:hAnsiTheme="majorHAnsi"/>
          <w:color w:val="000000" w:themeColor="text1"/>
          <w:sz w:val="20"/>
          <w:szCs w:val="20"/>
          <w:lang w:val="es-ES"/>
        </w:rPr>
        <w:t xml:space="preserve"> de Ejecución </w:t>
      </w:r>
      <w:r w:rsidR="00000670" w:rsidRPr="07C31400">
        <w:rPr>
          <w:rFonts w:asciiTheme="majorHAnsi" w:hAnsiTheme="majorHAnsi"/>
          <w:color w:val="000000" w:themeColor="text1"/>
          <w:sz w:val="20"/>
          <w:szCs w:val="20"/>
          <w:lang w:val="es-ES"/>
        </w:rPr>
        <w:t>para que se inicie</w:t>
      </w:r>
      <w:r w:rsidR="00542DF3" w:rsidRPr="07C31400">
        <w:rPr>
          <w:rFonts w:asciiTheme="majorHAnsi" w:hAnsiTheme="majorHAnsi"/>
          <w:color w:val="000000" w:themeColor="text1"/>
          <w:sz w:val="20"/>
          <w:szCs w:val="20"/>
          <w:lang w:val="es-ES"/>
        </w:rPr>
        <w:t xml:space="preserve"> la investigación penal</w:t>
      </w:r>
      <w:r w:rsidR="00542DF3" w:rsidRPr="07C31400">
        <w:rPr>
          <w:rStyle w:val="FootnoteReference"/>
          <w:rFonts w:asciiTheme="majorHAnsi" w:hAnsiTheme="majorHAnsi"/>
          <w:color w:val="000000" w:themeColor="text1"/>
          <w:sz w:val="20"/>
          <w:szCs w:val="20"/>
          <w:lang w:val="es-ES"/>
        </w:rPr>
        <w:footnoteReference w:id="50"/>
      </w:r>
      <w:r w:rsidR="00542DF3" w:rsidRPr="07C31400">
        <w:rPr>
          <w:rFonts w:asciiTheme="majorHAnsi" w:hAnsiTheme="majorHAnsi"/>
          <w:color w:val="000000" w:themeColor="text1"/>
          <w:sz w:val="20"/>
          <w:szCs w:val="20"/>
          <w:lang w:val="es-ES"/>
        </w:rPr>
        <w:t>.</w:t>
      </w:r>
      <w:r w:rsidR="008016CF" w:rsidRPr="07C31400">
        <w:rPr>
          <w:rFonts w:asciiTheme="majorHAnsi" w:hAnsiTheme="majorHAnsi"/>
          <w:color w:val="000000" w:themeColor="text1"/>
          <w:sz w:val="20"/>
          <w:szCs w:val="20"/>
          <w:lang w:val="es-ES"/>
        </w:rPr>
        <w:t xml:space="preserve"> </w:t>
      </w:r>
      <w:r w:rsidR="00BA79F5" w:rsidRPr="07C31400">
        <w:rPr>
          <w:rFonts w:asciiTheme="majorHAnsi" w:hAnsiTheme="majorHAnsi"/>
          <w:color w:val="000000" w:themeColor="text1"/>
          <w:sz w:val="20"/>
          <w:szCs w:val="20"/>
          <w:lang w:val="es-ES"/>
        </w:rPr>
        <w:t>La CIDH se refiere a las actuaciones de estas autoridades en el apartado referido a la investigación y proceso penal (</w:t>
      </w:r>
      <w:r w:rsidR="00F35841" w:rsidRPr="07C31400">
        <w:rPr>
          <w:rFonts w:asciiTheme="majorHAnsi" w:hAnsiTheme="majorHAnsi"/>
          <w:i/>
          <w:iCs/>
          <w:color w:val="000000" w:themeColor="text1"/>
          <w:sz w:val="20"/>
          <w:szCs w:val="20"/>
          <w:lang w:val="es-ES"/>
        </w:rPr>
        <w:t xml:space="preserve">infra </w:t>
      </w:r>
      <w:hyperlink w:anchor="_Proceso_penal_iniciado" w:history="1">
        <w:r w:rsidR="00F35841" w:rsidRPr="07C31400">
          <w:rPr>
            <w:rStyle w:val="Hyperlink"/>
            <w:rFonts w:asciiTheme="majorHAnsi" w:hAnsiTheme="majorHAnsi"/>
            <w:sz w:val="20"/>
            <w:szCs w:val="20"/>
            <w:lang w:val="es-ES"/>
          </w:rPr>
          <w:t>III.C.1</w:t>
        </w:r>
      </w:hyperlink>
      <w:r w:rsidR="00BA79F5" w:rsidRPr="07C31400">
        <w:rPr>
          <w:rFonts w:asciiTheme="majorHAnsi" w:hAnsiTheme="majorHAnsi"/>
          <w:color w:val="000000" w:themeColor="text1"/>
          <w:sz w:val="20"/>
          <w:szCs w:val="20"/>
          <w:lang w:val="es-ES"/>
        </w:rPr>
        <w:t>)</w:t>
      </w:r>
    </w:p>
    <w:p w14:paraId="3B9091EF" w14:textId="77777777" w:rsidR="001D4374" w:rsidRPr="004B114F" w:rsidRDefault="001D4374" w:rsidP="004B114F">
      <w:pPr>
        <w:pStyle w:val="ListParagraph"/>
        <w:rPr>
          <w:rFonts w:asciiTheme="majorHAnsi" w:hAnsiTheme="majorHAnsi"/>
          <w:color w:val="000000" w:themeColor="text1"/>
          <w:sz w:val="20"/>
          <w:szCs w:val="20"/>
          <w:lang w:val="es-ES_tradnl"/>
        </w:rPr>
      </w:pPr>
    </w:p>
    <w:p w14:paraId="65E7C895" w14:textId="4D346DF0" w:rsidR="00EC0178" w:rsidRPr="004B114F" w:rsidRDefault="00292E99" w:rsidP="07C31400">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630"/>
        <w:jc w:val="both"/>
        <w:rPr>
          <w:rFonts w:asciiTheme="majorHAnsi" w:hAnsiTheme="majorHAnsi"/>
          <w:color w:val="000000" w:themeColor="text1"/>
          <w:sz w:val="20"/>
          <w:szCs w:val="20"/>
          <w:lang w:val="es-ES"/>
        </w:rPr>
      </w:pPr>
      <w:bookmarkStart w:id="16" w:name="_Ref133934221"/>
      <w:r w:rsidRPr="07C31400">
        <w:rPr>
          <w:rFonts w:asciiTheme="majorHAnsi" w:hAnsiTheme="majorHAnsi"/>
          <w:color w:val="000000" w:themeColor="text1"/>
          <w:sz w:val="20"/>
          <w:szCs w:val="20"/>
          <w:lang w:val="es-ES"/>
        </w:rPr>
        <w:t>En cuanto a las</w:t>
      </w:r>
      <w:r w:rsidR="0090149C" w:rsidRPr="07C31400">
        <w:rPr>
          <w:rFonts w:asciiTheme="majorHAnsi" w:hAnsiTheme="majorHAnsi"/>
          <w:color w:val="000000" w:themeColor="text1"/>
          <w:sz w:val="20"/>
          <w:szCs w:val="20"/>
          <w:lang w:val="es-ES"/>
        </w:rPr>
        <w:t xml:space="preserve"> autoridades del Internado Anzoátegui</w:t>
      </w:r>
      <w:r w:rsidRPr="07C31400">
        <w:rPr>
          <w:rFonts w:asciiTheme="majorHAnsi" w:hAnsiTheme="majorHAnsi"/>
          <w:color w:val="000000" w:themeColor="text1"/>
          <w:sz w:val="20"/>
          <w:szCs w:val="20"/>
          <w:lang w:val="es-ES"/>
        </w:rPr>
        <w:t>, consta que</w:t>
      </w:r>
      <w:r w:rsidR="0090149C" w:rsidRPr="07C31400">
        <w:rPr>
          <w:rFonts w:asciiTheme="majorHAnsi" w:hAnsiTheme="majorHAnsi"/>
          <w:color w:val="000000" w:themeColor="text1"/>
          <w:sz w:val="20"/>
          <w:szCs w:val="20"/>
          <w:lang w:val="es-ES"/>
        </w:rPr>
        <w:t xml:space="preserve"> </w:t>
      </w:r>
      <w:r w:rsidR="00000670" w:rsidRPr="07C31400">
        <w:rPr>
          <w:rFonts w:asciiTheme="majorHAnsi" w:hAnsiTheme="majorHAnsi"/>
          <w:color w:val="000000" w:themeColor="text1"/>
          <w:sz w:val="20"/>
          <w:szCs w:val="20"/>
          <w:lang w:val="es-ES"/>
        </w:rPr>
        <w:t xml:space="preserve">realizaron </w:t>
      </w:r>
      <w:r w:rsidR="00AB265C" w:rsidRPr="07C31400">
        <w:rPr>
          <w:rFonts w:asciiTheme="majorHAnsi" w:hAnsiTheme="majorHAnsi"/>
          <w:color w:val="000000" w:themeColor="text1"/>
          <w:sz w:val="20"/>
          <w:szCs w:val="20"/>
          <w:lang w:val="es-ES"/>
        </w:rPr>
        <w:t>tres</w:t>
      </w:r>
      <w:r w:rsidR="00000670" w:rsidRPr="07C31400">
        <w:rPr>
          <w:rFonts w:asciiTheme="majorHAnsi" w:hAnsiTheme="majorHAnsi"/>
          <w:color w:val="000000" w:themeColor="text1"/>
          <w:sz w:val="20"/>
          <w:szCs w:val="20"/>
          <w:lang w:val="es-ES"/>
        </w:rPr>
        <w:t xml:space="preserve"> acciones </w:t>
      </w:r>
      <w:r w:rsidR="0090149C" w:rsidRPr="07C31400">
        <w:rPr>
          <w:rFonts w:asciiTheme="majorHAnsi" w:hAnsiTheme="majorHAnsi"/>
          <w:color w:val="000000" w:themeColor="text1"/>
          <w:sz w:val="20"/>
          <w:szCs w:val="20"/>
          <w:lang w:val="es-ES"/>
        </w:rPr>
        <w:t>en los días posteriores.</w:t>
      </w:r>
      <w:r w:rsidR="00000670" w:rsidRPr="07C31400">
        <w:rPr>
          <w:rFonts w:asciiTheme="majorHAnsi" w:hAnsiTheme="majorHAnsi"/>
          <w:color w:val="000000" w:themeColor="text1"/>
          <w:sz w:val="20"/>
          <w:szCs w:val="20"/>
          <w:lang w:val="es-ES"/>
        </w:rPr>
        <w:t xml:space="preserve"> </w:t>
      </w:r>
      <w:r w:rsidR="00AB265C" w:rsidRPr="07C31400">
        <w:rPr>
          <w:rFonts w:asciiTheme="majorHAnsi" w:hAnsiTheme="majorHAnsi"/>
          <w:color w:val="000000" w:themeColor="text1"/>
          <w:sz w:val="20"/>
          <w:szCs w:val="20"/>
          <w:lang w:val="es-ES"/>
        </w:rPr>
        <w:t>En cuanto a la primera</w:t>
      </w:r>
      <w:r w:rsidR="00000670" w:rsidRPr="07C31400">
        <w:rPr>
          <w:rFonts w:asciiTheme="majorHAnsi" w:hAnsiTheme="majorHAnsi"/>
          <w:color w:val="000000" w:themeColor="text1"/>
          <w:sz w:val="20"/>
          <w:szCs w:val="20"/>
          <w:lang w:val="es-ES"/>
        </w:rPr>
        <w:t>,</w:t>
      </w:r>
      <w:r w:rsidR="00EC0178" w:rsidRPr="07C31400">
        <w:rPr>
          <w:rFonts w:asciiTheme="majorHAnsi" w:hAnsiTheme="majorHAnsi"/>
          <w:color w:val="000000" w:themeColor="text1"/>
          <w:sz w:val="20"/>
          <w:szCs w:val="20"/>
          <w:lang w:val="es-ES"/>
        </w:rPr>
        <w:t xml:space="preserve"> dispusieron que la presun</w:t>
      </w:r>
      <w:r w:rsidR="00115E91" w:rsidRPr="07C31400">
        <w:rPr>
          <w:rFonts w:asciiTheme="majorHAnsi" w:hAnsiTheme="majorHAnsi"/>
          <w:color w:val="000000" w:themeColor="text1"/>
          <w:sz w:val="20"/>
          <w:szCs w:val="20"/>
          <w:lang w:val="es-ES"/>
        </w:rPr>
        <w:t>t</w:t>
      </w:r>
      <w:r w:rsidR="00EC0178" w:rsidRPr="07C31400">
        <w:rPr>
          <w:rFonts w:asciiTheme="majorHAnsi" w:hAnsiTheme="majorHAnsi"/>
          <w:color w:val="000000" w:themeColor="text1"/>
          <w:sz w:val="20"/>
          <w:szCs w:val="20"/>
          <w:lang w:val="es-ES"/>
        </w:rPr>
        <w:t>a víctima sea trasladada al hospital para recibir atención médic</w:t>
      </w:r>
      <w:r w:rsidR="00000670" w:rsidRPr="07C31400">
        <w:rPr>
          <w:rFonts w:asciiTheme="majorHAnsi" w:hAnsiTheme="majorHAnsi"/>
          <w:color w:val="000000" w:themeColor="text1"/>
          <w:sz w:val="20"/>
          <w:szCs w:val="20"/>
          <w:lang w:val="es-ES"/>
        </w:rPr>
        <w:t>a</w:t>
      </w:r>
      <w:r w:rsidR="00EC0178" w:rsidRPr="07C31400">
        <w:rPr>
          <w:rFonts w:asciiTheme="majorHAnsi" w:hAnsiTheme="majorHAnsi"/>
          <w:color w:val="000000" w:themeColor="text1"/>
          <w:sz w:val="20"/>
          <w:szCs w:val="20"/>
          <w:lang w:val="es-ES"/>
        </w:rPr>
        <w:t xml:space="preserve"> de emergencia</w:t>
      </w:r>
      <w:r w:rsidR="00924248" w:rsidRPr="07C31400">
        <w:rPr>
          <w:rStyle w:val="FootnoteReference"/>
          <w:rFonts w:asciiTheme="majorHAnsi" w:hAnsiTheme="majorHAnsi"/>
          <w:color w:val="000000" w:themeColor="text1"/>
          <w:sz w:val="20"/>
          <w:szCs w:val="20"/>
          <w:lang w:val="es-ES"/>
        </w:rPr>
        <w:footnoteReference w:id="51"/>
      </w:r>
      <w:r w:rsidR="00EC0178" w:rsidRPr="07C31400">
        <w:rPr>
          <w:rFonts w:asciiTheme="majorHAnsi" w:hAnsiTheme="majorHAnsi"/>
          <w:color w:val="000000" w:themeColor="text1"/>
          <w:sz w:val="20"/>
          <w:szCs w:val="20"/>
          <w:lang w:val="es-ES"/>
        </w:rPr>
        <w:t>. La parte peticionaria ha señalado, sin que sea controvertido por el Estado, que en dicha oportunidad no se ofreció atención física o psicológica especializada a la presunta víctima, ni se le practicaron exámenes de descarte de enfermedades de transmisión sexual o VIH.</w:t>
      </w:r>
      <w:r w:rsidR="00ED07AF" w:rsidRPr="07C31400">
        <w:rPr>
          <w:rFonts w:asciiTheme="majorHAnsi" w:hAnsiTheme="majorHAnsi"/>
          <w:color w:val="000000" w:themeColor="text1"/>
          <w:sz w:val="20"/>
          <w:szCs w:val="20"/>
          <w:lang w:val="es-ES"/>
        </w:rPr>
        <w:t xml:space="preserve"> </w:t>
      </w:r>
      <w:r w:rsidR="00EC0178" w:rsidRPr="07C31400">
        <w:rPr>
          <w:rFonts w:asciiTheme="majorHAnsi" w:hAnsiTheme="majorHAnsi"/>
          <w:color w:val="000000" w:themeColor="text1"/>
          <w:sz w:val="20"/>
          <w:szCs w:val="20"/>
          <w:lang w:val="es-ES"/>
        </w:rPr>
        <w:t>En segundo lugar,</w:t>
      </w:r>
      <w:r w:rsidR="00A94F71" w:rsidRPr="07C31400">
        <w:rPr>
          <w:rFonts w:asciiTheme="majorHAnsi" w:hAnsiTheme="majorHAnsi"/>
          <w:color w:val="000000" w:themeColor="text1"/>
          <w:sz w:val="20"/>
          <w:szCs w:val="20"/>
          <w:lang w:val="es-ES"/>
        </w:rPr>
        <w:t xml:space="preserve"> los reclusos sindicados como responsables de la violación fueron trasladados al penal de </w:t>
      </w:r>
      <w:r w:rsidR="00AB265C" w:rsidRPr="07C31400">
        <w:rPr>
          <w:rFonts w:asciiTheme="majorHAnsi" w:hAnsiTheme="majorHAnsi"/>
          <w:color w:val="000000" w:themeColor="text1"/>
          <w:sz w:val="20"/>
          <w:szCs w:val="20"/>
          <w:lang w:val="es-ES"/>
        </w:rPr>
        <w:t>“</w:t>
      </w:r>
      <w:r w:rsidR="00A94F71" w:rsidRPr="07C31400">
        <w:rPr>
          <w:rFonts w:asciiTheme="majorHAnsi" w:hAnsiTheme="majorHAnsi"/>
          <w:color w:val="000000" w:themeColor="text1"/>
          <w:sz w:val="20"/>
          <w:szCs w:val="20"/>
          <w:lang w:val="es-ES"/>
        </w:rPr>
        <w:t>El Dorado</w:t>
      </w:r>
      <w:r w:rsidR="00AB265C" w:rsidRPr="07C31400">
        <w:rPr>
          <w:rFonts w:asciiTheme="majorHAnsi" w:hAnsiTheme="majorHAnsi"/>
          <w:color w:val="000000" w:themeColor="text1"/>
          <w:sz w:val="20"/>
          <w:szCs w:val="20"/>
          <w:lang w:val="es-ES"/>
        </w:rPr>
        <w:t>”</w:t>
      </w:r>
      <w:r w:rsidR="00A94F71" w:rsidRPr="07C31400">
        <w:rPr>
          <w:rFonts w:asciiTheme="majorHAnsi" w:hAnsiTheme="majorHAnsi"/>
          <w:color w:val="000000" w:themeColor="text1"/>
          <w:sz w:val="20"/>
          <w:szCs w:val="20"/>
          <w:lang w:val="es-ES"/>
        </w:rPr>
        <w:t xml:space="preserve">, a manera de sanción </w:t>
      </w:r>
      <w:r w:rsidR="00403119" w:rsidRPr="07C31400">
        <w:rPr>
          <w:rFonts w:asciiTheme="majorHAnsi" w:hAnsiTheme="majorHAnsi"/>
          <w:color w:val="000000" w:themeColor="text1"/>
          <w:sz w:val="20"/>
          <w:szCs w:val="20"/>
          <w:lang w:val="es-ES"/>
        </w:rPr>
        <w:t>disciplinaria prevista en la Ley de Régimen Penitenciario y la Ley de Internados Judiciales</w:t>
      </w:r>
      <w:r w:rsidR="00A94F71" w:rsidRPr="07C31400">
        <w:rPr>
          <w:rStyle w:val="FootnoteReference"/>
          <w:rFonts w:asciiTheme="majorHAnsi" w:hAnsiTheme="majorHAnsi"/>
          <w:color w:val="000000" w:themeColor="text1"/>
          <w:sz w:val="20"/>
          <w:szCs w:val="20"/>
          <w:lang w:val="es-ES"/>
        </w:rPr>
        <w:footnoteReference w:id="52"/>
      </w:r>
      <w:r w:rsidR="00A94F71" w:rsidRPr="07C31400">
        <w:rPr>
          <w:rFonts w:asciiTheme="majorHAnsi" w:hAnsiTheme="majorHAnsi"/>
          <w:color w:val="000000" w:themeColor="text1"/>
          <w:sz w:val="20"/>
          <w:szCs w:val="20"/>
          <w:lang w:val="es-ES"/>
        </w:rPr>
        <w:t>.</w:t>
      </w:r>
      <w:r w:rsidR="001E4F4A" w:rsidRPr="07C31400">
        <w:rPr>
          <w:rFonts w:asciiTheme="majorHAnsi" w:hAnsiTheme="majorHAnsi"/>
          <w:color w:val="000000" w:themeColor="text1"/>
          <w:sz w:val="20"/>
          <w:szCs w:val="20"/>
          <w:lang w:val="es-ES"/>
        </w:rPr>
        <w:t xml:space="preserve"> Finalmente, según una declaración del director del Internado Anzoátegui a la prensa</w:t>
      </w:r>
      <w:r w:rsidR="0007451A" w:rsidRPr="07C31400">
        <w:rPr>
          <w:rFonts w:asciiTheme="majorHAnsi" w:hAnsiTheme="majorHAnsi"/>
          <w:color w:val="000000" w:themeColor="text1"/>
          <w:sz w:val="20"/>
          <w:szCs w:val="20"/>
          <w:lang w:val="es-ES"/>
        </w:rPr>
        <w:t xml:space="preserve"> el 10 de enero de 2002</w:t>
      </w:r>
      <w:r w:rsidR="001E4F4A" w:rsidRPr="07C31400">
        <w:rPr>
          <w:rFonts w:asciiTheme="majorHAnsi" w:hAnsiTheme="majorHAnsi"/>
          <w:color w:val="000000" w:themeColor="text1"/>
          <w:sz w:val="20"/>
          <w:szCs w:val="20"/>
          <w:lang w:val="es-ES"/>
        </w:rPr>
        <w:t xml:space="preserve">, por acuerdo de la Defensoría del Pueblo, </w:t>
      </w:r>
      <w:r w:rsidR="00F05A6A" w:rsidRPr="07C31400">
        <w:rPr>
          <w:rFonts w:asciiTheme="majorHAnsi" w:hAnsiTheme="majorHAnsi"/>
          <w:color w:val="000000" w:themeColor="text1"/>
          <w:sz w:val="20"/>
          <w:szCs w:val="20"/>
          <w:lang w:val="es-ES"/>
        </w:rPr>
        <w:t xml:space="preserve">el Fiscal Eduardo Guerrero y el propio director, Cristian Benavides, se decidió el traslado de 29 reclusas del penal a otros centros de detención donde </w:t>
      </w:r>
      <w:r w:rsidR="00CA1852" w:rsidRPr="07C31400">
        <w:rPr>
          <w:rFonts w:asciiTheme="majorHAnsi" w:hAnsiTheme="majorHAnsi"/>
          <w:color w:val="000000" w:themeColor="text1"/>
          <w:sz w:val="20"/>
          <w:szCs w:val="20"/>
          <w:lang w:val="es-ES"/>
        </w:rPr>
        <w:t>fuera posible</w:t>
      </w:r>
      <w:r w:rsidR="00F05A6A" w:rsidRPr="07C31400">
        <w:rPr>
          <w:rFonts w:asciiTheme="majorHAnsi" w:hAnsiTheme="majorHAnsi"/>
          <w:color w:val="000000" w:themeColor="text1"/>
          <w:sz w:val="20"/>
          <w:szCs w:val="20"/>
          <w:lang w:val="es-ES"/>
        </w:rPr>
        <w:t xml:space="preserve"> garantizar su integridad física</w:t>
      </w:r>
      <w:r w:rsidR="00F05A6A" w:rsidRPr="07C31400">
        <w:rPr>
          <w:rStyle w:val="FootnoteReference"/>
          <w:rFonts w:asciiTheme="majorHAnsi" w:hAnsiTheme="majorHAnsi"/>
          <w:color w:val="000000" w:themeColor="text1"/>
          <w:sz w:val="20"/>
          <w:szCs w:val="20"/>
          <w:lang w:val="es-ES"/>
        </w:rPr>
        <w:footnoteReference w:id="53"/>
      </w:r>
      <w:r w:rsidR="00F05A6A" w:rsidRPr="07C31400">
        <w:rPr>
          <w:rFonts w:asciiTheme="majorHAnsi" w:hAnsiTheme="majorHAnsi"/>
          <w:color w:val="000000" w:themeColor="text1"/>
          <w:sz w:val="20"/>
          <w:szCs w:val="20"/>
          <w:lang w:val="es-ES"/>
        </w:rPr>
        <w:t>.</w:t>
      </w:r>
      <w:r w:rsidR="005737F5" w:rsidRPr="07C31400">
        <w:rPr>
          <w:rFonts w:asciiTheme="majorHAnsi" w:hAnsiTheme="majorHAnsi"/>
          <w:color w:val="000000" w:themeColor="text1"/>
          <w:sz w:val="20"/>
          <w:szCs w:val="20"/>
          <w:lang w:val="es-ES"/>
        </w:rPr>
        <w:t xml:space="preserve"> Mientras que 10 reclusas con sentencia fueron trasladadas a la cárcel de Tocorón, estado de Carabobo</w:t>
      </w:r>
      <w:r w:rsidR="00CA1852" w:rsidRPr="07C31400">
        <w:rPr>
          <w:rFonts w:asciiTheme="majorHAnsi" w:hAnsiTheme="majorHAnsi"/>
          <w:color w:val="000000" w:themeColor="text1"/>
          <w:sz w:val="20"/>
          <w:szCs w:val="20"/>
          <w:lang w:val="es-ES"/>
        </w:rPr>
        <w:t>;</w:t>
      </w:r>
      <w:r w:rsidR="005737F5" w:rsidRPr="07C31400">
        <w:rPr>
          <w:rFonts w:asciiTheme="majorHAnsi" w:hAnsiTheme="majorHAnsi"/>
          <w:color w:val="000000" w:themeColor="text1"/>
          <w:sz w:val="20"/>
          <w:szCs w:val="20"/>
          <w:lang w:val="es-ES"/>
        </w:rPr>
        <w:t xml:space="preserve"> 19 reclusas en condición de procesadas, incluida la señora Maleno, fueron trasladadas al Retén </w:t>
      </w:r>
      <w:r w:rsidR="00E02116" w:rsidRPr="07C31400">
        <w:rPr>
          <w:rFonts w:asciiTheme="majorHAnsi" w:hAnsiTheme="majorHAnsi"/>
          <w:color w:val="000000" w:themeColor="text1"/>
          <w:sz w:val="20"/>
          <w:szCs w:val="20"/>
          <w:lang w:val="es-ES"/>
        </w:rPr>
        <w:t>Policial</w:t>
      </w:r>
      <w:r w:rsidR="005737F5" w:rsidRPr="07C31400">
        <w:rPr>
          <w:rFonts w:asciiTheme="majorHAnsi" w:hAnsiTheme="majorHAnsi"/>
          <w:color w:val="000000" w:themeColor="text1"/>
          <w:sz w:val="20"/>
          <w:szCs w:val="20"/>
          <w:lang w:val="es-ES"/>
        </w:rPr>
        <w:t xml:space="preserve"> </w:t>
      </w:r>
      <w:r w:rsidR="00E02116" w:rsidRPr="07C31400">
        <w:rPr>
          <w:rFonts w:asciiTheme="majorHAnsi" w:hAnsiTheme="majorHAnsi"/>
          <w:color w:val="000000" w:themeColor="text1"/>
          <w:sz w:val="20"/>
          <w:szCs w:val="20"/>
          <w:lang w:val="es-ES"/>
        </w:rPr>
        <w:t>de</w:t>
      </w:r>
      <w:r w:rsidR="005737F5" w:rsidRPr="07C31400">
        <w:rPr>
          <w:rFonts w:asciiTheme="majorHAnsi" w:hAnsiTheme="majorHAnsi"/>
          <w:color w:val="000000" w:themeColor="text1"/>
          <w:sz w:val="20"/>
          <w:szCs w:val="20"/>
          <w:lang w:val="es-ES"/>
        </w:rPr>
        <w:t xml:space="preserve"> </w:t>
      </w:r>
      <w:r w:rsidR="00E02116" w:rsidRPr="07C31400">
        <w:rPr>
          <w:rFonts w:asciiTheme="majorHAnsi" w:hAnsiTheme="majorHAnsi"/>
          <w:color w:val="000000" w:themeColor="text1"/>
          <w:sz w:val="20"/>
          <w:szCs w:val="20"/>
          <w:lang w:val="es-ES"/>
        </w:rPr>
        <w:t>Lecherías</w:t>
      </w:r>
      <w:r w:rsidR="005737F5" w:rsidRPr="07C31400">
        <w:rPr>
          <w:rStyle w:val="FootnoteReference"/>
          <w:rFonts w:asciiTheme="majorHAnsi" w:hAnsiTheme="majorHAnsi"/>
          <w:color w:val="000000" w:themeColor="text1"/>
          <w:sz w:val="20"/>
          <w:szCs w:val="20"/>
          <w:lang w:val="es-ES"/>
        </w:rPr>
        <w:footnoteReference w:id="54"/>
      </w:r>
      <w:r w:rsidR="005737F5" w:rsidRPr="07C31400">
        <w:rPr>
          <w:rFonts w:asciiTheme="majorHAnsi" w:hAnsiTheme="majorHAnsi"/>
          <w:color w:val="000000" w:themeColor="text1"/>
          <w:sz w:val="20"/>
          <w:szCs w:val="20"/>
          <w:lang w:val="es-ES"/>
        </w:rPr>
        <w:t>.</w:t>
      </w:r>
      <w:r w:rsidR="0007451A" w:rsidRPr="07C31400">
        <w:rPr>
          <w:rFonts w:asciiTheme="majorHAnsi" w:hAnsiTheme="majorHAnsi"/>
          <w:color w:val="000000" w:themeColor="text1"/>
          <w:sz w:val="20"/>
          <w:szCs w:val="20"/>
          <w:lang w:val="es-ES"/>
        </w:rPr>
        <w:t xml:space="preserve"> En su declaración, el director del Internado Anzoátegui afirmó que la medida de traslado de las 29 </w:t>
      </w:r>
      <w:r w:rsidR="00CA1852" w:rsidRPr="07C31400">
        <w:rPr>
          <w:rFonts w:asciiTheme="majorHAnsi" w:hAnsiTheme="majorHAnsi"/>
          <w:color w:val="000000" w:themeColor="text1"/>
          <w:sz w:val="20"/>
          <w:szCs w:val="20"/>
          <w:lang w:val="es-ES"/>
        </w:rPr>
        <w:t>internas</w:t>
      </w:r>
      <w:r w:rsidR="0007451A" w:rsidRPr="07C31400">
        <w:rPr>
          <w:rFonts w:asciiTheme="majorHAnsi" w:hAnsiTheme="majorHAnsi"/>
          <w:color w:val="000000" w:themeColor="text1"/>
          <w:sz w:val="20"/>
          <w:szCs w:val="20"/>
          <w:lang w:val="es-ES"/>
        </w:rPr>
        <w:t xml:space="preserve"> se explicaba en que “ese centro penitenciario no [contaba] con instalaciones adecuadas para asegurar la vida de cada una de ellas”</w:t>
      </w:r>
      <w:r w:rsidR="0007451A" w:rsidRPr="07C31400">
        <w:rPr>
          <w:rStyle w:val="FootnoteReference"/>
          <w:rFonts w:asciiTheme="majorHAnsi" w:hAnsiTheme="majorHAnsi"/>
          <w:color w:val="000000" w:themeColor="text1"/>
          <w:sz w:val="20"/>
          <w:szCs w:val="20"/>
          <w:lang w:val="es-ES"/>
        </w:rPr>
        <w:footnoteReference w:id="55"/>
      </w:r>
      <w:r w:rsidR="0007451A" w:rsidRPr="07C31400">
        <w:rPr>
          <w:rFonts w:asciiTheme="majorHAnsi" w:hAnsiTheme="majorHAnsi"/>
          <w:color w:val="000000" w:themeColor="text1"/>
          <w:sz w:val="20"/>
          <w:szCs w:val="20"/>
          <w:lang w:val="es-ES"/>
        </w:rPr>
        <w:t>.</w:t>
      </w:r>
      <w:bookmarkEnd w:id="16"/>
    </w:p>
    <w:p w14:paraId="7D409181" w14:textId="77777777" w:rsidR="00A41DF1" w:rsidRPr="004B114F" w:rsidRDefault="00A41DF1" w:rsidP="004B114F">
      <w:pPr>
        <w:rPr>
          <w:rFonts w:asciiTheme="majorHAnsi" w:hAnsiTheme="majorHAnsi"/>
          <w:sz w:val="20"/>
          <w:szCs w:val="20"/>
          <w:lang w:val="es-ES_tradnl"/>
        </w:rPr>
      </w:pPr>
    </w:p>
    <w:p w14:paraId="5AEF741F" w14:textId="73534F47" w:rsidR="00026B83" w:rsidRPr="004B114F" w:rsidRDefault="006525CC" w:rsidP="00DE778C">
      <w:pPr>
        <w:pStyle w:val="Heading3"/>
        <w:numPr>
          <w:ilvl w:val="2"/>
          <w:numId w:val="71"/>
        </w:numPr>
        <w:ind w:left="709" w:hanging="283"/>
        <w:rPr>
          <w:rFonts w:asciiTheme="majorHAnsi" w:hAnsiTheme="majorHAnsi"/>
          <w:szCs w:val="20"/>
          <w:lang w:val="es-ES_tradnl"/>
        </w:rPr>
      </w:pPr>
      <w:bookmarkStart w:id="17" w:name="_Toc110410599"/>
      <w:bookmarkStart w:id="18" w:name="_Condiciones_de_detención"/>
      <w:bookmarkStart w:id="19" w:name="_Toc142398953"/>
      <w:bookmarkEnd w:id="17"/>
      <w:bookmarkEnd w:id="18"/>
      <w:r w:rsidRPr="004B114F">
        <w:rPr>
          <w:rFonts w:asciiTheme="majorHAnsi" w:hAnsiTheme="majorHAnsi"/>
          <w:szCs w:val="20"/>
          <w:lang w:val="es-ES_tradnl"/>
        </w:rPr>
        <w:lastRenderedPageBreak/>
        <w:t>Condiciones de detención e</w:t>
      </w:r>
      <w:r w:rsidR="00026B83" w:rsidRPr="004B114F">
        <w:rPr>
          <w:rFonts w:asciiTheme="majorHAnsi" w:hAnsiTheme="majorHAnsi"/>
          <w:szCs w:val="20"/>
          <w:lang w:val="es-ES_tradnl"/>
        </w:rPr>
        <w:t>n el Retén Policial de Lecherías</w:t>
      </w:r>
      <w:bookmarkEnd w:id="19"/>
    </w:p>
    <w:p w14:paraId="4B14CD1E" w14:textId="77777777" w:rsidR="00026B83" w:rsidRPr="004B114F" w:rsidRDefault="00026B83" w:rsidP="004B114F">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630"/>
        <w:jc w:val="both"/>
        <w:rPr>
          <w:rFonts w:asciiTheme="majorHAnsi" w:hAnsiTheme="majorHAnsi"/>
          <w:sz w:val="20"/>
          <w:szCs w:val="20"/>
          <w:lang w:val="es-ES_tradnl"/>
        </w:rPr>
      </w:pPr>
    </w:p>
    <w:p w14:paraId="6DD37969" w14:textId="65EF9CEA" w:rsidR="00FD5E0E" w:rsidRPr="004B114F" w:rsidRDefault="00A41DF1" w:rsidP="07C31400">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630"/>
        <w:jc w:val="both"/>
        <w:rPr>
          <w:rFonts w:asciiTheme="majorHAnsi" w:hAnsiTheme="majorHAnsi"/>
          <w:sz w:val="20"/>
          <w:szCs w:val="20"/>
          <w:lang w:val="es-ES"/>
        </w:rPr>
      </w:pPr>
      <w:r w:rsidRPr="07C31400">
        <w:rPr>
          <w:rFonts w:asciiTheme="majorHAnsi" w:hAnsiTheme="majorHAnsi"/>
          <w:sz w:val="20"/>
          <w:szCs w:val="20"/>
          <w:lang w:val="es-ES"/>
        </w:rPr>
        <w:t>E</w:t>
      </w:r>
      <w:r w:rsidR="00A15DE4" w:rsidRPr="07C31400">
        <w:rPr>
          <w:rFonts w:asciiTheme="majorHAnsi" w:hAnsiTheme="majorHAnsi"/>
          <w:sz w:val="20"/>
          <w:szCs w:val="20"/>
          <w:lang w:val="es-ES"/>
        </w:rPr>
        <w:t>l 9 de enero de 2002, la presunta víctima fue trasladada en calidad de procesada sujeta a prisión preventiva al Retén Policial de Lecherías</w:t>
      </w:r>
      <w:r w:rsidR="00553F15" w:rsidRPr="07C31400">
        <w:rPr>
          <w:rStyle w:val="FootnoteReference"/>
          <w:rFonts w:asciiTheme="majorHAnsi" w:hAnsiTheme="majorHAnsi"/>
          <w:sz w:val="20"/>
          <w:szCs w:val="20"/>
          <w:lang w:val="es-ES"/>
        </w:rPr>
        <w:footnoteReference w:id="56"/>
      </w:r>
      <w:r w:rsidR="00A15DE4" w:rsidRPr="07C31400">
        <w:rPr>
          <w:rFonts w:asciiTheme="majorHAnsi" w:hAnsiTheme="majorHAnsi"/>
          <w:sz w:val="20"/>
          <w:szCs w:val="20"/>
          <w:lang w:val="es-ES"/>
        </w:rPr>
        <w:t>.</w:t>
      </w:r>
      <w:r w:rsidR="0018413D" w:rsidRPr="07C31400">
        <w:rPr>
          <w:rFonts w:asciiTheme="majorHAnsi" w:hAnsiTheme="majorHAnsi"/>
          <w:sz w:val="20"/>
          <w:szCs w:val="20"/>
          <w:lang w:val="es-ES"/>
        </w:rPr>
        <w:t xml:space="preserve"> Respecto de las condiciones en dicho recinto,</w:t>
      </w:r>
      <w:r w:rsidR="00FF413A" w:rsidRPr="07C31400">
        <w:rPr>
          <w:rFonts w:asciiTheme="majorHAnsi" w:hAnsiTheme="majorHAnsi"/>
          <w:sz w:val="20"/>
          <w:szCs w:val="20"/>
          <w:lang w:val="es-ES"/>
        </w:rPr>
        <w:t xml:space="preserve"> </w:t>
      </w:r>
      <w:r w:rsidR="00D5356B" w:rsidRPr="07C31400">
        <w:rPr>
          <w:rFonts w:asciiTheme="majorHAnsi" w:hAnsiTheme="majorHAnsi"/>
          <w:sz w:val="20"/>
          <w:szCs w:val="20"/>
          <w:lang w:val="es-ES"/>
        </w:rPr>
        <w:t>el</w:t>
      </w:r>
      <w:r w:rsidR="0018413D" w:rsidRPr="07C31400">
        <w:rPr>
          <w:rFonts w:asciiTheme="majorHAnsi" w:hAnsiTheme="majorHAnsi"/>
          <w:sz w:val="20"/>
          <w:szCs w:val="20"/>
          <w:lang w:val="es-ES"/>
        </w:rPr>
        <w:t xml:space="preserve"> oficio del Director del Instituto Autónomo Policial del estado Anzoátegui</w:t>
      </w:r>
      <w:r w:rsidR="00D5356B" w:rsidRPr="07C31400">
        <w:rPr>
          <w:rFonts w:asciiTheme="majorHAnsi" w:hAnsiTheme="majorHAnsi"/>
          <w:sz w:val="20"/>
          <w:szCs w:val="20"/>
          <w:lang w:val="es-ES"/>
        </w:rPr>
        <w:t xml:space="preserve"> del 6 de agosto de 2002, dirigido al Fiscal Superior del Ministerio Publico, afirma que:</w:t>
      </w:r>
      <w:r w:rsidR="0018413D" w:rsidRPr="07C31400">
        <w:rPr>
          <w:rFonts w:asciiTheme="majorHAnsi" w:hAnsiTheme="majorHAnsi"/>
          <w:sz w:val="20"/>
          <w:szCs w:val="20"/>
          <w:lang w:val="es-ES"/>
        </w:rPr>
        <w:t xml:space="preserve"> </w:t>
      </w:r>
      <w:r w:rsidR="0030125E" w:rsidRPr="07C31400">
        <w:rPr>
          <w:rFonts w:asciiTheme="majorHAnsi" w:hAnsiTheme="majorHAnsi"/>
          <w:sz w:val="20"/>
          <w:szCs w:val="20"/>
          <w:lang w:val="es-ES"/>
        </w:rPr>
        <w:t>“hago notar el problema de hacinamiento existente y la falta de sanitarios en los calabozos de reclusión, con lo que se perturba el vivir diario de cada una de las procesadas, pudiendo originar esta situación una epidemia de gran magnitud y propagación dentro del recinto”</w:t>
      </w:r>
      <w:r w:rsidR="0018413D" w:rsidRPr="07C31400">
        <w:rPr>
          <w:rStyle w:val="FootnoteReference"/>
          <w:rFonts w:asciiTheme="majorHAnsi" w:hAnsiTheme="majorHAnsi"/>
          <w:sz w:val="20"/>
          <w:szCs w:val="20"/>
          <w:lang w:val="es-ES"/>
        </w:rPr>
        <w:footnoteReference w:id="57"/>
      </w:r>
      <w:r w:rsidR="0018413D" w:rsidRPr="07C31400">
        <w:rPr>
          <w:rFonts w:asciiTheme="majorHAnsi" w:hAnsiTheme="majorHAnsi"/>
          <w:sz w:val="20"/>
          <w:szCs w:val="20"/>
          <w:lang w:val="es-ES"/>
        </w:rPr>
        <w:t xml:space="preserve">. </w:t>
      </w:r>
    </w:p>
    <w:p w14:paraId="41344A6E" w14:textId="083CB29A" w:rsidR="0018413D" w:rsidRPr="004B114F" w:rsidRDefault="0018413D" w:rsidP="00DE778C">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jc w:val="both"/>
        <w:rPr>
          <w:rFonts w:asciiTheme="majorHAnsi" w:hAnsiTheme="majorHAnsi"/>
          <w:sz w:val="20"/>
          <w:szCs w:val="20"/>
          <w:lang w:val="es-ES_tradnl"/>
        </w:rPr>
      </w:pPr>
    </w:p>
    <w:p w14:paraId="42880C9B" w14:textId="6233D633" w:rsidR="00430B5C" w:rsidRPr="004B114F" w:rsidRDefault="00C441F7" w:rsidP="07C31400">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630"/>
        <w:jc w:val="both"/>
        <w:rPr>
          <w:rFonts w:asciiTheme="majorHAnsi" w:hAnsiTheme="majorHAnsi"/>
          <w:sz w:val="20"/>
          <w:szCs w:val="20"/>
          <w:lang w:val="es-ES"/>
        </w:rPr>
      </w:pPr>
      <w:r w:rsidRPr="07C31400">
        <w:rPr>
          <w:rFonts w:asciiTheme="majorHAnsi" w:hAnsiTheme="majorHAnsi"/>
          <w:sz w:val="20"/>
          <w:szCs w:val="20"/>
          <w:lang w:val="es-ES"/>
        </w:rPr>
        <w:t>De conformidad con la información aportada por la parte peticionaria</w:t>
      </w:r>
      <w:r w:rsidR="0018413D" w:rsidRPr="07C31400">
        <w:rPr>
          <w:rFonts w:asciiTheme="majorHAnsi" w:hAnsiTheme="majorHAnsi"/>
          <w:sz w:val="20"/>
          <w:szCs w:val="20"/>
          <w:lang w:val="es-ES"/>
        </w:rPr>
        <w:t xml:space="preserve"> y no controvertida por el Estado</w:t>
      </w:r>
      <w:r w:rsidRPr="07C31400">
        <w:rPr>
          <w:rFonts w:asciiTheme="majorHAnsi" w:hAnsiTheme="majorHAnsi"/>
          <w:sz w:val="20"/>
          <w:szCs w:val="20"/>
          <w:lang w:val="es-ES"/>
        </w:rPr>
        <w:t>, l</w:t>
      </w:r>
      <w:r w:rsidR="008E2A28" w:rsidRPr="07C31400">
        <w:rPr>
          <w:rFonts w:asciiTheme="majorHAnsi" w:hAnsiTheme="majorHAnsi"/>
          <w:sz w:val="20"/>
          <w:szCs w:val="20"/>
          <w:lang w:val="es-ES"/>
        </w:rPr>
        <w:t>a</w:t>
      </w:r>
      <w:r w:rsidR="001923FA" w:rsidRPr="07C31400">
        <w:rPr>
          <w:rFonts w:asciiTheme="majorHAnsi" w:hAnsiTheme="majorHAnsi"/>
          <w:sz w:val="20"/>
          <w:szCs w:val="20"/>
          <w:lang w:val="es-ES"/>
        </w:rPr>
        <w:t xml:space="preserve"> señora Maleno fue internada, junto con las otras</w:t>
      </w:r>
      <w:r w:rsidR="008E2A28" w:rsidRPr="07C31400">
        <w:rPr>
          <w:rFonts w:asciiTheme="majorHAnsi" w:hAnsiTheme="majorHAnsi"/>
          <w:sz w:val="20"/>
          <w:szCs w:val="20"/>
          <w:lang w:val="es-ES"/>
        </w:rPr>
        <w:t xml:space="preserve"> 1</w:t>
      </w:r>
      <w:r w:rsidR="001923FA" w:rsidRPr="07C31400">
        <w:rPr>
          <w:rFonts w:asciiTheme="majorHAnsi" w:hAnsiTheme="majorHAnsi"/>
          <w:sz w:val="20"/>
          <w:szCs w:val="20"/>
          <w:lang w:val="es-ES"/>
        </w:rPr>
        <w:t>8</w:t>
      </w:r>
      <w:r w:rsidR="008E2A28" w:rsidRPr="07C31400">
        <w:rPr>
          <w:rFonts w:asciiTheme="majorHAnsi" w:hAnsiTheme="majorHAnsi"/>
          <w:sz w:val="20"/>
          <w:szCs w:val="20"/>
          <w:lang w:val="es-ES"/>
        </w:rPr>
        <w:t xml:space="preserve"> reclusas trasladadas</w:t>
      </w:r>
      <w:r w:rsidR="001923FA" w:rsidRPr="07C31400">
        <w:rPr>
          <w:rFonts w:asciiTheme="majorHAnsi" w:hAnsiTheme="majorHAnsi"/>
          <w:sz w:val="20"/>
          <w:szCs w:val="20"/>
          <w:lang w:val="es-ES"/>
        </w:rPr>
        <w:t>,</w:t>
      </w:r>
      <w:r w:rsidRPr="07C31400">
        <w:rPr>
          <w:rFonts w:asciiTheme="majorHAnsi" w:hAnsiTheme="majorHAnsi"/>
          <w:sz w:val="20"/>
          <w:szCs w:val="20"/>
          <w:lang w:val="es-ES"/>
        </w:rPr>
        <w:t xml:space="preserve"> </w:t>
      </w:r>
      <w:r w:rsidR="008E2A28" w:rsidRPr="07C31400">
        <w:rPr>
          <w:rFonts w:asciiTheme="majorHAnsi" w:hAnsiTheme="majorHAnsi"/>
          <w:sz w:val="20"/>
          <w:szCs w:val="20"/>
          <w:lang w:val="es-ES"/>
        </w:rPr>
        <w:t xml:space="preserve">en dos calabozos </w:t>
      </w:r>
      <w:r w:rsidR="00637C94" w:rsidRPr="07C31400">
        <w:rPr>
          <w:rFonts w:asciiTheme="majorHAnsi" w:hAnsiTheme="majorHAnsi"/>
          <w:sz w:val="20"/>
          <w:szCs w:val="20"/>
          <w:lang w:val="es-ES"/>
        </w:rPr>
        <w:t>que</w:t>
      </w:r>
      <w:r w:rsidR="008E2A28" w:rsidRPr="07C31400">
        <w:rPr>
          <w:rFonts w:asciiTheme="majorHAnsi" w:hAnsiTheme="majorHAnsi"/>
          <w:sz w:val="20"/>
          <w:szCs w:val="20"/>
          <w:lang w:val="es-ES"/>
        </w:rPr>
        <w:t xml:space="preserve"> albergaban a varones y se encontraban en su capacidad máxima</w:t>
      </w:r>
      <w:r w:rsidR="008E2A28" w:rsidRPr="07C31400">
        <w:rPr>
          <w:rStyle w:val="FootnoteReference"/>
          <w:rFonts w:asciiTheme="majorHAnsi" w:hAnsiTheme="majorHAnsi"/>
          <w:sz w:val="20"/>
          <w:szCs w:val="20"/>
          <w:lang w:val="es-ES"/>
        </w:rPr>
        <w:footnoteReference w:id="58"/>
      </w:r>
      <w:r w:rsidR="008E2A28" w:rsidRPr="07C31400">
        <w:rPr>
          <w:rFonts w:asciiTheme="majorHAnsi" w:hAnsiTheme="majorHAnsi"/>
          <w:sz w:val="20"/>
          <w:szCs w:val="20"/>
          <w:lang w:val="es-ES"/>
        </w:rPr>
        <w:t>.</w:t>
      </w:r>
      <w:r w:rsidR="00637C94" w:rsidRPr="07C31400">
        <w:rPr>
          <w:rFonts w:asciiTheme="majorHAnsi" w:hAnsiTheme="majorHAnsi"/>
          <w:sz w:val="20"/>
          <w:szCs w:val="20"/>
          <w:lang w:val="es-ES"/>
        </w:rPr>
        <w:t xml:space="preserve"> </w:t>
      </w:r>
      <w:r w:rsidR="001923FA" w:rsidRPr="07C31400">
        <w:rPr>
          <w:rFonts w:asciiTheme="majorHAnsi" w:hAnsiTheme="majorHAnsi"/>
          <w:sz w:val="20"/>
          <w:szCs w:val="20"/>
          <w:lang w:val="es-ES"/>
        </w:rPr>
        <w:t>Al tratarse de un centro destinado a detenciones provisionales de 48 horas</w:t>
      </w:r>
      <w:r w:rsidR="001923FA" w:rsidRPr="07C31400">
        <w:rPr>
          <w:rStyle w:val="FootnoteReference"/>
          <w:rFonts w:asciiTheme="majorHAnsi" w:hAnsiTheme="majorHAnsi"/>
          <w:sz w:val="20"/>
          <w:szCs w:val="20"/>
          <w:lang w:val="es-ES"/>
        </w:rPr>
        <w:footnoteReference w:id="59"/>
      </w:r>
      <w:r w:rsidR="001923FA" w:rsidRPr="07C31400">
        <w:rPr>
          <w:rFonts w:asciiTheme="majorHAnsi" w:hAnsiTheme="majorHAnsi"/>
          <w:sz w:val="20"/>
          <w:szCs w:val="20"/>
          <w:lang w:val="es-ES"/>
        </w:rPr>
        <w:t xml:space="preserve">, los calabozos disponibles para el internamiento eran insuficientes y no estaban adaptados para albergar a personas detenidas por periodos mayores. </w:t>
      </w:r>
      <w:r w:rsidRPr="07C31400">
        <w:rPr>
          <w:rFonts w:asciiTheme="majorHAnsi" w:hAnsiTheme="majorHAnsi"/>
          <w:sz w:val="20"/>
          <w:szCs w:val="20"/>
          <w:lang w:val="es-ES"/>
        </w:rPr>
        <w:t>Consta también que las</w:t>
      </w:r>
      <w:r w:rsidR="00637C94" w:rsidRPr="07C31400">
        <w:rPr>
          <w:rFonts w:asciiTheme="majorHAnsi" w:hAnsiTheme="majorHAnsi"/>
          <w:sz w:val="20"/>
          <w:szCs w:val="20"/>
          <w:lang w:val="es-ES"/>
        </w:rPr>
        <w:t xml:space="preserve"> internas</w:t>
      </w:r>
      <w:r w:rsidR="00CA7ABC" w:rsidRPr="07C31400">
        <w:rPr>
          <w:rFonts w:asciiTheme="majorHAnsi" w:hAnsiTheme="majorHAnsi"/>
          <w:sz w:val="20"/>
          <w:szCs w:val="20"/>
          <w:lang w:val="es-ES"/>
        </w:rPr>
        <w:t xml:space="preserve"> </w:t>
      </w:r>
      <w:r w:rsidR="003F19AD" w:rsidRPr="07C31400">
        <w:rPr>
          <w:rFonts w:asciiTheme="majorHAnsi" w:hAnsiTheme="majorHAnsi"/>
          <w:sz w:val="20"/>
          <w:szCs w:val="20"/>
          <w:lang w:val="es-ES"/>
        </w:rPr>
        <w:t xml:space="preserve">no recibían ningún tipo de atención médica y la alimentación ofrecida era precaria, </w:t>
      </w:r>
      <w:r w:rsidRPr="07C31400">
        <w:rPr>
          <w:rFonts w:asciiTheme="majorHAnsi" w:hAnsiTheme="majorHAnsi"/>
          <w:sz w:val="20"/>
          <w:szCs w:val="20"/>
          <w:lang w:val="es-ES"/>
        </w:rPr>
        <w:t xml:space="preserve">lo que ocasionó que en </w:t>
      </w:r>
      <w:r w:rsidR="003F19AD" w:rsidRPr="07C31400">
        <w:rPr>
          <w:rFonts w:asciiTheme="majorHAnsi" w:hAnsiTheme="majorHAnsi"/>
          <w:sz w:val="20"/>
          <w:szCs w:val="20"/>
          <w:lang w:val="es-ES"/>
        </w:rPr>
        <w:t xml:space="preserve">distintas oportunidades </w:t>
      </w:r>
      <w:r w:rsidRPr="07C31400">
        <w:rPr>
          <w:rFonts w:asciiTheme="majorHAnsi" w:hAnsiTheme="majorHAnsi"/>
          <w:sz w:val="20"/>
          <w:szCs w:val="20"/>
          <w:lang w:val="es-ES"/>
        </w:rPr>
        <w:t>se declaren</w:t>
      </w:r>
      <w:r w:rsidR="003F19AD" w:rsidRPr="07C31400">
        <w:rPr>
          <w:rFonts w:asciiTheme="majorHAnsi" w:hAnsiTheme="majorHAnsi"/>
          <w:sz w:val="20"/>
          <w:szCs w:val="20"/>
          <w:lang w:val="es-ES"/>
        </w:rPr>
        <w:t xml:space="preserve"> en huelga </w:t>
      </w:r>
      <w:r w:rsidRPr="07C31400">
        <w:rPr>
          <w:rFonts w:asciiTheme="majorHAnsi" w:hAnsiTheme="majorHAnsi"/>
          <w:sz w:val="20"/>
          <w:szCs w:val="20"/>
          <w:lang w:val="es-ES"/>
        </w:rPr>
        <w:t xml:space="preserve">ya sea </w:t>
      </w:r>
      <w:r w:rsidR="003F19AD" w:rsidRPr="07C31400">
        <w:rPr>
          <w:rFonts w:asciiTheme="majorHAnsi" w:hAnsiTheme="majorHAnsi"/>
          <w:sz w:val="20"/>
          <w:szCs w:val="20"/>
          <w:lang w:val="es-ES"/>
        </w:rPr>
        <w:t>exigiendo su retorno al Internado Anzoátegui o como</w:t>
      </w:r>
      <w:r w:rsidRPr="07C31400">
        <w:rPr>
          <w:rFonts w:asciiTheme="majorHAnsi" w:hAnsiTheme="majorHAnsi"/>
          <w:sz w:val="20"/>
          <w:szCs w:val="20"/>
          <w:lang w:val="es-ES"/>
        </w:rPr>
        <w:t xml:space="preserve"> forma de</w:t>
      </w:r>
      <w:r w:rsidR="003F19AD" w:rsidRPr="07C31400">
        <w:rPr>
          <w:rFonts w:asciiTheme="majorHAnsi" w:hAnsiTheme="majorHAnsi"/>
          <w:sz w:val="20"/>
          <w:szCs w:val="20"/>
          <w:lang w:val="es-ES"/>
        </w:rPr>
        <w:t xml:space="preserve"> protesta </w:t>
      </w:r>
      <w:r w:rsidRPr="07C31400">
        <w:rPr>
          <w:rFonts w:asciiTheme="majorHAnsi" w:hAnsiTheme="majorHAnsi"/>
          <w:sz w:val="20"/>
          <w:szCs w:val="20"/>
          <w:lang w:val="es-ES"/>
        </w:rPr>
        <w:t>frente a</w:t>
      </w:r>
      <w:r w:rsidR="003F19AD" w:rsidRPr="07C31400">
        <w:rPr>
          <w:rFonts w:asciiTheme="majorHAnsi" w:hAnsiTheme="majorHAnsi"/>
          <w:sz w:val="20"/>
          <w:szCs w:val="20"/>
          <w:lang w:val="es-ES"/>
        </w:rPr>
        <w:t xml:space="preserve"> las condiciones carcelarias</w:t>
      </w:r>
      <w:r w:rsidRPr="07C31400">
        <w:rPr>
          <w:rFonts w:asciiTheme="majorHAnsi" w:hAnsiTheme="majorHAnsi"/>
          <w:sz w:val="20"/>
          <w:szCs w:val="20"/>
          <w:lang w:val="es-ES"/>
        </w:rPr>
        <w:t xml:space="preserve"> a las que eran sometidas</w:t>
      </w:r>
      <w:r w:rsidR="003F19AD" w:rsidRPr="07C31400">
        <w:rPr>
          <w:rStyle w:val="FootnoteReference"/>
          <w:rFonts w:asciiTheme="majorHAnsi" w:hAnsiTheme="majorHAnsi"/>
          <w:sz w:val="20"/>
          <w:szCs w:val="20"/>
          <w:lang w:val="es-ES"/>
        </w:rPr>
        <w:footnoteReference w:id="60"/>
      </w:r>
      <w:r w:rsidR="003F19AD" w:rsidRPr="07C31400">
        <w:rPr>
          <w:rFonts w:asciiTheme="majorHAnsi" w:hAnsiTheme="majorHAnsi"/>
          <w:sz w:val="20"/>
          <w:szCs w:val="20"/>
          <w:lang w:val="es-ES"/>
        </w:rPr>
        <w:t xml:space="preserve">. </w:t>
      </w:r>
      <w:r w:rsidR="001923FA" w:rsidRPr="07C31400">
        <w:rPr>
          <w:rFonts w:asciiTheme="majorHAnsi" w:hAnsiTheme="majorHAnsi"/>
          <w:sz w:val="20"/>
          <w:szCs w:val="20"/>
          <w:lang w:val="es-ES"/>
        </w:rPr>
        <w:t>Asimismo, l</w:t>
      </w:r>
      <w:r w:rsidR="00251FBD" w:rsidRPr="07C31400">
        <w:rPr>
          <w:rFonts w:asciiTheme="majorHAnsi" w:hAnsiTheme="majorHAnsi"/>
          <w:sz w:val="20"/>
          <w:szCs w:val="20"/>
          <w:lang w:val="es-ES"/>
        </w:rPr>
        <w:t xml:space="preserve">a presunta víctima </w:t>
      </w:r>
      <w:r w:rsidR="003F19AD" w:rsidRPr="07C31400">
        <w:rPr>
          <w:rFonts w:asciiTheme="majorHAnsi" w:hAnsiTheme="majorHAnsi"/>
          <w:sz w:val="20"/>
          <w:szCs w:val="20"/>
          <w:lang w:val="es-ES"/>
        </w:rPr>
        <w:t xml:space="preserve">dependía de apoyos familiares para </w:t>
      </w:r>
      <w:r w:rsidR="00AF0BC1" w:rsidRPr="07C31400">
        <w:rPr>
          <w:rFonts w:asciiTheme="majorHAnsi" w:hAnsiTheme="majorHAnsi"/>
          <w:sz w:val="20"/>
          <w:szCs w:val="20"/>
          <w:lang w:val="es-ES"/>
        </w:rPr>
        <w:t xml:space="preserve">garantizar su alimentación, lo que </w:t>
      </w:r>
      <w:r w:rsidR="00FD5E0E" w:rsidRPr="07C31400">
        <w:rPr>
          <w:rFonts w:asciiTheme="majorHAnsi" w:hAnsiTheme="majorHAnsi"/>
          <w:sz w:val="20"/>
          <w:szCs w:val="20"/>
          <w:lang w:val="es-ES"/>
        </w:rPr>
        <w:t xml:space="preserve">la </w:t>
      </w:r>
      <w:r w:rsidR="00AF0BC1" w:rsidRPr="07C31400">
        <w:rPr>
          <w:rFonts w:asciiTheme="majorHAnsi" w:hAnsiTheme="majorHAnsi"/>
          <w:sz w:val="20"/>
          <w:szCs w:val="20"/>
          <w:lang w:val="es-ES"/>
        </w:rPr>
        <w:t xml:space="preserve">colocaba en una situación de especial vulnerabilidad </w:t>
      </w:r>
      <w:r w:rsidR="00FD5E0E" w:rsidRPr="07C31400">
        <w:rPr>
          <w:rFonts w:asciiTheme="majorHAnsi" w:hAnsiTheme="majorHAnsi"/>
          <w:sz w:val="20"/>
          <w:szCs w:val="20"/>
          <w:lang w:val="es-ES"/>
        </w:rPr>
        <w:t>en tanto su</w:t>
      </w:r>
      <w:r w:rsidR="00AF0BC1" w:rsidRPr="07C31400">
        <w:rPr>
          <w:rFonts w:asciiTheme="majorHAnsi" w:hAnsiTheme="majorHAnsi"/>
          <w:sz w:val="20"/>
          <w:szCs w:val="20"/>
          <w:lang w:val="es-ES"/>
        </w:rPr>
        <w:t xml:space="preserve"> familia </w:t>
      </w:r>
      <w:r w:rsidR="0018413D" w:rsidRPr="07C31400">
        <w:rPr>
          <w:rFonts w:asciiTheme="majorHAnsi" w:hAnsiTheme="majorHAnsi"/>
          <w:sz w:val="20"/>
          <w:szCs w:val="20"/>
          <w:lang w:val="es-ES"/>
        </w:rPr>
        <w:t>no contaba con los medios para garantizar la alimentación que el Estado no le proveía al interior del Retén Policial</w:t>
      </w:r>
      <w:r w:rsidR="00AF0BC1" w:rsidRPr="07C31400">
        <w:rPr>
          <w:rStyle w:val="FootnoteReference"/>
          <w:rFonts w:asciiTheme="majorHAnsi" w:hAnsiTheme="majorHAnsi"/>
          <w:sz w:val="20"/>
          <w:szCs w:val="20"/>
          <w:lang w:val="es-ES"/>
        </w:rPr>
        <w:footnoteReference w:id="61"/>
      </w:r>
      <w:r w:rsidR="00AF0BC1" w:rsidRPr="07C31400">
        <w:rPr>
          <w:rFonts w:asciiTheme="majorHAnsi" w:hAnsiTheme="majorHAnsi"/>
          <w:sz w:val="20"/>
          <w:szCs w:val="20"/>
          <w:lang w:val="es-ES"/>
        </w:rPr>
        <w:t>.</w:t>
      </w:r>
      <w:r w:rsidR="0018413D" w:rsidRPr="07C31400">
        <w:rPr>
          <w:rFonts w:asciiTheme="majorHAnsi" w:hAnsiTheme="majorHAnsi"/>
          <w:sz w:val="20"/>
          <w:szCs w:val="20"/>
          <w:lang w:val="es-ES"/>
        </w:rPr>
        <w:t xml:space="preserve"> </w:t>
      </w:r>
    </w:p>
    <w:p w14:paraId="78587624" w14:textId="77777777" w:rsidR="00D86DAB" w:rsidRPr="004B114F" w:rsidRDefault="00D86DAB" w:rsidP="004B114F">
      <w:pPr>
        <w:pStyle w:val="ListParagraph"/>
        <w:rPr>
          <w:rFonts w:asciiTheme="majorHAnsi" w:hAnsiTheme="majorHAnsi"/>
          <w:sz w:val="20"/>
          <w:szCs w:val="20"/>
          <w:lang w:val="es-ES_tradnl"/>
        </w:rPr>
      </w:pPr>
    </w:p>
    <w:p w14:paraId="06B5EC62" w14:textId="3A381632" w:rsidR="00ED334E" w:rsidRPr="004B114F" w:rsidRDefault="001923FA" w:rsidP="07C31400">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630"/>
        <w:jc w:val="both"/>
        <w:rPr>
          <w:rFonts w:asciiTheme="majorHAnsi" w:hAnsiTheme="majorHAnsi"/>
          <w:sz w:val="20"/>
          <w:szCs w:val="20"/>
          <w:lang w:val="es-ES"/>
        </w:rPr>
      </w:pPr>
      <w:r w:rsidRPr="07C31400">
        <w:rPr>
          <w:rFonts w:asciiTheme="majorHAnsi" w:hAnsiTheme="majorHAnsi"/>
          <w:sz w:val="20"/>
          <w:szCs w:val="20"/>
          <w:lang w:val="es-ES"/>
        </w:rPr>
        <w:t>Igualmente, la peticionaria informó sin que el Estado lo controvierta que</w:t>
      </w:r>
      <w:r w:rsidR="0018413D" w:rsidRPr="07C31400">
        <w:rPr>
          <w:rFonts w:asciiTheme="majorHAnsi" w:hAnsiTheme="majorHAnsi"/>
          <w:sz w:val="20"/>
          <w:szCs w:val="20"/>
          <w:lang w:val="es-ES"/>
        </w:rPr>
        <w:t>, i</w:t>
      </w:r>
      <w:r w:rsidR="00946169" w:rsidRPr="07C31400">
        <w:rPr>
          <w:rFonts w:asciiTheme="majorHAnsi" w:hAnsiTheme="majorHAnsi"/>
          <w:sz w:val="20"/>
          <w:szCs w:val="20"/>
          <w:lang w:val="es-ES"/>
        </w:rPr>
        <w:t xml:space="preserve">nmediatamente después de su traslado </w:t>
      </w:r>
      <w:r w:rsidR="0018413D" w:rsidRPr="07C31400">
        <w:rPr>
          <w:rFonts w:asciiTheme="majorHAnsi" w:hAnsiTheme="majorHAnsi"/>
          <w:sz w:val="20"/>
          <w:szCs w:val="20"/>
          <w:lang w:val="es-ES"/>
        </w:rPr>
        <w:t xml:space="preserve">al Retén Policial, </w:t>
      </w:r>
      <w:r w:rsidR="00946169" w:rsidRPr="07C31400">
        <w:rPr>
          <w:rFonts w:asciiTheme="majorHAnsi" w:hAnsiTheme="majorHAnsi"/>
          <w:sz w:val="20"/>
          <w:szCs w:val="20"/>
          <w:lang w:val="es-ES"/>
        </w:rPr>
        <w:t xml:space="preserve">la señora Maleno lidiaba con las consecuencias físicas de la violación sexual y la falta de atención médica, </w:t>
      </w:r>
      <w:r w:rsidRPr="07C31400">
        <w:rPr>
          <w:rFonts w:asciiTheme="majorHAnsi" w:hAnsiTheme="majorHAnsi"/>
          <w:sz w:val="20"/>
          <w:szCs w:val="20"/>
          <w:lang w:val="es-ES"/>
        </w:rPr>
        <w:t>además de</w:t>
      </w:r>
      <w:r w:rsidR="00E65C6D" w:rsidRPr="07C31400">
        <w:rPr>
          <w:rFonts w:asciiTheme="majorHAnsi" w:hAnsiTheme="majorHAnsi"/>
          <w:sz w:val="20"/>
          <w:szCs w:val="20"/>
          <w:lang w:val="es-ES"/>
        </w:rPr>
        <w:t xml:space="preserve"> las demás condiciones de</w:t>
      </w:r>
      <w:r w:rsidR="00946169" w:rsidRPr="07C31400">
        <w:rPr>
          <w:rFonts w:asciiTheme="majorHAnsi" w:hAnsiTheme="majorHAnsi"/>
          <w:sz w:val="20"/>
          <w:szCs w:val="20"/>
          <w:lang w:val="es-ES"/>
        </w:rPr>
        <w:t xml:space="preserve"> detención descritas</w:t>
      </w:r>
      <w:r w:rsidR="0018413D" w:rsidRPr="07C31400">
        <w:rPr>
          <w:rFonts w:asciiTheme="majorHAnsi" w:hAnsiTheme="majorHAnsi"/>
          <w:sz w:val="20"/>
          <w:szCs w:val="20"/>
          <w:lang w:val="es-ES"/>
        </w:rPr>
        <w:t xml:space="preserve"> que</w:t>
      </w:r>
      <w:r w:rsidR="00946169" w:rsidRPr="07C31400">
        <w:rPr>
          <w:rFonts w:asciiTheme="majorHAnsi" w:hAnsiTheme="majorHAnsi"/>
          <w:sz w:val="20"/>
          <w:szCs w:val="20"/>
          <w:lang w:val="es-ES"/>
        </w:rPr>
        <w:t xml:space="preserve"> </w:t>
      </w:r>
      <w:r w:rsidR="00E65C6D" w:rsidRPr="07C31400">
        <w:rPr>
          <w:rFonts w:asciiTheme="majorHAnsi" w:hAnsiTheme="majorHAnsi"/>
          <w:sz w:val="20"/>
          <w:szCs w:val="20"/>
          <w:lang w:val="es-ES"/>
        </w:rPr>
        <w:t>resultaban especialmente graves para su integridad</w:t>
      </w:r>
      <w:r w:rsidR="0018413D" w:rsidRPr="07C31400">
        <w:rPr>
          <w:rStyle w:val="FootnoteReference"/>
          <w:rFonts w:asciiTheme="majorHAnsi" w:hAnsiTheme="majorHAnsi"/>
          <w:sz w:val="20"/>
          <w:szCs w:val="20"/>
          <w:lang w:val="es-ES"/>
        </w:rPr>
        <w:footnoteReference w:id="62"/>
      </w:r>
      <w:r w:rsidR="00E65C6D" w:rsidRPr="07C31400">
        <w:rPr>
          <w:rFonts w:asciiTheme="majorHAnsi" w:hAnsiTheme="majorHAnsi"/>
          <w:sz w:val="20"/>
          <w:szCs w:val="20"/>
          <w:lang w:val="es-ES"/>
        </w:rPr>
        <w:t xml:space="preserve">. </w:t>
      </w:r>
      <w:r w:rsidR="00615BFC" w:rsidRPr="07C31400">
        <w:rPr>
          <w:rFonts w:asciiTheme="majorHAnsi" w:hAnsiTheme="majorHAnsi"/>
          <w:sz w:val="20"/>
          <w:szCs w:val="20"/>
          <w:lang w:val="es-ES"/>
        </w:rPr>
        <w:t>A lo anterior, la peticionaria ha añadido que la presunta víctima se encontraba constantemente amenazada y hostilizada por sus pares internas que la veían como responsable de su traslado del Internado Anzoátegui al Retén Policial, donde las condiciones de detención eran incluso más gravosas. Como medida frente a esta situación, las autoridades del Retén Policial decidieron trasladar a la señora Maleno a una celda distinta en donde se vía obligada a dormir en el suelo</w:t>
      </w:r>
      <w:r w:rsidR="00615BFC" w:rsidRPr="07C31400">
        <w:rPr>
          <w:rStyle w:val="FootnoteReference"/>
          <w:rFonts w:asciiTheme="majorHAnsi" w:hAnsiTheme="majorHAnsi"/>
          <w:sz w:val="20"/>
          <w:szCs w:val="20"/>
          <w:lang w:val="es-ES"/>
        </w:rPr>
        <w:footnoteReference w:id="63"/>
      </w:r>
      <w:r w:rsidR="00615BFC" w:rsidRPr="07C31400">
        <w:rPr>
          <w:rFonts w:asciiTheme="majorHAnsi" w:hAnsiTheme="majorHAnsi"/>
          <w:sz w:val="20"/>
          <w:szCs w:val="20"/>
          <w:lang w:val="es-ES"/>
        </w:rPr>
        <w:t>.</w:t>
      </w:r>
    </w:p>
    <w:p w14:paraId="0C3A28F9" w14:textId="77777777" w:rsidR="00F96E15" w:rsidRPr="004B114F" w:rsidRDefault="00F96E15" w:rsidP="004B114F">
      <w:pPr>
        <w:pStyle w:val="ListParagraph"/>
        <w:rPr>
          <w:rFonts w:asciiTheme="majorHAnsi" w:hAnsiTheme="majorHAnsi"/>
          <w:sz w:val="20"/>
          <w:szCs w:val="20"/>
          <w:lang w:val="es-ES_tradnl"/>
        </w:rPr>
      </w:pPr>
    </w:p>
    <w:p w14:paraId="2E4282DE" w14:textId="5706C418" w:rsidR="00F96E15" w:rsidRPr="004B114F" w:rsidRDefault="005E04F5" w:rsidP="004B114F">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630"/>
        <w:jc w:val="both"/>
        <w:rPr>
          <w:rFonts w:asciiTheme="majorHAnsi" w:hAnsiTheme="majorHAnsi"/>
          <w:sz w:val="20"/>
          <w:szCs w:val="20"/>
          <w:lang w:val="es-ES_tradnl"/>
        </w:rPr>
      </w:pPr>
      <w:r w:rsidRPr="004B114F">
        <w:rPr>
          <w:rFonts w:asciiTheme="majorHAnsi" w:hAnsiTheme="majorHAnsi"/>
          <w:sz w:val="20"/>
          <w:szCs w:val="20"/>
          <w:lang w:val="es-ES_tradnl"/>
        </w:rPr>
        <w:t xml:space="preserve"> La señora Maleno permaneció detenida en el Retén Policial bajo medida de prisión preventiva hasta el 6 de noviembre de 2003, según fue previamente señalado (</w:t>
      </w:r>
      <w:r w:rsidRPr="00DE778C">
        <w:rPr>
          <w:rFonts w:asciiTheme="majorHAnsi" w:hAnsiTheme="majorHAnsi"/>
          <w:i/>
          <w:sz w:val="20"/>
          <w:szCs w:val="20"/>
          <w:lang w:val="es-ES_tradnl"/>
        </w:rPr>
        <w:t>supra</w:t>
      </w:r>
      <w:r w:rsidRPr="004B114F">
        <w:rPr>
          <w:rFonts w:asciiTheme="majorHAnsi" w:hAnsiTheme="majorHAnsi"/>
          <w:sz w:val="20"/>
          <w:szCs w:val="20"/>
          <w:lang w:val="es-ES_tradnl"/>
        </w:rPr>
        <w:t xml:space="preserve"> párrafo </w:t>
      </w:r>
      <w:r w:rsidR="00EB7A42">
        <w:rPr>
          <w:rFonts w:asciiTheme="majorHAnsi" w:hAnsiTheme="majorHAnsi"/>
          <w:sz w:val="20"/>
          <w:szCs w:val="20"/>
          <w:highlight w:val="yellow"/>
          <w:lang w:val="es-ES_tradnl"/>
        </w:rPr>
        <w:fldChar w:fldCharType="begin"/>
      </w:r>
      <w:r w:rsidR="00EB7A42">
        <w:rPr>
          <w:rFonts w:asciiTheme="majorHAnsi" w:hAnsiTheme="majorHAnsi"/>
          <w:sz w:val="20"/>
          <w:szCs w:val="20"/>
          <w:lang w:val="es-ES_tradnl"/>
        </w:rPr>
        <w:instrText xml:space="preserve"> REF _Ref133934006 \r \h </w:instrText>
      </w:r>
      <w:r w:rsidR="00EB7A42">
        <w:rPr>
          <w:rFonts w:asciiTheme="majorHAnsi" w:hAnsiTheme="majorHAnsi"/>
          <w:sz w:val="20"/>
          <w:szCs w:val="20"/>
          <w:highlight w:val="yellow"/>
          <w:lang w:val="es-ES_tradnl"/>
        </w:rPr>
      </w:r>
      <w:r w:rsidR="00EB7A42">
        <w:rPr>
          <w:rFonts w:asciiTheme="majorHAnsi" w:hAnsiTheme="majorHAnsi"/>
          <w:sz w:val="20"/>
          <w:szCs w:val="20"/>
          <w:highlight w:val="yellow"/>
          <w:lang w:val="es-ES_tradnl"/>
        </w:rPr>
        <w:fldChar w:fldCharType="separate"/>
      </w:r>
      <w:r w:rsidR="005022C3">
        <w:rPr>
          <w:rFonts w:asciiTheme="majorHAnsi" w:hAnsiTheme="majorHAnsi"/>
          <w:sz w:val="20"/>
          <w:szCs w:val="20"/>
          <w:lang w:val="es-ES_tradnl"/>
        </w:rPr>
        <w:t>22</w:t>
      </w:r>
      <w:r w:rsidR="00EB7A42">
        <w:rPr>
          <w:rFonts w:asciiTheme="majorHAnsi" w:hAnsiTheme="majorHAnsi"/>
          <w:sz w:val="20"/>
          <w:szCs w:val="20"/>
          <w:highlight w:val="yellow"/>
          <w:lang w:val="es-ES_tradnl"/>
        </w:rPr>
        <w:fldChar w:fldCharType="end"/>
      </w:r>
      <w:r w:rsidRPr="004B114F">
        <w:rPr>
          <w:rFonts w:asciiTheme="majorHAnsi" w:hAnsiTheme="majorHAnsi"/>
          <w:sz w:val="20"/>
          <w:szCs w:val="20"/>
          <w:lang w:val="es-ES_tradnl"/>
        </w:rPr>
        <w:t>).</w:t>
      </w:r>
    </w:p>
    <w:p w14:paraId="48A35125" w14:textId="77777777" w:rsidR="00AF6FE7" w:rsidRPr="004B114F" w:rsidRDefault="00AE3F02" w:rsidP="004B114F">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jc w:val="both"/>
        <w:rPr>
          <w:rFonts w:asciiTheme="majorHAnsi" w:hAnsiTheme="majorHAnsi"/>
          <w:sz w:val="20"/>
          <w:szCs w:val="20"/>
          <w:lang w:val="es-ES_tradnl"/>
        </w:rPr>
      </w:pPr>
      <w:r w:rsidRPr="004B114F">
        <w:rPr>
          <w:rFonts w:asciiTheme="majorHAnsi" w:hAnsiTheme="majorHAnsi"/>
          <w:sz w:val="20"/>
          <w:szCs w:val="20"/>
          <w:lang w:val="es-ES_tradnl"/>
        </w:rPr>
        <w:t xml:space="preserve"> </w:t>
      </w:r>
    </w:p>
    <w:p w14:paraId="3C6CD1C2" w14:textId="70FB26DC" w:rsidR="004940FC" w:rsidRPr="004B114F" w:rsidRDefault="00F50A82" w:rsidP="00DE778C">
      <w:pPr>
        <w:pStyle w:val="Heading2"/>
        <w:numPr>
          <w:ilvl w:val="0"/>
          <w:numId w:val="61"/>
        </w:numPr>
        <w:jc w:val="both"/>
        <w:rPr>
          <w:rFonts w:asciiTheme="majorHAnsi" w:hAnsiTheme="majorHAnsi"/>
          <w:szCs w:val="20"/>
          <w:lang w:val="es-ES_tradnl"/>
        </w:rPr>
      </w:pPr>
      <w:bookmarkStart w:id="20" w:name="_Toc142398954"/>
      <w:r w:rsidRPr="004B114F">
        <w:rPr>
          <w:rFonts w:asciiTheme="majorHAnsi" w:hAnsiTheme="majorHAnsi"/>
          <w:szCs w:val="20"/>
          <w:lang w:val="es-ES_tradnl"/>
        </w:rPr>
        <w:t>P</w:t>
      </w:r>
      <w:r w:rsidR="00386CB0" w:rsidRPr="004B114F">
        <w:rPr>
          <w:rFonts w:asciiTheme="majorHAnsi" w:hAnsiTheme="majorHAnsi"/>
          <w:szCs w:val="20"/>
          <w:lang w:val="es-ES_tradnl"/>
        </w:rPr>
        <w:t>rocesos judiciales</w:t>
      </w:r>
      <w:r w:rsidR="00E96514" w:rsidRPr="004B114F">
        <w:rPr>
          <w:rFonts w:asciiTheme="majorHAnsi" w:hAnsiTheme="majorHAnsi"/>
          <w:szCs w:val="20"/>
          <w:lang w:val="es-ES_tradnl"/>
        </w:rPr>
        <w:t xml:space="preserve"> iniciados</w:t>
      </w:r>
      <w:r w:rsidR="00386CB0" w:rsidRPr="004B114F">
        <w:rPr>
          <w:rFonts w:asciiTheme="majorHAnsi" w:hAnsiTheme="majorHAnsi"/>
          <w:szCs w:val="20"/>
          <w:lang w:val="es-ES_tradnl"/>
        </w:rPr>
        <w:t xml:space="preserve"> </w:t>
      </w:r>
      <w:r w:rsidR="00E96514" w:rsidRPr="004B114F">
        <w:rPr>
          <w:rFonts w:asciiTheme="majorHAnsi" w:hAnsiTheme="majorHAnsi"/>
          <w:szCs w:val="20"/>
          <w:lang w:val="es-ES_tradnl"/>
        </w:rPr>
        <w:t xml:space="preserve">por las condiciones carcelarias y violación sexual contra la </w:t>
      </w:r>
      <w:r w:rsidRPr="004B114F">
        <w:rPr>
          <w:rFonts w:asciiTheme="majorHAnsi" w:hAnsiTheme="majorHAnsi"/>
          <w:szCs w:val="20"/>
          <w:lang w:val="es-ES_tradnl"/>
        </w:rPr>
        <w:t>señora Maleno</w:t>
      </w:r>
      <w:bookmarkEnd w:id="20"/>
    </w:p>
    <w:p w14:paraId="35B7C6BC" w14:textId="77777777" w:rsidR="00F7171D" w:rsidRPr="004B114F" w:rsidRDefault="00F7171D" w:rsidP="004B114F">
      <w:pPr>
        <w:pStyle w:val="ListParagraph"/>
        <w:ind w:left="1080"/>
        <w:rPr>
          <w:rFonts w:asciiTheme="majorHAnsi" w:hAnsiTheme="majorHAnsi"/>
          <w:b/>
          <w:color w:val="auto"/>
          <w:sz w:val="20"/>
          <w:szCs w:val="20"/>
          <w:lang w:val="es-ES_tradnl"/>
        </w:rPr>
      </w:pPr>
    </w:p>
    <w:p w14:paraId="664FEA2B" w14:textId="046920F2" w:rsidR="00A64533" w:rsidRPr="004B114F" w:rsidRDefault="000C7A11" w:rsidP="004B114F">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630"/>
        <w:jc w:val="both"/>
        <w:rPr>
          <w:rFonts w:asciiTheme="majorHAnsi" w:hAnsiTheme="majorHAnsi"/>
          <w:sz w:val="20"/>
          <w:szCs w:val="20"/>
          <w:lang w:val="es-ES_tradnl"/>
        </w:rPr>
      </w:pPr>
      <w:r w:rsidRPr="004B114F">
        <w:rPr>
          <w:rFonts w:asciiTheme="majorHAnsi" w:hAnsiTheme="majorHAnsi"/>
          <w:sz w:val="20"/>
          <w:szCs w:val="20"/>
          <w:lang w:val="es-ES_tradnl"/>
        </w:rPr>
        <w:t>En la presente sección</w:t>
      </w:r>
      <w:r w:rsidR="00E7746C" w:rsidRPr="004B114F">
        <w:rPr>
          <w:rFonts w:asciiTheme="majorHAnsi" w:hAnsiTheme="majorHAnsi"/>
          <w:sz w:val="20"/>
          <w:szCs w:val="20"/>
          <w:lang w:val="es-ES_tradnl"/>
        </w:rPr>
        <w:t>,</w:t>
      </w:r>
      <w:r w:rsidRPr="004B114F">
        <w:rPr>
          <w:rFonts w:asciiTheme="majorHAnsi" w:hAnsiTheme="majorHAnsi"/>
          <w:sz w:val="20"/>
          <w:szCs w:val="20"/>
          <w:lang w:val="es-ES_tradnl"/>
        </w:rPr>
        <w:t xml:space="preserve"> la CIDH se referirá a las principales actuaciones del proceso</w:t>
      </w:r>
      <w:r w:rsidR="00F50A82" w:rsidRPr="004B114F">
        <w:rPr>
          <w:rFonts w:asciiTheme="majorHAnsi" w:hAnsiTheme="majorHAnsi"/>
          <w:sz w:val="20"/>
          <w:szCs w:val="20"/>
          <w:lang w:val="es-ES_tradnl"/>
        </w:rPr>
        <w:t xml:space="preserve"> penal y </w:t>
      </w:r>
      <w:r w:rsidR="00E96514" w:rsidRPr="004B114F">
        <w:rPr>
          <w:rFonts w:asciiTheme="majorHAnsi" w:hAnsiTheme="majorHAnsi"/>
          <w:sz w:val="20"/>
          <w:szCs w:val="20"/>
          <w:lang w:val="es-ES_tradnl"/>
        </w:rPr>
        <w:t xml:space="preserve"> </w:t>
      </w:r>
      <w:r w:rsidR="00F50A82" w:rsidRPr="004B114F">
        <w:rPr>
          <w:rFonts w:asciiTheme="majorHAnsi" w:hAnsiTheme="majorHAnsi"/>
          <w:sz w:val="20"/>
          <w:szCs w:val="20"/>
          <w:lang w:val="es-ES_tradnl"/>
        </w:rPr>
        <w:t xml:space="preserve">el de amparo, </w:t>
      </w:r>
      <w:r w:rsidR="00E96514" w:rsidRPr="004B114F">
        <w:rPr>
          <w:rFonts w:asciiTheme="majorHAnsi" w:hAnsiTheme="majorHAnsi"/>
          <w:sz w:val="20"/>
          <w:szCs w:val="20"/>
          <w:lang w:val="es-ES_tradnl"/>
        </w:rPr>
        <w:t>iniciados por hechos cometidos contra la presunta</w:t>
      </w:r>
      <w:r w:rsidR="00143D2D" w:rsidRPr="004B114F">
        <w:rPr>
          <w:rFonts w:asciiTheme="majorHAnsi" w:hAnsiTheme="majorHAnsi"/>
          <w:sz w:val="20"/>
          <w:szCs w:val="20"/>
          <w:lang w:val="es-ES_tradnl"/>
        </w:rPr>
        <w:t xml:space="preserve"> víctima</w:t>
      </w:r>
      <w:r w:rsidR="001563D4" w:rsidRPr="004B114F">
        <w:rPr>
          <w:rFonts w:asciiTheme="majorHAnsi" w:hAnsiTheme="majorHAnsi"/>
          <w:sz w:val="20"/>
          <w:szCs w:val="20"/>
          <w:lang w:val="es-ES_tradnl"/>
        </w:rPr>
        <w:t>.</w:t>
      </w:r>
    </w:p>
    <w:p w14:paraId="5A040754" w14:textId="77777777" w:rsidR="00B54AB1" w:rsidRPr="004B114F" w:rsidRDefault="00B54AB1" w:rsidP="004B114F">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630"/>
        <w:jc w:val="both"/>
        <w:rPr>
          <w:rFonts w:asciiTheme="majorHAnsi" w:hAnsiTheme="majorHAnsi"/>
          <w:b/>
          <w:sz w:val="20"/>
          <w:szCs w:val="20"/>
          <w:lang w:val="es-ES_tradnl"/>
        </w:rPr>
      </w:pPr>
    </w:p>
    <w:p w14:paraId="679A071E" w14:textId="3DBCC072" w:rsidR="00E82AE4" w:rsidRPr="004B114F" w:rsidRDefault="00B54AB1" w:rsidP="004B114F">
      <w:pPr>
        <w:pStyle w:val="Heading3"/>
        <w:numPr>
          <w:ilvl w:val="0"/>
          <w:numId w:val="57"/>
        </w:numPr>
        <w:rPr>
          <w:rFonts w:asciiTheme="majorHAnsi" w:hAnsiTheme="majorHAnsi"/>
          <w:szCs w:val="20"/>
          <w:lang w:val="es-ES_tradnl"/>
        </w:rPr>
      </w:pPr>
      <w:bookmarkStart w:id="21" w:name="_Proceso_penal_iniciado"/>
      <w:bookmarkStart w:id="22" w:name="_Toc142398955"/>
      <w:bookmarkEnd w:id="21"/>
      <w:r w:rsidRPr="004B114F">
        <w:rPr>
          <w:rFonts w:asciiTheme="majorHAnsi" w:hAnsiTheme="majorHAnsi"/>
          <w:szCs w:val="20"/>
          <w:lang w:val="es-ES_tradnl"/>
        </w:rPr>
        <w:t xml:space="preserve">Proceso penal </w:t>
      </w:r>
      <w:r w:rsidR="00126177" w:rsidRPr="004B114F">
        <w:rPr>
          <w:rFonts w:asciiTheme="majorHAnsi" w:hAnsiTheme="majorHAnsi"/>
          <w:szCs w:val="20"/>
          <w:lang w:val="es-ES_tradnl"/>
        </w:rPr>
        <w:t xml:space="preserve">iniciado ante la denuncia de violación </w:t>
      </w:r>
      <w:r w:rsidR="001B579D" w:rsidRPr="004B114F">
        <w:rPr>
          <w:rFonts w:asciiTheme="majorHAnsi" w:hAnsiTheme="majorHAnsi"/>
          <w:szCs w:val="20"/>
          <w:lang w:val="es-ES_tradnl"/>
        </w:rPr>
        <w:t>sexual de la presunta víctima</w:t>
      </w:r>
      <w:bookmarkEnd w:id="22"/>
    </w:p>
    <w:p w14:paraId="1B0FEF6E" w14:textId="255F94FA" w:rsidR="00E82AE4" w:rsidRPr="004B114F" w:rsidRDefault="00E82AE4" w:rsidP="004B114F">
      <w:pPr>
        <w:pStyle w:val="ListParagraph"/>
        <w:rPr>
          <w:rFonts w:asciiTheme="majorHAnsi" w:hAnsiTheme="majorHAnsi"/>
          <w:b/>
          <w:color w:val="auto"/>
          <w:sz w:val="20"/>
          <w:szCs w:val="20"/>
          <w:lang w:val="es-ES_tradnl"/>
        </w:rPr>
      </w:pPr>
    </w:p>
    <w:p w14:paraId="5EE31256" w14:textId="367C9B07" w:rsidR="00F50A82" w:rsidRPr="00DE778C" w:rsidRDefault="006D11E7" w:rsidP="00DE778C">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630"/>
        <w:jc w:val="both"/>
        <w:rPr>
          <w:rFonts w:asciiTheme="majorHAnsi" w:hAnsiTheme="majorHAnsi"/>
          <w:color w:val="000000" w:themeColor="text1"/>
          <w:sz w:val="20"/>
          <w:szCs w:val="20"/>
          <w:lang w:val="es-ES"/>
        </w:rPr>
      </w:pPr>
      <w:r w:rsidRPr="004B114F">
        <w:rPr>
          <w:rFonts w:asciiTheme="majorHAnsi" w:hAnsiTheme="majorHAnsi"/>
          <w:color w:val="000000" w:themeColor="text1"/>
          <w:sz w:val="20"/>
          <w:szCs w:val="20"/>
          <w:lang w:val="es-ES_tradnl"/>
        </w:rPr>
        <w:lastRenderedPageBreak/>
        <w:t>En cuanto a la</w:t>
      </w:r>
      <w:r w:rsidR="00292E99" w:rsidRPr="004B114F">
        <w:rPr>
          <w:rFonts w:asciiTheme="majorHAnsi" w:hAnsiTheme="majorHAnsi"/>
          <w:color w:val="000000" w:themeColor="text1"/>
          <w:sz w:val="20"/>
          <w:szCs w:val="20"/>
          <w:lang w:val="es-ES_tradnl"/>
        </w:rPr>
        <w:t xml:space="preserve"> violación sexual del 6 de enero de 2002, luego de que el director del penal les corriera traslado</w:t>
      </w:r>
      <w:r w:rsidR="00F50A82" w:rsidRPr="004B114F">
        <w:rPr>
          <w:rFonts w:asciiTheme="majorHAnsi" w:hAnsiTheme="majorHAnsi"/>
          <w:color w:val="000000" w:themeColor="text1"/>
          <w:sz w:val="20"/>
          <w:szCs w:val="20"/>
          <w:lang w:val="es-ES_tradnl"/>
        </w:rPr>
        <w:t xml:space="preserve">, </w:t>
      </w:r>
      <w:r w:rsidR="00292E99" w:rsidRPr="004B114F">
        <w:rPr>
          <w:rFonts w:asciiTheme="majorHAnsi" w:hAnsiTheme="majorHAnsi"/>
          <w:color w:val="000000" w:themeColor="text1"/>
          <w:sz w:val="20"/>
          <w:szCs w:val="20"/>
          <w:lang w:val="es-ES_tradnl"/>
        </w:rPr>
        <w:t>e</w:t>
      </w:r>
      <w:r w:rsidR="00F50A82" w:rsidRPr="004B114F">
        <w:rPr>
          <w:rFonts w:asciiTheme="majorHAnsi" w:hAnsiTheme="majorHAnsi"/>
          <w:color w:val="000000" w:themeColor="text1"/>
          <w:sz w:val="20"/>
          <w:szCs w:val="20"/>
          <w:lang w:val="es-ES_tradnl"/>
        </w:rPr>
        <w:t xml:space="preserve">l 8 de enero </w:t>
      </w:r>
      <w:r w:rsidRPr="004B114F">
        <w:rPr>
          <w:rFonts w:asciiTheme="majorHAnsi" w:hAnsiTheme="majorHAnsi"/>
          <w:color w:val="000000" w:themeColor="text1"/>
          <w:sz w:val="20"/>
          <w:szCs w:val="20"/>
          <w:lang w:val="es-ES_tradnl"/>
        </w:rPr>
        <w:t>siguiente</w:t>
      </w:r>
      <w:r w:rsidR="00F50A82" w:rsidRPr="004B114F">
        <w:rPr>
          <w:rFonts w:asciiTheme="majorHAnsi" w:hAnsiTheme="majorHAnsi"/>
          <w:color w:val="000000" w:themeColor="text1"/>
          <w:sz w:val="20"/>
          <w:szCs w:val="20"/>
          <w:lang w:val="es-ES_tradnl"/>
        </w:rPr>
        <w:t xml:space="preserve"> la Jueza de Ejecución Dos del Circuito Judicial Penal de Anzoátegui, Berma Contreras, y el Fiscal de Ejecución y Sentencia del mismo circuito judicial, Eduardo Guerrero Ricardi, acudieron al penal y entrevistaron a la señora Maleno en relación con </w:t>
      </w:r>
      <w:r w:rsidR="00292E99" w:rsidRPr="004B114F">
        <w:rPr>
          <w:rFonts w:asciiTheme="majorHAnsi" w:hAnsiTheme="majorHAnsi"/>
          <w:color w:val="000000" w:themeColor="text1"/>
          <w:sz w:val="20"/>
          <w:szCs w:val="20"/>
          <w:lang w:val="es-ES_tradnl"/>
        </w:rPr>
        <w:t>lo sucedido</w:t>
      </w:r>
      <w:r w:rsidR="00F50A82" w:rsidRPr="004B114F">
        <w:rPr>
          <w:rStyle w:val="FootnoteReference"/>
          <w:rFonts w:asciiTheme="majorHAnsi" w:hAnsiTheme="majorHAnsi"/>
          <w:color w:val="000000" w:themeColor="text1"/>
          <w:sz w:val="20"/>
          <w:szCs w:val="20"/>
          <w:lang w:val="es-ES_tradnl"/>
        </w:rPr>
        <w:footnoteReference w:id="64"/>
      </w:r>
      <w:r w:rsidR="00F50A82" w:rsidRPr="004B114F">
        <w:rPr>
          <w:rFonts w:asciiTheme="majorHAnsi" w:hAnsiTheme="majorHAnsi"/>
          <w:color w:val="000000" w:themeColor="text1"/>
          <w:sz w:val="20"/>
          <w:szCs w:val="20"/>
          <w:lang w:val="es-ES_tradnl"/>
        </w:rPr>
        <w:t xml:space="preserve">. El Fiscal de Ejecución y Sentencia emitió un oficio dirigido al Tribunal Cuarto para </w:t>
      </w:r>
      <w:r w:rsidR="00F50A82" w:rsidRPr="00DE778C">
        <w:rPr>
          <w:rFonts w:asciiTheme="majorHAnsi" w:hAnsiTheme="majorHAnsi"/>
          <w:sz w:val="20"/>
          <w:szCs w:val="20"/>
          <w:lang w:val="es-ES_tradnl"/>
        </w:rPr>
        <w:t>exponer</w:t>
      </w:r>
      <w:r w:rsidR="00F50A82" w:rsidRPr="004B114F">
        <w:rPr>
          <w:rFonts w:asciiTheme="majorHAnsi" w:hAnsiTheme="majorHAnsi"/>
          <w:color w:val="000000" w:themeColor="text1"/>
          <w:sz w:val="20"/>
          <w:szCs w:val="20"/>
          <w:lang w:val="es-ES_tradnl"/>
        </w:rPr>
        <w:t xml:space="preserve"> esta situación, mientras que ambos operadores de justicia ordenaron el traslado urgente de la presunta víctima a la medicatura forense, a fin de que reciba el tratamiento médico requerido y se le practiquen exámenes detallados sobre posibles lesiones</w:t>
      </w:r>
      <w:r w:rsidR="00F50A82" w:rsidRPr="004B114F">
        <w:rPr>
          <w:rStyle w:val="FootnoteReference"/>
          <w:rFonts w:asciiTheme="majorHAnsi" w:hAnsiTheme="majorHAnsi"/>
          <w:color w:val="000000" w:themeColor="text1"/>
          <w:sz w:val="20"/>
          <w:szCs w:val="20"/>
          <w:lang w:val="es-ES_tradnl"/>
        </w:rPr>
        <w:footnoteReference w:id="65"/>
      </w:r>
      <w:r w:rsidR="00F50A82" w:rsidRPr="004B114F">
        <w:rPr>
          <w:rFonts w:asciiTheme="majorHAnsi" w:hAnsiTheme="majorHAnsi"/>
          <w:color w:val="000000" w:themeColor="text1"/>
          <w:sz w:val="20"/>
          <w:szCs w:val="20"/>
          <w:lang w:val="es-ES_tradnl"/>
        </w:rPr>
        <w:t xml:space="preserve">. </w:t>
      </w:r>
    </w:p>
    <w:p w14:paraId="16C9D1DB" w14:textId="77777777" w:rsidR="00F50A82" w:rsidRPr="00DE778C" w:rsidRDefault="00F50A82" w:rsidP="004B114F">
      <w:pPr>
        <w:pStyle w:val="ListParagraph"/>
        <w:rPr>
          <w:rFonts w:asciiTheme="majorHAnsi" w:hAnsiTheme="majorHAnsi"/>
          <w:b/>
          <w:color w:val="auto"/>
          <w:sz w:val="20"/>
          <w:szCs w:val="20"/>
          <w:lang w:val="es-ES"/>
        </w:rPr>
      </w:pPr>
    </w:p>
    <w:p w14:paraId="4D610728" w14:textId="6F096360" w:rsidR="00234EB9" w:rsidRPr="004B114F" w:rsidRDefault="00F50A82" w:rsidP="004B114F">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630"/>
        <w:jc w:val="both"/>
        <w:rPr>
          <w:rFonts w:asciiTheme="majorHAnsi" w:hAnsiTheme="majorHAnsi"/>
          <w:color w:val="000000" w:themeColor="text1"/>
          <w:sz w:val="20"/>
          <w:szCs w:val="20"/>
          <w:lang w:val="es-ES_tradnl"/>
        </w:rPr>
      </w:pPr>
      <w:r w:rsidRPr="004B114F">
        <w:rPr>
          <w:rFonts w:asciiTheme="majorHAnsi" w:hAnsiTheme="majorHAnsi"/>
          <w:sz w:val="20"/>
          <w:szCs w:val="20"/>
          <w:lang w:val="es-ES_tradnl"/>
        </w:rPr>
        <w:t>E</w:t>
      </w:r>
      <w:r w:rsidR="00234EB9" w:rsidRPr="004B114F">
        <w:rPr>
          <w:rFonts w:asciiTheme="majorHAnsi" w:hAnsiTheme="majorHAnsi"/>
          <w:sz w:val="20"/>
          <w:szCs w:val="20"/>
          <w:lang w:val="es-ES_tradnl"/>
        </w:rPr>
        <w:t>l 9 de enero de 200</w:t>
      </w:r>
      <w:r w:rsidR="00571906" w:rsidRPr="004B114F">
        <w:rPr>
          <w:rFonts w:asciiTheme="majorHAnsi" w:hAnsiTheme="majorHAnsi"/>
          <w:sz w:val="20"/>
          <w:szCs w:val="20"/>
          <w:lang w:val="es-ES_tradnl"/>
        </w:rPr>
        <w:t>2</w:t>
      </w:r>
      <w:r w:rsidR="00234EB9" w:rsidRPr="004B114F">
        <w:rPr>
          <w:rFonts w:asciiTheme="majorHAnsi" w:hAnsiTheme="majorHAnsi"/>
          <w:sz w:val="20"/>
          <w:szCs w:val="20"/>
          <w:lang w:val="es-ES_tradnl"/>
        </w:rPr>
        <w:t xml:space="preserve">, el Fiscal de Ejecución y Sentencia </w:t>
      </w:r>
      <w:r w:rsidR="00A044B7" w:rsidRPr="004B114F">
        <w:rPr>
          <w:rFonts w:asciiTheme="majorHAnsi" w:hAnsiTheme="majorHAnsi"/>
          <w:sz w:val="20"/>
          <w:szCs w:val="20"/>
          <w:lang w:val="es-ES_tradnl"/>
        </w:rPr>
        <w:t>cursó oficio</w:t>
      </w:r>
      <w:r w:rsidR="00762822" w:rsidRPr="004B114F">
        <w:rPr>
          <w:rFonts w:asciiTheme="majorHAnsi" w:hAnsiTheme="majorHAnsi"/>
          <w:sz w:val="20"/>
          <w:szCs w:val="20"/>
          <w:lang w:val="es-ES_tradnl"/>
        </w:rPr>
        <w:t xml:space="preserve"> a la Fiscal Superior del Ministerio Público </w:t>
      </w:r>
      <w:r w:rsidR="00A044B7" w:rsidRPr="004B114F">
        <w:rPr>
          <w:rFonts w:asciiTheme="majorHAnsi" w:hAnsiTheme="majorHAnsi"/>
          <w:sz w:val="20"/>
          <w:szCs w:val="20"/>
          <w:lang w:val="es-ES_tradnl"/>
        </w:rPr>
        <w:t xml:space="preserve">solicitando </w:t>
      </w:r>
      <w:r w:rsidR="00762822" w:rsidRPr="004B114F">
        <w:rPr>
          <w:rFonts w:asciiTheme="majorHAnsi" w:hAnsiTheme="majorHAnsi"/>
          <w:sz w:val="20"/>
          <w:szCs w:val="20"/>
          <w:lang w:val="es-ES_tradnl"/>
        </w:rPr>
        <w:t xml:space="preserve">iniciar una investigación penal en torno a los hechos ocurridos, </w:t>
      </w:r>
      <w:r w:rsidR="00A044B7" w:rsidRPr="004B114F">
        <w:rPr>
          <w:rFonts w:asciiTheme="majorHAnsi" w:hAnsiTheme="majorHAnsi"/>
          <w:sz w:val="20"/>
          <w:szCs w:val="20"/>
          <w:lang w:val="es-ES_tradnl"/>
        </w:rPr>
        <w:t xml:space="preserve">informando el nombre de los reclusos señalados como presuntos responsables por la señora Maleno, y </w:t>
      </w:r>
      <w:r w:rsidR="00B03ED3" w:rsidRPr="004B114F">
        <w:rPr>
          <w:rFonts w:asciiTheme="majorHAnsi" w:hAnsiTheme="majorHAnsi"/>
          <w:sz w:val="20"/>
          <w:szCs w:val="20"/>
          <w:lang w:val="es-ES_tradnl"/>
        </w:rPr>
        <w:t>pidiéndole</w:t>
      </w:r>
      <w:r w:rsidR="00A044B7" w:rsidRPr="004B114F">
        <w:rPr>
          <w:rFonts w:asciiTheme="majorHAnsi" w:hAnsiTheme="majorHAnsi"/>
          <w:sz w:val="20"/>
          <w:szCs w:val="20"/>
          <w:lang w:val="es-ES_tradnl"/>
        </w:rPr>
        <w:t xml:space="preserve"> </w:t>
      </w:r>
      <w:r w:rsidR="00762822" w:rsidRPr="004B114F">
        <w:rPr>
          <w:rFonts w:asciiTheme="majorHAnsi" w:hAnsiTheme="majorHAnsi"/>
          <w:sz w:val="20"/>
          <w:szCs w:val="20"/>
          <w:lang w:val="es-ES_tradnl"/>
        </w:rPr>
        <w:t>autorizar que se practiquen las diligencias correspondientes frente a este tipo de delitos</w:t>
      </w:r>
      <w:r w:rsidR="00234EB9" w:rsidRPr="004B114F">
        <w:rPr>
          <w:rStyle w:val="FootnoteReference"/>
          <w:rFonts w:asciiTheme="majorHAnsi" w:hAnsiTheme="majorHAnsi"/>
          <w:color w:val="000000" w:themeColor="text1"/>
          <w:sz w:val="20"/>
          <w:szCs w:val="20"/>
          <w:lang w:val="es-ES_tradnl"/>
        </w:rPr>
        <w:footnoteReference w:id="66"/>
      </w:r>
      <w:r w:rsidR="00234EB9" w:rsidRPr="004B114F">
        <w:rPr>
          <w:rFonts w:asciiTheme="majorHAnsi" w:hAnsiTheme="majorHAnsi"/>
          <w:color w:val="000000" w:themeColor="text1"/>
          <w:sz w:val="20"/>
          <w:szCs w:val="20"/>
          <w:lang w:val="es-ES_tradnl"/>
        </w:rPr>
        <w:t>.</w:t>
      </w:r>
      <w:r w:rsidR="00762822" w:rsidRPr="004B114F">
        <w:rPr>
          <w:rFonts w:asciiTheme="majorHAnsi" w:hAnsiTheme="majorHAnsi"/>
          <w:color w:val="000000" w:themeColor="text1"/>
          <w:sz w:val="20"/>
          <w:szCs w:val="20"/>
          <w:lang w:val="es-ES_tradnl"/>
        </w:rPr>
        <w:t xml:space="preserve"> En esa misma oportunidad, el Fiscal de Ejecución y Sentencia solicitó al Tribunal Cuarto que, ante la urgencia del caso, autorice el traslado de la señora Maleno a la Medicatura Forense del Cuerpo de Investigaciones Penal y Criminalística de Barcelona a fin de que se realice el reconocimiento legal</w:t>
      </w:r>
      <w:r w:rsidR="00762822" w:rsidRPr="004B114F">
        <w:rPr>
          <w:rStyle w:val="FootnoteReference"/>
          <w:rFonts w:asciiTheme="majorHAnsi" w:hAnsiTheme="majorHAnsi"/>
          <w:color w:val="000000" w:themeColor="text1"/>
          <w:sz w:val="20"/>
          <w:szCs w:val="20"/>
          <w:lang w:val="es-ES_tradnl"/>
        </w:rPr>
        <w:footnoteReference w:id="67"/>
      </w:r>
      <w:r w:rsidR="00762822" w:rsidRPr="004B114F">
        <w:rPr>
          <w:rFonts w:asciiTheme="majorHAnsi" w:hAnsiTheme="majorHAnsi"/>
          <w:color w:val="000000" w:themeColor="text1"/>
          <w:sz w:val="20"/>
          <w:szCs w:val="20"/>
          <w:lang w:val="es-ES_tradnl"/>
        </w:rPr>
        <w:t>.</w:t>
      </w:r>
    </w:p>
    <w:p w14:paraId="1E5C6C37" w14:textId="77777777" w:rsidR="00762822" w:rsidRPr="004B114F" w:rsidRDefault="00762822" w:rsidP="004B114F">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630"/>
        <w:jc w:val="both"/>
        <w:rPr>
          <w:rFonts w:asciiTheme="majorHAnsi" w:hAnsiTheme="majorHAnsi"/>
          <w:color w:val="000000" w:themeColor="text1"/>
          <w:sz w:val="20"/>
          <w:szCs w:val="20"/>
          <w:lang w:val="es-ES_tradnl"/>
        </w:rPr>
      </w:pPr>
    </w:p>
    <w:p w14:paraId="5AB035EC" w14:textId="0AC707FE" w:rsidR="008C5BB6" w:rsidRPr="004B114F" w:rsidRDefault="000128EE" w:rsidP="004B114F">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630"/>
        <w:jc w:val="both"/>
        <w:rPr>
          <w:rFonts w:asciiTheme="majorHAnsi" w:hAnsiTheme="majorHAnsi"/>
          <w:sz w:val="20"/>
          <w:szCs w:val="20"/>
          <w:lang w:val="es-ES_tradnl"/>
        </w:rPr>
      </w:pPr>
      <w:r w:rsidRPr="004B114F">
        <w:rPr>
          <w:rFonts w:asciiTheme="majorHAnsi" w:hAnsiTheme="majorHAnsi"/>
          <w:sz w:val="20"/>
          <w:szCs w:val="20"/>
          <w:lang w:val="es-ES_tradnl"/>
        </w:rPr>
        <w:t>El 17 de enero de 2002 el Fiscal de Ejecución y Sentencia remitió a la Fiscal Segunda encargada del Ministerio Público en la circunscripción judicial del estado Anzoátegui (en adelante “Fiscal Segunda”) el expediente No. 603</w:t>
      </w:r>
      <w:r w:rsidR="009D6C1E" w:rsidRPr="004B114F">
        <w:rPr>
          <w:rFonts w:asciiTheme="majorHAnsi" w:hAnsiTheme="majorHAnsi"/>
          <w:sz w:val="20"/>
          <w:szCs w:val="20"/>
          <w:lang w:val="es-ES_tradnl"/>
        </w:rPr>
        <w:t xml:space="preserve">, abierto por la </w:t>
      </w:r>
      <w:r w:rsidR="00BF1EEC" w:rsidRPr="004B114F">
        <w:rPr>
          <w:rFonts w:asciiTheme="majorHAnsi" w:hAnsiTheme="majorHAnsi"/>
          <w:sz w:val="20"/>
          <w:szCs w:val="20"/>
          <w:lang w:val="es-ES_tradnl"/>
        </w:rPr>
        <w:t xml:space="preserve">presunta </w:t>
      </w:r>
      <w:r w:rsidR="009D6C1E" w:rsidRPr="004B114F">
        <w:rPr>
          <w:rFonts w:asciiTheme="majorHAnsi" w:hAnsiTheme="majorHAnsi"/>
          <w:sz w:val="20"/>
          <w:szCs w:val="20"/>
          <w:lang w:val="es-ES_tradnl"/>
        </w:rPr>
        <w:t xml:space="preserve">comisión </w:t>
      </w:r>
      <w:r w:rsidR="00BF1EEC" w:rsidRPr="004B114F">
        <w:rPr>
          <w:rFonts w:asciiTheme="majorHAnsi" w:hAnsiTheme="majorHAnsi"/>
          <w:sz w:val="20"/>
          <w:szCs w:val="20"/>
          <w:lang w:val="es-ES_tradnl"/>
        </w:rPr>
        <w:t xml:space="preserve">del </w:t>
      </w:r>
      <w:r w:rsidR="009D6C1E" w:rsidRPr="004B114F">
        <w:rPr>
          <w:rFonts w:asciiTheme="majorHAnsi" w:hAnsiTheme="majorHAnsi"/>
          <w:sz w:val="20"/>
          <w:szCs w:val="20"/>
          <w:lang w:val="es-ES_tradnl"/>
        </w:rPr>
        <w:t>“delito contra las buenas costumbres y el buen orden de la familia”, en el cual aparecían como denunciados los cinco internos sindicados como agresores por la señora Maleno</w:t>
      </w:r>
      <w:r w:rsidR="009D6C1E" w:rsidRPr="004B114F">
        <w:rPr>
          <w:rStyle w:val="FootnoteReference"/>
          <w:rFonts w:asciiTheme="majorHAnsi" w:hAnsiTheme="majorHAnsi"/>
          <w:sz w:val="20"/>
          <w:szCs w:val="20"/>
          <w:lang w:val="es-ES_tradnl"/>
        </w:rPr>
        <w:footnoteReference w:id="68"/>
      </w:r>
      <w:r w:rsidR="009D6C1E" w:rsidRPr="004B114F">
        <w:rPr>
          <w:rFonts w:asciiTheme="majorHAnsi" w:hAnsiTheme="majorHAnsi"/>
          <w:sz w:val="20"/>
          <w:szCs w:val="20"/>
          <w:lang w:val="es-ES_tradnl"/>
        </w:rPr>
        <w:t>.</w:t>
      </w:r>
      <w:r w:rsidR="00276CBE" w:rsidRPr="004B114F">
        <w:rPr>
          <w:rFonts w:asciiTheme="majorHAnsi" w:hAnsiTheme="majorHAnsi"/>
          <w:sz w:val="20"/>
          <w:szCs w:val="20"/>
          <w:lang w:val="es-ES_tradnl"/>
        </w:rPr>
        <w:t xml:space="preserve"> En función de dicho expediente, la Fiscal Segunda emitió orden de inicio</w:t>
      </w:r>
      <w:r w:rsidR="0018438C" w:rsidRPr="004B114F">
        <w:rPr>
          <w:rFonts w:asciiTheme="majorHAnsi" w:hAnsiTheme="majorHAnsi"/>
          <w:sz w:val="20"/>
          <w:szCs w:val="20"/>
          <w:lang w:val="es-ES_tradnl"/>
        </w:rPr>
        <w:t xml:space="preserve"> de investigación No. 122</w:t>
      </w:r>
      <w:r w:rsidR="00276CBE" w:rsidRPr="004B114F">
        <w:rPr>
          <w:rFonts w:asciiTheme="majorHAnsi" w:hAnsiTheme="majorHAnsi"/>
          <w:sz w:val="20"/>
          <w:szCs w:val="20"/>
          <w:lang w:val="es-ES_tradnl"/>
        </w:rPr>
        <w:t xml:space="preserve"> al Cuerpo de </w:t>
      </w:r>
      <w:r w:rsidR="00276CBE" w:rsidRPr="004B114F">
        <w:rPr>
          <w:rFonts w:asciiTheme="majorHAnsi" w:hAnsiTheme="majorHAnsi"/>
          <w:color w:val="000000" w:themeColor="text1"/>
          <w:sz w:val="20"/>
          <w:szCs w:val="20"/>
          <w:lang w:val="es-ES_tradnl"/>
        </w:rPr>
        <w:t xml:space="preserve">Investigaciones Penal y Criminalística de Barcelona, </w:t>
      </w:r>
      <w:r w:rsidR="0018438C" w:rsidRPr="004B114F">
        <w:rPr>
          <w:rFonts w:asciiTheme="majorHAnsi" w:hAnsiTheme="majorHAnsi"/>
          <w:color w:val="000000" w:themeColor="text1"/>
          <w:sz w:val="20"/>
          <w:szCs w:val="20"/>
          <w:lang w:val="es-ES_tradnl"/>
        </w:rPr>
        <w:t xml:space="preserve">el 8 de febrero de 2002, </w:t>
      </w:r>
      <w:r w:rsidR="00276CBE" w:rsidRPr="004B114F">
        <w:rPr>
          <w:rFonts w:asciiTheme="majorHAnsi" w:hAnsiTheme="majorHAnsi"/>
          <w:color w:val="000000" w:themeColor="text1"/>
          <w:sz w:val="20"/>
          <w:szCs w:val="20"/>
          <w:lang w:val="es-ES_tradnl"/>
        </w:rPr>
        <w:t>de modo que el caso se encontraba en fase de investigación</w:t>
      </w:r>
      <w:r w:rsidR="00276CBE" w:rsidRPr="004B114F">
        <w:rPr>
          <w:rStyle w:val="FootnoteReference"/>
          <w:rFonts w:asciiTheme="majorHAnsi" w:hAnsiTheme="majorHAnsi"/>
          <w:color w:val="000000" w:themeColor="text1"/>
          <w:sz w:val="20"/>
          <w:szCs w:val="20"/>
          <w:lang w:val="es-ES_tradnl"/>
        </w:rPr>
        <w:footnoteReference w:id="69"/>
      </w:r>
      <w:r w:rsidR="00276CBE" w:rsidRPr="004B114F">
        <w:rPr>
          <w:rFonts w:asciiTheme="majorHAnsi" w:hAnsiTheme="majorHAnsi"/>
          <w:color w:val="000000" w:themeColor="text1"/>
          <w:sz w:val="20"/>
          <w:szCs w:val="20"/>
          <w:lang w:val="es-ES_tradnl"/>
        </w:rPr>
        <w:t>.</w:t>
      </w:r>
    </w:p>
    <w:p w14:paraId="35118490" w14:textId="77777777" w:rsidR="008C5BB6" w:rsidRPr="004B114F" w:rsidRDefault="008C5BB6" w:rsidP="004B114F">
      <w:pPr>
        <w:pStyle w:val="ListParagraph"/>
        <w:rPr>
          <w:rFonts w:asciiTheme="majorHAnsi" w:hAnsiTheme="majorHAnsi"/>
          <w:sz w:val="20"/>
          <w:szCs w:val="20"/>
          <w:lang w:val="es-ES_tradnl"/>
        </w:rPr>
      </w:pPr>
    </w:p>
    <w:p w14:paraId="5A928EFD" w14:textId="528B0A49" w:rsidR="0028012A" w:rsidRPr="004B114F" w:rsidRDefault="00170267" w:rsidP="07C31400">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630"/>
        <w:jc w:val="both"/>
        <w:rPr>
          <w:rFonts w:asciiTheme="majorHAnsi" w:hAnsiTheme="majorHAnsi"/>
          <w:sz w:val="20"/>
          <w:szCs w:val="20"/>
          <w:lang w:val="es-ES"/>
        </w:rPr>
      </w:pPr>
      <w:r w:rsidRPr="07C31400">
        <w:rPr>
          <w:rFonts w:asciiTheme="majorHAnsi" w:hAnsiTheme="majorHAnsi"/>
          <w:sz w:val="20"/>
          <w:szCs w:val="20"/>
          <w:lang w:val="es-ES"/>
        </w:rPr>
        <w:t>E</w:t>
      </w:r>
      <w:r w:rsidR="00B03ED3" w:rsidRPr="07C31400">
        <w:rPr>
          <w:rFonts w:asciiTheme="majorHAnsi" w:hAnsiTheme="majorHAnsi"/>
          <w:sz w:val="20"/>
          <w:szCs w:val="20"/>
          <w:lang w:val="es-ES"/>
        </w:rPr>
        <w:t xml:space="preserve">l 15 de enero de 2002 el médico representante de la Medicatura Forense </w:t>
      </w:r>
      <w:r w:rsidRPr="07C31400">
        <w:rPr>
          <w:rFonts w:asciiTheme="majorHAnsi" w:hAnsiTheme="majorHAnsi"/>
          <w:sz w:val="20"/>
          <w:szCs w:val="20"/>
          <w:lang w:val="es-ES"/>
        </w:rPr>
        <w:t xml:space="preserve">emitió un oficio mediante el cual remitió </w:t>
      </w:r>
      <w:r w:rsidR="00B03ED3" w:rsidRPr="07C31400">
        <w:rPr>
          <w:rFonts w:asciiTheme="majorHAnsi" w:hAnsiTheme="majorHAnsi"/>
          <w:sz w:val="20"/>
          <w:szCs w:val="20"/>
          <w:lang w:val="es-ES"/>
        </w:rPr>
        <w:t>al Fiscal de Ejecución y Sentencia los resultados del examen de reconocimiento médico legal</w:t>
      </w:r>
      <w:r w:rsidR="00256A94" w:rsidRPr="07C31400">
        <w:rPr>
          <w:rStyle w:val="FootnoteReference"/>
          <w:rFonts w:asciiTheme="majorHAnsi" w:hAnsiTheme="majorHAnsi"/>
          <w:sz w:val="20"/>
          <w:szCs w:val="20"/>
          <w:lang w:val="es-ES"/>
        </w:rPr>
        <w:footnoteReference w:id="70"/>
      </w:r>
      <w:r w:rsidR="00256A94" w:rsidRPr="07C31400">
        <w:rPr>
          <w:rFonts w:asciiTheme="majorHAnsi" w:hAnsiTheme="majorHAnsi"/>
          <w:sz w:val="20"/>
          <w:szCs w:val="20"/>
          <w:lang w:val="es-ES"/>
        </w:rPr>
        <w:t>.</w:t>
      </w:r>
      <w:r w:rsidR="00FE3CC1" w:rsidRPr="07C31400">
        <w:rPr>
          <w:rFonts w:asciiTheme="majorHAnsi" w:hAnsiTheme="majorHAnsi"/>
          <w:sz w:val="20"/>
          <w:szCs w:val="20"/>
          <w:lang w:val="es-ES"/>
        </w:rPr>
        <w:t xml:space="preserve"> El 30 de enero </w:t>
      </w:r>
      <w:r w:rsidRPr="07C31400">
        <w:rPr>
          <w:rFonts w:asciiTheme="majorHAnsi" w:hAnsiTheme="majorHAnsi"/>
          <w:sz w:val="20"/>
          <w:szCs w:val="20"/>
          <w:lang w:val="es-ES"/>
        </w:rPr>
        <w:t>siguiente</w:t>
      </w:r>
      <w:r w:rsidR="00FE3CC1" w:rsidRPr="07C31400">
        <w:rPr>
          <w:rFonts w:asciiTheme="majorHAnsi" w:hAnsiTheme="majorHAnsi"/>
          <w:sz w:val="20"/>
          <w:szCs w:val="20"/>
          <w:lang w:val="es-ES"/>
        </w:rPr>
        <w:t xml:space="preserve"> </w:t>
      </w:r>
      <w:r w:rsidRPr="07C31400">
        <w:rPr>
          <w:rFonts w:asciiTheme="majorHAnsi" w:hAnsiTheme="majorHAnsi"/>
          <w:sz w:val="20"/>
          <w:szCs w:val="20"/>
          <w:lang w:val="es-ES"/>
        </w:rPr>
        <w:t xml:space="preserve">dicho </w:t>
      </w:r>
      <w:r w:rsidR="00FE3CC1" w:rsidRPr="07C31400">
        <w:rPr>
          <w:rFonts w:asciiTheme="majorHAnsi" w:hAnsiTheme="majorHAnsi"/>
          <w:sz w:val="20"/>
          <w:szCs w:val="20"/>
          <w:lang w:val="es-ES"/>
        </w:rPr>
        <w:t xml:space="preserve">Fiscal solicitó ampliar el informe emitido por la Medicatura Forense </w:t>
      </w:r>
      <w:r w:rsidRPr="07C31400">
        <w:rPr>
          <w:rFonts w:asciiTheme="majorHAnsi" w:hAnsiTheme="majorHAnsi"/>
          <w:sz w:val="20"/>
          <w:szCs w:val="20"/>
          <w:lang w:val="es-ES"/>
        </w:rPr>
        <w:t>para ob</w:t>
      </w:r>
      <w:r w:rsidR="00FE3CC1" w:rsidRPr="07C31400">
        <w:rPr>
          <w:rFonts w:asciiTheme="majorHAnsi" w:hAnsiTheme="majorHAnsi"/>
          <w:sz w:val="20"/>
          <w:szCs w:val="20"/>
          <w:lang w:val="es-ES"/>
        </w:rPr>
        <w:t>tener el detalle pormenorizado de los resultados de la evaluación</w:t>
      </w:r>
      <w:r w:rsidR="00FE3CC1" w:rsidRPr="07C31400">
        <w:rPr>
          <w:rStyle w:val="FootnoteReference"/>
          <w:rFonts w:asciiTheme="majorHAnsi" w:hAnsiTheme="majorHAnsi"/>
          <w:sz w:val="20"/>
          <w:szCs w:val="20"/>
          <w:lang w:val="es-ES"/>
        </w:rPr>
        <w:footnoteReference w:id="71"/>
      </w:r>
      <w:r w:rsidR="00FE3CC1" w:rsidRPr="07C31400">
        <w:rPr>
          <w:rFonts w:asciiTheme="majorHAnsi" w:hAnsiTheme="majorHAnsi"/>
          <w:sz w:val="20"/>
          <w:szCs w:val="20"/>
          <w:lang w:val="es-ES"/>
        </w:rPr>
        <w:t>.</w:t>
      </w:r>
      <w:r w:rsidR="00F5605A" w:rsidRPr="07C31400">
        <w:rPr>
          <w:rFonts w:asciiTheme="majorHAnsi" w:hAnsiTheme="majorHAnsi"/>
          <w:sz w:val="20"/>
          <w:szCs w:val="20"/>
          <w:lang w:val="es-ES"/>
        </w:rPr>
        <w:t xml:space="preserve"> </w:t>
      </w:r>
      <w:r w:rsidR="00292E99" w:rsidRPr="07C31400">
        <w:rPr>
          <w:rFonts w:asciiTheme="majorHAnsi" w:hAnsiTheme="majorHAnsi"/>
          <w:sz w:val="20"/>
          <w:szCs w:val="20"/>
          <w:lang w:val="es-ES"/>
        </w:rPr>
        <w:t>En respuesta,</w:t>
      </w:r>
      <w:r w:rsidR="00F5605A" w:rsidRPr="07C31400">
        <w:rPr>
          <w:rFonts w:asciiTheme="majorHAnsi" w:hAnsiTheme="majorHAnsi"/>
          <w:sz w:val="20"/>
          <w:szCs w:val="20"/>
          <w:lang w:val="es-ES"/>
        </w:rPr>
        <w:t xml:space="preserve"> </w:t>
      </w:r>
      <w:r w:rsidR="00F6130F" w:rsidRPr="07C31400">
        <w:rPr>
          <w:rFonts w:asciiTheme="majorHAnsi" w:hAnsiTheme="majorHAnsi"/>
          <w:sz w:val="20"/>
          <w:szCs w:val="20"/>
          <w:lang w:val="es-ES"/>
        </w:rPr>
        <w:t xml:space="preserve">la Medicatura Forense emitió </w:t>
      </w:r>
      <w:r w:rsidR="00D502E1" w:rsidRPr="07C31400">
        <w:rPr>
          <w:rFonts w:asciiTheme="majorHAnsi" w:hAnsiTheme="majorHAnsi"/>
          <w:sz w:val="20"/>
          <w:szCs w:val="20"/>
          <w:lang w:val="es-ES"/>
        </w:rPr>
        <w:t xml:space="preserve">un </w:t>
      </w:r>
      <w:r w:rsidR="00F6130F" w:rsidRPr="07C31400">
        <w:rPr>
          <w:rFonts w:asciiTheme="majorHAnsi" w:hAnsiTheme="majorHAnsi"/>
          <w:sz w:val="20"/>
          <w:szCs w:val="20"/>
          <w:lang w:val="es-ES"/>
        </w:rPr>
        <w:t>nuevo informe con fecha 22 de febrero de 2002</w:t>
      </w:r>
      <w:r w:rsidR="00292E99" w:rsidRPr="07C31400">
        <w:rPr>
          <w:rFonts w:asciiTheme="majorHAnsi" w:hAnsiTheme="majorHAnsi"/>
          <w:sz w:val="20"/>
          <w:szCs w:val="20"/>
          <w:lang w:val="es-ES"/>
        </w:rPr>
        <w:t>, en el cual</w:t>
      </w:r>
      <w:r w:rsidRPr="07C31400">
        <w:rPr>
          <w:rFonts w:asciiTheme="majorHAnsi" w:hAnsiTheme="majorHAnsi"/>
          <w:sz w:val="20"/>
          <w:szCs w:val="20"/>
          <w:lang w:val="es-ES"/>
        </w:rPr>
        <w:t xml:space="preserve"> indica </w:t>
      </w:r>
      <w:r w:rsidR="00F6130F" w:rsidRPr="07C31400">
        <w:rPr>
          <w:rFonts w:asciiTheme="majorHAnsi" w:hAnsiTheme="majorHAnsi"/>
          <w:sz w:val="20"/>
          <w:szCs w:val="20"/>
          <w:lang w:val="es-ES"/>
        </w:rPr>
        <w:t>que “no se evidenciaba lesión aguda en los genitales” y que se encontraba “presencia de hemorroides externas […] de las cuales no se puede establecer de manera exacta su etiología u origen”</w:t>
      </w:r>
      <w:r w:rsidR="00F6130F" w:rsidRPr="07C31400">
        <w:rPr>
          <w:rStyle w:val="FootnoteReference"/>
          <w:rFonts w:asciiTheme="majorHAnsi" w:hAnsiTheme="majorHAnsi"/>
          <w:sz w:val="20"/>
          <w:szCs w:val="20"/>
          <w:lang w:val="es-ES"/>
        </w:rPr>
        <w:footnoteReference w:id="72"/>
      </w:r>
      <w:r w:rsidR="00F6130F" w:rsidRPr="07C31400">
        <w:rPr>
          <w:rFonts w:asciiTheme="majorHAnsi" w:hAnsiTheme="majorHAnsi"/>
          <w:sz w:val="20"/>
          <w:szCs w:val="20"/>
          <w:lang w:val="es-ES"/>
        </w:rPr>
        <w:t>.</w:t>
      </w:r>
      <w:r w:rsidR="003A659A" w:rsidRPr="07C31400">
        <w:rPr>
          <w:rFonts w:asciiTheme="majorHAnsi" w:hAnsiTheme="majorHAnsi"/>
          <w:sz w:val="20"/>
          <w:szCs w:val="20"/>
          <w:lang w:val="es-ES"/>
        </w:rPr>
        <w:t xml:space="preserve"> </w:t>
      </w:r>
      <w:r w:rsidR="00EB7A42" w:rsidRPr="07C31400">
        <w:rPr>
          <w:rFonts w:asciiTheme="majorHAnsi" w:hAnsiTheme="majorHAnsi"/>
          <w:sz w:val="20"/>
          <w:szCs w:val="20"/>
          <w:lang w:val="es-ES"/>
        </w:rPr>
        <w:t>Sobre la</w:t>
      </w:r>
      <w:r w:rsidR="0075131E" w:rsidRPr="07C31400">
        <w:rPr>
          <w:rFonts w:asciiTheme="majorHAnsi" w:hAnsiTheme="majorHAnsi"/>
          <w:sz w:val="20"/>
          <w:szCs w:val="20"/>
          <w:lang w:val="es-ES"/>
        </w:rPr>
        <w:t xml:space="preserve"> base </w:t>
      </w:r>
      <w:r w:rsidR="00EB7A42" w:rsidRPr="07C31400">
        <w:rPr>
          <w:rFonts w:asciiTheme="majorHAnsi" w:hAnsiTheme="majorHAnsi"/>
          <w:sz w:val="20"/>
          <w:szCs w:val="20"/>
          <w:lang w:val="es-ES"/>
        </w:rPr>
        <w:t>de</w:t>
      </w:r>
      <w:r w:rsidR="0075131E" w:rsidRPr="07C31400">
        <w:rPr>
          <w:rFonts w:asciiTheme="majorHAnsi" w:hAnsiTheme="majorHAnsi"/>
          <w:sz w:val="20"/>
          <w:szCs w:val="20"/>
          <w:lang w:val="es-ES"/>
        </w:rPr>
        <w:t xml:space="preserve"> la información remitida por la Medicatura Forense, el 4 de abril de 2002 el Fiscal de Ejecución y Sentencia solicitó a la Fiscal Superior abrir una averiguación penal en contra de la señora Maleno por la comisión del “delito de simulación de hecho punible” sancionado en el artículo 240 del Código Penal</w:t>
      </w:r>
      <w:r w:rsidR="00EC7EF2" w:rsidRPr="07C31400">
        <w:rPr>
          <w:rStyle w:val="FootnoteReference"/>
          <w:rFonts w:asciiTheme="majorHAnsi" w:hAnsiTheme="majorHAnsi"/>
          <w:sz w:val="20"/>
          <w:szCs w:val="20"/>
          <w:lang w:val="es-ES"/>
        </w:rPr>
        <w:footnoteReference w:id="73"/>
      </w:r>
      <w:r w:rsidR="0075131E" w:rsidRPr="07C31400">
        <w:rPr>
          <w:rFonts w:asciiTheme="majorHAnsi" w:hAnsiTheme="majorHAnsi"/>
          <w:sz w:val="20"/>
          <w:szCs w:val="20"/>
          <w:lang w:val="es-ES"/>
        </w:rPr>
        <w:t xml:space="preserve">. La CIDH no cuenta con información que permita determinar si esta investigación fue finalmente </w:t>
      </w:r>
      <w:r w:rsidR="000B6D04" w:rsidRPr="07C31400">
        <w:rPr>
          <w:rFonts w:asciiTheme="majorHAnsi" w:hAnsiTheme="majorHAnsi"/>
          <w:sz w:val="20"/>
          <w:szCs w:val="20"/>
          <w:lang w:val="es-ES"/>
        </w:rPr>
        <w:t>inici</w:t>
      </w:r>
      <w:r w:rsidR="0075131E" w:rsidRPr="07C31400">
        <w:rPr>
          <w:rFonts w:asciiTheme="majorHAnsi" w:hAnsiTheme="majorHAnsi"/>
          <w:sz w:val="20"/>
          <w:szCs w:val="20"/>
          <w:lang w:val="es-ES"/>
        </w:rPr>
        <w:t>ada y cuál sería su estado actual.</w:t>
      </w:r>
    </w:p>
    <w:p w14:paraId="43845E9F" w14:textId="77777777" w:rsidR="00DF3478" w:rsidRPr="004B114F" w:rsidRDefault="00DF3478" w:rsidP="004B114F">
      <w:pPr>
        <w:pStyle w:val="ListParagraph"/>
        <w:rPr>
          <w:rFonts w:asciiTheme="majorHAnsi" w:hAnsiTheme="majorHAnsi"/>
          <w:sz w:val="20"/>
          <w:szCs w:val="20"/>
          <w:lang w:val="es-ES_tradnl"/>
        </w:rPr>
      </w:pPr>
    </w:p>
    <w:p w14:paraId="482EC404" w14:textId="01BD7845" w:rsidR="00DF3478" w:rsidRPr="004B114F" w:rsidRDefault="003A659A" w:rsidP="004B114F">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630"/>
        <w:jc w:val="both"/>
        <w:rPr>
          <w:rFonts w:asciiTheme="majorHAnsi" w:hAnsiTheme="majorHAnsi"/>
          <w:sz w:val="20"/>
          <w:szCs w:val="20"/>
          <w:lang w:val="es-ES_tradnl"/>
        </w:rPr>
      </w:pPr>
      <w:r w:rsidRPr="004B114F">
        <w:rPr>
          <w:rFonts w:asciiTheme="majorHAnsi" w:hAnsiTheme="majorHAnsi"/>
          <w:sz w:val="20"/>
          <w:szCs w:val="20"/>
          <w:lang w:val="es-ES_tradnl"/>
        </w:rPr>
        <w:lastRenderedPageBreak/>
        <w:t>Asimismo</w:t>
      </w:r>
      <w:r w:rsidR="00DF3478" w:rsidRPr="004B114F">
        <w:rPr>
          <w:rFonts w:asciiTheme="majorHAnsi" w:hAnsiTheme="majorHAnsi"/>
          <w:sz w:val="20"/>
          <w:szCs w:val="20"/>
          <w:lang w:val="es-ES_tradnl"/>
        </w:rPr>
        <w:t>, se observa en el expediente que la Fiscal Segunda ordenó el 6 de septiembre de 2002</w:t>
      </w:r>
      <w:r w:rsidR="00AD6043" w:rsidRPr="004B114F">
        <w:rPr>
          <w:rFonts w:asciiTheme="majorHAnsi" w:hAnsiTheme="majorHAnsi"/>
          <w:sz w:val="20"/>
          <w:szCs w:val="20"/>
          <w:lang w:val="es-ES_tradnl"/>
        </w:rPr>
        <w:t>, es decir, ocho meses después de ocurrida la violación sexual,</w:t>
      </w:r>
      <w:r w:rsidR="00DF3478" w:rsidRPr="004B114F">
        <w:rPr>
          <w:rFonts w:asciiTheme="majorHAnsi" w:hAnsiTheme="majorHAnsi"/>
          <w:sz w:val="20"/>
          <w:szCs w:val="20"/>
          <w:lang w:val="es-ES_tradnl"/>
        </w:rPr>
        <w:t xml:space="preserve"> que las siguientes actuaciones sean practicadas en el marco de las investigaciones</w:t>
      </w:r>
      <w:r w:rsidR="00AD6043" w:rsidRPr="004B114F">
        <w:rPr>
          <w:rFonts w:asciiTheme="majorHAnsi" w:hAnsiTheme="majorHAnsi"/>
          <w:sz w:val="20"/>
          <w:szCs w:val="20"/>
          <w:lang w:val="es-ES_tradnl"/>
        </w:rPr>
        <w:t>:</w:t>
      </w:r>
    </w:p>
    <w:p w14:paraId="4522A784" w14:textId="77777777" w:rsidR="00863CF9" w:rsidRPr="004B114F" w:rsidRDefault="00863CF9" w:rsidP="004B114F">
      <w:pPr>
        <w:pStyle w:val="ListParagraph"/>
        <w:rPr>
          <w:rFonts w:asciiTheme="majorHAnsi" w:hAnsiTheme="majorHAnsi"/>
          <w:sz w:val="20"/>
          <w:szCs w:val="20"/>
          <w:lang w:val="es-ES_tradnl"/>
        </w:rPr>
      </w:pPr>
    </w:p>
    <w:p w14:paraId="5D815987" w14:textId="77777777" w:rsidR="00863CF9" w:rsidRPr="004B114F" w:rsidRDefault="00863CF9" w:rsidP="07C31400">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630" w:right="429"/>
        <w:jc w:val="both"/>
        <w:rPr>
          <w:rFonts w:asciiTheme="majorHAnsi" w:hAnsiTheme="majorHAnsi"/>
          <w:sz w:val="18"/>
          <w:szCs w:val="18"/>
          <w:lang w:val="es-ES"/>
        </w:rPr>
      </w:pPr>
      <w:r w:rsidRPr="07C31400">
        <w:rPr>
          <w:rFonts w:asciiTheme="majorHAnsi" w:hAnsiTheme="majorHAnsi"/>
          <w:sz w:val="18"/>
          <w:szCs w:val="18"/>
          <w:lang w:val="es-ES"/>
        </w:rPr>
        <w:t>“1.Tomar declaración a la interna DIANORA MALENA (sic) MENDEZ, a objeto que aporte detalles del hecho que nos ocupa</w:t>
      </w:r>
    </w:p>
    <w:p w14:paraId="4654836F" w14:textId="77777777" w:rsidR="00863CF9" w:rsidRPr="004B114F" w:rsidRDefault="00863CF9" w:rsidP="004B114F">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630" w:right="429"/>
        <w:jc w:val="both"/>
        <w:rPr>
          <w:rFonts w:asciiTheme="majorHAnsi" w:hAnsiTheme="majorHAnsi"/>
          <w:sz w:val="18"/>
          <w:szCs w:val="18"/>
          <w:lang w:val="es-ES_tradnl"/>
        </w:rPr>
      </w:pPr>
      <w:r w:rsidRPr="004B114F">
        <w:rPr>
          <w:rFonts w:asciiTheme="majorHAnsi" w:hAnsiTheme="majorHAnsi"/>
          <w:sz w:val="18"/>
          <w:szCs w:val="18"/>
          <w:lang w:val="es-ES_tradnl"/>
        </w:rPr>
        <w:t>2.Colectar la ropa interior de la antes mencionada, con la finalidad de practicarle Experticia de ley correspondiente</w:t>
      </w:r>
    </w:p>
    <w:p w14:paraId="334308AD" w14:textId="77777777" w:rsidR="00863CF9" w:rsidRPr="004B114F" w:rsidRDefault="00863CF9" w:rsidP="004B114F">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630" w:right="429"/>
        <w:jc w:val="both"/>
        <w:rPr>
          <w:rFonts w:asciiTheme="majorHAnsi" w:hAnsiTheme="majorHAnsi"/>
          <w:sz w:val="18"/>
          <w:szCs w:val="18"/>
          <w:lang w:val="es-ES_tradnl"/>
        </w:rPr>
      </w:pPr>
      <w:r w:rsidRPr="004B114F">
        <w:rPr>
          <w:rFonts w:asciiTheme="majorHAnsi" w:hAnsiTheme="majorHAnsi"/>
          <w:sz w:val="18"/>
          <w:szCs w:val="18"/>
          <w:lang w:val="es-ES_tradnl"/>
        </w:rPr>
        <w:t>3.Inspección Ocular del sitio, donde presuntamente ocurrieron los hechos denunciados</w:t>
      </w:r>
    </w:p>
    <w:p w14:paraId="2DB09609" w14:textId="77777777" w:rsidR="00863CF9" w:rsidRPr="004B114F" w:rsidRDefault="00863CF9" w:rsidP="004B114F">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630" w:right="429"/>
        <w:jc w:val="both"/>
        <w:rPr>
          <w:rFonts w:asciiTheme="majorHAnsi" w:hAnsiTheme="majorHAnsi"/>
          <w:sz w:val="18"/>
          <w:szCs w:val="18"/>
          <w:lang w:val="es-ES_tradnl"/>
        </w:rPr>
      </w:pPr>
      <w:r w:rsidRPr="004B114F">
        <w:rPr>
          <w:rFonts w:asciiTheme="majorHAnsi" w:hAnsiTheme="majorHAnsi"/>
          <w:sz w:val="18"/>
          <w:szCs w:val="18"/>
          <w:lang w:val="es-ES_tradnl"/>
        </w:rPr>
        <w:t>4.Recabar las Novedades diarias llevadas por el Organismo Policial encargado de la custodia de los internos, para la fecha que ocurre el hecho</w:t>
      </w:r>
    </w:p>
    <w:p w14:paraId="6A78B228" w14:textId="77777777" w:rsidR="00863CF9" w:rsidRPr="004B114F" w:rsidRDefault="00863CF9" w:rsidP="004B114F">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630" w:right="429"/>
        <w:jc w:val="both"/>
        <w:rPr>
          <w:rFonts w:asciiTheme="majorHAnsi" w:hAnsiTheme="majorHAnsi"/>
          <w:sz w:val="18"/>
          <w:szCs w:val="18"/>
          <w:lang w:val="es-ES_tradnl"/>
        </w:rPr>
      </w:pPr>
      <w:r w:rsidRPr="004B114F">
        <w:rPr>
          <w:rFonts w:asciiTheme="majorHAnsi" w:hAnsiTheme="majorHAnsi"/>
          <w:sz w:val="18"/>
          <w:szCs w:val="18"/>
          <w:lang w:val="es-ES_tradnl"/>
        </w:rPr>
        <w:t>5.Recabar Informe Médico realizado a la ciudadana DIANORA MALENA (sic) MENDEZ</w:t>
      </w:r>
    </w:p>
    <w:p w14:paraId="33578F09" w14:textId="77777777" w:rsidR="00863CF9" w:rsidRPr="004B114F" w:rsidRDefault="00863CF9" w:rsidP="07C31400">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630" w:right="429"/>
        <w:jc w:val="both"/>
        <w:rPr>
          <w:rFonts w:asciiTheme="majorHAnsi" w:hAnsiTheme="majorHAnsi"/>
          <w:sz w:val="18"/>
          <w:szCs w:val="18"/>
          <w:lang w:val="es-ES"/>
        </w:rPr>
      </w:pPr>
      <w:r w:rsidRPr="07C31400">
        <w:rPr>
          <w:rFonts w:asciiTheme="majorHAnsi" w:hAnsiTheme="majorHAnsi"/>
          <w:sz w:val="18"/>
          <w:szCs w:val="18"/>
          <w:lang w:val="es-ES"/>
        </w:rPr>
        <w:t>6.Realizar Examen Hemático a los denunciantes, a objeto de comparar en caso positivo de la Experticia realizada a las prendas íntimas de la interna</w:t>
      </w:r>
    </w:p>
    <w:p w14:paraId="41171254" w14:textId="77777777" w:rsidR="00863CF9" w:rsidRPr="004B114F" w:rsidRDefault="00863CF9" w:rsidP="004B114F">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630" w:right="429"/>
        <w:jc w:val="both"/>
        <w:rPr>
          <w:rFonts w:asciiTheme="majorHAnsi" w:hAnsiTheme="majorHAnsi"/>
          <w:sz w:val="18"/>
          <w:szCs w:val="18"/>
          <w:lang w:val="es-ES_tradnl"/>
        </w:rPr>
      </w:pPr>
      <w:r w:rsidRPr="004B114F">
        <w:rPr>
          <w:rFonts w:asciiTheme="majorHAnsi" w:hAnsiTheme="majorHAnsi"/>
          <w:sz w:val="18"/>
          <w:szCs w:val="18"/>
          <w:lang w:val="es-ES_tradnl"/>
        </w:rPr>
        <w:t>7.Verificar si ciertamente existen en la población penal, los ciudadanos antes señalados, y en caso positivo señalar su ubicación en el recinto y que (sic) tipo de pena purgan en estos</w:t>
      </w:r>
    </w:p>
    <w:p w14:paraId="2D26F3FD" w14:textId="77777777" w:rsidR="00863CF9" w:rsidRPr="004B114F" w:rsidRDefault="00863CF9" w:rsidP="004B114F">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630" w:right="429"/>
        <w:jc w:val="both"/>
        <w:rPr>
          <w:rFonts w:asciiTheme="majorHAnsi" w:hAnsiTheme="majorHAnsi"/>
          <w:sz w:val="18"/>
          <w:szCs w:val="18"/>
          <w:lang w:val="es-ES_tradnl"/>
        </w:rPr>
      </w:pPr>
      <w:r w:rsidRPr="004B114F">
        <w:rPr>
          <w:rFonts w:asciiTheme="majorHAnsi" w:hAnsiTheme="majorHAnsi"/>
          <w:sz w:val="18"/>
          <w:szCs w:val="18"/>
          <w:lang w:val="es-ES_tradnl"/>
        </w:rPr>
        <w:t>8.Practicar todas las diligencias necesarias para el esclarecimiento de los hechos”</w:t>
      </w:r>
      <w:r w:rsidRPr="004B114F">
        <w:rPr>
          <w:rStyle w:val="FootnoteReference"/>
          <w:rFonts w:asciiTheme="majorHAnsi" w:hAnsiTheme="majorHAnsi"/>
          <w:sz w:val="18"/>
          <w:szCs w:val="18"/>
          <w:lang w:val="es-ES_tradnl"/>
        </w:rPr>
        <w:footnoteReference w:id="74"/>
      </w:r>
      <w:r w:rsidRPr="004B114F">
        <w:rPr>
          <w:rFonts w:asciiTheme="majorHAnsi" w:hAnsiTheme="majorHAnsi"/>
          <w:sz w:val="18"/>
          <w:szCs w:val="18"/>
          <w:lang w:val="es-ES_tradnl"/>
        </w:rPr>
        <w:t>.</w:t>
      </w:r>
    </w:p>
    <w:p w14:paraId="4A6AF1B9" w14:textId="77777777" w:rsidR="00AD6043" w:rsidRPr="004B114F" w:rsidRDefault="00AD6043" w:rsidP="004B114F">
      <w:pPr>
        <w:pStyle w:val="ListParagraph"/>
        <w:rPr>
          <w:rFonts w:asciiTheme="majorHAnsi" w:hAnsiTheme="majorHAnsi"/>
          <w:sz w:val="20"/>
          <w:szCs w:val="20"/>
          <w:lang w:val="es-ES_tradnl"/>
        </w:rPr>
      </w:pPr>
    </w:p>
    <w:p w14:paraId="03C8249F" w14:textId="1CFCA418" w:rsidR="00AD6043" w:rsidRPr="004B114F" w:rsidRDefault="00A33B5E" w:rsidP="004B114F">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630"/>
        <w:jc w:val="both"/>
        <w:rPr>
          <w:rFonts w:asciiTheme="majorHAnsi" w:hAnsiTheme="majorHAnsi"/>
          <w:sz w:val="20"/>
          <w:szCs w:val="20"/>
          <w:lang w:val="es-ES_tradnl"/>
        </w:rPr>
      </w:pPr>
      <w:r w:rsidRPr="004B114F">
        <w:rPr>
          <w:rFonts w:asciiTheme="majorHAnsi" w:hAnsiTheme="majorHAnsi"/>
          <w:sz w:val="20"/>
          <w:szCs w:val="20"/>
          <w:lang w:val="es-ES_tradnl"/>
        </w:rPr>
        <w:t>De acuerdo con l</w:t>
      </w:r>
      <w:r w:rsidR="000C4097" w:rsidRPr="004B114F">
        <w:rPr>
          <w:rFonts w:asciiTheme="majorHAnsi" w:hAnsiTheme="majorHAnsi"/>
          <w:sz w:val="20"/>
          <w:szCs w:val="20"/>
          <w:lang w:val="es-ES_tradnl"/>
        </w:rPr>
        <w:t>os alegatos del Estado</w:t>
      </w:r>
      <w:r w:rsidRPr="004B114F">
        <w:rPr>
          <w:rFonts w:asciiTheme="majorHAnsi" w:hAnsiTheme="majorHAnsi"/>
          <w:sz w:val="20"/>
          <w:szCs w:val="20"/>
          <w:lang w:val="es-ES_tradnl"/>
        </w:rPr>
        <w:t xml:space="preserve">, </w:t>
      </w:r>
      <w:r w:rsidR="00B93554" w:rsidRPr="004B114F">
        <w:rPr>
          <w:rFonts w:asciiTheme="majorHAnsi" w:hAnsiTheme="majorHAnsi"/>
          <w:sz w:val="20"/>
          <w:szCs w:val="20"/>
          <w:lang w:val="es-ES_tradnl"/>
        </w:rPr>
        <w:t>para e</w:t>
      </w:r>
      <w:r w:rsidR="000C4097" w:rsidRPr="004B114F">
        <w:rPr>
          <w:rFonts w:asciiTheme="majorHAnsi" w:hAnsiTheme="majorHAnsi"/>
          <w:sz w:val="20"/>
          <w:szCs w:val="20"/>
          <w:lang w:val="es-ES_tradnl"/>
        </w:rPr>
        <w:t>l 2 de enero de 2008, la Fiscal Segunda seguía a la espera del resultado de las diligencias ordenadas</w:t>
      </w:r>
      <w:r w:rsidR="000C4097" w:rsidRPr="004B114F">
        <w:rPr>
          <w:rStyle w:val="FootnoteReference"/>
          <w:rFonts w:asciiTheme="majorHAnsi" w:hAnsiTheme="majorHAnsi"/>
          <w:sz w:val="20"/>
          <w:szCs w:val="20"/>
          <w:lang w:val="es-ES_tradnl"/>
        </w:rPr>
        <w:footnoteReference w:id="75"/>
      </w:r>
      <w:r w:rsidR="000C4097" w:rsidRPr="004B114F">
        <w:rPr>
          <w:rFonts w:asciiTheme="majorHAnsi" w:hAnsiTheme="majorHAnsi"/>
          <w:sz w:val="20"/>
          <w:szCs w:val="20"/>
          <w:lang w:val="es-ES_tradnl"/>
        </w:rPr>
        <w:t xml:space="preserve">. </w:t>
      </w:r>
      <w:r w:rsidR="00680776" w:rsidRPr="004B114F">
        <w:rPr>
          <w:rFonts w:asciiTheme="majorHAnsi" w:hAnsiTheme="majorHAnsi"/>
          <w:sz w:val="20"/>
          <w:szCs w:val="20"/>
          <w:lang w:val="es-ES_tradnl"/>
        </w:rPr>
        <w:t>La</w:t>
      </w:r>
      <w:r w:rsidR="007235E7" w:rsidRPr="004B114F">
        <w:rPr>
          <w:rFonts w:asciiTheme="majorHAnsi" w:hAnsiTheme="majorHAnsi"/>
          <w:sz w:val="20"/>
          <w:szCs w:val="20"/>
          <w:lang w:val="es-ES_tradnl"/>
        </w:rPr>
        <w:t xml:space="preserve"> </w:t>
      </w:r>
      <w:r w:rsidR="003A659A" w:rsidRPr="004B114F">
        <w:rPr>
          <w:rFonts w:asciiTheme="majorHAnsi" w:hAnsiTheme="majorHAnsi"/>
          <w:sz w:val="20"/>
          <w:szCs w:val="20"/>
          <w:lang w:val="es-ES_tradnl"/>
        </w:rPr>
        <w:t xml:space="preserve">información al alcance indica que la </w:t>
      </w:r>
      <w:r w:rsidR="007235E7" w:rsidRPr="004B114F">
        <w:rPr>
          <w:rFonts w:asciiTheme="majorHAnsi" w:hAnsiTheme="majorHAnsi"/>
          <w:sz w:val="20"/>
          <w:szCs w:val="20"/>
          <w:lang w:val="es-ES_tradnl"/>
        </w:rPr>
        <w:t xml:space="preserve">investigación penal por la denuncia </w:t>
      </w:r>
      <w:r w:rsidR="00680776" w:rsidRPr="004B114F">
        <w:rPr>
          <w:rFonts w:asciiTheme="majorHAnsi" w:hAnsiTheme="majorHAnsi"/>
          <w:sz w:val="20"/>
          <w:szCs w:val="20"/>
          <w:lang w:val="es-ES_tradnl"/>
        </w:rPr>
        <w:t>d</w:t>
      </w:r>
      <w:r w:rsidR="007235E7" w:rsidRPr="004B114F">
        <w:rPr>
          <w:rFonts w:asciiTheme="majorHAnsi" w:hAnsiTheme="majorHAnsi"/>
          <w:sz w:val="20"/>
          <w:szCs w:val="20"/>
          <w:lang w:val="es-ES_tradnl"/>
        </w:rPr>
        <w:t>e violación sexual se encuentra en fase preparatoria.</w:t>
      </w:r>
    </w:p>
    <w:p w14:paraId="30319625" w14:textId="77777777" w:rsidR="00001DF3" w:rsidRPr="004B114F" w:rsidRDefault="00001DF3" w:rsidP="004B114F">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630"/>
        <w:jc w:val="both"/>
        <w:rPr>
          <w:rFonts w:asciiTheme="majorHAnsi" w:hAnsiTheme="majorHAnsi"/>
          <w:sz w:val="20"/>
          <w:szCs w:val="20"/>
          <w:lang w:val="es-ES_tradnl"/>
        </w:rPr>
      </w:pPr>
    </w:p>
    <w:p w14:paraId="7959CD9F" w14:textId="0365D70B" w:rsidR="00E82AE4" w:rsidRPr="004B114F" w:rsidRDefault="00512E3F" w:rsidP="00DE778C">
      <w:pPr>
        <w:pStyle w:val="Heading3"/>
        <w:numPr>
          <w:ilvl w:val="0"/>
          <w:numId w:val="57"/>
        </w:numPr>
        <w:rPr>
          <w:rFonts w:asciiTheme="majorHAnsi" w:hAnsiTheme="majorHAnsi"/>
          <w:szCs w:val="20"/>
          <w:lang w:val="es-ES_tradnl"/>
        </w:rPr>
      </w:pPr>
      <w:bookmarkStart w:id="25" w:name="_Proceso_de_amparo"/>
      <w:bookmarkStart w:id="26" w:name="_Toc142398956"/>
      <w:bookmarkEnd w:id="25"/>
      <w:r w:rsidRPr="004B114F">
        <w:rPr>
          <w:rFonts w:asciiTheme="majorHAnsi" w:hAnsiTheme="majorHAnsi"/>
          <w:szCs w:val="20"/>
          <w:lang w:val="es-ES_tradnl"/>
        </w:rPr>
        <w:t>Proceso de amparo</w:t>
      </w:r>
      <w:bookmarkEnd w:id="26"/>
    </w:p>
    <w:p w14:paraId="05325835" w14:textId="77777777" w:rsidR="004A2A9F" w:rsidRPr="004B114F" w:rsidRDefault="004A2A9F" w:rsidP="004B114F">
      <w:pPr>
        <w:ind w:left="720"/>
        <w:rPr>
          <w:rFonts w:asciiTheme="majorHAnsi" w:hAnsiTheme="majorHAnsi"/>
          <w:b/>
          <w:sz w:val="20"/>
          <w:szCs w:val="20"/>
          <w:lang w:val="es-ES_tradnl"/>
        </w:rPr>
      </w:pPr>
    </w:p>
    <w:p w14:paraId="1CDC1CBC" w14:textId="226D1AF5" w:rsidR="000632F8" w:rsidRPr="004B114F" w:rsidRDefault="00D36381" w:rsidP="004B114F">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630"/>
        <w:jc w:val="both"/>
        <w:rPr>
          <w:rFonts w:asciiTheme="majorHAnsi" w:hAnsiTheme="majorHAnsi"/>
          <w:b/>
          <w:sz w:val="20"/>
          <w:szCs w:val="20"/>
          <w:lang w:val="es-ES_tradnl"/>
        </w:rPr>
      </w:pPr>
      <w:r w:rsidRPr="004B114F">
        <w:rPr>
          <w:rFonts w:asciiTheme="majorHAnsi" w:hAnsiTheme="majorHAnsi"/>
          <w:sz w:val="20"/>
          <w:szCs w:val="20"/>
          <w:lang w:val="es-ES_tradnl"/>
        </w:rPr>
        <w:t xml:space="preserve">El 1 de julio de 2002 </w:t>
      </w:r>
      <w:r w:rsidR="00171A41" w:rsidRPr="004B114F">
        <w:rPr>
          <w:rFonts w:asciiTheme="majorHAnsi" w:hAnsiTheme="majorHAnsi"/>
          <w:sz w:val="20"/>
          <w:szCs w:val="20"/>
          <w:lang w:val="es-ES_tradnl"/>
        </w:rPr>
        <w:t>la peticionaria presentó una acción de amparo en representación de la presunta víctima alegando la violación de sus derechos al debido proceso; a una vida libre de violencia; a la integridad física, psíquica y moral; a la igualdad y no discriminación; a la presunción de inocencia; y a la salud</w:t>
      </w:r>
      <w:r w:rsidR="00171A41" w:rsidRPr="004B114F">
        <w:rPr>
          <w:rStyle w:val="FootnoteReference"/>
          <w:rFonts w:asciiTheme="majorHAnsi" w:hAnsiTheme="majorHAnsi"/>
          <w:sz w:val="20"/>
          <w:szCs w:val="20"/>
          <w:lang w:val="es-ES_tradnl"/>
        </w:rPr>
        <w:footnoteReference w:id="76"/>
      </w:r>
      <w:r w:rsidR="00171A41" w:rsidRPr="004B114F">
        <w:rPr>
          <w:rFonts w:asciiTheme="majorHAnsi" w:hAnsiTheme="majorHAnsi"/>
          <w:sz w:val="20"/>
          <w:szCs w:val="20"/>
          <w:lang w:val="es-ES_tradnl"/>
        </w:rPr>
        <w:t>.</w:t>
      </w:r>
      <w:r w:rsidR="005369EE" w:rsidRPr="004B114F">
        <w:rPr>
          <w:rFonts w:asciiTheme="majorHAnsi" w:hAnsiTheme="majorHAnsi"/>
          <w:sz w:val="20"/>
          <w:szCs w:val="20"/>
          <w:lang w:val="es-ES_tradnl"/>
        </w:rPr>
        <w:t xml:space="preserve"> El recurso estuvo sustenta</w:t>
      </w:r>
      <w:r w:rsidR="00432FB6" w:rsidRPr="004B114F">
        <w:rPr>
          <w:rFonts w:asciiTheme="majorHAnsi" w:hAnsiTheme="majorHAnsi"/>
          <w:sz w:val="20"/>
          <w:szCs w:val="20"/>
          <w:lang w:val="es-ES_tradnl"/>
        </w:rPr>
        <w:t>do en las afectaciones sufridas por la señora Maleno durante su detención en el internado Anzoátegui y en el Retén Policial; la inacción de las autoridades estatales frente a la denuncia de violación sexual formulada por la presunta víctima</w:t>
      </w:r>
      <w:r w:rsidR="003A659A" w:rsidRPr="004B114F">
        <w:rPr>
          <w:rFonts w:asciiTheme="majorHAnsi" w:hAnsiTheme="majorHAnsi"/>
          <w:sz w:val="20"/>
          <w:szCs w:val="20"/>
          <w:lang w:val="es-ES_tradnl"/>
        </w:rPr>
        <w:t>;</w:t>
      </w:r>
      <w:r w:rsidR="00432FB6" w:rsidRPr="004B114F">
        <w:rPr>
          <w:rFonts w:asciiTheme="majorHAnsi" w:hAnsiTheme="majorHAnsi"/>
          <w:sz w:val="20"/>
          <w:szCs w:val="20"/>
          <w:lang w:val="es-ES_tradnl"/>
        </w:rPr>
        <w:t xml:space="preserve"> así como la manera en que había sido desarrollado el proceso seguido en su contra por el delito de homicidio calificado</w:t>
      </w:r>
      <w:r w:rsidR="00432FB6" w:rsidRPr="004B114F">
        <w:rPr>
          <w:rStyle w:val="FootnoteReference"/>
          <w:rFonts w:asciiTheme="majorHAnsi" w:hAnsiTheme="majorHAnsi"/>
          <w:sz w:val="20"/>
          <w:szCs w:val="20"/>
          <w:lang w:val="es-ES_tradnl"/>
        </w:rPr>
        <w:footnoteReference w:id="77"/>
      </w:r>
      <w:r w:rsidR="00432FB6" w:rsidRPr="004B114F">
        <w:rPr>
          <w:rFonts w:asciiTheme="majorHAnsi" w:hAnsiTheme="majorHAnsi"/>
          <w:sz w:val="20"/>
          <w:szCs w:val="20"/>
          <w:lang w:val="es-ES_tradnl"/>
        </w:rPr>
        <w:t xml:space="preserve">. </w:t>
      </w:r>
      <w:r w:rsidR="008C2ACC" w:rsidRPr="004B114F">
        <w:rPr>
          <w:rFonts w:asciiTheme="majorHAnsi" w:hAnsiTheme="majorHAnsi"/>
          <w:sz w:val="20"/>
          <w:szCs w:val="20"/>
          <w:lang w:val="es-ES_tradnl"/>
        </w:rPr>
        <w:t>La demanda fue presentada contra</w:t>
      </w:r>
      <w:r w:rsidR="005B0EB7" w:rsidRPr="004B114F">
        <w:rPr>
          <w:rFonts w:asciiTheme="majorHAnsi" w:hAnsiTheme="majorHAnsi"/>
          <w:sz w:val="20"/>
          <w:szCs w:val="20"/>
          <w:lang w:val="es-ES_tradnl"/>
        </w:rPr>
        <w:t xml:space="preserve"> </w:t>
      </w:r>
      <w:r w:rsidR="008C2ACC" w:rsidRPr="004B114F">
        <w:rPr>
          <w:rFonts w:asciiTheme="majorHAnsi" w:hAnsiTheme="majorHAnsi"/>
          <w:sz w:val="20"/>
          <w:szCs w:val="20"/>
          <w:lang w:val="es-ES_tradnl"/>
        </w:rPr>
        <w:t>e</w:t>
      </w:r>
      <w:r w:rsidR="005B0EB7" w:rsidRPr="004B114F">
        <w:rPr>
          <w:rFonts w:asciiTheme="majorHAnsi" w:hAnsiTheme="majorHAnsi"/>
          <w:sz w:val="20"/>
          <w:szCs w:val="20"/>
          <w:lang w:val="es-ES_tradnl"/>
        </w:rPr>
        <w:t xml:space="preserve">l Ministerio Público, la Defensoría del Pueblo del estado Anzoátegui, la dirección del Internado Anzoátegui y </w:t>
      </w:r>
      <w:r w:rsidR="008C2ACC" w:rsidRPr="004B114F">
        <w:rPr>
          <w:rFonts w:asciiTheme="majorHAnsi" w:hAnsiTheme="majorHAnsi"/>
          <w:sz w:val="20"/>
          <w:szCs w:val="20"/>
          <w:lang w:val="es-ES_tradnl"/>
        </w:rPr>
        <w:t>e</w:t>
      </w:r>
      <w:r w:rsidR="005B0EB7" w:rsidRPr="004B114F">
        <w:rPr>
          <w:rFonts w:asciiTheme="majorHAnsi" w:hAnsiTheme="majorHAnsi"/>
          <w:sz w:val="20"/>
          <w:szCs w:val="20"/>
          <w:lang w:val="es-ES_tradnl"/>
        </w:rPr>
        <w:t>l Tribunal Cuarto</w:t>
      </w:r>
      <w:r w:rsidR="005B0EB7" w:rsidRPr="004B114F">
        <w:rPr>
          <w:rStyle w:val="FootnoteReference"/>
          <w:rFonts w:asciiTheme="majorHAnsi" w:hAnsiTheme="majorHAnsi"/>
          <w:sz w:val="20"/>
          <w:szCs w:val="20"/>
          <w:lang w:val="es-ES_tradnl"/>
        </w:rPr>
        <w:footnoteReference w:id="78"/>
      </w:r>
      <w:r w:rsidR="005B0EB7" w:rsidRPr="004B114F">
        <w:rPr>
          <w:rFonts w:asciiTheme="majorHAnsi" w:hAnsiTheme="majorHAnsi"/>
          <w:sz w:val="20"/>
          <w:szCs w:val="20"/>
          <w:lang w:val="es-ES_tradnl"/>
        </w:rPr>
        <w:t>.</w:t>
      </w:r>
      <w:r w:rsidR="008C2ACC" w:rsidRPr="004B114F">
        <w:rPr>
          <w:rFonts w:asciiTheme="majorHAnsi" w:hAnsiTheme="majorHAnsi"/>
          <w:sz w:val="20"/>
          <w:szCs w:val="20"/>
          <w:lang w:val="es-ES_tradnl"/>
        </w:rPr>
        <w:t xml:space="preserve"> </w:t>
      </w:r>
      <w:r w:rsidR="00432FB6" w:rsidRPr="004B114F">
        <w:rPr>
          <w:rFonts w:asciiTheme="majorHAnsi" w:hAnsiTheme="majorHAnsi"/>
          <w:sz w:val="20"/>
          <w:szCs w:val="20"/>
          <w:lang w:val="es-ES_tradnl"/>
        </w:rPr>
        <w:t>Como petitorio del recurso, la peticionaria solicitó que se ordene la inmediata suspensión del proceso penal por delito de homicidio calificado</w:t>
      </w:r>
      <w:r w:rsidR="006D11E7" w:rsidRPr="004B114F">
        <w:rPr>
          <w:rFonts w:asciiTheme="majorHAnsi" w:hAnsiTheme="majorHAnsi"/>
          <w:sz w:val="20"/>
          <w:szCs w:val="20"/>
          <w:lang w:val="es-ES_tradnl"/>
        </w:rPr>
        <w:t>,</w:t>
      </w:r>
      <w:r w:rsidR="00432FB6" w:rsidRPr="004B114F">
        <w:rPr>
          <w:rFonts w:asciiTheme="majorHAnsi" w:hAnsiTheme="majorHAnsi"/>
          <w:sz w:val="20"/>
          <w:szCs w:val="20"/>
          <w:lang w:val="es-ES_tradnl"/>
        </w:rPr>
        <w:t xml:space="preserve"> y </w:t>
      </w:r>
      <w:r w:rsidR="008C2ACC" w:rsidRPr="004B114F">
        <w:rPr>
          <w:rFonts w:asciiTheme="majorHAnsi" w:hAnsiTheme="majorHAnsi"/>
          <w:sz w:val="20"/>
          <w:szCs w:val="20"/>
          <w:lang w:val="es-ES_tradnl"/>
        </w:rPr>
        <w:t>se le examine a nivel psicológico y psiquiátrico a fin de determinar su capacidad de comparecer en juicio</w:t>
      </w:r>
      <w:r w:rsidR="00432FB6" w:rsidRPr="004B114F">
        <w:rPr>
          <w:rFonts w:asciiTheme="majorHAnsi" w:hAnsiTheme="majorHAnsi"/>
          <w:sz w:val="20"/>
          <w:szCs w:val="20"/>
          <w:lang w:val="es-ES_tradnl"/>
        </w:rPr>
        <w:t>. De igual manera,</w:t>
      </w:r>
      <w:r w:rsidR="008C2ACC" w:rsidRPr="004B114F">
        <w:rPr>
          <w:rFonts w:asciiTheme="majorHAnsi" w:hAnsiTheme="majorHAnsi"/>
          <w:sz w:val="20"/>
          <w:szCs w:val="20"/>
          <w:lang w:val="es-ES_tradnl"/>
        </w:rPr>
        <w:t xml:space="preserve"> se solicitó que la señora Maleno sea trasladada a un local </w:t>
      </w:r>
      <w:r w:rsidR="008C2ACC" w:rsidRPr="004B114F">
        <w:rPr>
          <w:rFonts w:asciiTheme="majorHAnsi" w:hAnsiTheme="majorHAnsi"/>
          <w:i/>
          <w:sz w:val="20"/>
          <w:szCs w:val="20"/>
          <w:lang w:val="es-ES_tradnl"/>
        </w:rPr>
        <w:t>ad hoc</w:t>
      </w:r>
      <w:r w:rsidR="008C2ACC" w:rsidRPr="004B114F">
        <w:rPr>
          <w:rFonts w:asciiTheme="majorHAnsi" w:hAnsiTheme="majorHAnsi"/>
          <w:sz w:val="20"/>
          <w:szCs w:val="20"/>
          <w:lang w:val="es-ES_tradnl"/>
        </w:rPr>
        <w:t xml:space="preserve"> donde pueda recibir asistencia por la agresión sexual</w:t>
      </w:r>
      <w:r w:rsidR="000C1700" w:rsidRPr="004B114F">
        <w:rPr>
          <w:rStyle w:val="FootnoteReference"/>
          <w:rFonts w:asciiTheme="majorHAnsi" w:hAnsiTheme="majorHAnsi"/>
          <w:sz w:val="20"/>
          <w:szCs w:val="20"/>
          <w:lang w:val="es-ES_tradnl"/>
        </w:rPr>
        <w:footnoteReference w:id="79"/>
      </w:r>
      <w:r w:rsidR="000C1700" w:rsidRPr="004B114F">
        <w:rPr>
          <w:rFonts w:asciiTheme="majorHAnsi" w:hAnsiTheme="majorHAnsi"/>
          <w:sz w:val="20"/>
          <w:szCs w:val="20"/>
          <w:lang w:val="es-ES_tradnl"/>
        </w:rPr>
        <w:t>.</w:t>
      </w:r>
    </w:p>
    <w:p w14:paraId="434706E7" w14:textId="77777777" w:rsidR="000C1700" w:rsidRPr="004B114F" w:rsidRDefault="000C1700" w:rsidP="004B114F">
      <w:pPr>
        <w:pStyle w:val="ListParagraph"/>
        <w:rPr>
          <w:rFonts w:asciiTheme="majorHAnsi" w:hAnsiTheme="majorHAnsi"/>
          <w:b/>
          <w:sz w:val="20"/>
          <w:szCs w:val="20"/>
          <w:lang w:val="es-ES_tradnl"/>
        </w:rPr>
      </w:pPr>
    </w:p>
    <w:p w14:paraId="7FA35FE7" w14:textId="18B33656" w:rsidR="000E6A79" w:rsidRPr="004B114F" w:rsidRDefault="000C1700" w:rsidP="07C31400">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630"/>
        <w:jc w:val="both"/>
        <w:rPr>
          <w:rFonts w:asciiTheme="majorHAnsi" w:hAnsiTheme="majorHAnsi"/>
          <w:sz w:val="20"/>
          <w:szCs w:val="20"/>
          <w:lang w:val="es-ES"/>
        </w:rPr>
      </w:pPr>
      <w:r w:rsidRPr="07C31400">
        <w:rPr>
          <w:rFonts w:asciiTheme="majorHAnsi" w:hAnsiTheme="majorHAnsi"/>
          <w:sz w:val="20"/>
          <w:szCs w:val="20"/>
          <w:lang w:val="es-ES"/>
        </w:rPr>
        <w:t>El 3 de julio de 2002 el Tribunal de Juicio No. 4</w:t>
      </w:r>
      <w:r w:rsidR="00C520DE" w:rsidRPr="07C31400">
        <w:rPr>
          <w:rFonts w:asciiTheme="majorHAnsi" w:hAnsiTheme="majorHAnsi"/>
          <w:sz w:val="20"/>
          <w:szCs w:val="20"/>
          <w:lang w:val="es-ES"/>
        </w:rPr>
        <w:t xml:space="preserve"> de Barcelona evaluó el recurso de amparo y decidió declararse incompetente, bajo el argumento de que dicho recurso señalaba como uno de los agraviantes al Juez de Control </w:t>
      </w:r>
      <w:r w:rsidR="005C5476" w:rsidRPr="07C31400">
        <w:rPr>
          <w:rFonts w:asciiTheme="majorHAnsi" w:hAnsiTheme="majorHAnsi"/>
          <w:sz w:val="20"/>
          <w:szCs w:val="20"/>
          <w:lang w:val="es-ES"/>
        </w:rPr>
        <w:t xml:space="preserve">del Tribunal Cuarto, </w:t>
      </w:r>
      <w:r w:rsidR="00C520DE" w:rsidRPr="07C31400">
        <w:rPr>
          <w:rFonts w:asciiTheme="majorHAnsi" w:hAnsiTheme="majorHAnsi"/>
          <w:sz w:val="20"/>
          <w:szCs w:val="20"/>
          <w:lang w:val="es-ES"/>
        </w:rPr>
        <w:t>Alejandro García</w:t>
      </w:r>
      <w:r w:rsidR="00D421B3" w:rsidRPr="07C31400">
        <w:rPr>
          <w:rFonts w:asciiTheme="majorHAnsi" w:hAnsiTheme="majorHAnsi"/>
          <w:sz w:val="20"/>
          <w:szCs w:val="20"/>
          <w:lang w:val="es-ES"/>
        </w:rPr>
        <w:t xml:space="preserve">, </w:t>
      </w:r>
      <w:r w:rsidR="000E6A79" w:rsidRPr="07C31400">
        <w:rPr>
          <w:rFonts w:asciiTheme="majorHAnsi" w:hAnsiTheme="majorHAnsi"/>
          <w:sz w:val="20"/>
          <w:szCs w:val="20"/>
          <w:lang w:val="es-ES"/>
        </w:rPr>
        <w:t>y que en razón de lo establecido en el artículo 4 de la Ley Orgánica de Amparo sobre Derechos y Garantías Constitucionales, resultaba competente la Corte de Apelaciones</w:t>
      </w:r>
      <w:r w:rsidR="00C520DE" w:rsidRPr="07C31400">
        <w:rPr>
          <w:rStyle w:val="FootnoteReference"/>
          <w:rFonts w:asciiTheme="majorHAnsi" w:hAnsiTheme="majorHAnsi"/>
          <w:sz w:val="20"/>
          <w:szCs w:val="20"/>
          <w:lang w:val="es-ES"/>
        </w:rPr>
        <w:footnoteReference w:id="80"/>
      </w:r>
      <w:r w:rsidR="00C520DE" w:rsidRPr="07C31400">
        <w:rPr>
          <w:rFonts w:asciiTheme="majorHAnsi" w:hAnsiTheme="majorHAnsi"/>
          <w:sz w:val="20"/>
          <w:szCs w:val="20"/>
          <w:lang w:val="es-ES"/>
        </w:rPr>
        <w:t xml:space="preserve">. En virtud de lo anterior, el conocimiento de la acción pasó a competencia de </w:t>
      </w:r>
      <w:r w:rsidR="000E6A79" w:rsidRPr="07C31400">
        <w:rPr>
          <w:rFonts w:asciiTheme="majorHAnsi" w:hAnsiTheme="majorHAnsi"/>
          <w:sz w:val="20"/>
          <w:szCs w:val="20"/>
          <w:lang w:val="es-ES"/>
        </w:rPr>
        <w:t xml:space="preserve">dicha </w:t>
      </w:r>
      <w:r w:rsidR="00C520DE" w:rsidRPr="07C31400">
        <w:rPr>
          <w:rFonts w:asciiTheme="majorHAnsi" w:hAnsiTheme="majorHAnsi"/>
          <w:sz w:val="20"/>
          <w:szCs w:val="20"/>
          <w:lang w:val="es-ES"/>
        </w:rPr>
        <w:t xml:space="preserve">Corte. </w:t>
      </w:r>
    </w:p>
    <w:p w14:paraId="39A31189" w14:textId="77777777" w:rsidR="000E6A79" w:rsidRPr="004B114F" w:rsidRDefault="000E6A79" w:rsidP="00DE778C">
      <w:pPr>
        <w:pStyle w:val="ListParagraph"/>
        <w:rPr>
          <w:rFonts w:asciiTheme="majorHAnsi" w:hAnsiTheme="majorHAnsi"/>
          <w:sz w:val="20"/>
          <w:szCs w:val="20"/>
          <w:lang w:val="es-ES_tradnl"/>
        </w:rPr>
      </w:pPr>
    </w:p>
    <w:p w14:paraId="16E0A503" w14:textId="36F74D2C" w:rsidR="000C1700" w:rsidRPr="004B114F" w:rsidRDefault="00C520DE" w:rsidP="004B114F">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630"/>
        <w:jc w:val="both"/>
        <w:rPr>
          <w:rFonts w:asciiTheme="majorHAnsi" w:hAnsiTheme="majorHAnsi"/>
          <w:sz w:val="20"/>
          <w:szCs w:val="20"/>
          <w:lang w:val="es-ES_tradnl"/>
        </w:rPr>
      </w:pPr>
      <w:r w:rsidRPr="004B114F">
        <w:rPr>
          <w:rFonts w:asciiTheme="majorHAnsi" w:hAnsiTheme="majorHAnsi"/>
          <w:sz w:val="20"/>
          <w:szCs w:val="20"/>
          <w:lang w:val="es-ES_tradnl"/>
        </w:rPr>
        <w:t xml:space="preserve">El 12 de septiembre de 2002 la peticionaria cursó escrito a </w:t>
      </w:r>
      <w:r w:rsidR="000E6A79" w:rsidRPr="004B114F">
        <w:rPr>
          <w:rFonts w:asciiTheme="majorHAnsi" w:hAnsiTheme="majorHAnsi"/>
          <w:sz w:val="20"/>
          <w:szCs w:val="20"/>
          <w:lang w:val="es-ES_tradnl"/>
        </w:rPr>
        <w:t>la</w:t>
      </w:r>
      <w:r w:rsidR="006D11E7" w:rsidRPr="004B114F">
        <w:rPr>
          <w:rFonts w:asciiTheme="majorHAnsi" w:hAnsiTheme="majorHAnsi"/>
          <w:sz w:val="20"/>
          <w:szCs w:val="20"/>
          <w:lang w:val="es-ES_tradnl"/>
        </w:rPr>
        <w:t xml:space="preserve"> </w:t>
      </w:r>
      <w:r w:rsidRPr="004B114F">
        <w:rPr>
          <w:rFonts w:asciiTheme="majorHAnsi" w:hAnsiTheme="majorHAnsi"/>
          <w:sz w:val="20"/>
          <w:szCs w:val="20"/>
          <w:lang w:val="es-ES_tradnl"/>
        </w:rPr>
        <w:t xml:space="preserve">Corte </w:t>
      </w:r>
      <w:r w:rsidR="000E6A79" w:rsidRPr="004B114F">
        <w:rPr>
          <w:rFonts w:asciiTheme="majorHAnsi" w:hAnsiTheme="majorHAnsi"/>
          <w:sz w:val="20"/>
          <w:szCs w:val="20"/>
          <w:lang w:val="es-ES_tradnl"/>
        </w:rPr>
        <w:t xml:space="preserve">de Apelaciones </w:t>
      </w:r>
      <w:r w:rsidR="008C2ACC" w:rsidRPr="004B114F">
        <w:rPr>
          <w:rFonts w:asciiTheme="majorHAnsi" w:hAnsiTheme="majorHAnsi"/>
          <w:sz w:val="20"/>
          <w:szCs w:val="20"/>
          <w:lang w:val="es-ES_tradnl"/>
        </w:rPr>
        <w:t>solicitando</w:t>
      </w:r>
      <w:r w:rsidRPr="004B114F">
        <w:rPr>
          <w:rFonts w:asciiTheme="majorHAnsi" w:hAnsiTheme="majorHAnsi"/>
          <w:sz w:val="20"/>
          <w:szCs w:val="20"/>
          <w:lang w:val="es-ES_tradnl"/>
        </w:rPr>
        <w:t xml:space="preserve"> medidas cautelares </w:t>
      </w:r>
      <w:r w:rsidR="008C2ACC" w:rsidRPr="004B114F">
        <w:rPr>
          <w:rFonts w:asciiTheme="majorHAnsi" w:hAnsiTheme="majorHAnsi"/>
          <w:sz w:val="20"/>
          <w:szCs w:val="20"/>
          <w:lang w:val="es-ES_tradnl"/>
        </w:rPr>
        <w:t xml:space="preserve">para </w:t>
      </w:r>
      <w:r w:rsidRPr="004B114F">
        <w:rPr>
          <w:rFonts w:asciiTheme="majorHAnsi" w:hAnsiTheme="majorHAnsi"/>
          <w:sz w:val="20"/>
          <w:szCs w:val="20"/>
          <w:lang w:val="es-ES_tradnl"/>
        </w:rPr>
        <w:t>suspen</w:t>
      </w:r>
      <w:r w:rsidR="008C2ACC" w:rsidRPr="004B114F">
        <w:rPr>
          <w:rFonts w:asciiTheme="majorHAnsi" w:hAnsiTheme="majorHAnsi"/>
          <w:sz w:val="20"/>
          <w:szCs w:val="20"/>
          <w:lang w:val="es-ES_tradnl"/>
        </w:rPr>
        <w:t>der</w:t>
      </w:r>
      <w:r w:rsidRPr="004B114F">
        <w:rPr>
          <w:rFonts w:asciiTheme="majorHAnsi" w:hAnsiTheme="majorHAnsi"/>
          <w:sz w:val="20"/>
          <w:szCs w:val="20"/>
          <w:lang w:val="es-ES_tradnl"/>
        </w:rPr>
        <w:t xml:space="preserve"> el proceso penal por filicidio, el traslado de la presunta víctima a un local </w:t>
      </w:r>
      <w:r w:rsidRPr="004B114F">
        <w:rPr>
          <w:rFonts w:asciiTheme="majorHAnsi" w:hAnsiTheme="majorHAnsi"/>
          <w:i/>
          <w:sz w:val="20"/>
          <w:szCs w:val="20"/>
          <w:lang w:val="es-ES_tradnl"/>
        </w:rPr>
        <w:t>ad hoc</w:t>
      </w:r>
      <w:r w:rsidRPr="004B114F">
        <w:rPr>
          <w:rFonts w:asciiTheme="majorHAnsi" w:hAnsiTheme="majorHAnsi"/>
          <w:sz w:val="20"/>
          <w:szCs w:val="20"/>
          <w:lang w:val="es-ES_tradnl"/>
        </w:rPr>
        <w:t xml:space="preserve"> para </w:t>
      </w:r>
      <w:r w:rsidR="00705C41" w:rsidRPr="004B114F">
        <w:rPr>
          <w:rFonts w:asciiTheme="majorHAnsi" w:hAnsiTheme="majorHAnsi"/>
          <w:sz w:val="20"/>
          <w:szCs w:val="20"/>
          <w:lang w:val="es-ES_tradnl"/>
        </w:rPr>
        <w:t>evitar la continuidad de daños físicos y morales, y la atención médica y humanitaria de emergencia en su favor</w:t>
      </w:r>
      <w:r w:rsidR="00705C41" w:rsidRPr="004B114F">
        <w:rPr>
          <w:rStyle w:val="FootnoteReference"/>
          <w:rFonts w:asciiTheme="majorHAnsi" w:hAnsiTheme="majorHAnsi"/>
          <w:sz w:val="20"/>
          <w:szCs w:val="20"/>
          <w:lang w:val="es-ES_tradnl"/>
        </w:rPr>
        <w:footnoteReference w:id="81"/>
      </w:r>
      <w:r w:rsidR="00705C41" w:rsidRPr="004B114F">
        <w:rPr>
          <w:rFonts w:asciiTheme="majorHAnsi" w:hAnsiTheme="majorHAnsi"/>
          <w:sz w:val="20"/>
          <w:szCs w:val="20"/>
          <w:lang w:val="es-ES_tradnl"/>
        </w:rPr>
        <w:t xml:space="preserve">. </w:t>
      </w:r>
      <w:r w:rsidR="00C137F2" w:rsidRPr="004B114F">
        <w:rPr>
          <w:rFonts w:asciiTheme="majorHAnsi" w:hAnsiTheme="majorHAnsi"/>
          <w:sz w:val="20"/>
          <w:szCs w:val="20"/>
          <w:lang w:val="es-ES_tradnl"/>
        </w:rPr>
        <w:t xml:space="preserve">El 20 de septiembre de 2002, la Corte denegó las medidas solicitadas argumentando que estas eran </w:t>
      </w:r>
      <w:r w:rsidR="000E6A79" w:rsidRPr="004B114F">
        <w:rPr>
          <w:rFonts w:asciiTheme="majorHAnsi" w:hAnsiTheme="majorHAnsi"/>
          <w:sz w:val="20"/>
          <w:szCs w:val="20"/>
          <w:lang w:val="es-ES_tradnl"/>
        </w:rPr>
        <w:t>“</w:t>
      </w:r>
      <w:r w:rsidR="00C137F2" w:rsidRPr="004B114F">
        <w:rPr>
          <w:rFonts w:asciiTheme="majorHAnsi" w:hAnsiTheme="majorHAnsi"/>
          <w:sz w:val="20"/>
          <w:szCs w:val="20"/>
          <w:lang w:val="es-ES_tradnl"/>
        </w:rPr>
        <w:t>idénticas</w:t>
      </w:r>
      <w:r w:rsidR="000E6A79" w:rsidRPr="004B114F">
        <w:rPr>
          <w:rFonts w:asciiTheme="majorHAnsi" w:hAnsiTheme="majorHAnsi"/>
          <w:sz w:val="20"/>
          <w:szCs w:val="20"/>
          <w:lang w:val="es-ES_tradnl"/>
        </w:rPr>
        <w:t>”</w:t>
      </w:r>
      <w:r w:rsidR="00C137F2" w:rsidRPr="004B114F">
        <w:rPr>
          <w:rFonts w:asciiTheme="majorHAnsi" w:hAnsiTheme="majorHAnsi"/>
          <w:sz w:val="20"/>
          <w:szCs w:val="20"/>
          <w:lang w:val="es-ES_tradnl"/>
        </w:rPr>
        <w:t xml:space="preserve"> </w:t>
      </w:r>
      <w:r w:rsidR="008C2ACC" w:rsidRPr="004B114F">
        <w:rPr>
          <w:rFonts w:asciiTheme="majorHAnsi" w:hAnsiTheme="majorHAnsi"/>
          <w:sz w:val="20"/>
          <w:szCs w:val="20"/>
          <w:lang w:val="es-ES_tradnl"/>
        </w:rPr>
        <w:t>a</w:t>
      </w:r>
      <w:r w:rsidR="00C137F2" w:rsidRPr="004B114F">
        <w:rPr>
          <w:rFonts w:asciiTheme="majorHAnsi" w:hAnsiTheme="majorHAnsi"/>
          <w:sz w:val="20"/>
          <w:szCs w:val="20"/>
          <w:lang w:val="es-ES_tradnl"/>
        </w:rPr>
        <w:t>l petitorio de la acción de amparo</w:t>
      </w:r>
      <w:r w:rsidR="000E6A79" w:rsidRPr="004B114F">
        <w:rPr>
          <w:rFonts w:asciiTheme="majorHAnsi" w:hAnsiTheme="majorHAnsi"/>
          <w:sz w:val="20"/>
          <w:szCs w:val="20"/>
          <w:lang w:val="es-ES_tradnl"/>
        </w:rPr>
        <w:t xml:space="preserve">. En particular, su fundamentación consistió en que: “decretar las medidas cautelares requeridas por la accionante es adelantar el pronunciamientos de fondo planteados en la acción de amparo constitucional, </w:t>
      </w:r>
      <w:r w:rsidR="004B114F" w:rsidRPr="004B114F">
        <w:rPr>
          <w:rFonts w:asciiTheme="majorHAnsi" w:hAnsiTheme="majorHAnsi"/>
          <w:sz w:val="20"/>
          <w:szCs w:val="20"/>
          <w:lang w:val="es-ES_tradnl"/>
        </w:rPr>
        <w:t>amén</w:t>
      </w:r>
      <w:r w:rsidR="000E6A79" w:rsidRPr="004B114F">
        <w:rPr>
          <w:rFonts w:asciiTheme="majorHAnsi" w:hAnsiTheme="majorHAnsi"/>
          <w:sz w:val="20"/>
          <w:szCs w:val="20"/>
          <w:lang w:val="es-ES_tradnl"/>
        </w:rPr>
        <w:t xml:space="preserve"> de que no aparece en el expediente prueba alguna de que la definitiva no pueda repararle la situación jurídica denunciada como infringido, puesto que aunado a ello no consta en las actuaciones que se le haya negado la suspensión del proceso o la asistencia </w:t>
      </w:r>
      <w:r w:rsidR="004B114F" w:rsidRPr="004B114F">
        <w:rPr>
          <w:rFonts w:asciiTheme="majorHAnsi" w:hAnsiTheme="majorHAnsi"/>
          <w:sz w:val="20"/>
          <w:szCs w:val="20"/>
          <w:lang w:val="es-ES_tradnl"/>
        </w:rPr>
        <w:t>médica</w:t>
      </w:r>
      <w:r w:rsidR="000E6A79" w:rsidRPr="004B114F">
        <w:rPr>
          <w:rFonts w:asciiTheme="majorHAnsi" w:hAnsiTheme="majorHAnsi"/>
          <w:sz w:val="20"/>
          <w:szCs w:val="20"/>
          <w:lang w:val="es-ES_tradnl"/>
        </w:rPr>
        <w:t xml:space="preserve"> humanitaria; en consecuencia, lo correcto y ajustado a derecho es negar las medidas cautelares solicitadas”</w:t>
      </w:r>
      <w:r w:rsidR="00C137F2" w:rsidRPr="004B114F">
        <w:rPr>
          <w:rStyle w:val="FootnoteReference"/>
          <w:rFonts w:asciiTheme="majorHAnsi" w:hAnsiTheme="majorHAnsi"/>
          <w:sz w:val="20"/>
          <w:szCs w:val="20"/>
          <w:lang w:val="es-ES_tradnl"/>
        </w:rPr>
        <w:footnoteReference w:id="82"/>
      </w:r>
      <w:r w:rsidR="00C137F2" w:rsidRPr="004B114F">
        <w:rPr>
          <w:rFonts w:asciiTheme="majorHAnsi" w:hAnsiTheme="majorHAnsi"/>
          <w:sz w:val="20"/>
          <w:szCs w:val="20"/>
          <w:lang w:val="es-ES_tradnl"/>
        </w:rPr>
        <w:t>.</w:t>
      </w:r>
    </w:p>
    <w:p w14:paraId="6AF542E2" w14:textId="77777777" w:rsidR="00A4388E" w:rsidRPr="004B114F" w:rsidRDefault="00A4388E" w:rsidP="004B114F">
      <w:pPr>
        <w:pStyle w:val="ListParagraph"/>
        <w:rPr>
          <w:rFonts w:asciiTheme="majorHAnsi" w:hAnsiTheme="majorHAnsi"/>
          <w:sz w:val="20"/>
          <w:szCs w:val="20"/>
          <w:lang w:val="es-ES_tradnl"/>
        </w:rPr>
      </w:pPr>
    </w:p>
    <w:p w14:paraId="211DC7AC" w14:textId="6639C5D3" w:rsidR="006D11E7" w:rsidRPr="004B114F" w:rsidRDefault="005B0EB7" w:rsidP="07C31400">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630"/>
        <w:jc w:val="both"/>
        <w:rPr>
          <w:rFonts w:asciiTheme="majorHAnsi" w:hAnsiTheme="majorHAnsi"/>
          <w:sz w:val="20"/>
          <w:szCs w:val="20"/>
          <w:lang w:val="es-ES"/>
        </w:rPr>
      </w:pPr>
      <w:r w:rsidRPr="07C31400">
        <w:rPr>
          <w:rFonts w:asciiTheme="majorHAnsi" w:hAnsiTheme="majorHAnsi"/>
          <w:sz w:val="20"/>
          <w:szCs w:val="20"/>
          <w:lang w:val="es-ES"/>
        </w:rPr>
        <w:t>Según consta en el expediente, el 2 de octubre de 2002 se celebró la audiencia constitucional oral y pública</w:t>
      </w:r>
      <w:r w:rsidR="00830AB7" w:rsidRPr="07C31400">
        <w:rPr>
          <w:rStyle w:val="FootnoteReference"/>
          <w:rFonts w:asciiTheme="majorHAnsi" w:hAnsiTheme="majorHAnsi"/>
          <w:sz w:val="20"/>
          <w:szCs w:val="20"/>
          <w:lang w:val="es-ES"/>
        </w:rPr>
        <w:footnoteReference w:id="83"/>
      </w:r>
      <w:r w:rsidR="00830AB7" w:rsidRPr="07C31400">
        <w:rPr>
          <w:rFonts w:asciiTheme="majorHAnsi" w:hAnsiTheme="majorHAnsi"/>
          <w:sz w:val="20"/>
          <w:szCs w:val="20"/>
          <w:lang w:val="es-ES"/>
        </w:rPr>
        <w:t>.</w:t>
      </w:r>
      <w:r w:rsidR="006D46B8" w:rsidRPr="07C31400">
        <w:rPr>
          <w:rFonts w:asciiTheme="majorHAnsi" w:hAnsiTheme="majorHAnsi"/>
          <w:sz w:val="20"/>
          <w:szCs w:val="20"/>
          <w:lang w:val="es-ES"/>
        </w:rPr>
        <w:t xml:space="preserve"> </w:t>
      </w:r>
      <w:r w:rsidR="008C2ACC" w:rsidRPr="07C31400">
        <w:rPr>
          <w:rFonts w:asciiTheme="majorHAnsi" w:hAnsiTheme="majorHAnsi"/>
          <w:sz w:val="20"/>
          <w:szCs w:val="20"/>
          <w:lang w:val="es-ES"/>
        </w:rPr>
        <w:t>L</w:t>
      </w:r>
      <w:r w:rsidR="006D46B8" w:rsidRPr="07C31400">
        <w:rPr>
          <w:rFonts w:asciiTheme="majorHAnsi" w:hAnsiTheme="majorHAnsi"/>
          <w:sz w:val="20"/>
          <w:szCs w:val="20"/>
          <w:lang w:val="es-ES"/>
        </w:rPr>
        <w:t>a Corte de Apelaciones</w:t>
      </w:r>
      <w:r w:rsidR="00CB6D65" w:rsidRPr="07C31400">
        <w:rPr>
          <w:rFonts w:asciiTheme="majorHAnsi" w:hAnsiTheme="majorHAnsi"/>
          <w:sz w:val="20"/>
          <w:szCs w:val="20"/>
          <w:lang w:val="es-ES"/>
        </w:rPr>
        <w:t xml:space="preserve"> declaró “sin lugar” la acción de amparo</w:t>
      </w:r>
      <w:r w:rsidR="00B8382D" w:rsidRPr="07C31400">
        <w:rPr>
          <w:rFonts w:asciiTheme="majorHAnsi" w:hAnsiTheme="majorHAnsi"/>
          <w:sz w:val="20"/>
          <w:szCs w:val="20"/>
          <w:lang w:val="es-ES"/>
        </w:rPr>
        <w:t xml:space="preserve"> </w:t>
      </w:r>
      <w:r w:rsidR="002B7F4A" w:rsidRPr="07C31400">
        <w:rPr>
          <w:rFonts w:asciiTheme="majorHAnsi" w:hAnsiTheme="majorHAnsi"/>
          <w:sz w:val="20"/>
          <w:szCs w:val="20"/>
          <w:lang w:val="es-ES"/>
        </w:rPr>
        <w:t>por considerar que: (i) era impropio decretar la suspensión inmediata del proceso por cuanto la accionante ten</w:t>
      </w:r>
      <w:r w:rsidR="00336652" w:rsidRPr="07C31400">
        <w:rPr>
          <w:rFonts w:asciiTheme="majorHAnsi" w:hAnsiTheme="majorHAnsi"/>
          <w:sz w:val="20"/>
          <w:szCs w:val="20"/>
          <w:lang w:val="es-ES"/>
        </w:rPr>
        <w:t>í</w:t>
      </w:r>
      <w:r w:rsidR="002B7F4A" w:rsidRPr="07C31400">
        <w:rPr>
          <w:rFonts w:asciiTheme="majorHAnsi" w:hAnsiTheme="majorHAnsi"/>
          <w:sz w:val="20"/>
          <w:szCs w:val="20"/>
          <w:lang w:val="es-ES"/>
        </w:rPr>
        <w:t xml:space="preserve">a </w:t>
      </w:r>
      <w:r w:rsidR="00336652" w:rsidRPr="07C31400">
        <w:rPr>
          <w:rFonts w:asciiTheme="majorHAnsi" w:hAnsiTheme="majorHAnsi"/>
          <w:sz w:val="20"/>
          <w:szCs w:val="20"/>
          <w:lang w:val="es-ES"/>
        </w:rPr>
        <w:t xml:space="preserve">a su disposición </w:t>
      </w:r>
      <w:r w:rsidR="002B7F4A" w:rsidRPr="07C31400">
        <w:rPr>
          <w:rFonts w:asciiTheme="majorHAnsi" w:hAnsiTheme="majorHAnsi"/>
          <w:sz w:val="20"/>
          <w:szCs w:val="20"/>
          <w:lang w:val="es-ES"/>
        </w:rPr>
        <w:t xml:space="preserve">vías procesales ordinarias </w:t>
      </w:r>
      <w:r w:rsidR="00336652" w:rsidRPr="07C31400">
        <w:rPr>
          <w:rFonts w:asciiTheme="majorHAnsi" w:hAnsiTheme="majorHAnsi"/>
          <w:sz w:val="20"/>
          <w:szCs w:val="20"/>
          <w:lang w:val="es-ES"/>
        </w:rPr>
        <w:t xml:space="preserve">contenidas </w:t>
      </w:r>
      <w:r w:rsidR="002B7F4A" w:rsidRPr="07C31400">
        <w:rPr>
          <w:rFonts w:asciiTheme="majorHAnsi" w:hAnsiTheme="majorHAnsi"/>
          <w:sz w:val="20"/>
          <w:szCs w:val="20"/>
          <w:lang w:val="es-ES"/>
        </w:rPr>
        <w:t>en el art</w:t>
      </w:r>
      <w:r w:rsidR="00336652" w:rsidRPr="07C31400">
        <w:rPr>
          <w:rFonts w:asciiTheme="majorHAnsi" w:hAnsiTheme="majorHAnsi"/>
          <w:sz w:val="20"/>
          <w:szCs w:val="20"/>
          <w:lang w:val="es-ES"/>
        </w:rPr>
        <w:t>í</w:t>
      </w:r>
      <w:r w:rsidR="002B7F4A" w:rsidRPr="07C31400">
        <w:rPr>
          <w:rFonts w:asciiTheme="majorHAnsi" w:hAnsiTheme="majorHAnsi"/>
          <w:sz w:val="20"/>
          <w:szCs w:val="20"/>
          <w:lang w:val="es-ES"/>
        </w:rPr>
        <w:t xml:space="preserve">culo 42 del Código Orgánico Procesal </w:t>
      </w:r>
      <w:r w:rsidR="006A75F1" w:rsidRPr="07C31400">
        <w:rPr>
          <w:rFonts w:asciiTheme="majorHAnsi" w:hAnsiTheme="majorHAnsi"/>
          <w:sz w:val="20"/>
          <w:szCs w:val="20"/>
          <w:lang w:val="es-ES"/>
        </w:rPr>
        <w:t xml:space="preserve">sobre </w:t>
      </w:r>
      <w:r w:rsidR="002B7F4A" w:rsidRPr="07C31400">
        <w:rPr>
          <w:rFonts w:asciiTheme="majorHAnsi" w:hAnsiTheme="majorHAnsi"/>
          <w:sz w:val="20"/>
          <w:szCs w:val="20"/>
          <w:lang w:val="es-ES"/>
        </w:rPr>
        <w:t xml:space="preserve">mecanismos </w:t>
      </w:r>
      <w:r w:rsidR="006A75F1" w:rsidRPr="07C31400">
        <w:rPr>
          <w:rFonts w:asciiTheme="majorHAnsi" w:hAnsiTheme="majorHAnsi"/>
          <w:sz w:val="20"/>
          <w:szCs w:val="20"/>
          <w:lang w:val="es-ES"/>
        </w:rPr>
        <w:t>de</w:t>
      </w:r>
      <w:r w:rsidR="002B7F4A" w:rsidRPr="07C31400">
        <w:rPr>
          <w:rFonts w:asciiTheme="majorHAnsi" w:hAnsiTheme="majorHAnsi"/>
          <w:sz w:val="20"/>
          <w:szCs w:val="20"/>
          <w:lang w:val="es-ES"/>
        </w:rPr>
        <w:t xml:space="preserve"> suspensión condicional del proceso penal y en el Libro Primero </w:t>
      </w:r>
      <w:r w:rsidR="004B114F" w:rsidRPr="07C31400">
        <w:rPr>
          <w:rFonts w:asciiTheme="majorHAnsi" w:hAnsiTheme="majorHAnsi"/>
          <w:sz w:val="20"/>
          <w:szCs w:val="20"/>
          <w:lang w:val="es-ES"/>
        </w:rPr>
        <w:t>Título</w:t>
      </w:r>
      <w:r w:rsidR="002B7F4A" w:rsidRPr="07C31400">
        <w:rPr>
          <w:rFonts w:asciiTheme="majorHAnsi" w:hAnsiTheme="majorHAnsi"/>
          <w:sz w:val="20"/>
          <w:szCs w:val="20"/>
          <w:lang w:val="es-ES"/>
        </w:rPr>
        <w:t xml:space="preserve"> I Cap</w:t>
      </w:r>
      <w:r w:rsidR="00F4343A" w:rsidRPr="07C31400">
        <w:rPr>
          <w:rFonts w:asciiTheme="majorHAnsi" w:hAnsiTheme="majorHAnsi"/>
          <w:sz w:val="20"/>
          <w:szCs w:val="20"/>
          <w:lang w:val="es-ES"/>
        </w:rPr>
        <w:t>í</w:t>
      </w:r>
      <w:r w:rsidR="002B7F4A" w:rsidRPr="07C31400">
        <w:rPr>
          <w:rFonts w:asciiTheme="majorHAnsi" w:hAnsiTheme="majorHAnsi"/>
          <w:sz w:val="20"/>
          <w:szCs w:val="20"/>
          <w:lang w:val="es-ES"/>
        </w:rPr>
        <w:t>tulo III sobre alternativas a la prosecución penal; (ii) en cuanto a la prohibición a funcionarios denunciados como agraviantes de participa</w:t>
      </w:r>
      <w:r w:rsidR="006A75F1" w:rsidRPr="07C31400">
        <w:rPr>
          <w:rFonts w:asciiTheme="majorHAnsi" w:hAnsiTheme="majorHAnsi"/>
          <w:sz w:val="20"/>
          <w:szCs w:val="20"/>
          <w:lang w:val="es-ES"/>
        </w:rPr>
        <w:t>r</w:t>
      </w:r>
      <w:r w:rsidR="002B7F4A" w:rsidRPr="07C31400">
        <w:rPr>
          <w:rFonts w:asciiTheme="majorHAnsi" w:hAnsiTheme="majorHAnsi"/>
          <w:sz w:val="20"/>
          <w:szCs w:val="20"/>
          <w:lang w:val="es-ES"/>
        </w:rPr>
        <w:t xml:space="preserve"> en asuntos relacionados a la presunta v</w:t>
      </w:r>
      <w:r w:rsidR="006A75F1" w:rsidRPr="07C31400">
        <w:rPr>
          <w:rFonts w:asciiTheme="majorHAnsi" w:hAnsiTheme="majorHAnsi"/>
          <w:sz w:val="20"/>
          <w:szCs w:val="20"/>
          <w:lang w:val="es-ES"/>
        </w:rPr>
        <w:t>í</w:t>
      </w:r>
      <w:r w:rsidR="002B7F4A" w:rsidRPr="07C31400">
        <w:rPr>
          <w:rFonts w:asciiTheme="majorHAnsi" w:hAnsiTheme="majorHAnsi"/>
          <w:sz w:val="20"/>
          <w:szCs w:val="20"/>
          <w:lang w:val="es-ES"/>
        </w:rPr>
        <w:t xml:space="preserve">ctima, considera también que cuenta con mecanismos ordinarios </w:t>
      </w:r>
      <w:r w:rsidR="006A75F1" w:rsidRPr="07C31400">
        <w:rPr>
          <w:rFonts w:asciiTheme="majorHAnsi" w:hAnsiTheme="majorHAnsi"/>
          <w:sz w:val="20"/>
          <w:szCs w:val="20"/>
          <w:lang w:val="es-ES"/>
        </w:rPr>
        <w:t xml:space="preserve">para </w:t>
      </w:r>
      <w:r w:rsidR="002B7F4A" w:rsidRPr="07C31400">
        <w:rPr>
          <w:rFonts w:asciiTheme="majorHAnsi" w:hAnsiTheme="majorHAnsi"/>
          <w:sz w:val="20"/>
          <w:szCs w:val="20"/>
          <w:lang w:val="es-ES"/>
        </w:rPr>
        <w:t>recusa</w:t>
      </w:r>
      <w:r w:rsidR="006A75F1" w:rsidRPr="07C31400">
        <w:rPr>
          <w:rFonts w:asciiTheme="majorHAnsi" w:hAnsiTheme="majorHAnsi"/>
          <w:sz w:val="20"/>
          <w:szCs w:val="20"/>
          <w:lang w:val="es-ES"/>
        </w:rPr>
        <w:t>rlos</w:t>
      </w:r>
      <w:r w:rsidR="002B7F4A" w:rsidRPr="07C31400">
        <w:rPr>
          <w:rFonts w:asciiTheme="majorHAnsi" w:hAnsiTheme="majorHAnsi"/>
          <w:sz w:val="20"/>
          <w:szCs w:val="20"/>
          <w:lang w:val="es-ES"/>
        </w:rPr>
        <w:t xml:space="preserve"> mediante lo previsto en el Código Orgánico Procesal Penal (artículos 85 al 101) y en la Ley Orgánica del Ministerio Publico (</w:t>
      </w:r>
      <w:r w:rsidR="004B114F" w:rsidRPr="07C31400">
        <w:rPr>
          <w:rFonts w:asciiTheme="majorHAnsi" w:hAnsiTheme="majorHAnsi"/>
          <w:sz w:val="20"/>
          <w:szCs w:val="20"/>
          <w:lang w:val="es-ES"/>
        </w:rPr>
        <w:t>artículo</w:t>
      </w:r>
      <w:r w:rsidR="002B7F4A" w:rsidRPr="07C31400">
        <w:rPr>
          <w:rFonts w:asciiTheme="majorHAnsi" w:hAnsiTheme="majorHAnsi"/>
          <w:sz w:val="20"/>
          <w:szCs w:val="20"/>
          <w:lang w:val="es-ES"/>
        </w:rPr>
        <w:t xml:space="preserve"> 47 al 63);</w:t>
      </w:r>
      <w:r w:rsidR="006A75F1" w:rsidRPr="07C31400">
        <w:rPr>
          <w:rFonts w:asciiTheme="majorHAnsi" w:hAnsiTheme="majorHAnsi"/>
          <w:sz w:val="20"/>
          <w:szCs w:val="20"/>
          <w:lang w:val="es-ES"/>
        </w:rPr>
        <w:t xml:space="preserve"> y </w:t>
      </w:r>
      <w:r w:rsidR="002B7F4A" w:rsidRPr="07C31400">
        <w:rPr>
          <w:rFonts w:asciiTheme="majorHAnsi" w:hAnsiTheme="majorHAnsi"/>
          <w:sz w:val="20"/>
          <w:szCs w:val="20"/>
          <w:lang w:val="es-ES"/>
        </w:rPr>
        <w:t xml:space="preserve"> (iii) en cuanto a la situación de los establecimientos penitenciarios sostiene que</w:t>
      </w:r>
      <w:r w:rsidR="006A75F1" w:rsidRPr="07C31400">
        <w:rPr>
          <w:rFonts w:asciiTheme="majorHAnsi" w:hAnsiTheme="majorHAnsi"/>
          <w:sz w:val="20"/>
          <w:szCs w:val="20"/>
          <w:lang w:val="es-ES"/>
        </w:rPr>
        <w:t xml:space="preserve"> acoger este extremo</w:t>
      </w:r>
      <w:r w:rsidR="002B7F4A" w:rsidRPr="07C31400">
        <w:rPr>
          <w:rFonts w:asciiTheme="majorHAnsi" w:hAnsiTheme="majorHAnsi"/>
          <w:sz w:val="20"/>
          <w:szCs w:val="20"/>
          <w:lang w:val="es-ES"/>
        </w:rPr>
        <w:t xml:space="preserve"> “significa exceder a los límites de la competencia de esta Corte” en tanto es “de competencia del poder p</w:t>
      </w:r>
      <w:r w:rsidR="002F5C7F" w:rsidRPr="07C31400">
        <w:rPr>
          <w:rFonts w:asciiTheme="majorHAnsi" w:hAnsiTheme="majorHAnsi"/>
          <w:sz w:val="20"/>
          <w:szCs w:val="20"/>
          <w:lang w:val="es-ES"/>
        </w:rPr>
        <w:t>ú</w:t>
      </w:r>
      <w:r w:rsidR="002B7F4A" w:rsidRPr="07C31400">
        <w:rPr>
          <w:rFonts w:asciiTheme="majorHAnsi" w:hAnsiTheme="majorHAnsi"/>
          <w:sz w:val="20"/>
          <w:szCs w:val="20"/>
          <w:lang w:val="es-ES"/>
        </w:rPr>
        <w:t>blico a través del Poder Ejecutivo Nacional, por órgano del Ministerio del Interior y Justicia”</w:t>
      </w:r>
      <w:r w:rsidR="006A75F1" w:rsidRPr="07C31400">
        <w:rPr>
          <w:rFonts w:asciiTheme="majorHAnsi" w:hAnsiTheme="majorHAnsi"/>
          <w:sz w:val="20"/>
          <w:szCs w:val="20"/>
          <w:lang w:val="es-ES"/>
        </w:rPr>
        <w:t xml:space="preserve">. </w:t>
      </w:r>
      <w:r w:rsidR="0027023B" w:rsidRPr="07C31400">
        <w:rPr>
          <w:rFonts w:asciiTheme="majorHAnsi" w:hAnsiTheme="majorHAnsi"/>
          <w:sz w:val="20"/>
          <w:szCs w:val="20"/>
          <w:lang w:val="es-ES"/>
        </w:rPr>
        <w:t xml:space="preserve"> </w:t>
      </w:r>
      <w:r w:rsidR="006A75F1" w:rsidRPr="07C31400">
        <w:rPr>
          <w:rFonts w:asciiTheme="majorHAnsi" w:hAnsiTheme="majorHAnsi"/>
          <w:sz w:val="20"/>
          <w:szCs w:val="20"/>
          <w:lang w:val="es-ES"/>
        </w:rPr>
        <w:t xml:space="preserve">Igualmente, sostiene que </w:t>
      </w:r>
      <w:r w:rsidR="0027023B" w:rsidRPr="07C31400">
        <w:rPr>
          <w:rFonts w:asciiTheme="majorHAnsi" w:hAnsiTheme="majorHAnsi"/>
          <w:sz w:val="20"/>
          <w:szCs w:val="20"/>
          <w:lang w:val="es-ES"/>
        </w:rPr>
        <w:t>(iv) “no existe evidencia</w:t>
      </w:r>
      <w:r w:rsidR="006A75F1" w:rsidRPr="07C31400">
        <w:rPr>
          <w:rFonts w:asciiTheme="majorHAnsi" w:hAnsiTheme="majorHAnsi"/>
          <w:sz w:val="20"/>
          <w:szCs w:val="20"/>
          <w:lang w:val="es-ES"/>
        </w:rPr>
        <w:t>”</w:t>
      </w:r>
      <w:r w:rsidR="0027023B" w:rsidRPr="07C31400">
        <w:rPr>
          <w:rFonts w:asciiTheme="majorHAnsi" w:hAnsiTheme="majorHAnsi"/>
          <w:sz w:val="20"/>
          <w:szCs w:val="20"/>
          <w:lang w:val="es-ES"/>
        </w:rPr>
        <w:t xml:space="preserve"> de </w:t>
      </w:r>
      <w:r w:rsidR="006A75F1" w:rsidRPr="07C31400">
        <w:rPr>
          <w:rFonts w:asciiTheme="majorHAnsi" w:hAnsiTheme="majorHAnsi"/>
          <w:sz w:val="20"/>
          <w:szCs w:val="20"/>
          <w:lang w:val="es-ES"/>
        </w:rPr>
        <w:t xml:space="preserve">la violación de la presunción de inocencia,  que (v) </w:t>
      </w:r>
      <w:r w:rsidR="0027023B" w:rsidRPr="07C31400">
        <w:rPr>
          <w:rFonts w:asciiTheme="majorHAnsi" w:hAnsiTheme="majorHAnsi"/>
          <w:sz w:val="20"/>
          <w:szCs w:val="20"/>
          <w:lang w:val="es-ES"/>
        </w:rPr>
        <w:t>“tuvo a su disposición los mecanismos procesales adecuados</w:t>
      </w:r>
      <w:r w:rsidR="006A75F1" w:rsidRPr="07C31400">
        <w:rPr>
          <w:rFonts w:asciiTheme="majorHAnsi" w:hAnsiTheme="majorHAnsi"/>
          <w:sz w:val="20"/>
          <w:szCs w:val="20"/>
          <w:lang w:val="es-ES"/>
        </w:rPr>
        <w:t>” y para la tutela de la libertad personal pero “</w:t>
      </w:r>
      <w:r w:rsidR="0027023B" w:rsidRPr="07C31400">
        <w:rPr>
          <w:rFonts w:asciiTheme="majorHAnsi" w:hAnsiTheme="majorHAnsi"/>
          <w:sz w:val="20"/>
          <w:szCs w:val="20"/>
          <w:lang w:val="es-ES"/>
        </w:rPr>
        <w:t xml:space="preserve">no los ejerció”, </w:t>
      </w:r>
      <w:r w:rsidR="006A75F1" w:rsidRPr="07C31400">
        <w:rPr>
          <w:rFonts w:asciiTheme="majorHAnsi" w:hAnsiTheme="majorHAnsi"/>
          <w:sz w:val="20"/>
          <w:szCs w:val="20"/>
          <w:lang w:val="es-ES"/>
        </w:rPr>
        <w:t xml:space="preserve">y que (vi) </w:t>
      </w:r>
      <w:r w:rsidR="0027023B" w:rsidRPr="07C31400">
        <w:rPr>
          <w:rFonts w:asciiTheme="majorHAnsi" w:hAnsiTheme="majorHAnsi"/>
          <w:sz w:val="20"/>
          <w:szCs w:val="20"/>
          <w:lang w:val="es-ES"/>
        </w:rPr>
        <w:t>durante audiencia oral el Ministerio P</w:t>
      </w:r>
      <w:r w:rsidR="006A75F1" w:rsidRPr="07C31400">
        <w:rPr>
          <w:rFonts w:asciiTheme="majorHAnsi" w:hAnsiTheme="majorHAnsi"/>
          <w:sz w:val="20"/>
          <w:szCs w:val="20"/>
          <w:lang w:val="es-ES"/>
        </w:rPr>
        <w:t>ú</w:t>
      </w:r>
      <w:r w:rsidR="0027023B" w:rsidRPr="07C31400">
        <w:rPr>
          <w:rFonts w:asciiTheme="majorHAnsi" w:hAnsiTheme="majorHAnsi"/>
          <w:sz w:val="20"/>
          <w:szCs w:val="20"/>
          <w:lang w:val="es-ES"/>
        </w:rPr>
        <w:t xml:space="preserve">blico requirió </w:t>
      </w:r>
      <w:r w:rsidR="006A75F1" w:rsidRPr="07C31400">
        <w:rPr>
          <w:rFonts w:asciiTheme="majorHAnsi" w:hAnsiTheme="majorHAnsi"/>
          <w:sz w:val="20"/>
          <w:szCs w:val="20"/>
          <w:lang w:val="es-ES"/>
        </w:rPr>
        <w:t>la realización del examen psiquiátrico solicitado. Por último</w:t>
      </w:r>
      <w:r w:rsidR="0027023B" w:rsidRPr="07C31400">
        <w:rPr>
          <w:rFonts w:asciiTheme="majorHAnsi" w:hAnsiTheme="majorHAnsi"/>
          <w:sz w:val="20"/>
          <w:szCs w:val="20"/>
          <w:lang w:val="es-ES"/>
        </w:rPr>
        <w:t xml:space="preserve">, respecto a </w:t>
      </w:r>
      <w:r w:rsidR="006A75F1" w:rsidRPr="07C31400">
        <w:rPr>
          <w:rFonts w:asciiTheme="majorHAnsi" w:hAnsiTheme="majorHAnsi"/>
          <w:sz w:val="20"/>
          <w:szCs w:val="20"/>
          <w:lang w:val="es-ES"/>
        </w:rPr>
        <w:t xml:space="preserve">violación sexual y en particular, a </w:t>
      </w:r>
      <w:r w:rsidR="0027023B" w:rsidRPr="07C31400">
        <w:rPr>
          <w:rFonts w:asciiTheme="majorHAnsi" w:hAnsiTheme="majorHAnsi"/>
          <w:sz w:val="20"/>
          <w:szCs w:val="20"/>
          <w:lang w:val="es-ES"/>
        </w:rPr>
        <w:t>la solicitud de que se coloque a la presunta v</w:t>
      </w:r>
      <w:r w:rsidR="006A75F1" w:rsidRPr="07C31400">
        <w:rPr>
          <w:rFonts w:asciiTheme="majorHAnsi" w:hAnsiTheme="majorHAnsi"/>
          <w:sz w:val="20"/>
          <w:szCs w:val="20"/>
          <w:lang w:val="es-ES"/>
        </w:rPr>
        <w:t>í</w:t>
      </w:r>
      <w:r w:rsidR="0027023B" w:rsidRPr="07C31400">
        <w:rPr>
          <w:rFonts w:asciiTheme="majorHAnsi" w:hAnsiTheme="majorHAnsi"/>
          <w:sz w:val="20"/>
          <w:szCs w:val="20"/>
          <w:lang w:val="es-ES"/>
        </w:rPr>
        <w:t xml:space="preserve">ctima en un programa especial de testigos y se ordene la apertura a juicio de sus violadores,  afirma que “tiene derecho a requerir del </w:t>
      </w:r>
      <w:r w:rsidR="006A75F1" w:rsidRPr="07C31400">
        <w:rPr>
          <w:rFonts w:asciiTheme="majorHAnsi" w:hAnsiTheme="majorHAnsi"/>
          <w:sz w:val="20"/>
          <w:szCs w:val="20"/>
          <w:lang w:val="es-ES"/>
        </w:rPr>
        <w:t xml:space="preserve">Ministerio Público </w:t>
      </w:r>
      <w:r w:rsidR="0027023B" w:rsidRPr="07C31400">
        <w:rPr>
          <w:rFonts w:asciiTheme="majorHAnsi" w:hAnsiTheme="majorHAnsi"/>
          <w:sz w:val="20"/>
          <w:szCs w:val="20"/>
          <w:lang w:val="es-ES"/>
        </w:rPr>
        <w:t xml:space="preserve">a través de la Oficina de </w:t>
      </w:r>
      <w:r w:rsidR="006A75F1" w:rsidRPr="07C31400">
        <w:rPr>
          <w:rFonts w:asciiTheme="majorHAnsi" w:hAnsiTheme="majorHAnsi"/>
          <w:sz w:val="20"/>
          <w:szCs w:val="20"/>
          <w:lang w:val="es-ES"/>
        </w:rPr>
        <w:t>Atención</w:t>
      </w:r>
      <w:r w:rsidR="0027023B" w:rsidRPr="07C31400">
        <w:rPr>
          <w:rFonts w:asciiTheme="majorHAnsi" w:hAnsiTheme="majorHAnsi"/>
          <w:sz w:val="20"/>
          <w:szCs w:val="20"/>
          <w:lang w:val="es-ES"/>
        </w:rPr>
        <w:t xml:space="preserve"> a la V</w:t>
      </w:r>
      <w:r w:rsidR="006A75F1" w:rsidRPr="07C31400">
        <w:rPr>
          <w:rFonts w:asciiTheme="majorHAnsi" w:hAnsiTheme="majorHAnsi"/>
          <w:sz w:val="20"/>
          <w:szCs w:val="20"/>
          <w:lang w:val="es-ES"/>
        </w:rPr>
        <w:t>í</w:t>
      </w:r>
      <w:r w:rsidR="0027023B" w:rsidRPr="07C31400">
        <w:rPr>
          <w:rFonts w:asciiTheme="majorHAnsi" w:hAnsiTheme="majorHAnsi"/>
          <w:sz w:val="20"/>
          <w:szCs w:val="20"/>
          <w:lang w:val="es-ES"/>
        </w:rPr>
        <w:t xml:space="preserve">ctima protección ante posibles atentados en contra suya” y que “puede querellarse </w:t>
      </w:r>
      <w:r w:rsidR="006A75F1" w:rsidRPr="07C31400">
        <w:rPr>
          <w:rFonts w:asciiTheme="majorHAnsi" w:hAnsiTheme="majorHAnsi"/>
          <w:sz w:val="20"/>
          <w:szCs w:val="20"/>
          <w:lang w:val="es-ES"/>
        </w:rPr>
        <w:t>contra</w:t>
      </w:r>
      <w:r w:rsidR="0027023B" w:rsidRPr="07C31400">
        <w:rPr>
          <w:rFonts w:asciiTheme="majorHAnsi" w:hAnsiTheme="majorHAnsi"/>
          <w:sz w:val="20"/>
          <w:szCs w:val="20"/>
          <w:lang w:val="es-ES"/>
        </w:rPr>
        <w:t xml:space="preserve"> los que considere responsables”</w:t>
      </w:r>
      <w:r w:rsidR="000B09AC" w:rsidRPr="07C31400">
        <w:rPr>
          <w:rStyle w:val="FootnoteReference"/>
          <w:rFonts w:asciiTheme="majorHAnsi" w:hAnsiTheme="majorHAnsi"/>
          <w:sz w:val="20"/>
          <w:szCs w:val="20"/>
          <w:lang w:val="es-ES"/>
        </w:rPr>
        <w:footnoteReference w:id="84"/>
      </w:r>
      <w:r w:rsidR="000B09AC" w:rsidRPr="07C31400">
        <w:rPr>
          <w:rFonts w:asciiTheme="majorHAnsi" w:hAnsiTheme="majorHAnsi"/>
          <w:sz w:val="20"/>
          <w:szCs w:val="20"/>
          <w:lang w:val="es-ES"/>
        </w:rPr>
        <w:t xml:space="preserve">. </w:t>
      </w:r>
    </w:p>
    <w:p w14:paraId="0E81D84C" w14:textId="77777777" w:rsidR="006D11E7" w:rsidRPr="004B114F" w:rsidRDefault="006D11E7" w:rsidP="00DE778C">
      <w:pPr>
        <w:pStyle w:val="ListParagraph"/>
        <w:rPr>
          <w:rFonts w:asciiTheme="majorHAnsi" w:hAnsiTheme="majorHAnsi"/>
          <w:sz w:val="20"/>
          <w:szCs w:val="20"/>
          <w:lang w:val="es-ES_tradnl"/>
        </w:rPr>
      </w:pPr>
    </w:p>
    <w:p w14:paraId="37644664" w14:textId="6BB5CB1C" w:rsidR="006B3A81" w:rsidRPr="0043794B" w:rsidRDefault="006D11E7" w:rsidP="07C31400">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630"/>
        <w:jc w:val="both"/>
        <w:rPr>
          <w:rFonts w:asciiTheme="majorHAnsi" w:hAnsiTheme="majorHAnsi"/>
          <w:sz w:val="20"/>
          <w:szCs w:val="20"/>
          <w:lang w:val="es-US"/>
        </w:rPr>
      </w:pPr>
      <w:r w:rsidRPr="0043794B">
        <w:rPr>
          <w:rFonts w:asciiTheme="majorHAnsi" w:hAnsiTheme="majorHAnsi"/>
          <w:sz w:val="20"/>
          <w:szCs w:val="20"/>
          <w:lang w:val="es-US"/>
        </w:rPr>
        <w:t>Tal decisión</w:t>
      </w:r>
      <w:r w:rsidR="000B09AC" w:rsidRPr="0043794B">
        <w:rPr>
          <w:rFonts w:asciiTheme="majorHAnsi" w:hAnsiTheme="majorHAnsi"/>
          <w:sz w:val="20"/>
          <w:szCs w:val="20"/>
          <w:lang w:val="es-US"/>
        </w:rPr>
        <w:t xml:space="preserve"> fue apelada por la peticionaria ante la Sala Constitucional del Tribunal Supremo de Justicia</w:t>
      </w:r>
      <w:r w:rsidR="00651951" w:rsidRPr="0043794B">
        <w:rPr>
          <w:rFonts w:asciiTheme="majorHAnsi" w:hAnsiTheme="majorHAnsi"/>
          <w:sz w:val="20"/>
          <w:szCs w:val="20"/>
          <w:lang w:val="es-US"/>
        </w:rPr>
        <w:t xml:space="preserve"> (en adelante, “Sala Constitucional”)</w:t>
      </w:r>
      <w:r w:rsidR="000B09AC" w:rsidRPr="07C31400">
        <w:rPr>
          <w:rStyle w:val="FootnoteReference"/>
          <w:rFonts w:asciiTheme="majorHAnsi" w:hAnsiTheme="majorHAnsi"/>
          <w:sz w:val="20"/>
          <w:szCs w:val="20"/>
        </w:rPr>
        <w:footnoteReference w:id="85"/>
      </w:r>
      <w:r w:rsidR="002A2CA5" w:rsidRPr="0043794B">
        <w:rPr>
          <w:rFonts w:asciiTheme="majorHAnsi" w:hAnsiTheme="majorHAnsi"/>
          <w:sz w:val="20"/>
          <w:szCs w:val="20"/>
          <w:lang w:val="es-US"/>
        </w:rPr>
        <w:t xml:space="preserve"> el 9 de octubre de 2002 y complementada con un escrito de fundamentación el 31 de marzo de 2003</w:t>
      </w:r>
      <w:r w:rsidR="002A2CA5" w:rsidRPr="07C31400">
        <w:rPr>
          <w:rStyle w:val="FootnoteReference"/>
          <w:rFonts w:asciiTheme="majorHAnsi" w:hAnsiTheme="majorHAnsi"/>
          <w:sz w:val="20"/>
          <w:szCs w:val="20"/>
        </w:rPr>
        <w:footnoteReference w:id="86"/>
      </w:r>
      <w:r w:rsidR="000B09AC" w:rsidRPr="0043794B">
        <w:rPr>
          <w:rFonts w:asciiTheme="majorHAnsi" w:hAnsiTheme="majorHAnsi"/>
          <w:sz w:val="20"/>
          <w:szCs w:val="20"/>
          <w:lang w:val="es-US"/>
        </w:rPr>
        <w:t>.</w:t>
      </w:r>
      <w:r w:rsidRPr="0043794B">
        <w:rPr>
          <w:rFonts w:asciiTheme="majorHAnsi" w:hAnsiTheme="majorHAnsi"/>
          <w:sz w:val="20"/>
          <w:szCs w:val="20"/>
          <w:lang w:val="es-US"/>
        </w:rPr>
        <w:t xml:space="preserve"> </w:t>
      </w:r>
      <w:r w:rsidR="00651951" w:rsidRPr="0043794B">
        <w:rPr>
          <w:rFonts w:asciiTheme="majorHAnsi" w:hAnsiTheme="majorHAnsi"/>
          <w:sz w:val="20"/>
          <w:szCs w:val="20"/>
          <w:lang w:val="es-US"/>
        </w:rPr>
        <w:t>El 11 de noviembre de 2005, la Sala Constitucional se pronunció respecto del recurso de apelación y, revocando la decisión de la Corte de Apelaciones</w:t>
      </w:r>
      <w:r w:rsidRPr="0043794B">
        <w:rPr>
          <w:rFonts w:asciiTheme="majorHAnsi" w:hAnsiTheme="majorHAnsi"/>
          <w:sz w:val="20"/>
          <w:szCs w:val="20"/>
          <w:lang w:val="es-US"/>
        </w:rPr>
        <w:t>,</w:t>
      </w:r>
      <w:r w:rsidR="00651951" w:rsidRPr="0043794B">
        <w:rPr>
          <w:rFonts w:asciiTheme="majorHAnsi" w:hAnsiTheme="majorHAnsi"/>
          <w:sz w:val="20"/>
          <w:szCs w:val="20"/>
          <w:lang w:val="es-US"/>
        </w:rPr>
        <w:t xml:space="preserve"> declaró inadmisible el amparo</w:t>
      </w:r>
      <w:r w:rsidR="008C2ACC" w:rsidRPr="0043794B">
        <w:rPr>
          <w:rFonts w:asciiTheme="majorHAnsi" w:hAnsiTheme="majorHAnsi"/>
          <w:sz w:val="20"/>
          <w:szCs w:val="20"/>
          <w:lang w:val="es-US"/>
        </w:rPr>
        <w:t xml:space="preserve">. </w:t>
      </w:r>
      <w:r w:rsidR="009C6C48" w:rsidRPr="0043794B">
        <w:rPr>
          <w:rFonts w:asciiTheme="majorHAnsi" w:hAnsiTheme="majorHAnsi"/>
          <w:sz w:val="20"/>
          <w:szCs w:val="20"/>
          <w:lang w:val="es-US"/>
        </w:rPr>
        <w:t>Aunque menciona que la acción fue presentada a favor de la señora Maleno, tal decisión se centra únicamente en que la peticionaria afirm</w:t>
      </w:r>
      <w:r w:rsidR="003E0B4D" w:rsidRPr="0043794B">
        <w:rPr>
          <w:rFonts w:asciiTheme="majorHAnsi" w:hAnsiTheme="majorHAnsi"/>
          <w:sz w:val="20"/>
          <w:szCs w:val="20"/>
          <w:lang w:val="es-US"/>
        </w:rPr>
        <w:t>ó</w:t>
      </w:r>
      <w:r w:rsidR="009C6C48" w:rsidRPr="0043794B">
        <w:rPr>
          <w:rFonts w:asciiTheme="majorHAnsi" w:hAnsiTheme="majorHAnsi"/>
          <w:sz w:val="20"/>
          <w:szCs w:val="20"/>
          <w:lang w:val="es-US"/>
        </w:rPr>
        <w:t xml:space="preserve"> que “la acción se intenta en protección de intereses colectivos y difusos de todos los procesados y las procesadas, todos los penados y penadas que se encuentran en el internado judicial </w:t>
      </w:r>
      <w:r w:rsidR="003E0B4D" w:rsidRPr="0043794B">
        <w:rPr>
          <w:rFonts w:asciiTheme="majorHAnsi" w:hAnsiTheme="majorHAnsi"/>
          <w:sz w:val="20"/>
          <w:szCs w:val="20"/>
          <w:lang w:val="es-US"/>
        </w:rPr>
        <w:t>José</w:t>
      </w:r>
      <w:r w:rsidR="009C6C48" w:rsidRPr="0043794B">
        <w:rPr>
          <w:rFonts w:asciiTheme="majorHAnsi" w:hAnsiTheme="majorHAnsi"/>
          <w:sz w:val="20"/>
          <w:szCs w:val="20"/>
          <w:lang w:val="es-US"/>
        </w:rPr>
        <w:t xml:space="preserve"> Antonio </w:t>
      </w:r>
      <w:r w:rsidR="003E0B4D" w:rsidRPr="0043794B">
        <w:rPr>
          <w:rFonts w:asciiTheme="majorHAnsi" w:hAnsiTheme="majorHAnsi"/>
          <w:sz w:val="20"/>
          <w:szCs w:val="20"/>
          <w:lang w:val="es-US"/>
        </w:rPr>
        <w:t>Anzoátegui</w:t>
      </w:r>
      <w:r w:rsidR="00DE3E89" w:rsidRPr="0043794B">
        <w:rPr>
          <w:rFonts w:asciiTheme="majorHAnsi" w:hAnsiTheme="majorHAnsi"/>
          <w:sz w:val="20"/>
          <w:szCs w:val="20"/>
          <w:lang w:val="es-US"/>
        </w:rPr>
        <w:t>…</w:t>
      </w:r>
      <w:r w:rsidR="009C6C48" w:rsidRPr="0043794B">
        <w:rPr>
          <w:rFonts w:asciiTheme="majorHAnsi" w:hAnsiTheme="majorHAnsi"/>
          <w:sz w:val="20"/>
          <w:szCs w:val="20"/>
          <w:lang w:val="es-US"/>
        </w:rPr>
        <w:t>”</w:t>
      </w:r>
      <w:r w:rsidR="00DE3E89" w:rsidRPr="0043794B">
        <w:rPr>
          <w:rFonts w:asciiTheme="majorHAnsi" w:hAnsiTheme="majorHAnsi"/>
          <w:sz w:val="20"/>
          <w:szCs w:val="20"/>
          <w:lang w:val="es-US"/>
        </w:rPr>
        <w:t xml:space="preserve">. </w:t>
      </w:r>
      <w:r w:rsidR="003E0B4D" w:rsidRPr="0043794B">
        <w:rPr>
          <w:rFonts w:asciiTheme="majorHAnsi" w:hAnsiTheme="majorHAnsi"/>
          <w:sz w:val="20"/>
          <w:szCs w:val="20"/>
          <w:lang w:val="es-US"/>
        </w:rPr>
        <w:t xml:space="preserve">No se refiere a los puntos mencionados en el párrafo anterior. </w:t>
      </w:r>
      <w:r w:rsidR="00DE3E89" w:rsidRPr="0043794B">
        <w:rPr>
          <w:rFonts w:asciiTheme="majorHAnsi" w:hAnsiTheme="majorHAnsi"/>
          <w:sz w:val="20"/>
          <w:szCs w:val="20"/>
          <w:lang w:val="es-US"/>
        </w:rPr>
        <w:t>En virtud a ello, pasa a analizar si “la accionante podía intentar una solicitud de la manera en que lo hizo”.</w:t>
      </w:r>
      <w:r w:rsidR="003E0B4D" w:rsidRPr="0043794B">
        <w:rPr>
          <w:rFonts w:asciiTheme="majorHAnsi" w:hAnsiTheme="majorHAnsi"/>
          <w:sz w:val="20"/>
          <w:szCs w:val="20"/>
          <w:lang w:val="es-US"/>
        </w:rPr>
        <w:t xml:space="preserve"> Al respecto, c</w:t>
      </w:r>
      <w:r w:rsidR="009C6C48" w:rsidRPr="0043794B">
        <w:rPr>
          <w:rFonts w:asciiTheme="majorHAnsi" w:hAnsiTheme="majorHAnsi"/>
          <w:sz w:val="20"/>
          <w:szCs w:val="20"/>
          <w:lang w:val="es-US"/>
        </w:rPr>
        <w:t xml:space="preserve">onsidera que </w:t>
      </w:r>
      <w:r w:rsidR="003E0B4D" w:rsidRPr="0043794B">
        <w:rPr>
          <w:rFonts w:asciiTheme="majorHAnsi" w:hAnsiTheme="majorHAnsi"/>
          <w:sz w:val="20"/>
          <w:szCs w:val="20"/>
          <w:lang w:val="es-US"/>
        </w:rPr>
        <w:t xml:space="preserve">la peticionaria </w:t>
      </w:r>
      <w:r w:rsidR="00651951" w:rsidRPr="0043794B">
        <w:rPr>
          <w:rFonts w:asciiTheme="majorHAnsi" w:hAnsiTheme="majorHAnsi"/>
          <w:sz w:val="20"/>
          <w:szCs w:val="20"/>
          <w:lang w:val="es-US"/>
        </w:rPr>
        <w:t>incurr</w:t>
      </w:r>
      <w:r w:rsidR="003E0B4D" w:rsidRPr="0043794B">
        <w:rPr>
          <w:rFonts w:asciiTheme="majorHAnsi" w:hAnsiTheme="majorHAnsi"/>
          <w:sz w:val="20"/>
          <w:szCs w:val="20"/>
          <w:lang w:val="es-US"/>
        </w:rPr>
        <w:t>ió</w:t>
      </w:r>
      <w:r w:rsidR="00651951" w:rsidRPr="0043794B">
        <w:rPr>
          <w:rFonts w:asciiTheme="majorHAnsi" w:hAnsiTheme="majorHAnsi"/>
          <w:sz w:val="20"/>
          <w:szCs w:val="20"/>
          <w:lang w:val="es-US"/>
        </w:rPr>
        <w:t xml:space="preserve"> en un supuesto de </w:t>
      </w:r>
      <w:r w:rsidR="008C2ACC" w:rsidRPr="0043794B">
        <w:rPr>
          <w:rFonts w:asciiTheme="majorHAnsi" w:hAnsiTheme="majorHAnsi"/>
          <w:sz w:val="20"/>
          <w:szCs w:val="20"/>
          <w:lang w:val="es-US"/>
        </w:rPr>
        <w:t>“</w:t>
      </w:r>
      <w:r w:rsidR="00651951" w:rsidRPr="0043794B">
        <w:rPr>
          <w:rFonts w:asciiTheme="majorHAnsi" w:hAnsiTheme="majorHAnsi"/>
          <w:sz w:val="20"/>
          <w:szCs w:val="20"/>
          <w:lang w:val="es-US"/>
        </w:rPr>
        <w:t>inepta acumulación</w:t>
      </w:r>
      <w:r w:rsidR="00DE3E89" w:rsidRPr="0043794B">
        <w:rPr>
          <w:rFonts w:asciiTheme="majorHAnsi" w:hAnsiTheme="majorHAnsi"/>
          <w:sz w:val="20"/>
          <w:szCs w:val="20"/>
          <w:lang w:val="es-US"/>
        </w:rPr>
        <w:t xml:space="preserve"> al atribuir, en una misma solicitud, varios hechos lesivos a distintos agraviantes, sin analizar que no le era dable a un solo Tribunal -la Corte de Apelaciones (referida)- conocer esas diversas pretensiones</w:t>
      </w:r>
      <w:r w:rsidR="008C2ACC" w:rsidRPr="0043794B">
        <w:rPr>
          <w:rFonts w:asciiTheme="majorHAnsi" w:hAnsiTheme="majorHAnsi"/>
          <w:sz w:val="20"/>
          <w:szCs w:val="20"/>
          <w:lang w:val="es-US"/>
        </w:rPr>
        <w:t>”</w:t>
      </w:r>
      <w:r w:rsidR="00DE3E89" w:rsidRPr="0043794B">
        <w:rPr>
          <w:rFonts w:asciiTheme="majorHAnsi" w:hAnsiTheme="majorHAnsi"/>
          <w:sz w:val="20"/>
          <w:szCs w:val="20"/>
          <w:lang w:val="es-US"/>
        </w:rPr>
        <w:t xml:space="preserve">. </w:t>
      </w:r>
      <w:r w:rsidR="003E0B4D" w:rsidRPr="0043794B">
        <w:rPr>
          <w:rFonts w:asciiTheme="majorHAnsi" w:hAnsiTheme="majorHAnsi"/>
          <w:sz w:val="20"/>
          <w:szCs w:val="20"/>
          <w:lang w:val="es-US"/>
        </w:rPr>
        <w:t>A</w:t>
      </w:r>
      <w:r w:rsidR="00DE3E89" w:rsidRPr="0043794B">
        <w:rPr>
          <w:rFonts w:asciiTheme="majorHAnsi" w:hAnsiTheme="majorHAnsi"/>
          <w:sz w:val="20"/>
          <w:szCs w:val="20"/>
          <w:lang w:val="es-US"/>
        </w:rPr>
        <w:t>firma que dicha Corte “</w:t>
      </w:r>
      <w:r w:rsidR="003E0B4D" w:rsidRPr="0043794B">
        <w:rPr>
          <w:rFonts w:asciiTheme="majorHAnsi" w:hAnsiTheme="majorHAnsi"/>
          <w:sz w:val="20"/>
          <w:szCs w:val="20"/>
          <w:lang w:val="es-US"/>
        </w:rPr>
        <w:t>debió</w:t>
      </w:r>
      <w:r w:rsidR="00DE3E89" w:rsidRPr="0043794B">
        <w:rPr>
          <w:rFonts w:asciiTheme="majorHAnsi" w:hAnsiTheme="majorHAnsi"/>
          <w:sz w:val="20"/>
          <w:szCs w:val="20"/>
          <w:lang w:val="es-US"/>
        </w:rPr>
        <w:t xml:space="preserve"> declarar inadmisible la acción de amparo constitucional y no sin lugar”. Por ello </w:t>
      </w:r>
      <w:r w:rsidR="003E0B4D" w:rsidRPr="0043794B">
        <w:rPr>
          <w:rFonts w:asciiTheme="majorHAnsi" w:hAnsiTheme="majorHAnsi"/>
          <w:sz w:val="20"/>
          <w:szCs w:val="20"/>
          <w:lang w:val="es-US"/>
        </w:rPr>
        <w:t>decide</w:t>
      </w:r>
      <w:r w:rsidR="00DE3E89" w:rsidRPr="0043794B">
        <w:rPr>
          <w:rFonts w:asciiTheme="majorHAnsi" w:hAnsiTheme="majorHAnsi"/>
          <w:sz w:val="20"/>
          <w:szCs w:val="20"/>
          <w:lang w:val="es-US"/>
        </w:rPr>
        <w:t xml:space="preserve">, declarar sin lugar la </w:t>
      </w:r>
      <w:r w:rsidR="003E0B4D" w:rsidRPr="0043794B">
        <w:rPr>
          <w:rFonts w:asciiTheme="majorHAnsi" w:hAnsiTheme="majorHAnsi"/>
          <w:sz w:val="20"/>
          <w:szCs w:val="20"/>
          <w:lang w:val="es-US"/>
        </w:rPr>
        <w:lastRenderedPageBreak/>
        <w:t>apelación</w:t>
      </w:r>
      <w:r w:rsidR="00DE3E89" w:rsidRPr="0043794B">
        <w:rPr>
          <w:rFonts w:asciiTheme="majorHAnsi" w:hAnsiTheme="majorHAnsi"/>
          <w:sz w:val="20"/>
          <w:szCs w:val="20"/>
          <w:lang w:val="es-US"/>
        </w:rPr>
        <w:t>, revocar la decisión del 7 de octubre de 2002 de la Corte de Apelaciones y en su lugar, declara inadmisible</w:t>
      </w:r>
      <w:r w:rsidR="003E0B4D" w:rsidRPr="0043794B">
        <w:rPr>
          <w:rFonts w:asciiTheme="majorHAnsi" w:hAnsiTheme="majorHAnsi"/>
          <w:sz w:val="20"/>
          <w:szCs w:val="20"/>
          <w:lang w:val="es-US"/>
        </w:rPr>
        <w:t xml:space="preserve"> el amparo</w:t>
      </w:r>
      <w:r w:rsidR="00651951" w:rsidRPr="07C31400">
        <w:rPr>
          <w:rStyle w:val="FootnoteReference"/>
          <w:rFonts w:asciiTheme="majorHAnsi" w:hAnsiTheme="majorHAnsi"/>
          <w:sz w:val="20"/>
          <w:szCs w:val="20"/>
        </w:rPr>
        <w:footnoteReference w:id="87"/>
      </w:r>
      <w:r w:rsidR="00651951" w:rsidRPr="0043794B">
        <w:rPr>
          <w:rFonts w:asciiTheme="majorHAnsi" w:hAnsiTheme="majorHAnsi"/>
          <w:sz w:val="20"/>
          <w:szCs w:val="20"/>
          <w:lang w:val="es-US"/>
        </w:rPr>
        <w:t xml:space="preserve">. </w:t>
      </w:r>
    </w:p>
    <w:p w14:paraId="0DA86BDE" w14:textId="77777777" w:rsidR="00115E91" w:rsidRPr="004B114F" w:rsidRDefault="00115E91" w:rsidP="004B114F">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jc w:val="both"/>
        <w:rPr>
          <w:rFonts w:asciiTheme="majorHAnsi" w:hAnsiTheme="majorHAnsi"/>
          <w:sz w:val="20"/>
          <w:szCs w:val="20"/>
          <w:lang w:val="es-ES_tradnl"/>
        </w:rPr>
      </w:pPr>
    </w:p>
    <w:p w14:paraId="556B56A5" w14:textId="77777777" w:rsidR="00D12193" w:rsidRPr="004B114F" w:rsidRDefault="001869D4" w:rsidP="004B114F">
      <w:pPr>
        <w:pStyle w:val="Heading1"/>
        <w:rPr>
          <w:szCs w:val="20"/>
          <w:lang w:val="es-ES_tradnl"/>
        </w:rPr>
      </w:pPr>
      <w:bookmarkStart w:id="27" w:name="_Toc142398957"/>
      <w:r w:rsidRPr="004B114F">
        <w:rPr>
          <w:szCs w:val="20"/>
          <w:lang w:val="es-ES_tradnl"/>
        </w:rPr>
        <w:t>ANÁLISIS DE DERECHO</w:t>
      </w:r>
      <w:bookmarkEnd w:id="27"/>
    </w:p>
    <w:p w14:paraId="11E7E318" w14:textId="138FE156" w:rsidR="007C756A" w:rsidRPr="004B114F" w:rsidRDefault="007C756A" w:rsidP="004B114F">
      <w:pPr>
        <w:suppressAutoHyphens/>
        <w:rPr>
          <w:rFonts w:asciiTheme="majorHAnsi" w:hAnsiTheme="majorHAnsi"/>
          <w:b/>
          <w:sz w:val="20"/>
          <w:szCs w:val="20"/>
          <w:lang w:val="es-ES_tradnl"/>
        </w:rPr>
      </w:pPr>
    </w:p>
    <w:p w14:paraId="11C46388" w14:textId="15B018DC" w:rsidR="004A3DF1" w:rsidRPr="00DE778C" w:rsidRDefault="005A5C14" w:rsidP="00DE778C">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630"/>
        <w:jc w:val="both"/>
        <w:rPr>
          <w:rFonts w:asciiTheme="majorHAnsi" w:hAnsiTheme="majorHAnsi"/>
          <w:sz w:val="20"/>
          <w:szCs w:val="20"/>
          <w:lang w:val="es-ES_tradnl"/>
        </w:rPr>
      </w:pPr>
      <w:r w:rsidRPr="004B114F">
        <w:rPr>
          <w:rFonts w:asciiTheme="majorHAnsi" w:hAnsiTheme="majorHAnsi"/>
          <w:sz w:val="20"/>
          <w:szCs w:val="20"/>
          <w:lang w:val="es-ES_tradnl"/>
        </w:rPr>
        <w:t>A continuación</w:t>
      </w:r>
      <w:r w:rsidR="004A3DF1" w:rsidRPr="00DE778C">
        <w:rPr>
          <w:rFonts w:asciiTheme="majorHAnsi" w:hAnsiTheme="majorHAnsi"/>
          <w:sz w:val="20"/>
          <w:szCs w:val="20"/>
          <w:lang w:val="es-ES_tradnl"/>
        </w:rPr>
        <w:t xml:space="preserve">, la </w:t>
      </w:r>
      <w:r w:rsidR="004A3DF1" w:rsidRPr="004B114F">
        <w:rPr>
          <w:rFonts w:asciiTheme="majorHAnsi" w:hAnsiTheme="majorHAnsi"/>
          <w:sz w:val="20"/>
          <w:szCs w:val="20"/>
          <w:lang w:val="es-ES_tradnl"/>
        </w:rPr>
        <w:t xml:space="preserve">CIDH se refiere, en primer lugar, a la observancia de las obligaciones contenidas en la Convención Americana en el marco </w:t>
      </w:r>
      <w:r w:rsidR="00747428" w:rsidRPr="004B114F">
        <w:rPr>
          <w:rFonts w:asciiTheme="majorHAnsi" w:hAnsiTheme="majorHAnsi"/>
          <w:sz w:val="20"/>
          <w:szCs w:val="20"/>
          <w:lang w:val="es-ES_tradnl"/>
        </w:rPr>
        <w:t xml:space="preserve">del </w:t>
      </w:r>
      <w:r w:rsidR="004A3DF1" w:rsidRPr="004B114F">
        <w:rPr>
          <w:rFonts w:asciiTheme="majorHAnsi" w:hAnsiTheme="majorHAnsi"/>
          <w:sz w:val="20"/>
          <w:szCs w:val="20"/>
          <w:lang w:val="es-ES_tradnl"/>
        </w:rPr>
        <w:t xml:space="preserve">proceso penal seguido contra la presunta víctima y la medida de prisión preventiva conexa </w:t>
      </w:r>
      <w:r w:rsidR="00747428" w:rsidRPr="004B114F">
        <w:rPr>
          <w:rFonts w:asciiTheme="majorHAnsi" w:hAnsiTheme="majorHAnsi"/>
          <w:sz w:val="20"/>
          <w:szCs w:val="20"/>
          <w:lang w:val="es-ES_tradnl"/>
        </w:rPr>
        <w:t xml:space="preserve">a dicho proceso </w:t>
      </w:r>
      <w:r w:rsidR="004A3DF1" w:rsidRPr="004B114F">
        <w:rPr>
          <w:rFonts w:asciiTheme="majorHAnsi" w:hAnsiTheme="majorHAnsi"/>
          <w:sz w:val="20"/>
          <w:szCs w:val="20"/>
          <w:lang w:val="es-ES_tradnl"/>
        </w:rPr>
        <w:t>que le fue impuesta (secciones A y B). En segundo lugar, se refiere a las condiciones carcelarias</w:t>
      </w:r>
      <w:r w:rsidR="00747428" w:rsidRPr="004B114F">
        <w:rPr>
          <w:rFonts w:asciiTheme="majorHAnsi" w:hAnsiTheme="majorHAnsi"/>
          <w:sz w:val="20"/>
          <w:szCs w:val="20"/>
          <w:lang w:val="es-ES_tradnl"/>
        </w:rPr>
        <w:t xml:space="preserve"> y</w:t>
      </w:r>
      <w:r w:rsidR="004A3DF1" w:rsidRPr="004B114F">
        <w:rPr>
          <w:rFonts w:asciiTheme="majorHAnsi" w:hAnsiTheme="majorHAnsi"/>
          <w:sz w:val="20"/>
          <w:szCs w:val="20"/>
          <w:lang w:val="es-ES_tradnl"/>
        </w:rPr>
        <w:t xml:space="preserve"> la violación sexual sufrida</w:t>
      </w:r>
      <w:r w:rsidR="00747428" w:rsidRPr="004B114F">
        <w:rPr>
          <w:rFonts w:asciiTheme="majorHAnsi" w:hAnsiTheme="majorHAnsi"/>
          <w:sz w:val="20"/>
          <w:szCs w:val="20"/>
          <w:lang w:val="es-ES_tradnl"/>
        </w:rPr>
        <w:t xml:space="preserve"> por la señora Maleno, así como</w:t>
      </w:r>
      <w:r w:rsidR="004A3DF1" w:rsidRPr="004B114F">
        <w:rPr>
          <w:rFonts w:asciiTheme="majorHAnsi" w:hAnsiTheme="majorHAnsi"/>
          <w:sz w:val="20"/>
          <w:szCs w:val="20"/>
          <w:lang w:val="es-ES_tradnl"/>
        </w:rPr>
        <w:t xml:space="preserve"> </w:t>
      </w:r>
      <w:r w:rsidR="00747428" w:rsidRPr="004B114F">
        <w:rPr>
          <w:rFonts w:asciiTheme="majorHAnsi" w:hAnsiTheme="majorHAnsi"/>
          <w:sz w:val="20"/>
          <w:szCs w:val="20"/>
          <w:lang w:val="es-ES_tradnl"/>
        </w:rPr>
        <w:t>a</w:t>
      </w:r>
      <w:r w:rsidR="004A3DF1" w:rsidRPr="004B114F">
        <w:rPr>
          <w:rFonts w:asciiTheme="majorHAnsi" w:hAnsiTheme="majorHAnsi"/>
          <w:sz w:val="20"/>
          <w:szCs w:val="20"/>
          <w:lang w:val="es-ES_tradnl"/>
        </w:rPr>
        <w:t xml:space="preserve"> las investigaciones realizadas en atención a estos hechos (punto C). </w:t>
      </w:r>
    </w:p>
    <w:p w14:paraId="38B01290" w14:textId="77777777" w:rsidR="004A3DF1" w:rsidRPr="004B114F" w:rsidRDefault="004A3DF1" w:rsidP="004B114F">
      <w:pPr>
        <w:suppressAutoHyphens/>
        <w:rPr>
          <w:rFonts w:asciiTheme="majorHAnsi" w:hAnsiTheme="majorHAnsi"/>
          <w:b/>
          <w:sz w:val="20"/>
          <w:szCs w:val="20"/>
          <w:lang w:val="es-ES_tradnl"/>
        </w:rPr>
      </w:pPr>
    </w:p>
    <w:p w14:paraId="26094907" w14:textId="5B80BE76" w:rsidR="00981FED" w:rsidRPr="004B114F" w:rsidRDefault="00981FED" w:rsidP="004B114F">
      <w:pPr>
        <w:pStyle w:val="Heading2"/>
        <w:numPr>
          <w:ilvl w:val="0"/>
          <w:numId w:val="62"/>
        </w:numPr>
        <w:jc w:val="both"/>
        <w:rPr>
          <w:rFonts w:asciiTheme="majorHAnsi" w:hAnsiTheme="majorHAnsi"/>
          <w:szCs w:val="20"/>
          <w:lang w:val="es-ES_tradnl"/>
        </w:rPr>
      </w:pPr>
      <w:bookmarkStart w:id="28" w:name="_Toc142398958"/>
      <w:bookmarkStart w:id="29" w:name="_Toc485650798"/>
      <w:r w:rsidRPr="004B114F">
        <w:rPr>
          <w:rFonts w:asciiTheme="majorHAnsi" w:hAnsiTheme="majorHAnsi"/>
          <w:szCs w:val="20"/>
          <w:lang w:val="es-ES_tradnl"/>
        </w:rPr>
        <w:t>Derecho a la libertad personal</w:t>
      </w:r>
      <w:r w:rsidR="00565695" w:rsidRPr="004B114F">
        <w:rPr>
          <w:rFonts w:asciiTheme="majorHAnsi" w:hAnsiTheme="majorHAnsi"/>
          <w:szCs w:val="20"/>
          <w:lang w:val="es-ES_tradnl"/>
        </w:rPr>
        <w:t xml:space="preserve"> </w:t>
      </w:r>
      <w:r w:rsidR="00565695" w:rsidRPr="00DE778C">
        <w:rPr>
          <w:rFonts w:asciiTheme="majorHAnsi" w:hAnsiTheme="majorHAnsi"/>
          <w:szCs w:val="20"/>
          <w:lang w:val="es-ES"/>
        </w:rPr>
        <w:t>(artículo 7</w:t>
      </w:r>
      <w:r w:rsidR="00565695" w:rsidRPr="004B114F">
        <w:rPr>
          <w:rFonts w:asciiTheme="majorHAnsi" w:hAnsiTheme="majorHAnsi"/>
          <w:b w:val="0"/>
          <w:szCs w:val="20"/>
          <w:vertAlign w:val="superscript"/>
        </w:rPr>
        <w:footnoteReference w:id="88"/>
      </w:r>
      <w:r w:rsidR="00565695" w:rsidRPr="00DE778C">
        <w:rPr>
          <w:rFonts w:asciiTheme="majorHAnsi" w:hAnsiTheme="majorHAnsi"/>
          <w:szCs w:val="20"/>
          <w:lang w:val="es-ES"/>
        </w:rPr>
        <w:t xml:space="preserve"> de la Convención Americana en relación con los artículos 1.1 del mismo instrumento)</w:t>
      </w:r>
      <w:bookmarkEnd w:id="28"/>
    </w:p>
    <w:p w14:paraId="5C46C697" w14:textId="6EEA01AE" w:rsidR="00981FED" w:rsidRDefault="00981FED" w:rsidP="004B114F">
      <w:pPr>
        <w:rPr>
          <w:rFonts w:asciiTheme="majorHAnsi" w:hAnsiTheme="majorHAnsi"/>
          <w:sz w:val="20"/>
          <w:szCs w:val="20"/>
          <w:lang w:val="es-ES_tradnl"/>
        </w:rPr>
      </w:pPr>
    </w:p>
    <w:p w14:paraId="224F7596" w14:textId="150256F5" w:rsidR="00697092" w:rsidRPr="00DE778C" w:rsidRDefault="00697092" w:rsidP="07C31400">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630"/>
        <w:jc w:val="both"/>
        <w:rPr>
          <w:rFonts w:asciiTheme="majorHAnsi" w:hAnsiTheme="majorHAnsi"/>
          <w:sz w:val="20"/>
          <w:szCs w:val="20"/>
          <w:lang w:val="es-ES"/>
        </w:rPr>
      </w:pPr>
      <w:r w:rsidRPr="07C31400">
        <w:rPr>
          <w:rFonts w:asciiTheme="majorHAnsi" w:hAnsiTheme="majorHAnsi"/>
          <w:sz w:val="20"/>
          <w:szCs w:val="20"/>
          <w:lang w:val="es-ES"/>
        </w:rPr>
        <w:t xml:space="preserve">En aplicación del principio de </w:t>
      </w:r>
      <w:r w:rsidRPr="07C31400">
        <w:rPr>
          <w:rFonts w:asciiTheme="majorHAnsi" w:hAnsiTheme="majorHAnsi"/>
          <w:i/>
          <w:iCs/>
          <w:sz w:val="20"/>
          <w:szCs w:val="20"/>
          <w:lang w:val="es-ES"/>
        </w:rPr>
        <w:t>iura novit curia</w:t>
      </w:r>
      <w:r w:rsidRPr="07C31400">
        <w:rPr>
          <w:rFonts w:asciiTheme="majorHAnsi" w:hAnsiTheme="majorHAnsi"/>
          <w:sz w:val="20"/>
          <w:szCs w:val="20"/>
          <w:lang w:val="es-ES"/>
        </w:rPr>
        <w:t xml:space="preserve">, la Comisión advierte que si bien en su informe de admisibilidad del presente caso no se pronunció sobre la aplicación del artículo 7 de la </w:t>
      </w:r>
      <w:r w:rsidR="009E0FD6" w:rsidRPr="07C31400">
        <w:rPr>
          <w:rFonts w:asciiTheme="majorHAnsi" w:hAnsiTheme="majorHAnsi"/>
          <w:sz w:val="20"/>
          <w:szCs w:val="20"/>
          <w:lang w:val="es-ES"/>
        </w:rPr>
        <w:t>C</w:t>
      </w:r>
      <w:r w:rsidRPr="07C31400">
        <w:rPr>
          <w:rFonts w:asciiTheme="majorHAnsi" w:hAnsiTheme="majorHAnsi"/>
          <w:sz w:val="20"/>
          <w:szCs w:val="20"/>
          <w:lang w:val="es-ES"/>
        </w:rPr>
        <w:t>onvención Americana, los hechos que sustentan la existencia de tal violación surgen de la información y las pruebas aportadas por las partes en el transcurso del trámite ante la CIDH respecto de los cuales el Estado tuvo la oportunidad de ofrecer sus observaciones.</w:t>
      </w:r>
    </w:p>
    <w:p w14:paraId="6CB401BC" w14:textId="77777777" w:rsidR="00697092" w:rsidRPr="004B114F" w:rsidRDefault="00697092" w:rsidP="004B114F">
      <w:pPr>
        <w:rPr>
          <w:rFonts w:asciiTheme="majorHAnsi" w:hAnsiTheme="majorHAnsi"/>
          <w:sz w:val="20"/>
          <w:szCs w:val="20"/>
          <w:lang w:val="es-ES_tradnl"/>
        </w:rPr>
      </w:pPr>
    </w:p>
    <w:p w14:paraId="3EF70ADA" w14:textId="758AFECF" w:rsidR="00B96F54" w:rsidRPr="004B114F" w:rsidRDefault="00565695" w:rsidP="00DE778C">
      <w:pPr>
        <w:pStyle w:val="Heading3"/>
        <w:numPr>
          <w:ilvl w:val="0"/>
          <w:numId w:val="74"/>
        </w:numPr>
        <w:jc w:val="both"/>
        <w:rPr>
          <w:rFonts w:asciiTheme="majorHAnsi" w:hAnsiTheme="majorHAnsi"/>
          <w:szCs w:val="20"/>
          <w:lang w:val="es-ES_tradnl"/>
        </w:rPr>
      </w:pPr>
      <w:bookmarkStart w:id="30" w:name="_Toc142398959"/>
      <w:r w:rsidRPr="004B114F">
        <w:rPr>
          <w:rFonts w:asciiTheme="majorHAnsi" w:hAnsiTheme="majorHAnsi"/>
          <w:szCs w:val="20"/>
          <w:lang w:val="es-ES"/>
        </w:rPr>
        <w:t>E</w:t>
      </w:r>
      <w:r w:rsidRPr="00DE778C">
        <w:rPr>
          <w:rFonts w:asciiTheme="majorHAnsi" w:hAnsiTheme="majorHAnsi"/>
          <w:szCs w:val="20"/>
          <w:lang w:val="es-ES"/>
        </w:rPr>
        <w:t>l derecho a no ser privado de libertad arbitrariamente y consideraciones sobre la duración de la detención preventiva</w:t>
      </w:r>
      <w:bookmarkEnd w:id="30"/>
    </w:p>
    <w:p w14:paraId="574B52A8" w14:textId="0EC88F49" w:rsidR="00B96F54" w:rsidRPr="004B114F" w:rsidRDefault="00B96F54" w:rsidP="004B114F">
      <w:pPr>
        <w:rPr>
          <w:rFonts w:asciiTheme="majorHAnsi" w:hAnsiTheme="majorHAnsi"/>
          <w:sz w:val="20"/>
          <w:szCs w:val="20"/>
          <w:lang w:val="es-ES_tradnl"/>
        </w:rPr>
      </w:pPr>
    </w:p>
    <w:p w14:paraId="543A1878" w14:textId="77777777" w:rsidR="00565695" w:rsidRPr="00DE778C" w:rsidRDefault="00565695" w:rsidP="00DE778C">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630"/>
        <w:jc w:val="both"/>
        <w:rPr>
          <w:rFonts w:asciiTheme="majorHAnsi" w:hAnsiTheme="majorHAnsi"/>
          <w:sz w:val="20"/>
          <w:szCs w:val="20"/>
          <w:lang w:val="es-ES"/>
        </w:rPr>
      </w:pPr>
      <w:r w:rsidRPr="00DE778C">
        <w:rPr>
          <w:rFonts w:asciiTheme="majorHAnsi" w:eastAsia="Cambria" w:hAnsiTheme="majorHAnsi" w:cs="Cambria"/>
          <w:sz w:val="20"/>
          <w:szCs w:val="20"/>
          <w:lang w:val="es-ES"/>
        </w:rPr>
        <w:t xml:space="preserve">La Comisión y la Corte han señalado que la detención preventiva se encuentra limitada por los </w:t>
      </w:r>
      <w:bookmarkStart w:id="31" w:name="_Hlk110326879"/>
      <w:r w:rsidRPr="00DE778C">
        <w:rPr>
          <w:rFonts w:asciiTheme="majorHAnsi" w:eastAsia="Cambria" w:hAnsiTheme="majorHAnsi" w:cs="Cambria"/>
          <w:sz w:val="20"/>
          <w:szCs w:val="20"/>
          <w:lang w:val="es-ES"/>
        </w:rPr>
        <w:t>principios de legalidad, presunción de inocencia, necesidad y proporcionalidad</w:t>
      </w:r>
      <w:bookmarkEnd w:id="31"/>
      <w:r w:rsidRPr="004B114F">
        <w:rPr>
          <w:rFonts w:asciiTheme="majorHAnsi" w:eastAsia="Cambria" w:hAnsiTheme="majorHAnsi" w:cs="Cambria"/>
          <w:sz w:val="20"/>
          <w:szCs w:val="20"/>
          <w:vertAlign w:val="superscript"/>
        </w:rPr>
        <w:footnoteReference w:id="89"/>
      </w:r>
      <w:r w:rsidRPr="00DE778C">
        <w:rPr>
          <w:rFonts w:asciiTheme="majorHAnsi" w:eastAsia="Cambria" w:hAnsiTheme="majorHAnsi" w:cs="Cambria"/>
          <w:sz w:val="20"/>
          <w:szCs w:val="20"/>
          <w:lang w:val="es-ES"/>
        </w:rPr>
        <w:t>. Asimismo, ha indicado que se trata de una medida cautelar y no punitiva</w:t>
      </w:r>
      <w:r w:rsidRPr="004B114F">
        <w:rPr>
          <w:rFonts w:asciiTheme="majorHAnsi" w:eastAsia="Cambria" w:hAnsiTheme="majorHAnsi" w:cs="Cambria"/>
          <w:sz w:val="20"/>
          <w:szCs w:val="20"/>
          <w:vertAlign w:val="superscript"/>
        </w:rPr>
        <w:footnoteReference w:id="90"/>
      </w:r>
      <w:r w:rsidRPr="00DE778C">
        <w:rPr>
          <w:rFonts w:asciiTheme="majorHAnsi" w:eastAsia="Cambria" w:hAnsiTheme="majorHAnsi" w:cs="Cambria"/>
          <w:sz w:val="20"/>
          <w:szCs w:val="20"/>
          <w:lang w:val="es-ES"/>
        </w:rPr>
        <w:t xml:space="preserve"> y que es la más severa que se puede imponer al imputado por lo que debe aplicarse excepcionalmente. En </w:t>
      </w:r>
      <w:r w:rsidRPr="00DE778C">
        <w:rPr>
          <w:rFonts w:asciiTheme="majorHAnsi" w:hAnsiTheme="majorHAnsi"/>
          <w:sz w:val="20"/>
          <w:szCs w:val="20"/>
          <w:lang w:val="es-ES_tradnl"/>
        </w:rPr>
        <w:t>consideración</w:t>
      </w:r>
      <w:r w:rsidRPr="00DE778C">
        <w:rPr>
          <w:rFonts w:asciiTheme="majorHAnsi" w:eastAsia="Cambria" w:hAnsiTheme="majorHAnsi" w:cs="Cambria"/>
          <w:sz w:val="20"/>
          <w:szCs w:val="20"/>
          <w:lang w:val="es-ES"/>
        </w:rPr>
        <w:t xml:space="preserve"> de ambos órganos del sistema interamericano, la regla debe ser la libertad del procesado mientras se resuelve acerca de su responsabilidad penal</w:t>
      </w:r>
      <w:r w:rsidRPr="004B114F">
        <w:rPr>
          <w:rFonts w:asciiTheme="majorHAnsi" w:eastAsia="Cambria" w:hAnsiTheme="majorHAnsi" w:cs="Cambria"/>
          <w:sz w:val="20"/>
          <w:szCs w:val="20"/>
          <w:vertAlign w:val="superscript"/>
        </w:rPr>
        <w:footnoteReference w:id="91"/>
      </w:r>
      <w:r w:rsidRPr="00DE778C">
        <w:rPr>
          <w:rFonts w:asciiTheme="majorHAnsi" w:eastAsia="Cambria" w:hAnsiTheme="majorHAnsi" w:cs="Cambria"/>
          <w:sz w:val="20"/>
          <w:szCs w:val="20"/>
          <w:lang w:val="es-ES"/>
        </w:rPr>
        <w:t xml:space="preserve">. </w:t>
      </w:r>
    </w:p>
    <w:p w14:paraId="53C9A064" w14:textId="77777777" w:rsidR="00565695" w:rsidRPr="00DE778C" w:rsidRDefault="00565695" w:rsidP="004B114F">
      <w:pPr>
        <w:pBdr>
          <w:top w:val="none" w:sz="0" w:space="0" w:color="000000"/>
          <w:left w:val="none" w:sz="0" w:space="0" w:color="000000"/>
          <w:bottom w:val="none" w:sz="0" w:space="0" w:color="000000"/>
          <w:right w:val="none" w:sz="0" w:space="0" w:color="000000"/>
          <w:between w:val="none" w:sz="0" w:space="0" w:color="000000"/>
        </w:pBdr>
        <w:tabs>
          <w:tab w:val="left" w:pos="360"/>
        </w:tabs>
        <w:ind w:left="360"/>
        <w:jc w:val="both"/>
        <w:rPr>
          <w:rFonts w:asciiTheme="majorHAnsi" w:eastAsia="Cambria" w:hAnsiTheme="majorHAnsi" w:cs="Cambria"/>
          <w:sz w:val="20"/>
          <w:szCs w:val="20"/>
          <w:lang w:val="es-ES"/>
        </w:rPr>
      </w:pPr>
    </w:p>
    <w:p w14:paraId="791AEC46" w14:textId="77777777" w:rsidR="00565695" w:rsidRPr="00DE778C" w:rsidRDefault="00565695" w:rsidP="00DE778C">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630"/>
        <w:jc w:val="both"/>
        <w:rPr>
          <w:rFonts w:asciiTheme="majorHAnsi" w:eastAsia="Cambria" w:hAnsiTheme="majorHAnsi" w:cs="Cambria"/>
          <w:sz w:val="20"/>
          <w:szCs w:val="20"/>
          <w:lang w:val="es-ES"/>
        </w:rPr>
      </w:pPr>
      <w:r w:rsidRPr="00DE778C">
        <w:rPr>
          <w:rFonts w:asciiTheme="majorHAnsi" w:eastAsia="Cambria" w:hAnsiTheme="majorHAnsi" w:cs="Cambria"/>
          <w:sz w:val="20"/>
          <w:szCs w:val="20"/>
          <w:lang w:val="es-ES"/>
        </w:rPr>
        <w:t xml:space="preserve">La Corte y la Comisión han resaltado que las características personales del supuesto autor y la </w:t>
      </w:r>
      <w:bookmarkStart w:id="32" w:name="_Hlk110326901"/>
      <w:r w:rsidRPr="00DE778C">
        <w:rPr>
          <w:rFonts w:asciiTheme="majorHAnsi" w:eastAsia="Cambria" w:hAnsiTheme="majorHAnsi" w:cs="Cambria"/>
          <w:sz w:val="20"/>
          <w:szCs w:val="20"/>
          <w:lang w:val="es-ES"/>
        </w:rPr>
        <w:t>gravedad del delito que se le imputa no son, por sí mismos, justificación suficiente de la prisión preventiva</w:t>
      </w:r>
      <w:bookmarkEnd w:id="32"/>
      <w:r w:rsidRPr="004B114F">
        <w:rPr>
          <w:rFonts w:asciiTheme="majorHAnsi" w:eastAsia="Cambria" w:hAnsiTheme="majorHAnsi" w:cs="Cambria"/>
          <w:sz w:val="20"/>
          <w:szCs w:val="20"/>
          <w:vertAlign w:val="superscript"/>
        </w:rPr>
        <w:footnoteReference w:id="92"/>
      </w:r>
      <w:r w:rsidRPr="00DE778C">
        <w:rPr>
          <w:rFonts w:asciiTheme="majorHAnsi" w:eastAsia="Cambria" w:hAnsiTheme="majorHAnsi" w:cs="Cambria"/>
          <w:sz w:val="20"/>
          <w:szCs w:val="20"/>
          <w:lang w:val="es-ES"/>
        </w:rPr>
        <w:t xml:space="preserve">. Respecto de las razones que pueden </w:t>
      </w:r>
      <w:r w:rsidRPr="00DE778C">
        <w:rPr>
          <w:rFonts w:asciiTheme="majorHAnsi" w:hAnsiTheme="majorHAnsi"/>
          <w:sz w:val="20"/>
          <w:szCs w:val="20"/>
          <w:lang w:val="es-ES_tradnl"/>
        </w:rPr>
        <w:t>justificar</w:t>
      </w:r>
      <w:r w:rsidRPr="00DE778C">
        <w:rPr>
          <w:rFonts w:asciiTheme="majorHAnsi" w:eastAsia="Cambria" w:hAnsiTheme="majorHAnsi" w:cs="Cambria"/>
          <w:sz w:val="20"/>
          <w:szCs w:val="20"/>
          <w:lang w:val="es-ES"/>
        </w:rPr>
        <w:t xml:space="preserve"> la detención preventiva, los órganos del sistema han interpretado el artículo 7.3 de la Convención Americana en el sentido de que </w:t>
      </w:r>
      <w:bookmarkStart w:id="33" w:name="_Hlk110326915"/>
      <w:r w:rsidRPr="00DE778C">
        <w:rPr>
          <w:rFonts w:asciiTheme="majorHAnsi" w:eastAsia="Cambria" w:hAnsiTheme="majorHAnsi" w:cs="Cambria"/>
          <w:sz w:val="20"/>
          <w:szCs w:val="20"/>
          <w:lang w:val="es-ES"/>
        </w:rPr>
        <w:t>los indicios de responsabilidad son condición necesaria pero no suficiente para imponer tal medida</w:t>
      </w:r>
      <w:bookmarkEnd w:id="33"/>
      <w:r w:rsidRPr="004B114F">
        <w:rPr>
          <w:rFonts w:asciiTheme="majorHAnsi" w:eastAsia="Cambria" w:hAnsiTheme="majorHAnsi" w:cs="Cambria"/>
          <w:sz w:val="20"/>
          <w:szCs w:val="20"/>
          <w:vertAlign w:val="superscript"/>
        </w:rPr>
        <w:footnoteReference w:id="93"/>
      </w:r>
      <w:r w:rsidRPr="00DE778C">
        <w:rPr>
          <w:rFonts w:asciiTheme="majorHAnsi" w:eastAsia="Cambria" w:hAnsiTheme="majorHAnsi" w:cs="Cambria"/>
          <w:sz w:val="20"/>
          <w:szCs w:val="20"/>
          <w:lang w:val="es-ES"/>
        </w:rPr>
        <w:t xml:space="preserve">. </w:t>
      </w:r>
    </w:p>
    <w:p w14:paraId="18E7325E" w14:textId="77777777" w:rsidR="00565695" w:rsidRPr="00DE778C" w:rsidRDefault="00565695" w:rsidP="004B114F">
      <w:pPr>
        <w:pBdr>
          <w:top w:val="none" w:sz="0" w:space="0" w:color="000000"/>
          <w:left w:val="none" w:sz="0" w:space="0" w:color="000000"/>
          <w:bottom w:val="none" w:sz="0" w:space="0" w:color="000000"/>
          <w:right w:val="none" w:sz="0" w:space="0" w:color="000000"/>
          <w:between w:val="none" w:sz="0" w:space="0" w:color="000000"/>
        </w:pBdr>
        <w:tabs>
          <w:tab w:val="left" w:pos="360"/>
        </w:tabs>
        <w:ind w:left="360"/>
        <w:jc w:val="both"/>
        <w:rPr>
          <w:rFonts w:asciiTheme="majorHAnsi" w:eastAsia="Cambria" w:hAnsiTheme="majorHAnsi" w:cs="Cambria"/>
          <w:sz w:val="20"/>
          <w:szCs w:val="20"/>
          <w:lang w:val="es-ES"/>
        </w:rPr>
      </w:pPr>
    </w:p>
    <w:p w14:paraId="7883FA37" w14:textId="77777777" w:rsidR="00565695" w:rsidRPr="00DE778C" w:rsidRDefault="00565695" w:rsidP="00DE778C">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630"/>
        <w:jc w:val="both"/>
        <w:rPr>
          <w:rFonts w:asciiTheme="majorHAnsi" w:hAnsiTheme="majorHAnsi"/>
          <w:sz w:val="20"/>
          <w:szCs w:val="20"/>
          <w:lang w:val="es-ES"/>
        </w:rPr>
      </w:pPr>
      <w:r w:rsidRPr="00DE778C">
        <w:rPr>
          <w:rFonts w:asciiTheme="majorHAnsi" w:eastAsia="Cambria" w:hAnsiTheme="majorHAnsi" w:cs="Cambria"/>
          <w:sz w:val="20"/>
          <w:szCs w:val="20"/>
          <w:lang w:val="es-ES"/>
        </w:rPr>
        <w:t xml:space="preserve">Por otra parte, el artículo 7.5 de la Convención Americana impone límites temporales a la </w:t>
      </w:r>
      <w:bookmarkStart w:id="34" w:name="_Hlk110326971"/>
      <w:r w:rsidRPr="00DE778C">
        <w:rPr>
          <w:rFonts w:asciiTheme="majorHAnsi" w:eastAsia="Cambria" w:hAnsiTheme="majorHAnsi" w:cs="Cambria"/>
          <w:sz w:val="20"/>
          <w:szCs w:val="20"/>
          <w:lang w:val="es-ES"/>
        </w:rPr>
        <w:t xml:space="preserve">duración de la prisión preventiva </w:t>
      </w:r>
      <w:bookmarkEnd w:id="34"/>
      <w:r w:rsidRPr="00DE778C">
        <w:rPr>
          <w:rFonts w:asciiTheme="majorHAnsi" w:eastAsia="Cambria" w:hAnsiTheme="majorHAnsi" w:cs="Cambria"/>
          <w:sz w:val="20"/>
          <w:szCs w:val="20"/>
          <w:lang w:val="es-ES"/>
        </w:rPr>
        <w:t xml:space="preserve">y, en consecuencia, a las facultades del Estado para proteger los fines del proceso mediante este tipo de medida cautelar. Como ha indicado la Corte Interamericana “cuando el plazo de la prisión preventiva sobrepasa lo razonable, el Estado podrá limitar la libertad del imputado con otras medidas </w:t>
      </w:r>
      <w:r w:rsidRPr="00DE778C">
        <w:rPr>
          <w:rFonts w:asciiTheme="majorHAnsi" w:eastAsia="Cambria" w:hAnsiTheme="majorHAnsi" w:cs="Cambria"/>
          <w:sz w:val="20"/>
          <w:szCs w:val="20"/>
          <w:lang w:val="es-ES"/>
        </w:rPr>
        <w:lastRenderedPageBreak/>
        <w:t>menos lesivas que aseguren su comparecencia al juicio, distintas de la privación de libertad”</w:t>
      </w:r>
      <w:r w:rsidRPr="004B114F">
        <w:rPr>
          <w:rFonts w:asciiTheme="majorHAnsi" w:eastAsia="Cambria" w:hAnsiTheme="majorHAnsi" w:cs="Cambria"/>
          <w:sz w:val="20"/>
          <w:szCs w:val="20"/>
          <w:vertAlign w:val="superscript"/>
        </w:rPr>
        <w:footnoteReference w:id="94"/>
      </w:r>
      <w:r w:rsidRPr="00DE778C">
        <w:rPr>
          <w:rFonts w:asciiTheme="majorHAnsi" w:eastAsia="Cambria" w:hAnsiTheme="majorHAnsi" w:cs="Cambria"/>
          <w:sz w:val="20"/>
          <w:szCs w:val="20"/>
          <w:lang w:val="es-ES"/>
        </w:rPr>
        <w:t>. La Corte también ha establecido que la prisión preventiva debe estar sometida a revisión periódica “de tal forma que no se prolongue cuando no subsistan las razones que motivaron su adopción”</w:t>
      </w:r>
      <w:r w:rsidRPr="004B114F">
        <w:rPr>
          <w:rFonts w:asciiTheme="majorHAnsi" w:eastAsia="Cambria" w:hAnsiTheme="majorHAnsi" w:cs="Cambria"/>
          <w:sz w:val="20"/>
          <w:szCs w:val="20"/>
          <w:vertAlign w:val="superscript"/>
        </w:rPr>
        <w:footnoteReference w:id="95"/>
      </w:r>
      <w:r w:rsidRPr="00DE778C">
        <w:rPr>
          <w:rFonts w:asciiTheme="majorHAnsi" w:eastAsia="Cambria" w:hAnsiTheme="majorHAnsi" w:cs="Cambria"/>
          <w:sz w:val="20"/>
          <w:szCs w:val="20"/>
          <w:lang w:val="es-ES"/>
        </w:rPr>
        <w:t xml:space="preserve">.  </w:t>
      </w:r>
    </w:p>
    <w:p w14:paraId="7A23076A" w14:textId="77777777" w:rsidR="00565695" w:rsidRPr="00DE778C" w:rsidRDefault="00565695" w:rsidP="004B114F">
      <w:pPr>
        <w:pBdr>
          <w:top w:val="none" w:sz="0" w:space="0" w:color="000000"/>
          <w:left w:val="none" w:sz="0" w:space="0" w:color="000000"/>
          <w:bottom w:val="none" w:sz="0" w:space="0" w:color="000000"/>
          <w:right w:val="none" w:sz="0" w:space="0" w:color="000000"/>
          <w:between w:val="none" w:sz="0" w:space="0" w:color="000000"/>
        </w:pBdr>
        <w:tabs>
          <w:tab w:val="left" w:pos="360"/>
        </w:tabs>
        <w:jc w:val="both"/>
        <w:rPr>
          <w:rFonts w:asciiTheme="majorHAnsi" w:hAnsiTheme="majorHAnsi"/>
          <w:sz w:val="20"/>
          <w:szCs w:val="20"/>
          <w:lang w:val="es-ES"/>
        </w:rPr>
      </w:pPr>
    </w:p>
    <w:p w14:paraId="2CE05C07" w14:textId="77777777" w:rsidR="00565695" w:rsidRPr="00DE778C" w:rsidRDefault="00565695" w:rsidP="00DE778C">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630"/>
        <w:jc w:val="both"/>
        <w:rPr>
          <w:rFonts w:asciiTheme="majorHAnsi" w:hAnsiTheme="majorHAnsi"/>
          <w:sz w:val="20"/>
          <w:szCs w:val="20"/>
          <w:lang w:val="es-ES"/>
        </w:rPr>
      </w:pPr>
      <w:r w:rsidRPr="00DE778C">
        <w:rPr>
          <w:rFonts w:asciiTheme="majorHAnsi" w:eastAsia="Cambria" w:hAnsiTheme="majorHAnsi" w:cs="Cambria"/>
          <w:sz w:val="20"/>
          <w:szCs w:val="20"/>
          <w:lang w:val="es-ES"/>
        </w:rPr>
        <w:t>Además de sus efectos en el ejercicio del derecho a la libertad personal, tanto la Comisión como la Corte han indicado que el uso indebido de la detención preventiva puede tener un impacto en el principio de presunción de inocencia contenida en el artículo 8.2 de la Convención Americana. Al respecto se ha destacado la importancia del criterio de razonabilidad, pues mantener privada de libertad a una persona más allá del tiempo razonable para el cumplimiento de los fines que justifican su detención equivaldría, en los hechos, a una pena anticipada</w:t>
      </w:r>
      <w:r w:rsidRPr="004B114F">
        <w:rPr>
          <w:rFonts w:asciiTheme="majorHAnsi" w:eastAsia="Cambria" w:hAnsiTheme="majorHAnsi" w:cs="Cambria"/>
          <w:sz w:val="20"/>
          <w:szCs w:val="20"/>
          <w:vertAlign w:val="superscript"/>
        </w:rPr>
        <w:footnoteReference w:id="96"/>
      </w:r>
      <w:r w:rsidRPr="00DE778C">
        <w:rPr>
          <w:rFonts w:asciiTheme="majorHAnsi" w:eastAsia="Cambria" w:hAnsiTheme="majorHAnsi" w:cs="Cambria"/>
          <w:sz w:val="20"/>
          <w:szCs w:val="20"/>
          <w:lang w:val="es-ES"/>
        </w:rPr>
        <w:t xml:space="preserve">. </w:t>
      </w:r>
    </w:p>
    <w:p w14:paraId="36374F63" w14:textId="77777777" w:rsidR="00565695" w:rsidRPr="00DE778C" w:rsidRDefault="00565695" w:rsidP="004B114F">
      <w:pPr>
        <w:ind w:left="540"/>
        <w:rPr>
          <w:rFonts w:asciiTheme="majorHAnsi" w:hAnsiTheme="majorHAnsi"/>
          <w:sz w:val="20"/>
          <w:szCs w:val="20"/>
          <w:lang w:val="es-ES"/>
        </w:rPr>
      </w:pPr>
    </w:p>
    <w:p w14:paraId="02ED5073" w14:textId="77777777" w:rsidR="00565695" w:rsidRPr="00DE778C" w:rsidRDefault="00565695" w:rsidP="00DE778C">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630"/>
        <w:jc w:val="both"/>
        <w:rPr>
          <w:rFonts w:asciiTheme="majorHAnsi" w:hAnsiTheme="majorHAnsi"/>
          <w:sz w:val="20"/>
          <w:szCs w:val="20"/>
          <w:lang w:val="es-ES"/>
        </w:rPr>
      </w:pPr>
      <w:r w:rsidRPr="00DE778C">
        <w:rPr>
          <w:rFonts w:asciiTheme="majorHAnsi" w:eastAsia="Cambria" w:hAnsiTheme="majorHAnsi" w:cs="Cambria"/>
          <w:sz w:val="20"/>
          <w:szCs w:val="20"/>
          <w:lang w:val="es-ES"/>
        </w:rPr>
        <w:t xml:space="preserve">El respeto al derecho a la presunción de inocencia exige igualmente que el Estado fundamente y </w:t>
      </w:r>
      <w:bookmarkStart w:id="35" w:name="_Hlk110327020"/>
      <w:r w:rsidRPr="00DE778C">
        <w:rPr>
          <w:rFonts w:asciiTheme="majorHAnsi" w:eastAsia="Cambria" w:hAnsiTheme="majorHAnsi" w:cs="Cambria"/>
          <w:sz w:val="20"/>
          <w:szCs w:val="20"/>
          <w:lang w:val="es-ES"/>
        </w:rPr>
        <w:t>acredite, de manera clara y motivada, según cada caso concreto, la existencia de los requisitos válidos de procedencia de la prisión preventiva</w:t>
      </w:r>
      <w:bookmarkEnd w:id="35"/>
      <w:r w:rsidRPr="004B114F">
        <w:rPr>
          <w:rFonts w:asciiTheme="majorHAnsi" w:eastAsia="Cambria" w:hAnsiTheme="majorHAnsi" w:cs="Cambria"/>
          <w:sz w:val="20"/>
          <w:szCs w:val="20"/>
          <w:vertAlign w:val="superscript"/>
        </w:rPr>
        <w:footnoteReference w:id="97"/>
      </w:r>
      <w:r w:rsidRPr="00DE778C">
        <w:rPr>
          <w:rFonts w:asciiTheme="majorHAnsi" w:eastAsia="Cambria" w:hAnsiTheme="majorHAnsi" w:cs="Cambria"/>
          <w:sz w:val="20"/>
          <w:szCs w:val="20"/>
          <w:lang w:val="es-ES"/>
        </w:rPr>
        <w:t xml:space="preserve">. Por ende, también se viola el principio de presunción de inocencia cuando la prisión preventiva </w:t>
      </w:r>
      <w:bookmarkStart w:id="36" w:name="_Hlk110327040"/>
      <w:r w:rsidRPr="00DE778C">
        <w:rPr>
          <w:rFonts w:asciiTheme="majorHAnsi" w:eastAsia="Cambria" w:hAnsiTheme="majorHAnsi" w:cs="Cambria"/>
          <w:sz w:val="20"/>
          <w:szCs w:val="20"/>
          <w:lang w:val="es-ES"/>
        </w:rPr>
        <w:t>se impone arbitrariamente; o bien, cuando su aplicación está determinada esencialmente, por ejemplo, por el tipo de delito, la expectativa de la pena o la mera existencia de indicios razonables que vinculen al acusado</w:t>
      </w:r>
      <w:bookmarkEnd w:id="36"/>
      <w:r w:rsidRPr="004B114F">
        <w:rPr>
          <w:rFonts w:asciiTheme="majorHAnsi" w:eastAsia="Cambria" w:hAnsiTheme="majorHAnsi" w:cs="Cambria"/>
          <w:sz w:val="20"/>
          <w:szCs w:val="20"/>
          <w:vertAlign w:val="superscript"/>
        </w:rPr>
        <w:footnoteReference w:id="98"/>
      </w:r>
      <w:r w:rsidRPr="00DE778C">
        <w:rPr>
          <w:rFonts w:asciiTheme="majorHAnsi" w:eastAsia="Cambria" w:hAnsiTheme="majorHAnsi" w:cs="Cambria"/>
          <w:sz w:val="20"/>
          <w:szCs w:val="20"/>
          <w:lang w:val="es-ES"/>
        </w:rPr>
        <w:t>.</w:t>
      </w:r>
    </w:p>
    <w:p w14:paraId="3F2D9F03" w14:textId="77777777" w:rsidR="00565695" w:rsidRPr="004B114F" w:rsidRDefault="00565695" w:rsidP="004B114F">
      <w:pPr>
        <w:rPr>
          <w:rFonts w:asciiTheme="majorHAnsi" w:hAnsiTheme="majorHAnsi"/>
          <w:sz w:val="20"/>
          <w:szCs w:val="20"/>
          <w:lang w:val="es-ES_tradnl"/>
        </w:rPr>
      </w:pPr>
    </w:p>
    <w:p w14:paraId="145A9FD0" w14:textId="0DE903AE" w:rsidR="004269DE" w:rsidRPr="004B114F" w:rsidRDefault="004269DE" w:rsidP="00DE778C">
      <w:pPr>
        <w:pStyle w:val="Heading3"/>
        <w:numPr>
          <w:ilvl w:val="0"/>
          <w:numId w:val="74"/>
        </w:numPr>
        <w:rPr>
          <w:rFonts w:asciiTheme="majorHAnsi" w:hAnsiTheme="majorHAnsi"/>
          <w:szCs w:val="20"/>
          <w:lang w:val="es-ES_tradnl"/>
        </w:rPr>
      </w:pPr>
      <w:bookmarkStart w:id="37" w:name="_Análisis_del_caso"/>
      <w:bookmarkStart w:id="38" w:name="_Toc142398960"/>
      <w:bookmarkEnd w:id="37"/>
      <w:r w:rsidRPr="004B114F">
        <w:rPr>
          <w:rFonts w:asciiTheme="majorHAnsi" w:hAnsiTheme="majorHAnsi"/>
          <w:szCs w:val="20"/>
          <w:lang w:val="es-ES_tradnl"/>
        </w:rPr>
        <w:t>Análisis del caso</w:t>
      </w:r>
      <w:bookmarkEnd w:id="38"/>
    </w:p>
    <w:p w14:paraId="1959AEDC" w14:textId="4936FA1A" w:rsidR="004269DE" w:rsidRPr="004B114F" w:rsidRDefault="004269DE" w:rsidP="004B114F">
      <w:pPr>
        <w:rPr>
          <w:rFonts w:asciiTheme="majorHAnsi" w:hAnsiTheme="majorHAnsi"/>
          <w:sz w:val="20"/>
          <w:szCs w:val="20"/>
          <w:lang w:val="es-ES_tradnl"/>
        </w:rPr>
      </w:pPr>
    </w:p>
    <w:p w14:paraId="5D259A46" w14:textId="51EB4360" w:rsidR="00565695" w:rsidRPr="004B114F" w:rsidRDefault="00565695" w:rsidP="004B114F">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630"/>
        <w:jc w:val="both"/>
        <w:rPr>
          <w:rFonts w:asciiTheme="majorHAnsi" w:eastAsia="Cambria" w:hAnsiTheme="majorHAnsi" w:cs="Cambria"/>
          <w:sz w:val="20"/>
          <w:szCs w:val="20"/>
          <w:lang w:val="es-ES"/>
        </w:rPr>
      </w:pPr>
      <w:r w:rsidRPr="00DE778C">
        <w:rPr>
          <w:rFonts w:asciiTheme="majorHAnsi" w:eastAsia="Cambria" w:hAnsiTheme="majorHAnsi" w:cs="Cambria"/>
          <w:sz w:val="20"/>
          <w:szCs w:val="20"/>
          <w:lang w:val="es-ES"/>
        </w:rPr>
        <w:t>En el presente caso</w:t>
      </w:r>
      <w:r w:rsidRPr="004B114F">
        <w:rPr>
          <w:rFonts w:asciiTheme="majorHAnsi" w:eastAsia="Cambria" w:hAnsiTheme="majorHAnsi" w:cs="Cambria"/>
          <w:sz w:val="20"/>
          <w:szCs w:val="20"/>
          <w:lang w:val="es-ES"/>
        </w:rPr>
        <w:t xml:space="preserve">, la CIDH observa que, tras </w:t>
      </w:r>
      <w:r w:rsidR="000671AE" w:rsidRPr="004B114F">
        <w:rPr>
          <w:rFonts w:asciiTheme="majorHAnsi" w:eastAsia="Cambria" w:hAnsiTheme="majorHAnsi" w:cs="Cambria"/>
          <w:sz w:val="20"/>
          <w:szCs w:val="20"/>
          <w:lang w:val="es-ES"/>
        </w:rPr>
        <w:t>la</w:t>
      </w:r>
      <w:r w:rsidRPr="004B114F">
        <w:rPr>
          <w:rFonts w:asciiTheme="majorHAnsi" w:eastAsia="Cambria" w:hAnsiTheme="majorHAnsi" w:cs="Cambria"/>
          <w:sz w:val="20"/>
          <w:szCs w:val="20"/>
          <w:lang w:val="es-ES"/>
        </w:rPr>
        <w:t xml:space="preserve"> detención inicial </w:t>
      </w:r>
      <w:r w:rsidR="000671AE" w:rsidRPr="004B114F">
        <w:rPr>
          <w:rFonts w:asciiTheme="majorHAnsi" w:eastAsia="Cambria" w:hAnsiTheme="majorHAnsi" w:cs="Cambria"/>
          <w:sz w:val="20"/>
          <w:szCs w:val="20"/>
          <w:lang w:val="es-ES"/>
        </w:rPr>
        <w:t xml:space="preserve">de la señora Maleno </w:t>
      </w:r>
      <w:r w:rsidRPr="004B114F">
        <w:rPr>
          <w:rFonts w:asciiTheme="majorHAnsi" w:eastAsia="Cambria" w:hAnsiTheme="majorHAnsi" w:cs="Cambria"/>
          <w:sz w:val="20"/>
          <w:szCs w:val="20"/>
          <w:lang w:val="es-ES"/>
        </w:rPr>
        <w:t xml:space="preserve">el 18 de octubre de 2001, </w:t>
      </w:r>
      <w:r w:rsidR="005D28F5" w:rsidRPr="004B114F">
        <w:rPr>
          <w:rFonts w:asciiTheme="majorHAnsi" w:eastAsia="Cambria" w:hAnsiTheme="majorHAnsi" w:cs="Cambria"/>
          <w:sz w:val="20"/>
          <w:szCs w:val="20"/>
          <w:lang w:val="es-ES"/>
        </w:rPr>
        <w:t>el 22 de octubre siguiente el Tribunal Cuarto le impuso una medida privativa de la libertad vinculada a la investigación penal por el delito de homicidio intencional abierta en su contra. La CIDH observa</w:t>
      </w:r>
      <w:r w:rsidR="000671AE" w:rsidRPr="004B114F">
        <w:rPr>
          <w:rFonts w:asciiTheme="majorHAnsi" w:eastAsia="Cambria" w:hAnsiTheme="majorHAnsi" w:cs="Cambria"/>
          <w:sz w:val="20"/>
          <w:szCs w:val="20"/>
          <w:lang w:val="es-ES"/>
        </w:rPr>
        <w:t>,</w:t>
      </w:r>
      <w:r w:rsidR="005D28F5" w:rsidRPr="004B114F">
        <w:rPr>
          <w:rFonts w:asciiTheme="majorHAnsi" w:eastAsia="Cambria" w:hAnsiTheme="majorHAnsi" w:cs="Cambria"/>
          <w:sz w:val="20"/>
          <w:szCs w:val="20"/>
          <w:lang w:val="es-ES"/>
        </w:rPr>
        <w:t xml:space="preserve"> en particular</w:t>
      </w:r>
      <w:r w:rsidR="000671AE" w:rsidRPr="004B114F">
        <w:rPr>
          <w:rFonts w:asciiTheme="majorHAnsi" w:eastAsia="Cambria" w:hAnsiTheme="majorHAnsi" w:cs="Cambria"/>
          <w:sz w:val="20"/>
          <w:szCs w:val="20"/>
          <w:lang w:val="es-ES"/>
        </w:rPr>
        <w:t xml:space="preserve">, </w:t>
      </w:r>
      <w:r w:rsidR="005D28F5" w:rsidRPr="004B114F">
        <w:rPr>
          <w:rFonts w:asciiTheme="majorHAnsi" w:eastAsia="Cambria" w:hAnsiTheme="majorHAnsi" w:cs="Cambria"/>
          <w:sz w:val="20"/>
          <w:szCs w:val="20"/>
          <w:lang w:val="es-ES"/>
        </w:rPr>
        <w:t xml:space="preserve">que esta medida fue impuesta a solicitud de la Fiscalía </w:t>
      </w:r>
      <w:r w:rsidR="004B114F" w:rsidRPr="004B114F">
        <w:rPr>
          <w:rFonts w:asciiTheme="majorHAnsi" w:eastAsia="Cambria" w:hAnsiTheme="majorHAnsi" w:cs="Cambria"/>
          <w:sz w:val="20"/>
          <w:szCs w:val="20"/>
          <w:lang w:val="es-ES"/>
        </w:rPr>
        <w:t>Décimo</w:t>
      </w:r>
      <w:r w:rsidR="000671AE" w:rsidRPr="004B114F">
        <w:rPr>
          <w:rFonts w:asciiTheme="majorHAnsi" w:eastAsia="Cambria" w:hAnsiTheme="majorHAnsi" w:cs="Cambria"/>
          <w:sz w:val="20"/>
          <w:szCs w:val="20"/>
          <w:lang w:val="es-ES"/>
        </w:rPr>
        <w:t xml:space="preserve"> Sexta</w:t>
      </w:r>
      <w:r w:rsidR="005D28F5" w:rsidRPr="004B114F">
        <w:rPr>
          <w:rFonts w:asciiTheme="majorHAnsi" w:eastAsia="Cambria" w:hAnsiTheme="majorHAnsi" w:cs="Cambria"/>
          <w:sz w:val="20"/>
          <w:szCs w:val="20"/>
          <w:lang w:val="es-ES"/>
        </w:rPr>
        <w:t xml:space="preserve"> motivada en que había “elementos de prueba suficientes que la responsabilizan del delito que se le imputa.” Igualmente fue otorgada por el Tribunal Cuarto basándose en la “precalificación jurídica”, “magnitud del daño causado” y “la pena que podría llegársele a imponer”. </w:t>
      </w:r>
      <w:r w:rsidR="007A380D" w:rsidRPr="004B114F">
        <w:rPr>
          <w:rFonts w:asciiTheme="majorHAnsi" w:hAnsiTheme="majorHAnsi"/>
          <w:sz w:val="20"/>
          <w:szCs w:val="20"/>
          <w:lang w:val="es-ES"/>
        </w:rPr>
        <w:t>Al respecto, l</w:t>
      </w:r>
      <w:r w:rsidR="007A380D" w:rsidRPr="00DE778C">
        <w:rPr>
          <w:rFonts w:asciiTheme="majorHAnsi" w:hAnsiTheme="majorHAnsi"/>
          <w:sz w:val="20"/>
          <w:szCs w:val="20"/>
          <w:lang w:val="es-ES"/>
        </w:rPr>
        <w:t xml:space="preserve">a CIDH </w:t>
      </w:r>
      <w:r w:rsidR="007A380D" w:rsidRPr="004B114F">
        <w:rPr>
          <w:rFonts w:asciiTheme="majorHAnsi" w:hAnsiTheme="majorHAnsi"/>
          <w:sz w:val="20"/>
          <w:szCs w:val="20"/>
          <w:lang w:val="es-ES"/>
        </w:rPr>
        <w:t xml:space="preserve">observa que tales decisiones no reflejan que se hayan </w:t>
      </w:r>
      <w:r w:rsidR="007A380D" w:rsidRPr="00DE778C">
        <w:rPr>
          <w:rFonts w:asciiTheme="majorHAnsi" w:hAnsiTheme="majorHAnsi"/>
          <w:sz w:val="20"/>
          <w:szCs w:val="20"/>
          <w:lang w:val="es-ES"/>
        </w:rPr>
        <w:t>toma</w:t>
      </w:r>
      <w:r w:rsidR="007A380D" w:rsidRPr="004B114F">
        <w:rPr>
          <w:rFonts w:asciiTheme="majorHAnsi" w:hAnsiTheme="majorHAnsi"/>
          <w:sz w:val="20"/>
          <w:szCs w:val="20"/>
          <w:lang w:val="es-ES"/>
        </w:rPr>
        <w:t>do</w:t>
      </w:r>
      <w:r w:rsidR="007A380D" w:rsidRPr="00DE778C">
        <w:rPr>
          <w:rFonts w:asciiTheme="majorHAnsi" w:hAnsiTheme="majorHAnsi"/>
          <w:sz w:val="20"/>
          <w:szCs w:val="20"/>
          <w:lang w:val="es-ES"/>
        </w:rPr>
        <w:t xml:space="preserve"> en cuenta</w:t>
      </w:r>
      <w:r w:rsidR="007A380D" w:rsidRPr="004B114F">
        <w:rPr>
          <w:rFonts w:asciiTheme="majorHAnsi" w:hAnsiTheme="majorHAnsi"/>
          <w:sz w:val="20"/>
          <w:szCs w:val="20"/>
          <w:lang w:val="es-ES"/>
        </w:rPr>
        <w:t xml:space="preserve"> </w:t>
      </w:r>
      <w:r w:rsidR="000671AE" w:rsidRPr="004B114F">
        <w:rPr>
          <w:rFonts w:asciiTheme="majorHAnsi" w:hAnsiTheme="majorHAnsi"/>
          <w:sz w:val="20"/>
          <w:szCs w:val="20"/>
          <w:lang w:val="es-ES"/>
        </w:rPr>
        <w:t>los fines</w:t>
      </w:r>
      <w:r w:rsidR="007A380D" w:rsidRPr="004B114F">
        <w:rPr>
          <w:rFonts w:asciiTheme="majorHAnsi" w:hAnsiTheme="majorHAnsi"/>
          <w:sz w:val="20"/>
          <w:szCs w:val="20"/>
          <w:lang w:val="es-ES_tradnl"/>
        </w:rPr>
        <w:t xml:space="preserve"> procesales para dictar la detención preventiva en su contra y que éstas no se hayan basado en la presunción de haber cometido un delito.</w:t>
      </w:r>
      <w:r w:rsidR="000671AE" w:rsidRPr="004B114F">
        <w:rPr>
          <w:rFonts w:asciiTheme="majorHAnsi" w:hAnsiTheme="majorHAnsi"/>
          <w:sz w:val="20"/>
          <w:szCs w:val="20"/>
          <w:lang w:val="es-ES_tradnl"/>
        </w:rPr>
        <w:t xml:space="preserve"> Por el contrario, de la información a su alcance se desprende que tanto la solicitud fiscal como la decisión judicial se basaron fundamentalmente en indicios de responsabilidad y/o en la gravedad de la pena que si bien son condición necesaria, no son suficientes para imponer una medida de prisión preventiva, como se señaló previamente. </w:t>
      </w:r>
      <w:r w:rsidR="00032B1D" w:rsidRPr="004B114F">
        <w:rPr>
          <w:rFonts w:asciiTheme="majorHAnsi" w:hAnsiTheme="majorHAnsi"/>
          <w:sz w:val="20"/>
          <w:szCs w:val="20"/>
          <w:lang w:val="es-ES_tradnl"/>
        </w:rPr>
        <w:t xml:space="preserve">De este modo, no puede darse por acreditado que la fiscalía y tribunal mencionados hayan actuado y decidido siguiendo los requisitos válidos para la procedencia de una prisión preventiva, ni que hayan motivado de manera clara considerado el caso concreto de la presunta víctima. </w:t>
      </w:r>
    </w:p>
    <w:p w14:paraId="584CB82A" w14:textId="77777777" w:rsidR="005D28F5" w:rsidRPr="004B114F" w:rsidRDefault="005D28F5" w:rsidP="00DE778C">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630"/>
        <w:jc w:val="both"/>
        <w:rPr>
          <w:rFonts w:asciiTheme="majorHAnsi" w:eastAsia="Cambria" w:hAnsiTheme="majorHAnsi" w:cs="Cambria"/>
          <w:sz w:val="20"/>
          <w:szCs w:val="20"/>
          <w:lang w:val="es-ES"/>
        </w:rPr>
      </w:pPr>
    </w:p>
    <w:p w14:paraId="7ED59388" w14:textId="29AA3A85" w:rsidR="005D28F5" w:rsidRPr="004B114F" w:rsidRDefault="00032B1D" w:rsidP="004B114F">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630"/>
        <w:jc w:val="both"/>
        <w:rPr>
          <w:rFonts w:asciiTheme="majorHAnsi" w:eastAsia="Cambria" w:hAnsiTheme="majorHAnsi" w:cs="Cambria"/>
          <w:sz w:val="20"/>
          <w:szCs w:val="20"/>
          <w:lang w:val="es-ES"/>
        </w:rPr>
      </w:pPr>
      <w:r w:rsidRPr="004B114F">
        <w:rPr>
          <w:rFonts w:asciiTheme="majorHAnsi" w:eastAsia="Cambria" w:hAnsiTheme="majorHAnsi" w:cs="Cambria"/>
          <w:sz w:val="20"/>
          <w:szCs w:val="20"/>
          <w:lang w:val="es-ES"/>
        </w:rPr>
        <w:t>A ello se suma que</w:t>
      </w:r>
      <w:r w:rsidR="005D28F5" w:rsidRPr="004B114F">
        <w:rPr>
          <w:rFonts w:asciiTheme="majorHAnsi" w:eastAsia="Cambria" w:hAnsiTheme="majorHAnsi" w:cs="Cambria"/>
          <w:sz w:val="20"/>
          <w:szCs w:val="20"/>
          <w:lang w:val="es-ES"/>
        </w:rPr>
        <w:t>,</w:t>
      </w:r>
      <w:r w:rsidRPr="004B114F">
        <w:rPr>
          <w:rFonts w:asciiTheme="majorHAnsi" w:eastAsia="Cambria" w:hAnsiTheme="majorHAnsi" w:cs="Cambria"/>
          <w:sz w:val="20"/>
          <w:szCs w:val="20"/>
          <w:lang w:val="es-ES"/>
        </w:rPr>
        <w:t xml:space="preserve"> según </w:t>
      </w:r>
      <w:r w:rsidR="005D28F5" w:rsidRPr="004B114F">
        <w:rPr>
          <w:rFonts w:asciiTheme="majorHAnsi" w:eastAsia="Cambria" w:hAnsiTheme="majorHAnsi" w:cs="Cambria"/>
          <w:sz w:val="20"/>
          <w:szCs w:val="20"/>
          <w:lang w:val="es-ES"/>
        </w:rPr>
        <w:t>observa</w:t>
      </w:r>
      <w:r w:rsidRPr="004B114F">
        <w:rPr>
          <w:rFonts w:asciiTheme="majorHAnsi" w:eastAsia="Cambria" w:hAnsiTheme="majorHAnsi" w:cs="Cambria"/>
          <w:sz w:val="20"/>
          <w:szCs w:val="20"/>
          <w:lang w:val="es-ES"/>
        </w:rPr>
        <w:t xml:space="preserve"> la CIDH, </w:t>
      </w:r>
      <w:r w:rsidR="000671AE" w:rsidRPr="004B114F">
        <w:rPr>
          <w:rFonts w:asciiTheme="majorHAnsi" w:eastAsia="Cambria" w:hAnsiTheme="majorHAnsi" w:cs="Cambria"/>
          <w:sz w:val="20"/>
          <w:szCs w:val="20"/>
          <w:lang w:val="es-ES"/>
        </w:rPr>
        <w:t>dicha medida fue dictada</w:t>
      </w:r>
      <w:r w:rsidR="005D28F5" w:rsidRPr="004B114F">
        <w:rPr>
          <w:rFonts w:asciiTheme="majorHAnsi" w:eastAsia="Cambria" w:hAnsiTheme="majorHAnsi" w:cs="Cambria"/>
          <w:sz w:val="20"/>
          <w:szCs w:val="20"/>
          <w:lang w:val="es-ES"/>
        </w:rPr>
        <w:t xml:space="preserve"> a pesar de que la defensa de la presunta víctima solicitó evitar la prisión preventiva y su reclusión en un centro ordinario de detención, en atención a la situación de salud mental de la señora Maleno. </w:t>
      </w:r>
      <w:r w:rsidR="000671AE" w:rsidRPr="004B114F">
        <w:rPr>
          <w:rFonts w:asciiTheme="majorHAnsi" w:eastAsia="Cambria" w:hAnsiTheme="majorHAnsi" w:cs="Cambria"/>
          <w:sz w:val="20"/>
          <w:szCs w:val="20"/>
          <w:lang w:val="es-ES"/>
        </w:rPr>
        <w:t xml:space="preserve">No consta en la información al alcance de la Comisión que los operadores jurídicos mencionados hayan considerado de algún modo tales circunstancias y hayan procurado la práctica de </w:t>
      </w:r>
      <w:r w:rsidR="005D28F5" w:rsidRPr="004B114F">
        <w:rPr>
          <w:rFonts w:asciiTheme="majorHAnsi" w:eastAsia="Cambria" w:hAnsiTheme="majorHAnsi" w:cs="Cambria"/>
          <w:sz w:val="20"/>
          <w:szCs w:val="20"/>
          <w:lang w:val="es-ES"/>
        </w:rPr>
        <w:t>un examen médico, requerido por la defensa, que brind</w:t>
      </w:r>
      <w:r w:rsidR="000671AE" w:rsidRPr="004B114F">
        <w:rPr>
          <w:rFonts w:asciiTheme="majorHAnsi" w:eastAsia="Cambria" w:hAnsiTheme="majorHAnsi" w:cs="Cambria"/>
          <w:sz w:val="20"/>
          <w:szCs w:val="20"/>
          <w:lang w:val="es-ES"/>
        </w:rPr>
        <w:t>e</w:t>
      </w:r>
      <w:r w:rsidR="005D28F5" w:rsidRPr="004B114F">
        <w:rPr>
          <w:rFonts w:asciiTheme="majorHAnsi" w:eastAsia="Cambria" w:hAnsiTheme="majorHAnsi" w:cs="Cambria"/>
          <w:sz w:val="20"/>
          <w:szCs w:val="20"/>
          <w:lang w:val="es-ES"/>
        </w:rPr>
        <w:t xml:space="preserve"> mayores luces sobre la situación de la presunta víctima, como se analiza más adelante (</w:t>
      </w:r>
      <w:r w:rsidR="005D28F5" w:rsidRPr="004B114F">
        <w:rPr>
          <w:rFonts w:asciiTheme="majorHAnsi" w:eastAsia="Cambria" w:hAnsiTheme="majorHAnsi" w:cs="Cambria"/>
          <w:i/>
          <w:sz w:val="20"/>
          <w:szCs w:val="20"/>
          <w:lang w:val="es-ES"/>
        </w:rPr>
        <w:t xml:space="preserve">infra </w:t>
      </w:r>
      <w:hyperlink w:anchor="_Análisis_del_presente" w:history="1">
        <w:r w:rsidR="005D28F5" w:rsidRPr="004B114F">
          <w:rPr>
            <w:rStyle w:val="Hyperlink"/>
            <w:rFonts w:asciiTheme="majorHAnsi" w:eastAsia="Cambria" w:hAnsiTheme="majorHAnsi" w:cs="Cambria"/>
            <w:sz w:val="20"/>
            <w:szCs w:val="20"/>
            <w:lang w:val="es-ES"/>
          </w:rPr>
          <w:t>IV.C.2</w:t>
        </w:r>
      </w:hyperlink>
      <w:r w:rsidR="005D28F5" w:rsidRPr="004B114F">
        <w:rPr>
          <w:rFonts w:asciiTheme="majorHAnsi" w:eastAsia="Cambria" w:hAnsiTheme="majorHAnsi" w:cs="Cambria"/>
          <w:sz w:val="20"/>
          <w:szCs w:val="20"/>
          <w:lang w:val="es-ES"/>
        </w:rPr>
        <w:t>).</w:t>
      </w:r>
    </w:p>
    <w:p w14:paraId="2B4CA902" w14:textId="77777777" w:rsidR="005D28F5" w:rsidRPr="004B114F" w:rsidRDefault="005D28F5" w:rsidP="00DE778C">
      <w:pPr>
        <w:pStyle w:val="ListParagraph"/>
        <w:rPr>
          <w:rFonts w:asciiTheme="majorHAnsi" w:hAnsiTheme="majorHAnsi"/>
          <w:sz w:val="20"/>
          <w:szCs w:val="20"/>
          <w:lang w:val="es-ES"/>
        </w:rPr>
      </w:pPr>
    </w:p>
    <w:p w14:paraId="286BAD46" w14:textId="2E588D70" w:rsidR="00337207" w:rsidRPr="004B114F" w:rsidRDefault="007A380D" w:rsidP="004B114F">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630"/>
        <w:jc w:val="both"/>
        <w:rPr>
          <w:rFonts w:asciiTheme="majorHAnsi" w:eastAsia="Cambria" w:hAnsiTheme="majorHAnsi" w:cs="Cambria"/>
          <w:sz w:val="20"/>
          <w:szCs w:val="20"/>
          <w:lang w:val="es-ES"/>
        </w:rPr>
      </w:pPr>
      <w:r w:rsidRPr="004B114F">
        <w:rPr>
          <w:rFonts w:asciiTheme="majorHAnsi" w:eastAsia="Cambria" w:hAnsiTheme="majorHAnsi" w:cs="Cambria"/>
          <w:sz w:val="20"/>
          <w:szCs w:val="20"/>
          <w:lang w:val="es-ES"/>
        </w:rPr>
        <w:t>En cuanto a las revisiones periódicas de la decisión, la</w:t>
      </w:r>
      <w:r w:rsidRPr="004B114F">
        <w:rPr>
          <w:rFonts w:asciiTheme="majorHAnsi" w:hAnsiTheme="majorHAnsi"/>
          <w:sz w:val="20"/>
          <w:szCs w:val="20"/>
          <w:lang w:val="es-ES_tradnl"/>
        </w:rPr>
        <w:t xml:space="preserve"> Comisión advierte que el Estado no presentó documentación a efectos de verificar si estas fueron realizadas. </w:t>
      </w:r>
      <w:r w:rsidRPr="004B114F">
        <w:rPr>
          <w:rFonts w:asciiTheme="majorHAnsi" w:eastAsia="Cambria" w:hAnsiTheme="majorHAnsi" w:cs="Cambria"/>
          <w:sz w:val="20"/>
          <w:szCs w:val="20"/>
          <w:lang w:val="es-ES"/>
        </w:rPr>
        <w:t>Consta que d</w:t>
      </w:r>
      <w:r w:rsidR="005D28F5" w:rsidRPr="004B114F">
        <w:rPr>
          <w:rFonts w:asciiTheme="majorHAnsi" w:eastAsia="Cambria" w:hAnsiTheme="majorHAnsi" w:cs="Cambria"/>
          <w:sz w:val="20"/>
          <w:szCs w:val="20"/>
          <w:lang w:val="es-ES"/>
        </w:rPr>
        <w:t xml:space="preserve">icho Tribunal tuvo ocasión de revisar la medida de prisión preventiva impuesta el </w:t>
      </w:r>
      <w:r w:rsidR="00442667" w:rsidRPr="004B114F">
        <w:rPr>
          <w:rFonts w:asciiTheme="majorHAnsi" w:eastAsia="Cambria" w:hAnsiTheme="majorHAnsi" w:cs="Cambria"/>
          <w:sz w:val="20"/>
          <w:szCs w:val="20"/>
          <w:lang w:val="es-ES"/>
        </w:rPr>
        <w:t>12</w:t>
      </w:r>
      <w:r w:rsidR="005D28F5" w:rsidRPr="004B114F">
        <w:rPr>
          <w:rFonts w:asciiTheme="majorHAnsi" w:eastAsia="Cambria" w:hAnsiTheme="majorHAnsi" w:cs="Cambria"/>
          <w:sz w:val="20"/>
          <w:szCs w:val="20"/>
          <w:lang w:val="es-ES"/>
        </w:rPr>
        <w:t xml:space="preserve"> de </w:t>
      </w:r>
      <w:r w:rsidR="00442667" w:rsidRPr="004B114F">
        <w:rPr>
          <w:rFonts w:asciiTheme="majorHAnsi" w:eastAsia="Cambria" w:hAnsiTheme="majorHAnsi" w:cs="Cambria"/>
          <w:sz w:val="20"/>
          <w:szCs w:val="20"/>
          <w:lang w:val="es-ES"/>
        </w:rPr>
        <w:t>marzo</w:t>
      </w:r>
      <w:r w:rsidR="005D28F5" w:rsidRPr="004B114F">
        <w:rPr>
          <w:rFonts w:asciiTheme="majorHAnsi" w:eastAsia="Cambria" w:hAnsiTheme="majorHAnsi" w:cs="Cambria"/>
          <w:sz w:val="20"/>
          <w:szCs w:val="20"/>
          <w:lang w:val="es-ES"/>
        </w:rPr>
        <w:t xml:space="preserve"> de </w:t>
      </w:r>
      <w:r w:rsidR="00442667" w:rsidRPr="004B114F">
        <w:rPr>
          <w:rFonts w:asciiTheme="majorHAnsi" w:eastAsia="Cambria" w:hAnsiTheme="majorHAnsi" w:cs="Cambria"/>
          <w:sz w:val="20"/>
          <w:szCs w:val="20"/>
          <w:lang w:val="es-ES"/>
        </w:rPr>
        <w:t>2002</w:t>
      </w:r>
      <w:r w:rsidR="005D28F5" w:rsidRPr="004B114F">
        <w:rPr>
          <w:rFonts w:asciiTheme="majorHAnsi" w:eastAsia="Cambria" w:hAnsiTheme="majorHAnsi" w:cs="Cambria"/>
          <w:sz w:val="20"/>
          <w:szCs w:val="20"/>
          <w:lang w:val="es-ES"/>
        </w:rPr>
        <w:t xml:space="preserve">, en el marco de </w:t>
      </w:r>
      <w:r w:rsidR="000671AE" w:rsidRPr="004B114F">
        <w:rPr>
          <w:rFonts w:asciiTheme="majorHAnsi" w:eastAsia="Cambria" w:hAnsiTheme="majorHAnsi" w:cs="Cambria"/>
          <w:sz w:val="20"/>
          <w:szCs w:val="20"/>
          <w:lang w:val="es-ES"/>
        </w:rPr>
        <w:t>una</w:t>
      </w:r>
      <w:r w:rsidR="005D28F5" w:rsidRPr="004B114F">
        <w:rPr>
          <w:rFonts w:asciiTheme="majorHAnsi" w:eastAsia="Cambria" w:hAnsiTheme="majorHAnsi" w:cs="Cambria"/>
          <w:sz w:val="20"/>
          <w:szCs w:val="20"/>
          <w:lang w:val="es-ES"/>
        </w:rPr>
        <w:t xml:space="preserve"> audiencia preliminar</w:t>
      </w:r>
      <w:r w:rsidR="000671AE" w:rsidRPr="004B114F">
        <w:rPr>
          <w:rFonts w:asciiTheme="majorHAnsi" w:eastAsia="Cambria" w:hAnsiTheme="majorHAnsi" w:cs="Cambria"/>
          <w:sz w:val="20"/>
          <w:szCs w:val="20"/>
          <w:lang w:val="es-ES"/>
        </w:rPr>
        <w:t xml:space="preserve">, </w:t>
      </w:r>
      <w:r w:rsidR="005D28F5" w:rsidRPr="004B114F">
        <w:rPr>
          <w:rFonts w:asciiTheme="majorHAnsi" w:eastAsia="Cambria" w:hAnsiTheme="majorHAnsi" w:cs="Cambria"/>
          <w:sz w:val="20"/>
          <w:szCs w:val="20"/>
          <w:lang w:val="es-ES"/>
        </w:rPr>
        <w:t xml:space="preserve">fecha </w:t>
      </w:r>
      <w:r w:rsidR="000671AE" w:rsidRPr="004B114F">
        <w:rPr>
          <w:rFonts w:asciiTheme="majorHAnsi" w:eastAsia="Cambria" w:hAnsiTheme="majorHAnsi" w:cs="Cambria"/>
          <w:sz w:val="20"/>
          <w:szCs w:val="20"/>
          <w:lang w:val="es-ES"/>
        </w:rPr>
        <w:t xml:space="preserve">en la cual </w:t>
      </w:r>
      <w:r w:rsidR="005D28F5" w:rsidRPr="004B114F">
        <w:rPr>
          <w:rFonts w:asciiTheme="majorHAnsi" w:eastAsia="Cambria" w:hAnsiTheme="majorHAnsi" w:cs="Cambria"/>
          <w:sz w:val="20"/>
          <w:szCs w:val="20"/>
          <w:lang w:val="es-ES"/>
        </w:rPr>
        <w:t xml:space="preserve">la defensa </w:t>
      </w:r>
      <w:r w:rsidRPr="004B114F">
        <w:rPr>
          <w:rFonts w:asciiTheme="majorHAnsi" w:eastAsia="Cambria" w:hAnsiTheme="majorHAnsi" w:cs="Cambria"/>
          <w:sz w:val="20"/>
          <w:szCs w:val="20"/>
          <w:lang w:val="es-ES"/>
        </w:rPr>
        <w:t>requirió</w:t>
      </w:r>
      <w:r w:rsidR="005D28F5" w:rsidRPr="004B114F">
        <w:rPr>
          <w:rFonts w:asciiTheme="majorHAnsi" w:eastAsia="Cambria" w:hAnsiTheme="majorHAnsi" w:cs="Cambria"/>
          <w:sz w:val="20"/>
          <w:szCs w:val="20"/>
          <w:lang w:val="es-ES"/>
        </w:rPr>
        <w:t xml:space="preserve"> su revisión</w:t>
      </w:r>
      <w:r w:rsidRPr="004B114F">
        <w:rPr>
          <w:rFonts w:asciiTheme="majorHAnsi" w:eastAsia="Cambria" w:hAnsiTheme="majorHAnsi" w:cs="Cambria"/>
          <w:sz w:val="20"/>
          <w:szCs w:val="20"/>
          <w:lang w:val="es-ES"/>
        </w:rPr>
        <w:t xml:space="preserve">. </w:t>
      </w:r>
      <w:r w:rsidR="000671AE" w:rsidRPr="004B114F">
        <w:rPr>
          <w:rFonts w:asciiTheme="majorHAnsi" w:eastAsia="Cambria" w:hAnsiTheme="majorHAnsi" w:cs="Cambria"/>
          <w:sz w:val="20"/>
          <w:szCs w:val="20"/>
          <w:lang w:val="es-ES"/>
        </w:rPr>
        <w:t xml:space="preserve">La CIDH nota que </w:t>
      </w:r>
      <w:r w:rsidRPr="004B114F">
        <w:rPr>
          <w:rFonts w:asciiTheme="majorHAnsi" w:eastAsia="Cambria" w:hAnsiTheme="majorHAnsi" w:cs="Cambria"/>
          <w:sz w:val="20"/>
          <w:szCs w:val="20"/>
          <w:lang w:val="es-ES"/>
        </w:rPr>
        <w:t>e</w:t>
      </w:r>
      <w:r w:rsidR="00442667" w:rsidRPr="004B114F">
        <w:rPr>
          <w:rFonts w:asciiTheme="majorHAnsi" w:eastAsia="Cambria" w:hAnsiTheme="majorHAnsi" w:cs="Cambria"/>
          <w:sz w:val="20"/>
          <w:szCs w:val="20"/>
          <w:lang w:val="es-ES"/>
        </w:rPr>
        <w:t xml:space="preserve">l Tribunal decidió mantener la restricción de la libertad personal de la presunta víctima únicamente basándose en que “las </w:t>
      </w:r>
      <w:r w:rsidR="00442667" w:rsidRPr="004B114F">
        <w:rPr>
          <w:rFonts w:asciiTheme="majorHAnsi" w:eastAsia="Cambria" w:hAnsiTheme="majorHAnsi" w:cs="Cambria"/>
          <w:sz w:val="20"/>
          <w:szCs w:val="20"/>
          <w:lang w:val="es-ES"/>
        </w:rPr>
        <w:lastRenderedPageBreak/>
        <w:t>circunstancias en que se fundamentó” se mantenían a esa fecha</w:t>
      </w:r>
      <w:r w:rsidR="00032B1D" w:rsidRPr="004B114F">
        <w:rPr>
          <w:rFonts w:asciiTheme="majorHAnsi" w:eastAsia="Cambria" w:hAnsiTheme="majorHAnsi" w:cs="Cambria"/>
          <w:sz w:val="20"/>
          <w:szCs w:val="20"/>
          <w:lang w:val="es-ES"/>
        </w:rPr>
        <w:t xml:space="preserve">, </w:t>
      </w:r>
      <w:r w:rsidR="00DF3DF3">
        <w:rPr>
          <w:rFonts w:asciiTheme="majorHAnsi" w:eastAsia="Cambria" w:hAnsiTheme="majorHAnsi" w:cs="Cambria"/>
          <w:sz w:val="20"/>
          <w:szCs w:val="20"/>
          <w:lang w:val="es-ES"/>
        </w:rPr>
        <w:t>motivación</w:t>
      </w:r>
      <w:r w:rsidR="00032B1D" w:rsidRPr="004B114F">
        <w:rPr>
          <w:rFonts w:asciiTheme="majorHAnsi" w:eastAsia="Cambria" w:hAnsiTheme="majorHAnsi" w:cs="Cambria"/>
          <w:sz w:val="20"/>
          <w:szCs w:val="20"/>
          <w:lang w:val="es-ES"/>
        </w:rPr>
        <w:t xml:space="preserve"> que como ya se indicó resultaba contraria a los estándares interamericanos sobre la materia</w:t>
      </w:r>
      <w:r w:rsidR="00442667" w:rsidRPr="004B114F">
        <w:rPr>
          <w:rFonts w:asciiTheme="majorHAnsi" w:eastAsia="Cambria" w:hAnsiTheme="majorHAnsi" w:cs="Cambria"/>
          <w:sz w:val="20"/>
          <w:szCs w:val="20"/>
          <w:lang w:val="es-ES"/>
        </w:rPr>
        <w:t xml:space="preserve">. </w:t>
      </w:r>
      <w:r w:rsidRPr="004B114F">
        <w:rPr>
          <w:rFonts w:asciiTheme="majorHAnsi" w:eastAsia="Cambria" w:hAnsiTheme="majorHAnsi" w:cs="Cambria"/>
          <w:sz w:val="20"/>
          <w:szCs w:val="20"/>
          <w:lang w:val="es-ES"/>
        </w:rPr>
        <w:t>L</w:t>
      </w:r>
      <w:r w:rsidR="00442667" w:rsidRPr="004B114F">
        <w:rPr>
          <w:rFonts w:asciiTheme="majorHAnsi" w:eastAsia="Cambria" w:hAnsiTheme="majorHAnsi" w:cs="Cambria"/>
          <w:sz w:val="20"/>
          <w:szCs w:val="20"/>
          <w:lang w:val="es-ES"/>
        </w:rPr>
        <w:t xml:space="preserve">a CIDH observa </w:t>
      </w:r>
      <w:r w:rsidR="00032B1D" w:rsidRPr="004B114F">
        <w:rPr>
          <w:rFonts w:asciiTheme="majorHAnsi" w:eastAsia="Cambria" w:hAnsiTheme="majorHAnsi" w:cs="Cambria"/>
          <w:sz w:val="20"/>
          <w:szCs w:val="20"/>
          <w:lang w:val="es-ES"/>
        </w:rPr>
        <w:t xml:space="preserve">también </w:t>
      </w:r>
      <w:r w:rsidR="00442667" w:rsidRPr="004B114F">
        <w:rPr>
          <w:rFonts w:asciiTheme="majorHAnsi" w:eastAsia="Cambria" w:hAnsiTheme="majorHAnsi" w:cs="Cambria"/>
          <w:sz w:val="20"/>
          <w:szCs w:val="20"/>
          <w:lang w:val="es-ES"/>
        </w:rPr>
        <w:t xml:space="preserve">que esta decisión se dio </w:t>
      </w:r>
      <w:r w:rsidR="00032B1D" w:rsidRPr="004B114F">
        <w:rPr>
          <w:rFonts w:asciiTheme="majorHAnsi" w:eastAsia="Cambria" w:hAnsiTheme="majorHAnsi" w:cs="Cambria"/>
          <w:sz w:val="20"/>
          <w:szCs w:val="20"/>
          <w:lang w:val="es-ES"/>
        </w:rPr>
        <w:t xml:space="preserve">nuevamente </w:t>
      </w:r>
      <w:r w:rsidR="00442667" w:rsidRPr="004B114F">
        <w:rPr>
          <w:rFonts w:asciiTheme="majorHAnsi" w:eastAsia="Cambria" w:hAnsiTheme="majorHAnsi" w:cs="Cambria"/>
          <w:sz w:val="20"/>
          <w:szCs w:val="20"/>
          <w:lang w:val="es-ES"/>
        </w:rPr>
        <w:t xml:space="preserve">sin una evaluación específica de la situación jurídica y personal, especialmente de salud mental, de la presunta víctima. Esto a pesar de que, a su situación de afectación psicológica inicial, para entonces se sumarían las secuelas de haber sido víctima de violación sexual durante su detención en el Internado </w:t>
      </w:r>
      <w:r w:rsidR="00170FA4" w:rsidRPr="004B114F">
        <w:rPr>
          <w:rFonts w:asciiTheme="majorHAnsi" w:eastAsia="Cambria" w:hAnsiTheme="majorHAnsi" w:cs="Cambria"/>
          <w:sz w:val="20"/>
          <w:szCs w:val="20"/>
          <w:lang w:val="es-ES"/>
        </w:rPr>
        <w:t>Anzoátegui</w:t>
      </w:r>
      <w:r w:rsidR="00442667" w:rsidRPr="004B114F">
        <w:rPr>
          <w:rFonts w:asciiTheme="majorHAnsi" w:eastAsia="Cambria" w:hAnsiTheme="majorHAnsi" w:cs="Cambria"/>
          <w:sz w:val="20"/>
          <w:szCs w:val="20"/>
          <w:lang w:val="es-ES"/>
        </w:rPr>
        <w:t xml:space="preserve"> y de encontrarse en una situación de riesgo en el Retén Policial, según se informó en tal oportunidad por su defensa.</w:t>
      </w:r>
      <w:r w:rsidR="00337207" w:rsidRPr="004B114F">
        <w:rPr>
          <w:rFonts w:asciiTheme="majorHAnsi" w:eastAsia="Cambria" w:hAnsiTheme="majorHAnsi" w:cs="Cambria"/>
          <w:sz w:val="20"/>
          <w:szCs w:val="20"/>
          <w:lang w:val="es-ES"/>
        </w:rPr>
        <w:t xml:space="preserve"> </w:t>
      </w:r>
    </w:p>
    <w:p w14:paraId="6EB03866" w14:textId="77777777" w:rsidR="00337207" w:rsidRPr="004B114F" w:rsidRDefault="00337207" w:rsidP="00DE778C">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630"/>
        <w:jc w:val="both"/>
        <w:rPr>
          <w:rFonts w:asciiTheme="majorHAnsi" w:eastAsia="Cambria" w:hAnsiTheme="majorHAnsi" w:cs="Cambria"/>
          <w:sz w:val="20"/>
          <w:szCs w:val="20"/>
          <w:lang w:val="es-ES"/>
        </w:rPr>
      </w:pPr>
    </w:p>
    <w:p w14:paraId="33DCBF7A" w14:textId="20241A6D" w:rsidR="00C32E94" w:rsidRPr="004B114F" w:rsidRDefault="00032B1D" w:rsidP="004B114F">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630"/>
        <w:jc w:val="both"/>
        <w:rPr>
          <w:rFonts w:asciiTheme="majorHAnsi" w:eastAsia="Cambria" w:hAnsiTheme="majorHAnsi" w:cs="Cambria"/>
          <w:sz w:val="20"/>
          <w:szCs w:val="20"/>
          <w:lang w:val="es-ES"/>
        </w:rPr>
      </w:pPr>
      <w:r w:rsidRPr="004B114F">
        <w:rPr>
          <w:rFonts w:asciiTheme="majorHAnsi" w:eastAsia="Cambria" w:hAnsiTheme="majorHAnsi" w:cs="Cambria"/>
          <w:sz w:val="20"/>
          <w:szCs w:val="20"/>
          <w:lang w:val="es-ES"/>
        </w:rPr>
        <w:t>Asimismo, l</w:t>
      </w:r>
      <w:r w:rsidR="00337207" w:rsidRPr="004B114F">
        <w:rPr>
          <w:rFonts w:asciiTheme="majorHAnsi" w:eastAsia="Cambria" w:hAnsiTheme="majorHAnsi" w:cs="Cambria"/>
          <w:sz w:val="20"/>
          <w:szCs w:val="20"/>
          <w:lang w:val="es-ES"/>
        </w:rPr>
        <w:t xml:space="preserve">a CIDH </w:t>
      </w:r>
      <w:r w:rsidRPr="004B114F">
        <w:rPr>
          <w:rFonts w:asciiTheme="majorHAnsi" w:eastAsia="Cambria" w:hAnsiTheme="majorHAnsi" w:cs="Cambria"/>
          <w:sz w:val="20"/>
          <w:szCs w:val="20"/>
          <w:lang w:val="es-ES"/>
        </w:rPr>
        <w:t>nota</w:t>
      </w:r>
      <w:r w:rsidR="00337207" w:rsidRPr="004B114F">
        <w:rPr>
          <w:rFonts w:asciiTheme="majorHAnsi" w:eastAsia="Cambria" w:hAnsiTheme="majorHAnsi" w:cs="Cambria"/>
          <w:sz w:val="20"/>
          <w:szCs w:val="20"/>
          <w:lang w:val="es-ES"/>
        </w:rPr>
        <w:t xml:space="preserve"> que las instancias judiciales tuvieron ocasión de corregir tal situación en el marco de la acción de amparo interpuesta por la peticionaria a favor de la presunta víctima, proceso en el cual se alegó la vulneración de sus derechos a la presunción de inocencia y libertad personal. A pesar de ello, según constata la CIDH, la Corte de Apelaciones -instancia que se pronunció sobre el fondo del asunto en octubre de 2002- consideró que no existía evidencia de la violación de tales derechos. Tal sentencia tampoco fue revisada a la luz de las </w:t>
      </w:r>
      <w:r w:rsidR="00AA7F3D" w:rsidRPr="004B114F">
        <w:rPr>
          <w:rFonts w:asciiTheme="majorHAnsi" w:eastAsia="Cambria" w:hAnsiTheme="majorHAnsi" w:cs="Cambria"/>
          <w:sz w:val="20"/>
          <w:szCs w:val="20"/>
          <w:lang w:val="es-ES"/>
        </w:rPr>
        <w:t xml:space="preserve">obligaciones convencionales del Estado venezolano en el marco de la apelación presentada en su contra. Al mismo tiempo la CIDH observa que, </w:t>
      </w:r>
      <w:r w:rsidR="00170FA4" w:rsidRPr="004B114F">
        <w:rPr>
          <w:rFonts w:asciiTheme="majorHAnsi" w:eastAsia="Cambria" w:hAnsiTheme="majorHAnsi" w:cs="Cambria"/>
          <w:sz w:val="20"/>
          <w:szCs w:val="20"/>
          <w:lang w:val="es-ES"/>
        </w:rPr>
        <w:t>en virtud de</w:t>
      </w:r>
      <w:r w:rsidR="00D61081" w:rsidRPr="004B114F">
        <w:rPr>
          <w:rFonts w:asciiTheme="majorHAnsi" w:eastAsia="Cambria" w:hAnsiTheme="majorHAnsi" w:cs="Cambria"/>
          <w:sz w:val="20"/>
          <w:szCs w:val="20"/>
          <w:lang w:val="es-ES"/>
        </w:rPr>
        <w:t xml:space="preserve"> las decisiones antes señaladas</w:t>
      </w:r>
      <w:r w:rsidRPr="004B114F">
        <w:rPr>
          <w:rFonts w:asciiTheme="majorHAnsi" w:eastAsia="Cambria" w:hAnsiTheme="majorHAnsi" w:cs="Cambria"/>
          <w:sz w:val="20"/>
          <w:szCs w:val="20"/>
          <w:lang w:val="es-ES"/>
        </w:rPr>
        <w:t xml:space="preserve"> y a pesar de las acciones interpuestas para cuestionarlas</w:t>
      </w:r>
      <w:r w:rsidR="00C32E94" w:rsidRPr="004B114F">
        <w:rPr>
          <w:rFonts w:asciiTheme="majorHAnsi" w:eastAsia="Cambria" w:hAnsiTheme="majorHAnsi" w:cs="Cambria"/>
          <w:sz w:val="20"/>
          <w:szCs w:val="20"/>
          <w:lang w:val="es-ES"/>
        </w:rPr>
        <w:t xml:space="preserve">, </w:t>
      </w:r>
      <w:r w:rsidR="00D61081" w:rsidRPr="004B114F">
        <w:rPr>
          <w:rFonts w:asciiTheme="majorHAnsi" w:eastAsia="Cambria" w:hAnsiTheme="majorHAnsi" w:cs="Cambria"/>
          <w:sz w:val="20"/>
          <w:szCs w:val="20"/>
          <w:lang w:val="es-ES"/>
        </w:rPr>
        <w:t>se restringió</w:t>
      </w:r>
      <w:r w:rsidR="00C32E94" w:rsidRPr="004B114F">
        <w:rPr>
          <w:rFonts w:asciiTheme="majorHAnsi" w:eastAsia="Cambria" w:hAnsiTheme="majorHAnsi" w:cs="Cambria"/>
          <w:sz w:val="20"/>
          <w:szCs w:val="20"/>
          <w:lang w:val="es-ES"/>
        </w:rPr>
        <w:t xml:space="preserve"> la libertad personal </w:t>
      </w:r>
      <w:r w:rsidR="00D61081" w:rsidRPr="004B114F">
        <w:rPr>
          <w:rFonts w:asciiTheme="majorHAnsi" w:eastAsia="Cambria" w:hAnsiTheme="majorHAnsi" w:cs="Cambria"/>
          <w:sz w:val="20"/>
          <w:szCs w:val="20"/>
          <w:lang w:val="es-ES"/>
        </w:rPr>
        <w:t xml:space="preserve">de la señora Maleno </w:t>
      </w:r>
      <w:r w:rsidR="00EB7A42">
        <w:rPr>
          <w:rFonts w:asciiTheme="majorHAnsi" w:eastAsia="Cambria" w:hAnsiTheme="majorHAnsi" w:cs="Cambria"/>
          <w:sz w:val="20"/>
          <w:szCs w:val="20"/>
          <w:lang w:val="es-ES"/>
        </w:rPr>
        <w:t>sobre la</w:t>
      </w:r>
      <w:r w:rsidR="00D61081" w:rsidRPr="004B114F">
        <w:rPr>
          <w:rFonts w:asciiTheme="majorHAnsi" w:eastAsia="Cambria" w:hAnsiTheme="majorHAnsi" w:cs="Cambria"/>
          <w:sz w:val="20"/>
          <w:szCs w:val="20"/>
          <w:lang w:val="es-ES"/>
        </w:rPr>
        <w:t xml:space="preserve"> base </w:t>
      </w:r>
      <w:r w:rsidR="00EB7A42">
        <w:rPr>
          <w:rFonts w:asciiTheme="majorHAnsi" w:eastAsia="Cambria" w:hAnsiTheme="majorHAnsi" w:cs="Cambria"/>
          <w:sz w:val="20"/>
          <w:szCs w:val="20"/>
          <w:lang w:val="es-ES"/>
        </w:rPr>
        <w:t>de</w:t>
      </w:r>
      <w:r w:rsidR="00D61081" w:rsidRPr="004B114F">
        <w:rPr>
          <w:rFonts w:asciiTheme="majorHAnsi" w:eastAsia="Cambria" w:hAnsiTheme="majorHAnsi" w:cs="Cambria"/>
          <w:sz w:val="20"/>
          <w:szCs w:val="20"/>
          <w:lang w:val="es-ES"/>
        </w:rPr>
        <w:t xml:space="preserve"> una prisión preventiva que </w:t>
      </w:r>
      <w:r w:rsidR="00C32E94" w:rsidRPr="004B114F">
        <w:rPr>
          <w:rFonts w:asciiTheme="majorHAnsi" w:eastAsia="Cambria" w:hAnsiTheme="majorHAnsi" w:cs="Cambria"/>
          <w:sz w:val="20"/>
          <w:szCs w:val="20"/>
          <w:lang w:val="es-ES"/>
        </w:rPr>
        <w:t>se mantuvo</w:t>
      </w:r>
      <w:r w:rsidR="007A380D" w:rsidRPr="004B114F">
        <w:rPr>
          <w:rFonts w:asciiTheme="majorHAnsi" w:eastAsia="Cambria" w:hAnsiTheme="majorHAnsi" w:cs="Cambria"/>
          <w:sz w:val="20"/>
          <w:szCs w:val="20"/>
          <w:lang w:val="es-ES"/>
        </w:rPr>
        <w:t xml:space="preserve"> </w:t>
      </w:r>
      <w:r w:rsidR="00D61081" w:rsidRPr="004B114F">
        <w:rPr>
          <w:rFonts w:asciiTheme="majorHAnsi" w:eastAsia="Cambria" w:hAnsiTheme="majorHAnsi" w:cs="Cambria"/>
          <w:sz w:val="20"/>
          <w:szCs w:val="20"/>
          <w:lang w:val="es-ES"/>
        </w:rPr>
        <w:t xml:space="preserve">al menos </w:t>
      </w:r>
      <w:r w:rsidR="007A380D" w:rsidRPr="004B114F">
        <w:rPr>
          <w:rFonts w:asciiTheme="majorHAnsi" w:eastAsia="Cambria" w:hAnsiTheme="majorHAnsi" w:cs="Cambria"/>
          <w:sz w:val="20"/>
          <w:szCs w:val="20"/>
          <w:lang w:val="es-ES"/>
        </w:rPr>
        <w:t xml:space="preserve">entre octubre de 2001 y noviembre de 2003, es decir, durante más de dos años.  </w:t>
      </w:r>
    </w:p>
    <w:p w14:paraId="0075ECD8" w14:textId="77777777" w:rsidR="007A380D" w:rsidRPr="004B114F" w:rsidRDefault="007A380D" w:rsidP="00DE778C">
      <w:pPr>
        <w:pStyle w:val="ListParagraph"/>
        <w:rPr>
          <w:rFonts w:asciiTheme="majorHAnsi" w:hAnsiTheme="majorHAnsi"/>
          <w:sz w:val="20"/>
          <w:szCs w:val="20"/>
          <w:lang w:val="es-ES"/>
        </w:rPr>
      </w:pPr>
    </w:p>
    <w:p w14:paraId="1E74C352" w14:textId="5151BAB9" w:rsidR="007A380D" w:rsidRPr="00DE778C" w:rsidRDefault="007A380D" w:rsidP="00DE778C">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630"/>
        <w:jc w:val="both"/>
        <w:rPr>
          <w:rFonts w:asciiTheme="majorHAnsi" w:eastAsia="Cambria" w:hAnsiTheme="majorHAnsi" w:cs="Cambria"/>
          <w:sz w:val="20"/>
          <w:szCs w:val="20"/>
          <w:lang w:val="es-ES"/>
        </w:rPr>
      </w:pPr>
      <w:bookmarkStart w:id="39" w:name="_Hlk110328167"/>
      <w:r w:rsidRPr="004B114F">
        <w:rPr>
          <w:rFonts w:asciiTheme="majorHAnsi" w:eastAsia="Cambria" w:hAnsiTheme="majorHAnsi" w:cs="Cambria"/>
          <w:sz w:val="20"/>
          <w:szCs w:val="20"/>
          <w:lang w:val="es-ES"/>
        </w:rPr>
        <w:t>En vista de lo anterior, la Comisión concluye que la detención preventiva de la señora Maleno fue arbitraria, se extendió durante un periodo irrazonable y tuvo fines no procesales sino punitivos. En consecuencia, el Estado de Venezuela es responsable por la violación de los artículos 7.3, 7.5 y 8.2 de la Convención Americana, en relación con el artículo 1.1 del mismo instrumento, en perjuicio de la presunta víctima.</w:t>
      </w:r>
    </w:p>
    <w:bookmarkEnd w:id="39"/>
    <w:p w14:paraId="7F2A5371" w14:textId="77777777" w:rsidR="009562BA" w:rsidRPr="004B114F" w:rsidRDefault="009562BA" w:rsidP="004B114F">
      <w:pPr>
        <w:rPr>
          <w:rFonts w:asciiTheme="majorHAnsi" w:hAnsiTheme="majorHAnsi"/>
          <w:sz w:val="20"/>
          <w:szCs w:val="20"/>
          <w:lang w:val="es-ES_tradnl"/>
        </w:rPr>
      </w:pPr>
    </w:p>
    <w:p w14:paraId="3632B7CB" w14:textId="24A69A53" w:rsidR="004A3DF1" w:rsidRPr="004B114F" w:rsidRDefault="004A3DF1" w:rsidP="004B114F">
      <w:pPr>
        <w:pStyle w:val="Heading2"/>
        <w:jc w:val="both"/>
        <w:rPr>
          <w:rFonts w:asciiTheme="majorHAnsi" w:hAnsiTheme="majorHAnsi"/>
          <w:szCs w:val="20"/>
          <w:lang w:val="es-ES_tradnl"/>
        </w:rPr>
      </w:pPr>
      <w:bookmarkStart w:id="40" w:name="_Toc482341471"/>
      <w:bookmarkStart w:id="41" w:name="_Toc506095182"/>
      <w:bookmarkStart w:id="42" w:name="_Toc142398961"/>
      <w:r w:rsidRPr="004B114F">
        <w:rPr>
          <w:rFonts w:asciiTheme="majorHAnsi" w:hAnsiTheme="majorHAnsi"/>
          <w:szCs w:val="20"/>
          <w:lang w:val="es-ES_tradnl"/>
        </w:rPr>
        <w:t>Derecho a las garantías judiciales (artículos 8.1 y 8.2</w:t>
      </w:r>
      <w:r w:rsidRPr="004B114F">
        <w:rPr>
          <w:rStyle w:val="FootnoteReference"/>
          <w:rFonts w:asciiTheme="majorHAnsi" w:hAnsiTheme="majorHAnsi"/>
          <w:szCs w:val="20"/>
          <w:lang w:val="es-ES_tradnl"/>
        </w:rPr>
        <w:footnoteReference w:id="99"/>
      </w:r>
      <w:r w:rsidRPr="004B114F">
        <w:rPr>
          <w:rFonts w:asciiTheme="majorHAnsi" w:hAnsiTheme="majorHAnsi"/>
          <w:szCs w:val="20"/>
          <w:lang w:val="es-ES_tradnl"/>
        </w:rPr>
        <w:t xml:space="preserve">) en relación con el artículo 1.1 de la Convención Americana en el marco del proceso penal seguido contra la presunta </w:t>
      </w:r>
      <w:bookmarkEnd w:id="40"/>
      <w:bookmarkEnd w:id="41"/>
      <w:r w:rsidRPr="004B114F">
        <w:rPr>
          <w:rFonts w:asciiTheme="majorHAnsi" w:hAnsiTheme="majorHAnsi"/>
          <w:szCs w:val="20"/>
          <w:lang w:val="es-ES_tradnl"/>
        </w:rPr>
        <w:t>víctima</w:t>
      </w:r>
      <w:bookmarkEnd w:id="42"/>
      <w:r w:rsidRPr="004B114F">
        <w:rPr>
          <w:rFonts w:asciiTheme="majorHAnsi" w:hAnsiTheme="majorHAnsi"/>
          <w:szCs w:val="20"/>
          <w:lang w:val="es-ES_tradnl"/>
        </w:rPr>
        <w:t xml:space="preserve"> </w:t>
      </w:r>
    </w:p>
    <w:p w14:paraId="52C1A4A3" w14:textId="77777777" w:rsidR="004A3DF1" w:rsidRPr="004B114F" w:rsidRDefault="004A3DF1" w:rsidP="004B114F">
      <w:pPr>
        <w:pStyle w:val="ListParagraph"/>
        <w:ind w:left="1440"/>
        <w:jc w:val="both"/>
        <w:rPr>
          <w:rFonts w:asciiTheme="majorHAnsi" w:hAnsiTheme="majorHAnsi"/>
          <w:b/>
          <w:color w:val="auto"/>
          <w:sz w:val="20"/>
          <w:szCs w:val="20"/>
          <w:lang w:val="es-ES_tradnl"/>
        </w:rPr>
      </w:pPr>
    </w:p>
    <w:p w14:paraId="69D5DC66" w14:textId="77777777" w:rsidR="004A3DF1" w:rsidRPr="004B114F" w:rsidRDefault="004A3DF1" w:rsidP="004B114F">
      <w:pPr>
        <w:pStyle w:val="Heading3"/>
        <w:numPr>
          <w:ilvl w:val="0"/>
          <w:numId w:val="59"/>
        </w:numPr>
        <w:jc w:val="both"/>
        <w:rPr>
          <w:rFonts w:asciiTheme="majorHAnsi" w:hAnsiTheme="majorHAnsi"/>
          <w:szCs w:val="20"/>
          <w:lang w:val="es-ES_tradnl"/>
        </w:rPr>
      </w:pPr>
      <w:bookmarkStart w:id="43" w:name="_Toc142398962"/>
      <w:r w:rsidRPr="004B114F">
        <w:rPr>
          <w:rFonts w:asciiTheme="majorHAnsi" w:hAnsiTheme="majorHAnsi"/>
          <w:szCs w:val="20"/>
          <w:lang w:val="es-ES_tradnl"/>
        </w:rPr>
        <w:t>Consideraciones generales sobre las garantías judiciales en el marco de un proceso penal</w:t>
      </w:r>
      <w:bookmarkEnd w:id="43"/>
      <w:r w:rsidRPr="004B114F">
        <w:rPr>
          <w:rFonts w:asciiTheme="majorHAnsi" w:hAnsiTheme="majorHAnsi"/>
          <w:szCs w:val="20"/>
          <w:lang w:val="es-ES_tradnl"/>
        </w:rPr>
        <w:t xml:space="preserve"> </w:t>
      </w:r>
    </w:p>
    <w:p w14:paraId="4C75376E" w14:textId="77777777" w:rsidR="004A3DF1" w:rsidRPr="004B114F" w:rsidRDefault="004A3DF1" w:rsidP="004B114F">
      <w:pPr>
        <w:pStyle w:val="ListParagraph"/>
        <w:ind w:left="1440"/>
        <w:jc w:val="both"/>
        <w:rPr>
          <w:rFonts w:asciiTheme="majorHAnsi" w:hAnsiTheme="majorHAnsi"/>
          <w:b/>
          <w:color w:val="auto"/>
          <w:sz w:val="20"/>
          <w:szCs w:val="20"/>
          <w:lang w:val="es-ES_tradnl"/>
        </w:rPr>
      </w:pPr>
    </w:p>
    <w:p w14:paraId="47DC52E6" w14:textId="5C7BBE2E" w:rsidR="004A3DF1" w:rsidRPr="004B114F" w:rsidRDefault="00B16203" w:rsidP="004B114F">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720"/>
        <w:jc w:val="both"/>
        <w:rPr>
          <w:rFonts w:asciiTheme="majorHAnsi" w:eastAsia="Batang" w:hAnsiTheme="majorHAnsi"/>
          <w:sz w:val="20"/>
          <w:szCs w:val="20"/>
          <w:bdr w:val="none" w:sz="0" w:space="0" w:color="auto"/>
          <w:lang w:val="es-ES_tradnl"/>
        </w:rPr>
      </w:pPr>
      <w:r w:rsidRPr="004B114F">
        <w:rPr>
          <w:rFonts w:asciiTheme="majorHAnsi" w:hAnsiTheme="majorHAnsi"/>
          <w:sz w:val="20"/>
          <w:szCs w:val="20"/>
          <w:lang w:val="es-PE"/>
        </w:rPr>
        <w:t>L</w:t>
      </w:r>
      <w:r w:rsidR="004A3DF1" w:rsidRPr="004B114F">
        <w:rPr>
          <w:rFonts w:asciiTheme="majorHAnsi" w:hAnsiTheme="majorHAnsi"/>
          <w:sz w:val="20"/>
          <w:szCs w:val="20"/>
          <w:lang w:val="es-PE"/>
        </w:rPr>
        <w:t xml:space="preserve">a Convención Americana consagra en su artículo 8 el derecho de toda persona a ser juzgada con las debidas garantías judiciales, dentro de las que destacan, para el caso en concreto, la garantía de ser juzgado dentro de un plazo razonable, protegida por el artículo 8.1 de la CADH, y las garantías referidas al derecho a la defensa adecuada, reconocidas por </w:t>
      </w:r>
      <w:r w:rsidR="00AC2B34" w:rsidRPr="004B114F">
        <w:rPr>
          <w:rFonts w:asciiTheme="majorHAnsi" w:hAnsiTheme="majorHAnsi"/>
          <w:sz w:val="20"/>
          <w:szCs w:val="20"/>
          <w:lang w:val="es-PE"/>
        </w:rPr>
        <w:t>el</w:t>
      </w:r>
      <w:r w:rsidR="004A3DF1" w:rsidRPr="004B114F">
        <w:rPr>
          <w:rFonts w:asciiTheme="majorHAnsi" w:hAnsiTheme="majorHAnsi"/>
          <w:sz w:val="20"/>
          <w:szCs w:val="20"/>
          <w:lang w:val="es-PE"/>
        </w:rPr>
        <w:t xml:space="preserve"> artículo 8.2</w:t>
      </w:r>
      <w:r w:rsidR="00AC2B34" w:rsidRPr="004B114F">
        <w:rPr>
          <w:rFonts w:asciiTheme="majorHAnsi" w:hAnsiTheme="majorHAnsi"/>
          <w:sz w:val="20"/>
          <w:szCs w:val="20"/>
          <w:lang w:val="es-PE"/>
        </w:rPr>
        <w:t xml:space="preserve"> incisos </w:t>
      </w:r>
      <w:r w:rsidR="004A3DF1" w:rsidRPr="004B114F">
        <w:rPr>
          <w:rFonts w:asciiTheme="majorHAnsi" w:hAnsiTheme="majorHAnsi"/>
          <w:sz w:val="20"/>
          <w:szCs w:val="20"/>
          <w:lang w:val="es-PE"/>
        </w:rPr>
        <w:t>c</w:t>
      </w:r>
      <w:r w:rsidR="00AC2B34" w:rsidRPr="004B114F">
        <w:rPr>
          <w:rFonts w:asciiTheme="majorHAnsi" w:hAnsiTheme="majorHAnsi"/>
          <w:sz w:val="20"/>
          <w:szCs w:val="20"/>
          <w:lang w:val="es-PE"/>
        </w:rPr>
        <w:t>), d), e)</w:t>
      </w:r>
      <w:r w:rsidR="004A3DF1" w:rsidRPr="004B114F">
        <w:rPr>
          <w:rFonts w:asciiTheme="majorHAnsi" w:hAnsiTheme="majorHAnsi"/>
          <w:sz w:val="20"/>
          <w:szCs w:val="20"/>
          <w:lang w:val="es-PE"/>
        </w:rPr>
        <w:t xml:space="preserve"> y f</w:t>
      </w:r>
      <w:r w:rsidR="00AC2B34" w:rsidRPr="004B114F">
        <w:rPr>
          <w:rFonts w:asciiTheme="majorHAnsi" w:hAnsiTheme="majorHAnsi"/>
          <w:sz w:val="20"/>
          <w:szCs w:val="20"/>
          <w:lang w:val="es-PE"/>
        </w:rPr>
        <w:t>)</w:t>
      </w:r>
      <w:r w:rsidR="004A3DF1" w:rsidRPr="004B114F">
        <w:rPr>
          <w:rFonts w:asciiTheme="majorHAnsi" w:hAnsiTheme="majorHAnsi"/>
          <w:sz w:val="20"/>
          <w:szCs w:val="20"/>
          <w:lang w:val="es-PE"/>
        </w:rPr>
        <w:t xml:space="preserve"> del mismo tratado. </w:t>
      </w:r>
    </w:p>
    <w:p w14:paraId="6A651685" w14:textId="77777777" w:rsidR="004A3DF1" w:rsidRPr="004B114F" w:rsidRDefault="004A3DF1" w:rsidP="004B114F">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720"/>
        <w:jc w:val="both"/>
        <w:rPr>
          <w:rFonts w:asciiTheme="majorHAnsi" w:eastAsia="Batang" w:hAnsiTheme="majorHAnsi"/>
          <w:sz w:val="20"/>
          <w:szCs w:val="20"/>
          <w:bdr w:val="none" w:sz="0" w:space="0" w:color="auto"/>
          <w:lang w:val="es-ES_tradnl"/>
        </w:rPr>
      </w:pPr>
    </w:p>
    <w:p w14:paraId="431DEBC5" w14:textId="75258DED" w:rsidR="004A3DF1" w:rsidRPr="004B114F" w:rsidRDefault="004A3DF1" w:rsidP="004B114F">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720"/>
        <w:jc w:val="both"/>
        <w:rPr>
          <w:rFonts w:asciiTheme="majorHAnsi" w:eastAsia="Batang" w:hAnsiTheme="majorHAnsi"/>
          <w:sz w:val="20"/>
          <w:szCs w:val="20"/>
          <w:bdr w:val="none" w:sz="0" w:space="0" w:color="auto"/>
          <w:lang w:val="es-ES_tradnl"/>
        </w:rPr>
      </w:pPr>
      <w:r w:rsidRPr="004B114F">
        <w:rPr>
          <w:rFonts w:asciiTheme="majorHAnsi" w:hAnsiTheme="majorHAnsi"/>
          <w:sz w:val="20"/>
          <w:szCs w:val="20"/>
          <w:lang w:val="es-PE"/>
        </w:rPr>
        <w:t>Con respecto a la garantía del plazo razonable, la Corte IDH ha enfatizado de manera recurrente que el derecho a la justicia no se satisface con la mera posibilidad de tramitar procesos internos, sino que estos deben, además, brindar respuestas en un tiempo razonable</w:t>
      </w:r>
      <w:r w:rsidRPr="004B114F">
        <w:rPr>
          <w:rStyle w:val="FootnoteReference"/>
          <w:rFonts w:asciiTheme="majorHAnsi" w:hAnsiTheme="majorHAnsi"/>
          <w:color w:val="000000" w:themeColor="text1"/>
          <w:sz w:val="20"/>
          <w:szCs w:val="20"/>
          <w:lang w:val="es-ES_tradnl"/>
        </w:rPr>
        <w:footnoteReference w:id="100"/>
      </w:r>
      <w:r w:rsidRPr="004B114F">
        <w:rPr>
          <w:rFonts w:asciiTheme="majorHAnsi" w:hAnsiTheme="majorHAnsi"/>
          <w:sz w:val="20"/>
          <w:szCs w:val="20"/>
          <w:lang w:val="es-PE"/>
        </w:rPr>
        <w:t xml:space="preserve">. A efectos de determinar cuándo la duración de un proceso excede los márgenes de razonabilidad que prevé la Convención Americana, tanto esta Comisión como </w:t>
      </w:r>
      <w:r w:rsidRPr="004B114F">
        <w:rPr>
          <w:rFonts w:asciiTheme="majorHAnsi" w:hAnsiTheme="majorHAnsi"/>
          <w:bCs/>
          <w:sz w:val="20"/>
          <w:szCs w:val="20"/>
          <w:lang w:val="es-AR"/>
        </w:rPr>
        <w:t>la Corte Interamericana se han apoyado en el análisis de cuatro elementos que han sido ya mencionados en este informe, a saber: (a) la complejidad del asunto, (b) la actividad procesal de la parte interesada, (c) la conducta de las autoridades judiciales y (d) la afectación generada en la situación jurídica de la persona involucrada en el proceso.</w:t>
      </w:r>
    </w:p>
    <w:p w14:paraId="132EA040" w14:textId="77777777" w:rsidR="004A3DF1" w:rsidRPr="00DE778C" w:rsidRDefault="004A3DF1" w:rsidP="00DE778C">
      <w:pPr>
        <w:rPr>
          <w:rFonts w:asciiTheme="majorHAnsi" w:eastAsia="Batang" w:hAnsiTheme="majorHAnsi"/>
          <w:sz w:val="20"/>
          <w:szCs w:val="20"/>
          <w:bdr w:val="none" w:sz="0" w:space="0" w:color="auto"/>
          <w:lang w:val="es-ES_tradnl"/>
        </w:rPr>
      </w:pPr>
    </w:p>
    <w:p w14:paraId="7EC66075" w14:textId="2099C94B" w:rsidR="004A3DF1" w:rsidRPr="004B114F" w:rsidRDefault="00B16203" w:rsidP="004B114F">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720"/>
        <w:jc w:val="both"/>
        <w:rPr>
          <w:rFonts w:asciiTheme="majorHAnsi" w:hAnsiTheme="majorHAnsi"/>
          <w:bCs/>
          <w:sz w:val="20"/>
          <w:szCs w:val="20"/>
          <w:lang w:val="es-AR"/>
        </w:rPr>
      </w:pPr>
      <w:r w:rsidRPr="004B114F">
        <w:rPr>
          <w:rFonts w:asciiTheme="majorHAnsi" w:hAnsiTheme="majorHAnsi"/>
          <w:bCs/>
          <w:sz w:val="20"/>
          <w:szCs w:val="20"/>
          <w:lang w:val="es-AR"/>
        </w:rPr>
        <w:lastRenderedPageBreak/>
        <w:t>En cuanto al derecho a la defensa</w:t>
      </w:r>
      <w:r w:rsidR="004A3DF1" w:rsidRPr="004B114F">
        <w:rPr>
          <w:rFonts w:asciiTheme="majorHAnsi" w:hAnsiTheme="majorHAnsi"/>
          <w:bCs/>
          <w:sz w:val="20"/>
          <w:szCs w:val="20"/>
          <w:lang w:val="es-AR"/>
        </w:rPr>
        <w:t xml:space="preserve">, la Corte IDH ha afirmado </w:t>
      </w:r>
      <w:r w:rsidRPr="004B114F">
        <w:rPr>
          <w:rFonts w:asciiTheme="majorHAnsi" w:hAnsiTheme="majorHAnsi"/>
          <w:bCs/>
          <w:sz w:val="20"/>
          <w:szCs w:val="20"/>
          <w:lang w:val="es-AR"/>
        </w:rPr>
        <w:t>que ta</w:t>
      </w:r>
      <w:r w:rsidR="004A3DF1" w:rsidRPr="004B114F">
        <w:rPr>
          <w:rFonts w:asciiTheme="majorHAnsi" w:hAnsiTheme="majorHAnsi"/>
          <w:bCs/>
          <w:sz w:val="20"/>
          <w:szCs w:val="20"/>
          <w:lang w:val="es-AR"/>
        </w:rPr>
        <w:t xml:space="preserve">l derecho de toda persona inculpada de haber cometido un </w:t>
      </w:r>
      <w:r w:rsidR="00694A74" w:rsidRPr="004B114F">
        <w:rPr>
          <w:rFonts w:asciiTheme="majorHAnsi" w:hAnsiTheme="majorHAnsi"/>
          <w:bCs/>
          <w:sz w:val="20"/>
          <w:szCs w:val="20"/>
          <w:lang w:val="es-AR"/>
        </w:rPr>
        <w:t>delito</w:t>
      </w:r>
      <w:r w:rsidR="00694A74">
        <w:rPr>
          <w:rFonts w:asciiTheme="majorHAnsi" w:hAnsiTheme="majorHAnsi"/>
          <w:bCs/>
          <w:sz w:val="20"/>
          <w:szCs w:val="20"/>
          <w:lang w:val="es-AR"/>
        </w:rPr>
        <w:t>,</w:t>
      </w:r>
      <w:r w:rsidR="004A3DF1" w:rsidRPr="004B114F">
        <w:rPr>
          <w:rFonts w:asciiTheme="majorHAnsi" w:hAnsiTheme="majorHAnsi"/>
          <w:bCs/>
          <w:sz w:val="20"/>
          <w:szCs w:val="20"/>
          <w:lang w:val="es-AR"/>
        </w:rPr>
        <w:t xml:space="preserve"> exige que el Estado trate a la persona investigada como un verdadero sujeto procesal, en el más amplio sentido, y no como un mero objeto del proceso en curso</w:t>
      </w:r>
      <w:r w:rsidR="004A3DF1" w:rsidRPr="004B114F">
        <w:rPr>
          <w:rStyle w:val="FootnoteReference"/>
          <w:rFonts w:asciiTheme="majorHAnsi" w:hAnsiTheme="majorHAnsi"/>
          <w:bCs/>
          <w:sz w:val="20"/>
          <w:szCs w:val="20"/>
          <w:lang w:val="es-AR"/>
        </w:rPr>
        <w:footnoteReference w:id="101"/>
      </w:r>
      <w:r w:rsidR="004A3DF1" w:rsidRPr="004B114F">
        <w:rPr>
          <w:rFonts w:asciiTheme="majorHAnsi" w:hAnsiTheme="majorHAnsi"/>
          <w:bCs/>
          <w:sz w:val="20"/>
          <w:szCs w:val="20"/>
          <w:lang w:val="es-AR"/>
        </w:rPr>
        <w:t>. A pesar de que la CADH reconoce en su artículo 8.2 distintas garantías que son relevantes para una protección integral del derecho a la defensa, el presente caso amerita que dos de ellas sean analizadas por esta Comisión</w:t>
      </w:r>
      <w:r w:rsidR="00AC2B34" w:rsidRPr="004B114F">
        <w:rPr>
          <w:rFonts w:asciiTheme="majorHAnsi" w:hAnsiTheme="majorHAnsi"/>
          <w:bCs/>
          <w:sz w:val="20"/>
          <w:szCs w:val="20"/>
          <w:lang w:val="es-AR"/>
        </w:rPr>
        <w:t>. De un lado,  a la luz de los alegatos y prueba obrante sobre la falta de realización oportuna de un examen médico psiquiátrico a la presunta víctima, la CIDH considera relevante</w:t>
      </w:r>
      <w:r w:rsidR="004A3DF1" w:rsidRPr="004B114F">
        <w:rPr>
          <w:rFonts w:asciiTheme="majorHAnsi" w:hAnsiTheme="majorHAnsi"/>
          <w:bCs/>
          <w:sz w:val="20"/>
          <w:szCs w:val="20"/>
          <w:lang w:val="es-AR"/>
        </w:rPr>
        <w:t xml:space="preserve"> la garantía que exige que la persona acusada cuente con los medios adecuados para la preparación de su defensa (8.2.c), y la garantía que faculta a la defensa de dicha persona obtener la comparecencia de testigos o peritos que puedan arrojar luces sobre los hechos del caso (8.2.f).</w:t>
      </w:r>
      <w:r w:rsidR="00AC2B34" w:rsidRPr="004B114F">
        <w:rPr>
          <w:rFonts w:asciiTheme="majorHAnsi" w:hAnsiTheme="majorHAnsi"/>
          <w:bCs/>
          <w:sz w:val="20"/>
          <w:szCs w:val="20"/>
          <w:lang w:val="es-AR"/>
        </w:rPr>
        <w:t xml:space="preserve"> De otro lado, respecto a los alegatos sobre </w:t>
      </w:r>
      <w:r w:rsidR="00170FA4" w:rsidRPr="004B114F">
        <w:rPr>
          <w:rFonts w:asciiTheme="majorHAnsi" w:hAnsiTheme="majorHAnsi"/>
          <w:bCs/>
          <w:sz w:val="20"/>
          <w:szCs w:val="20"/>
          <w:lang w:val="es-AR"/>
        </w:rPr>
        <w:t>negligencia</w:t>
      </w:r>
      <w:r w:rsidR="00AC2B34" w:rsidRPr="004B114F">
        <w:rPr>
          <w:rFonts w:asciiTheme="majorHAnsi" w:hAnsiTheme="majorHAnsi"/>
          <w:bCs/>
          <w:sz w:val="20"/>
          <w:szCs w:val="20"/>
          <w:lang w:val="es-AR"/>
        </w:rPr>
        <w:t xml:space="preserve"> de la defensa pública asignada a la señora Maleno, la CIDH estima relevante </w:t>
      </w:r>
      <w:r w:rsidR="00AC2B34" w:rsidRPr="004B114F">
        <w:rPr>
          <w:rFonts w:asciiTheme="majorHAnsi" w:eastAsia="Cambria" w:hAnsiTheme="majorHAnsi" w:cs="Cambria"/>
          <w:color w:val="000000"/>
          <w:sz w:val="20"/>
          <w:szCs w:val="20"/>
          <w:lang w:val="es-ES"/>
        </w:rPr>
        <w:t>referirse a las garantías establecidas en los artículos 8de la Convención Americana.</w:t>
      </w:r>
    </w:p>
    <w:p w14:paraId="1B6F64F6" w14:textId="77777777" w:rsidR="004A3DF1" w:rsidRPr="004B114F" w:rsidRDefault="004A3DF1" w:rsidP="004B114F">
      <w:pPr>
        <w:pStyle w:val="ListParagraph"/>
        <w:rPr>
          <w:rFonts w:asciiTheme="majorHAnsi" w:hAnsiTheme="majorHAnsi"/>
          <w:bCs/>
          <w:sz w:val="20"/>
          <w:szCs w:val="20"/>
          <w:lang w:val="es-AR"/>
        </w:rPr>
      </w:pPr>
    </w:p>
    <w:p w14:paraId="1B80FFF8" w14:textId="444759E1" w:rsidR="004A3DF1" w:rsidRPr="004B114F" w:rsidRDefault="00AC2B34" w:rsidP="004B114F">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720"/>
        <w:jc w:val="both"/>
        <w:rPr>
          <w:rFonts w:asciiTheme="majorHAnsi" w:hAnsiTheme="majorHAnsi"/>
          <w:bCs/>
          <w:sz w:val="20"/>
          <w:szCs w:val="20"/>
          <w:lang w:val="es-AR"/>
        </w:rPr>
      </w:pPr>
      <w:r w:rsidRPr="004B114F">
        <w:rPr>
          <w:rFonts w:asciiTheme="majorHAnsi" w:hAnsiTheme="majorHAnsi"/>
          <w:bCs/>
          <w:sz w:val="20"/>
          <w:szCs w:val="20"/>
          <w:lang w:val="es-AR"/>
        </w:rPr>
        <w:t>En cuanto al primer punto, l</w:t>
      </w:r>
      <w:r w:rsidR="004A3DF1" w:rsidRPr="004B114F">
        <w:rPr>
          <w:rFonts w:asciiTheme="majorHAnsi" w:hAnsiTheme="majorHAnsi"/>
          <w:bCs/>
          <w:sz w:val="20"/>
          <w:szCs w:val="20"/>
          <w:lang w:val="es-AR"/>
        </w:rPr>
        <w:t>a Corte Interamericana ha tenido la oportunidad de analizar ambas disposiciones recordando el deber que recae sobre los Estados de adoptar todas las medidas que sean necesarias para garantizar un debido proceso a la persona acusada</w:t>
      </w:r>
      <w:r w:rsidR="004A3DF1" w:rsidRPr="004B114F">
        <w:rPr>
          <w:rStyle w:val="FootnoteReference"/>
          <w:rFonts w:asciiTheme="majorHAnsi" w:hAnsiTheme="majorHAnsi"/>
          <w:bCs/>
          <w:sz w:val="20"/>
          <w:szCs w:val="20"/>
          <w:lang w:val="es-AR"/>
        </w:rPr>
        <w:footnoteReference w:id="102"/>
      </w:r>
      <w:r w:rsidR="004A3DF1" w:rsidRPr="004B114F">
        <w:rPr>
          <w:rFonts w:asciiTheme="majorHAnsi" w:hAnsiTheme="majorHAnsi"/>
          <w:bCs/>
          <w:sz w:val="20"/>
          <w:szCs w:val="20"/>
          <w:lang w:val="es-AR"/>
        </w:rPr>
        <w:t xml:space="preserve">. Particularmente, en su sentencia para el caso </w:t>
      </w:r>
      <w:r w:rsidR="004A3DF1" w:rsidRPr="004B114F">
        <w:rPr>
          <w:rFonts w:asciiTheme="majorHAnsi" w:hAnsiTheme="majorHAnsi"/>
          <w:bCs/>
          <w:i/>
          <w:sz w:val="20"/>
          <w:szCs w:val="20"/>
          <w:lang w:val="es-AR"/>
        </w:rPr>
        <w:t>DaCosta Cadogan Vs. Barbados</w:t>
      </w:r>
      <w:r w:rsidR="004A3DF1" w:rsidRPr="004B114F">
        <w:rPr>
          <w:rFonts w:asciiTheme="majorHAnsi" w:hAnsiTheme="majorHAnsi"/>
          <w:bCs/>
          <w:sz w:val="20"/>
          <w:szCs w:val="20"/>
          <w:lang w:val="es-AR"/>
        </w:rPr>
        <w:t>, dicho Tribunal destacó la relevancia de contar con una evaluación psiquiátrica practicada por un profesional en salud mental siempre que existieran indicios de que la persona acusada podría tener alguna enfermedad o trastorno de salud mental que la hubiesen afectado potencialmente al momento de perpetrar el delito que se le imputa</w:t>
      </w:r>
      <w:r w:rsidR="004A3DF1" w:rsidRPr="004B114F">
        <w:rPr>
          <w:rStyle w:val="FootnoteReference"/>
          <w:rFonts w:asciiTheme="majorHAnsi" w:hAnsiTheme="majorHAnsi"/>
          <w:bCs/>
          <w:sz w:val="20"/>
          <w:szCs w:val="20"/>
          <w:lang w:val="es-AR"/>
        </w:rPr>
        <w:footnoteReference w:id="103"/>
      </w:r>
      <w:r w:rsidR="004A3DF1" w:rsidRPr="004B114F">
        <w:rPr>
          <w:rFonts w:asciiTheme="majorHAnsi" w:hAnsiTheme="majorHAnsi"/>
          <w:bCs/>
          <w:sz w:val="20"/>
          <w:szCs w:val="20"/>
          <w:lang w:val="es-AR"/>
        </w:rPr>
        <w:t>. En aquel caso, la Corte IDH señaló que la omisión del Estado de ordenar que se practicara una evaluación psiquiátrica, y de comunicar esta posibilidad al acusado o su defensa, podría haber resultado en la exclusión de pruebas importantes para la preparación de una defensa adecuada en el juicio</w:t>
      </w:r>
      <w:r w:rsidR="004A3DF1" w:rsidRPr="004B114F">
        <w:rPr>
          <w:rStyle w:val="FootnoteReference"/>
          <w:rFonts w:asciiTheme="majorHAnsi" w:hAnsiTheme="majorHAnsi"/>
          <w:bCs/>
          <w:sz w:val="20"/>
          <w:szCs w:val="20"/>
          <w:lang w:val="es-AR"/>
        </w:rPr>
        <w:footnoteReference w:id="104"/>
      </w:r>
      <w:r w:rsidR="004A3DF1" w:rsidRPr="004B114F">
        <w:rPr>
          <w:rFonts w:asciiTheme="majorHAnsi" w:hAnsiTheme="majorHAnsi"/>
          <w:bCs/>
          <w:sz w:val="20"/>
          <w:szCs w:val="20"/>
          <w:lang w:val="es-AR"/>
        </w:rPr>
        <w:t>. Como conclusión, la Corte afirmó que tal omisión constituía una violación a los artículos 8.2.c y 8.2.f, al considerar, entre otras cosas, que la situación del acusado ameritaba razonablemente que la evaluación mencionada tenga lugar, y que en la etapa de apelación, el señor DaCosta Cadogan solicitó se le autorice presentar dicha pericia, sin que le fuera permitido.</w:t>
      </w:r>
    </w:p>
    <w:p w14:paraId="40ECE4E8" w14:textId="77777777" w:rsidR="00000B9C" w:rsidRPr="004B114F" w:rsidRDefault="00000B9C" w:rsidP="00DE778C">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720"/>
        <w:jc w:val="both"/>
        <w:rPr>
          <w:rFonts w:asciiTheme="majorHAnsi" w:hAnsiTheme="majorHAnsi"/>
          <w:bCs/>
          <w:sz w:val="20"/>
          <w:szCs w:val="20"/>
          <w:lang w:val="es-AR"/>
        </w:rPr>
      </w:pPr>
    </w:p>
    <w:p w14:paraId="245472E9" w14:textId="78237D73" w:rsidR="00000B9C" w:rsidRPr="00DE778C" w:rsidRDefault="00000B9C" w:rsidP="004B114F">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720"/>
        <w:jc w:val="both"/>
        <w:rPr>
          <w:rFonts w:asciiTheme="majorHAnsi" w:hAnsiTheme="majorHAnsi"/>
          <w:bCs/>
          <w:sz w:val="20"/>
          <w:szCs w:val="20"/>
          <w:lang w:val="es-AR"/>
        </w:rPr>
      </w:pPr>
      <w:r w:rsidRPr="00DE778C">
        <w:rPr>
          <w:rFonts w:asciiTheme="majorHAnsi" w:eastAsia="Cambria" w:hAnsiTheme="majorHAnsi" w:cs="Cambria"/>
          <w:color w:val="000000"/>
          <w:sz w:val="20"/>
          <w:szCs w:val="20"/>
          <w:lang w:val="es-ES"/>
        </w:rPr>
        <w:t>Respecto a la defensa pública, tanto la CIDH y la Corte Interamericana han señalado que una vez que el Estado provea una defensa pública a la persona acusada, ésta debe ser efectiva. Para ello, el Estado debe adoptar todas las medidas adecuadas</w:t>
      </w:r>
      <w:r w:rsidRPr="004B114F">
        <w:rPr>
          <w:rStyle w:val="FootnoteReference"/>
          <w:rFonts w:asciiTheme="majorHAnsi" w:eastAsia="Cambria" w:hAnsiTheme="majorHAnsi" w:cs="Cambria"/>
          <w:color w:val="000000"/>
          <w:sz w:val="20"/>
          <w:szCs w:val="20"/>
        </w:rPr>
        <w:footnoteReference w:id="105"/>
      </w:r>
      <w:r w:rsidRPr="00DE778C">
        <w:rPr>
          <w:rFonts w:asciiTheme="majorHAnsi" w:eastAsia="Cambria" w:hAnsiTheme="majorHAnsi" w:cs="Cambria"/>
          <w:color w:val="000000"/>
          <w:sz w:val="20"/>
          <w:szCs w:val="20"/>
          <w:lang w:val="es-ES"/>
        </w:rPr>
        <w:t>. La Corte ha sostenido que “el nombrar un defensor de oficio con el sólo objeto de cumplir con una formalidad procesal, equivaldría a no contar con defensa técnica, por lo que es imperante que dicho defensor actúe de manera diligente con el fin de proteger las garantías procesales del acusado y evite así que sus derechos se vean lesionados”</w:t>
      </w:r>
      <w:r w:rsidRPr="004B114F">
        <w:rPr>
          <w:rStyle w:val="FootnoteReference"/>
          <w:rFonts w:asciiTheme="majorHAnsi" w:eastAsia="Cambria" w:hAnsiTheme="majorHAnsi" w:cs="Cambria"/>
          <w:color w:val="000000"/>
          <w:sz w:val="20"/>
          <w:szCs w:val="20"/>
        </w:rPr>
        <w:footnoteReference w:id="106"/>
      </w:r>
      <w:r w:rsidRPr="00DE778C">
        <w:rPr>
          <w:rFonts w:asciiTheme="majorHAnsi" w:eastAsia="Cambria" w:hAnsiTheme="majorHAnsi" w:cs="Cambria"/>
          <w:color w:val="000000"/>
          <w:sz w:val="20"/>
          <w:szCs w:val="20"/>
          <w:lang w:val="es-ES"/>
        </w:rPr>
        <w:t>. En este sentido, la Comisión ha reconocido que el Estado es responsable si la defensa pública incurre en omisiones o fallas que de manera evidente permitan concluir que no se brindó un patrocinio efectivo</w:t>
      </w:r>
      <w:r w:rsidRPr="004B114F">
        <w:rPr>
          <w:rStyle w:val="FootnoteReference"/>
          <w:rFonts w:asciiTheme="majorHAnsi" w:eastAsia="Cambria" w:hAnsiTheme="majorHAnsi" w:cs="Cambria"/>
          <w:color w:val="000000"/>
          <w:sz w:val="20"/>
          <w:szCs w:val="20"/>
        </w:rPr>
        <w:footnoteReference w:id="107"/>
      </w:r>
      <w:r w:rsidRPr="00DE778C">
        <w:rPr>
          <w:rFonts w:asciiTheme="majorHAnsi" w:eastAsia="Cambria" w:hAnsiTheme="majorHAnsi" w:cs="Cambria"/>
          <w:color w:val="000000"/>
          <w:sz w:val="20"/>
          <w:szCs w:val="20"/>
          <w:lang w:val="es-ES"/>
        </w:rPr>
        <w:t>.</w:t>
      </w:r>
    </w:p>
    <w:p w14:paraId="224A4B27" w14:textId="77777777" w:rsidR="00000B9C" w:rsidRPr="004B114F" w:rsidRDefault="00000B9C" w:rsidP="00DE778C">
      <w:pPr>
        <w:pStyle w:val="ListParagraph"/>
        <w:rPr>
          <w:rFonts w:asciiTheme="majorHAnsi" w:hAnsiTheme="majorHAnsi"/>
          <w:bCs/>
          <w:sz w:val="20"/>
          <w:szCs w:val="20"/>
          <w:lang w:val="es-AR"/>
        </w:rPr>
      </w:pPr>
    </w:p>
    <w:p w14:paraId="51A7829B" w14:textId="603164F7" w:rsidR="00000B9C" w:rsidRPr="004B114F" w:rsidRDefault="00000B9C" w:rsidP="004B114F">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720"/>
        <w:jc w:val="both"/>
        <w:rPr>
          <w:rFonts w:asciiTheme="majorHAnsi" w:hAnsiTheme="majorHAnsi"/>
          <w:bCs/>
          <w:sz w:val="20"/>
          <w:szCs w:val="20"/>
          <w:lang w:val="es-AR"/>
        </w:rPr>
      </w:pPr>
      <w:r w:rsidRPr="004B114F">
        <w:rPr>
          <w:rFonts w:asciiTheme="majorHAnsi" w:hAnsiTheme="majorHAnsi"/>
          <w:bCs/>
          <w:sz w:val="20"/>
          <w:szCs w:val="20"/>
          <w:lang w:val="es-AR"/>
        </w:rPr>
        <w:t xml:space="preserve">Igualmente, </w:t>
      </w:r>
      <w:r w:rsidRPr="00DE778C">
        <w:rPr>
          <w:rFonts w:asciiTheme="majorHAnsi" w:eastAsia="Cambria" w:hAnsiTheme="majorHAnsi" w:cs="Cambria"/>
          <w:color w:val="000000"/>
          <w:sz w:val="20"/>
          <w:szCs w:val="20"/>
          <w:lang w:val="es-ES"/>
        </w:rPr>
        <w:t>la CIDH ha sostenido que el Estado no puede ser considerado responsable por todas las fallas de la defensa pública, sin embargo, cuando se le hace saber a las autoridades nacionales que la defensa pública ha sido ineficaz o cuando la falta de diligencia de la defensa pública es evidente, entonces aquellas sí están obligadas a intervenir con el objeto de garantizar que se preste un patrocinio letrado efectivo</w:t>
      </w:r>
      <w:r w:rsidRPr="004B114F">
        <w:rPr>
          <w:rStyle w:val="FootnoteReference"/>
          <w:rFonts w:asciiTheme="majorHAnsi" w:eastAsia="Cambria" w:hAnsiTheme="majorHAnsi" w:cs="Cambria"/>
          <w:color w:val="000000"/>
          <w:sz w:val="20"/>
          <w:szCs w:val="20"/>
        </w:rPr>
        <w:footnoteReference w:id="108"/>
      </w:r>
      <w:r w:rsidRPr="00DE778C">
        <w:rPr>
          <w:rFonts w:asciiTheme="majorHAnsi" w:eastAsia="Cambria" w:hAnsiTheme="majorHAnsi" w:cs="Cambria"/>
          <w:color w:val="000000"/>
          <w:sz w:val="20"/>
          <w:szCs w:val="20"/>
          <w:lang w:val="es-ES"/>
        </w:rPr>
        <w:t>.</w:t>
      </w:r>
      <w:r w:rsidRPr="00DE778C">
        <w:rPr>
          <w:rFonts w:asciiTheme="majorHAnsi" w:eastAsia="Cambria" w:hAnsiTheme="majorHAnsi" w:cs="Cambria"/>
          <w:b/>
          <w:color w:val="000000"/>
          <w:sz w:val="20"/>
          <w:szCs w:val="20"/>
          <w:lang w:val="es-ES"/>
        </w:rPr>
        <w:t xml:space="preserve"> </w:t>
      </w:r>
      <w:r w:rsidRPr="00DE778C">
        <w:rPr>
          <w:rFonts w:asciiTheme="majorHAnsi" w:eastAsia="Cambria" w:hAnsiTheme="majorHAnsi" w:cs="Cambria"/>
          <w:color w:val="000000"/>
          <w:sz w:val="20"/>
          <w:szCs w:val="20"/>
          <w:lang w:val="es-ES"/>
        </w:rPr>
        <w:t xml:space="preserve">Por su parte, la Corte Interamericana ha considerado que es imperante que el defensor de oficio </w:t>
      </w:r>
      <w:r w:rsidRPr="00DE778C">
        <w:rPr>
          <w:rFonts w:asciiTheme="majorHAnsi" w:eastAsia="Cambria" w:hAnsiTheme="majorHAnsi" w:cs="Cambria"/>
          <w:color w:val="000000"/>
          <w:sz w:val="20"/>
          <w:szCs w:val="20"/>
          <w:lang w:val="es-ES"/>
        </w:rPr>
        <w:lastRenderedPageBreak/>
        <w:t>actúe de manera diligente con el fin de proteger las garantías procesales del acusado y evite así que sus derechos se vean vulnerados</w:t>
      </w:r>
      <w:r w:rsidRPr="004B114F">
        <w:rPr>
          <w:rStyle w:val="FootnoteReference"/>
          <w:rFonts w:asciiTheme="majorHAnsi" w:eastAsia="Cambria" w:hAnsiTheme="majorHAnsi" w:cs="Cambria"/>
          <w:color w:val="000000"/>
          <w:sz w:val="20"/>
          <w:szCs w:val="20"/>
        </w:rPr>
        <w:footnoteReference w:id="109"/>
      </w:r>
      <w:r w:rsidRPr="00DE778C">
        <w:rPr>
          <w:rFonts w:asciiTheme="majorHAnsi" w:eastAsia="Cambria" w:hAnsiTheme="majorHAnsi" w:cs="Cambria"/>
          <w:color w:val="000000"/>
          <w:sz w:val="20"/>
          <w:szCs w:val="20"/>
          <w:lang w:val="es-ES"/>
        </w:rPr>
        <w:t>. Además, ha considerado que para analizar si ha ocurrido una violación al derecho de defensa por parte del Estado, debe evaluar si las omisiones del defensor público constituyen una negligencia inexcusable o una falla manifiesta en el ejercicio de la defensa que tuvo o puede tener un efecto decisivo en contra de los intereses del imputado</w:t>
      </w:r>
      <w:r w:rsidRPr="004B114F">
        <w:rPr>
          <w:rStyle w:val="FootnoteReference"/>
          <w:rFonts w:asciiTheme="majorHAnsi" w:eastAsia="Cambria" w:hAnsiTheme="majorHAnsi" w:cs="Cambria"/>
          <w:color w:val="000000"/>
          <w:sz w:val="20"/>
          <w:szCs w:val="20"/>
        </w:rPr>
        <w:footnoteReference w:id="110"/>
      </w:r>
      <w:r w:rsidRPr="00DE778C">
        <w:rPr>
          <w:rFonts w:asciiTheme="majorHAnsi" w:eastAsia="Cambria" w:hAnsiTheme="majorHAnsi" w:cs="Cambria"/>
          <w:color w:val="000000"/>
          <w:sz w:val="20"/>
          <w:szCs w:val="20"/>
          <w:lang w:val="es-ES"/>
        </w:rPr>
        <w:t>.</w:t>
      </w:r>
    </w:p>
    <w:p w14:paraId="3EE89553" w14:textId="77777777" w:rsidR="004A3DF1" w:rsidRPr="004B114F" w:rsidRDefault="004A3DF1" w:rsidP="004B114F">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720"/>
        <w:jc w:val="both"/>
        <w:rPr>
          <w:rFonts w:asciiTheme="majorHAnsi" w:hAnsiTheme="majorHAnsi"/>
          <w:bCs/>
          <w:sz w:val="20"/>
          <w:szCs w:val="20"/>
          <w:lang w:val="es-AR"/>
        </w:rPr>
      </w:pPr>
    </w:p>
    <w:p w14:paraId="7BB56EE2" w14:textId="77777777" w:rsidR="004A3DF1" w:rsidRPr="004B114F" w:rsidRDefault="004A3DF1" w:rsidP="004B114F">
      <w:pPr>
        <w:pStyle w:val="Heading3"/>
        <w:numPr>
          <w:ilvl w:val="0"/>
          <w:numId w:val="59"/>
        </w:numPr>
        <w:jc w:val="both"/>
        <w:rPr>
          <w:rFonts w:asciiTheme="majorHAnsi" w:hAnsiTheme="majorHAnsi"/>
          <w:szCs w:val="20"/>
          <w:lang w:val="es-ES_tradnl"/>
        </w:rPr>
      </w:pPr>
      <w:bookmarkStart w:id="44" w:name="_Toc142398963"/>
      <w:r w:rsidRPr="004B114F">
        <w:rPr>
          <w:rFonts w:asciiTheme="majorHAnsi" w:hAnsiTheme="majorHAnsi"/>
          <w:szCs w:val="20"/>
          <w:lang w:val="es-ES_tradnl"/>
        </w:rPr>
        <w:t>Análisis del presente caso</w:t>
      </w:r>
      <w:bookmarkEnd w:id="44"/>
      <w:r w:rsidRPr="004B114F">
        <w:rPr>
          <w:rFonts w:asciiTheme="majorHAnsi" w:hAnsiTheme="majorHAnsi"/>
          <w:szCs w:val="20"/>
          <w:lang w:val="es-ES_tradnl"/>
        </w:rPr>
        <w:t xml:space="preserve"> </w:t>
      </w:r>
    </w:p>
    <w:p w14:paraId="1AD47054" w14:textId="77777777" w:rsidR="0050163C" w:rsidRPr="004B114F" w:rsidRDefault="0050163C" w:rsidP="00DE778C">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jc w:val="both"/>
        <w:rPr>
          <w:rFonts w:asciiTheme="majorHAnsi" w:hAnsiTheme="majorHAnsi"/>
          <w:bCs/>
          <w:sz w:val="20"/>
          <w:szCs w:val="20"/>
          <w:lang w:val="es-ES_tradnl"/>
        </w:rPr>
      </w:pPr>
    </w:p>
    <w:p w14:paraId="01784CE9" w14:textId="168F5372" w:rsidR="004A3DF1" w:rsidRPr="004B114F" w:rsidRDefault="004A3DF1" w:rsidP="07C31400">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720"/>
        <w:jc w:val="both"/>
        <w:rPr>
          <w:rFonts w:asciiTheme="majorHAnsi" w:eastAsia="Batang" w:hAnsiTheme="majorHAnsi"/>
          <w:sz w:val="20"/>
          <w:szCs w:val="20"/>
          <w:bdr w:val="none" w:sz="0" w:space="0" w:color="auto"/>
          <w:lang w:val="es-ES"/>
        </w:rPr>
      </w:pPr>
      <w:r w:rsidRPr="07C31400">
        <w:rPr>
          <w:rFonts w:asciiTheme="majorHAnsi" w:eastAsia="Batang" w:hAnsiTheme="majorHAnsi"/>
          <w:sz w:val="20"/>
          <w:szCs w:val="20"/>
          <w:bdr w:val="none" w:sz="0" w:space="0" w:color="auto"/>
          <w:lang w:val="es-ES"/>
        </w:rPr>
        <w:t>La Comisión Interamericana encuentra que el proceso penal contra la presunta víctima inició el 18 de octubre de 2001 y, a la fecha del presente informe, se encuentra todavía en fase de juicio. Es decir, aun cuando ya se han invertido más de 20 años en su desarrollo, el proceso no solo permanece abierto, sino que no cuenta siquiera con una sentencia de primera instancia, lo que lleva a esta Comisión a considerar que las probabilidades de que el proceso se prolongue por un periodo mucho mayor, son altas. El análisis del proceso penal seguido contra la señora Maleno a partir de los elementos desarrollados por el sistema interamericano para determinar la razonabilidad del plazo, permite concluir a esta Comisión, que el Estado no ha observado la garantía del plazo razonable, lo cual vulnera el artículo 8.1 de la Convención Americana.</w:t>
      </w:r>
    </w:p>
    <w:p w14:paraId="7F2B2B95" w14:textId="77777777" w:rsidR="004A3DF1" w:rsidRPr="004B114F" w:rsidRDefault="004A3DF1" w:rsidP="004B114F">
      <w:pPr>
        <w:pStyle w:val="ListParagraph"/>
        <w:rPr>
          <w:rFonts w:asciiTheme="majorHAnsi" w:eastAsia="Batang" w:hAnsiTheme="majorHAnsi"/>
          <w:sz w:val="20"/>
          <w:szCs w:val="20"/>
          <w:bdr w:val="none" w:sz="0" w:space="0" w:color="auto"/>
          <w:lang w:val="es-ES_tradnl"/>
        </w:rPr>
      </w:pPr>
    </w:p>
    <w:p w14:paraId="3633E206" w14:textId="77777777" w:rsidR="004A3DF1" w:rsidRPr="004B114F" w:rsidRDefault="004A3DF1" w:rsidP="004B114F">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720"/>
        <w:jc w:val="both"/>
        <w:rPr>
          <w:rFonts w:asciiTheme="majorHAnsi" w:eastAsia="Batang" w:hAnsiTheme="majorHAnsi"/>
          <w:sz w:val="20"/>
          <w:szCs w:val="20"/>
          <w:bdr w:val="none" w:sz="0" w:space="0" w:color="auto"/>
          <w:lang w:val="es-ES_tradnl"/>
        </w:rPr>
      </w:pPr>
      <w:r w:rsidRPr="004B114F">
        <w:rPr>
          <w:rFonts w:asciiTheme="majorHAnsi" w:hAnsiTheme="majorHAnsi"/>
          <w:sz w:val="20"/>
          <w:szCs w:val="20"/>
          <w:lang w:val="es-ES_tradnl"/>
        </w:rPr>
        <w:t>En primer lugar, respecto al elemento de (a) complejidad del asunto, la Comisión recuerda que el Estado no ha aportado argumentos o medios probatorios que permitan concluir el proceso penal contra la presunta víctima es uno especialmente complejo. Al contrastar este proceso con diversos criterios propuestos por la Corte IDH para determinar la complejidad de una causa, como la complejidad de la prueba, la pluralidad de sujetos procesales, la cantidad de víctimas, o el tiempo transcurrido desde la violación</w:t>
      </w:r>
      <w:r w:rsidRPr="004B114F">
        <w:rPr>
          <w:rStyle w:val="FootnoteReference"/>
          <w:rFonts w:asciiTheme="majorHAnsi" w:hAnsiTheme="majorHAnsi"/>
          <w:sz w:val="20"/>
          <w:szCs w:val="20"/>
          <w:lang w:val="es-ES_tradnl"/>
        </w:rPr>
        <w:footnoteReference w:id="111"/>
      </w:r>
      <w:r w:rsidRPr="004B114F">
        <w:rPr>
          <w:rFonts w:asciiTheme="majorHAnsi" w:hAnsiTheme="majorHAnsi"/>
          <w:sz w:val="20"/>
          <w:szCs w:val="20"/>
          <w:lang w:val="es-ES_tradnl"/>
        </w:rPr>
        <w:t xml:space="preserve">, entre otros, la Comisión tampoco observa rasgo alguno que justifique la demora de más de 20 años que se evidencia en el presente caso. </w:t>
      </w:r>
    </w:p>
    <w:p w14:paraId="7F72DEF6" w14:textId="77777777" w:rsidR="004A3DF1" w:rsidRPr="004B114F" w:rsidRDefault="004A3DF1" w:rsidP="004B114F">
      <w:pPr>
        <w:pStyle w:val="ListParagraph"/>
        <w:rPr>
          <w:rFonts w:asciiTheme="majorHAnsi" w:hAnsiTheme="majorHAnsi"/>
          <w:sz w:val="20"/>
          <w:szCs w:val="20"/>
          <w:lang w:val="es-ES_tradnl"/>
        </w:rPr>
      </w:pPr>
    </w:p>
    <w:p w14:paraId="74E07AF3" w14:textId="1380FF1B" w:rsidR="004A3DF1" w:rsidRPr="004B114F" w:rsidRDefault="004A3DF1" w:rsidP="004B114F">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720"/>
        <w:jc w:val="both"/>
        <w:rPr>
          <w:rFonts w:asciiTheme="majorHAnsi" w:eastAsia="Batang" w:hAnsiTheme="majorHAnsi"/>
          <w:sz w:val="20"/>
          <w:szCs w:val="20"/>
          <w:bdr w:val="none" w:sz="0" w:space="0" w:color="auto"/>
          <w:lang w:val="es-ES_tradnl"/>
        </w:rPr>
      </w:pPr>
      <w:r w:rsidRPr="004B114F">
        <w:rPr>
          <w:rFonts w:asciiTheme="majorHAnsi" w:hAnsiTheme="majorHAnsi"/>
          <w:sz w:val="20"/>
          <w:szCs w:val="20"/>
          <w:lang w:val="es-ES_tradnl"/>
        </w:rPr>
        <w:t xml:space="preserve">En relación con el segundo elemento (b) actividad procesal de la parte interesada, la CIDH observa un punto de controversia entre las partes procesales. El Estado ha alegado que, el 4 de noviembre de 2002 el Juzgado Primero ordenó que se practique la evaluación psiquiátrica forense a la presunta víctima y, el 20 de agosto de 2003, acordó suspender la investigación penal contra la señora Maleno hasta que los resultados de dicha evaluación fueran incorporados en el expediente. Según sostiene el Estado, en el 2007, el Juzgado Primero retomó el proceso y verificó que la presunta víctima no había acudido a realizarse dicha pericia alegando dificultades económicas. El Estado venezolano afirma que aun cuando reprogramó esta diligencia y la audiencia del juicio oral y público, la señora Maleno no habría comparecido a ninguna de las actuaciones judiciales. Por otro lado, la parte peticionaria indica que realizar la evaluación psiquiátrica varios años después de que los hechos delictivos hubiesen ocurrido, era contrario al derecho de defensa de la presunta víctima.  </w:t>
      </w:r>
    </w:p>
    <w:p w14:paraId="62D9B895" w14:textId="77777777" w:rsidR="004A3DF1" w:rsidRPr="004B114F" w:rsidRDefault="004A3DF1" w:rsidP="004B114F">
      <w:pPr>
        <w:pStyle w:val="ListParagraph"/>
        <w:rPr>
          <w:rFonts w:asciiTheme="majorHAnsi" w:eastAsia="Batang" w:hAnsiTheme="majorHAnsi"/>
          <w:sz w:val="20"/>
          <w:szCs w:val="20"/>
          <w:bdr w:val="none" w:sz="0" w:space="0" w:color="auto"/>
          <w:lang w:val="es-ES_tradnl"/>
        </w:rPr>
      </w:pPr>
    </w:p>
    <w:p w14:paraId="558B1328" w14:textId="2FCB7649" w:rsidR="004A3DF1" w:rsidRPr="004B114F" w:rsidRDefault="004A3DF1" w:rsidP="07C31400">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720"/>
        <w:jc w:val="both"/>
        <w:rPr>
          <w:rFonts w:asciiTheme="majorHAnsi" w:hAnsiTheme="majorHAnsi"/>
          <w:sz w:val="20"/>
          <w:szCs w:val="20"/>
          <w:lang w:val="es-ES"/>
        </w:rPr>
      </w:pPr>
      <w:r w:rsidRPr="07C31400">
        <w:rPr>
          <w:rFonts w:asciiTheme="majorHAnsi" w:hAnsiTheme="majorHAnsi"/>
          <w:sz w:val="20"/>
          <w:szCs w:val="20"/>
          <w:lang w:val="es-ES"/>
        </w:rPr>
        <w:t>La Comisión Interamericana estima que, al margen del debate entre las partes respecto de la actividad procesal de la presunta víctima, del expediente se desprende que el proceso estuvo inactivo al menos entre agosto de 2003, cuando fue suspendido por decisión del Juzgado Primero, y junio de 2007, cuando tuvo lugar la audiencia oral con el propósito de ventilar la causa y determinar las próximas acciones. Es decir, por cerca de cuatro años ininterrumpidos no existió ningún tipo de actividad procesal</w:t>
      </w:r>
      <w:r w:rsidR="00B16203" w:rsidRPr="07C31400">
        <w:rPr>
          <w:rFonts w:asciiTheme="majorHAnsi" w:hAnsiTheme="majorHAnsi"/>
          <w:sz w:val="20"/>
          <w:szCs w:val="20"/>
          <w:lang w:val="es-ES"/>
        </w:rPr>
        <w:t>, según la información disponible</w:t>
      </w:r>
      <w:r w:rsidRPr="07C31400">
        <w:rPr>
          <w:rFonts w:asciiTheme="majorHAnsi" w:hAnsiTheme="majorHAnsi"/>
          <w:sz w:val="20"/>
          <w:szCs w:val="20"/>
          <w:lang w:val="es-ES"/>
        </w:rPr>
        <w:t>. Si bien podría sustentarse que en el ínterin la señora Maleno no acudió a practicarse la evaluación psiquiátrica, la CIDH recuerda que la presunta víctima estuvo bajo custodia del Estado hasta noviembre de 2003, sin que conste que se hayan tomado acciones para realizar dicha evaluación. Tampoco se verifica que el Estado haya adoptado ninguna medida durante dicho periodo y hasta la actualidad para impulsar el proceso a pesar de la no comparecencia de la señora Maleno a la pericia psiquiátrica. Estos argumentos son también valorados por la CIDH en relación con el tercer elemento del plazo razonable (c) conducta de las autoridades estatales.</w:t>
      </w:r>
    </w:p>
    <w:p w14:paraId="536AB601" w14:textId="77777777" w:rsidR="004A3DF1" w:rsidRPr="004B114F" w:rsidRDefault="004A3DF1" w:rsidP="004B114F">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720"/>
        <w:jc w:val="both"/>
        <w:rPr>
          <w:rFonts w:asciiTheme="majorHAnsi" w:hAnsiTheme="majorHAnsi"/>
          <w:sz w:val="20"/>
          <w:szCs w:val="20"/>
          <w:lang w:val="es-ES_tradnl"/>
        </w:rPr>
      </w:pPr>
    </w:p>
    <w:p w14:paraId="3FD5215A" w14:textId="12C974C5" w:rsidR="004A3DF1" w:rsidRPr="004B114F" w:rsidRDefault="004A3DF1" w:rsidP="004B114F">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720"/>
        <w:jc w:val="both"/>
        <w:rPr>
          <w:rFonts w:asciiTheme="majorHAnsi" w:eastAsia="Batang" w:hAnsiTheme="majorHAnsi"/>
          <w:sz w:val="20"/>
          <w:szCs w:val="20"/>
          <w:bdr w:val="none" w:sz="0" w:space="0" w:color="auto"/>
          <w:lang w:val="es-ES_tradnl"/>
        </w:rPr>
      </w:pPr>
      <w:r w:rsidRPr="004B114F">
        <w:rPr>
          <w:rFonts w:asciiTheme="majorHAnsi" w:hAnsiTheme="majorHAnsi"/>
          <w:sz w:val="20"/>
          <w:szCs w:val="20"/>
          <w:lang w:val="es-PE"/>
        </w:rPr>
        <w:lastRenderedPageBreak/>
        <w:t>En lo que respecta al cuarto elemento (d) afectación generada en la situación jurídica de la persona involucrada en el proceso, la CIDH considera importante resaltar que la presunta víctima se encontró privada de su libertad</w:t>
      </w:r>
      <w:r w:rsidR="00B16203" w:rsidRPr="004B114F">
        <w:rPr>
          <w:rFonts w:asciiTheme="majorHAnsi" w:hAnsiTheme="majorHAnsi"/>
          <w:sz w:val="20"/>
          <w:szCs w:val="20"/>
          <w:lang w:val="es-PE"/>
        </w:rPr>
        <w:t xml:space="preserve"> arbitrariamente (</w:t>
      </w:r>
      <w:r w:rsidR="00170FA4" w:rsidRPr="004B114F">
        <w:rPr>
          <w:rFonts w:asciiTheme="majorHAnsi" w:hAnsiTheme="majorHAnsi"/>
          <w:sz w:val="20"/>
          <w:szCs w:val="20"/>
          <w:lang w:val="es-PE"/>
        </w:rPr>
        <w:t>sección</w:t>
      </w:r>
      <w:r w:rsidR="00B16203" w:rsidRPr="004B114F">
        <w:rPr>
          <w:rFonts w:asciiTheme="majorHAnsi" w:hAnsiTheme="majorHAnsi"/>
          <w:sz w:val="20"/>
          <w:szCs w:val="20"/>
          <w:lang w:val="es-PE"/>
        </w:rPr>
        <w:t xml:space="preserve"> </w:t>
      </w:r>
      <w:hyperlink w:anchor="_Análisis_del_caso" w:history="1">
        <w:r w:rsidR="00B16203" w:rsidRPr="004B114F">
          <w:rPr>
            <w:rStyle w:val="Hyperlink"/>
            <w:rFonts w:asciiTheme="majorHAnsi" w:hAnsiTheme="majorHAnsi"/>
            <w:sz w:val="20"/>
            <w:szCs w:val="20"/>
            <w:lang w:val="es-PE"/>
          </w:rPr>
          <w:t>IV.A.2</w:t>
        </w:r>
      </w:hyperlink>
      <w:r w:rsidR="00B16203" w:rsidRPr="004B114F">
        <w:rPr>
          <w:rFonts w:asciiTheme="majorHAnsi" w:hAnsiTheme="majorHAnsi"/>
          <w:sz w:val="20"/>
          <w:szCs w:val="20"/>
          <w:lang w:val="es-PE"/>
        </w:rPr>
        <w:t>)</w:t>
      </w:r>
      <w:r w:rsidRPr="004B114F">
        <w:rPr>
          <w:rFonts w:asciiTheme="majorHAnsi" w:hAnsiTheme="majorHAnsi"/>
          <w:sz w:val="20"/>
          <w:szCs w:val="20"/>
          <w:lang w:val="es-PE"/>
        </w:rPr>
        <w:t>, enfrentando condiciones de detención deplorables en un proceso que se ha extendido por décadas. La CIDH coincide con la Corte Interamericana, cuando esta señala que los procesos en los que una persona se encuentra detenida de manera cautelar, deben llevarse con la mayor celeridad posible</w:t>
      </w:r>
      <w:r w:rsidRPr="004B114F">
        <w:rPr>
          <w:rStyle w:val="FootnoteReference"/>
          <w:rFonts w:asciiTheme="majorHAnsi" w:hAnsiTheme="majorHAnsi"/>
          <w:sz w:val="20"/>
          <w:szCs w:val="20"/>
        </w:rPr>
        <w:footnoteReference w:id="112"/>
      </w:r>
      <w:r w:rsidRPr="004B114F">
        <w:rPr>
          <w:rFonts w:asciiTheme="majorHAnsi" w:hAnsiTheme="majorHAnsi"/>
          <w:sz w:val="20"/>
          <w:szCs w:val="20"/>
          <w:lang w:val="es-PE"/>
        </w:rPr>
        <w:t>.</w:t>
      </w:r>
      <w:r w:rsidR="003C723C" w:rsidRPr="004B114F">
        <w:rPr>
          <w:rFonts w:asciiTheme="majorHAnsi" w:hAnsiTheme="majorHAnsi"/>
          <w:sz w:val="20"/>
          <w:szCs w:val="20"/>
          <w:lang w:val="es-PE"/>
        </w:rPr>
        <w:t xml:space="preserve"> </w:t>
      </w:r>
      <w:r w:rsidRPr="004B114F">
        <w:rPr>
          <w:rFonts w:asciiTheme="majorHAnsi" w:hAnsiTheme="majorHAnsi"/>
          <w:sz w:val="20"/>
          <w:szCs w:val="20"/>
          <w:lang w:val="es-PE"/>
        </w:rPr>
        <w:t>No obstante, la Comisión no encuentra que estas circunstancias hayan sido valoradas por el Estado venezolano en el desarrollo de la investigación penal por la que se procesaba a la señora Maleno.</w:t>
      </w:r>
      <w:r w:rsidR="003C723C" w:rsidRPr="004B114F">
        <w:rPr>
          <w:rFonts w:asciiTheme="majorHAnsi" w:hAnsiTheme="majorHAnsi"/>
          <w:sz w:val="20"/>
          <w:szCs w:val="20"/>
          <w:lang w:val="es-PE"/>
        </w:rPr>
        <w:t xml:space="preserve"> </w:t>
      </w:r>
      <w:r w:rsidR="00170FA4" w:rsidRPr="004B114F">
        <w:rPr>
          <w:rFonts w:asciiTheme="majorHAnsi" w:hAnsiTheme="majorHAnsi"/>
          <w:sz w:val="20"/>
          <w:szCs w:val="20"/>
          <w:lang w:val="es-PE"/>
        </w:rPr>
        <w:t>En virtud de</w:t>
      </w:r>
      <w:r w:rsidR="003C723C" w:rsidRPr="004B114F">
        <w:rPr>
          <w:rFonts w:asciiTheme="majorHAnsi" w:hAnsiTheme="majorHAnsi"/>
          <w:sz w:val="20"/>
          <w:szCs w:val="20"/>
          <w:lang w:val="es-PE"/>
        </w:rPr>
        <w:t xml:space="preserve"> lo anterior, la CIDH concluye que el proceso penal seguido contra la señora Malena se extendió por un plazo irrazonable.</w:t>
      </w:r>
    </w:p>
    <w:p w14:paraId="4B3ACB62" w14:textId="77777777" w:rsidR="0050163C" w:rsidRPr="00DE778C" w:rsidRDefault="0050163C" w:rsidP="00DE778C">
      <w:pPr>
        <w:rPr>
          <w:rFonts w:asciiTheme="majorHAnsi" w:eastAsia="Batang" w:hAnsiTheme="majorHAnsi"/>
          <w:sz w:val="20"/>
          <w:szCs w:val="20"/>
          <w:bdr w:val="none" w:sz="0" w:space="0" w:color="auto"/>
          <w:lang w:val="es-ES_tradnl"/>
        </w:rPr>
      </w:pPr>
    </w:p>
    <w:p w14:paraId="6FCF071B" w14:textId="4DF44B49" w:rsidR="004A3DF1" w:rsidRPr="004B114F" w:rsidRDefault="003C723C" w:rsidP="004B114F">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720"/>
        <w:jc w:val="both"/>
        <w:rPr>
          <w:rFonts w:asciiTheme="majorHAnsi" w:hAnsiTheme="majorHAnsi"/>
          <w:sz w:val="20"/>
          <w:szCs w:val="20"/>
          <w:lang w:val="es-PE"/>
        </w:rPr>
      </w:pPr>
      <w:bookmarkStart w:id="45" w:name="_Hlk110328025"/>
      <w:r w:rsidRPr="004B114F">
        <w:rPr>
          <w:rFonts w:asciiTheme="majorHAnsi" w:hAnsiTheme="majorHAnsi"/>
          <w:sz w:val="20"/>
          <w:szCs w:val="20"/>
          <w:lang w:val="es-PE"/>
        </w:rPr>
        <w:t>De otro lado, l</w:t>
      </w:r>
      <w:r w:rsidR="004A3DF1" w:rsidRPr="004B114F">
        <w:rPr>
          <w:rFonts w:asciiTheme="majorHAnsi" w:hAnsiTheme="majorHAnsi"/>
          <w:sz w:val="20"/>
          <w:szCs w:val="20"/>
          <w:lang w:val="es-PE"/>
        </w:rPr>
        <w:t xml:space="preserve">a CIDH se debe pronunciar </w:t>
      </w:r>
      <w:r w:rsidRPr="004B114F">
        <w:rPr>
          <w:rFonts w:asciiTheme="majorHAnsi" w:hAnsiTheme="majorHAnsi"/>
          <w:sz w:val="20"/>
          <w:szCs w:val="20"/>
          <w:lang w:val="es-PE"/>
        </w:rPr>
        <w:t xml:space="preserve">sobre </w:t>
      </w:r>
      <w:r w:rsidR="004A3DF1" w:rsidRPr="004B114F">
        <w:rPr>
          <w:rFonts w:asciiTheme="majorHAnsi" w:hAnsiTheme="majorHAnsi"/>
          <w:sz w:val="20"/>
          <w:szCs w:val="20"/>
          <w:lang w:val="es-PE"/>
        </w:rPr>
        <w:t xml:space="preserve">los alegatos de la parte peticionaria referidos a que, pese a ser solicitado de forma reiterada, no se practicó </w:t>
      </w:r>
      <w:r w:rsidRPr="004B114F">
        <w:rPr>
          <w:rFonts w:asciiTheme="majorHAnsi" w:hAnsiTheme="majorHAnsi"/>
          <w:sz w:val="20"/>
          <w:szCs w:val="20"/>
          <w:lang w:val="es-PE"/>
        </w:rPr>
        <w:t>oportunamente</w:t>
      </w:r>
      <w:r w:rsidR="004A3DF1" w:rsidRPr="004B114F">
        <w:rPr>
          <w:rFonts w:asciiTheme="majorHAnsi" w:hAnsiTheme="majorHAnsi"/>
          <w:sz w:val="20"/>
          <w:szCs w:val="20"/>
          <w:lang w:val="es-PE"/>
        </w:rPr>
        <w:t xml:space="preserve"> a la señora Maleno la evaluación psiquiátrica que permita determinar su capacidad de comparecer en un proceso penal y contextualizar las circunstancias en las que el delito de homicidio calificado habría tenido lugar. </w:t>
      </w:r>
    </w:p>
    <w:p w14:paraId="74509B34" w14:textId="77777777" w:rsidR="004A3DF1" w:rsidRPr="004B114F" w:rsidRDefault="004A3DF1" w:rsidP="004B114F">
      <w:pPr>
        <w:pStyle w:val="ListParagraph"/>
        <w:rPr>
          <w:rFonts w:asciiTheme="majorHAnsi" w:hAnsiTheme="majorHAnsi"/>
          <w:sz w:val="20"/>
          <w:szCs w:val="20"/>
          <w:lang w:val="es-PE"/>
        </w:rPr>
      </w:pPr>
    </w:p>
    <w:p w14:paraId="535F1898" w14:textId="74CF134A" w:rsidR="004A3DF1" w:rsidRPr="004B114F" w:rsidRDefault="004A3DF1" w:rsidP="004B114F">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720"/>
        <w:jc w:val="both"/>
        <w:rPr>
          <w:rFonts w:asciiTheme="majorHAnsi" w:hAnsiTheme="majorHAnsi"/>
          <w:sz w:val="20"/>
          <w:szCs w:val="20"/>
          <w:lang w:val="es-PE"/>
        </w:rPr>
      </w:pPr>
      <w:r w:rsidRPr="004B114F">
        <w:rPr>
          <w:rFonts w:asciiTheme="majorHAnsi" w:hAnsiTheme="majorHAnsi"/>
          <w:sz w:val="20"/>
          <w:szCs w:val="20"/>
          <w:lang w:val="es-PE"/>
        </w:rPr>
        <w:t xml:space="preserve">Como se señaló previamente, la Corte IDH se refirió a un supuesto similar en el caso </w:t>
      </w:r>
      <w:r w:rsidRPr="004B114F">
        <w:rPr>
          <w:rFonts w:asciiTheme="majorHAnsi" w:hAnsiTheme="majorHAnsi"/>
          <w:i/>
          <w:sz w:val="20"/>
          <w:szCs w:val="20"/>
          <w:lang w:val="es-PE"/>
        </w:rPr>
        <w:t>DaCosta Cadogan Vs. Barbados.</w:t>
      </w:r>
      <w:r w:rsidRPr="004B114F">
        <w:rPr>
          <w:rFonts w:asciiTheme="majorHAnsi" w:hAnsiTheme="majorHAnsi"/>
          <w:sz w:val="20"/>
          <w:szCs w:val="20"/>
          <w:lang w:val="es-PE"/>
        </w:rPr>
        <w:t xml:space="preserve"> Según se desprende del expediente, la señora Maleno venía siendo procesada por el homicidio calificado de su hija recién nacida. La parte peticionaria señala que, al momento de los hechos, la presunta víctima se encontraba en estado de puerperio, y que, cuando fue detenida, mostraba signos evidentes de una </w:t>
      </w:r>
      <w:r w:rsidR="003C723C" w:rsidRPr="004B114F">
        <w:rPr>
          <w:rFonts w:asciiTheme="majorHAnsi" w:hAnsiTheme="majorHAnsi"/>
          <w:sz w:val="20"/>
          <w:szCs w:val="20"/>
          <w:lang w:val="es-PE"/>
        </w:rPr>
        <w:t>“</w:t>
      </w:r>
      <w:r w:rsidRPr="004B114F">
        <w:rPr>
          <w:rFonts w:asciiTheme="majorHAnsi" w:hAnsiTheme="majorHAnsi"/>
          <w:sz w:val="20"/>
          <w:szCs w:val="20"/>
          <w:lang w:val="es-PE"/>
        </w:rPr>
        <w:t>conducta mental inadecuada</w:t>
      </w:r>
      <w:r w:rsidR="003C723C" w:rsidRPr="004B114F">
        <w:rPr>
          <w:rFonts w:asciiTheme="majorHAnsi" w:hAnsiTheme="majorHAnsi"/>
          <w:sz w:val="20"/>
          <w:szCs w:val="20"/>
          <w:lang w:val="es-PE"/>
        </w:rPr>
        <w:t>”</w:t>
      </w:r>
      <w:r w:rsidRPr="004B114F">
        <w:rPr>
          <w:rFonts w:asciiTheme="majorHAnsi" w:hAnsiTheme="majorHAnsi"/>
          <w:sz w:val="20"/>
          <w:szCs w:val="20"/>
          <w:lang w:val="es-PE"/>
        </w:rPr>
        <w:t>, lo que llevó a su defensa a solicitar al Tribunal Cuarto, en varias oportunidades, que se le practique una pericia psiquiátrica. No obstante esta solicitud no fue acogida por dicho Tribunal</w:t>
      </w:r>
      <w:r w:rsidR="003C723C" w:rsidRPr="004B114F">
        <w:rPr>
          <w:rFonts w:asciiTheme="majorHAnsi" w:hAnsiTheme="majorHAnsi"/>
          <w:sz w:val="20"/>
          <w:szCs w:val="20"/>
          <w:lang w:val="es-PE"/>
        </w:rPr>
        <w:t>.</w:t>
      </w:r>
      <w:r w:rsidRPr="004B114F">
        <w:rPr>
          <w:rFonts w:asciiTheme="majorHAnsi" w:hAnsiTheme="majorHAnsi"/>
          <w:sz w:val="20"/>
          <w:szCs w:val="20"/>
          <w:lang w:val="es-PE"/>
        </w:rPr>
        <w:t xml:space="preserve"> </w:t>
      </w:r>
      <w:r w:rsidR="003C723C" w:rsidRPr="004B114F">
        <w:rPr>
          <w:rFonts w:asciiTheme="majorHAnsi" w:hAnsiTheme="majorHAnsi"/>
          <w:sz w:val="20"/>
          <w:szCs w:val="20"/>
          <w:lang w:val="es-PE"/>
        </w:rPr>
        <w:t>L</w:t>
      </w:r>
      <w:r w:rsidRPr="004B114F">
        <w:rPr>
          <w:rFonts w:asciiTheme="majorHAnsi" w:hAnsiTheme="majorHAnsi"/>
          <w:sz w:val="20"/>
          <w:szCs w:val="20"/>
          <w:lang w:val="es-PE"/>
        </w:rPr>
        <w:t xml:space="preserve">a necesidad de contar con este examen no fue retomada hasta que el proceso avanzó a fase de juicio y pasó a competencia del Juzgado Primero. </w:t>
      </w:r>
    </w:p>
    <w:p w14:paraId="023F5F0E" w14:textId="77777777" w:rsidR="004A3DF1" w:rsidRPr="004B114F" w:rsidRDefault="004A3DF1" w:rsidP="004B114F">
      <w:pPr>
        <w:pStyle w:val="ListParagraph"/>
        <w:rPr>
          <w:rFonts w:asciiTheme="majorHAnsi" w:hAnsiTheme="majorHAnsi"/>
          <w:sz w:val="20"/>
          <w:szCs w:val="20"/>
          <w:lang w:val="es-PE"/>
        </w:rPr>
      </w:pPr>
    </w:p>
    <w:p w14:paraId="542E5BC6" w14:textId="4723F971" w:rsidR="004A3DF1" w:rsidRPr="004B114F" w:rsidRDefault="004A3DF1" w:rsidP="004B114F">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720"/>
        <w:jc w:val="both"/>
        <w:rPr>
          <w:rFonts w:asciiTheme="majorHAnsi" w:hAnsiTheme="majorHAnsi"/>
          <w:sz w:val="20"/>
          <w:szCs w:val="20"/>
          <w:lang w:val="es-PE"/>
        </w:rPr>
      </w:pPr>
      <w:r w:rsidRPr="004B114F">
        <w:rPr>
          <w:rFonts w:asciiTheme="majorHAnsi" w:hAnsiTheme="majorHAnsi"/>
          <w:sz w:val="20"/>
          <w:szCs w:val="20"/>
          <w:lang w:val="es-PE"/>
        </w:rPr>
        <w:t>La CIDH observa que el Tribunal Cuarto no justificó la denegatoria de la solicitud planteada por la defensa de la presunta víctima, y que el Estado de Venezuela tampoco ha brindado razones que justifiquen que la pericia no haya sido ordenada a pesar de que, en un caso como este, información técnica sobre la condición mental de la señora Maleno hubiese sido relevante tanto para determinar su responsabilidad penal por el delito que se le imputaba, así como su capacidad para comparecer en juicio. La Comisión concluye a la luz de estos elementos, que las garantías procesales vinculadas al derecho de la defensa de la presunta víctima no fueron respetadas por el Estado de Venezuela.</w:t>
      </w:r>
    </w:p>
    <w:p w14:paraId="1183A3E9" w14:textId="12E4550B" w:rsidR="004A3DF1" w:rsidRPr="004B114F" w:rsidRDefault="004A3DF1" w:rsidP="004B114F">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720"/>
        <w:jc w:val="both"/>
        <w:rPr>
          <w:rFonts w:asciiTheme="majorHAnsi" w:hAnsiTheme="majorHAnsi"/>
          <w:b/>
          <w:sz w:val="20"/>
          <w:szCs w:val="20"/>
          <w:lang w:val="es-ES_tradnl"/>
        </w:rPr>
      </w:pPr>
    </w:p>
    <w:p w14:paraId="5C9F4720" w14:textId="7D5E0544" w:rsidR="0077301B" w:rsidRPr="00DE778C" w:rsidRDefault="0077301B" w:rsidP="00DE778C">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720"/>
        <w:jc w:val="both"/>
        <w:rPr>
          <w:rFonts w:asciiTheme="majorHAnsi" w:hAnsiTheme="majorHAnsi"/>
          <w:b/>
          <w:sz w:val="20"/>
          <w:szCs w:val="20"/>
          <w:lang w:val="es-ES"/>
        </w:rPr>
      </w:pPr>
      <w:r w:rsidRPr="004B114F">
        <w:rPr>
          <w:rFonts w:asciiTheme="majorHAnsi" w:hAnsiTheme="majorHAnsi"/>
          <w:color w:val="000000"/>
          <w:sz w:val="20"/>
          <w:szCs w:val="20"/>
          <w:lang w:val="es-ES"/>
        </w:rPr>
        <w:t xml:space="preserve">La </w:t>
      </w:r>
      <w:r w:rsidRPr="00DE778C">
        <w:rPr>
          <w:rFonts w:asciiTheme="majorHAnsi" w:hAnsiTheme="majorHAnsi"/>
          <w:sz w:val="20"/>
          <w:szCs w:val="20"/>
          <w:lang w:val="es-PE"/>
        </w:rPr>
        <w:t>CIDH</w:t>
      </w:r>
      <w:r w:rsidRPr="004B114F">
        <w:rPr>
          <w:rFonts w:asciiTheme="majorHAnsi" w:hAnsiTheme="majorHAnsi"/>
          <w:color w:val="000000"/>
          <w:sz w:val="20"/>
          <w:szCs w:val="20"/>
          <w:lang w:val="es-ES"/>
        </w:rPr>
        <w:t xml:space="preserve"> no puede dejar de advertir que, como ha señalado previamente, las mujeres en el periodo de puerperio requieren especial protección por parte de los Estados. Ciertamente, la CIDH ha reconocido que a la luz del artículo 9 de la Convención de Belém do Pará, los Estados deben tener en cuenta que los factores de riesgo a la violencia enfrentados por las mujeres adquieren una dimensión particular </w:t>
      </w:r>
      <w:r w:rsidRPr="004B114F">
        <w:rPr>
          <w:rFonts w:asciiTheme="majorHAnsi" w:hAnsiTheme="majorHAnsi"/>
          <w:sz w:val="20"/>
          <w:szCs w:val="20"/>
          <w:lang w:val="es-ES_tradnl"/>
        </w:rPr>
        <w:t>cuanto</w:t>
      </w:r>
      <w:r w:rsidRPr="004B114F">
        <w:rPr>
          <w:rFonts w:asciiTheme="majorHAnsi" w:hAnsiTheme="majorHAnsi"/>
          <w:color w:val="000000"/>
          <w:sz w:val="20"/>
          <w:szCs w:val="20"/>
          <w:lang w:val="es-ES"/>
        </w:rPr>
        <w:t xml:space="preserve"> se trata de mujeres parturientes o puérperas, debido a la atención y protección que solo ellas requieren por su capacidad biológica del embarazo y parto</w:t>
      </w:r>
      <w:r w:rsidRPr="004B114F">
        <w:rPr>
          <w:rFonts w:asciiTheme="majorHAnsi" w:hAnsiTheme="majorHAnsi"/>
          <w:color w:val="000000"/>
          <w:sz w:val="20"/>
          <w:szCs w:val="20"/>
          <w:vertAlign w:val="superscript"/>
          <w:lang w:val="es-ES"/>
        </w:rPr>
        <w:footnoteReference w:id="113"/>
      </w:r>
      <w:r w:rsidRPr="004B114F">
        <w:rPr>
          <w:rFonts w:asciiTheme="majorHAnsi" w:hAnsiTheme="majorHAnsi"/>
          <w:color w:val="000000"/>
          <w:sz w:val="20"/>
          <w:szCs w:val="20"/>
          <w:lang w:val="es-ES"/>
        </w:rPr>
        <w:t>.</w:t>
      </w:r>
      <w:r w:rsidRPr="004B114F">
        <w:rPr>
          <w:rFonts w:asciiTheme="majorHAnsi" w:hAnsiTheme="majorHAnsi"/>
          <w:b/>
          <w:sz w:val="20"/>
          <w:szCs w:val="20"/>
          <w:lang w:val="es-ES"/>
        </w:rPr>
        <w:t xml:space="preserve"> </w:t>
      </w:r>
      <w:r w:rsidRPr="004B114F">
        <w:rPr>
          <w:rFonts w:asciiTheme="majorHAnsi" w:hAnsiTheme="majorHAnsi"/>
          <w:color w:val="000000" w:themeColor="text1"/>
          <w:sz w:val="20"/>
          <w:szCs w:val="20"/>
          <w:lang w:val="es-ES"/>
        </w:rPr>
        <w:t xml:space="preserve">En su informe sobre acceso a servicios de salud materna, la CIDH </w:t>
      </w:r>
      <w:r w:rsidR="00203481" w:rsidRPr="004B114F">
        <w:rPr>
          <w:rFonts w:asciiTheme="majorHAnsi" w:hAnsiTheme="majorHAnsi"/>
          <w:color w:val="000000" w:themeColor="text1"/>
          <w:sz w:val="20"/>
          <w:szCs w:val="20"/>
          <w:lang w:val="es-ES"/>
        </w:rPr>
        <w:t xml:space="preserve">reiteró </w:t>
      </w:r>
      <w:r w:rsidRPr="004B114F">
        <w:rPr>
          <w:rFonts w:asciiTheme="majorHAnsi" w:hAnsiTheme="majorHAnsi"/>
          <w:color w:val="000000" w:themeColor="text1"/>
          <w:sz w:val="20"/>
          <w:szCs w:val="20"/>
          <w:lang w:val="es-ES"/>
        </w:rPr>
        <w:t>que los Estados deben brindar adecuada protección a las mujeres en especial para conceder atención y ayuda a la madre antes y durante un lapso razonable después del parto</w:t>
      </w:r>
      <w:r w:rsidRPr="004B114F">
        <w:rPr>
          <w:rFonts w:asciiTheme="majorHAnsi" w:hAnsiTheme="majorHAnsi"/>
          <w:color w:val="000000" w:themeColor="text1"/>
          <w:sz w:val="20"/>
          <w:szCs w:val="20"/>
          <w:vertAlign w:val="superscript"/>
          <w:lang w:val="es-ES"/>
        </w:rPr>
        <w:footnoteReference w:id="114"/>
      </w:r>
      <w:r w:rsidRPr="004B114F">
        <w:rPr>
          <w:rFonts w:asciiTheme="majorHAnsi" w:hAnsiTheme="majorHAnsi"/>
          <w:color w:val="000000" w:themeColor="text1"/>
          <w:sz w:val="20"/>
          <w:szCs w:val="20"/>
          <w:lang w:val="es-ES"/>
        </w:rPr>
        <w:t>. Asimismo, e</w:t>
      </w:r>
      <w:r w:rsidRPr="004B114F">
        <w:rPr>
          <w:rFonts w:asciiTheme="majorHAnsi" w:eastAsiaTheme="majorEastAsia" w:hAnsiTheme="majorHAnsi" w:cstheme="majorBidi"/>
          <w:sz w:val="20"/>
          <w:szCs w:val="20"/>
          <w:lang w:val="es-ES"/>
        </w:rPr>
        <w:t xml:space="preserve">l </w:t>
      </w:r>
      <w:r w:rsidRPr="004B114F">
        <w:rPr>
          <w:rFonts w:asciiTheme="majorHAnsi" w:hAnsiTheme="majorHAnsi"/>
          <w:sz w:val="20"/>
          <w:szCs w:val="20"/>
          <w:lang w:val="es-ES_tradnl"/>
        </w:rPr>
        <w:t xml:space="preserve">Comité para la Eliminación de la Discriminación contra la Mujer (CEDAW) </w:t>
      </w:r>
      <w:r w:rsidRPr="004B114F">
        <w:rPr>
          <w:rFonts w:asciiTheme="majorHAnsi" w:eastAsiaTheme="majorEastAsia" w:hAnsiTheme="majorHAnsi" w:cstheme="majorBidi"/>
          <w:sz w:val="20"/>
          <w:szCs w:val="20"/>
          <w:lang w:val="es-ES"/>
        </w:rPr>
        <w:t xml:space="preserve">en su </w:t>
      </w:r>
      <w:r w:rsidRPr="004B114F">
        <w:rPr>
          <w:rFonts w:asciiTheme="majorHAnsi" w:eastAsiaTheme="majorEastAsia" w:hAnsiTheme="majorHAnsi" w:cstheme="majorBidi"/>
          <w:i/>
          <w:iCs/>
          <w:sz w:val="20"/>
          <w:szCs w:val="20"/>
          <w:lang w:val="es-ES"/>
        </w:rPr>
        <w:t>Recomendación General No. 24 sobre la salud de la mujer</w:t>
      </w:r>
      <w:r w:rsidRPr="004B114F">
        <w:rPr>
          <w:rFonts w:asciiTheme="majorHAnsi" w:eastAsiaTheme="majorEastAsia" w:hAnsiTheme="majorHAnsi" w:cstheme="majorBidi"/>
          <w:sz w:val="20"/>
          <w:szCs w:val="20"/>
          <w:lang w:val="es-ES"/>
        </w:rPr>
        <w:t xml:space="preserve"> </w:t>
      </w:r>
      <w:r w:rsidR="00D1288B" w:rsidRPr="004B114F">
        <w:rPr>
          <w:rFonts w:asciiTheme="majorHAnsi" w:eastAsiaTheme="majorEastAsia" w:hAnsiTheme="majorHAnsi" w:cstheme="majorBidi"/>
          <w:sz w:val="20"/>
          <w:szCs w:val="20"/>
          <w:lang w:val="es-ES"/>
        </w:rPr>
        <w:t xml:space="preserve">y el </w:t>
      </w:r>
      <w:r w:rsidR="00D1288B" w:rsidRPr="004B114F">
        <w:rPr>
          <w:rFonts w:asciiTheme="majorHAnsi" w:hAnsiTheme="majorHAnsi"/>
          <w:color w:val="000000" w:themeColor="text1"/>
          <w:sz w:val="20"/>
          <w:szCs w:val="20"/>
          <w:lang w:val="es-ES"/>
        </w:rPr>
        <w:t xml:space="preserve">Comité </w:t>
      </w:r>
      <w:r w:rsidR="00D1288B" w:rsidRPr="004B114F">
        <w:rPr>
          <w:rFonts w:asciiTheme="majorHAnsi" w:hAnsiTheme="majorHAnsi"/>
          <w:color w:val="000000"/>
          <w:sz w:val="20"/>
          <w:szCs w:val="20"/>
          <w:lang w:val="es-ES"/>
        </w:rPr>
        <w:t>de</w:t>
      </w:r>
      <w:r w:rsidR="00D1288B" w:rsidRPr="004B114F">
        <w:rPr>
          <w:rFonts w:asciiTheme="majorHAnsi" w:hAnsiTheme="majorHAnsi"/>
          <w:color w:val="000000" w:themeColor="text1"/>
          <w:sz w:val="20"/>
          <w:szCs w:val="20"/>
          <w:lang w:val="es-ES"/>
        </w:rPr>
        <w:t xml:space="preserve"> Derechos Económicos, Sociales y Culturales</w:t>
      </w:r>
      <w:r w:rsidR="00D1288B" w:rsidRPr="004B114F">
        <w:rPr>
          <w:rFonts w:asciiTheme="majorHAnsi" w:eastAsiaTheme="majorEastAsia" w:hAnsiTheme="majorHAnsi" w:cstheme="majorBidi"/>
          <w:sz w:val="20"/>
          <w:szCs w:val="20"/>
          <w:lang w:val="es-ES"/>
        </w:rPr>
        <w:t xml:space="preserve"> en su </w:t>
      </w:r>
      <w:r w:rsidR="00D1288B" w:rsidRPr="004B114F">
        <w:rPr>
          <w:rFonts w:asciiTheme="majorHAnsi" w:hAnsiTheme="majorHAnsi"/>
          <w:i/>
          <w:iCs/>
          <w:color w:val="000000" w:themeColor="text1"/>
          <w:sz w:val="20"/>
          <w:szCs w:val="20"/>
          <w:lang w:val="es-ES"/>
        </w:rPr>
        <w:t>Observación General 14</w:t>
      </w:r>
      <w:r w:rsidR="00203481" w:rsidRPr="00DE778C">
        <w:rPr>
          <w:rFonts w:asciiTheme="majorHAnsi" w:hAnsiTheme="majorHAnsi"/>
          <w:color w:val="000000" w:themeColor="text1"/>
          <w:sz w:val="20"/>
          <w:szCs w:val="20"/>
          <w:lang w:val="es-ES"/>
        </w:rPr>
        <w:t>,</w:t>
      </w:r>
      <w:r w:rsidR="00D1288B" w:rsidRPr="004B114F">
        <w:rPr>
          <w:rFonts w:asciiTheme="majorHAnsi" w:hAnsiTheme="majorHAnsi"/>
          <w:color w:val="000000" w:themeColor="text1"/>
          <w:sz w:val="20"/>
          <w:szCs w:val="20"/>
          <w:lang w:val="es-ES"/>
        </w:rPr>
        <w:t xml:space="preserve"> </w:t>
      </w:r>
      <w:r w:rsidRPr="004B114F">
        <w:rPr>
          <w:rFonts w:asciiTheme="majorHAnsi" w:eastAsiaTheme="majorEastAsia" w:hAnsiTheme="majorHAnsi" w:cstheme="majorBidi"/>
          <w:sz w:val="20"/>
          <w:szCs w:val="20"/>
          <w:lang w:val="es-ES"/>
        </w:rPr>
        <w:t>ha</w:t>
      </w:r>
      <w:r w:rsidR="00D1288B" w:rsidRPr="004B114F">
        <w:rPr>
          <w:rFonts w:asciiTheme="majorHAnsi" w:eastAsiaTheme="majorEastAsia" w:hAnsiTheme="majorHAnsi" w:cstheme="majorBidi"/>
          <w:sz w:val="20"/>
          <w:szCs w:val="20"/>
          <w:lang w:val="es-ES"/>
        </w:rPr>
        <w:t>n</w:t>
      </w:r>
      <w:r w:rsidRPr="004B114F">
        <w:rPr>
          <w:rFonts w:asciiTheme="majorHAnsi" w:eastAsiaTheme="majorEastAsia" w:hAnsiTheme="majorHAnsi" w:cstheme="majorBidi"/>
          <w:sz w:val="20"/>
          <w:szCs w:val="20"/>
          <w:lang w:val="es-ES"/>
        </w:rPr>
        <w:t xml:space="preserve"> afirmado que </w:t>
      </w:r>
      <w:r w:rsidR="00D1288B" w:rsidRPr="004B114F">
        <w:rPr>
          <w:rFonts w:asciiTheme="majorHAnsi" w:hAnsiTheme="majorHAnsi"/>
          <w:color w:val="000000" w:themeColor="text1"/>
          <w:sz w:val="20"/>
          <w:szCs w:val="20"/>
          <w:lang w:val="es-ES"/>
        </w:rPr>
        <w:t>los Estados deben garantizar el derecho a la integridad física, psíquica y moral de las mujeres en el acceso a servicios de salud materna en condiciones de igualdad, priorizando recursos para atender las necesidades particulares de las mujeres en cuanto al embarazo, parto y periodo posterior al parto</w:t>
      </w:r>
      <w:r w:rsidRPr="004B114F">
        <w:rPr>
          <w:rStyle w:val="FootnoteReference"/>
          <w:rFonts w:asciiTheme="majorHAnsi" w:hAnsiTheme="majorHAnsi"/>
          <w:sz w:val="20"/>
          <w:szCs w:val="20"/>
          <w:lang w:val="es-ES"/>
        </w:rPr>
        <w:footnoteReference w:id="115"/>
      </w:r>
      <w:r w:rsidRPr="004B114F">
        <w:rPr>
          <w:rFonts w:asciiTheme="majorHAnsi" w:eastAsiaTheme="majorEastAsia" w:hAnsiTheme="majorHAnsi" w:cstheme="majorBidi"/>
          <w:sz w:val="20"/>
          <w:szCs w:val="20"/>
          <w:lang w:val="es-ES"/>
        </w:rPr>
        <w:t>.</w:t>
      </w:r>
      <w:bookmarkEnd w:id="45"/>
    </w:p>
    <w:p w14:paraId="4CDC5647" w14:textId="77777777" w:rsidR="0077301B" w:rsidRPr="004B114F" w:rsidRDefault="0077301B" w:rsidP="004B114F">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720"/>
        <w:jc w:val="both"/>
        <w:rPr>
          <w:rFonts w:asciiTheme="majorHAnsi" w:hAnsiTheme="majorHAnsi"/>
          <w:b/>
          <w:sz w:val="20"/>
          <w:szCs w:val="20"/>
          <w:lang w:val="es-ES_tradnl"/>
        </w:rPr>
      </w:pPr>
    </w:p>
    <w:p w14:paraId="13AEB2BB" w14:textId="3A5C376C" w:rsidR="00AC2B34" w:rsidRPr="00DE778C" w:rsidRDefault="00AC2B34" w:rsidP="00DE778C">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720"/>
        <w:jc w:val="both"/>
        <w:rPr>
          <w:rFonts w:asciiTheme="majorHAnsi" w:eastAsia="Cambria" w:hAnsiTheme="majorHAnsi" w:cs="Cambria"/>
          <w:color w:val="000000"/>
          <w:sz w:val="20"/>
          <w:szCs w:val="20"/>
          <w:lang w:val="es-ES"/>
        </w:rPr>
      </w:pPr>
      <w:r w:rsidRPr="00DE778C">
        <w:rPr>
          <w:rFonts w:asciiTheme="majorHAnsi" w:eastAsia="Cambria" w:hAnsiTheme="majorHAnsi" w:cs="Cambria"/>
          <w:color w:val="000000"/>
          <w:sz w:val="20"/>
          <w:szCs w:val="20"/>
          <w:lang w:val="es-ES"/>
        </w:rPr>
        <w:t xml:space="preserve">Por </w:t>
      </w:r>
      <w:r w:rsidR="004B114F" w:rsidRPr="004B114F">
        <w:rPr>
          <w:rFonts w:asciiTheme="majorHAnsi" w:eastAsia="Cambria" w:hAnsiTheme="majorHAnsi" w:cs="Cambria"/>
          <w:color w:val="000000"/>
          <w:sz w:val="20"/>
          <w:szCs w:val="20"/>
          <w:lang w:val="es-ES"/>
        </w:rPr>
        <w:t>último</w:t>
      </w:r>
      <w:r w:rsidRPr="00DE778C">
        <w:rPr>
          <w:rFonts w:asciiTheme="majorHAnsi" w:eastAsia="Cambria" w:hAnsiTheme="majorHAnsi" w:cs="Cambria"/>
          <w:color w:val="000000"/>
          <w:sz w:val="20"/>
          <w:szCs w:val="20"/>
          <w:lang w:val="es-ES"/>
        </w:rPr>
        <w:t>, en el presente caso la peticionaria alegó que la defensa pública asignada a la señora Maleno no interpuso recursos de apelación contra decisiones</w:t>
      </w:r>
      <w:r w:rsidRPr="004B114F">
        <w:rPr>
          <w:rFonts w:asciiTheme="majorHAnsi" w:eastAsia="Cambria" w:hAnsiTheme="majorHAnsi" w:cs="Cambria"/>
          <w:color w:val="000000"/>
          <w:sz w:val="20"/>
          <w:szCs w:val="20"/>
          <w:lang w:val="es-ES"/>
        </w:rPr>
        <w:t xml:space="preserve"> judiciales que afectaron sus derechos</w:t>
      </w:r>
      <w:r w:rsidRPr="00DE778C">
        <w:rPr>
          <w:rFonts w:asciiTheme="majorHAnsi" w:eastAsia="Cambria" w:hAnsiTheme="majorHAnsi" w:cs="Cambria"/>
          <w:color w:val="000000"/>
          <w:sz w:val="20"/>
          <w:szCs w:val="20"/>
          <w:lang w:val="es-ES"/>
        </w:rPr>
        <w:t xml:space="preserve">. En particular, no apeló la medida impuesta por </w:t>
      </w:r>
      <w:r w:rsidRPr="004B114F">
        <w:rPr>
          <w:rFonts w:asciiTheme="majorHAnsi" w:eastAsia="Cambria" w:hAnsiTheme="majorHAnsi" w:cs="Cambria"/>
          <w:color w:val="000000"/>
          <w:sz w:val="20"/>
          <w:szCs w:val="20"/>
          <w:lang w:val="es-CL"/>
        </w:rPr>
        <w:t xml:space="preserve">el Tribunal Cuarto que decretó </w:t>
      </w:r>
      <w:r w:rsidRPr="00DE778C">
        <w:rPr>
          <w:rFonts w:asciiTheme="majorHAnsi" w:eastAsia="Cambria" w:hAnsiTheme="majorHAnsi" w:cs="Cambria"/>
          <w:color w:val="000000"/>
          <w:sz w:val="20"/>
          <w:szCs w:val="20"/>
          <w:lang w:val="es-ES"/>
        </w:rPr>
        <w:t>la prisión</w:t>
      </w:r>
      <w:r w:rsidRPr="004B114F">
        <w:rPr>
          <w:rFonts w:asciiTheme="majorHAnsi" w:eastAsia="Cambria" w:hAnsiTheme="majorHAnsi" w:cs="Cambria"/>
          <w:color w:val="000000"/>
          <w:sz w:val="20"/>
          <w:szCs w:val="20"/>
          <w:lang w:val="es-CL"/>
        </w:rPr>
        <w:t xml:space="preserve"> preventiva en contra de la presunta víctima en ausencia de certificación psiquiátrica alguna, en virtud </w:t>
      </w:r>
      <w:r w:rsidRPr="00DE778C">
        <w:rPr>
          <w:rFonts w:asciiTheme="majorHAnsi" w:hAnsiTheme="majorHAnsi"/>
          <w:sz w:val="20"/>
          <w:szCs w:val="20"/>
          <w:lang w:val="es-PE"/>
        </w:rPr>
        <w:t>de</w:t>
      </w:r>
      <w:r w:rsidRPr="004B114F">
        <w:rPr>
          <w:rFonts w:asciiTheme="majorHAnsi" w:eastAsia="Cambria" w:hAnsiTheme="majorHAnsi" w:cs="Cambria"/>
          <w:color w:val="000000"/>
          <w:sz w:val="20"/>
          <w:szCs w:val="20"/>
          <w:lang w:val="es-CL"/>
        </w:rPr>
        <w:t xml:space="preserve"> la cual la señora Maleno fue trasladada al Internado Judicial José Antonio Anzoátegui</w:t>
      </w:r>
      <w:r w:rsidRPr="00DE778C">
        <w:rPr>
          <w:rFonts w:asciiTheme="majorHAnsi" w:eastAsia="Cambria" w:hAnsiTheme="majorHAnsi" w:cs="Cambria"/>
          <w:color w:val="000000"/>
          <w:sz w:val="20"/>
          <w:szCs w:val="20"/>
          <w:lang w:val="es-ES"/>
        </w:rPr>
        <w:t xml:space="preserve"> en octubre de 2001. Asimismo, sostuvo que tampoco apeló la denegatoria de la solicitud formulada a dicho Tribunal en octubre de 2002 en el marco de </w:t>
      </w:r>
      <w:r w:rsidR="004A1829" w:rsidRPr="004B114F">
        <w:rPr>
          <w:rFonts w:asciiTheme="majorHAnsi" w:eastAsia="Cambria" w:hAnsiTheme="majorHAnsi" w:cs="Cambria"/>
          <w:color w:val="000000"/>
          <w:sz w:val="20"/>
          <w:szCs w:val="20"/>
          <w:lang w:val="es-ES"/>
        </w:rPr>
        <w:t>una</w:t>
      </w:r>
      <w:r w:rsidRPr="00DE778C">
        <w:rPr>
          <w:rFonts w:asciiTheme="majorHAnsi" w:eastAsia="Cambria" w:hAnsiTheme="majorHAnsi" w:cs="Cambria"/>
          <w:color w:val="000000"/>
          <w:sz w:val="20"/>
          <w:szCs w:val="20"/>
          <w:lang w:val="es-ES"/>
        </w:rPr>
        <w:t xml:space="preserve"> audiencia preliminar, consistente en que la presunta víctima continúe el proceso penal en libertad y se le practique el examen médico psiquiátrico antes señalado. El Estado, por su parte, no presentó alegatos ni pruebas tendientes a desvirtuar </w:t>
      </w:r>
      <w:r w:rsidR="004A1829" w:rsidRPr="004B114F">
        <w:rPr>
          <w:rFonts w:asciiTheme="majorHAnsi" w:eastAsia="Cambria" w:hAnsiTheme="majorHAnsi" w:cs="Cambria"/>
          <w:color w:val="000000"/>
          <w:sz w:val="20"/>
          <w:szCs w:val="20"/>
          <w:lang w:val="es-ES"/>
        </w:rPr>
        <w:t>tales alegatos</w:t>
      </w:r>
      <w:r w:rsidRPr="00DE778C">
        <w:rPr>
          <w:rFonts w:asciiTheme="majorHAnsi" w:eastAsia="Cambria" w:hAnsiTheme="majorHAnsi" w:cs="Cambria"/>
          <w:color w:val="000000"/>
          <w:sz w:val="20"/>
          <w:szCs w:val="20"/>
          <w:lang w:val="es-ES"/>
        </w:rPr>
        <w:t xml:space="preserve">. </w:t>
      </w:r>
    </w:p>
    <w:p w14:paraId="300B7BB0" w14:textId="77777777" w:rsidR="00AC2B34" w:rsidRPr="00DE778C" w:rsidRDefault="00AC2B34" w:rsidP="004B114F">
      <w:pPr>
        <w:tabs>
          <w:tab w:val="center" w:pos="360"/>
        </w:tabs>
        <w:jc w:val="both"/>
        <w:rPr>
          <w:rFonts w:asciiTheme="majorHAnsi" w:eastAsia="Cambria" w:hAnsiTheme="majorHAnsi" w:cs="Cambria"/>
          <w:color w:val="000000"/>
          <w:sz w:val="20"/>
          <w:szCs w:val="20"/>
          <w:lang w:val="es-ES"/>
        </w:rPr>
      </w:pPr>
    </w:p>
    <w:p w14:paraId="1F1E8E22" w14:textId="77777777" w:rsidR="00337207" w:rsidRPr="004B114F" w:rsidRDefault="00AC2B34" w:rsidP="004B114F">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720"/>
        <w:jc w:val="both"/>
        <w:rPr>
          <w:rFonts w:asciiTheme="majorHAnsi" w:eastAsia="Cambria" w:hAnsiTheme="majorHAnsi" w:cs="Cambria"/>
          <w:color w:val="000000"/>
          <w:sz w:val="20"/>
          <w:szCs w:val="20"/>
          <w:lang w:val="es-ES"/>
        </w:rPr>
      </w:pPr>
      <w:r w:rsidRPr="00DE778C">
        <w:rPr>
          <w:rFonts w:asciiTheme="majorHAnsi" w:eastAsia="Cambria" w:hAnsiTheme="majorHAnsi" w:cs="Cambria"/>
          <w:color w:val="000000"/>
          <w:sz w:val="20"/>
          <w:szCs w:val="20"/>
          <w:lang w:val="es-ES"/>
        </w:rPr>
        <w:t xml:space="preserve">Al respecto, la CIDH considera que las omisiones de la defensa pública aludidas por la peticionaria se refieren a dos decisiones judiciales claves para los derechos de la presunta víctima y que, por ende, </w:t>
      </w:r>
      <w:r w:rsidR="004A1829" w:rsidRPr="004B114F">
        <w:rPr>
          <w:rFonts w:asciiTheme="majorHAnsi" w:eastAsia="Cambria" w:hAnsiTheme="majorHAnsi" w:cs="Cambria"/>
          <w:color w:val="000000"/>
          <w:sz w:val="20"/>
          <w:szCs w:val="20"/>
          <w:lang w:val="es-ES"/>
        </w:rPr>
        <w:t>podían</w:t>
      </w:r>
      <w:r w:rsidRPr="00DE778C">
        <w:rPr>
          <w:rFonts w:asciiTheme="majorHAnsi" w:eastAsia="Cambria" w:hAnsiTheme="majorHAnsi" w:cs="Cambria"/>
          <w:color w:val="000000"/>
          <w:sz w:val="20"/>
          <w:szCs w:val="20"/>
          <w:lang w:val="es-ES"/>
        </w:rPr>
        <w:t xml:space="preserve"> redundar en la inefectividad de la defensa de tales derechos. En buena cuenta, la defensa pública no cuestionó las medidas judiciales que habilitaron la prosecución penal y detención preventiva de la presunta víctima, lo cual en opinión de la CIDH tuvo un efecto decisivo en contra de los intereses de la señora Maleno. La Comisión considera que el ejercicio con la debida diligencia en el </w:t>
      </w:r>
      <w:r w:rsidRPr="004B114F">
        <w:rPr>
          <w:rFonts w:asciiTheme="majorHAnsi" w:eastAsia="Cambria" w:hAnsiTheme="majorHAnsi" w:cs="Cambria"/>
          <w:color w:val="000000"/>
          <w:sz w:val="20"/>
          <w:szCs w:val="20"/>
          <w:lang w:val="es-ES"/>
        </w:rPr>
        <w:t>ejercicio</w:t>
      </w:r>
      <w:r w:rsidRPr="00DE778C">
        <w:rPr>
          <w:rFonts w:asciiTheme="majorHAnsi" w:eastAsia="Cambria" w:hAnsiTheme="majorHAnsi" w:cs="Cambria"/>
          <w:color w:val="000000"/>
          <w:sz w:val="20"/>
          <w:szCs w:val="20"/>
          <w:lang w:val="es-ES"/>
        </w:rPr>
        <w:t xml:space="preserve"> de la defensa aconsejaba </w:t>
      </w:r>
      <w:r w:rsidR="004A1829" w:rsidRPr="004B114F">
        <w:rPr>
          <w:rFonts w:asciiTheme="majorHAnsi" w:eastAsia="Cambria" w:hAnsiTheme="majorHAnsi" w:cs="Cambria"/>
          <w:color w:val="000000"/>
          <w:sz w:val="20"/>
          <w:szCs w:val="20"/>
          <w:lang w:val="es-ES"/>
        </w:rPr>
        <w:t xml:space="preserve">mínimamente </w:t>
      </w:r>
      <w:r w:rsidRPr="00DE778C">
        <w:rPr>
          <w:rFonts w:asciiTheme="majorHAnsi" w:eastAsia="Cambria" w:hAnsiTheme="majorHAnsi" w:cs="Cambria"/>
          <w:color w:val="000000"/>
          <w:sz w:val="20"/>
          <w:szCs w:val="20"/>
          <w:lang w:val="es-ES"/>
        </w:rPr>
        <w:t xml:space="preserve">la apelación de las decisiones judiciales antes referidas, que permitieron la consecución de un proceso penal que desconoció la situación de salud mental de la presunta víctima y su encarcelamiento arbitrario durante al menos dos años. </w:t>
      </w:r>
    </w:p>
    <w:p w14:paraId="723F64D2" w14:textId="77777777" w:rsidR="00337207" w:rsidRPr="004B114F" w:rsidRDefault="00337207" w:rsidP="00DE778C">
      <w:pPr>
        <w:pStyle w:val="ListParagraph"/>
        <w:rPr>
          <w:rFonts w:asciiTheme="majorHAnsi" w:hAnsiTheme="majorHAnsi"/>
          <w:sz w:val="20"/>
          <w:szCs w:val="20"/>
          <w:lang w:val="es-ES"/>
        </w:rPr>
      </w:pPr>
    </w:p>
    <w:p w14:paraId="4394DAEA" w14:textId="4A252BC2" w:rsidR="00AC2B34" w:rsidRPr="00DE778C" w:rsidRDefault="00155D6A" w:rsidP="00DE778C">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720"/>
        <w:jc w:val="both"/>
        <w:rPr>
          <w:rFonts w:asciiTheme="majorHAnsi" w:eastAsia="Cambria" w:hAnsiTheme="majorHAnsi" w:cs="Cambria"/>
          <w:color w:val="000000"/>
          <w:sz w:val="20"/>
          <w:szCs w:val="20"/>
          <w:lang w:val="es-ES"/>
        </w:rPr>
      </w:pPr>
      <w:r w:rsidRPr="004B114F">
        <w:rPr>
          <w:rFonts w:asciiTheme="majorHAnsi" w:eastAsia="Cambria" w:hAnsiTheme="majorHAnsi" w:cs="Cambria"/>
          <w:color w:val="000000"/>
          <w:sz w:val="20"/>
          <w:szCs w:val="20"/>
          <w:lang w:val="es-ES"/>
        </w:rPr>
        <w:t xml:space="preserve">A ello se suma que, conforme observa la CIDH, en el proceso de amparo </w:t>
      </w:r>
      <w:r w:rsidR="00337207" w:rsidRPr="004B114F">
        <w:rPr>
          <w:rFonts w:asciiTheme="majorHAnsi" w:eastAsia="Cambria" w:hAnsiTheme="majorHAnsi" w:cs="Cambria"/>
          <w:color w:val="000000"/>
          <w:sz w:val="20"/>
          <w:szCs w:val="20"/>
          <w:lang w:val="es-ES"/>
        </w:rPr>
        <w:t xml:space="preserve">presentado por la peticionaria en favor de la presunta víctima, la motivación de la Corte de Apelaciones para declarar sin lugar tal recurso se basó parcialmente en la falta de acción de las vías procesales ordinarias contenidas en el artículo 42 </w:t>
      </w:r>
      <w:r w:rsidR="00337207" w:rsidRPr="004B114F">
        <w:rPr>
          <w:rFonts w:asciiTheme="majorHAnsi" w:hAnsiTheme="majorHAnsi"/>
          <w:sz w:val="20"/>
          <w:szCs w:val="20"/>
          <w:lang w:val="es-ES_tradnl"/>
        </w:rPr>
        <w:t xml:space="preserve">el artículo 42 del Código Orgánico Procesal sobre mecanismos de suspensión condicional del proceso penal y en el Libro Primero </w:t>
      </w:r>
      <w:r w:rsidR="004B114F" w:rsidRPr="004B114F">
        <w:rPr>
          <w:rFonts w:asciiTheme="majorHAnsi" w:hAnsiTheme="majorHAnsi"/>
          <w:sz w:val="20"/>
          <w:szCs w:val="20"/>
          <w:lang w:val="es-ES_tradnl"/>
        </w:rPr>
        <w:t>Título</w:t>
      </w:r>
      <w:r w:rsidR="00337207" w:rsidRPr="004B114F">
        <w:rPr>
          <w:rFonts w:asciiTheme="majorHAnsi" w:hAnsiTheme="majorHAnsi"/>
          <w:sz w:val="20"/>
          <w:szCs w:val="20"/>
          <w:lang w:val="es-ES_tradnl"/>
        </w:rPr>
        <w:t xml:space="preserve"> I Cap</w:t>
      </w:r>
      <w:r w:rsidR="00F4343A">
        <w:rPr>
          <w:rFonts w:asciiTheme="majorHAnsi" w:hAnsiTheme="majorHAnsi"/>
          <w:sz w:val="20"/>
          <w:szCs w:val="20"/>
          <w:lang w:val="es-ES_tradnl"/>
        </w:rPr>
        <w:t>í</w:t>
      </w:r>
      <w:r w:rsidR="00337207" w:rsidRPr="004B114F">
        <w:rPr>
          <w:rFonts w:asciiTheme="majorHAnsi" w:hAnsiTheme="majorHAnsi"/>
          <w:sz w:val="20"/>
          <w:szCs w:val="20"/>
          <w:lang w:val="es-ES_tradnl"/>
        </w:rPr>
        <w:t>tulo III sobre alternativas a la prosecución penal.</w:t>
      </w:r>
      <w:r w:rsidR="00337207" w:rsidRPr="004B114F">
        <w:rPr>
          <w:rFonts w:asciiTheme="majorHAnsi" w:eastAsia="Cambria" w:hAnsiTheme="majorHAnsi" w:cs="Cambria"/>
          <w:color w:val="000000"/>
          <w:sz w:val="20"/>
          <w:szCs w:val="20"/>
          <w:lang w:val="es-ES"/>
        </w:rPr>
        <w:t xml:space="preserve"> </w:t>
      </w:r>
      <w:r w:rsidR="00AC2B34" w:rsidRPr="00DE778C">
        <w:rPr>
          <w:rFonts w:asciiTheme="majorHAnsi" w:eastAsia="Cambria" w:hAnsiTheme="majorHAnsi" w:cs="Cambria"/>
          <w:color w:val="000000"/>
          <w:sz w:val="20"/>
          <w:szCs w:val="20"/>
          <w:lang w:val="es-ES"/>
        </w:rPr>
        <w:t xml:space="preserve">Ello hace evidente que la defensa pública con que contó la señora Maleno no procuró con los medios a su alcance proteger </w:t>
      </w:r>
      <w:r w:rsidR="004A1829" w:rsidRPr="004B114F">
        <w:rPr>
          <w:rFonts w:asciiTheme="majorHAnsi" w:eastAsia="Cambria" w:hAnsiTheme="majorHAnsi" w:cs="Cambria"/>
          <w:color w:val="000000"/>
          <w:sz w:val="20"/>
          <w:szCs w:val="20"/>
          <w:lang w:val="es-ES"/>
        </w:rPr>
        <w:t xml:space="preserve">efectivamente </w:t>
      </w:r>
      <w:r w:rsidR="00AC2B34" w:rsidRPr="00DE778C">
        <w:rPr>
          <w:rFonts w:asciiTheme="majorHAnsi" w:eastAsia="Cambria" w:hAnsiTheme="majorHAnsi" w:cs="Cambria"/>
          <w:color w:val="000000"/>
          <w:sz w:val="20"/>
          <w:szCs w:val="20"/>
          <w:lang w:val="es-ES"/>
        </w:rPr>
        <w:t>sus garantías procesales y evitar que sus derechos se vean vulnerados</w:t>
      </w:r>
      <w:r w:rsidR="004A1829" w:rsidRPr="004B114F">
        <w:rPr>
          <w:rFonts w:asciiTheme="majorHAnsi" w:eastAsia="Cambria" w:hAnsiTheme="majorHAnsi" w:cs="Cambria"/>
          <w:color w:val="000000"/>
          <w:sz w:val="20"/>
          <w:szCs w:val="20"/>
          <w:lang w:val="es-ES"/>
        </w:rPr>
        <w:t>, como constata la CIDH a lo largo del presente informe</w:t>
      </w:r>
      <w:r w:rsidR="00AC2B34" w:rsidRPr="00DE778C">
        <w:rPr>
          <w:rFonts w:asciiTheme="majorHAnsi" w:eastAsia="Cambria" w:hAnsiTheme="majorHAnsi" w:cs="Cambria"/>
          <w:color w:val="000000"/>
          <w:sz w:val="20"/>
          <w:szCs w:val="20"/>
          <w:lang w:val="es-ES"/>
        </w:rPr>
        <w:t>.</w:t>
      </w:r>
    </w:p>
    <w:p w14:paraId="4EBE9F9C" w14:textId="77777777" w:rsidR="00AC2B34" w:rsidRPr="004B114F" w:rsidRDefault="00AC2B34" w:rsidP="004B114F">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720"/>
        <w:jc w:val="both"/>
        <w:rPr>
          <w:rFonts w:asciiTheme="majorHAnsi" w:hAnsiTheme="majorHAnsi"/>
          <w:b/>
          <w:sz w:val="20"/>
          <w:szCs w:val="20"/>
          <w:lang w:val="es-ES_tradnl"/>
        </w:rPr>
      </w:pPr>
    </w:p>
    <w:p w14:paraId="0233D81F" w14:textId="7609BFFB" w:rsidR="004A3DF1" w:rsidRPr="004B114F" w:rsidRDefault="004A3DF1" w:rsidP="004B114F">
      <w:pPr>
        <w:pStyle w:val="parrafos"/>
        <w:numPr>
          <w:ilvl w:val="0"/>
          <w:numId w:val="55"/>
        </w:numPr>
        <w:tabs>
          <w:tab w:val="clear" w:pos="360"/>
          <w:tab w:val="left" w:pos="993"/>
        </w:tabs>
        <w:autoSpaceDE w:val="0"/>
        <w:autoSpaceDN w:val="0"/>
        <w:adjustRightInd w:val="0"/>
        <w:ind w:left="0" w:firstLine="567"/>
        <w:rPr>
          <w:lang w:val="es-ES_tradnl"/>
        </w:rPr>
      </w:pPr>
      <w:r w:rsidRPr="004B114F">
        <w:t xml:space="preserve">En virtud de lo señalado hasta este punto, la CIDH debe concluir </w:t>
      </w:r>
      <w:r w:rsidRPr="004B114F">
        <w:rPr>
          <w:lang w:val="es-ES_tradnl"/>
        </w:rPr>
        <w:t>que el Estado de Venezuela es responsable por la violación de los artículos 8.1</w:t>
      </w:r>
      <w:r w:rsidR="004A1829" w:rsidRPr="004B114F">
        <w:rPr>
          <w:lang w:val="es-ES_tradnl"/>
        </w:rPr>
        <w:t xml:space="preserve"> y</w:t>
      </w:r>
      <w:r w:rsidRPr="004B114F">
        <w:rPr>
          <w:lang w:val="es-ES_tradnl"/>
        </w:rPr>
        <w:t xml:space="preserve"> 8.2</w:t>
      </w:r>
      <w:r w:rsidR="004A1829" w:rsidRPr="004B114F">
        <w:rPr>
          <w:lang w:val="es-ES_tradnl"/>
        </w:rPr>
        <w:t xml:space="preserve"> </w:t>
      </w:r>
      <w:r w:rsidR="004A1829" w:rsidRPr="004B114F">
        <w:rPr>
          <w:lang w:val="es-PE"/>
        </w:rPr>
        <w:t>incisos c), d), e) y f)</w:t>
      </w:r>
      <w:r w:rsidRPr="004B114F">
        <w:rPr>
          <w:lang w:val="es-ES_tradnl"/>
        </w:rPr>
        <w:t xml:space="preserve"> de la Convención Americana en relación con el artículo 1.1 del mismo tratado, en perjuicio de la señora Dianora Maleno.</w:t>
      </w:r>
    </w:p>
    <w:p w14:paraId="48CDF507" w14:textId="77777777" w:rsidR="004A3DF1" w:rsidRPr="004B114F" w:rsidRDefault="004A3DF1" w:rsidP="00DE778C">
      <w:pPr>
        <w:rPr>
          <w:rFonts w:asciiTheme="majorHAnsi" w:hAnsiTheme="majorHAnsi"/>
          <w:szCs w:val="20"/>
          <w:lang w:val="es-ES_tradnl"/>
        </w:rPr>
      </w:pPr>
    </w:p>
    <w:p w14:paraId="07FFB975" w14:textId="6F16FAB0" w:rsidR="00A47F0C" w:rsidRPr="004B114F" w:rsidRDefault="001765CD" w:rsidP="004B114F">
      <w:pPr>
        <w:pStyle w:val="Heading2"/>
        <w:jc w:val="both"/>
        <w:rPr>
          <w:rFonts w:asciiTheme="majorHAnsi" w:hAnsiTheme="majorHAnsi"/>
          <w:szCs w:val="20"/>
          <w:lang w:val="es-ES_tradnl"/>
        </w:rPr>
      </w:pPr>
      <w:bookmarkStart w:id="46" w:name="_Toc142398964"/>
      <w:r w:rsidRPr="004B114F">
        <w:rPr>
          <w:rFonts w:asciiTheme="majorHAnsi" w:hAnsiTheme="majorHAnsi"/>
          <w:szCs w:val="20"/>
          <w:lang w:val="es-ES_tradnl"/>
        </w:rPr>
        <w:t>D</w:t>
      </w:r>
      <w:r w:rsidR="000C57B3" w:rsidRPr="004B114F">
        <w:rPr>
          <w:rFonts w:asciiTheme="majorHAnsi" w:hAnsiTheme="majorHAnsi"/>
          <w:szCs w:val="20"/>
          <w:lang w:val="es-ES_tradnl"/>
        </w:rPr>
        <w:t>erecho a la</w:t>
      </w:r>
      <w:r w:rsidR="001869D4" w:rsidRPr="004B114F">
        <w:rPr>
          <w:rFonts w:asciiTheme="majorHAnsi" w:hAnsiTheme="majorHAnsi"/>
          <w:szCs w:val="20"/>
          <w:lang w:val="es-ES_tradnl"/>
        </w:rPr>
        <w:t xml:space="preserve"> </w:t>
      </w:r>
      <w:r w:rsidR="000B7002" w:rsidRPr="004B114F">
        <w:rPr>
          <w:rFonts w:asciiTheme="majorHAnsi" w:hAnsiTheme="majorHAnsi"/>
          <w:szCs w:val="20"/>
          <w:lang w:val="es-ES_tradnl"/>
        </w:rPr>
        <w:t>integridad</w:t>
      </w:r>
      <w:r w:rsidR="001869D4" w:rsidRPr="004B114F">
        <w:rPr>
          <w:rFonts w:asciiTheme="majorHAnsi" w:hAnsiTheme="majorHAnsi"/>
          <w:szCs w:val="20"/>
          <w:lang w:val="es-ES_tradnl"/>
        </w:rPr>
        <w:t xml:space="preserve"> </w:t>
      </w:r>
      <w:r w:rsidR="00A22225" w:rsidRPr="004B114F">
        <w:rPr>
          <w:rFonts w:asciiTheme="majorHAnsi" w:hAnsiTheme="majorHAnsi"/>
          <w:szCs w:val="20"/>
          <w:lang w:val="es-ES_tradnl"/>
        </w:rPr>
        <w:t>(artículo</w:t>
      </w:r>
      <w:r w:rsidR="00641868" w:rsidRPr="004B114F">
        <w:rPr>
          <w:rFonts w:asciiTheme="majorHAnsi" w:hAnsiTheme="majorHAnsi"/>
          <w:szCs w:val="20"/>
          <w:lang w:val="es-ES_tradnl"/>
        </w:rPr>
        <w:t>s</w:t>
      </w:r>
      <w:r w:rsidR="00A22225" w:rsidRPr="004B114F">
        <w:rPr>
          <w:rFonts w:asciiTheme="majorHAnsi" w:hAnsiTheme="majorHAnsi"/>
          <w:szCs w:val="20"/>
          <w:lang w:val="es-ES_tradnl"/>
        </w:rPr>
        <w:t xml:space="preserve"> 5</w:t>
      </w:r>
      <w:r w:rsidR="00B53FCD" w:rsidRPr="004B114F">
        <w:rPr>
          <w:rFonts w:asciiTheme="majorHAnsi" w:hAnsiTheme="majorHAnsi"/>
          <w:szCs w:val="20"/>
          <w:lang w:val="es-ES_tradnl"/>
        </w:rPr>
        <w:t>.1</w:t>
      </w:r>
      <w:r w:rsidR="00641868" w:rsidRPr="004B114F">
        <w:rPr>
          <w:rFonts w:asciiTheme="majorHAnsi" w:hAnsiTheme="majorHAnsi"/>
          <w:szCs w:val="20"/>
          <w:lang w:val="es-ES_tradnl"/>
        </w:rPr>
        <w:t>, 5.2 y 5.4</w:t>
      </w:r>
      <w:r w:rsidR="00A22225" w:rsidRPr="004B114F">
        <w:rPr>
          <w:rFonts w:asciiTheme="majorHAnsi" w:hAnsiTheme="majorHAnsi"/>
          <w:szCs w:val="20"/>
          <w:lang w:val="es-ES_tradnl"/>
        </w:rPr>
        <w:t>)</w:t>
      </w:r>
      <w:bookmarkEnd w:id="29"/>
      <w:r w:rsidR="000F3669" w:rsidRPr="004B114F">
        <w:rPr>
          <w:rFonts w:asciiTheme="majorHAnsi" w:hAnsiTheme="majorHAnsi"/>
          <w:szCs w:val="20"/>
          <w:vertAlign w:val="superscript"/>
          <w:lang w:val="es-ES_tradnl"/>
        </w:rPr>
        <w:t xml:space="preserve"> </w:t>
      </w:r>
      <w:r w:rsidR="000F3669" w:rsidRPr="004B114F">
        <w:rPr>
          <w:rFonts w:asciiTheme="majorHAnsi" w:hAnsiTheme="majorHAnsi"/>
          <w:szCs w:val="20"/>
          <w:vertAlign w:val="superscript"/>
          <w:lang w:val="es-ES_tradnl"/>
        </w:rPr>
        <w:footnoteReference w:id="116"/>
      </w:r>
      <w:r w:rsidR="0020310B" w:rsidRPr="004B114F">
        <w:rPr>
          <w:rFonts w:asciiTheme="majorHAnsi" w:hAnsiTheme="majorHAnsi"/>
          <w:szCs w:val="20"/>
          <w:lang w:val="es-ES_tradnl"/>
        </w:rPr>
        <w:t>,</w:t>
      </w:r>
      <w:r w:rsidR="00142F40" w:rsidRPr="004B114F">
        <w:rPr>
          <w:rFonts w:asciiTheme="majorHAnsi" w:hAnsiTheme="majorHAnsi"/>
          <w:szCs w:val="20"/>
          <w:lang w:val="es-ES_tradnl"/>
        </w:rPr>
        <w:t xml:space="preserve"> garantías judiciales (artículo 8.1)</w:t>
      </w:r>
      <w:r w:rsidR="00142F40" w:rsidRPr="004B114F">
        <w:rPr>
          <w:rStyle w:val="FootnoteReference"/>
          <w:rFonts w:asciiTheme="majorHAnsi" w:hAnsiTheme="majorHAnsi"/>
          <w:szCs w:val="20"/>
          <w:lang w:val="es-ES_tradnl"/>
        </w:rPr>
        <w:footnoteReference w:id="117"/>
      </w:r>
      <w:r w:rsidR="00B77940" w:rsidRPr="004B114F">
        <w:rPr>
          <w:rFonts w:asciiTheme="majorHAnsi" w:hAnsiTheme="majorHAnsi"/>
          <w:szCs w:val="20"/>
          <w:lang w:val="es-ES_tradnl"/>
        </w:rPr>
        <w:t>,</w:t>
      </w:r>
      <w:r w:rsidR="0020310B" w:rsidRPr="004B114F">
        <w:rPr>
          <w:rFonts w:asciiTheme="majorHAnsi" w:hAnsiTheme="majorHAnsi"/>
          <w:szCs w:val="20"/>
          <w:lang w:val="es-ES_tradnl"/>
        </w:rPr>
        <w:t xml:space="preserve"> a la vida privada (artículo 11)</w:t>
      </w:r>
      <w:r w:rsidR="00142F40" w:rsidRPr="004B114F">
        <w:rPr>
          <w:rStyle w:val="FootnoteReference"/>
          <w:rFonts w:asciiTheme="majorHAnsi" w:hAnsiTheme="majorHAnsi"/>
          <w:szCs w:val="20"/>
          <w:lang w:val="es-ES_tradnl"/>
        </w:rPr>
        <w:footnoteReference w:id="118"/>
      </w:r>
      <w:r w:rsidR="0020310B" w:rsidRPr="004B114F">
        <w:rPr>
          <w:rFonts w:asciiTheme="majorHAnsi" w:hAnsiTheme="majorHAnsi"/>
          <w:szCs w:val="20"/>
          <w:lang w:val="es-ES_tradnl"/>
        </w:rPr>
        <w:t xml:space="preserve">, a la igualdad </w:t>
      </w:r>
      <w:r w:rsidR="00036A03" w:rsidRPr="004B114F">
        <w:rPr>
          <w:rFonts w:asciiTheme="majorHAnsi" w:hAnsiTheme="majorHAnsi"/>
          <w:szCs w:val="20"/>
          <w:lang w:val="es-ES_tradnl"/>
        </w:rPr>
        <w:t>ante la ley</w:t>
      </w:r>
      <w:r w:rsidR="0020310B" w:rsidRPr="004B114F">
        <w:rPr>
          <w:rFonts w:asciiTheme="majorHAnsi" w:hAnsiTheme="majorHAnsi"/>
          <w:szCs w:val="20"/>
          <w:lang w:val="es-ES_tradnl"/>
        </w:rPr>
        <w:t xml:space="preserve"> (artículo 24)</w:t>
      </w:r>
      <w:r w:rsidR="00142F40" w:rsidRPr="004B114F">
        <w:rPr>
          <w:rStyle w:val="FootnoteReference"/>
          <w:rFonts w:asciiTheme="majorHAnsi" w:hAnsiTheme="majorHAnsi"/>
          <w:szCs w:val="20"/>
          <w:lang w:val="es-ES_tradnl"/>
        </w:rPr>
        <w:footnoteReference w:id="119"/>
      </w:r>
      <w:r w:rsidR="0020310B" w:rsidRPr="004B114F">
        <w:rPr>
          <w:rFonts w:asciiTheme="majorHAnsi" w:hAnsiTheme="majorHAnsi"/>
          <w:szCs w:val="20"/>
          <w:lang w:val="es-ES_tradnl"/>
        </w:rPr>
        <w:t xml:space="preserve"> </w:t>
      </w:r>
      <w:r w:rsidR="00142F40" w:rsidRPr="004B114F">
        <w:rPr>
          <w:rFonts w:asciiTheme="majorHAnsi" w:hAnsiTheme="majorHAnsi"/>
          <w:szCs w:val="20"/>
          <w:lang w:val="es-ES_tradnl"/>
        </w:rPr>
        <w:t>y el derecho de acceso a la justicia (artículo 25</w:t>
      </w:r>
      <w:r w:rsidR="009F3BBB" w:rsidRPr="004B114F">
        <w:rPr>
          <w:rFonts w:asciiTheme="majorHAnsi" w:hAnsiTheme="majorHAnsi"/>
          <w:szCs w:val="20"/>
          <w:lang w:val="es-ES_tradnl"/>
        </w:rPr>
        <w:t>.1</w:t>
      </w:r>
      <w:r w:rsidR="00142F40" w:rsidRPr="004B114F">
        <w:rPr>
          <w:rFonts w:asciiTheme="majorHAnsi" w:hAnsiTheme="majorHAnsi"/>
          <w:szCs w:val="20"/>
          <w:lang w:val="es-ES_tradnl"/>
        </w:rPr>
        <w:t>)</w:t>
      </w:r>
      <w:r w:rsidR="00142F40" w:rsidRPr="004B114F">
        <w:rPr>
          <w:rStyle w:val="FootnoteReference"/>
          <w:rFonts w:asciiTheme="majorHAnsi" w:hAnsiTheme="majorHAnsi"/>
          <w:szCs w:val="20"/>
          <w:lang w:val="es-ES_tradnl"/>
        </w:rPr>
        <w:footnoteReference w:id="120"/>
      </w:r>
      <w:r w:rsidR="00951C32" w:rsidRPr="004B114F">
        <w:rPr>
          <w:rFonts w:asciiTheme="majorHAnsi" w:hAnsiTheme="majorHAnsi"/>
          <w:szCs w:val="20"/>
          <w:lang w:val="es-ES_tradnl"/>
        </w:rPr>
        <w:t>,</w:t>
      </w:r>
      <w:r w:rsidR="00142F40" w:rsidRPr="004B114F">
        <w:rPr>
          <w:rFonts w:asciiTheme="majorHAnsi" w:hAnsiTheme="majorHAnsi"/>
          <w:szCs w:val="20"/>
          <w:lang w:val="es-ES_tradnl"/>
        </w:rPr>
        <w:t xml:space="preserve"> </w:t>
      </w:r>
      <w:r w:rsidR="001869D4" w:rsidRPr="004B114F">
        <w:rPr>
          <w:rFonts w:asciiTheme="majorHAnsi" w:hAnsiTheme="majorHAnsi"/>
          <w:szCs w:val="20"/>
          <w:lang w:val="es-ES_tradnl"/>
        </w:rPr>
        <w:t xml:space="preserve">en relación </w:t>
      </w:r>
      <w:r w:rsidR="00142F40" w:rsidRPr="004B114F">
        <w:rPr>
          <w:rFonts w:asciiTheme="majorHAnsi" w:hAnsiTheme="majorHAnsi"/>
          <w:szCs w:val="20"/>
          <w:lang w:val="es-ES_tradnl"/>
        </w:rPr>
        <w:t xml:space="preserve">con </w:t>
      </w:r>
      <w:r w:rsidR="00ED7921" w:rsidRPr="004B114F">
        <w:rPr>
          <w:rFonts w:asciiTheme="majorHAnsi" w:hAnsiTheme="majorHAnsi"/>
          <w:szCs w:val="20"/>
          <w:lang w:val="es-ES_tradnl"/>
        </w:rPr>
        <w:t xml:space="preserve">las obligaciones de </w:t>
      </w:r>
      <w:r w:rsidR="0020310B" w:rsidRPr="004B114F">
        <w:rPr>
          <w:rFonts w:asciiTheme="majorHAnsi" w:hAnsiTheme="majorHAnsi"/>
          <w:szCs w:val="20"/>
          <w:lang w:val="es-ES_tradnl"/>
        </w:rPr>
        <w:t xml:space="preserve">respeto y </w:t>
      </w:r>
      <w:r w:rsidR="000F31B7" w:rsidRPr="004B114F">
        <w:rPr>
          <w:rFonts w:asciiTheme="majorHAnsi" w:hAnsiTheme="majorHAnsi"/>
          <w:szCs w:val="20"/>
          <w:lang w:val="es-ES_tradnl"/>
        </w:rPr>
        <w:t xml:space="preserve">garantía </w:t>
      </w:r>
      <w:r w:rsidR="0020310B" w:rsidRPr="004B114F">
        <w:rPr>
          <w:rFonts w:asciiTheme="majorHAnsi" w:hAnsiTheme="majorHAnsi"/>
          <w:szCs w:val="20"/>
          <w:lang w:val="es-ES_tradnl"/>
        </w:rPr>
        <w:t xml:space="preserve">de la </w:t>
      </w:r>
      <w:r w:rsidR="0020310B" w:rsidRPr="004B114F">
        <w:rPr>
          <w:rFonts w:asciiTheme="majorHAnsi" w:hAnsiTheme="majorHAnsi"/>
          <w:szCs w:val="20"/>
          <w:lang w:val="es-ES_tradnl"/>
        </w:rPr>
        <w:lastRenderedPageBreak/>
        <w:t>Convención Americana (</w:t>
      </w:r>
      <w:r w:rsidR="001869D4" w:rsidRPr="004B114F">
        <w:rPr>
          <w:rFonts w:asciiTheme="majorHAnsi" w:hAnsiTheme="majorHAnsi"/>
          <w:szCs w:val="20"/>
          <w:lang w:val="es-ES_tradnl"/>
        </w:rPr>
        <w:t>1.1</w:t>
      </w:r>
      <w:r w:rsidR="00BA461E" w:rsidRPr="004B114F">
        <w:rPr>
          <w:rStyle w:val="FootnoteReference"/>
          <w:rFonts w:asciiTheme="majorHAnsi" w:hAnsiTheme="majorHAnsi"/>
          <w:b w:val="0"/>
          <w:szCs w:val="20"/>
          <w:lang w:val="es-ES_tradnl"/>
        </w:rPr>
        <w:footnoteReference w:id="121"/>
      </w:r>
      <w:r w:rsidR="0020310B" w:rsidRPr="004B114F">
        <w:rPr>
          <w:rFonts w:asciiTheme="majorHAnsi" w:hAnsiTheme="majorHAnsi"/>
          <w:szCs w:val="20"/>
          <w:lang w:val="es-ES_tradnl"/>
        </w:rPr>
        <w:t xml:space="preserve">), </w:t>
      </w:r>
      <w:r w:rsidR="00644C60" w:rsidRPr="004B114F">
        <w:rPr>
          <w:rFonts w:asciiTheme="majorHAnsi" w:hAnsiTheme="majorHAnsi"/>
          <w:szCs w:val="20"/>
          <w:lang w:val="es-ES_tradnl"/>
        </w:rPr>
        <w:t>el deber</w:t>
      </w:r>
      <w:r w:rsidR="0020310B" w:rsidRPr="004B114F">
        <w:rPr>
          <w:rFonts w:asciiTheme="majorHAnsi" w:hAnsiTheme="majorHAnsi"/>
          <w:szCs w:val="20"/>
          <w:lang w:val="es-ES_tradnl"/>
        </w:rPr>
        <w:t xml:space="preserve"> de prevención y sanción de la CIPST (</w:t>
      </w:r>
      <w:r w:rsidRPr="004B114F">
        <w:rPr>
          <w:rFonts w:asciiTheme="majorHAnsi" w:hAnsiTheme="majorHAnsi"/>
          <w:szCs w:val="20"/>
          <w:lang w:val="es-ES_tradnl"/>
        </w:rPr>
        <w:t>1</w:t>
      </w:r>
      <w:r w:rsidR="00106790" w:rsidRPr="004B114F">
        <w:rPr>
          <w:rStyle w:val="FootnoteReference"/>
          <w:rFonts w:asciiTheme="majorHAnsi" w:hAnsiTheme="majorHAnsi"/>
          <w:szCs w:val="20"/>
          <w:lang w:val="es-ES_tradnl"/>
        </w:rPr>
        <w:footnoteReference w:id="122"/>
      </w:r>
      <w:r w:rsidRPr="004B114F">
        <w:rPr>
          <w:rFonts w:asciiTheme="majorHAnsi" w:hAnsiTheme="majorHAnsi"/>
          <w:szCs w:val="20"/>
          <w:lang w:val="es-ES_tradnl"/>
        </w:rPr>
        <w:t>, 6</w:t>
      </w:r>
      <w:r w:rsidR="00D93408" w:rsidRPr="004B114F">
        <w:rPr>
          <w:rStyle w:val="FootnoteReference"/>
          <w:rFonts w:asciiTheme="majorHAnsi" w:hAnsiTheme="majorHAnsi"/>
          <w:szCs w:val="20"/>
          <w:lang w:val="es-ES_tradnl"/>
        </w:rPr>
        <w:footnoteReference w:id="123"/>
      </w:r>
      <w:r w:rsidRPr="004B114F">
        <w:rPr>
          <w:rFonts w:asciiTheme="majorHAnsi" w:hAnsiTheme="majorHAnsi"/>
          <w:szCs w:val="20"/>
          <w:lang w:val="es-ES_tradnl"/>
        </w:rPr>
        <w:t xml:space="preserve"> y 8</w:t>
      </w:r>
      <w:r w:rsidR="00106790" w:rsidRPr="004B114F">
        <w:rPr>
          <w:rStyle w:val="FootnoteReference"/>
          <w:rFonts w:asciiTheme="majorHAnsi" w:hAnsiTheme="majorHAnsi"/>
          <w:szCs w:val="20"/>
          <w:lang w:val="es-ES_tradnl"/>
        </w:rPr>
        <w:footnoteReference w:id="124"/>
      </w:r>
      <w:r w:rsidR="0020310B" w:rsidRPr="004B114F">
        <w:rPr>
          <w:rFonts w:asciiTheme="majorHAnsi" w:hAnsiTheme="majorHAnsi"/>
          <w:szCs w:val="20"/>
          <w:lang w:val="es-ES_tradnl"/>
        </w:rPr>
        <w:t>) y el deber de prevenir, sancionar y erradicar la violencia contra la mujer de la Convención de Belém do Pará</w:t>
      </w:r>
      <w:r w:rsidRPr="004B114F">
        <w:rPr>
          <w:rFonts w:asciiTheme="majorHAnsi" w:hAnsiTheme="majorHAnsi"/>
          <w:szCs w:val="20"/>
          <w:lang w:val="es-ES_tradnl"/>
        </w:rPr>
        <w:t xml:space="preserve"> </w:t>
      </w:r>
      <w:r w:rsidR="0020310B" w:rsidRPr="004B114F">
        <w:rPr>
          <w:rFonts w:asciiTheme="majorHAnsi" w:hAnsiTheme="majorHAnsi"/>
          <w:szCs w:val="20"/>
          <w:lang w:val="es-ES_tradnl"/>
        </w:rPr>
        <w:t>(artículo 7)</w:t>
      </w:r>
      <w:r w:rsidR="00142F40" w:rsidRPr="004B114F">
        <w:rPr>
          <w:rStyle w:val="FootnoteReference"/>
          <w:rFonts w:asciiTheme="majorHAnsi" w:hAnsiTheme="majorHAnsi"/>
          <w:szCs w:val="20"/>
          <w:lang w:val="es-ES_tradnl"/>
        </w:rPr>
        <w:footnoteReference w:id="125"/>
      </w:r>
      <w:bookmarkEnd w:id="46"/>
    </w:p>
    <w:p w14:paraId="787A77A5" w14:textId="77777777" w:rsidR="0020310B" w:rsidRPr="004B114F" w:rsidRDefault="0020310B" w:rsidP="004B114F">
      <w:pPr>
        <w:rPr>
          <w:rFonts w:asciiTheme="majorHAnsi" w:hAnsiTheme="majorHAnsi"/>
          <w:sz w:val="20"/>
          <w:szCs w:val="20"/>
          <w:lang w:val="es-ES_tradnl"/>
        </w:rPr>
      </w:pPr>
    </w:p>
    <w:p w14:paraId="0D4CF359" w14:textId="77777777" w:rsidR="00A93518" w:rsidRPr="004B114F" w:rsidRDefault="001F4E48" w:rsidP="004B114F">
      <w:pPr>
        <w:pStyle w:val="Heading3"/>
        <w:numPr>
          <w:ilvl w:val="0"/>
          <w:numId w:val="58"/>
        </w:numPr>
        <w:jc w:val="both"/>
        <w:rPr>
          <w:rFonts w:asciiTheme="majorHAnsi" w:hAnsiTheme="majorHAnsi"/>
          <w:szCs w:val="20"/>
          <w:lang w:val="es-ES_tradnl"/>
        </w:rPr>
      </w:pPr>
      <w:bookmarkStart w:id="47" w:name="_Toc142398965"/>
      <w:r w:rsidRPr="004B114F">
        <w:rPr>
          <w:rFonts w:asciiTheme="majorHAnsi" w:hAnsiTheme="majorHAnsi"/>
          <w:szCs w:val="20"/>
          <w:lang w:val="es-ES_tradnl"/>
        </w:rPr>
        <w:t xml:space="preserve">Consideraciones generales sobre </w:t>
      </w:r>
      <w:r w:rsidR="00142F40" w:rsidRPr="004B114F">
        <w:rPr>
          <w:rFonts w:asciiTheme="majorHAnsi" w:hAnsiTheme="majorHAnsi"/>
          <w:szCs w:val="20"/>
          <w:lang w:val="es-ES_tradnl"/>
        </w:rPr>
        <w:t>las condiciones</w:t>
      </w:r>
      <w:r w:rsidR="00533438" w:rsidRPr="004B114F">
        <w:rPr>
          <w:rFonts w:asciiTheme="majorHAnsi" w:hAnsiTheme="majorHAnsi"/>
          <w:szCs w:val="20"/>
          <w:lang w:val="es-ES_tradnl"/>
        </w:rPr>
        <w:t xml:space="preserve"> </w:t>
      </w:r>
      <w:r w:rsidR="00142F40" w:rsidRPr="004B114F">
        <w:rPr>
          <w:rFonts w:asciiTheme="majorHAnsi" w:hAnsiTheme="majorHAnsi"/>
          <w:szCs w:val="20"/>
          <w:lang w:val="es-ES_tradnl"/>
        </w:rPr>
        <w:t xml:space="preserve">de detención, la violencia sexual </w:t>
      </w:r>
      <w:r w:rsidR="00533438" w:rsidRPr="004B114F">
        <w:rPr>
          <w:rFonts w:asciiTheme="majorHAnsi" w:hAnsiTheme="majorHAnsi"/>
          <w:szCs w:val="20"/>
          <w:lang w:val="es-ES_tradnl"/>
        </w:rPr>
        <w:t>y la prohibición de tortura en relación con las personas privadas de liberta</w:t>
      </w:r>
      <w:r w:rsidR="005F4B55" w:rsidRPr="004B114F">
        <w:rPr>
          <w:rFonts w:asciiTheme="majorHAnsi" w:hAnsiTheme="majorHAnsi"/>
          <w:szCs w:val="20"/>
          <w:lang w:val="es-ES_tradnl"/>
        </w:rPr>
        <w:t>d</w:t>
      </w:r>
      <w:bookmarkEnd w:id="47"/>
    </w:p>
    <w:p w14:paraId="5C20614A" w14:textId="77777777" w:rsidR="00A93518" w:rsidRPr="004B114F" w:rsidRDefault="00A93518" w:rsidP="004B114F">
      <w:pPr>
        <w:jc w:val="both"/>
        <w:rPr>
          <w:rFonts w:asciiTheme="majorHAnsi" w:hAnsiTheme="majorHAnsi"/>
          <w:b/>
          <w:sz w:val="20"/>
          <w:szCs w:val="20"/>
          <w:lang w:val="es-ES_tradnl"/>
        </w:rPr>
      </w:pPr>
    </w:p>
    <w:p w14:paraId="61414A6B" w14:textId="4D66A1DD" w:rsidR="00DE546B" w:rsidRPr="004B114F" w:rsidRDefault="00641868" w:rsidP="004B114F">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629"/>
        <w:jc w:val="both"/>
        <w:rPr>
          <w:rFonts w:asciiTheme="majorHAnsi" w:hAnsiTheme="majorHAnsi"/>
          <w:sz w:val="20"/>
          <w:szCs w:val="20"/>
          <w:lang w:val="es-ES"/>
        </w:rPr>
      </w:pPr>
      <w:bookmarkStart w:id="48" w:name="_Toc531770512"/>
      <w:r w:rsidRPr="004B114F">
        <w:rPr>
          <w:rFonts w:asciiTheme="majorHAnsi" w:hAnsiTheme="majorHAnsi"/>
          <w:sz w:val="20"/>
          <w:szCs w:val="20"/>
          <w:lang w:val="es-ES"/>
        </w:rPr>
        <w:t xml:space="preserve">El artículo 5 de la CADH protege diferentes aspectos del derecho a la integridad. </w:t>
      </w:r>
      <w:r w:rsidR="00DE546B" w:rsidRPr="004B114F">
        <w:rPr>
          <w:rFonts w:asciiTheme="majorHAnsi" w:hAnsiTheme="majorHAnsi"/>
          <w:sz w:val="20"/>
          <w:szCs w:val="20"/>
          <w:lang w:val="es-ES"/>
        </w:rPr>
        <w:t>La Corte Interamericana de Derechos Humanos (en adelante “Corte IDH” o “Corte Interamericana”) ha sostenido que dicho derecho representa uno de los valores más fundamentales en toda sociedad democrática</w:t>
      </w:r>
      <w:r w:rsidR="00DE546B" w:rsidRPr="004B114F">
        <w:rPr>
          <w:rFonts w:asciiTheme="majorHAnsi" w:hAnsiTheme="majorHAnsi"/>
          <w:sz w:val="20"/>
          <w:szCs w:val="20"/>
          <w:vertAlign w:val="superscript"/>
        </w:rPr>
        <w:footnoteReference w:id="126"/>
      </w:r>
      <w:r w:rsidR="00DE546B" w:rsidRPr="004B114F">
        <w:rPr>
          <w:rFonts w:asciiTheme="majorHAnsi" w:hAnsiTheme="majorHAnsi"/>
          <w:sz w:val="20"/>
          <w:szCs w:val="20"/>
          <w:lang w:val="es-ES"/>
        </w:rPr>
        <w:t xml:space="preserve"> y que su vigencia es de tal importancia que la Convención lo protege </w:t>
      </w:r>
      <w:r w:rsidR="00B24398" w:rsidRPr="004B114F">
        <w:rPr>
          <w:rFonts w:asciiTheme="majorHAnsi" w:hAnsiTheme="majorHAnsi"/>
          <w:sz w:val="20"/>
          <w:szCs w:val="20"/>
          <w:lang w:val="es-ES"/>
        </w:rPr>
        <w:t>al establecer la imposibilidad de que sea suspendido bajo cualquier circunstancia</w:t>
      </w:r>
      <w:r w:rsidR="00B24398" w:rsidRPr="004B114F">
        <w:rPr>
          <w:rFonts w:asciiTheme="majorHAnsi" w:hAnsiTheme="majorHAnsi"/>
          <w:sz w:val="20"/>
          <w:szCs w:val="20"/>
          <w:vertAlign w:val="superscript"/>
        </w:rPr>
        <w:footnoteReference w:id="127"/>
      </w:r>
      <w:r w:rsidR="00A7147E" w:rsidRPr="004B114F">
        <w:rPr>
          <w:rFonts w:asciiTheme="majorHAnsi" w:hAnsiTheme="majorHAnsi"/>
          <w:sz w:val="20"/>
          <w:szCs w:val="20"/>
          <w:lang w:val="es-ES"/>
        </w:rPr>
        <w:t xml:space="preserve"> por formar parte de un núcleo inderogable</w:t>
      </w:r>
      <w:r w:rsidR="00571DA9" w:rsidRPr="004B114F">
        <w:rPr>
          <w:rFonts w:asciiTheme="majorHAnsi" w:hAnsiTheme="majorHAnsi"/>
          <w:sz w:val="20"/>
          <w:szCs w:val="20"/>
          <w:lang w:val="es-ES"/>
        </w:rPr>
        <w:t xml:space="preserve"> de derechos</w:t>
      </w:r>
      <w:r w:rsidR="00A7147E" w:rsidRPr="004B114F">
        <w:rPr>
          <w:rFonts w:asciiTheme="majorHAnsi" w:hAnsiTheme="majorHAnsi"/>
          <w:sz w:val="20"/>
          <w:szCs w:val="20"/>
          <w:vertAlign w:val="superscript"/>
        </w:rPr>
        <w:footnoteReference w:id="128"/>
      </w:r>
      <w:r w:rsidR="00B24398" w:rsidRPr="004B114F">
        <w:rPr>
          <w:rFonts w:asciiTheme="majorHAnsi" w:hAnsiTheme="majorHAnsi"/>
          <w:sz w:val="20"/>
          <w:szCs w:val="20"/>
          <w:lang w:val="es-ES"/>
        </w:rPr>
        <w:t>.</w:t>
      </w:r>
      <w:r w:rsidR="006D2A34" w:rsidRPr="004B114F">
        <w:rPr>
          <w:rFonts w:asciiTheme="majorHAnsi" w:hAnsiTheme="majorHAnsi"/>
          <w:sz w:val="20"/>
          <w:szCs w:val="20"/>
          <w:lang w:val="es-ES"/>
        </w:rPr>
        <w:t xml:space="preserve"> La CIDH se ha adherido al </w:t>
      </w:r>
      <w:r w:rsidR="002A3935" w:rsidRPr="004B114F">
        <w:rPr>
          <w:rFonts w:asciiTheme="majorHAnsi" w:hAnsiTheme="majorHAnsi"/>
          <w:sz w:val="20"/>
          <w:szCs w:val="20"/>
          <w:lang w:val="es-ES"/>
        </w:rPr>
        <w:t>criterio recurrente</w:t>
      </w:r>
      <w:r w:rsidR="006D2A34" w:rsidRPr="004B114F">
        <w:rPr>
          <w:rFonts w:asciiTheme="majorHAnsi" w:hAnsiTheme="majorHAnsi"/>
          <w:sz w:val="20"/>
          <w:szCs w:val="20"/>
          <w:lang w:val="es-ES"/>
        </w:rPr>
        <w:t xml:space="preserve"> de la Corte IDH por el cual </w:t>
      </w:r>
      <w:r w:rsidR="002A3935" w:rsidRPr="004B114F">
        <w:rPr>
          <w:rFonts w:asciiTheme="majorHAnsi" w:hAnsiTheme="majorHAnsi"/>
          <w:sz w:val="20"/>
          <w:szCs w:val="20"/>
          <w:lang w:val="es-ES"/>
        </w:rPr>
        <w:t>se estima que las violaciones al derecho a la integridad tienen diversas connotaciones de grado</w:t>
      </w:r>
      <w:r w:rsidR="00951C32" w:rsidRPr="004B114F">
        <w:rPr>
          <w:rFonts w:asciiTheme="majorHAnsi" w:hAnsiTheme="majorHAnsi"/>
          <w:sz w:val="20"/>
          <w:szCs w:val="20"/>
          <w:lang w:val="es-ES"/>
        </w:rPr>
        <w:t>,</w:t>
      </w:r>
      <w:r w:rsidR="002A3935" w:rsidRPr="004B114F">
        <w:rPr>
          <w:rFonts w:asciiTheme="majorHAnsi" w:hAnsiTheme="majorHAnsi"/>
          <w:sz w:val="20"/>
          <w:szCs w:val="20"/>
          <w:lang w:val="es-ES"/>
        </w:rPr>
        <w:t xml:space="preserve"> y pueden dar lugar a secuelas fís</w:t>
      </w:r>
      <w:r w:rsidR="00F131AC" w:rsidRPr="004B114F">
        <w:rPr>
          <w:rFonts w:asciiTheme="majorHAnsi" w:hAnsiTheme="majorHAnsi"/>
          <w:sz w:val="20"/>
          <w:szCs w:val="20"/>
          <w:lang w:val="es-ES"/>
        </w:rPr>
        <w:t>i</w:t>
      </w:r>
      <w:r w:rsidR="002A3935" w:rsidRPr="004B114F">
        <w:rPr>
          <w:rFonts w:asciiTheme="majorHAnsi" w:hAnsiTheme="majorHAnsi"/>
          <w:sz w:val="20"/>
          <w:szCs w:val="20"/>
          <w:lang w:val="es-ES"/>
        </w:rPr>
        <w:t>cas y psíquicas cuya intensidad varíe en función a una serie de factores endógenos y exógenos que deben valorarse para cada caso en concreto</w:t>
      </w:r>
      <w:r w:rsidR="002A3935" w:rsidRPr="004B114F">
        <w:rPr>
          <w:rFonts w:asciiTheme="majorHAnsi" w:hAnsiTheme="majorHAnsi"/>
          <w:sz w:val="20"/>
          <w:szCs w:val="20"/>
          <w:vertAlign w:val="superscript"/>
        </w:rPr>
        <w:footnoteReference w:id="129"/>
      </w:r>
      <w:r w:rsidR="002A3935" w:rsidRPr="004B114F">
        <w:rPr>
          <w:rFonts w:asciiTheme="majorHAnsi" w:hAnsiTheme="majorHAnsi"/>
          <w:sz w:val="20"/>
          <w:szCs w:val="20"/>
          <w:lang w:val="es-ES"/>
        </w:rPr>
        <w:t xml:space="preserve">. </w:t>
      </w:r>
    </w:p>
    <w:p w14:paraId="20D0D259" w14:textId="77777777" w:rsidR="00115E91" w:rsidRPr="004B114F" w:rsidRDefault="00115E91" w:rsidP="004B114F">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629"/>
        <w:jc w:val="both"/>
        <w:rPr>
          <w:rFonts w:asciiTheme="majorHAnsi" w:hAnsiTheme="majorHAnsi"/>
          <w:sz w:val="20"/>
          <w:szCs w:val="20"/>
          <w:lang w:val="es-ES"/>
        </w:rPr>
      </w:pPr>
    </w:p>
    <w:p w14:paraId="06227441" w14:textId="5ADD868E" w:rsidR="00B2165F" w:rsidRPr="004B114F" w:rsidRDefault="00F131AC" w:rsidP="004B114F">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629"/>
        <w:jc w:val="both"/>
        <w:rPr>
          <w:rFonts w:asciiTheme="majorHAnsi" w:hAnsiTheme="majorHAnsi"/>
          <w:sz w:val="20"/>
          <w:szCs w:val="20"/>
          <w:lang w:val="es-ES"/>
        </w:rPr>
      </w:pPr>
      <w:r w:rsidRPr="004B114F">
        <w:rPr>
          <w:rFonts w:asciiTheme="majorHAnsi" w:hAnsiTheme="majorHAnsi"/>
          <w:sz w:val="20"/>
          <w:szCs w:val="20"/>
          <w:lang w:val="es-PE"/>
        </w:rPr>
        <w:t>De modo particular, el derecho a la integridad es uno</w:t>
      </w:r>
      <w:r w:rsidR="00951C32" w:rsidRPr="004B114F">
        <w:rPr>
          <w:rFonts w:asciiTheme="majorHAnsi" w:hAnsiTheme="majorHAnsi"/>
          <w:sz w:val="20"/>
          <w:szCs w:val="20"/>
          <w:lang w:val="es-PE"/>
        </w:rPr>
        <w:t xml:space="preserve"> de</w:t>
      </w:r>
      <w:r w:rsidRPr="004B114F">
        <w:rPr>
          <w:rFonts w:asciiTheme="majorHAnsi" w:hAnsiTheme="majorHAnsi"/>
          <w:sz w:val="20"/>
          <w:szCs w:val="20"/>
          <w:lang w:val="es-PE"/>
        </w:rPr>
        <w:t xml:space="preserve"> especial relevancia al analizar la situación de las personas privadas de libertad. Tanto la Comisión </w:t>
      </w:r>
      <w:r w:rsidR="00BF1DA5" w:rsidRPr="004B114F">
        <w:rPr>
          <w:rFonts w:asciiTheme="majorHAnsi" w:hAnsiTheme="majorHAnsi"/>
          <w:sz w:val="20"/>
          <w:szCs w:val="20"/>
          <w:lang w:val="es-PE"/>
        </w:rPr>
        <w:t>I</w:t>
      </w:r>
      <w:r w:rsidRPr="004B114F">
        <w:rPr>
          <w:rFonts w:asciiTheme="majorHAnsi" w:hAnsiTheme="majorHAnsi"/>
          <w:sz w:val="20"/>
          <w:szCs w:val="20"/>
          <w:lang w:val="es-PE"/>
        </w:rPr>
        <w:t xml:space="preserve">nteramericana como la Corte IDH se han referido con anterioridad a la posición especial de garante en la que se ubica el Estado respecto de las personas privadas de libertad, </w:t>
      </w:r>
      <w:r w:rsidR="00170FA4" w:rsidRPr="004B114F">
        <w:rPr>
          <w:rFonts w:asciiTheme="majorHAnsi" w:hAnsiTheme="majorHAnsi"/>
          <w:sz w:val="20"/>
          <w:szCs w:val="20"/>
          <w:lang w:val="es-PE"/>
        </w:rPr>
        <w:t>debido al</w:t>
      </w:r>
      <w:r w:rsidRPr="004B114F">
        <w:rPr>
          <w:rFonts w:asciiTheme="majorHAnsi" w:hAnsiTheme="majorHAnsi"/>
          <w:sz w:val="20"/>
          <w:szCs w:val="20"/>
          <w:lang w:val="es-PE"/>
        </w:rPr>
        <w:t xml:space="preserve"> control o dominio que las autoridades penitenciarias ejercen sobre aquellas por encontrarse bajo su custodia</w:t>
      </w:r>
      <w:r w:rsidRPr="004B114F">
        <w:rPr>
          <w:rFonts w:asciiTheme="majorHAnsi" w:hAnsiTheme="majorHAnsi"/>
          <w:sz w:val="20"/>
          <w:szCs w:val="20"/>
          <w:vertAlign w:val="superscript"/>
        </w:rPr>
        <w:footnoteReference w:id="130"/>
      </w:r>
      <w:r w:rsidRPr="004B114F">
        <w:rPr>
          <w:rFonts w:asciiTheme="majorHAnsi" w:hAnsiTheme="majorHAnsi"/>
          <w:sz w:val="20"/>
          <w:szCs w:val="20"/>
          <w:lang w:val="es-PE"/>
        </w:rPr>
        <w:t xml:space="preserve">. </w:t>
      </w:r>
      <w:r w:rsidRPr="004B114F">
        <w:rPr>
          <w:rFonts w:asciiTheme="majorHAnsi" w:hAnsiTheme="majorHAnsi"/>
          <w:sz w:val="20"/>
          <w:szCs w:val="20"/>
          <w:lang w:val="es-ES"/>
        </w:rPr>
        <w:t xml:space="preserve">La Corte IDH ha puesto énfasis en que las personas privadas de libertad, como consecuencia del encierro, se ven impedidas de satisfacer por sus propios medios muchas de las necesidades esenciales para garantizar una vida digna, de modo que el Estado </w:t>
      </w:r>
      <w:r w:rsidR="00170FA4" w:rsidRPr="004B114F">
        <w:rPr>
          <w:rFonts w:asciiTheme="majorHAnsi" w:hAnsiTheme="majorHAnsi"/>
          <w:sz w:val="20"/>
          <w:szCs w:val="20"/>
          <w:lang w:val="es-ES"/>
        </w:rPr>
        <w:t>está</w:t>
      </w:r>
      <w:r w:rsidRPr="004B114F">
        <w:rPr>
          <w:rFonts w:asciiTheme="majorHAnsi" w:hAnsiTheme="majorHAnsi"/>
          <w:sz w:val="20"/>
          <w:szCs w:val="20"/>
          <w:lang w:val="es-ES"/>
        </w:rPr>
        <w:t xml:space="preserve"> en una posición especial para regular sus </w:t>
      </w:r>
      <w:r w:rsidRPr="004B114F">
        <w:rPr>
          <w:rFonts w:asciiTheme="majorHAnsi" w:hAnsiTheme="majorHAnsi"/>
          <w:sz w:val="20"/>
          <w:szCs w:val="20"/>
          <w:lang w:val="es-ES"/>
        </w:rPr>
        <w:lastRenderedPageBreak/>
        <w:t>derechos y obligaciones</w:t>
      </w:r>
      <w:r w:rsidRPr="004B114F">
        <w:rPr>
          <w:rFonts w:asciiTheme="majorHAnsi" w:hAnsiTheme="majorHAnsi"/>
          <w:sz w:val="20"/>
          <w:szCs w:val="20"/>
          <w:vertAlign w:val="superscript"/>
        </w:rPr>
        <w:footnoteReference w:id="131"/>
      </w:r>
      <w:r w:rsidRPr="004B114F">
        <w:rPr>
          <w:rFonts w:asciiTheme="majorHAnsi" w:hAnsiTheme="majorHAnsi"/>
          <w:sz w:val="20"/>
          <w:szCs w:val="20"/>
          <w:lang w:val="es-ES"/>
        </w:rPr>
        <w:t>. Esto exige que los Estados adopten las medidas necesarias para asegurar que los detenidos pueden gozar de su derecho a la integridad</w:t>
      </w:r>
      <w:r w:rsidRPr="004B114F">
        <w:rPr>
          <w:rFonts w:asciiTheme="majorHAnsi" w:hAnsiTheme="majorHAnsi"/>
          <w:sz w:val="20"/>
          <w:szCs w:val="20"/>
          <w:vertAlign w:val="superscript"/>
        </w:rPr>
        <w:footnoteReference w:id="132"/>
      </w:r>
      <w:r w:rsidRPr="004B114F">
        <w:rPr>
          <w:rFonts w:asciiTheme="majorHAnsi" w:hAnsiTheme="majorHAnsi"/>
          <w:sz w:val="20"/>
          <w:szCs w:val="20"/>
          <w:lang w:val="es-ES"/>
        </w:rPr>
        <w:t xml:space="preserve"> y desarrollar una vida digna</w:t>
      </w:r>
      <w:r w:rsidRPr="004B114F">
        <w:rPr>
          <w:rFonts w:asciiTheme="majorHAnsi" w:hAnsiTheme="majorHAnsi"/>
          <w:sz w:val="20"/>
          <w:szCs w:val="20"/>
          <w:vertAlign w:val="superscript"/>
        </w:rPr>
        <w:footnoteReference w:id="133"/>
      </w:r>
      <w:r w:rsidRPr="004B114F">
        <w:rPr>
          <w:rFonts w:asciiTheme="majorHAnsi" w:hAnsiTheme="majorHAnsi"/>
          <w:sz w:val="20"/>
          <w:szCs w:val="20"/>
          <w:lang w:val="es-ES"/>
        </w:rPr>
        <w:t>.</w:t>
      </w:r>
      <w:r w:rsidR="00A750CC" w:rsidRPr="004B114F">
        <w:rPr>
          <w:rFonts w:asciiTheme="majorHAnsi" w:hAnsiTheme="majorHAnsi"/>
          <w:sz w:val="20"/>
          <w:szCs w:val="20"/>
          <w:lang w:val="es-ES"/>
        </w:rPr>
        <w:t xml:space="preserve"> La Corte Interamericana ha señalado que los Estados no pueden oponer motivos como el enfrentar dificultades económicas para justificar condiciones de internamiento que contravengan la dignidad misma de las personas</w:t>
      </w:r>
      <w:r w:rsidR="00A750CC" w:rsidRPr="004B114F">
        <w:rPr>
          <w:rFonts w:asciiTheme="majorHAnsi" w:hAnsiTheme="majorHAnsi"/>
          <w:sz w:val="20"/>
          <w:szCs w:val="20"/>
          <w:vertAlign w:val="superscript"/>
        </w:rPr>
        <w:footnoteReference w:id="134"/>
      </w:r>
      <w:r w:rsidR="00A750CC" w:rsidRPr="004B114F">
        <w:rPr>
          <w:rFonts w:asciiTheme="majorHAnsi" w:hAnsiTheme="majorHAnsi"/>
          <w:sz w:val="20"/>
          <w:szCs w:val="20"/>
          <w:lang w:val="es-ES"/>
        </w:rPr>
        <w:t>.</w:t>
      </w:r>
    </w:p>
    <w:p w14:paraId="72D2A5DF" w14:textId="77777777" w:rsidR="00115E91" w:rsidRPr="004B114F" w:rsidRDefault="00115E91" w:rsidP="004B114F">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629"/>
        <w:jc w:val="both"/>
        <w:rPr>
          <w:rFonts w:asciiTheme="majorHAnsi" w:hAnsiTheme="majorHAnsi"/>
          <w:sz w:val="20"/>
          <w:szCs w:val="20"/>
          <w:lang w:val="es-ES"/>
        </w:rPr>
      </w:pPr>
    </w:p>
    <w:p w14:paraId="16324810" w14:textId="2CEC9335" w:rsidR="00E939E4" w:rsidRPr="004B114F" w:rsidRDefault="00DA3906" w:rsidP="004B114F">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629"/>
        <w:jc w:val="both"/>
        <w:rPr>
          <w:rFonts w:asciiTheme="majorHAnsi" w:hAnsiTheme="majorHAnsi"/>
          <w:sz w:val="20"/>
          <w:szCs w:val="20"/>
          <w:lang w:val="es-ES"/>
        </w:rPr>
      </w:pPr>
      <w:r w:rsidRPr="004B114F">
        <w:rPr>
          <w:rFonts w:asciiTheme="majorHAnsi" w:hAnsiTheme="majorHAnsi"/>
          <w:sz w:val="20"/>
          <w:szCs w:val="20"/>
          <w:lang w:val="es-PE"/>
        </w:rPr>
        <w:t xml:space="preserve">En relación con </w:t>
      </w:r>
      <w:r w:rsidR="00A750CC" w:rsidRPr="004B114F">
        <w:rPr>
          <w:rFonts w:asciiTheme="majorHAnsi" w:hAnsiTheme="majorHAnsi"/>
          <w:sz w:val="20"/>
          <w:szCs w:val="20"/>
          <w:lang w:val="es-PE"/>
        </w:rPr>
        <w:t>tales</w:t>
      </w:r>
      <w:r w:rsidRPr="004B114F">
        <w:rPr>
          <w:rFonts w:asciiTheme="majorHAnsi" w:hAnsiTheme="majorHAnsi"/>
          <w:sz w:val="20"/>
          <w:szCs w:val="20"/>
          <w:lang w:val="es-PE"/>
        </w:rPr>
        <w:t xml:space="preserve"> condiciones de detención, </w:t>
      </w:r>
      <w:r w:rsidR="00470991" w:rsidRPr="004B114F">
        <w:rPr>
          <w:rFonts w:asciiTheme="majorHAnsi" w:hAnsiTheme="majorHAnsi"/>
          <w:sz w:val="20"/>
          <w:szCs w:val="20"/>
          <w:lang w:val="es-PE"/>
        </w:rPr>
        <w:t>en particular</w:t>
      </w:r>
      <w:r w:rsidRPr="004B114F">
        <w:rPr>
          <w:rFonts w:asciiTheme="majorHAnsi" w:hAnsiTheme="majorHAnsi"/>
          <w:sz w:val="20"/>
          <w:szCs w:val="20"/>
          <w:lang w:val="es-PE"/>
        </w:rPr>
        <w:t>, e</w:t>
      </w:r>
      <w:r w:rsidR="00B2165F" w:rsidRPr="004B114F">
        <w:rPr>
          <w:rFonts w:asciiTheme="majorHAnsi" w:hAnsiTheme="majorHAnsi"/>
          <w:sz w:val="20"/>
          <w:szCs w:val="20"/>
          <w:lang w:val="es-PE"/>
        </w:rPr>
        <w:t xml:space="preserve">l artículo 5.4 de la Convención señala de forma textual </w:t>
      </w:r>
      <w:r w:rsidRPr="004B114F">
        <w:rPr>
          <w:rFonts w:asciiTheme="majorHAnsi" w:hAnsiTheme="majorHAnsi"/>
          <w:sz w:val="20"/>
          <w:szCs w:val="20"/>
          <w:lang w:val="es-PE"/>
        </w:rPr>
        <w:t>que las personas procesadas deben estar separadas de aquellas condenadas, salvo escenarios excepcionales</w:t>
      </w:r>
      <w:r w:rsidR="00112A7F" w:rsidRPr="004B114F">
        <w:rPr>
          <w:rFonts w:asciiTheme="majorHAnsi" w:hAnsiTheme="majorHAnsi"/>
          <w:sz w:val="20"/>
          <w:szCs w:val="20"/>
          <w:lang w:val="es-PE"/>
        </w:rPr>
        <w:t xml:space="preserve">, </w:t>
      </w:r>
      <w:r w:rsidR="00FD0FAD" w:rsidRPr="004B114F">
        <w:rPr>
          <w:rFonts w:asciiTheme="majorHAnsi" w:hAnsiTheme="majorHAnsi"/>
          <w:sz w:val="20"/>
          <w:szCs w:val="20"/>
          <w:lang w:val="es-PE"/>
        </w:rPr>
        <w:t xml:space="preserve">y recibir un trato acorde a su situación, </w:t>
      </w:r>
      <w:r w:rsidR="00112A7F" w:rsidRPr="004B114F">
        <w:rPr>
          <w:rFonts w:asciiTheme="majorHAnsi" w:hAnsiTheme="majorHAnsi"/>
          <w:sz w:val="20"/>
          <w:szCs w:val="20"/>
          <w:lang w:val="es-PE"/>
        </w:rPr>
        <w:t>lo que exige a los Estados implementar un sistema de clasificación de los reclusos al interior de los centros penitenciarios</w:t>
      </w:r>
      <w:r w:rsidR="00112A7F" w:rsidRPr="004B114F">
        <w:rPr>
          <w:rFonts w:asciiTheme="majorHAnsi" w:hAnsiTheme="majorHAnsi"/>
          <w:sz w:val="20"/>
          <w:szCs w:val="20"/>
          <w:vertAlign w:val="superscript"/>
        </w:rPr>
        <w:footnoteReference w:id="135"/>
      </w:r>
      <w:r w:rsidRPr="004B114F">
        <w:rPr>
          <w:rFonts w:asciiTheme="majorHAnsi" w:hAnsiTheme="majorHAnsi"/>
          <w:sz w:val="20"/>
          <w:szCs w:val="20"/>
          <w:lang w:val="es-PE"/>
        </w:rPr>
        <w:t xml:space="preserve">. </w:t>
      </w:r>
      <w:r w:rsidR="00BF1DA5" w:rsidRPr="004B114F">
        <w:rPr>
          <w:rFonts w:asciiTheme="majorHAnsi" w:hAnsiTheme="majorHAnsi"/>
          <w:sz w:val="20"/>
          <w:szCs w:val="20"/>
          <w:lang w:val="es-PE"/>
        </w:rPr>
        <w:t>A</w:t>
      </w:r>
      <w:r w:rsidRPr="004B114F">
        <w:rPr>
          <w:rFonts w:asciiTheme="majorHAnsi" w:hAnsiTheme="majorHAnsi"/>
          <w:sz w:val="20"/>
          <w:szCs w:val="20"/>
          <w:lang w:val="es-PE"/>
        </w:rPr>
        <w:t xml:space="preserve"> este mandato se han agregado por la vía de la jurisprudencia otros criterios que se orientan a garantizar un trato digno y humano a las personas privadas de libertad por parte de los Estados, como la prohibición de castigos corporales, el establecimiento de normas básicas de alojamiento e higiene, el acceso a agua o alimentos, entre otros</w:t>
      </w:r>
      <w:r w:rsidRPr="004B114F">
        <w:rPr>
          <w:rFonts w:asciiTheme="majorHAnsi" w:hAnsiTheme="majorHAnsi"/>
          <w:sz w:val="20"/>
          <w:szCs w:val="20"/>
          <w:vertAlign w:val="superscript"/>
        </w:rPr>
        <w:footnoteReference w:id="136"/>
      </w:r>
      <w:r w:rsidRPr="004B114F">
        <w:rPr>
          <w:rFonts w:asciiTheme="majorHAnsi" w:hAnsiTheme="majorHAnsi"/>
          <w:sz w:val="20"/>
          <w:szCs w:val="20"/>
          <w:lang w:val="es-PE"/>
        </w:rPr>
        <w:t xml:space="preserve">. </w:t>
      </w:r>
      <w:r w:rsidR="00957BAF" w:rsidRPr="004B114F">
        <w:rPr>
          <w:rFonts w:asciiTheme="majorHAnsi" w:hAnsiTheme="majorHAnsi"/>
          <w:sz w:val="20"/>
          <w:szCs w:val="20"/>
          <w:lang w:val="es-ES"/>
        </w:rPr>
        <w:t>Las “Reglas Mínimas de Naciones Unidas para el Tratamiento de Reclusos”, utilizadas por la Corte IDH como parámetro de interpretación</w:t>
      </w:r>
      <w:r w:rsidR="00957BAF" w:rsidRPr="004B114F">
        <w:rPr>
          <w:rFonts w:asciiTheme="majorHAnsi" w:hAnsiTheme="majorHAnsi"/>
          <w:sz w:val="20"/>
          <w:szCs w:val="20"/>
          <w:vertAlign w:val="superscript"/>
        </w:rPr>
        <w:footnoteReference w:id="137"/>
      </w:r>
      <w:r w:rsidR="00957BAF" w:rsidRPr="004B114F">
        <w:rPr>
          <w:rFonts w:asciiTheme="majorHAnsi" w:hAnsiTheme="majorHAnsi"/>
          <w:sz w:val="20"/>
          <w:szCs w:val="20"/>
          <w:lang w:val="es-ES"/>
        </w:rPr>
        <w:t xml:space="preserve">, reconocen estos criterios y añaden, a su vez, que </w:t>
      </w:r>
      <w:r w:rsidR="00C54D17" w:rsidRPr="004B114F">
        <w:rPr>
          <w:rFonts w:asciiTheme="majorHAnsi" w:hAnsiTheme="majorHAnsi"/>
          <w:sz w:val="20"/>
          <w:szCs w:val="20"/>
          <w:lang w:val="es-ES"/>
        </w:rPr>
        <w:t>los hombres y las mujeres deben ser recluidos, hasta donde sea posible, en establecimientos diferentes y/o completamente separados</w:t>
      </w:r>
      <w:r w:rsidR="00C54D17" w:rsidRPr="004B114F">
        <w:rPr>
          <w:rFonts w:asciiTheme="majorHAnsi" w:hAnsiTheme="majorHAnsi"/>
          <w:sz w:val="20"/>
          <w:szCs w:val="20"/>
          <w:vertAlign w:val="superscript"/>
        </w:rPr>
        <w:footnoteReference w:id="138"/>
      </w:r>
      <w:r w:rsidR="00C54D17" w:rsidRPr="004B114F">
        <w:rPr>
          <w:rFonts w:asciiTheme="majorHAnsi" w:hAnsiTheme="majorHAnsi"/>
          <w:sz w:val="20"/>
          <w:szCs w:val="20"/>
          <w:lang w:val="es-ES"/>
        </w:rPr>
        <w:t>.</w:t>
      </w:r>
      <w:r w:rsidR="00276D49" w:rsidRPr="004B114F">
        <w:rPr>
          <w:rFonts w:asciiTheme="majorHAnsi" w:hAnsiTheme="majorHAnsi"/>
          <w:sz w:val="20"/>
          <w:szCs w:val="20"/>
          <w:lang w:val="es-ES"/>
        </w:rPr>
        <w:t xml:space="preserve"> </w:t>
      </w:r>
    </w:p>
    <w:p w14:paraId="22033E98" w14:textId="77777777" w:rsidR="00115E91" w:rsidRPr="004B114F" w:rsidRDefault="00115E91" w:rsidP="004B114F">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jc w:val="both"/>
        <w:rPr>
          <w:rFonts w:asciiTheme="majorHAnsi" w:hAnsiTheme="majorHAnsi"/>
          <w:sz w:val="20"/>
          <w:szCs w:val="20"/>
          <w:lang w:val="es-ES"/>
        </w:rPr>
      </w:pPr>
    </w:p>
    <w:p w14:paraId="71850A35" w14:textId="20717223" w:rsidR="00957BAF" w:rsidRPr="004B114F" w:rsidRDefault="00E939E4" w:rsidP="004B114F">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629"/>
        <w:jc w:val="both"/>
        <w:rPr>
          <w:rFonts w:asciiTheme="majorHAnsi" w:hAnsiTheme="majorHAnsi"/>
          <w:sz w:val="20"/>
          <w:szCs w:val="20"/>
          <w:lang w:val="es-PE"/>
        </w:rPr>
      </w:pPr>
      <w:r w:rsidRPr="004B114F">
        <w:rPr>
          <w:rFonts w:asciiTheme="majorHAnsi" w:hAnsiTheme="majorHAnsi"/>
          <w:sz w:val="20"/>
          <w:szCs w:val="20"/>
          <w:lang w:val="es-ES"/>
        </w:rPr>
        <w:t>A</w:t>
      </w:r>
      <w:r w:rsidR="00466A82" w:rsidRPr="004B114F">
        <w:rPr>
          <w:rFonts w:asciiTheme="majorHAnsi" w:hAnsiTheme="majorHAnsi"/>
          <w:sz w:val="20"/>
          <w:szCs w:val="20"/>
          <w:lang w:val="es-ES"/>
        </w:rPr>
        <w:t xml:space="preserve">simismo, </w:t>
      </w:r>
      <w:r w:rsidR="00C8368D" w:rsidRPr="004B114F">
        <w:rPr>
          <w:rFonts w:asciiTheme="majorHAnsi" w:hAnsiTheme="majorHAnsi"/>
          <w:sz w:val="20"/>
          <w:szCs w:val="20"/>
          <w:lang w:val="es-ES"/>
        </w:rPr>
        <w:t xml:space="preserve">la CIDH ha adoptado </w:t>
      </w:r>
      <w:r w:rsidRPr="004B114F">
        <w:rPr>
          <w:rFonts w:asciiTheme="majorHAnsi" w:hAnsiTheme="majorHAnsi"/>
          <w:sz w:val="20"/>
          <w:szCs w:val="20"/>
          <w:lang w:val="es-ES"/>
        </w:rPr>
        <w:t>l</w:t>
      </w:r>
      <w:r w:rsidR="00443FFA" w:rsidRPr="004B114F">
        <w:rPr>
          <w:rFonts w:asciiTheme="majorHAnsi" w:hAnsiTheme="majorHAnsi"/>
          <w:sz w:val="20"/>
          <w:szCs w:val="20"/>
          <w:lang w:val="es-ES"/>
        </w:rPr>
        <w:t>os Principios y Buenas Prácticas sobre la Protección de los Derechos de las Personas Privadas de Libertad en las Américas</w:t>
      </w:r>
      <w:r w:rsidR="00385EB4" w:rsidRPr="004B114F">
        <w:rPr>
          <w:rFonts w:asciiTheme="majorHAnsi" w:hAnsiTheme="majorHAnsi"/>
          <w:sz w:val="20"/>
          <w:szCs w:val="20"/>
          <w:lang w:val="es-ES"/>
        </w:rPr>
        <w:t xml:space="preserve"> para interpretar el </w:t>
      </w:r>
      <w:r w:rsidR="00385EB4" w:rsidRPr="00DE778C">
        <w:rPr>
          <w:rFonts w:asciiTheme="majorHAnsi" w:hAnsiTheme="majorHAnsi"/>
          <w:i/>
          <w:iCs/>
          <w:sz w:val="20"/>
          <w:szCs w:val="20"/>
          <w:lang w:val="es-ES"/>
        </w:rPr>
        <w:t>corpus iuris</w:t>
      </w:r>
      <w:r w:rsidR="00385EB4" w:rsidRPr="004B114F">
        <w:rPr>
          <w:rFonts w:asciiTheme="majorHAnsi" w:hAnsiTheme="majorHAnsi"/>
          <w:sz w:val="20"/>
          <w:szCs w:val="20"/>
          <w:lang w:val="es-ES"/>
        </w:rPr>
        <w:t xml:space="preserve"> internacional que regula esta materia y sintetizarlo en una serie de directrices que deben ser observadas por los Estados a fin de garantizar la dignidad,</w:t>
      </w:r>
      <w:r w:rsidR="00470991" w:rsidRPr="004B114F">
        <w:rPr>
          <w:rFonts w:asciiTheme="majorHAnsi" w:hAnsiTheme="majorHAnsi"/>
          <w:sz w:val="20"/>
          <w:szCs w:val="20"/>
          <w:lang w:val="es-ES"/>
        </w:rPr>
        <w:t xml:space="preserve"> y</w:t>
      </w:r>
      <w:r w:rsidR="00385EB4" w:rsidRPr="004B114F">
        <w:rPr>
          <w:rFonts w:asciiTheme="majorHAnsi" w:hAnsiTheme="majorHAnsi"/>
          <w:sz w:val="20"/>
          <w:szCs w:val="20"/>
          <w:lang w:val="es-ES"/>
        </w:rPr>
        <w:t xml:space="preserve"> los derechos y libertades fundamentales de las personas detenidas</w:t>
      </w:r>
      <w:r w:rsidR="00385EB4" w:rsidRPr="004B114F">
        <w:rPr>
          <w:rFonts w:asciiTheme="majorHAnsi" w:hAnsiTheme="majorHAnsi"/>
          <w:sz w:val="20"/>
          <w:szCs w:val="20"/>
          <w:vertAlign w:val="superscript"/>
        </w:rPr>
        <w:footnoteReference w:id="139"/>
      </w:r>
      <w:r w:rsidR="00385EB4" w:rsidRPr="004B114F">
        <w:rPr>
          <w:rFonts w:asciiTheme="majorHAnsi" w:hAnsiTheme="majorHAnsi"/>
          <w:sz w:val="20"/>
          <w:szCs w:val="20"/>
          <w:lang w:val="es-ES"/>
        </w:rPr>
        <w:t>.</w:t>
      </w:r>
      <w:r w:rsidR="00C8368D" w:rsidRPr="004B114F">
        <w:rPr>
          <w:rFonts w:asciiTheme="majorHAnsi" w:hAnsiTheme="majorHAnsi"/>
          <w:sz w:val="20"/>
          <w:szCs w:val="20"/>
          <w:lang w:val="es-ES"/>
        </w:rPr>
        <w:t xml:space="preserve"> </w:t>
      </w:r>
      <w:r w:rsidR="00C8368D" w:rsidRPr="004B114F">
        <w:rPr>
          <w:rFonts w:asciiTheme="majorHAnsi" w:hAnsiTheme="majorHAnsi"/>
          <w:sz w:val="20"/>
          <w:szCs w:val="20"/>
          <w:lang w:val="es-PE"/>
        </w:rPr>
        <w:t xml:space="preserve">Desde una mirada holística, los Principios determinan las condiciones de detención esenciales que deben regir la política carcelaria de un Estado, deteniéndose de modo </w:t>
      </w:r>
      <w:r w:rsidR="005358DD" w:rsidRPr="004B114F">
        <w:rPr>
          <w:rFonts w:asciiTheme="majorHAnsi" w:hAnsiTheme="majorHAnsi"/>
          <w:sz w:val="20"/>
          <w:szCs w:val="20"/>
          <w:lang w:val="es-PE"/>
        </w:rPr>
        <w:t>particular</w:t>
      </w:r>
      <w:r w:rsidR="00C8368D" w:rsidRPr="004B114F">
        <w:rPr>
          <w:rFonts w:asciiTheme="majorHAnsi" w:hAnsiTheme="majorHAnsi"/>
          <w:sz w:val="20"/>
          <w:szCs w:val="20"/>
          <w:lang w:val="es-PE"/>
        </w:rPr>
        <w:t xml:space="preserve"> e</w:t>
      </w:r>
      <w:r w:rsidR="00FB454F" w:rsidRPr="004B114F">
        <w:rPr>
          <w:rFonts w:asciiTheme="majorHAnsi" w:hAnsiTheme="majorHAnsi"/>
          <w:sz w:val="20"/>
          <w:szCs w:val="20"/>
          <w:lang w:val="es-PE"/>
        </w:rPr>
        <w:t xml:space="preserve">n la aplicación de estas condiciones a la situación de las mujeres y niñas, quienes, en consideración de sus necesidades especiales, tienen derecho a un trato diferenciado en el acceso a la atención médica, la distribución de artículos sanitarios, la disponibilidad de albergue, separación por sexo, </w:t>
      </w:r>
      <w:r w:rsidR="00A62ABD" w:rsidRPr="004B114F">
        <w:rPr>
          <w:rFonts w:asciiTheme="majorHAnsi" w:hAnsiTheme="majorHAnsi"/>
          <w:sz w:val="20"/>
          <w:szCs w:val="20"/>
          <w:lang w:val="es-PE"/>
        </w:rPr>
        <w:t>etc.</w:t>
      </w:r>
      <w:r w:rsidR="00FB454F" w:rsidRPr="004B114F">
        <w:rPr>
          <w:rFonts w:asciiTheme="majorHAnsi" w:hAnsiTheme="majorHAnsi"/>
          <w:sz w:val="20"/>
          <w:szCs w:val="20"/>
          <w:vertAlign w:val="superscript"/>
        </w:rPr>
        <w:footnoteReference w:id="140"/>
      </w:r>
      <w:r w:rsidR="00FB454F" w:rsidRPr="004B114F">
        <w:rPr>
          <w:rFonts w:asciiTheme="majorHAnsi" w:hAnsiTheme="majorHAnsi"/>
          <w:sz w:val="20"/>
          <w:szCs w:val="20"/>
          <w:lang w:val="es-PE"/>
        </w:rPr>
        <w:t>.</w:t>
      </w:r>
    </w:p>
    <w:p w14:paraId="17E58DEA" w14:textId="77777777" w:rsidR="00115E91" w:rsidRPr="004B114F" w:rsidRDefault="00115E91" w:rsidP="004B114F">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jc w:val="both"/>
        <w:rPr>
          <w:rFonts w:asciiTheme="majorHAnsi" w:hAnsiTheme="majorHAnsi"/>
          <w:sz w:val="20"/>
          <w:szCs w:val="20"/>
          <w:lang w:val="es-PE"/>
        </w:rPr>
      </w:pPr>
    </w:p>
    <w:p w14:paraId="5C820AD2" w14:textId="66C0E76E" w:rsidR="00AA2E8A" w:rsidRPr="004B114F" w:rsidRDefault="0045077F" w:rsidP="004B114F">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629"/>
        <w:jc w:val="both"/>
        <w:rPr>
          <w:rFonts w:asciiTheme="majorHAnsi" w:hAnsiTheme="majorHAnsi"/>
          <w:sz w:val="20"/>
          <w:szCs w:val="20"/>
          <w:lang w:val="es-ES"/>
        </w:rPr>
      </w:pPr>
      <w:r w:rsidRPr="004B114F">
        <w:rPr>
          <w:rFonts w:asciiTheme="majorHAnsi" w:hAnsiTheme="majorHAnsi"/>
          <w:sz w:val="20"/>
          <w:szCs w:val="20"/>
          <w:lang w:val="es-ES"/>
        </w:rPr>
        <w:t>La Corte Interamericana ha establecido</w:t>
      </w:r>
      <w:r w:rsidR="00276D49" w:rsidRPr="004B114F">
        <w:rPr>
          <w:rFonts w:asciiTheme="majorHAnsi" w:hAnsiTheme="majorHAnsi"/>
          <w:sz w:val="20"/>
          <w:szCs w:val="20"/>
          <w:lang w:val="es-ES"/>
        </w:rPr>
        <w:t xml:space="preserve"> </w:t>
      </w:r>
      <w:r w:rsidRPr="004B114F">
        <w:rPr>
          <w:rFonts w:asciiTheme="majorHAnsi" w:hAnsiTheme="majorHAnsi"/>
          <w:sz w:val="20"/>
          <w:szCs w:val="20"/>
          <w:lang w:val="es-ES"/>
        </w:rPr>
        <w:t>que determinadas condiciones de detención</w:t>
      </w:r>
      <w:r w:rsidR="004206AE" w:rsidRPr="004B114F">
        <w:rPr>
          <w:rFonts w:asciiTheme="majorHAnsi" w:hAnsiTheme="majorHAnsi"/>
          <w:sz w:val="20"/>
          <w:szCs w:val="20"/>
          <w:lang w:val="es-ES"/>
        </w:rPr>
        <w:t>,</w:t>
      </w:r>
      <w:r w:rsidRPr="004B114F">
        <w:rPr>
          <w:rFonts w:asciiTheme="majorHAnsi" w:hAnsiTheme="majorHAnsi"/>
          <w:sz w:val="20"/>
          <w:szCs w:val="20"/>
          <w:lang w:val="es-ES"/>
        </w:rPr>
        <w:t xml:space="preserve"> por sus características y gravedad</w:t>
      </w:r>
      <w:r w:rsidR="004206AE" w:rsidRPr="004B114F">
        <w:rPr>
          <w:rFonts w:asciiTheme="majorHAnsi" w:hAnsiTheme="majorHAnsi"/>
          <w:sz w:val="20"/>
          <w:szCs w:val="20"/>
          <w:lang w:val="es-ES"/>
        </w:rPr>
        <w:t>,</w:t>
      </w:r>
      <w:r w:rsidRPr="004B114F">
        <w:rPr>
          <w:rFonts w:asciiTheme="majorHAnsi" w:hAnsiTheme="majorHAnsi"/>
          <w:sz w:val="20"/>
          <w:szCs w:val="20"/>
          <w:lang w:val="es-ES"/>
        </w:rPr>
        <w:t xml:space="preserve"> pueden constituir en sí mismas tratos crueles, inhumanos y degradantes, contrarios a la dignidad de todo ser humano</w:t>
      </w:r>
      <w:r w:rsidRPr="004B114F">
        <w:rPr>
          <w:rFonts w:asciiTheme="majorHAnsi" w:hAnsiTheme="majorHAnsi"/>
          <w:sz w:val="20"/>
          <w:szCs w:val="20"/>
          <w:vertAlign w:val="superscript"/>
        </w:rPr>
        <w:footnoteReference w:id="141"/>
      </w:r>
      <w:r w:rsidRPr="004B114F">
        <w:rPr>
          <w:rFonts w:asciiTheme="majorHAnsi" w:hAnsiTheme="majorHAnsi"/>
          <w:sz w:val="20"/>
          <w:szCs w:val="20"/>
          <w:lang w:val="es-ES"/>
        </w:rPr>
        <w:t>.</w:t>
      </w:r>
      <w:r w:rsidR="003502F5" w:rsidRPr="004B114F">
        <w:rPr>
          <w:rFonts w:asciiTheme="majorHAnsi" w:hAnsiTheme="majorHAnsi"/>
          <w:sz w:val="20"/>
          <w:szCs w:val="20"/>
          <w:lang w:val="es-ES"/>
        </w:rPr>
        <w:t xml:space="preserve"> </w:t>
      </w:r>
      <w:r w:rsidR="00470991" w:rsidRPr="004B114F">
        <w:rPr>
          <w:rFonts w:asciiTheme="majorHAnsi" w:hAnsiTheme="majorHAnsi"/>
          <w:sz w:val="20"/>
          <w:szCs w:val="20"/>
          <w:lang w:val="es-ES"/>
        </w:rPr>
        <w:t>E</w:t>
      </w:r>
      <w:r w:rsidR="00F16513" w:rsidRPr="004B114F">
        <w:rPr>
          <w:rFonts w:asciiTheme="majorHAnsi" w:hAnsiTheme="majorHAnsi"/>
          <w:sz w:val="20"/>
          <w:szCs w:val="20"/>
          <w:lang w:val="es-ES"/>
        </w:rPr>
        <w:t xml:space="preserve">n el caso </w:t>
      </w:r>
      <w:r w:rsidR="00F16513" w:rsidRPr="004B114F">
        <w:rPr>
          <w:rFonts w:asciiTheme="majorHAnsi" w:hAnsiTheme="majorHAnsi"/>
          <w:i/>
          <w:sz w:val="20"/>
          <w:szCs w:val="20"/>
          <w:lang w:val="es-ES"/>
        </w:rPr>
        <w:t>Montero Aranguren y otros Vs. Venezuela</w:t>
      </w:r>
      <w:r w:rsidR="00F16513" w:rsidRPr="004B114F">
        <w:rPr>
          <w:rFonts w:asciiTheme="majorHAnsi" w:hAnsiTheme="majorHAnsi"/>
          <w:sz w:val="20"/>
          <w:szCs w:val="20"/>
          <w:lang w:val="es-ES"/>
        </w:rPr>
        <w:t>, la Corte Interamericana señaló que contar con espacios mínimos de 30 centímetros cuadrados por recluso era inaceptable y constituía en sí mismo un trato cruel, inhumano y degradante</w:t>
      </w:r>
      <w:r w:rsidR="00595F07" w:rsidRPr="004B114F">
        <w:rPr>
          <w:rFonts w:asciiTheme="majorHAnsi" w:hAnsiTheme="majorHAnsi"/>
          <w:sz w:val="20"/>
          <w:szCs w:val="20"/>
          <w:lang w:val="es-ES"/>
        </w:rPr>
        <w:t xml:space="preserve">; </w:t>
      </w:r>
      <w:r w:rsidR="00A833A2" w:rsidRPr="004B114F">
        <w:rPr>
          <w:rFonts w:asciiTheme="majorHAnsi" w:hAnsiTheme="majorHAnsi"/>
          <w:sz w:val="20"/>
          <w:szCs w:val="20"/>
          <w:lang w:val="es-ES"/>
        </w:rPr>
        <w:t>y que lo mismo sucedía con</w:t>
      </w:r>
      <w:r w:rsidR="00755988" w:rsidRPr="004B114F">
        <w:rPr>
          <w:rFonts w:asciiTheme="majorHAnsi" w:hAnsiTheme="majorHAnsi"/>
          <w:sz w:val="20"/>
          <w:szCs w:val="20"/>
          <w:lang w:val="es-ES"/>
        </w:rPr>
        <w:t xml:space="preserve"> la existencia de celdas con malas condiciones físicas y sanitarias, en las que los reclusos eran forzados a vivir, dormir y hacer uso de los sanitarios junto con otro grupo </w:t>
      </w:r>
      <w:r w:rsidR="00170FA4" w:rsidRPr="004B114F">
        <w:rPr>
          <w:rFonts w:asciiTheme="majorHAnsi" w:hAnsiTheme="majorHAnsi"/>
          <w:sz w:val="20"/>
          <w:szCs w:val="20"/>
          <w:lang w:val="es-ES"/>
        </w:rPr>
        <w:t>número</w:t>
      </w:r>
      <w:r w:rsidR="00755988" w:rsidRPr="004B114F">
        <w:rPr>
          <w:rFonts w:asciiTheme="majorHAnsi" w:hAnsiTheme="majorHAnsi"/>
          <w:sz w:val="20"/>
          <w:szCs w:val="20"/>
          <w:lang w:val="es-ES"/>
        </w:rPr>
        <w:t xml:space="preserve"> de internos</w:t>
      </w:r>
      <w:r w:rsidR="00755988" w:rsidRPr="004B114F">
        <w:rPr>
          <w:rFonts w:asciiTheme="majorHAnsi" w:hAnsiTheme="majorHAnsi"/>
          <w:sz w:val="20"/>
          <w:szCs w:val="20"/>
          <w:vertAlign w:val="superscript"/>
        </w:rPr>
        <w:footnoteReference w:id="142"/>
      </w:r>
      <w:r w:rsidR="00755988" w:rsidRPr="004B114F">
        <w:rPr>
          <w:rFonts w:asciiTheme="majorHAnsi" w:hAnsiTheme="majorHAnsi"/>
          <w:sz w:val="20"/>
          <w:szCs w:val="20"/>
          <w:lang w:val="es-ES"/>
        </w:rPr>
        <w:t xml:space="preserve">. </w:t>
      </w:r>
      <w:r w:rsidR="00AA2E8A" w:rsidRPr="004B114F">
        <w:rPr>
          <w:rFonts w:asciiTheme="majorHAnsi" w:hAnsiTheme="majorHAnsi"/>
          <w:sz w:val="20"/>
          <w:szCs w:val="20"/>
          <w:lang w:val="es-ES"/>
        </w:rPr>
        <w:t>Mediante su jurisprudencia, la Corte IDH</w:t>
      </w:r>
      <w:r w:rsidR="00F16513" w:rsidRPr="004B114F">
        <w:rPr>
          <w:rFonts w:asciiTheme="majorHAnsi" w:hAnsiTheme="majorHAnsi"/>
          <w:sz w:val="20"/>
          <w:szCs w:val="20"/>
          <w:lang w:val="es-ES"/>
        </w:rPr>
        <w:t xml:space="preserve"> también</w:t>
      </w:r>
      <w:r w:rsidR="00AA2E8A" w:rsidRPr="004B114F">
        <w:rPr>
          <w:rFonts w:asciiTheme="majorHAnsi" w:hAnsiTheme="majorHAnsi"/>
          <w:sz w:val="20"/>
          <w:szCs w:val="20"/>
          <w:lang w:val="es-ES"/>
        </w:rPr>
        <w:t xml:space="preserve"> </w:t>
      </w:r>
      <w:r w:rsidR="00F61F6A" w:rsidRPr="004B114F">
        <w:rPr>
          <w:rFonts w:asciiTheme="majorHAnsi" w:hAnsiTheme="majorHAnsi"/>
          <w:sz w:val="20"/>
          <w:szCs w:val="20"/>
          <w:lang w:val="es-ES"/>
        </w:rPr>
        <w:t xml:space="preserve">se ha referido a </w:t>
      </w:r>
      <w:r w:rsidR="00F16513" w:rsidRPr="004B114F">
        <w:rPr>
          <w:rFonts w:asciiTheme="majorHAnsi" w:hAnsiTheme="majorHAnsi"/>
          <w:sz w:val="20"/>
          <w:szCs w:val="20"/>
          <w:lang w:val="es-ES"/>
        </w:rPr>
        <w:t xml:space="preserve">otras </w:t>
      </w:r>
      <w:r w:rsidR="00F61F6A" w:rsidRPr="004B114F">
        <w:rPr>
          <w:rFonts w:asciiTheme="majorHAnsi" w:hAnsiTheme="majorHAnsi"/>
          <w:sz w:val="20"/>
          <w:szCs w:val="20"/>
          <w:lang w:val="es-ES"/>
        </w:rPr>
        <w:t xml:space="preserve">situaciones </w:t>
      </w:r>
      <w:r w:rsidR="00F16513" w:rsidRPr="004B114F">
        <w:rPr>
          <w:rFonts w:asciiTheme="majorHAnsi" w:hAnsiTheme="majorHAnsi"/>
          <w:sz w:val="20"/>
          <w:szCs w:val="20"/>
          <w:lang w:val="es-ES"/>
        </w:rPr>
        <w:t>como la</w:t>
      </w:r>
      <w:r w:rsidR="007071A2" w:rsidRPr="004B114F">
        <w:rPr>
          <w:rFonts w:asciiTheme="majorHAnsi" w:hAnsiTheme="majorHAnsi"/>
          <w:sz w:val="20"/>
          <w:szCs w:val="20"/>
          <w:lang w:val="es-ES"/>
        </w:rPr>
        <w:t xml:space="preserve"> falta de luz y ventilación, </w:t>
      </w:r>
      <w:r w:rsidR="00F16513" w:rsidRPr="004B114F">
        <w:rPr>
          <w:rFonts w:asciiTheme="majorHAnsi" w:hAnsiTheme="majorHAnsi"/>
          <w:sz w:val="20"/>
          <w:szCs w:val="20"/>
          <w:lang w:val="es-ES"/>
        </w:rPr>
        <w:t xml:space="preserve">la </w:t>
      </w:r>
      <w:r w:rsidR="007071A2" w:rsidRPr="004B114F">
        <w:rPr>
          <w:rFonts w:asciiTheme="majorHAnsi" w:hAnsiTheme="majorHAnsi"/>
          <w:sz w:val="20"/>
          <w:szCs w:val="20"/>
          <w:lang w:val="es-ES"/>
        </w:rPr>
        <w:t xml:space="preserve">ausencia de camas </w:t>
      </w:r>
      <w:r w:rsidR="007071A2" w:rsidRPr="004B114F">
        <w:rPr>
          <w:rFonts w:asciiTheme="majorHAnsi" w:hAnsiTheme="majorHAnsi"/>
          <w:sz w:val="20"/>
          <w:szCs w:val="20"/>
          <w:lang w:val="es-ES"/>
        </w:rPr>
        <w:lastRenderedPageBreak/>
        <w:t xml:space="preserve">para el reposo, </w:t>
      </w:r>
      <w:r w:rsidR="00F16513" w:rsidRPr="004B114F">
        <w:rPr>
          <w:rFonts w:asciiTheme="majorHAnsi" w:hAnsiTheme="majorHAnsi"/>
          <w:sz w:val="20"/>
          <w:szCs w:val="20"/>
          <w:lang w:val="es-ES"/>
        </w:rPr>
        <w:t xml:space="preserve">los </w:t>
      </w:r>
      <w:r w:rsidR="007071A2" w:rsidRPr="004B114F">
        <w:rPr>
          <w:rFonts w:asciiTheme="majorHAnsi" w:hAnsiTheme="majorHAnsi"/>
          <w:sz w:val="20"/>
          <w:szCs w:val="20"/>
          <w:lang w:val="es-ES"/>
        </w:rPr>
        <w:t>castigos corporales, violencia psicológica, aislamiento, entre otros</w:t>
      </w:r>
      <w:r w:rsidR="007071A2" w:rsidRPr="004B114F">
        <w:rPr>
          <w:rFonts w:asciiTheme="majorHAnsi" w:hAnsiTheme="majorHAnsi"/>
          <w:sz w:val="20"/>
          <w:szCs w:val="20"/>
          <w:vertAlign w:val="superscript"/>
        </w:rPr>
        <w:footnoteReference w:id="143"/>
      </w:r>
      <w:r w:rsidR="007071A2" w:rsidRPr="004B114F">
        <w:rPr>
          <w:rFonts w:asciiTheme="majorHAnsi" w:hAnsiTheme="majorHAnsi"/>
          <w:sz w:val="20"/>
          <w:szCs w:val="20"/>
          <w:lang w:val="es-ES"/>
        </w:rPr>
        <w:t xml:space="preserve">, como condiciones </w:t>
      </w:r>
      <w:r w:rsidR="00F16513" w:rsidRPr="004B114F">
        <w:rPr>
          <w:rFonts w:asciiTheme="majorHAnsi" w:hAnsiTheme="majorHAnsi"/>
          <w:sz w:val="20"/>
          <w:szCs w:val="20"/>
          <w:lang w:val="es-ES"/>
        </w:rPr>
        <w:t>carcelarias deplorables</w:t>
      </w:r>
      <w:r w:rsidR="007071A2" w:rsidRPr="004B114F">
        <w:rPr>
          <w:rFonts w:asciiTheme="majorHAnsi" w:hAnsiTheme="majorHAnsi"/>
          <w:sz w:val="20"/>
          <w:szCs w:val="20"/>
          <w:lang w:val="es-ES"/>
        </w:rPr>
        <w:t xml:space="preserve"> que activarían el deber del Estado de conducir investigaciones a partir de las obligaciones</w:t>
      </w:r>
      <w:r w:rsidR="00DC6B09" w:rsidRPr="004B114F">
        <w:rPr>
          <w:rFonts w:asciiTheme="majorHAnsi" w:hAnsiTheme="majorHAnsi"/>
          <w:sz w:val="20"/>
          <w:szCs w:val="20"/>
          <w:lang w:val="es-ES"/>
        </w:rPr>
        <w:t xml:space="preserve"> generales</w:t>
      </w:r>
      <w:r w:rsidR="00991135" w:rsidRPr="004B114F">
        <w:rPr>
          <w:rFonts w:asciiTheme="majorHAnsi" w:hAnsiTheme="majorHAnsi"/>
          <w:sz w:val="20"/>
          <w:szCs w:val="20"/>
          <w:lang w:val="es-ES"/>
        </w:rPr>
        <w:t xml:space="preserve"> y las garantías</w:t>
      </w:r>
      <w:r w:rsidR="007071A2" w:rsidRPr="004B114F">
        <w:rPr>
          <w:rFonts w:asciiTheme="majorHAnsi" w:hAnsiTheme="majorHAnsi"/>
          <w:sz w:val="20"/>
          <w:szCs w:val="20"/>
          <w:lang w:val="es-ES"/>
        </w:rPr>
        <w:t xml:space="preserve"> que se derivan de la CADH.</w:t>
      </w:r>
    </w:p>
    <w:p w14:paraId="03E5F8B4" w14:textId="77777777" w:rsidR="00115E91" w:rsidRPr="004B114F" w:rsidRDefault="00115E91" w:rsidP="004B114F">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629"/>
        <w:jc w:val="both"/>
        <w:rPr>
          <w:rFonts w:asciiTheme="majorHAnsi" w:hAnsiTheme="majorHAnsi"/>
          <w:sz w:val="20"/>
          <w:szCs w:val="20"/>
          <w:lang w:val="es-ES"/>
        </w:rPr>
      </w:pPr>
    </w:p>
    <w:p w14:paraId="2882BFC6" w14:textId="44BBD8BE" w:rsidR="00871AB8" w:rsidRPr="004B114F" w:rsidRDefault="00AA2E8A" w:rsidP="004B114F">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629"/>
        <w:jc w:val="both"/>
        <w:rPr>
          <w:rFonts w:asciiTheme="majorHAnsi" w:hAnsiTheme="majorHAnsi"/>
          <w:sz w:val="20"/>
          <w:szCs w:val="20"/>
          <w:lang w:val="es-ES"/>
        </w:rPr>
      </w:pPr>
      <w:r w:rsidRPr="004B114F">
        <w:rPr>
          <w:rFonts w:asciiTheme="majorHAnsi" w:hAnsiTheme="majorHAnsi"/>
          <w:sz w:val="20"/>
          <w:szCs w:val="20"/>
          <w:lang w:val="es-PE"/>
        </w:rPr>
        <w:t>De ese modo, e</w:t>
      </w:r>
      <w:r w:rsidR="0092316F" w:rsidRPr="004B114F">
        <w:rPr>
          <w:rFonts w:asciiTheme="majorHAnsi" w:hAnsiTheme="majorHAnsi"/>
          <w:sz w:val="20"/>
          <w:szCs w:val="20"/>
          <w:lang w:val="es-PE"/>
        </w:rPr>
        <w:t>l</w:t>
      </w:r>
      <w:r w:rsidR="00470991" w:rsidRPr="004B114F">
        <w:rPr>
          <w:rFonts w:asciiTheme="majorHAnsi" w:hAnsiTheme="majorHAnsi"/>
          <w:sz w:val="20"/>
          <w:szCs w:val="20"/>
          <w:lang w:val="es-PE"/>
        </w:rPr>
        <w:t xml:space="preserve"> estrecho</w:t>
      </w:r>
      <w:r w:rsidR="0092316F" w:rsidRPr="004B114F">
        <w:rPr>
          <w:rFonts w:asciiTheme="majorHAnsi" w:hAnsiTheme="majorHAnsi"/>
          <w:sz w:val="20"/>
          <w:szCs w:val="20"/>
          <w:lang w:val="es-PE"/>
        </w:rPr>
        <w:t xml:space="preserve"> vínculo entre el derecho a la integridad y la prohibición de la tortura ha sido reconocido por el sistema interamericano. </w:t>
      </w:r>
      <w:r w:rsidR="009141A0" w:rsidRPr="004B114F">
        <w:rPr>
          <w:rFonts w:asciiTheme="majorHAnsi" w:hAnsiTheme="majorHAnsi"/>
          <w:sz w:val="20"/>
          <w:szCs w:val="20"/>
          <w:lang w:val="es-ES"/>
        </w:rPr>
        <w:t xml:space="preserve">La propia CADH recoge de manera expresa </w:t>
      </w:r>
      <w:r w:rsidR="00974F0F" w:rsidRPr="004B114F">
        <w:rPr>
          <w:rFonts w:asciiTheme="majorHAnsi" w:hAnsiTheme="majorHAnsi"/>
          <w:sz w:val="20"/>
          <w:szCs w:val="20"/>
          <w:lang w:val="es-ES"/>
        </w:rPr>
        <w:t xml:space="preserve">en su artículo 5.2 </w:t>
      </w:r>
      <w:r w:rsidR="009141A0" w:rsidRPr="004B114F">
        <w:rPr>
          <w:rFonts w:asciiTheme="majorHAnsi" w:hAnsiTheme="majorHAnsi"/>
          <w:sz w:val="20"/>
          <w:szCs w:val="20"/>
          <w:lang w:val="es-ES"/>
        </w:rPr>
        <w:t xml:space="preserve">la prohibición de la tortura y </w:t>
      </w:r>
      <w:r w:rsidR="006903F6" w:rsidRPr="004B114F">
        <w:rPr>
          <w:rFonts w:asciiTheme="majorHAnsi" w:hAnsiTheme="majorHAnsi"/>
          <w:sz w:val="20"/>
          <w:szCs w:val="20"/>
          <w:lang w:val="es-ES"/>
        </w:rPr>
        <w:t>d</w:t>
      </w:r>
      <w:r w:rsidR="009141A0" w:rsidRPr="004B114F">
        <w:rPr>
          <w:rFonts w:asciiTheme="majorHAnsi" w:hAnsiTheme="majorHAnsi"/>
          <w:sz w:val="20"/>
          <w:szCs w:val="20"/>
          <w:lang w:val="es-ES"/>
        </w:rPr>
        <w:t>e las penas o tratos crueles, inhumanos o degradantes</w:t>
      </w:r>
      <w:r w:rsidR="00470991" w:rsidRPr="004B114F">
        <w:rPr>
          <w:rFonts w:asciiTheme="majorHAnsi" w:hAnsiTheme="majorHAnsi"/>
          <w:sz w:val="20"/>
          <w:szCs w:val="20"/>
          <w:lang w:val="es-ES"/>
        </w:rPr>
        <w:t>. Al respecto,</w:t>
      </w:r>
      <w:r w:rsidR="00276D49" w:rsidRPr="004B114F">
        <w:rPr>
          <w:rFonts w:asciiTheme="majorHAnsi" w:hAnsiTheme="majorHAnsi"/>
          <w:sz w:val="20"/>
          <w:szCs w:val="20"/>
          <w:lang w:val="es-ES"/>
        </w:rPr>
        <w:t xml:space="preserve"> </w:t>
      </w:r>
      <w:r w:rsidR="006903F6" w:rsidRPr="004B114F">
        <w:rPr>
          <w:rFonts w:asciiTheme="majorHAnsi" w:hAnsiTheme="majorHAnsi"/>
          <w:sz w:val="20"/>
          <w:szCs w:val="20"/>
          <w:lang w:val="es-ES"/>
        </w:rPr>
        <w:t>la Corte IDH ha añadido que la integridad</w:t>
      </w:r>
      <w:r w:rsidR="00EA4441" w:rsidRPr="004B114F">
        <w:rPr>
          <w:rFonts w:asciiTheme="majorHAnsi" w:hAnsiTheme="majorHAnsi"/>
          <w:sz w:val="20"/>
          <w:szCs w:val="20"/>
          <w:lang w:val="es-ES"/>
        </w:rPr>
        <w:t xml:space="preserve">, como bien jurídico, tiene como finalidad principal </w:t>
      </w:r>
      <w:r w:rsidR="006903F6" w:rsidRPr="004B114F">
        <w:rPr>
          <w:rFonts w:asciiTheme="majorHAnsi" w:hAnsiTheme="majorHAnsi"/>
          <w:sz w:val="20"/>
          <w:szCs w:val="20"/>
          <w:lang w:val="es-ES"/>
        </w:rPr>
        <w:t>impulsar dicha prohibición de forma imperativa</w:t>
      </w:r>
      <w:r w:rsidR="00EA4441" w:rsidRPr="004B114F">
        <w:rPr>
          <w:rFonts w:asciiTheme="majorHAnsi" w:hAnsiTheme="majorHAnsi"/>
          <w:sz w:val="20"/>
          <w:szCs w:val="20"/>
          <w:vertAlign w:val="superscript"/>
        </w:rPr>
        <w:footnoteReference w:id="144"/>
      </w:r>
      <w:r w:rsidR="00EA4441" w:rsidRPr="004B114F">
        <w:rPr>
          <w:rFonts w:asciiTheme="majorHAnsi" w:hAnsiTheme="majorHAnsi"/>
          <w:sz w:val="20"/>
          <w:szCs w:val="20"/>
          <w:lang w:val="es-ES"/>
        </w:rPr>
        <w:t xml:space="preserve">. </w:t>
      </w:r>
      <w:r w:rsidR="005F1574" w:rsidRPr="004B114F">
        <w:rPr>
          <w:rFonts w:asciiTheme="majorHAnsi" w:hAnsiTheme="majorHAnsi"/>
          <w:sz w:val="20"/>
          <w:szCs w:val="20"/>
          <w:lang w:val="es-ES"/>
        </w:rPr>
        <w:t xml:space="preserve">Ambos órganos del sistema interamericano han afirmado que la prohibición de la tortura tiene naturaleza de </w:t>
      </w:r>
      <w:r w:rsidR="005F1574" w:rsidRPr="00DE778C">
        <w:rPr>
          <w:rFonts w:asciiTheme="majorHAnsi" w:hAnsiTheme="majorHAnsi"/>
          <w:i/>
          <w:iCs/>
          <w:sz w:val="20"/>
          <w:szCs w:val="20"/>
          <w:lang w:val="es-ES"/>
        </w:rPr>
        <w:t>jus</w:t>
      </w:r>
      <w:r w:rsidR="006A66C0" w:rsidRPr="00DE778C">
        <w:rPr>
          <w:rFonts w:asciiTheme="majorHAnsi" w:hAnsiTheme="majorHAnsi"/>
          <w:i/>
          <w:iCs/>
          <w:sz w:val="20"/>
          <w:szCs w:val="20"/>
          <w:lang w:val="es-ES"/>
        </w:rPr>
        <w:t xml:space="preserve"> cogens</w:t>
      </w:r>
      <w:r w:rsidR="006A66C0" w:rsidRPr="004B114F">
        <w:rPr>
          <w:rFonts w:asciiTheme="majorHAnsi" w:hAnsiTheme="majorHAnsi"/>
          <w:sz w:val="20"/>
          <w:szCs w:val="20"/>
          <w:lang w:val="es-ES"/>
        </w:rPr>
        <w:t xml:space="preserve">, sumándose </w:t>
      </w:r>
      <w:r w:rsidR="005F1574" w:rsidRPr="004B114F">
        <w:rPr>
          <w:rFonts w:asciiTheme="majorHAnsi" w:hAnsiTheme="majorHAnsi"/>
          <w:sz w:val="20"/>
          <w:szCs w:val="20"/>
          <w:lang w:val="es-ES"/>
        </w:rPr>
        <w:t xml:space="preserve">con ello, </w:t>
      </w:r>
      <w:r w:rsidR="006A66C0" w:rsidRPr="004B114F">
        <w:rPr>
          <w:rFonts w:asciiTheme="majorHAnsi" w:hAnsiTheme="majorHAnsi"/>
          <w:sz w:val="20"/>
          <w:szCs w:val="20"/>
          <w:lang w:val="es-ES"/>
        </w:rPr>
        <w:t>a una tendencia que se ve reflejada en distintos tratados de alcance universal y regional</w:t>
      </w:r>
      <w:r w:rsidR="006A66C0" w:rsidRPr="004B114F">
        <w:rPr>
          <w:rFonts w:asciiTheme="majorHAnsi" w:hAnsiTheme="majorHAnsi"/>
          <w:sz w:val="20"/>
          <w:szCs w:val="20"/>
          <w:vertAlign w:val="superscript"/>
        </w:rPr>
        <w:footnoteReference w:id="145"/>
      </w:r>
      <w:r w:rsidR="006A66C0" w:rsidRPr="004B114F">
        <w:rPr>
          <w:rFonts w:asciiTheme="majorHAnsi" w:hAnsiTheme="majorHAnsi"/>
          <w:sz w:val="20"/>
          <w:szCs w:val="20"/>
          <w:lang w:val="es-ES"/>
        </w:rPr>
        <w:t>.</w:t>
      </w:r>
      <w:r w:rsidR="002258FE" w:rsidRPr="004B114F">
        <w:rPr>
          <w:rFonts w:asciiTheme="majorHAnsi" w:hAnsiTheme="majorHAnsi"/>
          <w:sz w:val="20"/>
          <w:szCs w:val="20"/>
          <w:lang w:val="es-ES"/>
        </w:rPr>
        <w:t xml:space="preserve"> </w:t>
      </w:r>
      <w:r w:rsidR="00D93408" w:rsidRPr="004B114F">
        <w:rPr>
          <w:rFonts w:asciiTheme="majorHAnsi" w:hAnsiTheme="majorHAnsi"/>
          <w:sz w:val="20"/>
          <w:szCs w:val="20"/>
          <w:lang w:val="es-ES"/>
        </w:rPr>
        <w:t>De acuerdo con la jurisprudencia del sistema interamericano y con el artículo 2 de la CIPST, para que una conducta sea calificada como tortura deben concurrir los siguientes elementos: i) que sea un acto intencional cometido por un agente del Estado o con su autorización o aquiescencia; ii) que cause intenso sufrimiento físico o mental y iii) que se cometa con determinado fin o propósito</w:t>
      </w:r>
      <w:r w:rsidR="00D93408" w:rsidRPr="004B114F">
        <w:rPr>
          <w:rFonts w:asciiTheme="majorHAnsi" w:hAnsiTheme="majorHAnsi"/>
          <w:sz w:val="20"/>
          <w:szCs w:val="20"/>
          <w:vertAlign w:val="superscript"/>
        </w:rPr>
        <w:footnoteReference w:id="146"/>
      </w:r>
      <w:r w:rsidR="00D93408" w:rsidRPr="004B114F">
        <w:rPr>
          <w:rFonts w:asciiTheme="majorHAnsi" w:hAnsiTheme="majorHAnsi"/>
          <w:sz w:val="20"/>
          <w:szCs w:val="20"/>
          <w:lang w:val="es-ES"/>
        </w:rPr>
        <w:t>.</w:t>
      </w:r>
    </w:p>
    <w:p w14:paraId="3B03D31D" w14:textId="77777777" w:rsidR="00115E91" w:rsidRPr="004B114F" w:rsidRDefault="00115E91" w:rsidP="004B114F">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jc w:val="both"/>
        <w:rPr>
          <w:rFonts w:asciiTheme="majorHAnsi" w:hAnsiTheme="majorHAnsi"/>
          <w:sz w:val="20"/>
          <w:szCs w:val="20"/>
          <w:lang w:val="es-ES"/>
        </w:rPr>
      </w:pPr>
    </w:p>
    <w:p w14:paraId="1CC6E49E" w14:textId="1A1B74FD" w:rsidR="007015B1" w:rsidRPr="004B114F" w:rsidRDefault="005D53B6" w:rsidP="004B114F">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629"/>
        <w:jc w:val="both"/>
        <w:rPr>
          <w:rFonts w:asciiTheme="majorHAnsi" w:hAnsiTheme="majorHAnsi"/>
          <w:sz w:val="20"/>
          <w:szCs w:val="20"/>
          <w:lang w:val="es-ES"/>
        </w:rPr>
      </w:pPr>
      <w:r w:rsidRPr="004B114F">
        <w:rPr>
          <w:rFonts w:asciiTheme="majorHAnsi" w:hAnsiTheme="majorHAnsi"/>
          <w:sz w:val="20"/>
          <w:szCs w:val="20"/>
          <w:lang w:val="es-PE"/>
        </w:rPr>
        <w:t xml:space="preserve">La especial situación de las mujeres detenidas o arrestadas ha sido también materia </w:t>
      </w:r>
      <w:r w:rsidR="0002054C" w:rsidRPr="004B114F">
        <w:rPr>
          <w:rFonts w:asciiTheme="majorHAnsi" w:hAnsiTheme="majorHAnsi"/>
          <w:sz w:val="20"/>
          <w:szCs w:val="20"/>
          <w:lang w:val="es-PE"/>
        </w:rPr>
        <w:t xml:space="preserve">de </w:t>
      </w:r>
      <w:r w:rsidRPr="004B114F">
        <w:rPr>
          <w:rFonts w:asciiTheme="majorHAnsi" w:hAnsiTheme="majorHAnsi"/>
          <w:sz w:val="20"/>
          <w:szCs w:val="20"/>
          <w:lang w:val="es-PE"/>
        </w:rPr>
        <w:t xml:space="preserve">análisis por parte de la CIDH y la Corte Interamericana. </w:t>
      </w:r>
      <w:r w:rsidRPr="004B114F">
        <w:rPr>
          <w:rFonts w:asciiTheme="majorHAnsi" w:hAnsiTheme="majorHAnsi"/>
          <w:sz w:val="20"/>
          <w:szCs w:val="20"/>
          <w:lang w:val="es-ES"/>
        </w:rPr>
        <w:t xml:space="preserve">Esta última ha indicado que los Estados deben </w:t>
      </w:r>
      <w:r w:rsidR="000F01B6" w:rsidRPr="004B114F">
        <w:rPr>
          <w:rFonts w:asciiTheme="majorHAnsi" w:hAnsiTheme="majorHAnsi"/>
          <w:sz w:val="20"/>
          <w:szCs w:val="20"/>
          <w:lang w:val="es-ES"/>
        </w:rPr>
        <w:t>implementar</w:t>
      </w:r>
      <w:r w:rsidRPr="004B114F">
        <w:rPr>
          <w:rFonts w:asciiTheme="majorHAnsi" w:hAnsiTheme="majorHAnsi"/>
          <w:sz w:val="20"/>
          <w:szCs w:val="20"/>
          <w:lang w:val="es-ES"/>
        </w:rPr>
        <w:t xml:space="preserve"> medidas para proteger a dichas mujeres de toda forma de discriminación, violencia o explotación</w:t>
      </w:r>
      <w:r w:rsidRPr="004B114F">
        <w:rPr>
          <w:rFonts w:asciiTheme="majorHAnsi" w:hAnsiTheme="majorHAnsi"/>
          <w:sz w:val="20"/>
          <w:szCs w:val="20"/>
          <w:vertAlign w:val="superscript"/>
        </w:rPr>
        <w:footnoteReference w:id="147"/>
      </w:r>
      <w:r w:rsidRPr="004B114F">
        <w:rPr>
          <w:rFonts w:asciiTheme="majorHAnsi" w:hAnsiTheme="majorHAnsi"/>
          <w:sz w:val="20"/>
          <w:szCs w:val="20"/>
          <w:lang w:val="es-ES"/>
        </w:rPr>
        <w:t>.</w:t>
      </w:r>
      <w:r w:rsidR="008161FF" w:rsidRPr="004B114F">
        <w:rPr>
          <w:rFonts w:asciiTheme="majorHAnsi" w:hAnsiTheme="majorHAnsi"/>
          <w:sz w:val="20"/>
          <w:szCs w:val="20"/>
          <w:lang w:val="es-ES"/>
        </w:rPr>
        <w:t xml:space="preserve"> En el supuesto específico de la violencia </w:t>
      </w:r>
      <w:r w:rsidR="008E3D0D" w:rsidRPr="004B114F">
        <w:rPr>
          <w:rFonts w:asciiTheme="majorHAnsi" w:hAnsiTheme="majorHAnsi"/>
          <w:sz w:val="20"/>
          <w:szCs w:val="20"/>
          <w:lang w:val="es-ES"/>
        </w:rPr>
        <w:t xml:space="preserve">de naturaleza sexual </w:t>
      </w:r>
      <w:r w:rsidR="008161FF" w:rsidRPr="004B114F">
        <w:rPr>
          <w:rFonts w:asciiTheme="majorHAnsi" w:hAnsiTheme="majorHAnsi"/>
          <w:sz w:val="20"/>
          <w:szCs w:val="20"/>
          <w:lang w:val="es-ES"/>
        </w:rPr>
        <w:t>contra las mujeres, ambos órganos han adoptado un enfoque integral para destacar la grave afectación que estas prácticas suponen en tanto lesionan una variedad de derechos sustantivos</w:t>
      </w:r>
      <w:r w:rsidR="00951E37" w:rsidRPr="004B114F">
        <w:rPr>
          <w:rFonts w:asciiTheme="majorHAnsi" w:hAnsiTheme="majorHAnsi"/>
          <w:sz w:val="20"/>
          <w:szCs w:val="20"/>
          <w:lang w:val="es-ES"/>
        </w:rPr>
        <w:t>, como lo son la integridad</w:t>
      </w:r>
      <w:r w:rsidR="00436FD7" w:rsidRPr="004B114F">
        <w:rPr>
          <w:rFonts w:asciiTheme="majorHAnsi" w:hAnsiTheme="majorHAnsi"/>
          <w:sz w:val="20"/>
          <w:szCs w:val="20"/>
          <w:lang w:val="es-ES"/>
        </w:rPr>
        <w:t>;</w:t>
      </w:r>
      <w:r w:rsidR="00951E37" w:rsidRPr="004B114F">
        <w:rPr>
          <w:rFonts w:asciiTheme="majorHAnsi" w:hAnsiTheme="majorHAnsi"/>
          <w:sz w:val="20"/>
          <w:szCs w:val="20"/>
          <w:lang w:val="es-ES"/>
        </w:rPr>
        <w:t xml:space="preserve"> la vida privada, autonomía y dignidad</w:t>
      </w:r>
      <w:r w:rsidR="00436FD7" w:rsidRPr="004B114F">
        <w:rPr>
          <w:rFonts w:asciiTheme="majorHAnsi" w:hAnsiTheme="majorHAnsi"/>
          <w:sz w:val="20"/>
          <w:szCs w:val="20"/>
          <w:lang w:val="es-ES"/>
        </w:rPr>
        <w:t>;</w:t>
      </w:r>
      <w:r w:rsidR="00951E37" w:rsidRPr="004B114F">
        <w:rPr>
          <w:rFonts w:asciiTheme="majorHAnsi" w:hAnsiTheme="majorHAnsi"/>
          <w:sz w:val="20"/>
          <w:szCs w:val="20"/>
          <w:lang w:val="es-ES"/>
        </w:rPr>
        <w:t xml:space="preserve"> y la igualdad y no discriminación</w:t>
      </w:r>
      <w:r w:rsidR="00951E37" w:rsidRPr="004B114F">
        <w:rPr>
          <w:rFonts w:asciiTheme="majorHAnsi" w:hAnsiTheme="majorHAnsi"/>
          <w:sz w:val="20"/>
          <w:szCs w:val="20"/>
          <w:vertAlign w:val="superscript"/>
        </w:rPr>
        <w:footnoteReference w:id="148"/>
      </w:r>
      <w:r w:rsidR="008161FF" w:rsidRPr="004B114F">
        <w:rPr>
          <w:rFonts w:asciiTheme="majorHAnsi" w:hAnsiTheme="majorHAnsi"/>
          <w:sz w:val="20"/>
          <w:szCs w:val="20"/>
          <w:lang w:val="es-ES"/>
        </w:rPr>
        <w:t>.</w:t>
      </w:r>
      <w:r w:rsidR="008E3D0D" w:rsidRPr="004B114F">
        <w:rPr>
          <w:rFonts w:asciiTheme="majorHAnsi" w:hAnsiTheme="majorHAnsi"/>
          <w:sz w:val="20"/>
          <w:szCs w:val="20"/>
          <w:lang w:val="es-ES"/>
        </w:rPr>
        <w:t xml:space="preserve"> </w:t>
      </w:r>
      <w:r w:rsidR="00C81912" w:rsidRPr="004B114F">
        <w:rPr>
          <w:rFonts w:asciiTheme="majorHAnsi" w:hAnsiTheme="majorHAnsi"/>
          <w:sz w:val="20"/>
          <w:szCs w:val="20"/>
          <w:lang w:val="es-ES"/>
        </w:rPr>
        <w:t>Esta afirmación se basa en que</w:t>
      </w:r>
      <w:r w:rsidR="007015B1" w:rsidRPr="004B114F">
        <w:rPr>
          <w:rFonts w:asciiTheme="majorHAnsi" w:hAnsiTheme="majorHAnsi"/>
          <w:sz w:val="20"/>
          <w:szCs w:val="20"/>
          <w:lang w:val="es-ES"/>
        </w:rPr>
        <w:t xml:space="preserve"> la violencia sexual importa una afectación a valores esenciales de la vida privada de las personas</w:t>
      </w:r>
      <w:r w:rsidR="00782EEF" w:rsidRPr="004B114F">
        <w:rPr>
          <w:rFonts w:asciiTheme="majorHAnsi" w:hAnsiTheme="majorHAnsi"/>
          <w:sz w:val="20"/>
          <w:szCs w:val="20"/>
          <w:lang w:val="es-ES"/>
        </w:rPr>
        <w:t>, protegida por el artículo 11 de la CADH,</w:t>
      </w:r>
      <w:r w:rsidR="007015B1" w:rsidRPr="004B114F">
        <w:rPr>
          <w:rFonts w:asciiTheme="majorHAnsi" w:hAnsiTheme="majorHAnsi"/>
          <w:sz w:val="20"/>
          <w:szCs w:val="20"/>
          <w:lang w:val="es-ES"/>
        </w:rPr>
        <w:t xml:space="preserve"> pues, como ha sostenido la Corte IDH, a</w:t>
      </w:r>
      <w:r w:rsidR="00782EEF" w:rsidRPr="004B114F">
        <w:rPr>
          <w:rFonts w:asciiTheme="majorHAnsi" w:hAnsiTheme="majorHAnsi"/>
          <w:sz w:val="20"/>
          <w:szCs w:val="20"/>
          <w:lang w:val="es-ES"/>
        </w:rPr>
        <w:t>nula el derecho de la víctima a tomar decisiones libres respecto de su relacionamiento sexual, perdiendo con ello el control de su intimidad</w:t>
      </w:r>
      <w:r w:rsidR="00782EEF" w:rsidRPr="004B114F">
        <w:rPr>
          <w:rFonts w:asciiTheme="majorHAnsi" w:hAnsiTheme="majorHAnsi"/>
          <w:sz w:val="20"/>
          <w:szCs w:val="20"/>
          <w:vertAlign w:val="superscript"/>
        </w:rPr>
        <w:footnoteReference w:id="149"/>
      </w:r>
      <w:r w:rsidR="00782EEF" w:rsidRPr="004B114F">
        <w:rPr>
          <w:rFonts w:asciiTheme="majorHAnsi" w:hAnsiTheme="majorHAnsi"/>
          <w:sz w:val="20"/>
          <w:szCs w:val="20"/>
          <w:lang w:val="es-ES"/>
        </w:rPr>
        <w:t>.</w:t>
      </w:r>
      <w:r w:rsidR="003502F5" w:rsidRPr="004B114F">
        <w:rPr>
          <w:rFonts w:asciiTheme="majorHAnsi" w:hAnsiTheme="majorHAnsi"/>
          <w:sz w:val="20"/>
          <w:szCs w:val="20"/>
          <w:lang w:val="es-ES"/>
        </w:rPr>
        <w:t xml:space="preserve"> De modo similar, la CIDH se ha referido a la violencia sexual contra la mujer como una forma de discriminación</w:t>
      </w:r>
      <w:r w:rsidR="007C52B4" w:rsidRPr="004B114F">
        <w:rPr>
          <w:rFonts w:asciiTheme="majorHAnsi" w:hAnsiTheme="majorHAnsi"/>
          <w:sz w:val="20"/>
          <w:szCs w:val="20"/>
          <w:lang w:val="es-ES"/>
        </w:rPr>
        <w:t>, en vista de que esta se lleva a cabo contra la mujer</w:t>
      </w:r>
      <w:r w:rsidR="00C81912" w:rsidRPr="004B114F">
        <w:rPr>
          <w:rFonts w:asciiTheme="majorHAnsi" w:hAnsiTheme="majorHAnsi"/>
          <w:sz w:val="20"/>
          <w:szCs w:val="20"/>
          <w:lang w:val="es-ES"/>
        </w:rPr>
        <w:t xml:space="preserve"> precisamente</w:t>
      </w:r>
      <w:r w:rsidR="007C52B4" w:rsidRPr="004B114F">
        <w:rPr>
          <w:rFonts w:asciiTheme="majorHAnsi" w:hAnsiTheme="majorHAnsi"/>
          <w:sz w:val="20"/>
          <w:szCs w:val="20"/>
          <w:lang w:val="es-ES"/>
        </w:rPr>
        <w:t xml:space="preserve"> por su condición de mujer y se constituye en una manifestación de las relaciones desiguales de poder entre hombres y mujeres</w:t>
      </w:r>
      <w:r w:rsidR="007C52B4" w:rsidRPr="004B114F">
        <w:rPr>
          <w:rFonts w:asciiTheme="majorHAnsi" w:hAnsiTheme="majorHAnsi"/>
          <w:sz w:val="20"/>
          <w:szCs w:val="20"/>
          <w:vertAlign w:val="superscript"/>
        </w:rPr>
        <w:footnoteReference w:id="150"/>
      </w:r>
      <w:r w:rsidR="007C52B4" w:rsidRPr="004B114F">
        <w:rPr>
          <w:rFonts w:asciiTheme="majorHAnsi" w:hAnsiTheme="majorHAnsi"/>
          <w:sz w:val="20"/>
          <w:szCs w:val="20"/>
          <w:lang w:val="es-ES"/>
        </w:rPr>
        <w:t>.</w:t>
      </w:r>
    </w:p>
    <w:p w14:paraId="153D3627" w14:textId="77777777" w:rsidR="00115E91" w:rsidRPr="004B114F" w:rsidRDefault="00115E91" w:rsidP="004B114F">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629"/>
        <w:jc w:val="both"/>
        <w:rPr>
          <w:rFonts w:asciiTheme="majorHAnsi" w:hAnsiTheme="majorHAnsi"/>
          <w:sz w:val="20"/>
          <w:szCs w:val="20"/>
          <w:lang w:val="es-ES"/>
        </w:rPr>
      </w:pPr>
    </w:p>
    <w:p w14:paraId="685324D9" w14:textId="7576C910" w:rsidR="00B908DF" w:rsidRPr="004B114F" w:rsidRDefault="008E3D0D" w:rsidP="004B114F">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629"/>
        <w:jc w:val="both"/>
        <w:rPr>
          <w:rFonts w:asciiTheme="majorHAnsi" w:hAnsiTheme="majorHAnsi"/>
          <w:sz w:val="20"/>
          <w:szCs w:val="20"/>
          <w:lang w:val="es-ES"/>
        </w:rPr>
      </w:pPr>
      <w:r w:rsidRPr="004B114F">
        <w:rPr>
          <w:rFonts w:asciiTheme="majorHAnsi" w:hAnsiTheme="majorHAnsi"/>
          <w:sz w:val="20"/>
          <w:szCs w:val="20"/>
          <w:lang w:val="es-PE"/>
        </w:rPr>
        <w:t xml:space="preserve">De manera </w:t>
      </w:r>
      <w:r w:rsidR="00567B58" w:rsidRPr="004B114F">
        <w:rPr>
          <w:rFonts w:asciiTheme="majorHAnsi" w:hAnsiTheme="majorHAnsi"/>
          <w:sz w:val="20"/>
          <w:szCs w:val="20"/>
          <w:lang w:val="es-PE"/>
        </w:rPr>
        <w:t>particular</w:t>
      </w:r>
      <w:r w:rsidR="003738B3" w:rsidRPr="004B114F">
        <w:rPr>
          <w:rFonts w:asciiTheme="majorHAnsi" w:hAnsiTheme="majorHAnsi"/>
          <w:sz w:val="20"/>
          <w:szCs w:val="20"/>
          <w:lang w:val="es-PE"/>
        </w:rPr>
        <w:t>,</w:t>
      </w:r>
      <w:r w:rsidRPr="004B114F">
        <w:rPr>
          <w:rFonts w:asciiTheme="majorHAnsi" w:hAnsiTheme="majorHAnsi"/>
          <w:sz w:val="20"/>
          <w:szCs w:val="20"/>
          <w:lang w:val="es-PE"/>
        </w:rPr>
        <w:t xml:space="preserve"> </w:t>
      </w:r>
      <w:r w:rsidR="0016585B" w:rsidRPr="004B114F">
        <w:rPr>
          <w:rFonts w:asciiTheme="majorHAnsi" w:hAnsiTheme="majorHAnsi"/>
          <w:sz w:val="20"/>
          <w:szCs w:val="20"/>
          <w:lang w:val="es-PE"/>
        </w:rPr>
        <w:t>la violación</w:t>
      </w:r>
      <w:r w:rsidR="003738B3" w:rsidRPr="004B114F">
        <w:rPr>
          <w:rFonts w:asciiTheme="majorHAnsi" w:hAnsiTheme="majorHAnsi"/>
          <w:sz w:val="20"/>
          <w:szCs w:val="20"/>
          <w:lang w:val="es-PE"/>
        </w:rPr>
        <w:t>,</w:t>
      </w:r>
      <w:r w:rsidR="0016585B" w:rsidRPr="004B114F">
        <w:rPr>
          <w:rFonts w:asciiTheme="majorHAnsi" w:hAnsiTheme="majorHAnsi"/>
          <w:sz w:val="20"/>
          <w:szCs w:val="20"/>
          <w:lang w:val="es-PE"/>
        </w:rPr>
        <w:t xml:space="preserve"> como una forma </w:t>
      </w:r>
      <w:r w:rsidR="003738B3" w:rsidRPr="004B114F">
        <w:rPr>
          <w:rFonts w:asciiTheme="majorHAnsi" w:hAnsiTheme="majorHAnsi"/>
          <w:sz w:val="20"/>
          <w:szCs w:val="20"/>
          <w:lang w:val="es-PE"/>
        </w:rPr>
        <w:t xml:space="preserve">paradigmática </w:t>
      </w:r>
      <w:r w:rsidR="0016585B" w:rsidRPr="004B114F">
        <w:rPr>
          <w:rFonts w:asciiTheme="majorHAnsi" w:hAnsiTheme="majorHAnsi"/>
          <w:sz w:val="20"/>
          <w:szCs w:val="20"/>
          <w:lang w:val="es-PE"/>
        </w:rPr>
        <w:t>de violencia sexual</w:t>
      </w:r>
      <w:r w:rsidR="003738B3" w:rsidRPr="004B114F">
        <w:rPr>
          <w:rFonts w:asciiTheme="majorHAnsi" w:hAnsiTheme="majorHAnsi"/>
          <w:sz w:val="20"/>
          <w:szCs w:val="20"/>
          <w:lang w:val="es-PE"/>
        </w:rPr>
        <w:t>,</w:t>
      </w:r>
      <w:r w:rsidR="0016585B" w:rsidRPr="004B114F">
        <w:rPr>
          <w:rFonts w:asciiTheme="majorHAnsi" w:hAnsiTheme="majorHAnsi"/>
          <w:sz w:val="20"/>
          <w:szCs w:val="20"/>
          <w:lang w:val="es-PE"/>
        </w:rPr>
        <w:t xml:space="preserve"> ha sido calificada</w:t>
      </w:r>
      <w:r w:rsidR="003738B3" w:rsidRPr="004B114F">
        <w:rPr>
          <w:rFonts w:asciiTheme="majorHAnsi" w:hAnsiTheme="majorHAnsi"/>
          <w:sz w:val="20"/>
          <w:szCs w:val="20"/>
          <w:lang w:val="es-PE"/>
        </w:rPr>
        <w:t xml:space="preserve"> en el sistema interamericano</w:t>
      </w:r>
      <w:r w:rsidR="0016585B" w:rsidRPr="004B114F">
        <w:rPr>
          <w:rFonts w:asciiTheme="majorHAnsi" w:hAnsiTheme="majorHAnsi"/>
          <w:sz w:val="20"/>
          <w:szCs w:val="20"/>
          <w:lang w:val="es-PE"/>
        </w:rPr>
        <w:t xml:space="preserve"> </w:t>
      </w:r>
      <w:r w:rsidR="003738B3" w:rsidRPr="004B114F">
        <w:rPr>
          <w:rFonts w:asciiTheme="majorHAnsi" w:hAnsiTheme="majorHAnsi"/>
          <w:sz w:val="20"/>
          <w:szCs w:val="20"/>
          <w:lang w:val="es-PE"/>
        </w:rPr>
        <w:t>como “una experiencia sumamente traumática” que puede ocasionar daño físico y psicológico en quien la padece</w:t>
      </w:r>
      <w:r w:rsidR="003738B3" w:rsidRPr="004B114F">
        <w:rPr>
          <w:rFonts w:asciiTheme="majorHAnsi" w:hAnsiTheme="majorHAnsi"/>
          <w:sz w:val="20"/>
          <w:szCs w:val="20"/>
          <w:vertAlign w:val="superscript"/>
        </w:rPr>
        <w:footnoteReference w:id="151"/>
      </w:r>
      <w:r w:rsidR="003738B3" w:rsidRPr="004B114F">
        <w:rPr>
          <w:rFonts w:asciiTheme="majorHAnsi" w:hAnsiTheme="majorHAnsi"/>
          <w:sz w:val="20"/>
          <w:szCs w:val="20"/>
          <w:lang w:val="es-PE"/>
        </w:rPr>
        <w:t xml:space="preserve">, y dar lugar a consecuencias </w:t>
      </w:r>
      <w:r w:rsidR="00511288" w:rsidRPr="004B114F">
        <w:rPr>
          <w:rFonts w:asciiTheme="majorHAnsi" w:hAnsiTheme="majorHAnsi"/>
          <w:sz w:val="20"/>
          <w:szCs w:val="20"/>
          <w:lang w:val="es-PE"/>
        </w:rPr>
        <w:t xml:space="preserve">devastadoras </w:t>
      </w:r>
      <w:r w:rsidR="003738B3" w:rsidRPr="004B114F">
        <w:rPr>
          <w:rFonts w:asciiTheme="majorHAnsi" w:hAnsiTheme="majorHAnsi"/>
          <w:sz w:val="20"/>
          <w:szCs w:val="20"/>
          <w:lang w:val="es-PE"/>
        </w:rPr>
        <w:t>que trascienden incluso a la propia víctima</w:t>
      </w:r>
      <w:r w:rsidR="00FD39AF" w:rsidRPr="004B114F">
        <w:rPr>
          <w:rFonts w:asciiTheme="majorHAnsi" w:hAnsiTheme="majorHAnsi"/>
          <w:sz w:val="20"/>
          <w:szCs w:val="20"/>
          <w:vertAlign w:val="superscript"/>
        </w:rPr>
        <w:footnoteReference w:id="152"/>
      </w:r>
      <w:r w:rsidR="003738B3" w:rsidRPr="004B114F">
        <w:rPr>
          <w:rFonts w:asciiTheme="majorHAnsi" w:hAnsiTheme="majorHAnsi"/>
          <w:sz w:val="20"/>
          <w:szCs w:val="20"/>
          <w:lang w:val="es-PE"/>
        </w:rPr>
        <w:t>.</w:t>
      </w:r>
      <w:r w:rsidR="00B908DF" w:rsidRPr="004B114F">
        <w:rPr>
          <w:rFonts w:asciiTheme="majorHAnsi" w:hAnsiTheme="majorHAnsi"/>
          <w:sz w:val="20"/>
          <w:szCs w:val="20"/>
          <w:lang w:val="es-PE"/>
        </w:rPr>
        <w:t xml:space="preserve"> </w:t>
      </w:r>
      <w:r w:rsidR="005F4264" w:rsidRPr="004B114F">
        <w:rPr>
          <w:rFonts w:asciiTheme="majorHAnsi" w:hAnsiTheme="majorHAnsi"/>
          <w:sz w:val="20"/>
          <w:szCs w:val="20"/>
          <w:lang w:val="es-ES"/>
        </w:rPr>
        <w:t xml:space="preserve">Esta Comisión ha citado al Relator </w:t>
      </w:r>
      <w:r w:rsidR="008B3BB8" w:rsidRPr="004B114F">
        <w:rPr>
          <w:rFonts w:asciiTheme="majorHAnsi" w:hAnsiTheme="majorHAnsi"/>
          <w:sz w:val="20"/>
          <w:szCs w:val="20"/>
          <w:lang w:val="es-ES"/>
        </w:rPr>
        <w:t xml:space="preserve">Especial de las Naciones Unidas contra la </w:t>
      </w:r>
      <w:r w:rsidR="008B3BB8" w:rsidRPr="004B114F">
        <w:rPr>
          <w:rFonts w:asciiTheme="majorHAnsi" w:hAnsiTheme="majorHAnsi"/>
          <w:sz w:val="20"/>
          <w:szCs w:val="20"/>
          <w:lang w:val="es-ES"/>
        </w:rPr>
        <w:lastRenderedPageBreak/>
        <w:t>Tortura para calificar a la violación sexual como un método de tortura física utilizado en determinadas ocasiones con el fin de castigar, humillar e intimidar a la víctima</w:t>
      </w:r>
      <w:r w:rsidR="008B3BB8" w:rsidRPr="004B114F">
        <w:rPr>
          <w:rFonts w:asciiTheme="majorHAnsi" w:hAnsiTheme="majorHAnsi"/>
          <w:sz w:val="20"/>
          <w:szCs w:val="20"/>
          <w:vertAlign w:val="superscript"/>
        </w:rPr>
        <w:footnoteReference w:id="153"/>
      </w:r>
      <w:r w:rsidR="008B3BB8" w:rsidRPr="004B114F">
        <w:rPr>
          <w:rFonts w:asciiTheme="majorHAnsi" w:hAnsiTheme="majorHAnsi"/>
          <w:sz w:val="20"/>
          <w:szCs w:val="20"/>
          <w:lang w:val="es-ES"/>
        </w:rPr>
        <w:t>. En similar sentido, l</w:t>
      </w:r>
      <w:r w:rsidR="00837965" w:rsidRPr="004B114F">
        <w:rPr>
          <w:rFonts w:asciiTheme="majorHAnsi" w:hAnsiTheme="majorHAnsi"/>
          <w:sz w:val="20"/>
          <w:szCs w:val="20"/>
          <w:lang w:val="es-ES"/>
        </w:rPr>
        <w:t xml:space="preserve">a Corte ha interpretado los elementos de la definición de tortura en relación con la violación sexual a fin de caracterizar aquellos casos en que la intencionalidad, la severidad del sufrimiento padecido y la finalidad de la violación sexual den pie a concluir que esta agresión </w:t>
      </w:r>
      <w:r w:rsidR="007015B1" w:rsidRPr="004B114F">
        <w:rPr>
          <w:rFonts w:asciiTheme="majorHAnsi" w:hAnsiTheme="majorHAnsi"/>
          <w:sz w:val="20"/>
          <w:szCs w:val="20"/>
          <w:lang w:val="es-ES"/>
        </w:rPr>
        <w:t xml:space="preserve">constituye </w:t>
      </w:r>
      <w:r w:rsidR="00837965" w:rsidRPr="004B114F">
        <w:rPr>
          <w:rFonts w:asciiTheme="majorHAnsi" w:hAnsiTheme="majorHAnsi"/>
          <w:sz w:val="20"/>
          <w:szCs w:val="20"/>
          <w:lang w:val="es-ES"/>
        </w:rPr>
        <w:t>un acto de tortura</w:t>
      </w:r>
      <w:r w:rsidR="00837965" w:rsidRPr="004B114F">
        <w:rPr>
          <w:rFonts w:asciiTheme="majorHAnsi" w:hAnsiTheme="majorHAnsi"/>
          <w:sz w:val="20"/>
          <w:szCs w:val="20"/>
          <w:vertAlign w:val="superscript"/>
        </w:rPr>
        <w:footnoteReference w:id="154"/>
      </w:r>
      <w:r w:rsidR="00837965" w:rsidRPr="004B114F">
        <w:rPr>
          <w:rFonts w:asciiTheme="majorHAnsi" w:hAnsiTheme="majorHAnsi"/>
          <w:sz w:val="20"/>
          <w:szCs w:val="20"/>
          <w:lang w:val="es-ES"/>
        </w:rPr>
        <w:t>.</w:t>
      </w:r>
      <w:r w:rsidR="007015B1" w:rsidRPr="004B114F">
        <w:rPr>
          <w:rFonts w:asciiTheme="majorHAnsi" w:hAnsiTheme="majorHAnsi"/>
          <w:sz w:val="20"/>
          <w:szCs w:val="20"/>
          <w:lang w:val="es-ES"/>
        </w:rPr>
        <w:t xml:space="preserve"> </w:t>
      </w:r>
      <w:r w:rsidR="007015B1" w:rsidRPr="004B114F">
        <w:rPr>
          <w:rFonts w:asciiTheme="majorHAnsi" w:hAnsiTheme="majorHAnsi"/>
          <w:sz w:val="20"/>
          <w:szCs w:val="20"/>
          <w:lang w:val="es-PE"/>
        </w:rPr>
        <w:t>El desarrollo de los estándares interamericanos ha permitido también afirmar que la violación sexual como una forma de tortura puede ser perpetrada incluso por agentes no estatales</w:t>
      </w:r>
      <w:r w:rsidR="007015B1" w:rsidRPr="004B114F">
        <w:rPr>
          <w:rFonts w:asciiTheme="majorHAnsi" w:hAnsiTheme="majorHAnsi"/>
          <w:sz w:val="20"/>
          <w:szCs w:val="20"/>
          <w:vertAlign w:val="superscript"/>
        </w:rPr>
        <w:footnoteReference w:id="155"/>
      </w:r>
      <w:r w:rsidR="007015B1" w:rsidRPr="004B114F">
        <w:rPr>
          <w:rFonts w:asciiTheme="majorHAnsi" w:hAnsiTheme="majorHAnsi"/>
          <w:sz w:val="20"/>
          <w:szCs w:val="20"/>
          <w:lang w:val="es-PE"/>
        </w:rPr>
        <w:t xml:space="preserve">, </w:t>
      </w:r>
      <w:r w:rsidR="00ED4A83" w:rsidRPr="004B114F">
        <w:rPr>
          <w:rFonts w:asciiTheme="majorHAnsi" w:hAnsiTheme="majorHAnsi"/>
          <w:sz w:val="20"/>
          <w:szCs w:val="20"/>
          <w:lang w:val="es-PE"/>
        </w:rPr>
        <w:t xml:space="preserve">cuando </w:t>
      </w:r>
      <w:r w:rsidR="003637C2" w:rsidRPr="004B114F">
        <w:rPr>
          <w:rFonts w:asciiTheme="majorHAnsi" w:hAnsiTheme="majorHAnsi"/>
          <w:sz w:val="20"/>
          <w:szCs w:val="20"/>
          <w:lang w:val="es-PE"/>
        </w:rPr>
        <w:t>sea posible</w:t>
      </w:r>
      <w:r w:rsidR="00ED4A83" w:rsidRPr="004B114F">
        <w:rPr>
          <w:rFonts w:asciiTheme="majorHAnsi" w:hAnsiTheme="majorHAnsi"/>
          <w:sz w:val="20"/>
          <w:szCs w:val="20"/>
          <w:lang w:val="es-PE"/>
        </w:rPr>
        <w:t xml:space="preserve"> acreditar que el Estado incumplió su deber de protección, de modo que dicho incumplimiento pueda ser equiparado a una forma de aquiescencia o tolerancia</w:t>
      </w:r>
      <w:r w:rsidR="00ED4A83" w:rsidRPr="004B114F">
        <w:rPr>
          <w:rFonts w:asciiTheme="majorHAnsi" w:hAnsiTheme="majorHAnsi"/>
          <w:sz w:val="20"/>
          <w:szCs w:val="20"/>
          <w:vertAlign w:val="superscript"/>
        </w:rPr>
        <w:footnoteReference w:id="156"/>
      </w:r>
      <w:r w:rsidR="00ED4A83" w:rsidRPr="004B114F">
        <w:rPr>
          <w:rFonts w:asciiTheme="majorHAnsi" w:hAnsiTheme="majorHAnsi"/>
          <w:sz w:val="20"/>
          <w:szCs w:val="20"/>
          <w:lang w:val="es-PE"/>
        </w:rPr>
        <w:t xml:space="preserve">. </w:t>
      </w:r>
      <w:r w:rsidR="00ED4A83" w:rsidRPr="004B114F">
        <w:rPr>
          <w:rFonts w:asciiTheme="majorHAnsi" w:hAnsiTheme="majorHAnsi"/>
          <w:sz w:val="20"/>
          <w:szCs w:val="20"/>
          <w:lang w:val="es-ES"/>
        </w:rPr>
        <w:t xml:space="preserve">En consecuencia, en ese </w:t>
      </w:r>
      <w:r w:rsidR="007015B1" w:rsidRPr="004B114F">
        <w:rPr>
          <w:rFonts w:asciiTheme="majorHAnsi" w:hAnsiTheme="majorHAnsi"/>
          <w:sz w:val="20"/>
          <w:szCs w:val="20"/>
          <w:lang w:val="es-ES"/>
        </w:rPr>
        <w:t>supuesto corresponderá evaluar la responsabilidad del Estado en cuestión a la luz de las obligaciones generales que reconoce la CADH</w:t>
      </w:r>
      <w:r w:rsidR="00B908DF" w:rsidRPr="004B114F">
        <w:rPr>
          <w:rFonts w:asciiTheme="majorHAnsi" w:hAnsiTheme="majorHAnsi"/>
          <w:sz w:val="20"/>
          <w:szCs w:val="20"/>
          <w:lang w:val="es-ES"/>
        </w:rPr>
        <w:t xml:space="preserve"> en el artículo 1.1</w:t>
      </w:r>
      <w:r w:rsidR="007015B1" w:rsidRPr="004B114F">
        <w:rPr>
          <w:rFonts w:asciiTheme="majorHAnsi" w:hAnsiTheme="majorHAnsi"/>
          <w:sz w:val="20"/>
          <w:szCs w:val="20"/>
          <w:lang w:val="es-ES"/>
        </w:rPr>
        <w:t>, en relación con los deberes reforzados que se derivan de</w:t>
      </w:r>
      <w:r w:rsidR="00423453" w:rsidRPr="004B114F">
        <w:rPr>
          <w:rFonts w:asciiTheme="majorHAnsi" w:hAnsiTheme="majorHAnsi"/>
          <w:sz w:val="20"/>
          <w:szCs w:val="20"/>
          <w:lang w:val="es-ES"/>
        </w:rPr>
        <w:t xml:space="preserve"> los artículos 1, 6 y 8 de</w:t>
      </w:r>
      <w:r w:rsidR="007015B1" w:rsidRPr="004B114F">
        <w:rPr>
          <w:rFonts w:asciiTheme="majorHAnsi" w:hAnsiTheme="majorHAnsi"/>
          <w:sz w:val="20"/>
          <w:szCs w:val="20"/>
          <w:lang w:val="es-ES"/>
        </w:rPr>
        <w:t xml:space="preserve"> la CIPST y de</w:t>
      </w:r>
      <w:r w:rsidR="00423453" w:rsidRPr="004B114F">
        <w:rPr>
          <w:rFonts w:asciiTheme="majorHAnsi" w:hAnsiTheme="majorHAnsi"/>
          <w:sz w:val="20"/>
          <w:szCs w:val="20"/>
          <w:lang w:val="es-ES"/>
        </w:rPr>
        <w:t>l artículo 7 de</w:t>
      </w:r>
      <w:r w:rsidR="007015B1" w:rsidRPr="004B114F">
        <w:rPr>
          <w:rFonts w:asciiTheme="majorHAnsi" w:hAnsiTheme="majorHAnsi"/>
          <w:sz w:val="20"/>
          <w:szCs w:val="20"/>
          <w:lang w:val="es-ES"/>
        </w:rPr>
        <w:t xml:space="preserve"> la Convención de Belém do Pará.</w:t>
      </w:r>
      <w:r w:rsidR="00E66DAA" w:rsidRPr="004B114F">
        <w:rPr>
          <w:rFonts w:asciiTheme="majorHAnsi" w:hAnsiTheme="majorHAnsi"/>
          <w:sz w:val="20"/>
          <w:szCs w:val="20"/>
          <w:lang w:val="es-ES"/>
        </w:rPr>
        <w:t xml:space="preserve"> </w:t>
      </w:r>
    </w:p>
    <w:p w14:paraId="58B978E4" w14:textId="77777777" w:rsidR="00115E91" w:rsidRPr="004B114F" w:rsidRDefault="00115E91" w:rsidP="004B114F">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629"/>
        <w:jc w:val="both"/>
        <w:rPr>
          <w:rFonts w:asciiTheme="majorHAnsi" w:hAnsiTheme="majorHAnsi"/>
          <w:sz w:val="20"/>
          <w:szCs w:val="20"/>
          <w:lang w:val="es-ES"/>
        </w:rPr>
      </w:pPr>
    </w:p>
    <w:p w14:paraId="5E5F976C" w14:textId="77777777" w:rsidR="00653365" w:rsidRPr="004B114F" w:rsidRDefault="00FD4BF5" w:rsidP="004B114F">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629"/>
        <w:jc w:val="both"/>
        <w:rPr>
          <w:rFonts w:asciiTheme="majorHAnsi" w:hAnsiTheme="majorHAnsi"/>
          <w:sz w:val="20"/>
          <w:szCs w:val="20"/>
          <w:lang w:val="es-ES"/>
        </w:rPr>
      </w:pPr>
      <w:r w:rsidRPr="004B114F">
        <w:rPr>
          <w:rFonts w:asciiTheme="majorHAnsi" w:hAnsiTheme="majorHAnsi"/>
          <w:sz w:val="20"/>
          <w:szCs w:val="20"/>
          <w:lang w:val="es-PE"/>
        </w:rPr>
        <w:t xml:space="preserve">A partir de lo anterior, recae sobre los Estados el deber de </w:t>
      </w:r>
      <w:r w:rsidR="003F4838" w:rsidRPr="004B114F">
        <w:rPr>
          <w:rFonts w:asciiTheme="majorHAnsi" w:hAnsiTheme="majorHAnsi"/>
          <w:sz w:val="20"/>
          <w:szCs w:val="20"/>
          <w:lang w:val="es-PE"/>
        </w:rPr>
        <w:t>observar la debida diligencia para prevenir e investigar violaciones a los derechos humanos</w:t>
      </w:r>
      <w:r w:rsidR="007C7F39" w:rsidRPr="004B114F">
        <w:rPr>
          <w:rFonts w:asciiTheme="majorHAnsi" w:hAnsiTheme="majorHAnsi"/>
          <w:sz w:val="20"/>
          <w:szCs w:val="20"/>
          <w:lang w:val="es-PE"/>
        </w:rPr>
        <w:t xml:space="preserve"> </w:t>
      </w:r>
      <w:r w:rsidR="00326260" w:rsidRPr="004B114F">
        <w:rPr>
          <w:rFonts w:asciiTheme="majorHAnsi" w:hAnsiTheme="majorHAnsi"/>
          <w:sz w:val="20"/>
          <w:szCs w:val="20"/>
          <w:lang w:val="es-PE"/>
        </w:rPr>
        <w:t xml:space="preserve">basadas en género y que constituyan </w:t>
      </w:r>
      <w:r w:rsidR="007C7F39" w:rsidRPr="004B114F">
        <w:rPr>
          <w:rFonts w:asciiTheme="majorHAnsi" w:hAnsiTheme="majorHAnsi"/>
          <w:sz w:val="20"/>
          <w:szCs w:val="20"/>
          <w:lang w:val="es-PE"/>
        </w:rPr>
        <w:t>tortura</w:t>
      </w:r>
      <w:r w:rsidR="005233E7" w:rsidRPr="004B114F">
        <w:rPr>
          <w:rFonts w:asciiTheme="majorHAnsi" w:hAnsiTheme="majorHAnsi"/>
          <w:sz w:val="20"/>
          <w:szCs w:val="20"/>
          <w:lang w:val="es-PE"/>
        </w:rPr>
        <w:t xml:space="preserve">, </w:t>
      </w:r>
      <w:r w:rsidR="00326260" w:rsidRPr="004B114F">
        <w:rPr>
          <w:rFonts w:asciiTheme="majorHAnsi" w:hAnsiTheme="majorHAnsi"/>
          <w:sz w:val="20"/>
          <w:szCs w:val="20"/>
          <w:lang w:val="es-PE"/>
        </w:rPr>
        <w:t>y/o</w:t>
      </w:r>
      <w:r w:rsidR="005233E7" w:rsidRPr="004B114F">
        <w:rPr>
          <w:rFonts w:asciiTheme="majorHAnsi" w:hAnsiTheme="majorHAnsi"/>
          <w:sz w:val="20"/>
          <w:szCs w:val="20"/>
          <w:lang w:val="es-PE"/>
        </w:rPr>
        <w:t xml:space="preserve"> tratos crueles, inhumanos y degradantes</w:t>
      </w:r>
      <w:r w:rsidR="00326260" w:rsidRPr="004B114F">
        <w:rPr>
          <w:rFonts w:asciiTheme="majorHAnsi" w:hAnsiTheme="majorHAnsi"/>
          <w:sz w:val="20"/>
          <w:szCs w:val="20"/>
          <w:lang w:val="es-PE"/>
        </w:rPr>
        <w:t xml:space="preserve">. </w:t>
      </w:r>
      <w:r w:rsidR="00326260" w:rsidRPr="004B114F">
        <w:rPr>
          <w:rFonts w:asciiTheme="majorHAnsi" w:hAnsiTheme="majorHAnsi"/>
          <w:sz w:val="20"/>
          <w:szCs w:val="20"/>
          <w:lang w:val="es-ES"/>
        </w:rPr>
        <w:t>Tanto la CIDH como la Corte IDH han indicado que en los casos de violencia contra la mujer el deber de actual con debida diligencia adquiere una connotación especial y de carácter estricto</w:t>
      </w:r>
      <w:r w:rsidR="00326260" w:rsidRPr="004B114F">
        <w:rPr>
          <w:rFonts w:asciiTheme="majorHAnsi" w:hAnsiTheme="majorHAnsi"/>
          <w:sz w:val="20"/>
          <w:szCs w:val="20"/>
          <w:vertAlign w:val="superscript"/>
        </w:rPr>
        <w:footnoteReference w:id="157"/>
      </w:r>
      <w:r w:rsidR="003F4838" w:rsidRPr="004B114F">
        <w:rPr>
          <w:rFonts w:asciiTheme="majorHAnsi" w:hAnsiTheme="majorHAnsi"/>
          <w:sz w:val="20"/>
          <w:szCs w:val="20"/>
          <w:lang w:val="es-ES"/>
        </w:rPr>
        <w:t xml:space="preserve">. Con relación </w:t>
      </w:r>
      <w:r w:rsidR="00326260" w:rsidRPr="004B114F">
        <w:rPr>
          <w:rFonts w:asciiTheme="majorHAnsi" w:hAnsiTheme="majorHAnsi"/>
          <w:sz w:val="20"/>
          <w:szCs w:val="20"/>
          <w:lang w:val="es-ES"/>
        </w:rPr>
        <w:t>a la prevención</w:t>
      </w:r>
      <w:r w:rsidR="003F4838" w:rsidRPr="004B114F">
        <w:rPr>
          <w:rFonts w:asciiTheme="majorHAnsi" w:hAnsiTheme="majorHAnsi"/>
          <w:sz w:val="20"/>
          <w:szCs w:val="20"/>
          <w:lang w:val="es-ES"/>
        </w:rPr>
        <w:t xml:space="preserve">, la Corte Interamericana ha destacado que </w:t>
      </w:r>
      <w:r w:rsidR="00326260" w:rsidRPr="004B114F">
        <w:rPr>
          <w:rFonts w:asciiTheme="majorHAnsi" w:hAnsiTheme="majorHAnsi"/>
          <w:sz w:val="20"/>
          <w:szCs w:val="20"/>
          <w:lang w:val="es-ES"/>
        </w:rPr>
        <w:t>este</w:t>
      </w:r>
      <w:r w:rsidR="003F4838" w:rsidRPr="004B114F">
        <w:rPr>
          <w:rFonts w:asciiTheme="majorHAnsi" w:hAnsiTheme="majorHAnsi"/>
          <w:sz w:val="20"/>
          <w:szCs w:val="20"/>
          <w:lang w:val="es-ES"/>
        </w:rPr>
        <w:t xml:space="preserve"> deber</w:t>
      </w:r>
      <w:r w:rsidR="00A466DD" w:rsidRPr="004B114F">
        <w:rPr>
          <w:rFonts w:asciiTheme="majorHAnsi" w:hAnsiTheme="majorHAnsi"/>
          <w:sz w:val="20"/>
          <w:szCs w:val="20"/>
          <w:lang w:val="es-ES"/>
        </w:rPr>
        <w:t>,</w:t>
      </w:r>
      <w:r w:rsidR="003F4838" w:rsidRPr="004B114F">
        <w:rPr>
          <w:rFonts w:asciiTheme="majorHAnsi" w:hAnsiTheme="majorHAnsi"/>
          <w:sz w:val="20"/>
          <w:szCs w:val="20"/>
          <w:lang w:val="es-ES"/>
        </w:rPr>
        <w:t xml:space="preserve"> a la luz del estándar de la debida diligencia</w:t>
      </w:r>
      <w:r w:rsidR="00A466DD" w:rsidRPr="004B114F">
        <w:rPr>
          <w:rFonts w:asciiTheme="majorHAnsi" w:hAnsiTheme="majorHAnsi"/>
          <w:sz w:val="20"/>
          <w:szCs w:val="20"/>
          <w:lang w:val="es-ES"/>
        </w:rPr>
        <w:t>,</w:t>
      </w:r>
      <w:r w:rsidR="003F4838" w:rsidRPr="004B114F">
        <w:rPr>
          <w:rFonts w:asciiTheme="majorHAnsi" w:hAnsiTheme="majorHAnsi"/>
          <w:sz w:val="20"/>
          <w:szCs w:val="20"/>
          <w:lang w:val="es-ES"/>
        </w:rPr>
        <w:t xml:space="preserve"> exige que los Estados adopten medidas de prevención y protección de los particulares, siempre que tengan conocimiento de una situación de riesgo real e inmediato y se encuentren en posibilidades razonables de prevenir o evitar la materialización de tal riesgo</w:t>
      </w:r>
      <w:r w:rsidR="003F4838" w:rsidRPr="004B114F">
        <w:rPr>
          <w:rFonts w:asciiTheme="majorHAnsi" w:hAnsiTheme="majorHAnsi"/>
          <w:sz w:val="20"/>
          <w:szCs w:val="20"/>
          <w:vertAlign w:val="superscript"/>
        </w:rPr>
        <w:footnoteReference w:id="158"/>
      </w:r>
      <w:r w:rsidR="003F4838" w:rsidRPr="004B114F">
        <w:rPr>
          <w:rFonts w:asciiTheme="majorHAnsi" w:hAnsiTheme="majorHAnsi"/>
          <w:sz w:val="20"/>
          <w:szCs w:val="20"/>
          <w:lang w:val="es-ES"/>
        </w:rPr>
        <w:t xml:space="preserve">. </w:t>
      </w:r>
    </w:p>
    <w:p w14:paraId="1440E6D9" w14:textId="4B3333BA" w:rsidR="00115E91" w:rsidRPr="004B114F" w:rsidRDefault="00115E91" w:rsidP="004B114F">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jc w:val="both"/>
        <w:rPr>
          <w:rFonts w:asciiTheme="majorHAnsi" w:hAnsiTheme="majorHAnsi"/>
          <w:sz w:val="20"/>
          <w:szCs w:val="20"/>
          <w:lang w:val="es-ES"/>
        </w:rPr>
      </w:pPr>
    </w:p>
    <w:p w14:paraId="06544AE7" w14:textId="36AD9441" w:rsidR="00C476CD" w:rsidRPr="00DE778C" w:rsidRDefault="00C476CD" w:rsidP="00DE778C">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629"/>
        <w:jc w:val="both"/>
        <w:rPr>
          <w:rFonts w:asciiTheme="majorHAnsi" w:hAnsiTheme="majorHAnsi"/>
          <w:sz w:val="20"/>
          <w:szCs w:val="20"/>
          <w:lang w:val="es-419"/>
        </w:rPr>
      </w:pPr>
      <w:r w:rsidRPr="00DE778C">
        <w:rPr>
          <w:rFonts w:asciiTheme="majorHAnsi" w:hAnsiTheme="majorHAnsi"/>
          <w:sz w:val="20"/>
          <w:szCs w:val="20"/>
          <w:lang w:val="es-US"/>
        </w:rPr>
        <w:t>Relacionado con este punto, las Reglas de las Naciones Unidas para el tratamiento de las reclusas y medidas no privativas de libertad para las mujeres delincuentes (</w:t>
      </w:r>
      <w:r w:rsidRPr="00DE778C">
        <w:rPr>
          <w:rFonts w:asciiTheme="majorHAnsi" w:hAnsiTheme="majorHAnsi"/>
          <w:i/>
          <w:iCs/>
          <w:sz w:val="20"/>
          <w:szCs w:val="20"/>
          <w:lang w:val="es-US"/>
        </w:rPr>
        <w:t>Reglas de Bangkok</w:t>
      </w:r>
      <w:r w:rsidRPr="00DE778C">
        <w:rPr>
          <w:rFonts w:asciiTheme="majorHAnsi" w:hAnsiTheme="majorHAnsi"/>
          <w:sz w:val="20"/>
          <w:szCs w:val="20"/>
          <w:lang w:val="es-US"/>
        </w:rPr>
        <w:t>) establecen que “[</w:t>
      </w:r>
      <w:r w:rsidRPr="00DE778C">
        <w:rPr>
          <w:rFonts w:asciiTheme="majorHAnsi" w:hAnsiTheme="majorHAnsi"/>
          <w:sz w:val="20"/>
          <w:szCs w:val="20"/>
          <w:lang w:val="es-419"/>
        </w:rPr>
        <w:t>E]n caso de determinarse que la reclusa ha sufrido abuso sexual u otra forma de violencia antes de su reclusión o durante ella, se le informará de su derecho a recurrir ante las autoridades judiciales. Se le informará exhaustivamente de los procedimientos correspondientes y sus etapas. Si la reclusa decide entablar acciones judiciales, se notificará de ello al personal correspondiente y se remitirá de inmediato el caso a la autoridad competente para que lo investigue. Las autoridades penitenciarias ayudarán a la mujer a obtener asistencia jurídica</w:t>
      </w:r>
      <w:r w:rsidRPr="00DE778C">
        <w:rPr>
          <w:rFonts w:asciiTheme="majorHAnsi" w:hAnsiTheme="majorHAnsi" w:hint="eastAsia"/>
          <w:sz w:val="20"/>
          <w:szCs w:val="20"/>
          <w:lang w:val="es-419"/>
        </w:rPr>
        <w:t>”</w:t>
      </w:r>
      <w:bookmarkStart w:id="49" w:name="_Hlk110350550"/>
      <w:r w:rsidRPr="004B114F">
        <w:rPr>
          <w:rStyle w:val="FootnoteReference"/>
          <w:rFonts w:asciiTheme="majorHAnsi" w:hAnsiTheme="majorHAnsi"/>
          <w:sz w:val="20"/>
          <w:szCs w:val="20"/>
          <w:lang w:val="es-419"/>
        </w:rPr>
        <w:footnoteReference w:id="159"/>
      </w:r>
      <w:bookmarkEnd w:id="49"/>
      <w:r w:rsidRPr="004B114F">
        <w:rPr>
          <w:rFonts w:asciiTheme="majorHAnsi" w:hAnsiTheme="majorHAnsi"/>
          <w:sz w:val="20"/>
          <w:szCs w:val="20"/>
          <w:lang w:val="es-419"/>
        </w:rPr>
        <w:t>.</w:t>
      </w:r>
    </w:p>
    <w:p w14:paraId="0F3C92E1" w14:textId="77777777" w:rsidR="00C476CD" w:rsidRPr="00DE778C" w:rsidRDefault="00C476CD" w:rsidP="004B114F">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jc w:val="both"/>
        <w:rPr>
          <w:rFonts w:asciiTheme="majorHAnsi" w:hAnsiTheme="majorHAnsi"/>
          <w:sz w:val="20"/>
          <w:szCs w:val="20"/>
          <w:lang w:val="es-419"/>
        </w:rPr>
      </w:pPr>
    </w:p>
    <w:p w14:paraId="18E4D9CB" w14:textId="77777777" w:rsidR="00F20061" w:rsidRPr="004B114F" w:rsidRDefault="007F2E25" w:rsidP="004B114F">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629"/>
        <w:jc w:val="both"/>
        <w:rPr>
          <w:rFonts w:asciiTheme="majorHAnsi" w:hAnsiTheme="majorHAnsi"/>
          <w:sz w:val="20"/>
          <w:szCs w:val="20"/>
          <w:lang w:val="es-ES"/>
        </w:rPr>
      </w:pPr>
      <w:r w:rsidRPr="004B114F">
        <w:rPr>
          <w:rFonts w:asciiTheme="majorHAnsi" w:hAnsiTheme="majorHAnsi"/>
          <w:sz w:val="20"/>
          <w:szCs w:val="20"/>
          <w:lang w:val="es-PE"/>
        </w:rPr>
        <w:t>Por su parte, l</w:t>
      </w:r>
      <w:r w:rsidR="00A466DD" w:rsidRPr="004B114F">
        <w:rPr>
          <w:rFonts w:asciiTheme="majorHAnsi" w:hAnsiTheme="majorHAnsi"/>
          <w:sz w:val="20"/>
          <w:szCs w:val="20"/>
          <w:lang w:val="es-PE"/>
        </w:rPr>
        <w:t>a obligación de investigación debe ser sustanciada de conformidad con los artículos 8.1 y 25.1 de la Convención Americana, en virtud de los cuales los Estados están obligados a brindar recursos judiciales y efectivos a las víctimas de violaciones a derechos humanos, en los que se observen las reglas del debido proceso legal</w:t>
      </w:r>
      <w:r w:rsidR="00A466DD" w:rsidRPr="004B114F">
        <w:rPr>
          <w:rFonts w:asciiTheme="majorHAnsi" w:hAnsiTheme="majorHAnsi"/>
          <w:sz w:val="20"/>
          <w:szCs w:val="20"/>
          <w:vertAlign w:val="superscript"/>
        </w:rPr>
        <w:footnoteReference w:id="160"/>
      </w:r>
      <w:r w:rsidR="00A466DD" w:rsidRPr="004B114F">
        <w:rPr>
          <w:rFonts w:asciiTheme="majorHAnsi" w:hAnsiTheme="majorHAnsi"/>
          <w:sz w:val="20"/>
          <w:szCs w:val="20"/>
          <w:lang w:val="es-PE"/>
        </w:rPr>
        <w:t xml:space="preserve">. </w:t>
      </w:r>
      <w:r w:rsidR="00114518" w:rsidRPr="004B114F">
        <w:rPr>
          <w:rFonts w:asciiTheme="majorHAnsi" w:hAnsiTheme="majorHAnsi"/>
          <w:sz w:val="20"/>
          <w:szCs w:val="20"/>
          <w:lang w:val="es-ES_tradnl"/>
        </w:rPr>
        <w:t>L</w:t>
      </w:r>
      <w:r w:rsidRPr="004B114F">
        <w:rPr>
          <w:rFonts w:asciiTheme="majorHAnsi" w:hAnsiTheme="majorHAnsi"/>
          <w:sz w:val="20"/>
          <w:szCs w:val="20"/>
          <w:lang w:val="es-ES_tradnl"/>
        </w:rPr>
        <w:t>a Corte IDH ha sostenido de forma recurrente que l</w:t>
      </w:r>
      <w:r w:rsidR="00114518" w:rsidRPr="004B114F">
        <w:rPr>
          <w:rFonts w:asciiTheme="majorHAnsi" w:hAnsiTheme="majorHAnsi"/>
          <w:sz w:val="20"/>
          <w:szCs w:val="20"/>
          <w:lang w:val="es-ES_tradnl"/>
        </w:rPr>
        <w:t xml:space="preserve">a efectividad de tales </w:t>
      </w:r>
      <w:r w:rsidR="00114518" w:rsidRPr="004B114F">
        <w:rPr>
          <w:rFonts w:asciiTheme="majorHAnsi" w:hAnsiTheme="majorHAnsi"/>
          <w:sz w:val="20"/>
          <w:szCs w:val="20"/>
          <w:lang w:val="es-ES_tradnl"/>
        </w:rPr>
        <w:lastRenderedPageBreak/>
        <w:t>recursos no se agota con su existencia formal en el ordenamiento jurídico del Estado, sino que deben tener la capacidad de dar resultados o respuestas a las violaciones de derechos fundamentales</w:t>
      </w:r>
      <w:r w:rsidR="00114518" w:rsidRPr="004B114F">
        <w:rPr>
          <w:rFonts w:asciiTheme="majorHAnsi" w:hAnsiTheme="majorHAnsi"/>
          <w:sz w:val="20"/>
          <w:szCs w:val="20"/>
          <w:vertAlign w:val="superscript"/>
        </w:rPr>
        <w:footnoteReference w:id="161"/>
      </w:r>
      <w:r w:rsidR="00114518" w:rsidRPr="004B114F">
        <w:rPr>
          <w:rFonts w:asciiTheme="majorHAnsi" w:hAnsiTheme="majorHAnsi"/>
          <w:sz w:val="20"/>
          <w:szCs w:val="20"/>
          <w:lang w:val="es-ES_tradnl"/>
        </w:rPr>
        <w:t>; es decir, deben ser idóneos para establecer si se ha incurrido o no en una violación, y ofrecer alternativas para remediarlas, sin traducirse en mecanismos ilusorios</w:t>
      </w:r>
      <w:r w:rsidR="00114518" w:rsidRPr="004B114F">
        <w:rPr>
          <w:rFonts w:asciiTheme="majorHAnsi" w:hAnsiTheme="majorHAnsi"/>
          <w:sz w:val="20"/>
          <w:szCs w:val="20"/>
          <w:vertAlign w:val="superscript"/>
        </w:rPr>
        <w:footnoteReference w:id="162"/>
      </w:r>
      <w:r w:rsidR="00114518" w:rsidRPr="004B114F">
        <w:rPr>
          <w:rFonts w:asciiTheme="majorHAnsi" w:hAnsiTheme="majorHAnsi"/>
          <w:sz w:val="20"/>
          <w:szCs w:val="20"/>
          <w:lang w:val="es-ES_tradnl"/>
        </w:rPr>
        <w:t>. La inexistencia de tales recursos a nivel interno coloca a las víctimas de violaciones en una situación de indefensión</w:t>
      </w:r>
      <w:r w:rsidR="00114518" w:rsidRPr="004B114F">
        <w:rPr>
          <w:rFonts w:asciiTheme="majorHAnsi" w:hAnsiTheme="majorHAnsi"/>
          <w:sz w:val="20"/>
          <w:szCs w:val="20"/>
          <w:vertAlign w:val="superscript"/>
        </w:rPr>
        <w:footnoteReference w:id="163"/>
      </w:r>
      <w:r w:rsidR="00114518" w:rsidRPr="004B114F">
        <w:rPr>
          <w:rFonts w:asciiTheme="majorHAnsi" w:hAnsiTheme="majorHAnsi"/>
          <w:sz w:val="20"/>
          <w:szCs w:val="20"/>
          <w:lang w:val="es-ES_tradnl"/>
        </w:rPr>
        <w:t>.</w:t>
      </w:r>
    </w:p>
    <w:p w14:paraId="1E83F4C0" w14:textId="77777777" w:rsidR="00115E91" w:rsidRPr="004B114F" w:rsidRDefault="00115E91" w:rsidP="004B114F">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jc w:val="both"/>
        <w:rPr>
          <w:rFonts w:asciiTheme="majorHAnsi" w:hAnsiTheme="majorHAnsi"/>
          <w:sz w:val="20"/>
          <w:szCs w:val="20"/>
          <w:lang w:val="es-ES"/>
        </w:rPr>
      </w:pPr>
    </w:p>
    <w:p w14:paraId="47511F79" w14:textId="77777777" w:rsidR="00FD42F2" w:rsidRPr="004B114F" w:rsidRDefault="007F2E25" w:rsidP="004B114F">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629"/>
        <w:jc w:val="both"/>
        <w:rPr>
          <w:rFonts w:asciiTheme="majorHAnsi" w:hAnsiTheme="majorHAnsi"/>
          <w:sz w:val="20"/>
          <w:szCs w:val="20"/>
          <w:lang w:val="es-ES"/>
        </w:rPr>
      </w:pPr>
      <w:r w:rsidRPr="004B114F">
        <w:rPr>
          <w:rFonts w:asciiTheme="majorHAnsi" w:hAnsiTheme="majorHAnsi"/>
          <w:sz w:val="20"/>
          <w:szCs w:val="20"/>
          <w:lang w:val="es-PE"/>
        </w:rPr>
        <w:t xml:space="preserve">La implementación de estos estándares normativos obliga a </w:t>
      </w:r>
      <w:r w:rsidR="00A466DD" w:rsidRPr="004B114F">
        <w:rPr>
          <w:rFonts w:asciiTheme="majorHAnsi" w:hAnsiTheme="majorHAnsi"/>
          <w:sz w:val="20"/>
          <w:szCs w:val="20"/>
          <w:lang w:val="es-PE"/>
        </w:rPr>
        <w:t>los Estados</w:t>
      </w:r>
      <w:r w:rsidRPr="004B114F">
        <w:rPr>
          <w:rFonts w:asciiTheme="majorHAnsi" w:hAnsiTheme="majorHAnsi"/>
          <w:sz w:val="20"/>
          <w:szCs w:val="20"/>
          <w:lang w:val="es-PE"/>
        </w:rPr>
        <w:t xml:space="preserve"> a</w:t>
      </w:r>
      <w:r w:rsidR="00A466DD" w:rsidRPr="004B114F">
        <w:rPr>
          <w:rFonts w:asciiTheme="majorHAnsi" w:hAnsiTheme="majorHAnsi"/>
          <w:sz w:val="20"/>
          <w:szCs w:val="20"/>
          <w:lang w:val="es-PE"/>
        </w:rPr>
        <w:t xml:space="preserve"> </w:t>
      </w:r>
      <w:r w:rsidRPr="004B114F">
        <w:rPr>
          <w:rFonts w:asciiTheme="majorHAnsi" w:hAnsiTheme="majorHAnsi"/>
          <w:sz w:val="20"/>
          <w:szCs w:val="20"/>
          <w:lang w:val="es-PE"/>
        </w:rPr>
        <w:t xml:space="preserve">desplegar todos los </w:t>
      </w:r>
      <w:r w:rsidR="00A466DD" w:rsidRPr="004B114F">
        <w:rPr>
          <w:rFonts w:asciiTheme="majorHAnsi" w:hAnsiTheme="majorHAnsi"/>
          <w:sz w:val="20"/>
          <w:szCs w:val="20"/>
          <w:lang w:val="es-PE"/>
        </w:rPr>
        <w:t>esfuerzos para asegurar que las víctimas y sus familiares puedan conocer la verdad sobre lo sucedido en un tiempo razonable y que, en caso corresponda, se sancione a los eventuales responsables</w:t>
      </w:r>
      <w:r w:rsidR="00DF588F" w:rsidRPr="004B114F">
        <w:rPr>
          <w:rFonts w:asciiTheme="majorHAnsi" w:hAnsiTheme="majorHAnsi"/>
          <w:sz w:val="20"/>
          <w:szCs w:val="20"/>
          <w:vertAlign w:val="superscript"/>
        </w:rPr>
        <w:footnoteReference w:id="164"/>
      </w:r>
      <w:r w:rsidR="00A466DD" w:rsidRPr="004B114F">
        <w:rPr>
          <w:rFonts w:asciiTheme="majorHAnsi" w:hAnsiTheme="majorHAnsi"/>
          <w:sz w:val="20"/>
          <w:szCs w:val="20"/>
          <w:lang w:val="es-PE"/>
        </w:rPr>
        <w:t xml:space="preserve">. </w:t>
      </w:r>
      <w:r w:rsidR="00FD42F2" w:rsidRPr="004B114F">
        <w:rPr>
          <w:rFonts w:asciiTheme="majorHAnsi" w:hAnsiTheme="majorHAnsi"/>
          <w:sz w:val="20"/>
          <w:szCs w:val="20"/>
          <w:lang w:val="es-ES"/>
        </w:rPr>
        <w:t xml:space="preserve">En relación con la razonabilidad del tiempo, </w:t>
      </w:r>
      <w:r w:rsidR="007622D0" w:rsidRPr="004B114F">
        <w:rPr>
          <w:rFonts w:asciiTheme="majorHAnsi" w:hAnsiTheme="majorHAnsi"/>
          <w:sz w:val="20"/>
          <w:szCs w:val="20"/>
          <w:lang w:val="es-ES"/>
        </w:rPr>
        <w:t>esta Comisión</w:t>
      </w:r>
      <w:r w:rsidR="00FD42F2" w:rsidRPr="004B114F">
        <w:rPr>
          <w:rFonts w:asciiTheme="majorHAnsi" w:hAnsiTheme="majorHAnsi"/>
          <w:sz w:val="20"/>
          <w:szCs w:val="20"/>
          <w:lang w:val="es-ES"/>
        </w:rPr>
        <w:t xml:space="preserve"> ha </w:t>
      </w:r>
      <w:r w:rsidR="00057B66" w:rsidRPr="004B114F">
        <w:rPr>
          <w:rFonts w:asciiTheme="majorHAnsi" w:hAnsiTheme="majorHAnsi"/>
          <w:sz w:val="20"/>
          <w:szCs w:val="20"/>
          <w:lang w:val="es-ES"/>
        </w:rPr>
        <w:t>indicado</w:t>
      </w:r>
      <w:r w:rsidR="007622D0" w:rsidRPr="004B114F">
        <w:rPr>
          <w:rFonts w:asciiTheme="majorHAnsi" w:hAnsiTheme="majorHAnsi"/>
          <w:sz w:val="20"/>
          <w:szCs w:val="20"/>
          <w:lang w:val="es-ES"/>
        </w:rPr>
        <w:t xml:space="preserve"> en el pasado que</w:t>
      </w:r>
      <w:r w:rsidR="00FD42F2" w:rsidRPr="004B114F">
        <w:rPr>
          <w:rFonts w:asciiTheme="majorHAnsi" w:hAnsiTheme="majorHAnsi"/>
          <w:sz w:val="20"/>
          <w:szCs w:val="20"/>
          <w:lang w:val="es-ES"/>
        </w:rPr>
        <w:t xml:space="preserve"> una demora </w:t>
      </w:r>
      <w:r w:rsidR="007622D0" w:rsidRPr="004B114F">
        <w:rPr>
          <w:rFonts w:asciiTheme="majorHAnsi" w:hAnsiTheme="majorHAnsi"/>
          <w:sz w:val="20"/>
          <w:szCs w:val="20"/>
          <w:lang w:val="es-ES"/>
        </w:rPr>
        <w:t xml:space="preserve">prolongada para la resolución de un proceso puede constituir por sí misma </w:t>
      </w:r>
      <w:r w:rsidR="00FD42F2" w:rsidRPr="004B114F">
        <w:rPr>
          <w:rFonts w:asciiTheme="majorHAnsi" w:hAnsiTheme="majorHAnsi"/>
          <w:sz w:val="20"/>
          <w:szCs w:val="20"/>
          <w:lang w:val="es-ES"/>
        </w:rPr>
        <w:t>una violación de las garantías judiciales</w:t>
      </w:r>
      <w:r w:rsidR="007622D0" w:rsidRPr="004B114F">
        <w:rPr>
          <w:rFonts w:asciiTheme="majorHAnsi" w:hAnsiTheme="majorHAnsi"/>
          <w:sz w:val="20"/>
          <w:szCs w:val="20"/>
          <w:vertAlign w:val="superscript"/>
        </w:rPr>
        <w:footnoteReference w:id="165"/>
      </w:r>
      <w:r w:rsidR="00FD42F2" w:rsidRPr="004B114F">
        <w:rPr>
          <w:rFonts w:asciiTheme="majorHAnsi" w:hAnsiTheme="majorHAnsi"/>
          <w:sz w:val="20"/>
          <w:szCs w:val="20"/>
          <w:lang w:val="es-ES"/>
        </w:rPr>
        <w:t>. La CIDH ha acogido el criterio de la Corte Interamericana mediante el cual establece cuatro elementos que se deben tomar en cuenta para determinar la razonabilidad del plazo: (a) la complejidad del asunto, (b) la actividad procesal de la parte interesada, (c) la conducta de las autoridades judiciales y (d) la afectación generada en la situación jurídica de la persona involucrada en el proceso</w:t>
      </w:r>
      <w:r w:rsidR="007622D0" w:rsidRPr="004B114F">
        <w:rPr>
          <w:rFonts w:asciiTheme="majorHAnsi" w:hAnsiTheme="majorHAnsi"/>
          <w:sz w:val="20"/>
          <w:szCs w:val="20"/>
          <w:vertAlign w:val="superscript"/>
        </w:rPr>
        <w:footnoteReference w:id="166"/>
      </w:r>
      <w:r w:rsidR="00FD42F2" w:rsidRPr="004B114F">
        <w:rPr>
          <w:rFonts w:asciiTheme="majorHAnsi" w:hAnsiTheme="majorHAnsi"/>
          <w:sz w:val="20"/>
          <w:szCs w:val="20"/>
          <w:lang w:val="es-ES"/>
        </w:rPr>
        <w:t>.</w:t>
      </w:r>
    </w:p>
    <w:p w14:paraId="0E3147DE" w14:textId="77777777" w:rsidR="00115E91" w:rsidRPr="004B114F" w:rsidRDefault="00115E91" w:rsidP="004B114F">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jc w:val="both"/>
        <w:rPr>
          <w:rFonts w:asciiTheme="majorHAnsi" w:hAnsiTheme="majorHAnsi"/>
          <w:sz w:val="20"/>
          <w:szCs w:val="20"/>
          <w:lang w:val="es-ES"/>
        </w:rPr>
      </w:pPr>
    </w:p>
    <w:p w14:paraId="139EBA23" w14:textId="77777777" w:rsidR="00837965" w:rsidRPr="004B114F" w:rsidRDefault="00423453" w:rsidP="004B114F">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629"/>
        <w:jc w:val="both"/>
        <w:rPr>
          <w:rFonts w:asciiTheme="majorHAnsi" w:hAnsiTheme="majorHAnsi"/>
          <w:sz w:val="20"/>
          <w:szCs w:val="20"/>
          <w:lang w:val="es-ES"/>
        </w:rPr>
      </w:pPr>
      <w:r w:rsidRPr="004B114F">
        <w:rPr>
          <w:rFonts w:asciiTheme="majorHAnsi" w:hAnsiTheme="majorHAnsi"/>
          <w:sz w:val="20"/>
          <w:szCs w:val="20"/>
          <w:lang w:val="es-PE"/>
        </w:rPr>
        <w:t xml:space="preserve">De otro lado, aplicar la debida diligencia en el deber de investigación obliga a los Estados a adelantar dicha tarea </w:t>
      </w:r>
      <w:r w:rsidR="00626305" w:rsidRPr="00DE778C">
        <w:rPr>
          <w:rFonts w:asciiTheme="majorHAnsi" w:hAnsiTheme="majorHAnsi"/>
          <w:i/>
          <w:iCs/>
          <w:sz w:val="20"/>
          <w:szCs w:val="20"/>
          <w:lang w:val="es-PE"/>
        </w:rPr>
        <w:t>ex officio</w:t>
      </w:r>
      <w:r w:rsidR="00626305" w:rsidRPr="004B114F">
        <w:rPr>
          <w:rFonts w:asciiTheme="majorHAnsi" w:hAnsiTheme="majorHAnsi"/>
          <w:sz w:val="20"/>
          <w:szCs w:val="20"/>
          <w:lang w:val="es-PE"/>
        </w:rPr>
        <w:t xml:space="preserve">, </w:t>
      </w:r>
      <w:r w:rsidRPr="004B114F">
        <w:rPr>
          <w:rFonts w:asciiTheme="majorHAnsi" w:hAnsiTheme="majorHAnsi"/>
          <w:sz w:val="20"/>
          <w:szCs w:val="20"/>
          <w:lang w:val="es-PE"/>
        </w:rPr>
        <w:t>con determinación y eficacia, buscando proteger la confianza de las víctimas en las instituciones públicas</w:t>
      </w:r>
      <w:r w:rsidR="002D6737" w:rsidRPr="004B114F">
        <w:rPr>
          <w:rFonts w:asciiTheme="majorHAnsi" w:hAnsiTheme="majorHAnsi"/>
          <w:sz w:val="20"/>
          <w:szCs w:val="20"/>
          <w:lang w:val="es-PE"/>
        </w:rPr>
        <w:t xml:space="preserve"> que están llamadas a protegerlas</w:t>
      </w:r>
      <w:r w:rsidR="005576E9" w:rsidRPr="004B114F">
        <w:rPr>
          <w:rFonts w:asciiTheme="majorHAnsi" w:hAnsiTheme="majorHAnsi"/>
          <w:sz w:val="20"/>
          <w:szCs w:val="20"/>
          <w:lang w:val="es-PE"/>
        </w:rPr>
        <w:t xml:space="preserve"> y fortaleciendo el rechazo</w:t>
      </w:r>
      <w:r w:rsidR="009D2FBD" w:rsidRPr="004B114F">
        <w:rPr>
          <w:rFonts w:asciiTheme="majorHAnsi" w:hAnsiTheme="majorHAnsi"/>
          <w:sz w:val="20"/>
          <w:szCs w:val="20"/>
          <w:lang w:val="es-PE"/>
        </w:rPr>
        <w:t xml:space="preserve"> de la sociedad contra la violencia hacia las mujeres</w:t>
      </w:r>
      <w:r w:rsidRPr="004B114F">
        <w:rPr>
          <w:rFonts w:asciiTheme="majorHAnsi" w:hAnsiTheme="majorHAnsi"/>
          <w:sz w:val="20"/>
          <w:szCs w:val="20"/>
          <w:vertAlign w:val="superscript"/>
        </w:rPr>
        <w:footnoteReference w:id="167"/>
      </w:r>
      <w:r w:rsidRPr="004B114F">
        <w:rPr>
          <w:rFonts w:asciiTheme="majorHAnsi" w:hAnsiTheme="majorHAnsi"/>
          <w:sz w:val="20"/>
          <w:szCs w:val="20"/>
          <w:lang w:val="es-PE"/>
        </w:rPr>
        <w:t>.</w:t>
      </w:r>
      <w:r w:rsidR="009D2FBD" w:rsidRPr="004B114F">
        <w:rPr>
          <w:rFonts w:asciiTheme="majorHAnsi" w:hAnsiTheme="majorHAnsi"/>
          <w:sz w:val="20"/>
          <w:szCs w:val="20"/>
          <w:lang w:val="es-PE"/>
        </w:rPr>
        <w:t xml:space="preserve"> </w:t>
      </w:r>
      <w:r w:rsidR="009D2FBD" w:rsidRPr="004B114F">
        <w:rPr>
          <w:rFonts w:asciiTheme="majorHAnsi" w:hAnsiTheme="majorHAnsi"/>
          <w:sz w:val="20"/>
          <w:szCs w:val="20"/>
          <w:lang w:val="es-ES"/>
        </w:rPr>
        <w:t>Las obligaciones señaladas se activan desde el momento en que el Estado toma conocimiento de la existencia del hecho alegado</w:t>
      </w:r>
      <w:r w:rsidR="009D2FBD" w:rsidRPr="004B114F">
        <w:rPr>
          <w:rFonts w:asciiTheme="majorHAnsi" w:hAnsiTheme="majorHAnsi"/>
          <w:sz w:val="20"/>
          <w:szCs w:val="20"/>
          <w:vertAlign w:val="superscript"/>
        </w:rPr>
        <w:footnoteReference w:id="168"/>
      </w:r>
      <w:r w:rsidR="005233E7" w:rsidRPr="004B114F">
        <w:rPr>
          <w:rFonts w:asciiTheme="majorHAnsi" w:hAnsiTheme="majorHAnsi"/>
          <w:sz w:val="20"/>
          <w:szCs w:val="20"/>
          <w:lang w:val="es-ES"/>
        </w:rPr>
        <w:t xml:space="preserve"> </w:t>
      </w:r>
      <w:r w:rsidR="009D2FBD" w:rsidRPr="004B114F">
        <w:rPr>
          <w:rFonts w:asciiTheme="majorHAnsi" w:hAnsiTheme="majorHAnsi"/>
          <w:sz w:val="20"/>
          <w:szCs w:val="20"/>
          <w:lang w:val="es-ES"/>
        </w:rPr>
        <w:t xml:space="preserve">lo que significa que no están necesariamente condicionadas a que la víctima formule una denuncia penal en términos estrictos. </w:t>
      </w:r>
      <w:r w:rsidR="005233E7" w:rsidRPr="004B114F">
        <w:rPr>
          <w:rFonts w:asciiTheme="majorHAnsi" w:hAnsiTheme="majorHAnsi"/>
          <w:sz w:val="20"/>
          <w:szCs w:val="20"/>
          <w:lang w:val="es-ES"/>
        </w:rPr>
        <w:t>En particular, la Corte se ha referido a ciertos elementos que deben ser tomados en cuenta durante una investigación penal por violencia sexual en aplicación de la debida diligencia:</w:t>
      </w:r>
    </w:p>
    <w:p w14:paraId="4B5783D1" w14:textId="77777777" w:rsidR="00115E91" w:rsidRPr="004B114F" w:rsidRDefault="00115E91" w:rsidP="004B114F">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jc w:val="both"/>
        <w:rPr>
          <w:rFonts w:asciiTheme="majorHAnsi" w:hAnsiTheme="majorHAnsi"/>
          <w:sz w:val="20"/>
          <w:szCs w:val="20"/>
          <w:lang w:val="es-ES"/>
        </w:rPr>
      </w:pPr>
    </w:p>
    <w:p w14:paraId="7768BE1E" w14:textId="77777777" w:rsidR="005233E7" w:rsidRPr="004B114F" w:rsidRDefault="005233E7" w:rsidP="004B114F">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629" w:right="429"/>
        <w:jc w:val="both"/>
        <w:rPr>
          <w:rFonts w:asciiTheme="majorHAnsi" w:hAnsiTheme="majorHAnsi"/>
          <w:sz w:val="18"/>
          <w:szCs w:val="18"/>
          <w:lang w:val="es-PE"/>
        </w:rPr>
      </w:pPr>
      <w:r w:rsidRPr="004B114F">
        <w:rPr>
          <w:rFonts w:asciiTheme="majorHAnsi" w:hAnsiTheme="majorHAnsi"/>
          <w:sz w:val="18"/>
          <w:szCs w:val="18"/>
          <w:lang w:val="es-PE"/>
        </w:rPr>
        <w:t>“</w:t>
      </w:r>
      <w:r w:rsidRPr="004B114F">
        <w:rPr>
          <w:rFonts w:asciiTheme="majorHAnsi" w:hAnsiTheme="majorHAnsi"/>
          <w:bCs/>
          <w:sz w:val="18"/>
          <w:szCs w:val="18"/>
          <w:lang w:val="es-PE"/>
        </w:rPr>
        <w:t xml:space="preserve">Entre otros, en una investigación penal por violencia sexual es necesario que: i) la declaración de la víctima se realice en un ambiente cómodo y seguro, que le brinde privacidad y confianza; (ii) la declaración de la víctima se registre de forma tal que se evite o limite la necesidad de su repetición; (iii) se brinde atención médica, sanitaria y psicológica a la víctima, tanto de emergencia como de forma continuada si así se requiere, mediante un protocolo de atención cuyo objetivo sea reducir las consecuencias de la violación; iv) se realice </w:t>
      </w:r>
      <w:r w:rsidRPr="004B114F">
        <w:rPr>
          <w:rFonts w:asciiTheme="majorHAnsi" w:hAnsiTheme="majorHAnsi"/>
          <w:bCs/>
          <w:sz w:val="18"/>
          <w:szCs w:val="18"/>
          <w:u w:val="single"/>
          <w:lang w:val="es-PE"/>
        </w:rPr>
        <w:t>inmediatamente</w:t>
      </w:r>
      <w:r w:rsidRPr="004B114F">
        <w:rPr>
          <w:rFonts w:asciiTheme="majorHAnsi" w:hAnsiTheme="majorHAnsi"/>
          <w:bCs/>
          <w:sz w:val="18"/>
          <w:szCs w:val="18"/>
          <w:lang w:val="es-PE"/>
        </w:rPr>
        <w:t xml:space="preserve"> un examen médico y psicológico completo y detallado por personal idóneo y capacitado, en lo posible del sexo que la víctima indique, ofreciéndole que sea acompañada por alguien de su confianza si así lo desea; v) se documenten y coordinen los actos investigativos y se maneje diligentemente la prueba, tomando muestras suficientes, realizando estudios para determinar la posible autoría del hecho, asegurando otras pruebas como la ropa de la víctima, investigando de forma </w:t>
      </w:r>
      <w:r w:rsidRPr="004B114F">
        <w:rPr>
          <w:rFonts w:asciiTheme="majorHAnsi" w:hAnsiTheme="majorHAnsi"/>
          <w:bCs/>
          <w:sz w:val="18"/>
          <w:szCs w:val="18"/>
          <w:u w:val="single"/>
          <w:lang w:val="es-PE"/>
        </w:rPr>
        <w:t>inmediata</w:t>
      </w:r>
      <w:r w:rsidRPr="004B114F">
        <w:rPr>
          <w:rFonts w:asciiTheme="majorHAnsi" w:hAnsiTheme="majorHAnsi"/>
          <w:bCs/>
          <w:sz w:val="18"/>
          <w:szCs w:val="18"/>
          <w:lang w:val="es-PE"/>
        </w:rPr>
        <w:t xml:space="preserve"> el lugar de los hechos y </w:t>
      </w:r>
      <w:r w:rsidRPr="004B114F">
        <w:rPr>
          <w:rFonts w:asciiTheme="majorHAnsi" w:hAnsiTheme="majorHAnsi"/>
          <w:bCs/>
          <w:sz w:val="18"/>
          <w:szCs w:val="18"/>
          <w:lang w:val="es-PE"/>
        </w:rPr>
        <w:lastRenderedPageBreak/>
        <w:t>garantizando la correcta cadena de custodia, y vi) se brinde acceso a asistencia jurídica gratuita a la víctima durante todas las etapas del proceso”</w:t>
      </w:r>
      <w:r w:rsidRPr="004B114F">
        <w:rPr>
          <w:rFonts w:asciiTheme="majorHAnsi" w:hAnsiTheme="majorHAnsi"/>
          <w:sz w:val="18"/>
          <w:szCs w:val="18"/>
          <w:vertAlign w:val="superscript"/>
          <w:lang w:val="es-PE"/>
        </w:rPr>
        <w:footnoteReference w:id="169"/>
      </w:r>
      <w:r w:rsidRPr="004B114F">
        <w:rPr>
          <w:rFonts w:asciiTheme="majorHAnsi" w:hAnsiTheme="majorHAnsi"/>
          <w:bCs/>
          <w:sz w:val="18"/>
          <w:szCs w:val="18"/>
          <w:lang w:val="es-PE"/>
        </w:rPr>
        <w:t>. (énfasis agregado)</w:t>
      </w:r>
    </w:p>
    <w:p w14:paraId="085272E6" w14:textId="77777777" w:rsidR="005233E7" w:rsidRPr="004B114F" w:rsidRDefault="005233E7" w:rsidP="004B114F">
      <w:pPr>
        <w:pStyle w:val="ListParagraph"/>
        <w:rPr>
          <w:rStyle w:val="Heading1Char"/>
          <w:rFonts w:eastAsia="Arial Unicode MS" w:cs="Times New Roman"/>
          <w:b w:val="0"/>
          <w:bCs w:val="0"/>
          <w:sz w:val="20"/>
          <w:szCs w:val="20"/>
          <w:bdr w:val="none" w:sz="0" w:space="0" w:color="auto"/>
          <w:lang w:val="es-ES_tradnl"/>
        </w:rPr>
      </w:pPr>
    </w:p>
    <w:p w14:paraId="5E0E878B" w14:textId="18E9AE73" w:rsidR="00CA6048" w:rsidRPr="004B114F" w:rsidRDefault="00FC6FC4" w:rsidP="004B114F">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629"/>
        <w:jc w:val="both"/>
        <w:rPr>
          <w:rFonts w:asciiTheme="majorHAnsi" w:hAnsiTheme="majorHAnsi"/>
          <w:sz w:val="20"/>
          <w:szCs w:val="20"/>
          <w:lang w:val="es-PE"/>
        </w:rPr>
      </w:pPr>
      <w:r w:rsidRPr="004B114F">
        <w:rPr>
          <w:rFonts w:asciiTheme="majorHAnsi" w:hAnsiTheme="majorHAnsi"/>
          <w:sz w:val="20"/>
          <w:szCs w:val="20"/>
          <w:lang w:val="es-PE"/>
        </w:rPr>
        <w:t>Esta Comisión ha citado a la Organización Mundial de la Salud para resaltar la importancia de que, en casos de alegada violación sexual, el peritaje ginecológico se realice lo más pronto posible</w:t>
      </w:r>
      <w:r w:rsidRPr="004B114F">
        <w:rPr>
          <w:rFonts w:asciiTheme="majorHAnsi" w:hAnsiTheme="majorHAnsi"/>
          <w:sz w:val="20"/>
          <w:szCs w:val="20"/>
          <w:vertAlign w:val="superscript"/>
          <w:lang w:val="es-PE"/>
        </w:rPr>
        <w:footnoteReference w:id="170"/>
      </w:r>
      <w:r w:rsidRPr="004B114F">
        <w:rPr>
          <w:rFonts w:asciiTheme="majorHAnsi" w:hAnsiTheme="majorHAnsi"/>
          <w:sz w:val="20"/>
          <w:szCs w:val="20"/>
          <w:lang w:val="es-PE"/>
        </w:rPr>
        <w:t xml:space="preserve">. </w:t>
      </w:r>
      <w:r w:rsidR="00F56B16" w:rsidRPr="004B114F">
        <w:rPr>
          <w:rFonts w:asciiTheme="majorHAnsi" w:hAnsiTheme="majorHAnsi"/>
          <w:sz w:val="20"/>
          <w:szCs w:val="20"/>
          <w:lang w:val="es-PE"/>
        </w:rPr>
        <w:t xml:space="preserve">A lo anterior, la Corte Interamericana ha añadido que este tipo de pericias, de ser pertinentes, deben realizarse durante las primeras 72 horas a partir del hecho denunciado y </w:t>
      </w:r>
      <w:r w:rsidR="00EB7A42">
        <w:rPr>
          <w:rFonts w:asciiTheme="majorHAnsi" w:hAnsiTheme="majorHAnsi"/>
          <w:sz w:val="20"/>
          <w:szCs w:val="20"/>
          <w:lang w:val="es-PE"/>
        </w:rPr>
        <w:t>sobre la</w:t>
      </w:r>
      <w:r w:rsidR="00F56B16" w:rsidRPr="004B114F">
        <w:rPr>
          <w:rFonts w:asciiTheme="majorHAnsi" w:hAnsiTheme="majorHAnsi"/>
          <w:sz w:val="20"/>
          <w:szCs w:val="20"/>
          <w:lang w:val="es-PE"/>
        </w:rPr>
        <w:t xml:space="preserve"> base </w:t>
      </w:r>
      <w:r w:rsidR="00EB7A42">
        <w:rPr>
          <w:rFonts w:asciiTheme="majorHAnsi" w:hAnsiTheme="majorHAnsi"/>
          <w:sz w:val="20"/>
          <w:szCs w:val="20"/>
          <w:lang w:val="es-PE"/>
        </w:rPr>
        <w:t>de</w:t>
      </w:r>
      <w:r w:rsidR="00F56B16" w:rsidRPr="004B114F">
        <w:rPr>
          <w:rFonts w:asciiTheme="majorHAnsi" w:hAnsiTheme="majorHAnsi"/>
          <w:sz w:val="20"/>
          <w:szCs w:val="20"/>
          <w:lang w:val="es-PE"/>
        </w:rPr>
        <w:t xml:space="preserve"> un protocolo específico de atención a víctimas de violencia sexual</w:t>
      </w:r>
      <w:r w:rsidR="00F56B16" w:rsidRPr="004B114F">
        <w:rPr>
          <w:rFonts w:asciiTheme="majorHAnsi" w:hAnsiTheme="majorHAnsi"/>
          <w:sz w:val="20"/>
          <w:szCs w:val="20"/>
          <w:vertAlign w:val="superscript"/>
          <w:lang w:val="es-PE"/>
        </w:rPr>
        <w:footnoteReference w:id="171"/>
      </w:r>
      <w:r w:rsidR="00F56B16" w:rsidRPr="004B114F">
        <w:rPr>
          <w:rFonts w:asciiTheme="majorHAnsi" w:hAnsiTheme="majorHAnsi"/>
          <w:sz w:val="20"/>
          <w:szCs w:val="20"/>
          <w:lang w:val="es-PE"/>
        </w:rPr>
        <w:t>.</w:t>
      </w:r>
      <w:r w:rsidR="00846922" w:rsidRPr="004B114F">
        <w:rPr>
          <w:rFonts w:asciiTheme="majorHAnsi" w:hAnsiTheme="majorHAnsi"/>
          <w:sz w:val="20"/>
          <w:szCs w:val="20"/>
          <w:lang w:val="es-PE"/>
        </w:rPr>
        <w:t xml:space="preserve"> La investigación penal que se inicie debe incorporar una perspectiva de género y ser conducida por funcionarios con capacitación en casos similares y en atención de mujeres víctimas de discriminación y violencia basada en género</w:t>
      </w:r>
      <w:r w:rsidR="0014675E" w:rsidRPr="004B114F">
        <w:rPr>
          <w:rFonts w:asciiTheme="majorHAnsi" w:hAnsiTheme="majorHAnsi"/>
          <w:sz w:val="20"/>
          <w:szCs w:val="20"/>
          <w:vertAlign w:val="superscript"/>
          <w:lang w:val="es-PE"/>
        </w:rPr>
        <w:footnoteReference w:id="172"/>
      </w:r>
      <w:r w:rsidR="0014675E" w:rsidRPr="004B114F">
        <w:rPr>
          <w:rFonts w:asciiTheme="majorHAnsi" w:hAnsiTheme="majorHAnsi"/>
          <w:sz w:val="20"/>
          <w:szCs w:val="20"/>
          <w:lang w:val="es-PE"/>
        </w:rPr>
        <w:t>.</w:t>
      </w:r>
      <w:r w:rsidR="00846922" w:rsidRPr="004B114F">
        <w:rPr>
          <w:rFonts w:asciiTheme="majorHAnsi" w:hAnsiTheme="majorHAnsi"/>
          <w:sz w:val="20"/>
          <w:szCs w:val="20"/>
          <w:lang w:val="es-PE"/>
        </w:rPr>
        <w:t xml:space="preserve"> </w:t>
      </w:r>
      <w:r w:rsidR="0014675E" w:rsidRPr="004B114F">
        <w:rPr>
          <w:rFonts w:asciiTheme="majorHAnsi" w:hAnsiTheme="majorHAnsi"/>
          <w:sz w:val="20"/>
          <w:szCs w:val="20"/>
          <w:lang w:val="es-PE"/>
        </w:rPr>
        <w:t xml:space="preserve">La CIDH ha destacado la necesidad de que tal investigación se </w:t>
      </w:r>
      <w:r w:rsidR="00360415" w:rsidRPr="004B114F">
        <w:rPr>
          <w:rFonts w:asciiTheme="majorHAnsi" w:hAnsiTheme="majorHAnsi"/>
          <w:sz w:val="20"/>
          <w:szCs w:val="20"/>
          <w:lang w:val="es-PE"/>
        </w:rPr>
        <w:t>a</w:t>
      </w:r>
      <w:r w:rsidR="0014675E" w:rsidRPr="004B114F">
        <w:rPr>
          <w:rFonts w:asciiTheme="majorHAnsi" w:hAnsiTheme="majorHAnsi"/>
          <w:sz w:val="20"/>
          <w:szCs w:val="20"/>
          <w:lang w:val="es-PE"/>
        </w:rPr>
        <w:t>delante de conformidad con protocolos dirigidos específicamente a documentar evidencias en casos de violencia de género</w:t>
      </w:r>
      <w:r w:rsidR="0014675E" w:rsidRPr="004B114F">
        <w:rPr>
          <w:rFonts w:asciiTheme="majorHAnsi" w:hAnsiTheme="majorHAnsi"/>
          <w:sz w:val="20"/>
          <w:szCs w:val="20"/>
          <w:vertAlign w:val="superscript"/>
          <w:lang w:val="es-PE"/>
        </w:rPr>
        <w:footnoteReference w:id="173"/>
      </w:r>
      <w:r w:rsidR="0014675E" w:rsidRPr="004B114F">
        <w:rPr>
          <w:rFonts w:asciiTheme="majorHAnsi" w:hAnsiTheme="majorHAnsi"/>
          <w:sz w:val="20"/>
          <w:szCs w:val="20"/>
          <w:lang w:val="es-PE"/>
        </w:rPr>
        <w:t>.</w:t>
      </w:r>
      <w:r w:rsidR="00A05E19" w:rsidRPr="004B114F">
        <w:rPr>
          <w:rFonts w:asciiTheme="majorHAnsi" w:hAnsiTheme="majorHAnsi"/>
          <w:sz w:val="20"/>
          <w:szCs w:val="20"/>
          <w:lang w:val="es-PE"/>
        </w:rPr>
        <w:t xml:space="preserve"> De modo similar, la CIDH ha llamado la atención sobre el riesgo de revictimización al que se enfrentan las mujeres víctimas de violencia en su búsqueda por alcanzar justicia, y que se deriva de la falta de sensibilización frente a su situación, su sexo y la gravedad de los hechos; la falta de protección de su privacidad y dignidad; los múltiples interrogatorios a los que se les someten, entre otros</w:t>
      </w:r>
      <w:r w:rsidR="00A05E19" w:rsidRPr="004B114F">
        <w:rPr>
          <w:rFonts w:asciiTheme="majorHAnsi" w:hAnsiTheme="majorHAnsi"/>
          <w:sz w:val="20"/>
          <w:szCs w:val="20"/>
          <w:vertAlign w:val="superscript"/>
          <w:lang w:val="es-PE"/>
        </w:rPr>
        <w:footnoteReference w:id="174"/>
      </w:r>
      <w:r w:rsidR="00A05E19" w:rsidRPr="004B114F">
        <w:rPr>
          <w:rFonts w:asciiTheme="majorHAnsi" w:hAnsiTheme="majorHAnsi"/>
          <w:sz w:val="20"/>
          <w:szCs w:val="20"/>
          <w:lang w:val="es-PE"/>
        </w:rPr>
        <w:t>.</w:t>
      </w:r>
    </w:p>
    <w:p w14:paraId="6E72BCDB" w14:textId="77777777" w:rsidR="00115E91" w:rsidRPr="004B114F" w:rsidRDefault="00115E91" w:rsidP="004B114F">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629"/>
        <w:jc w:val="both"/>
        <w:rPr>
          <w:rFonts w:asciiTheme="majorHAnsi" w:hAnsiTheme="majorHAnsi"/>
          <w:sz w:val="20"/>
          <w:szCs w:val="20"/>
          <w:lang w:val="es-PE"/>
        </w:rPr>
      </w:pPr>
    </w:p>
    <w:p w14:paraId="42C403D6" w14:textId="5DEBB119" w:rsidR="00FC6FC4" w:rsidRPr="004B114F" w:rsidRDefault="00CA6048" w:rsidP="004B114F">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629"/>
        <w:jc w:val="both"/>
        <w:rPr>
          <w:rFonts w:asciiTheme="majorHAnsi" w:hAnsiTheme="majorHAnsi"/>
          <w:sz w:val="20"/>
          <w:szCs w:val="20"/>
          <w:lang w:val="es-PE"/>
        </w:rPr>
      </w:pPr>
      <w:r w:rsidRPr="004B114F">
        <w:rPr>
          <w:rFonts w:asciiTheme="majorHAnsi" w:hAnsiTheme="majorHAnsi"/>
          <w:sz w:val="20"/>
          <w:szCs w:val="20"/>
          <w:lang w:val="es-PE"/>
        </w:rPr>
        <w:t xml:space="preserve">Ambos órganos interamericanos han </w:t>
      </w:r>
      <w:r w:rsidR="00AD554F" w:rsidRPr="004B114F">
        <w:rPr>
          <w:rFonts w:asciiTheme="majorHAnsi" w:hAnsiTheme="majorHAnsi"/>
          <w:sz w:val="20"/>
          <w:szCs w:val="20"/>
          <w:lang w:val="es-PE"/>
        </w:rPr>
        <w:t xml:space="preserve">recordado que la impunidad en este tipo de </w:t>
      </w:r>
      <w:r w:rsidR="00170FA4" w:rsidRPr="004B114F">
        <w:rPr>
          <w:rFonts w:asciiTheme="majorHAnsi" w:hAnsiTheme="majorHAnsi"/>
          <w:sz w:val="20"/>
          <w:szCs w:val="20"/>
          <w:lang w:val="es-PE"/>
        </w:rPr>
        <w:t>delitos</w:t>
      </w:r>
      <w:r w:rsidR="00AD554F" w:rsidRPr="004B114F">
        <w:rPr>
          <w:rFonts w:asciiTheme="majorHAnsi" w:hAnsiTheme="majorHAnsi"/>
          <w:sz w:val="20"/>
          <w:szCs w:val="20"/>
          <w:lang w:val="es-PE"/>
        </w:rPr>
        <w:t xml:space="preserve"> envía el mensaje de que la violencia sexual es tolerada por el Estado, favoreciendo en esa medida su perpetuación y la aceptación social del fenómeno, y alimentando el sentimiento de inseguridad de las mujeres y la desconfianza que éstas muestran frente al sistema de administración de justicia</w:t>
      </w:r>
      <w:r w:rsidR="00AD554F" w:rsidRPr="004B114F">
        <w:rPr>
          <w:rFonts w:asciiTheme="majorHAnsi" w:hAnsiTheme="majorHAnsi"/>
          <w:sz w:val="20"/>
          <w:szCs w:val="20"/>
          <w:vertAlign w:val="superscript"/>
          <w:lang w:val="es-PE"/>
        </w:rPr>
        <w:footnoteReference w:id="175"/>
      </w:r>
      <w:r w:rsidR="00AD554F" w:rsidRPr="004B114F">
        <w:rPr>
          <w:rFonts w:asciiTheme="majorHAnsi" w:hAnsiTheme="majorHAnsi"/>
          <w:sz w:val="20"/>
          <w:szCs w:val="20"/>
          <w:lang w:val="es-PE"/>
        </w:rPr>
        <w:t>.</w:t>
      </w:r>
      <w:r w:rsidR="005D2637" w:rsidRPr="004B114F">
        <w:rPr>
          <w:rFonts w:asciiTheme="majorHAnsi" w:hAnsiTheme="majorHAnsi"/>
          <w:sz w:val="20"/>
          <w:szCs w:val="20"/>
          <w:lang w:val="es-PE"/>
        </w:rPr>
        <w:t xml:space="preserve"> </w:t>
      </w:r>
    </w:p>
    <w:p w14:paraId="74D40055" w14:textId="77777777" w:rsidR="00115E91" w:rsidRPr="004B114F" w:rsidRDefault="00115E91" w:rsidP="004B114F">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jc w:val="both"/>
        <w:rPr>
          <w:rFonts w:asciiTheme="majorHAnsi" w:hAnsiTheme="majorHAnsi"/>
          <w:sz w:val="20"/>
          <w:szCs w:val="20"/>
          <w:lang w:val="es-PE"/>
        </w:rPr>
      </w:pPr>
    </w:p>
    <w:p w14:paraId="041DA3AF" w14:textId="15886A42" w:rsidR="00E759F1" w:rsidRPr="004B114F" w:rsidRDefault="000F3669" w:rsidP="004B114F">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629"/>
        <w:jc w:val="both"/>
        <w:rPr>
          <w:rFonts w:asciiTheme="majorHAnsi" w:hAnsiTheme="majorHAnsi"/>
          <w:sz w:val="20"/>
          <w:szCs w:val="20"/>
          <w:lang w:val="es-PE"/>
        </w:rPr>
      </w:pPr>
      <w:r w:rsidRPr="004B114F">
        <w:rPr>
          <w:rFonts w:asciiTheme="majorHAnsi" w:hAnsiTheme="majorHAnsi"/>
          <w:sz w:val="20"/>
          <w:szCs w:val="20"/>
          <w:lang w:val="es-PE"/>
        </w:rPr>
        <w:t xml:space="preserve">En aplicación de </w:t>
      </w:r>
      <w:r w:rsidR="00470991" w:rsidRPr="004B114F">
        <w:rPr>
          <w:rFonts w:asciiTheme="majorHAnsi" w:hAnsiTheme="majorHAnsi"/>
          <w:sz w:val="20"/>
          <w:szCs w:val="20"/>
          <w:lang w:val="es-PE"/>
        </w:rPr>
        <w:t>lo anterior</w:t>
      </w:r>
      <w:r w:rsidRPr="004B114F">
        <w:rPr>
          <w:rFonts w:asciiTheme="majorHAnsi" w:hAnsiTheme="majorHAnsi"/>
          <w:sz w:val="20"/>
          <w:szCs w:val="20"/>
          <w:lang w:val="es-PE"/>
        </w:rPr>
        <w:t xml:space="preserve">, la Comisión pasa a analizar los </w:t>
      </w:r>
      <w:r w:rsidR="00470991" w:rsidRPr="004B114F">
        <w:rPr>
          <w:rFonts w:asciiTheme="majorHAnsi" w:hAnsiTheme="majorHAnsi"/>
          <w:sz w:val="20"/>
          <w:szCs w:val="20"/>
          <w:lang w:val="es-PE"/>
        </w:rPr>
        <w:t>hechos dados por probados</w:t>
      </w:r>
      <w:r w:rsidRPr="004B114F">
        <w:rPr>
          <w:rFonts w:asciiTheme="majorHAnsi" w:hAnsiTheme="majorHAnsi"/>
          <w:sz w:val="20"/>
          <w:szCs w:val="20"/>
          <w:lang w:val="es-PE"/>
        </w:rPr>
        <w:t xml:space="preserve"> en relación con las condiciones de detención a las que fue sometida la presunta víctima durante su encierro en el Internado Anzoátegui y el Retén Policial de Lecherías, y la violación sexual de la que fue víctima en el primer centro penitenciario</w:t>
      </w:r>
      <w:r w:rsidR="00470991" w:rsidRPr="004B114F">
        <w:rPr>
          <w:rFonts w:asciiTheme="majorHAnsi" w:hAnsiTheme="majorHAnsi"/>
          <w:sz w:val="20"/>
          <w:szCs w:val="20"/>
          <w:lang w:val="es-PE"/>
        </w:rPr>
        <w:t xml:space="preserve"> mencionado</w:t>
      </w:r>
      <w:r w:rsidRPr="004B114F">
        <w:rPr>
          <w:rFonts w:asciiTheme="majorHAnsi" w:hAnsiTheme="majorHAnsi"/>
          <w:sz w:val="20"/>
          <w:szCs w:val="20"/>
          <w:lang w:val="es-PE"/>
        </w:rPr>
        <w:t>.</w:t>
      </w:r>
      <w:bookmarkEnd w:id="48"/>
    </w:p>
    <w:p w14:paraId="001D2C25" w14:textId="77777777" w:rsidR="00115E91" w:rsidRPr="004B114F" w:rsidRDefault="00115E91" w:rsidP="004B114F">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jc w:val="both"/>
        <w:rPr>
          <w:rFonts w:asciiTheme="majorHAnsi" w:hAnsiTheme="majorHAnsi"/>
          <w:sz w:val="20"/>
          <w:szCs w:val="20"/>
          <w:lang w:val="es-PE"/>
        </w:rPr>
      </w:pPr>
    </w:p>
    <w:p w14:paraId="7A334A6D" w14:textId="77777777" w:rsidR="00F40148" w:rsidRPr="004B114F" w:rsidRDefault="002D4319" w:rsidP="00DE778C">
      <w:pPr>
        <w:pStyle w:val="Heading3"/>
        <w:numPr>
          <w:ilvl w:val="0"/>
          <w:numId w:val="58"/>
        </w:numPr>
        <w:jc w:val="both"/>
        <w:rPr>
          <w:rFonts w:asciiTheme="majorHAnsi" w:hAnsiTheme="majorHAnsi"/>
          <w:szCs w:val="20"/>
          <w:lang w:val="es-ES_tradnl"/>
        </w:rPr>
      </w:pPr>
      <w:bookmarkStart w:id="50" w:name="_Análisis_del_presente"/>
      <w:bookmarkStart w:id="51" w:name="_Toc142398966"/>
      <w:bookmarkEnd w:id="50"/>
      <w:r w:rsidRPr="004B114F">
        <w:rPr>
          <w:rFonts w:asciiTheme="majorHAnsi" w:hAnsiTheme="majorHAnsi"/>
          <w:szCs w:val="20"/>
          <w:lang w:val="es-ES_tradnl"/>
        </w:rPr>
        <w:t>Análisis del presente caso</w:t>
      </w:r>
      <w:bookmarkEnd w:id="51"/>
    </w:p>
    <w:p w14:paraId="1CBB2047" w14:textId="77777777" w:rsidR="007E72A7" w:rsidRPr="004B114F" w:rsidRDefault="007E72A7" w:rsidP="004B114F">
      <w:pPr>
        <w:rPr>
          <w:rFonts w:asciiTheme="majorHAnsi" w:hAnsiTheme="majorHAnsi"/>
          <w:sz w:val="20"/>
          <w:szCs w:val="20"/>
          <w:lang w:val="es-ES_tradnl"/>
        </w:rPr>
      </w:pPr>
    </w:p>
    <w:p w14:paraId="51D1FC37" w14:textId="40313AA3" w:rsidR="007E72A7" w:rsidRPr="004B114F" w:rsidRDefault="007E72A7" w:rsidP="004B114F">
      <w:pPr>
        <w:pStyle w:val="Heading4"/>
        <w:numPr>
          <w:ilvl w:val="1"/>
          <w:numId w:val="63"/>
        </w:numPr>
        <w:spacing w:before="0"/>
        <w:ind w:left="709"/>
        <w:rPr>
          <w:b/>
          <w:i w:val="0"/>
          <w:color w:val="000000" w:themeColor="text1"/>
          <w:sz w:val="20"/>
          <w:szCs w:val="20"/>
          <w:lang w:val="es-ES_tradnl"/>
        </w:rPr>
      </w:pPr>
      <w:r w:rsidRPr="004B114F">
        <w:rPr>
          <w:b/>
          <w:i w:val="0"/>
          <w:color w:val="000000" w:themeColor="text1"/>
          <w:sz w:val="20"/>
          <w:szCs w:val="20"/>
          <w:lang w:val="es-ES_tradnl"/>
        </w:rPr>
        <w:t xml:space="preserve">Sobre las condiciones </w:t>
      </w:r>
      <w:r w:rsidR="0002054C" w:rsidRPr="004B114F">
        <w:rPr>
          <w:b/>
          <w:i w:val="0"/>
          <w:color w:val="000000" w:themeColor="text1"/>
          <w:sz w:val="20"/>
          <w:szCs w:val="20"/>
          <w:lang w:val="es-ES_tradnl"/>
        </w:rPr>
        <w:t>carcelarias</w:t>
      </w:r>
      <w:r w:rsidRPr="004B114F">
        <w:rPr>
          <w:b/>
          <w:i w:val="0"/>
          <w:color w:val="000000" w:themeColor="text1"/>
          <w:sz w:val="20"/>
          <w:szCs w:val="20"/>
          <w:lang w:val="es-ES_tradnl"/>
        </w:rPr>
        <w:t xml:space="preserve"> que enfrentó la presunta víctima</w:t>
      </w:r>
    </w:p>
    <w:p w14:paraId="7FC59B33" w14:textId="77777777" w:rsidR="00B63C20" w:rsidRPr="004B114F" w:rsidRDefault="00B63C20" w:rsidP="004B114F">
      <w:pPr>
        <w:tabs>
          <w:tab w:val="left" w:pos="1440"/>
        </w:tabs>
        <w:jc w:val="both"/>
        <w:rPr>
          <w:rStyle w:val="Heading1Char"/>
          <w:rFonts w:eastAsia="Cambria"/>
          <w:b w:val="0"/>
          <w:sz w:val="20"/>
          <w:szCs w:val="20"/>
          <w:lang w:val="es-ES_tradnl"/>
        </w:rPr>
      </w:pPr>
    </w:p>
    <w:p w14:paraId="5ADFEFD5" w14:textId="604E4F82" w:rsidR="00AF30A3" w:rsidRPr="004B114F" w:rsidRDefault="00A30BD2" w:rsidP="004B114F">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720"/>
        <w:jc w:val="both"/>
        <w:rPr>
          <w:rFonts w:asciiTheme="majorHAnsi" w:hAnsiTheme="majorHAnsi"/>
          <w:sz w:val="20"/>
          <w:szCs w:val="20"/>
          <w:lang w:val="es-ES_tradnl"/>
        </w:rPr>
      </w:pPr>
      <w:r w:rsidRPr="004B114F">
        <w:rPr>
          <w:rFonts w:asciiTheme="majorHAnsi" w:hAnsiTheme="majorHAnsi"/>
          <w:sz w:val="20"/>
          <w:szCs w:val="20"/>
          <w:lang w:val="es-ES_tradnl"/>
        </w:rPr>
        <w:t xml:space="preserve">Según los hechos </w:t>
      </w:r>
      <w:r w:rsidR="00214084" w:rsidRPr="004B114F">
        <w:rPr>
          <w:rFonts w:asciiTheme="majorHAnsi" w:hAnsiTheme="majorHAnsi"/>
          <w:sz w:val="20"/>
          <w:szCs w:val="20"/>
          <w:lang w:val="es-ES_tradnl"/>
        </w:rPr>
        <w:t>determinados a partir del expediente, la señora Maleno se encontró privada de su libertad entre el 18 de octubre de 2001 y el 6 de noviembre de 2003. Al menos hasta el 9 de enero de 2002, estuvo detenida en el Internado Anzoátegui, en donde enfrentaba condiciones carcelarias deplorables</w:t>
      </w:r>
      <w:r w:rsidR="00495928" w:rsidRPr="004B114F">
        <w:rPr>
          <w:rFonts w:asciiTheme="majorHAnsi" w:hAnsiTheme="majorHAnsi"/>
          <w:sz w:val="20"/>
          <w:szCs w:val="20"/>
          <w:lang w:val="es-ES_tradnl"/>
        </w:rPr>
        <w:t xml:space="preserve"> (ver </w:t>
      </w:r>
      <w:r w:rsidR="00495928" w:rsidRPr="004B114F">
        <w:rPr>
          <w:rFonts w:asciiTheme="majorHAnsi" w:hAnsiTheme="majorHAnsi"/>
          <w:i/>
          <w:sz w:val="20"/>
          <w:szCs w:val="20"/>
          <w:lang w:val="es-ES_tradnl"/>
        </w:rPr>
        <w:t>supra</w:t>
      </w:r>
      <w:r w:rsidR="0002054C" w:rsidRPr="004B114F">
        <w:rPr>
          <w:rFonts w:asciiTheme="majorHAnsi" w:hAnsiTheme="majorHAnsi"/>
          <w:sz w:val="20"/>
          <w:szCs w:val="20"/>
          <w:lang w:val="es-ES_tradnl"/>
        </w:rPr>
        <w:t xml:space="preserve"> </w:t>
      </w:r>
      <w:hyperlink w:anchor="_Condiciones_carcelarias_y" w:history="1">
        <w:r w:rsidR="0002054C" w:rsidRPr="004B114F">
          <w:rPr>
            <w:rStyle w:val="Hyperlink"/>
            <w:rFonts w:asciiTheme="majorHAnsi" w:hAnsiTheme="majorHAnsi"/>
            <w:sz w:val="20"/>
            <w:szCs w:val="20"/>
            <w:lang w:val="es-ES_tradnl"/>
          </w:rPr>
          <w:t>III.B.2</w:t>
        </w:r>
      </w:hyperlink>
      <w:r w:rsidR="00495928" w:rsidRPr="004B114F">
        <w:rPr>
          <w:rFonts w:asciiTheme="majorHAnsi" w:hAnsiTheme="majorHAnsi"/>
          <w:sz w:val="20"/>
          <w:szCs w:val="20"/>
          <w:lang w:val="es-ES_tradnl"/>
        </w:rPr>
        <w:t>)</w:t>
      </w:r>
      <w:r w:rsidR="00214084" w:rsidRPr="004B114F">
        <w:rPr>
          <w:rFonts w:asciiTheme="majorHAnsi" w:hAnsiTheme="majorHAnsi"/>
          <w:sz w:val="20"/>
          <w:szCs w:val="20"/>
          <w:lang w:val="es-ES_tradnl"/>
        </w:rPr>
        <w:t xml:space="preserve">. </w:t>
      </w:r>
      <w:r w:rsidR="007B5069" w:rsidRPr="004B114F">
        <w:rPr>
          <w:rFonts w:asciiTheme="majorHAnsi" w:hAnsiTheme="majorHAnsi"/>
          <w:sz w:val="20"/>
          <w:szCs w:val="20"/>
          <w:lang w:val="es-ES_tradnl"/>
        </w:rPr>
        <w:t>Dentro de los aspectos de mayor gravedad, la CIDH destaca que</w:t>
      </w:r>
      <w:r w:rsidR="000E6C7C" w:rsidRPr="004B114F">
        <w:rPr>
          <w:rFonts w:asciiTheme="majorHAnsi" w:hAnsiTheme="majorHAnsi"/>
          <w:sz w:val="20"/>
          <w:szCs w:val="20"/>
          <w:lang w:val="es-ES_tradnl"/>
        </w:rPr>
        <w:t xml:space="preserve"> el Estado mantenía a las y los reclusos en condiciones de hacinamiento, sin proporcionarles atención médica, acceso al agua, ni alimentación suficiente. E</w:t>
      </w:r>
      <w:r w:rsidR="00EC7AB0" w:rsidRPr="004B114F">
        <w:rPr>
          <w:rFonts w:asciiTheme="majorHAnsi" w:hAnsiTheme="majorHAnsi"/>
          <w:sz w:val="20"/>
          <w:szCs w:val="20"/>
          <w:lang w:val="es-ES_tradnl"/>
        </w:rPr>
        <w:t>n e</w:t>
      </w:r>
      <w:r w:rsidR="000E6C7C" w:rsidRPr="004B114F">
        <w:rPr>
          <w:rFonts w:asciiTheme="majorHAnsi" w:hAnsiTheme="majorHAnsi"/>
          <w:sz w:val="20"/>
          <w:szCs w:val="20"/>
          <w:lang w:val="es-ES_tradnl"/>
        </w:rPr>
        <w:t xml:space="preserve">l Internado Anzoátegui no </w:t>
      </w:r>
      <w:r w:rsidR="00EC7AB0" w:rsidRPr="004B114F">
        <w:rPr>
          <w:rFonts w:asciiTheme="majorHAnsi" w:hAnsiTheme="majorHAnsi"/>
          <w:sz w:val="20"/>
          <w:szCs w:val="20"/>
          <w:lang w:val="es-ES_tradnl"/>
        </w:rPr>
        <w:t xml:space="preserve">existía, además, una </w:t>
      </w:r>
      <w:r w:rsidR="00DB0A24" w:rsidRPr="004B114F">
        <w:rPr>
          <w:rFonts w:asciiTheme="majorHAnsi" w:hAnsiTheme="majorHAnsi"/>
          <w:sz w:val="20"/>
          <w:szCs w:val="20"/>
          <w:lang w:val="es-ES_tradnl"/>
        </w:rPr>
        <w:t>clasificación</w:t>
      </w:r>
      <w:r w:rsidR="00EC7AB0" w:rsidRPr="004B114F">
        <w:rPr>
          <w:rFonts w:asciiTheme="majorHAnsi" w:hAnsiTheme="majorHAnsi"/>
          <w:sz w:val="20"/>
          <w:szCs w:val="20"/>
          <w:lang w:val="es-ES_tradnl"/>
        </w:rPr>
        <w:t xml:space="preserve"> que permitiera</w:t>
      </w:r>
      <w:r w:rsidR="00DB0A24" w:rsidRPr="004B114F">
        <w:rPr>
          <w:rFonts w:asciiTheme="majorHAnsi" w:hAnsiTheme="majorHAnsi"/>
          <w:sz w:val="20"/>
          <w:szCs w:val="20"/>
          <w:lang w:val="es-ES_tradnl"/>
        </w:rPr>
        <w:t xml:space="preserve"> separar a los </w:t>
      </w:r>
      <w:r w:rsidR="00AF30A3" w:rsidRPr="004B114F">
        <w:rPr>
          <w:rFonts w:asciiTheme="majorHAnsi" w:hAnsiTheme="majorHAnsi"/>
          <w:sz w:val="20"/>
          <w:szCs w:val="20"/>
          <w:lang w:val="es-ES_tradnl"/>
        </w:rPr>
        <w:t xml:space="preserve">condenados </w:t>
      </w:r>
      <w:r w:rsidR="00DB0A24" w:rsidRPr="004B114F">
        <w:rPr>
          <w:rFonts w:asciiTheme="majorHAnsi" w:hAnsiTheme="majorHAnsi"/>
          <w:sz w:val="20"/>
          <w:szCs w:val="20"/>
          <w:lang w:val="es-ES_tradnl"/>
        </w:rPr>
        <w:t>de los</w:t>
      </w:r>
      <w:r w:rsidR="00AF30A3" w:rsidRPr="004B114F">
        <w:rPr>
          <w:rFonts w:asciiTheme="majorHAnsi" w:hAnsiTheme="majorHAnsi"/>
          <w:sz w:val="20"/>
          <w:szCs w:val="20"/>
          <w:lang w:val="es-ES_tradnl"/>
        </w:rPr>
        <w:t xml:space="preserve"> procesados, quienes no recibían un tratamiento adecuado a su condición de personas no condenadas</w:t>
      </w:r>
      <w:r w:rsidR="000E6C7C" w:rsidRPr="004B114F">
        <w:rPr>
          <w:rFonts w:asciiTheme="majorHAnsi" w:hAnsiTheme="majorHAnsi"/>
          <w:sz w:val="20"/>
          <w:szCs w:val="20"/>
          <w:lang w:val="es-ES_tradnl"/>
        </w:rPr>
        <w:t xml:space="preserve">. Las mujeres internadas, incluida la presunta víctima, estaban albergadas en un anexo que era accesible para los reclusos varones del establecimiento penitenciario, de modo que tampoco </w:t>
      </w:r>
      <w:r w:rsidR="00AF30A3" w:rsidRPr="004B114F">
        <w:rPr>
          <w:rFonts w:asciiTheme="majorHAnsi" w:hAnsiTheme="majorHAnsi"/>
          <w:sz w:val="20"/>
          <w:szCs w:val="20"/>
          <w:lang w:val="es-ES_tradnl"/>
        </w:rPr>
        <w:t xml:space="preserve">se había implementado </w:t>
      </w:r>
      <w:r w:rsidR="000E6C7C" w:rsidRPr="004B114F">
        <w:rPr>
          <w:rFonts w:asciiTheme="majorHAnsi" w:hAnsiTheme="majorHAnsi"/>
          <w:sz w:val="20"/>
          <w:szCs w:val="20"/>
          <w:lang w:val="es-ES_tradnl"/>
        </w:rPr>
        <w:t xml:space="preserve">en el Internado una separación efectiva y real de los internos en función de su sexo y/o género. </w:t>
      </w:r>
    </w:p>
    <w:p w14:paraId="5C00A567" w14:textId="77777777" w:rsidR="00AF30A3" w:rsidRPr="004B114F" w:rsidRDefault="00AF30A3" w:rsidP="004B114F">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720"/>
        <w:jc w:val="both"/>
        <w:rPr>
          <w:rFonts w:asciiTheme="majorHAnsi" w:hAnsiTheme="majorHAnsi"/>
          <w:sz w:val="20"/>
          <w:szCs w:val="20"/>
          <w:lang w:val="es-ES_tradnl"/>
        </w:rPr>
      </w:pPr>
    </w:p>
    <w:p w14:paraId="1FD65742" w14:textId="62510BBF" w:rsidR="00AF30A3" w:rsidRPr="004B114F" w:rsidRDefault="00AF30A3" w:rsidP="004B114F">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720"/>
        <w:jc w:val="both"/>
        <w:rPr>
          <w:rFonts w:asciiTheme="majorHAnsi" w:hAnsiTheme="majorHAnsi"/>
          <w:sz w:val="20"/>
          <w:szCs w:val="20"/>
          <w:lang w:val="es-ES_tradnl"/>
        </w:rPr>
      </w:pPr>
      <w:r w:rsidRPr="004B114F">
        <w:rPr>
          <w:rFonts w:asciiTheme="majorHAnsi" w:hAnsiTheme="majorHAnsi"/>
          <w:sz w:val="20"/>
          <w:szCs w:val="20"/>
          <w:lang w:val="es-ES_tradnl"/>
        </w:rPr>
        <w:lastRenderedPageBreak/>
        <w:t xml:space="preserve">Cuando la presunta víctima fue trasladada al Retén </w:t>
      </w:r>
      <w:r w:rsidRPr="00D5028B">
        <w:rPr>
          <w:rFonts w:asciiTheme="majorHAnsi" w:hAnsiTheme="majorHAnsi"/>
          <w:sz w:val="20"/>
          <w:szCs w:val="20"/>
          <w:lang w:val="es-ES_tradnl"/>
        </w:rPr>
        <w:t>Policial de Lecherías el 9 de enero de 2002, sus condiciones de detención no mejoraron,</w:t>
      </w:r>
      <w:r w:rsidR="00015359" w:rsidRPr="00D5028B">
        <w:rPr>
          <w:rFonts w:asciiTheme="majorHAnsi" w:hAnsiTheme="majorHAnsi"/>
          <w:sz w:val="20"/>
          <w:szCs w:val="20"/>
          <w:lang w:val="es-ES_tradnl"/>
        </w:rPr>
        <w:t xml:space="preserve"> sino que</w:t>
      </w:r>
      <w:r w:rsidRPr="00D5028B">
        <w:rPr>
          <w:rFonts w:asciiTheme="majorHAnsi" w:hAnsiTheme="majorHAnsi"/>
          <w:sz w:val="20"/>
          <w:szCs w:val="20"/>
          <w:lang w:val="es-ES_tradnl"/>
        </w:rPr>
        <w:t xml:space="preserve"> </w:t>
      </w:r>
      <w:r w:rsidR="00015359" w:rsidRPr="00D5028B">
        <w:rPr>
          <w:rFonts w:asciiTheme="majorHAnsi" w:hAnsiTheme="majorHAnsi"/>
          <w:sz w:val="20"/>
          <w:szCs w:val="20"/>
          <w:lang w:val="es-ES_tradnl"/>
        </w:rPr>
        <w:t xml:space="preserve">incluso </w:t>
      </w:r>
      <w:r w:rsidRPr="00D5028B">
        <w:rPr>
          <w:rFonts w:asciiTheme="majorHAnsi" w:hAnsiTheme="majorHAnsi"/>
          <w:sz w:val="20"/>
          <w:szCs w:val="20"/>
          <w:lang w:val="es-ES_tradnl"/>
        </w:rPr>
        <w:t xml:space="preserve">se agravaron (ver </w:t>
      </w:r>
      <w:r w:rsidRPr="00D5028B">
        <w:rPr>
          <w:rFonts w:asciiTheme="majorHAnsi" w:hAnsiTheme="majorHAnsi"/>
          <w:i/>
          <w:sz w:val="20"/>
          <w:szCs w:val="20"/>
          <w:lang w:val="es-ES_tradnl"/>
        </w:rPr>
        <w:t>supra</w:t>
      </w:r>
      <w:r w:rsidR="0002054C" w:rsidRPr="00D5028B">
        <w:rPr>
          <w:rFonts w:asciiTheme="majorHAnsi" w:hAnsiTheme="majorHAnsi"/>
          <w:i/>
          <w:sz w:val="20"/>
          <w:szCs w:val="20"/>
          <w:lang w:val="es-ES_tradnl"/>
        </w:rPr>
        <w:t xml:space="preserve"> </w:t>
      </w:r>
      <w:hyperlink w:anchor="_Condiciones_de_detención" w:history="1">
        <w:r w:rsidR="0002054C" w:rsidRPr="00DE778C">
          <w:rPr>
            <w:rStyle w:val="Hyperlink"/>
            <w:rFonts w:asciiTheme="majorHAnsi" w:hAnsiTheme="majorHAnsi"/>
            <w:lang w:val="es-419"/>
          </w:rPr>
          <w:t>III</w:t>
        </w:r>
        <w:r w:rsidR="0002054C" w:rsidRPr="00D5028B">
          <w:rPr>
            <w:rStyle w:val="Hyperlink"/>
            <w:rFonts w:asciiTheme="majorHAnsi" w:hAnsiTheme="majorHAnsi"/>
            <w:sz w:val="20"/>
            <w:szCs w:val="20"/>
            <w:lang w:val="es-ES_tradnl"/>
          </w:rPr>
          <w:t>.B.3</w:t>
        </w:r>
      </w:hyperlink>
      <w:r w:rsidRPr="00D5028B">
        <w:rPr>
          <w:rFonts w:asciiTheme="majorHAnsi" w:hAnsiTheme="majorHAnsi"/>
          <w:sz w:val="20"/>
          <w:szCs w:val="20"/>
          <w:lang w:val="es-ES_tradnl"/>
        </w:rPr>
        <w:t xml:space="preserve">). </w:t>
      </w:r>
      <w:r w:rsidR="0002054C" w:rsidRPr="00D5028B">
        <w:rPr>
          <w:rFonts w:asciiTheme="majorHAnsi" w:hAnsiTheme="majorHAnsi"/>
          <w:sz w:val="20"/>
          <w:szCs w:val="20"/>
          <w:lang w:val="es-ES_tradnl"/>
        </w:rPr>
        <w:t xml:space="preserve">Si bien la medida se justificó en la necesidad de asegurar su integridad, de la información disponible en el expediente se desprende que las condiciones de detención en el Retén Policial eran altamente inadecuadas. </w:t>
      </w:r>
      <w:r w:rsidRPr="00D5028B">
        <w:rPr>
          <w:rFonts w:asciiTheme="majorHAnsi" w:hAnsiTheme="majorHAnsi"/>
          <w:sz w:val="20"/>
          <w:szCs w:val="20"/>
          <w:lang w:val="es-ES_tradnl"/>
        </w:rPr>
        <w:t>Al momento de su traslado, la presunta víctima lidiaba con los efectos devastadores de la violación sexual de la que fue víctima, lo que le impedía siquiera desplazarse por sus propios medios por los calabozos del Retén Policial. La situación de hacinamiento en un centro previsto para detenciones transitorias,</w:t>
      </w:r>
      <w:r w:rsidR="00EB6C12" w:rsidRPr="00D5028B">
        <w:rPr>
          <w:rFonts w:asciiTheme="majorHAnsi" w:hAnsiTheme="majorHAnsi"/>
          <w:sz w:val="20"/>
          <w:szCs w:val="20"/>
          <w:lang w:val="es-ES_tradnl"/>
        </w:rPr>
        <w:t xml:space="preserve"> las malas condiciones de</w:t>
      </w:r>
      <w:r w:rsidR="00EB6C12" w:rsidRPr="004B114F">
        <w:rPr>
          <w:rFonts w:asciiTheme="majorHAnsi" w:hAnsiTheme="majorHAnsi"/>
          <w:sz w:val="20"/>
          <w:szCs w:val="20"/>
          <w:lang w:val="es-ES_tradnl"/>
        </w:rPr>
        <w:t xml:space="preserve"> higiene, la falta de atención en salud o de alimentación suficiente, fueron las condiciones carcelarias bajo las cuales estuvo detenida la señora Maleno</w:t>
      </w:r>
      <w:r w:rsidR="00015359" w:rsidRPr="004B114F">
        <w:rPr>
          <w:rFonts w:asciiTheme="majorHAnsi" w:hAnsiTheme="majorHAnsi"/>
          <w:sz w:val="20"/>
          <w:szCs w:val="20"/>
          <w:lang w:val="es-ES_tradnl"/>
        </w:rPr>
        <w:t>. A ello se suma l</w:t>
      </w:r>
      <w:r w:rsidR="00EB6C12" w:rsidRPr="004B114F">
        <w:rPr>
          <w:rFonts w:asciiTheme="majorHAnsi" w:hAnsiTheme="majorHAnsi"/>
          <w:sz w:val="20"/>
          <w:szCs w:val="20"/>
          <w:lang w:val="es-ES_tradnl"/>
        </w:rPr>
        <w:t>a situación de vulnerabilidad todavía más aguda por ser una mujer que no recibía apoyos paralelos de su entorno familiar, a diferencia de otras internas</w:t>
      </w:r>
      <w:r w:rsidR="00015359" w:rsidRPr="004B114F">
        <w:rPr>
          <w:rFonts w:asciiTheme="majorHAnsi" w:hAnsiTheme="majorHAnsi"/>
          <w:sz w:val="20"/>
          <w:szCs w:val="20"/>
          <w:lang w:val="es-ES_tradnl"/>
        </w:rPr>
        <w:t>, por falta de recursos económicos</w:t>
      </w:r>
      <w:r w:rsidR="00EB6C12" w:rsidRPr="004B114F">
        <w:rPr>
          <w:rFonts w:asciiTheme="majorHAnsi" w:hAnsiTheme="majorHAnsi"/>
          <w:sz w:val="20"/>
          <w:szCs w:val="20"/>
          <w:lang w:val="es-ES_tradnl"/>
        </w:rPr>
        <w:t>.</w:t>
      </w:r>
    </w:p>
    <w:p w14:paraId="7CDE3599" w14:textId="77777777" w:rsidR="001D415C" w:rsidRPr="004B114F" w:rsidRDefault="001D415C" w:rsidP="004B114F">
      <w:pPr>
        <w:pStyle w:val="ListParagraph"/>
        <w:rPr>
          <w:rFonts w:asciiTheme="majorHAnsi" w:hAnsiTheme="majorHAnsi"/>
          <w:sz w:val="20"/>
          <w:szCs w:val="20"/>
          <w:lang w:val="es-ES_tradnl"/>
        </w:rPr>
      </w:pPr>
    </w:p>
    <w:p w14:paraId="73BB1861" w14:textId="0529E98F" w:rsidR="00E64EF6" w:rsidRPr="004B114F" w:rsidRDefault="001D415C" w:rsidP="07C31400">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720"/>
        <w:jc w:val="both"/>
        <w:rPr>
          <w:rFonts w:asciiTheme="majorHAnsi" w:hAnsiTheme="majorHAnsi"/>
          <w:sz w:val="20"/>
          <w:szCs w:val="20"/>
          <w:lang w:val="es-ES"/>
        </w:rPr>
      </w:pPr>
      <w:r w:rsidRPr="07C31400">
        <w:rPr>
          <w:rFonts w:asciiTheme="majorHAnsi" w:hAnsiTheme="majorHAnsi"/>
          <w:sz w:val="20"/>
          <w:szCs w:val="20"/>
          <w:lang w:val="es-ES"/>
        </w:rPr>
        <w:t>La CIDH estima que el análisis de estas condiciones de detención al amparo de l</w:t>
      </w:r>
      <w:r w:rsidR="00795BB3" w:rsidRPr="07C31400">
        <w:rPr>
          <w:rFonts w:asciiTheme="majorHAnsi" w:hAnsiTheme="majorHAnsi"/>
          <w:sz w:val="20"/>
          <w:szCs w:val="20"/>
          <w:lang w:val="es-ES"/>
        </w:rPr>
        <w:t xml:space="preserve">os estándares </w:t>
      </w:r>
      <w:r w:rsidR="00015359" w:rsidRPr="07C31400">
        <w:rPr>
          <w:rFonts w:asciiTheme="majorHAnsi" w:hAnsiTheme="majorHAnsi"/>
          <w:sz w:val="20"/>
          <w:szCs w:val="20"/>
          <w:lang w:val="es-ES"/>
        </w:rPr>
        <w:t>mencionados</w:t>
      </w:r>
      <w:r w:rsidR="00795BB3" w:rsidRPr="07C31400">
        <w:rPr>
          <w:rFonts w:asciiTheme="majorHAnsi" w:hAnsiTheme="majorHAnsi"/>
          <w:sz w:val="20"/>
          <w:szCs w:val="20"/>
          <w:lang w:val="es-ES"/>
        </w:rPr>
        <w:t xml:space="preserve">, debe efectuarse considerando las particularidades del presente caso, así como las características de la presunta víctima. </w:t>
      </w:r>
      <w:r w:rsidR="00015359" w:rsidRPr="07C31400">
        <w:rPr>
          <w:rFonts w:asciiTheme="majorHAnsi" w:hAnsiTheme="majorHAnsi"/>
          <w:sz w:val="20"/>
          <w:szCs w:val="20"/>
          <w:lang w:val="es-ES"/>
        </w:rPr>
        <w:t>Ciertamente,</w:t>
      </w:r>
      <w:r w:rsidR="00795BB3" w:rsidRPr="07C31400">
        <w:rPr>
          <w:rFonts w:asciiTheme="majorHAnsi" w:hAnsiTheme="majorHAnsi"/>
          <w:sz w:val="20"/>
          <w:szCs w:val="20"/>
          <w:lang w:val="es-ES"/>
        </w:rPr>
        <w:t xml:space="preserve"> la señora Maleno era una mujer </w:t>
      </w:r>
      <w:r w:rsidR="0002054C" w:rsidRPr="07C31400">
        <w:rPr>
          <w:rFonts w:asciiTheme="majorHAnsi" w:hAnsiTheme="majorHAnsi"/>
          <w:sz w:val="20"/>
          <w:szCs w:val="20"/>
          <w:lang w:val="es-ES"/>
        </w:rPr>
        <w:t xml:space="preserve">en situación de </w:t>
      </w:r>
      <w:r w:rsidR="00795BB3" w:rsidRPr="07C31400">
        <w:rPr>
          <w:rFonts w:asciiTheme="majorHAnsi" w:hAnsiTheme="majorHAnsi"/>
          <w:sz w:val="20"/>
          <w:szCs w:val="20"/>
          <w:lang w:val="es-ES"/>
        </w:rPr>
        <w:t>pobre</w:t>
      </w:r>
      <w:r w:rsidR="0002054C" w:rsidRPr="07C31400">
        <w:rPr>
          <w:rFonts w:asciiTheme="majorHAnsi" w:hAnsiTheme="majorHAnsi"/>
          <w:sz w:val="20"/>
          <w:szCs w:val="20"/>
          <w:lang w:val="es-ES"/>
        </w:rPr>
        <w:t>za</w:t>
      </w:r>
      <w:r w:rsidR="00795BB3" w:rsidRPr="07C31400">
        <w:rPr>
          <w:rFonts w:asciiTheme="majorHAnsi" w:hAnsiTheme="majorHAnsi"/>
          <w:sz w:val="20"/>
          <w:szCs w:val="20"/>
          <w:lang w:val="es-ES"/>
        </w:rPr>
        <w:t xml:space="preserve"> y analfabeta que venía siendo procesada por el presunto homicidio calificado de su hija recién nacida y se encontraba sujeta a una medida de prisión preventiva; es decir, no era una persona condenada. Además, en su condición de mujer estuvo detenida preventivamente junto con reclusos varones y otras personas con sentencia firme, a quienes la parte peticionaria se ha referido como internos de alta peligrosidad. A los pocos meses de su detención, la presunta víctima fue violada sexualmente por cinco presos, lo que dejó secuelas a nivel físico y emocional que precisaban de una atención médica que no se encontraba disponible en ninguno de los centros penitenciarios en los que estuvo detenida. La señora Maleno, asimismo, se enfrentó a amenazas de sus pares reclusas quienes le atribuían la responsabilidad de haber sido trasladadas del Internado Anzoátegui al Retén Policial. </w:t>
      </w:r>
      <w:r w:rsidR="002F5C7F" w:rsidRPr="07C31400">
        <w:rPr>
          <w:rFonts w:asciiTheme="majorHAnsi" w:hAnsiTheme="majorHAnsi"/>
          <w:sz w:val="20"/>
          <w:szCs w:val="20"/>
          <w:lang w:val="es-ES"/>
        </w:rPr>
        <w:t xml:space="preserve">Bajo estas circunstancias, la presunta víctima se encontraba en una posición de </w:t>
      </w:r>
      <w:r w:rsidR="004B114F" w:rsidRPr="07C31400">
        <w:rPr>
          <w:rFonts w:asciiTheme="majorHAnsi" w:hAnsiTheme="majorHAnsi"/>
          <w:sz w:val="20"/>
          <w:szCs w:val="20"/>
          <w:lang w:val="es-ES"/>
        </w:rPr>
        <w:t>vulnerabilidad agravada</w:t>
      </w:r>
      <w:r w:rsidR="002F5C7F" w:rsidRPr="07C31400">
        <w:rPr>
          <w:rFonts w:asciiTheme="majorHAnsi" w:hAnsiTheme="majorHAnsi"/>
          <w:sz w:val="20"/>
          <w:szCs w:val="20"/>
          <w:lang w:val="es-ES"/>
        </w:rPr>
        <w:t>.</w:t>
      </w:r>
    </w:p>
    <w:p w14:paraId="6BA32D5C" w14:textId="77777777" w:rsidR="007E72A7" w:rsidRPr="004B114F" w:rsidRDefault="007E72A7" w:rsidP="004B114F">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720"/>
        <w:jc w:val="both"/>
        <w:rPr>
          <w:rFonts w:asciiTheme="majorHAnsi" w:hAnsiTheme="majorHAnsi"/>
          <w:sz w:val="20"/>
          <w:szCs w:val="20"/>
          <w:lang w:val="es-ES_tradnl"/>
        </w:rPr>
      </w:pPr>
    </w:p>
    <w:p w14:paraId="6E100074" w14:textId="5A9B94B2" w:rsidR="007E72A7" w:rsidRPr="004B114F" w:rsidRDefault="007E72A7" w:rsidP="07C31400">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720"/>
        <w:jc w:val="both"/>
        <w:rPr>
          <w:rFonts w:asciiTheme="majorHAnsi" w:hAnsiTheme="majorHAnsi"/>
          <w:sz w:val="20"/>
          <w:szCs w:val="20"/>
          <w:lang w:val="es-ES"/>
        </w:rPr>
      </w:pPr>
      <w:r w:rsidRPr="07C31400">
        <w:rPr>
          <w:rFonts w:asciiTheme="majorHAnsi" w:hAnsiTheme="majorHAnsi"/>
          <w:sz w:val="20"/>
          <w:szCs w:val="20"/>
          <w:lang w:val="es-ES"/>
        </w:rPr>
        <w:t>El Estado de Venezuela no ha controvertido los alegatos formulados por la parte peticionaria respecto a la existencia de estas condiciones. Tampoco ha aportado información que permita generar dudas razonables respecto de la veracidad de tales argumentos o que demuestre la existencia de circunstancias excepcionales que haya</w:t>
      </w:r>
      <w:r w:rsidR="00360415" w:rsidRPr="07C31400">
        <w:rPr>
          <w:rFonts w:asciiTheme="majorHAnsi" w:hAnsiTheme="majorHAnsi"/>
          <w:sz w:val="20"/>
          <w:szCs w:val="20"/>
          <w:lang w:val="es-ES"/>
        </w:rPr>
        <w:t>n</w:t>
      </w:r>
      <w:r w:rsidRPr="07C31400">
        <w:rPr>
          <w:rFonts w:asciiTheme="majorHAnsi" w:hAnsiTheme="majorHAnsi"/>
          <w:sz w:val="20"/>
          <w:szCs w:val="20"/>
          <w:lang w:val="es-ES"/>
        </w:rPr>
        <w:t xml:space="preserve"> justificado el estado de cosas descrito. Por el contrario, del expediente se desprende que, a nivel interno, tanto representantes del Ministerio Público, como autoridades penitenciarias y la propia Corte de Apelaciones, reconocieron que la situación carcelaria en Venezuela era un problema de dimensiones nacionales, que reflejaba la ausencia de los elementos mínimos que permitieran asegurar a las personas privadas de su libertad una vida digna y en respeto de sus derechos humanos.</w:t>
      </w:r>
    </w:p>
    <w:p w14:paraId="76EE60D7" w14:textId="77777777" w:rsidR="00E64EF6" w:rsidRPr="004B114F" w:rsidRDefault="00E64EF6" w:rsidP="004B114F">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720"/>
        <w:jc w:val="both"/>
        <w:rPr>
          <w:rFonts w:asciiTheme="majorHAnsi" w:hAnsiTheme="majorHAnsi"/>
          <w:sz w:val="20"/>
          <w:szCs w:val="20"/>
          <w:lang w:val="es-ES_tradnl"/>
        </w:rPr>
      </w:pPr>
    </w:p>
    <w:p w14:paraId="32061E4E" w14:textId="43522275" w:rsidR="001D415C" w:rsidRPr="004B114F" w:rsidRDefault="007E72A7" w:rsidP="07C31400">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720"/>
        <w:jc w:val="both"/>
        <w:rPr>
          <w:rFonts w:asciiTheme="majorHAnsi" w:hAnsiTheme="majorHAnsi"/>
          <w:sz w:val="20"/>
          <w:szCs w:val="20"/>
          <w:lang w:val="es-ES"/>
        </w:rPr>
      </w:pPr>
      <w:r w:rsidRPr="07C31400">
        <w:rPr>
          <w:rFonts w:asciiTheme="majorHAnsi" w:hAnsiTheme="majorHAnsi"/>
          <w:sz w:val="20"/>
          <w:szCs w:val="20"/>
          <w:lang w:val="es-ES"/>
        </w:rPr>
        <w:t>L</w:t>
      </w:r>
      <w:r w:rsidR="00795BB3" w:rsidRPr="07C31400">
        <w:rPr>
          <w:rFonts w:asciiTheme="majorHAnsi" w:hAnsiTheme="majorHAnsi"/>
          <w:sz w:val="20"/>
          <w:szCs w:val="20"/>
          <w:lang w:val="es-ES"/>
        </w:rPr>
        <w:t xml:space="preserve">a CIDH considera que las condiciones de detención a las que la presunta víctima fue sometida </w:t>
      </w:r>
      <w:r w:rsidR="00E64EF6" w:rsidRPr="07C31400">
        <w:rPr>
          <w:rFonts w:asciiTheme="majorHAnsi" w:hAnsiTheme="majorHAnsi"/>
          <w:sz w:val="20"/>
          <w:szCs w:val="20"/>
          <w:lang w:val="es-ES"/>
        </w:rPr>
        <w:t xml:space="preserve">no le permitieron recibir un trato humano acorde a su dignidad, sino que agravaron de modo especial su sufrimiento por todo el periodo en que estuvo </w:t>
      </w:r>
      <w:r w:rsidR="008301AB" w:rsidRPr="07C31400">
        <w:rPr>
          <w:rFonts w:asciiTheme="majorHAnsi" w:hAnsiTheme="majorHAnsi"/>
          <w:sz w:val="20"/>
          <w:szCs w:val="20"/>
          <w:lang w:val="es-ES"/>
        </w:rPr>
        <w:t>privada de su libertad. La Comisión observa que la interacción entre las condiciones carcelarias deplorables ofrecidas por el Estado y la situación de especial vulnerabilidad en la que se encontraba la señora Maleno, dieron lugar a maltratos que alcanzaron el umbral de tratos crueles, inhumanos y degradantes que proscribe el artículo 5.2 de la Convención Americana</w:t>
      </w:r>
      <w:r w:rsidRPr="07C31400">
        <w:rPr>
          <w:rFonts w:asciiTheme="majorHAnsi" w:hAnsiTheme="majorHAnsi"/>
          <w:sz w:val="20"/>
          <w:szCs w:val="20"/>
          <w:lang w:val="es-ES"/>
        </w:rPr>
        <w:t>.</w:t>
      </w:r>
      <w:r w:rsidR="00C75626" w:rsidRPr="07C31400">
        <w:rPr>
          <w:rFonts w:asciiTheme="majorHAnsi" w:hAnsiTheme="majorHAnsi"/>
          <w:sz w:val="20"/>
          <w:szCs w:val="20"/>
          <w:lang w:val="es-ES"/>
        </w:rPr>
        <w:t xml:space="preserve"> Sobre el particular, la CIDH debe recordar </w:t>
      </w:r>
      <w:r w:rsidR="00AB2406" w:rsidRPr="07C31400">
        <w:rPr>
          <w:rFonts w:asciiTheme="majorHAnsi" w:hAnsiTheme="majorHAnsi"/>
          <w:sz w:val="20"/>
          <w:szCs w:val="20"/>
          <w:lang w:val="es-ES"/>
        </w:rPr>
        <w:t>la jurisprudencia interamericana reiterada por la cual, toda afectación del artículo 5.2 de la CADH involucra también una afectación del artículo 5.1, pues este último reconoce de modo general el derecho a la integridad personal, mientras que el primero prevé prohibiciones específicas para garantizar su protección</w:t>
      </w:r>
      <w:r w:rsidR="00AB2406" w:rsidRPr="07C31400">
        <w:rPr>
          <w:rStyle w:val="FootnoteReference"/>
          <w:rFonts w:asciiTheme="majorHAnsi" w:hAnsiTheme="majorHAnsi"/>
          <w:sz w:val="20"/>
          <w:szCs w:val="20"/>
          <w:lang w:val="es-ES"/>
        </w:rPr>
        <w:footnoteReference w:id="176"/>
      </w:r>
      <w:r w:rsidR="00AB2406" w:rsidRPr="07C31400">
        <w:rPr>
          <w:rFonts w:asciiTheme="majorHAnsi" w:hAnsiTheme="majorHAnsi"/>
          <w:sz w:val="20"/>
          <w:szCs w:val="20"/>
          <w:lang w:val="es-ES"/>
        </w:rPr>
        <w:t>.</w:t>
      </w:r>
    </w:p>
    <w:p w14:paraId="2FC5561A" w14:textId="77777777" w:rsidR="007E72A7" w:rsidRPr="004B114F" w:rsidRDefault="007E72A7" w:rsidP="004B114F">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720"/>
        <w:jc w:val="both"/>
        <w:rPr>
          <w:rFonts w:asciiTheme="majorHAnsi" w:hAnsiTheme="majorHAnsi"/>
          <w:sz w:val="20"/>
          <w:szCs w:val="20"/>
          <w:lang w:val="es-ES_tradnl"/>
        </w:rPr>
      </w:pPr>
    </w:p>
    <w:p w14:paraId="4084ED06" w14:textId="1C4240F5" w:rsidR="007E72A7" w:rsidRPr="004B114F" w:rsidRDefault="007E72A7" w:rsidP="07C31400">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720"/>
        <w:jc w:val="both"/>
        <w:rPr>
          <w:rFonts w:asciiTheme="majorHAnsi" w:hAnsiTheme="majorHAnsi"/>
          <w:sz w:val="20"/>
          <w:szCs w:val="20"/>
          <w:lang w:val="es-ES"/>
        </w:rPr>
      </w:pPr>
      <w:r w:rsidRPr="07C31400">
        <w:rPr>
          <w:rFonts w:asciiTheme="majorHAnsi" w:hAnsiTheme="majorHAnsi"/>
          <w:sz w:val="20"/>
          <w:szCs w:val="20"/>
          <w:lang w:val="es-ES"/>
        </w:rPr>
        <w:t xml:space="preserve">De otro lado, </w:t>
      </w:r>
      <w:r w:rsidR="007C2C66" w:rsidRPr="07C31400">
        <w:rPr>
          <w:rFonts w:asciiTheme="majorHAnsi" w:hAnsiTheme="majorHAnsi"/>
          <w:sz w:val="20"/>
          <w:szCs w:val="20"/>
          <w:lang w:val="es-ES"/>
        </w:rPr>
        <w:t>la CIDH toma</w:t>
      </w:r>
      <w:r w:rsidR="00DC62D7" w:rsidRPr="07C31400">
        <w:rPr>
          <w:rFonts w:asciiTheme="majorHAnsi" w:hAnsiTheme="majorHAnsi"/>
          <w:sz w:val="20"/>
          <w:szCs w:val="20"/>
          <w:lang w:val="es-ES"/>
        </w:rPr>
        <w:t xml:space="preserve"> nota de que desde el primer momento en que el Estado tuvo conocimiento de estos hechos</w:t>
      </w:r>
      <w:r w:rsidR="00015359" w:rsidRPr="07C31400">
        <w:rPr>
          <w:rFonts w:asciiTheme="majorHAnsi" w:hAnsiTheme="majorHAnsi"/>
          <w:sz w:val="20"/>
          <w:szCs w:val="20"/>
          <w:lang w:val="es-ES"/>
        </w:rPr>
        <w:t xml:space="preserve"> -</w:t>
      </w:r>
      <w:r w:rsidR="00DC62D7" w:rsidRPr="07C31400">
        <w:rPr>
          <w:rFonts w:asciiTheme="majorHAnsi" w:hAnsiTheme="majorHAnsi"/>
          <w:sz w:val="20"/>
          <w:szCs w:val="20"/>
          <w:lang w:val="es-ES"/>
        </w:rPr>
        <w:t>esto es, durante la audiencia preliminar celebrada el 12 de marzo de 2002</w:t>
      </w:r>
      <w:r w:rsidR="00015359" w:rsidRPr="07C31400">
        <w:rPr>
          <w:rFonts w:asciiTheme="majorHAnsi" w:hAnsiTheme="majorHAnsi"/>
          <w:sz w:val="20"/>
          <w:szCs w:val="20"/>
          <w:lang w:val="es-ES"/>
        </w:rPr>
        <w:t>-</w:t>
      </w:r>
      <w:r w:rsidR="00DC62D7" w:rsidRPr="07C31400">
        <w:rPr>
          <w:rFonts w:asciiTheme="majorHAnsi" w:hAnsiTheme="majorHAnsi"/>
          <w:sz w:val="20"/>
          <w:szCs w:val="20"/>
          <w:lang w:val="es-ES"/>
        </w:rPr>
        <w:t xml:space="preserve"> no adoptó medidas ni condujo ninguna investigación destinada a proteger los derechos humanos de la presunta víctima.</w:t>
      </w:r>
      <w:r w:rsidR="00C75626" w:rsidRPr="07C31400">
        <w:rPr>
          <w:rFonts w:asciiTheme="majorHAnsi" w:hAnsiTheme="majorHAnsi"/>
          <w:sz w:val="20"/>
          <w:szCs w:val="20"/>
          <w:lang w:val="es-ES"/>
        </w:rPr>
        <w:t xml:space="preserve"> La Comisión encuentra que la señora Maleno, a través de su representación legal, </w:t>
      </w:r>
      <w:r w:rsidR="00015359" w:rsidRPr="07C31400">
        <w:rPr>
          <w:rFonts w:asciiTheme="majorHAnsi" w:hAnsiTheme="majorHAnsi"/>
          <w:sz w:val="20"/>
          <w:szCs w:val="20"/>
          <w:lang w:val="es-ES"/>
        </w:rPr>
        <w:t>interpuso</w:t>
      </w:r>
      <w:r w:rsidR="00C75626" w:rsidRPr="07C31400">
        <w:rPr>
          <w:rFonts w:asciiTheme="majorHAnsi" w:hAnsiTheme="majorHAnsi"/>
          <w:sz w:val="20"/>
          <w:szCs w:val="20"/>
          <w:lang w:val="es-ES"/>
        </w:rPr>
        <w:t xml:space="preserve"> un recurso de amparo ante la jurisdicción interna del Estado para denunciar esta situación y solicitar que se tomen las medidas correctivas correspondientes</w:t>
      </w:r>
      <w:r w:rsidR="00015359" w:rsidRPr="07C31400">
        <w:rPr>
          <w:rFonts w:asciiTheme="majorHAnsi" w:hAnsiTheme="majorHAnsi"/>
          <w:sz w:val="20"/>
          <w:szCs w:val="20"/>
          <w:lang w:val="es-ES"/>
        </w:rPr>
        <w:t>.</w:t>
      </w:r>
      <w:r w:rsidR="00C75626" w:rsidRPr="07C31400">
        <w:rPr>
          <w:rFonts w:asciiTheme="majorHAnsi" w:hAnsiTheme="majorHAnsi"/>
          <w:sz w:val="20"/>
          <w:szCs w:val="20"/>
          <w:lang w:val="es-ES"/>
        </w:rPr>
        <w:t xml:space="preserve"> </w:t>
      </w:r>
      <w:r w:rsidR="00015359" w:rsidRPr="07C31400">
        <w:rPr>
          <w:rFonts w:asciiTheme="majorHAnsi" w:hAnsiTheme="majorHAnsi"/>
          <w:sz w:val="20"/>
          <w:szCs w:val="20"/>
          <w:lang w:val="es-ES"/>
        </w:rPr>
        <w:t>S</w:t>
      </w:r>
      <w:r w:rsidR="00C75626" w:rsidRPr="07C31400">
        <w:rPr>
          <w:rFonts w:asciiTheme="majorHAnsi" w:hAnsiTheme="majorHAnsi"/>
          <w:sz w:val="20"/>
          <w:szCs w:val="20"/>
          <w:lang w:val="es-ES"/>
        </w:rPr>
        <w:t>in embargo,</w:t>
      </w:r>
      <w:r w:rsidR="002F5C7F" w:rsidRPr="07C31400">
        <w:rPr>
          <w:rFonts w:asciiTheme="majorHAnsi" w:hAnsiTheme="majorHAnsi"/>
          <w:sz w:val="20"/>
          <w:szCs w:val="20"/>
          <w:lang w:val="es-ES"/>
        </w:rPr>
        <w:t xml:space="preserve"> tras la decisión de declararse incompetente por parte del Tribunal de Juicio No. 4 de Barcelona, la Corte de Apelaciones declaró sin lugar el recurso en octubre de 2002. </w:t>
      </w:r>
      <w:r w:rsidR="002F5C7F" w:rsidRPr="07C31400">
        <w:rPr>
          <w:rFonts w:asciiTheme="majorHAnsi" w:hAnsiTheme="majorHAnsi"/>
          <w:sz w:val="20"/>
          <w:szCs w:val="20"/>
          <w:lang w:val="es-ES"/>
        </w:rPr>
        <w:lastRenderedPageBreak/>
        <w:t>En el extremo referido a las condiciones carcelarias consideró, sin mayor argumentación, que ello era “de competencia del poder público a través del Poder Ejecutivo Nacional, por órgano del Ministerio del Interior y Justicia”, por lo que estaba fuera su competencia.</w:t>
      </w:r>
      <w:r w:rsidR="00C75626" w:rsidRPr="07C31400">
        <w:rPr>
          <w:rFonts w:asciiTheme="majorHAnsi" w:hAnsiTheme="majorHAnsi"/>
          <w:sz w:val="20"/>
          <w:szCs w:val="20"/>
          <w:lang w:val="es-ES"/>
        </w:rPr>
        <w:t xml:space="preserve"> </w:t>
      </w:r>
      <w:r w:rsidR="002F5C7F" w:rsidRPr="07C31400">
        <w:rPr>
          <w:rFonts w:asciiTheme="majorHAnsi" w:hAnsiTheme="majorHAnsi"/>
          <w:sz w:val="20"/>
          <w:szCs w:val="20"/>
          <w:lang w:val="es-ES"/>
        </w:rPr>
        <w:t xml:space="preserve">La apelación presentada contra esta decisión </w:t>
      </w:r>
      <w:r w:rsidR="00C75626" w:rsidRPr="07C31400">
        <w:rPr>
          <w:rFonts w:asciiTheme="majorHAnsi" w:hAnsiTheme="majorHAnsi"/>
          <w:sz w:val="20"/>
          <w:szCs w:val="20"/>
          <w:lang w:val="es-ES"/>
        </w:rPr>
        <w:t xml:space="preserve">fue </w:t>
      </w:r>
      <w:r w:rsidR="002F5C7F" w:rsidRPr="07C31400">
        <w:rPr>
          <w:rFonts w:asciiTheme="majorHAnsi" w:hAnsiTheme="majorHAnsi"/>
          <w:sz w:val="20"/>
          <w:szCs w:val="20"/>
          <w:lang w:val="es-ES"/>
        </w:rPr>
        <w:t xml:space="preserve">también rechazada y declarada inadmisible </w:t>
      </w:r>
      <w:r w:rsidR="00C75626" w:rsidRPr="07C31400">
        <w:rPr>
          <w:rFonts w:asciiTheme="majorHAnsi" w:hAnsiTheme="majorHAnsi"/>
          <w:sz w:val="20"/>
          <w:szCs w:val="20"/>
          <w:lang w:val="es-ES"/>
        </w:rPr>
        <w:t>por la Sala Constitucional del Tribunal Supremo de Justicia, bajo el argumento de que las pretensiones formuladas habían sido acumuladas de forma incorrecta</w:t>
      </w:r>
      <w:r w:rsidR="002F5C7F" w:rsidRPr="07C31400">
        <w:rPr>
          <w:rFonts w:asciiTheme="majorHAnsi" w:hAnsiTheme="majorHAnsi"/>
          <w:sz w:val="20"/>
          <w:szCs w:val="20"/>
          <w:lang w:val="es-ES"/>
        </w:rPr>
        <w:t xml:space="preserve">, centrándose así en un aspecto que no había sido </w:t>
      </w:r>
      <w:r w:rsidR="009C4FF3" w:rsidRPr="07C31400">
        <w:rPr>
          <w:rFonts w:asciiTheme="majorHAnsi" w:hAnsiTheme="majorHAnsi"/>
          <w:sz w:val="20"/>
          <w:szCs w:val="20"/>
          <w:lang w:val="es-ES"/>
        </w:rPr>
        <w:t xml:space="preserve">siquiera </w:t>
      </w:r>
      <w:r w:rsidR="002F5C7F" w:rsidRPr="07C31400">
        <w:rPr>
          <w:rFonts w:asciiTheme="majorHAnsi" w:hAnsiTheme="majorHAnsi"/>
          <w:sz w:val="20"/>
          <w:szCs w:val="20"/>
          <w:lang w:val="es-ES"/>
        </w:rPr>
        <w:t>materia de cuestionamiento</w:t>
      </w:r>
      <w:r w:rsidR="00C75626" w:rsidRPr="07C31400">
        <w:rPr>
          <w:rFonts w:asciiTheme="majorHAnsi" w:hAnsiTheme="majorHAnsi"/>
          <w:sz w:val="20"/>
          <w:szCs w:val="20"/>
          <w:lang w:val="es-ES"/>
        </w:rPr>
        <w:t xml:space="preserve">. </w:t>
      </w:r>
      <w:r w:rsidR="002F5C7F" w:rsidRPr="07C31400">
        <w:rPr>
          <w:rFonts w:asciiTheme="majorHAnsi" w:hAnsiTheme="majorHAnsi"/>
          <w:sz w:val="20"/>
          <w:szCs w:val="20"/>
          <w:lang w:val="es-ES"/>
        </w:rPr>
        <w:t xml:space="preserve">En virtud a ello, la CIDH considera que el recurso no resultó adecuado ni efectivo para atender la situación vulneradora de derechos que fue denunciada en más de una oportunidad por la presunta víctima. </w:t>
      </w:r>
    </w:p>
    <w:p w14:paraId="4685E741" w14:textId="77777777" w:rsidR="00C75626" w:rsidRPr="004B114F" w:rsidRDefault="00C75626" w:rsidP="004B114F">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720"/>
        <w:jc w:val="both"/>
        <w:rPr>
          <w:rFonts w:asciiTheme="majorHAnsi" w:hAnsiTheme="majorHAnsi"/>
          <w:sz w:val="20"/>
          <w:szCs w:val="20"/>
          <w:lang w:val="es-ES_tradnl"/>
        </w:rPr>
      </w:pPr>
    </w:p>
    <w:p w14:paraId="1A058DEB" w14:textId="731B9543" w:rsidR="00517A4C" w:rsidRPr="004B114F" w:rsidRDefault="00C75626" w:rsidP="07C31400">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720"/>
        <w:jc w:val="both"/>
        <w:rPr>
          <w:rFonts w:asciiTheme="majorHAnsi" w:hAnsiTheme="majorHAnsi"/>
          <w:sz w:val="20"/>
          <w:szCs w:val="20"/>
          <w:lang w:val="es-ES"/>
        </w:rPr>
      </w:pPr>
      <w:r w:rsidRPr="07C31400">
        <w:rPr>
          <w:rFonts w:asciiTheme="majorHAnsi" w:hAnsiTheme="majorHAnsi"/>
          <w:sz w:val="20"/>
          <w:szCs w:val="20"/>
          <w:lang w:val="es-ES"/>
        </w:rPr>
        <w:t>Por los motivos expuestos, la Comisión Interamericana conclu</w:t>
      </w:r>
      <w:r w:rsidR="00015359" w:rsidRPr="07C31400">
        <w:rPr>
          <w:rFonts w:asciiTheme="majorHAnsi" w:hAnsiTheme="majorHAnsi"/>
          <w:sz w:val="20"/>
          <w:szCs w:val="20"/>
          <w:lang w:val="es-ES"/>
        </w:rPr>
        <w:t>ye</w:t>
      </w:r>
      <w:r w:rsidRPr="07C31400">
        <w:rPr>
          <w:rFonts w:asciiTheme="majorHAnsi" w:hAnsiTheme="majorHAnsi"/>
          <w:sz w:val="20"/>
          <w:szCs w:val="20"/>
          <w:lang w:val="es-ES"/>
        </w:rPr>
        <w:t xml:space="preserve"> que el Estado de Venezuela es responsable por la violación de los artículos, 5.1, 5.</w:t>
      </w:r>
      <w:r w:rsidR="007431E2" w:rsidRPr="07C31400">
        <w:rPr>
          <w:rFonts w:asciiTheme="majorHAnsi" w:hAnsiTheme="majorHAnsi"/>
          <w:sz w:val="20"/>
          <w:szCs w:val="20"/>
          <w:lang w:val="es-ES"/>
        </w:rPr>
        <w:t>2</w:t>
      </w:r>
      <w:r w:rsidRPr="07C31400">
        <w:rPr>
          <w:rFonts w:asciiTheme="majorHAnsi" w:hAnsiTheme="majorHAnsi"/>
          <w:sz w:val="20"/>
          <w:szCs w:val="20"/>
          <w:lang w:val="es-ES"/>
        </w:rPr>
        <w:t>,</w:t>
      </w:r>
      <w:r w:rsidR="007431E2" w:rsidRPr="07C31400">
        <w:rPr>
          <w:rFonts w:asciiTheme="majorHAnsi" w:hAnsiTheme="majorHAnsi"/>
          <w:sz w:val="20"/>
          <w:szCs w:val="20"/>
          <w:lang w:val="es-ES"/>
        </w:rPr>
        <w:t xml:space="preserve"> 5.4,</w:t>
      </w:r>
      <w:r w:rsidRPr="07C31400">
        <w:rPr>
          <w:rFonts w:asciiTheme="majorHAnsi" w:hAnsiTheme="majorHAnsi"/>
          <w:sz w:val="20"/>
          <w:szCs w:val="20"/>
          <w:lang w:val="es-ES"/>
        </w:rPr>
        <w:t xml:space="preserve"> 8.1 y 25.1 de la Convención Americana en relación con el artículo 1.1 del mismo tratado, todos ellos en perjuicio de</w:t>
      </w:r>
      <w:r w:rsidR="007431E2" w:rsidRPr="07C31400">
        <w:rPr>
          <w:rFonts w:asciiTheme="majorHAnsi" w:hAnsiTheme="majorHAnsi"/>
          <w:sz w:val="20"/>
          <w:szCs w:val="20"/>
          <w:lang w:val="es-ES"/>
        </w:rPr>
        <w:t xml:space="preserve"> </w:t>
      </w:r>
      <w:r w:rsidRPr="07C31400">
        <w:rPr>
          <w:rFonts w:asciiTheme="majorHAnsi" w:hAnsiTheme="majorHAnsi"/>
          <w:sz w:val="20"/>
          <w:szCs w:val="20"/>
          <w:lang w:val="es-ES"/>
        </w:rPr>
        <w:t>l</w:t>
      </w:r>
      <w:r w:rsidR="007431E2" w:rsidRPr="07C31400">
        <w:rPr>
          <w:rFonts w:asciiTheme="majorHAnsi" w:hAnsiTheme="majorHAnsi"/>
          <w:sz w:val="20"/>
          <w:szCs w:val="20"/>
          <w:lang w:val="es-ES"/>
        </w:rPr>
        <w:t>a</w:t>
      </w:r>
      <w:r w:rsidRPr="07C31400">
        <w:rPr>
          <w:rFonts w:asciiTheme="majorHAnsi" w:hAnsiTheme="majorHAnsi"/>
          <w:sz w:val="20"/>
          <w:szCs w:val="20"/>
          <w:lang w:val="es-ES"/>
        </w:rPr>
        <w:t xml:space="preserve"> señor</w:t>
      </w:r>
      <w:r w:rsidR="007431E2" w:rsidRPr="07C31400">
        <w:rPr>
          <w:rFonts w:asciiTheme="majorHAnsi" w:hAnsiTheme="majorHAnsi"/>
          <w:sz w:val="20"/>
          <w:szCs w:val="20"/>
          <w:lang w:val="es-ES"/>
        </w:rPr>
        <w:t>a</w:t>
      </w:r>
      <w:r w:rsidRPr="07C31400">
        <w:rPr>
          <w:rFonts w:asciiTheme="majorHAnsi" w:hAnsiTheme="majorHAnsi"/>
          <w:sz w:val="20"/>
          <w:szCs w:val="20"/>
          <w:lang w:val="es-ES"/>
        </w:rPr>
        <w:t xml:space="preserve"> </w:t>
      </w:r>
      <w:r w:rsidR="007431E2" w:rsidRPr="07C31400">
        <w:rPr>
          <w:rFonts w:asciiTheme="majorHAnsi" w:hAnsiTheme="majorHAnsi"/>
          <w:sz w:val="20"/>
          <w:szCs w:val="20"/>
          <w:lang w:val="es-ES"/>
        </w:rPr>
        <w:t>Dianora Maleno.</w:t>
      </w:r>
    </w:p>
    <w:p w14:paraId="62223A06" w14:textId="77777777" w:rsidR="00AF30A3" w:rsidRPr="004B114F" w:rsidRDefault="00AF30A3" w:rsidP="004B114F">
      <w:pPr>
        <w:pStyle w:val="ListParagraph"/>
        <w:rPr>
          <w:rFonts w:asciiTheme="majorHAnsi" w:hAnsiTheme="majorHAnsi"/>
          <w:sz w:val="20"/>
          <w:szCs w:val="20"/>
          <w:lang w:val="es-ES_tradnl"/>
        </w:rPr>
      </w:pPr>
    </w:p>
    <w:p w14:paraId="5618E739" w14:textId="77777777" w:rsidR="007E72A7" w:rsidRPr="004B114F" w:rsidRDefault="007E72A7" w:rsidP="004B114F">
      <w:pPr>
        <w:pStyle w:val="Heading4"/>
        <w:numPr>
          <w:ilvl w:val="1"/>
          <w:numId w:val="63"/>
        </w:numPr>
        <w:spacing w:before="0"/>
        <w:ind w:left="709"/>
        <w:rPr>
          <w:b/>
          <w:i w:val="0"/>
          <w:color w:val="000000" w:themeColor="text1"/>
          <w:sz w:val="20"/>
          <w:szCs w:val="20"/>
          <w:lang w:val="es-ES_tradnl"/>
        </w:rPr>
      </w:pPr>
      <w:r w:rsidRPr="004B114F">
        <w:rPr>
          <w:b/>
          <w:i w:val="0"/>
          <w:color w:val="000000" w:themeColor="text1"/>
          <w:sz w:val="20"/>
          <w:szCs w:val="20"/>
          <w:lang w:val="es-ES_tradnl"/>
        </w:rPr>
        <w:t xml:space="preserve">Sobre </w:t>
      </w:r>
      <w:r w:rsidR="00E50384" w:rsidRPr="004B114F">
        <w:rPr>
          <w:b/>
          <w:i w:val="0"/>
          <w:color w:val="000000" w:themeColor="text1"/>
          <w:sz w:val="20"/>
          <w:szCs w:val="20"/>
          <w:lang w:val="es-ES_tradnl"/>
        </w:rPr>
        <w:t>violación sexual sufrida por</w:t>
      </w:r>
      <w:r w:rsidRPr="004B114F">
        <w:rPr>
          <w:b/>
          <w:i w:val="0"/>
          <w:color w:val="000000" w:themeColor="text1"/>
          <w:sz w:val="20"/>
          <w:szCs w:val="20"/>
          <w:lang w:val="es-ES_tradnl"/>
        </w:rPr>
        <w:t xml:space="preserve"> la presunta víctima</w:t>
      </w:r>
    </w:p>
    <w:p w14:paraId="146B56E4" w14:textId="35BCB0CA" w:rsidR="007E72A7" w:rsidRPr="00DE778C" w:rsidRDefault="007E72A7" w:rsidP="004B114F">
      <w:pPr>
        <w:pStyle w:val="ListParagraph"/>
        <w:rPr>
          <w:rFonts w:asciiTheme="majorHAnsi" w:hAnsiTheme="majorHAnsi"/>
          <w:sz w:val="20"/>
          <w:szCs w:val="20"/>
          <w:lang w:val="es-ES"/>
        </w:rPr>
      </w:pPr>
    </w:p>
    <w:p w14:paraId="26D99FFA" w14:textId="376F10A5" w:rsidR="00781B67" w:rsidRPr="00DE778C" w:rsidRDefault="00F34039" w:rsidP="00DE778C">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720"/>
        <w:jc w:val="both"/>
        <w:rPr>
          <w:rFonts w:asciiTheme="majorHAnsi" w:hAnsiTheme="majorHAnsi"/>
          <w:color w:val="000000" w:themeColor="text1"/>
          <w:sz w:val="20"/>
          <w:szCs w:val="20"/>
          <w:lang w:val="es-419"/>
        </w:rPr>
      </w:pPr>
      <w:r w:rsidRPr="004B114F">
        <w:rPr>
          <w:rFonts w:asciiTheme="majorHAnsi" w:hAnsiTheme="majorHAnsi"/>
          <w:sz w:val="20"/>
          <w:szCs w:val="20"/>
          <w:lang w:val="es-ES_tradnl"/>
        </w:rPr>
        <w:t xml:space="preserve">Tal como </w:t>
      </w:r>
      <w:r w:rsidR="00015359" w:rsidRPr="004B114F">
        <w:rPr>
          <w:rFonts w:asciiTheme="majorHAnsi" w:hAnsiTheme="majorHAnsi"/>
          <w:sz w:val="20"/>
          <w:szCs w:val="20"/>
          <w:lang w:val="es-ES_tradnl"/>
        </w:rPr>
        <w:t>consta en la</w:t>
      </w:r>
      <w:r w:rsidRPr="004B114F">
        <w:rPr>
          <w:rFonts w:asciiTheme="majorHAnsi" w:hAnsiTheme="majorHAnsi"/>
          <w:sz w:val="20"/>
          <w:szCs w:val="20"/>
          <w:lang w:val="es-ES_tradnl"/>
        </w:rPr>
        <w:t xml:space="preserve"> determinación de hechos, el 6 de enero de 200</w:t>
      </w:r>
      <w:r w:rsidR="00507BB1" w:rsidRPr="004B114F">
        <w:rPr>
          <w:rFonts w:asciiTheme="majorHAnsi" w:hAnsiTheme="majorHAnsi"/>
          <w:sz w:val="20"/>
          <w:szCs w:val="20"/>
          <w:lang w:val="es-ES_tradnl"/>
        </w:rPr>
        <w:t>2</w:t>
      </w:r>
      <w:r w:rsidRPr="004B114F">
        <w:rPr>
          <w:rFonts w:asciiTheme="majorHAnsi" w:hAnsiTheme="majorHAnsi"/>
          <w:sz w:val="20"/>
          <w:szCs w:val="20"/>
          <w:lang w:val="es-ES_tradnl"/>
        </w:rPr>
        <w:t xml:space="preserve"> la señora Maleno fue violada</w:t>
      </w:r>
      <w:r w:rsidR="002923EB" w:rsidRPr="004B114F">
        <w:rPr>
          <w:rFonts w:asciiTheme="majorHAnsi" w:hAnsiTheme="majorHAnsi"/>
          <w:sz w:val="20"/>
          <w:szCs w:val="20"/>
          <w:lang w:val="es-ES_tradnl"/>
        </w:rPr>
        <w:t xml:space="preserve"> </w:t>
      </w:r>
      <w:r w:rsidR="00507BB1" w:rsidRPr="004B114F">
        <w:rPr>
          <w:rFonts w:asciiTheme="majorHAnsi" w:hAnsiTheme="majorHAnsi"/>
          <w:sz w:val="20"/>
          <w:szCs w:val="20"/>
          <w:lang w:val="es-ES_tradnl"/>
        </w:rPr>
        <w:t xml:space="preserve">sexualmente </w:t>
      </w:r>
      <w:r w:rsidR="002923EB" w:rsidRPr="004B114F">
        <w:rPr>
          <w:rFonts w:asciiTheme="majorHAnsi" w:hAnsiTheme="majorHAnsi"/>
          <w:sz w:val="20"/>
          <w:szCs w:val="20"/>
          <w:lang w:val="es-ES_tradnl"/>
        </w:rPr>
        <w:t xml:space="preserve">por cinco reclusos que </w:t>
      </w:r>
      <w:r w:rsidR="00507BB1" w:rsidRPr="004B114F">
        <w:rPr>
          <w:rFonts w:asciiTheme="majorHAnsi" w:hAnsiTheme="majorHAnsi"/>
          <w:sz w:val="20"/>
          <w:szCs w:val="20"/>
          <w:lang w:val="es-ES_tradnl"/>
        </w:rPr>
        <w:t>ingresaron</w:t>
      </w:r>
      <w:r w:rsidR="002923EB" w:rsidRPr="004B114F">
        <w:rPr>
          <w:rFonts w:asciiTheme="majorHAnsi" w:hAnsiTheme="majorHAnsi"/>
          <w:sz w:val="20"/>
          <w:szCs w:val="20"/>
          <w:lang w:val="es-ES_tradnl"/>
        </w:rPr>
        <w:t xml:space="preserve"> </w:t>
      </w:r>
      <w:r w:rsidR="00507BB1" w:rsidRPr="004B114F">
        <w:rPr>
          <w:rFonts w:asciiTheme="majorHAnsi" w:hAnsiTheme="majorHAnsi"/>
          <w:sz w:val="20"/>
          <w:szCs w:val="20"/>
          <w:lang w:val="es-ES_tradnl"/>
        </w:rPr>
        <w:t>a</w:t>
      </w:r>
      <w:r w:rsidR="002923EB" w:rsidRPr="004B114F">
        <w:rPr>
          <w:rFonts w:asciiTheme="majorHAnsi" w:hAnsiTheme="majorHAnsi"/>
          <w:sz w:val="20"/>
          <w:szCs w:val="20"/>
          <w:lang w:val="es-ES_tradnl"/>
        </w:rPr>
        <w:t>l anexo femenino del Internado Anzoátegui</w:t>
      </w:r>
      <w:r w:rsidR="00507BB1" w:rsidRPr="004B114F">
        <w:rPr>
          <w:rFonts w:asciiTheme="majorHAnsi" w:hAnsiTheme="majorHAnsi"/>
          <w:sz w:val="20"/>
          <w:szCs w:val="20"/>
          <w:lang w:val="es-ES_tradnl"/>
        </w:rPr>
        <w:t xml:space="preserve">, </w:t>
      </w:r>
      <w:r w:rsidR="002923EB" w:rsidRPr="004B114F">
        <w:rPr>
          <w:rFonts w:asciiTheme="majorHAnsi" w:hAnsiTheme="majorHAnsi"/>
          <w:sz w:val="20"/>
          <w:szCs w:val="20"/>
          <w:lang w:val="es-ES_tradnl"/>
        </w:rPr>
        <w:t xml:space="preserve">sin que ninguna autoridad o miembro de seguridad del penal </w:t>
      </w:r>
      <w:r w:rsidR="00015359" w:rsidRPr="004B114F">
        <w:rPr>
          <w:rFonts w:asciiTheme="majorHAnsi" w:hAnsiTheme="majorHAnsi"/>
          <w:sz w:val="20"/>
          <w:szCs w:val="20"/>
          <w:lang w:val="es-ES_tradnl"/>
        </w:rPr>
        <w:t xml:space="preserve">previniera tal hecho o </w:t>
      </w:r>
      <w:r w:rsidR="002923EB" w:rsidRPr="004B114F">
        <w:rPr>
          <w:rFonts w:asciiTheme="majorHAnsi" w:hAnsiTheme="majorHAnsi"/>
          <w:sz w:val="20"/>
          <w:szCs w:val="20"/>
          <w:lang w:val="es-ES_tradnl"/>
        </w:rPr>
        <w:t>acud</w:t>
      </w:r>
      <w:r w:rsidR="00507BB1" w:rsidRPr="004B114F">
        <w:rPr>
          <w:rFonts w:asciiTheme="majorHAnsi" w:hAnsiTheme="majorHAnsi"/>
          <w:sz w:val="20"/>
          <w:szCs w:val="20"/>
          <w:lang w:val="es-ES_tradnl"/>
        </w:rPr>
        <w:t>iera</w:t>
      </w:r>
      <w:r w:rsidR="002923EB" w:rsidRPr="004B114F">
        <w:rPr>
          <w:rFonts w:asciiTheme="majorHAnsi" w:hAnsiTheme="majorHAnsi"/>
          <w:sz w:val="20"/>
          <w:szCs w:val="20"/>
          <w:lang w:val="es-ES_tradnl"/>
        </w:rPr>
        <w:t xml:space="preserve"> en </w:t>
      </w:r>
      <w:r w:rsidR="00507BB1" w:rsidRPr="004B114F">
        <w:rPr>
          <w:rFonts w:asciiTheme="majorHAnsi" w:hAnsiTheme="majorHAnsi"/>
          <w:sz w:val="20"/>
          <w:szCs w:val="20"/>
          <w:lang w:val="es-ES_tradnl"/>
        </w:rPr>
        <w:t xml:space="preserve">su </w:t>
      </w:r>
      <w:r w:rsidR="002923EB" w:rsidRPr="004B114F">
        <w:rPr>
          <w:rFonts w:asciiTheme="majorHAnsi" w:hAnsiTheme="majorHAnsi"/>
          <w:sz w:val="20"/>
          <w:szCs w:val="20"/>
          <w:lang w:val="es-ES_tradnl"/>
        </w:rPr>
        <w:t xml:space="preserve">auxilio. En virtud de los estándares jurídicos </w:t>
      </w:r>
      <w:r w:rsidR="00015359" w:rsidRPr="004B114F">
        <w:rPr>
          <w:rFonts w:asciiTheme="majorHAnsi" w:hAnsiTheme="majorHAnsi"/>
          <w:sz w:val="20"/>
          <w:szCs w:val="20"/>
          <w:lang w:val="es-ES_tradnl"/>
        </w:rPr>
        <w:t>referidos previamente</w:t>
      </w:r>
      <w:r w:rsidR="002923EB" w:rsidRPr="004B114F">
        <w:rPr>
          <w:rFonts w:asciiTheme="majorHAnsi" w:hAnsiTheme="majorHAnsi"/>
          <w:sz w:val="20"/>
          <w:szCs w:val="20"/>
          <w:lang w:val="es-ES_tradnl"/>
        </w:rPr>
        <w:t xml:space="preserve">, la CIDH considera que </w:t>
      </w:r>
      <w:r w:rsidR="00507BB1" w:rsidRPr="004B114F">
        <w:rPr>
          <w:rFonts w:asciiTheme="majorHAnsi" w:hAnsiTheme="majorHAnsi"/>
          <w:sz w:val="20"/>
          <w:szCs w:val="20"/>
          <w:lang w:val="es-ES_tradnl"/>
        </w:rPr>
        <w:t>la violación</w:t>
      </w:r>
      <w:r w:rsidR="002923EB" w:rsidRPr="004B114F">
        <w:rPr>
          <w:rFonts w:asciiTheme="majorHAnsi" w:hAnsiTheme="majorHAnsi"/>
          <w:sz w:val="20"/>
          <w:szCs w:val="20"/>
          <w:lang w:val="es-ES_tradnl"/>
        </w:rPr>
        <w:t xml:space="preserve"> sexual infligida a la presunta víctima cumple con los elementos constitutivos de la tortura</w:t>
      </w:r>
      <w:r w:rsidR="00360415" w:rsidRPr="004B114F">
        <w:rPr>
          <w:rFonts w:asciiTheme="majorHAnsi" w:hAnsiTheme="majorHAnsi"/>
          <w:sz w:val="20"/>
          <w:szCs w:val="20"/>
          <w:lang w:val="es-ES_tradnl"/>
        </w:rPr>
        <w:t>, según se explica a continuación</w:t>
      </w:r>
      <w:r w:rsidR="002923EB" w:rsidRPr="004B114F">
        <w:rPr>
          <w:rFonts w:asciiTheme="majorHAnsi" w:hAnsiTheme="majorHAnsi"/>
          <w:sz w:val="20"/>
          <w:szCs w:val="20"/>
          <w:lang w:val="es-ES_tradnl"/>
        </w:rPr>
        <w:t>.</w:t>
      </w:r>
      <w:r w:rsidR="00507BB1" w:rsidRPr="004B114F">
        <w:rPr>
          <w:rFonts w:asciiTheme="majorHAnsi" w:hAnsiTheme="majorHAnsi"/>
          <w:sz w:val="20"/>
          <w:szCs w:val="20"/>
          <w:lang w:val="es-ES_tradnl"/>
        </w:rPr>
        <w:t xml:space="preserve"> </w:t>
      </w:r>
    </w:p>
    <w:p w14:paraId="58697601" w14:textId="77777777" w:rsidR="00781B67" w:rsidRPr="00DE778C" w:rsidRDefault="00781B67" w:rsidP="00DE778C">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jc w:val="both"/>
        <w:rPr>
          <w:rFonts w:asciiTheme="majorHAnsi" w:hAnsiTheme="majorHAnsi"/>
          <w:sz w:val="20"/>
          <w:szCs w:val="20"/>
          <w:lang w:val="es-419"/>
        </w:rPr>
      </w:pPr>
    </w:p>
    <w:p w14:paraId="7605DD47" w14:textId="20F62D3A" w:rsidR="00F34039" w:rsidRPr="004B114F" w:rsidRDefault="00507BB1" w:rsidP="004B114F">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720"/>
        <w:jc w:val="both"/>
        <w:rPr>
          <w:rFonts w:asciiTheme="majorHAnsi" w:hAnsiTheme="majorHAnsi"/>
          <w:sz w:val="20"/>
          <w:szCs w:val="20"/>
          <w:lang w:val="es-ES_tradnl"/>
        </w:rPr>
      </w:pPr>
      <w:bookmarkStart w:id="52" w:name="_Hlk110415324"/>
      <w:r w:rsidRPr="004B114F">
        <w:rPr>
          <w:rFonts w:asciiTheme="majorHAnsi" w:hAnsiTheme="majorHAnsi"/>
          <w:sz w:val="20"/>
          <w:szCs w:val="20"/>
          <w:lang w:val="es-ES_tradnl"/>
        </w:rPr>
        <w:t>La CIDH observa que de la prueba y alegatos ofrecidos por la parte peticionaria es posible dar por demostrada la gravedad e intensidad de la violación sexual sufrida por la señora Maleno, la cual fue violentada de forma intencional por cinco varones que se encontraban armados y la sometieron bajo amenaza de revólver. Esta Comisión estima que la brutalidad de la agresión</w:t>
      </w:r>
      <w:r w:rsidR="006F34A2" w:rsidRPr="004B114F">
        <w:rPr>
          <w:rFonts w:asciiTheme="majorHAnsi" w:hAnsiTheme="majorHAnsi"/>
          <w:sz w:val="20"/>
          <w:szCs w:val="20"/>
          <w:lang w:val="es-ES_tradnl"/>
        </w:rPr>
        <w:t xml:space="preserve">, en tanto se trató </w:t>
      </w:r>
      <w:r w:rsidRPr="004B114F">
        <w:rPr>
          <w:rFonts w:asciiTheme="majorHAnsi" w:hAnsiTheme="majorHAnsi"/>
          <w:sz w:val="20"/>
          <w:szCs w:val="20"/>
          <w:lang w:val="es-ES_tradnl"/>
        </w:rPr>
        <w:t xml:space="preserve">de una violación </w:t>
      </w:r>
      <w:r w:rsidR="006F34A2" w:rsidRPr="004B114F">
        <w:rPr>
          <w:rFonts w:asciiTheme="majorHAnsi" w:hAnsiTheme="majorHAnsi"/>
          <w:sz w:val="20"/>
          <w:szCs w:val="20"/>
          <w:lang w:val="es-ES_tradnl"/>
        </w:rPr>
        <w:t xml:space="preserve">sexual </w:t>
      </w:r>
      <w:r w:rsidRPr="004B114F">
        <w:rPr>
          <w:rFonts w:asciiTheme="majorHAnsi" w:hAnsiTheme="majorHAnsi"/>
          <w:sz w:val="20"/>
          <w:szCs w:val="20"/>
          <w:lang w:val="es-ES_tradnl"/>
        </w:rPr>
        <w:t xml:space="preserve">grupal perpetrada por un lapso de dos horas por vía vaginal y anal, sumada a la angustia sufrida por la presunta víctima al ser amenazada con un </w:t>
      </w:r>
      <w:r w:rsidR="006F34A2" w:rsidRPr="004B114F">
        <w:rPr>
          <w:rFonts w:asciiTheme="majorHAnsi" w:hAnsiTheme="majorHAnsi"/>
          <w:sz w:val="20"/>
          <w:szCs w:val="20"/>
          <w:lang w:val="es-ES_tradnl"/>
        </w:rPr>
        <w:t>arma</w:t>
      </w:r>
      <w:r w:rsidRPr="004B114F">
        <w:rPr>
          <w:rFonts w:asciiTheme="majorHAnsi" w:hAnsiTheme="majorHAnsi"/>
          <w:sz w:val="20"/>
          <w:szCs w:val="20"/>
          <w:lang w:val="es-ES_tradnl"/>
        </w:rPr>
        <w:t xml:space="preserve"> y sabiendo que no recibiría auxilio, </w:t>
      </w:r>
      <w:r w:rsidR="006F34A2" w:rsidRPr="004B114F">
        <w:rPr>
          <w:rFonts w:asciiTheme="majorHAnsi" w:hAnsiTheme="majorHAnsi"/>
          <w:sz w:val="20"/>
          <w:szCs w:val="20"/>
          <w:lang w:val="es-ES_tradnl"/>
        </w:rPr>
        <w:t xml:space="preserve">ahondaron en el sufrimiento inherente a esta forma de violencia sexual, alcanzando el umbral de </w:t>
      </w:r>
      <w:r w:rsidRPr="004B114F">
        <w:rPr>
          <w:rFonts w:asciiTheme="majorHAnsi" w:hAnsiTheme="majorHAnsi"/>
          <w:sz w:val="20"/>
          <w:szCs w:val="20"/>
          <w:lang w:val="es-ES_tradnl"/>
        </w:rPr>
        <w:t xml:space="preserve">intenso sufrimiento físico y </w:t>
      </w:r>
      <w:r w:rsidR="006F34A2" w:rsidRPr="004B114F">
        <w:rPr>
          <w:rFonts w:asciiTheme="majorHAnsi" w:hAnsiTheme="majorHAnsi"/>
          <w:sz w:val="20"/>
          <w:szCs w:val="20"/>
          <w:lang w:val="es-ES_tradnl"/>
        </w:rPr>
        <w:t>mental</w:t>
      </w:r>
      <w:r w:rsidRPr="004B114F">
        <w:rPr>
          <w:rFonts w:asciiTheme="majorHAnsi" w:hAnsiTheme="majorHAnsi"/>
          <w:sz w:val="20"/>
          <w:szCs w:val="20"/>
          <w:lang w:val="es-ES_tradnl"/>
        </w:rPr>
        <w:t xml:space="preserve"> </w:t>
      </w:r>
      <w:r w:rsidR="006F34A2" w:rsidRPr="004B114F">
        <w:rPr>
          <w:rFonts w:asciiTheme="majorHAnsi" w:hAnsiTheme="majorHAnsi"/>
          <w:sz w:val="20"/>
          <w:szCs w:val="20"/>
          <w:lang w:val="es-ES_tradnl"/>
        </w:rPr>
        <w:t xml:space="preserve">que forma parte de la definición de tortura que rige en el sistema interamericano. Además, la CIDH considera en este punto los argumentos presentados por la parte peticionaria </w:t>
      </w:r>
      <w:r w:rsidR="00224CCC" w:rsidRPr="004B114F">
        <w:rPr>
          <w:rFonts w:asciiTheme="majorHAnsi" w:hAnsiTheme="majorHAnsi"/>
          <w:sz w:val="20"/>
          <w:szCs w:val="20"/>
          <w:lang w:val="es-ES_tradnl"/>
        </w:rPr>
        <w:t xml:space="preserve">y no desvirtuados por el Estado según los cuales </w:t>
      </w:r>
      <w:r w:rsidR="006F34A2" w:rsidRPr="004B114F">
        <w:rPr>
          <w:rFonts w:asciiTheme="majorHAnsi" w:hAnsiTheme="majorHAnsi"/>
          <w:sz w:val="20"/>
          <w:szCs w:val="20"/>
          <w:lang w:val="es-ES_tradnl"/>
        </w:rPr>
        <w:t xml:space="preserve">la servidumbre sexual y </w:t>
      </w:r>
      <w:r w:rsidR="004C044E" w:rsidRPr="004B114F">
        <w:rPr>
          <w:rFonts w:asciiTheme="majorHAnsi" w:hAnsiTheme="majorHAnsi"/>
          <w:sz w:val="20"/>
          <w:szCs w:val="20"/>
          <w:lang w:val="es-ES_tradnl"/>
        </w:rPr>
        <w:t xml:space="preserve">la </w:t>
      </w:r>
      <w:r w:rsidR="006F34A2" w:rsidRPr="004B114F">
        <w:rPr>
          <w:rFonts w:asciiTheme="majorHAnsi" w:hAnsiTheme="majorHAnsi"/>
          <w:sz w:val="20"/>
          <w:szCs w:val="20"/>
          <w:lang w:val="es-ES_tradnl"/>
        </w:rPr>
        <w:t xml:space="preserve">prostitución forzada eran prácticas sistemáticas y generalizadas en el Internado Anzoátegui, llevadas a cabo como una forma de ejercer control por parte de los reclusos varones (ver </w:t>
      </w:r>
      <w:r w:rsidR="006F34A2" w:rsidRPr="004B114F">
        <w:rPr>
          <w:rFonts w:asciiTheme="majorHAnsi" w:hAnsiTheme="majorHAnsi"/>
          <w:i/>
          <w:sz w:val="20"/>
          <w:szCs w:val="20"/>
          <w:lang w:val="es-ES_tradnl"/>
        </w:rPr>
        <w:t>supra</w:t>
      </w:r>
      <w:r w:rsidR="00224CCC" w:rsidRPr="004B114F">
        <w:rPr>
          <w:rFonts w:asciiTheme="majorHAnsi" w:hAnsiTheme="majorHAnsi"/>
          <w:i/>
          <w:sz w:val="20"/>
          <w:szCs w:val="20"/>
          <w:lang w:val="es-ES_tradnl"/>
        </w:rPr>
        <w:t xml:space="preserve"> </w:t>
      </w:r>
      <w:r w:rsidR="005E1534" w:rsidRPr="004B114F">
        <w:rPr>
          <w:rFonts w:asciiTheme="majorHAnsi" w:hAnsiTheme="majorHAnsi"/>
          <w:sz w:val="20"/>
          <w:szCs w:val="20"/>
          <w:lang w:val="es-ES_tradnl"/>
        </w:rPr>
        <w:t xml:space="preserve">párrafos </w:t>
      </w:r>
      <w:r w:rsidR="00EB7A42" w:rsidRPr="00EB7A42">
        <w:rPr>
          <w:rFonts w:asciiTheme="majorHAnsi" w:hAnsiTheme="majorHAnsi"/>
          <w:sz w:val="20"/>
          <w:szCs w:val="20"/>
          <w:lang w:val="es-ES_tradnl"/>
        </w:rPr>
        <w:fldChar w:fldCharType="begin"/>
      </w:r>
      <w:r w:rsidR="00EB7A42" w:rsidRPr="00EB7A42">
        <w:rPr>
          <w:rFonts w:asciiTheme="majorHAnsi" w:hAnsiTheme="majorHAnsi"/>
          <w:sz w:val="20"/>
          <w:szCs w:val="20"/>
          <w:lang w:val="es-ES_tradnl"/>
        </w:rPr>
        <w:instrText xml:space="preserve"> REF _Ref133934131 \r \h </w:instrText>
      </w:r>
      <w:r w:rsidR="00EB7A42">
        <w:rPr>
          <w:rFonts w:asciiTheme="majorHAnsi" w:hAnsiTheme="majorHAnsi"/>
          <w:sz w:val="20"/>
          <w:szCs w:val="20"/>
          <w:lang w:val="es-ES_tradnl"/>
        </w:rPr>
        <w:instrText xml:space="preserve"> \* MERGEFORMAT </w:instrText>
      </w:r>
      <w:r w:rsidR="00EB7A42" w:rsidRPr="00EB7A42">
        <w:rPr>
          <w:rFonts w:asciiTheme="majorHAnsi" w:hAnsiTheme="majorHAnsi"/>
          <w:sz w:val="20"/>
          <w:szCs w:val="20"/>
          <w:lang w:val="es-ES_tradnl"/>
        </w:rPr>
      </w:r>
      <w:r w:rsidR="00EB7A42" w:rsidRPr="00EB7A42">
        <w:rPr>
          <w:rFonts w:asciiTheme="majorHAnsi" w:hAnsiTheme="majorHAnsi"/>
          <w:sz w:val="20"/>
          <w:szCs w:val="20"/>
          <w:lang w:val="es-ES_tradnl"/>
        </w:rPr>
        <w:fldChar w:fldCharType="separate"/>
      </w:r>
      <w:r w:rsidR="005022C3">
        <w:rPr>
          <w:rFonts w:asciiTheme="majorHAnsi" w:hAnsiTheme="majorHAnsi"/>
          <w:sz w:val="20"/>
          <w:szCs w:val="20"/>
          <w:lang w:val="es-ES_tradnl"/>
        </w:rPr>
        <w:t>5</w:t>
      </w:r>
      <w:r w:rsidR="00EB7A42" w:rsidRPr="00EB7A42">
        <w:rPr>
          <w:rFonts w:asciiTheme="majorHAnsi" w:hAnsiTheme="majorHAnsi"/>
          <w:sz w:val="20"/>
          <w:szCs w:val="20"/>
          <w:lang w:val="es-ES_tradnl"/>
        </w:rPr>
        <w:fldChar w:fldCharType="end"/>
      </w:r>
      <w:r w:rsidR="005E1534" w:rsidRPr="00EB7A42">
        <w:rPr>
          <w:rFonts w:asciiTheme="majorHAnsi" w:hAnsiTheme="majorHAnsi"/>
          <w:sz w:val="20"/>
          <w:szCs w:val="20"/>
          <w:lang w:val="es-ES_tradnl"/>
        </w:rPr>
        <w:t xml:space="preserve"> y </w:t>
      </w:r>
      <w:r w:rsidR="00EB7A42" w:rsidRPr="00EB7A42">
        <w:rPr>
          <w:rFonts w:asciiTheme="majorHAnsi" w:hAnsiTheme="majorHAnsi"/>
          <w:sz w:val="20"/>
          <w:szCs w:val="20"/>
          <w:lang w:val="es-ES_tradnl"/>
        </w:rPr>
        <w:fldChar w:fldCharType="begin"/>
      </w:r>
      <w:r w:rsidR="00EB7A42" w:rsidRPr="00EB7A42">
        <w:rPr>
          <w:rFonts w:asciiTheme="majorHAnsi" w:hAnsiTheme="majorHAnsi"/>
          <w:sz w:val="20"/>
          <w:szCs w:val="20"/>
          <w:lang w:val="es-ES_tradnl"/>
        </w:rPr>
        <w:instrText xml:space="preserve"> REF _Ref133934143 \r \h </w:instrText>
      </w:r>
      <w:r w:rsidR="00EB7A42">
        <w:rPr>
          <w:rFonts w:asciiTheme="majorHAnsi" w:hAnsiTheme="majorHAnsi"/>
          <w:sz w:val="20"/>
          <w:szCs w:val="20"/>
          <w:lang w:val="es-ES_tradnl"/>
        </w:rPr>
        <w:instrText xml:space="preserve"> \* MERGEFORMAT </w:instrText>
      </w:r>
      <w:r w:rsidR="00EB7A42" w:rsidRPr="00EB7A42">
        <w:rPr>
          <w:rFonts w:asciiTheme="majorHAnsi" w:hAnsiTheme="majorHAnsi"/>
          <w:sz w:val="20"/>
          <w:szCs w:val="20"/>
          <w:lang w:val="es-ES_tradnl"/>
        </w:rPr>
      </w:r>
      <w:r w:rsidR="00EB7A42" w:rsidRPr="00EB7A42">
        <w:rPr>
          <w:rFonts w:asciiTheme="majorHAnsi" w:hAnsiTheme="majorHAnsi"/>
          <w:sz w:val="20"/>
          <w:szCs w:val="20"/>
          <w:lang w:val="es-ES_tradnl"/>
        </w:rPr>
        <w:fldChar w:fldCharType="separate"/>
      </w:r>
      <w:r w:rsidR="005022C3">
        <w:rPr>
          <w:rFonts w:asciiTheme="majorHAnsi" w:hAnsiTheme="majorHAnsi"/>
          <w:sz w:val="20"/>
          <w:szCs w:val="20"/>
          <w:lang w:val="es-ES_tradnl"/>
        </w:rPr>
        <w:t>31</w:t>
      </w:r>
      <w:r w:rsidR="00EB7A42" w:rsidRPr="00EB7A42">
        <w:rPr>
          <w:rFonts w:asciiTheme="majorHAnsi" w:hAnsiTheme="majorHAnsi"/>
          <w:sz w:val="20"/>
          <w:szCs w:val="20"/>
          <w:lang w:val="es-ES_tradnl"/>
        </w:rPr>
        <w:fldChar w:fldCharType="end"/>
      </w:r>
      <w:r w:rsidR="006F34A2" w:rsidRPr="00EB7A42">
        <w:rPr>
          <w:rFonts w:asciiTheme="majorHAnsi" w:hAnsiTheme="majorHAnsi"/>
          <w:sz w:val="20"/>
          <w:szCs w:val="20"/>
          <w:lang w:val="es-ES_tradnl"/>
        </w:rPr>
        <w:t>).</w:t>
      </w:r>
      <w:r w:rsidR="00DA5314" w:rsidRPr="00EB7A42">
        <w:rPr>
          <w:rFonts w:asciiTheme="majorHAnsi" w:hAnsiTheme="majorHAnsi"/>
          <w:sz w:val="20"/>
          <w:szCs w:val="20"/>
          <w:lang w:val="es-ES_tradnl"/>
        </w:rPr>
        <w:t xml:space="preserve"> La</w:t>
      </w:r>
      <w:r w:rsidR="00DA5314" w:rsidRPr="004B114F">
        <w:rPr>
          <w:rFonts w:asciiTheme="majorHAnsi" w:hAnsiTheme="majorHAnsi"/>
          <w:sz w:val="20"/>
          <w:szCs w:val="20"/>
          <w:lang w:val="es-ES_tradnl"/>
        </w:rPr>
        <w:t xml:space="preserve"> Comisión concluye, en este sentido, </w:t>
      </w:r>
      <w:r w:rsidR="00F94B43" w:rsidRPr="004B114F">
        <w:rPr>
          <w:rFonts w:asciiTheme="majorHAnsi" w:hAnsiTheme="majorHAnsi"/>
          <w:sz w:val="20"/>
          <w:szCs w:val="20"/>
          <w:lang w:val="es-ES_tradnl"/>
        </w:rPr>
        <w:t>que la violación sexual tuvo por fin o propósito intimidar a la presunta víctima y someterla a una dinámica de poder establecida por los reclusos del Internado Anzoátegui.</w:t>
      </w:r>
    </w:p>
    <w:bookmarkEnd w:id="52"/>
    <w:p w14:paraId="5A06E607" w14:textId="77777777" w:rsidR="001A2541" w:rsidRPr="004B114F" w:rsidRDefault="001A2541" w:rsidP="004B114F">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720"/>
        <w:jc w:val="both"/>
        <w:rPr>
          <w:rFonts w:asciiTheme="majorHAnsi" w:hAnsiTheme="majorHAnsi"/>
          <w:sz w:val="20"/>
          <w:szCs w:val="20"/>
          <w:lang w:val="es-ES_tradnl"/>
        </w:rPr>
      </w:pPr>
    </w:p>
    <w:p w14:paraId="55B3707C" w14:textId="788E9E38" w:rsidR="001A2541" w:rsidRPr="004B114F" w:rsidRDefault="001A2541" w:rsidP="004B114F">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720"/>
        <w:jc w:val="both"/>
        <w:rPr>
          <w:rFonts w:asciiTheme="majorHAnsi" w:hAnsiTheme="majorHAnsi"/>
          <w:sz w:val="20"/>
          <w:szCs w:val="20"/>
          <w:lang w:val="es-ES_tradnl"/>
        </w:rPr>
      </w:pPr>
      <w:r w:rsidRPr="004B114F">
        <w:rPr>
          <w:rFonts w:asciiTheme="majorHAnsi" w:hAnsiTheme="majorHAnsi"/>
          <w:sz w:val="20"/>
          <w:szCs w:val="20"/>
          <w:lang w:val="es-ES_tradnl"/>
        </w:rPr>
        <w:t xml:space="preserve">Ahora bien, </w:t>
      </w:r>
      <w:r w:rsidR="00E50384" w:rsidRPr="004B114F">
        <w:rPr>
          <w:rFonts w:asciiTheme="majorHAnsi" w:hAnsiTheme="majorHAnsi"/>
          <w:sz w:val="20"/>
          <w:szCs w:val="20"/>
          <w:lang w:val="es-ES_tradnl"/>
        </w:rPr>
        <w:t>teniendo en cuenta que en el presente caso la tortura sexual fue cometida por actores particulares; es decir, agentes no estatales, la Comisión Interamericana pasará a analizar si el Estado de Venezuela cumplió con sus obligaciones convencionales en dos niveles distintos. En primer lugar, la CIDH se referirá al deber de prevención que recaía sobre el Estado en este tipo de casos, y, en segundo lugar, al deber de investigación. Ambas obligaciones serán evaluadas considerando el estándar de la debida diligencia</w:t>
      </w:r>
      <w:r w:rsidR="00015359" w:rsidRPr="004B114F">
        <w:rPr>
          <w:rFonts w:asciiTheme="majorHAnsi" w:hAnsiTheme="majorHAnsi"/>
          <w:sz w:val="20"/>
          <w:szCs w:val="20"/>
          <w:lang w:val="es-ES_tradnl"/>
        </w:rPr>
        <w:t xml:space="preserve"> antes referido</w:t>
      </w:r>
      <w:r w:rsidR="00E50384" w:rsidRPr="004B114F">
        <w:rPr>
          <w:rFonts w:asciiTheme="majorHAnsi" w:hAnsiTheme="majorHAnsi"/>
          <w:sz w:val="20"/>
          <w:szCs w:val="20"/>
          <w:lang w:val="es-ES_tradnl"/>
        </w:rPr>
        <w:t>.</w:t>
      </w:r>
    </w:p>
    <w:p w14:paraId="12D9D60D" w14:textId="77777777" w:rsidR="00AB3D6F" w:rsidRPr="004B114F" w:rsidRDefault="00AB3D6F" w:rsidP="00DE778C">
      <w:pPr>
        <w:pStyle w:val="ListParagraph"/>
        <w:rPr>
          <w:rFonts w:asciiTheme="majorHAnsi" w:hAnsiTheme="majorHAnsi"/>
          <w:sz w:val="20"/>
          <w:szCs w:val="20"/>
          <w:lang w:val="es-ES_tradnl"/>
        </w:rPr>
      </w:pPr>
    </w:p>
    <w:p w14:paraId="45095A4B" w14:textId="430208AD" w:rsidR="00AB3D6F" w:rsidRPr="00DE778C" w:rsidRDefault="00AB3D6F" w:rsidP="00DE778C">
      <w:pPr>
        <w:pStyle w:val="Heading5"/>
        <w:numPr>
          <w:ilvl w:val="0"/>
          <w:numId w:val="69"/>
        </w:numPr>
        <w:spacing w:before="0"/>
        <w:ind w:left="714" w:hanging="357"/>
        <w:rPr>
          <w:rFonts w:cstheme="minorHAnsi"/>
          <w:i/>
          <w:iCs/>
          <w:color w:val="000000" w:themeColor="text1"/>
          <w:sz w:val="20"/>
          <w:szCs w:val="20"/>
          <w:lang w:val="es-ES_tradnl"/>
        </w:rPr>
      </w:pPr>
      <w:r w:rsidRPr="00DE778C">
        <w:rPr>
          <w:rFonts w:cstheme="minorHAnsi"/>
          <w:i/>
          <w:iCs/>
          <w:color w:val="000000" w:themeColor="text1"/>
          <w:sz w:val="20"/>
          <w:szCs w:val="20"/>
          <w:lang w:val="es-ES_tradnl"/>
        </w:rPr>
        <w:t>Deber de prevención</w:t>
      </w:r>
    </w:p>
    <w:p w14:paraId="5FEF2BFF" w14:textId="77777777" w:rsidR="00E50384" w:rsidRPr="004B114F" w:rsidRDefault="00E50384" w:rsidP="004B114F">
      <w:pPr>
        <w:pStyle w:val="ListParagraph"/>
        <w:rPr>
          <w:rFonts w:asciiTheme="majorHAnsi" w:hAnsiTheme="majorHAnsi"/>
          <w:sz w:val="20"/>
          <w:szCs w:val="20"/>
          <w:lang w:val="es-ES_tradnl"/>
        </w:rPr>
      </w:pPr>
    </w:p>
    <w:p w14:paraId="603E0184" w14:textId="110FC700" w:rsidR="00E50384" w:rsidRPr="004B114F" w:rsidRDefault="00486EBC" w:rsidP="07C31400">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720"/>
        <w:jc w:val="both"/>
        <w:rPr>
          <w:rFonts w:asciiTheme="majorHAnsi" w:hAnsiTheme="majorHAnsi"/>
          <w:sz w:val="20"/>
          <w:szCs w:val="20"/>
          <w:lang w:val="es-ES"/>
        </w:rPr>
      </w:pPr>
      <w:r w:rsidRPr="07C31400">
        <w:rPr>
          <w:rFonts w:asciiTheme="majorHAnsi" w:hAnsiTheme="majorHAnsi"/>
          <w:sz w:val="20"/>
          <w:szCs w:val="20"/>
          <w:lang w:val="es-ES"/>
        </w:rPr>
        <w:t xml:space="preserve">Respecto al deber de prevención, la CIDH considera que la información disponible en el expediente permite </w:t>
      </w:r>
      <w:r w:rsidR="0017625E" w:rsidRPr="07C31400">
        <w:rPr>
          <w:rFonts w:asciiTheme="majorHAnsi" w:hAnsiTheme="majorHAnsi"/>
          <w:sz w:val="20"/>
          <w:szCs w:val="20"/>
          <w:lang w:val="es-ES"/>
        </w:rPr>
        <w:t>determinar</w:t>
      </w:r>
      <w:r w:rsidRPr="07C31400">
        <w:rPr>
          <w:rFonts w:asciiTheme="majorHAnsi" w:hAnsiTheme="majorHAnsi"/>
          <w:sz w:val="20"/>
          <w:szCs w:val="20"/>
          <w:lang w:val="es-ES"/>
        </w:rPr>
        <w:t xml:space="preserve"> que el Estado tenía conocimiento de la situación de riesgo real e inmediato que enfrentaba la señora Maleno de ser víctima de violación sexual, y se encontraba también en la posición razonable de impedir que dicha agresión tuviera lugar. </w:t>
      </w:r>
      <w:r w:rsidR="003B495F" w:rsidRPr="07C31400">
        <w:rPr>
          <w:rFonts w:asciiTheme="majorHAnsi" w:hAnsiTheme="majorHAnsi"/>
          <w:sz w:val="20"/>
          <w:szCs w:val="20"/>
          <w:lang w:val="es-ES"/>
        </w:rPr>
        <w:t>Ciertamente, l</w:t>
      </w:r>
      <w:r w:rsidR="000134FA" w:rsidRPr="07C31400">
        <w:rPr>
          <w:rFonts w:asciiTheme="majorHAnsi" w:hAnsiTheme="majorHAnsi"/>
          <w:sz w:val="20"/>
          <w:szCs w:val="20"/>
          <w:lang w:val="es-ES"/>
        </w:rPr>
        <w:t>a Comisión observa que el propio Estado omitió adoptar medidas que garanticen una separación real y efectiva entre los reclusos en función a su sexo y/o género, como ha sido ya señalado. Si bien el Internado Anzoátegui contaba con un anexo femenino, la parte peticionaria ha indicado, sin que sea controvertido por Venezuela, que este anexo era fácilmente accesible por los reclusos varones del centro penitenciario, lo que colocaba en una situación de riesgo permanente a las internas</w:t>
      </w:r>
      <w:r w:rsidR="00BB0BA1" w:rsidRPr="07C31400">
        <w:rPr>
          <w:rFonts w:asciiTheme="majorHAnsi" w:hAnsiTheme="majorHAnsi"/>
          <w:sz w:val="20"/>
          <w:szCs w:val="20"/>
          <w:lang w:val="es-ES"/>
        </w:rPr>
        <w:t xml:space="preserve">. </w:t>
      </w:r>
      <w:r w:rsidR="000134FA" w:rsidRPr="07C31400">
        <w:rPr>
          <w:rFonts w:asciiTheme="majorHAnsi" w:hAnsiTheme="majorHAnsi"/>
          <w:sz w:val="20"/>
          <w:szCs w:val="20"/>
          <w:lang w:val="es-ES"/>
        </w:rPr>
        <w:t xml:space="preserve">Además, la parte peticionaria ha sostenido que la servidumbre sexual y la prostitución forzada de las reclusas se habían convertido en </w:t>
      </w:r>
      <w:r w:rsidR="00E72B5F" w:rsidRPr="07C31400">
        <w:rPr>
          <w:rFonts w:asciiTheme="majorHAnsi" w:hAnsiTheme="majorHAnsi"/>
          <w:sz w:val="20"/>
          <w:szCs w:val="20"/>
          <w:lang w:val="es-ES"/>
        </w:rPr>
        <w:t>prácticas arraigadas</w:t>
      </w:r>
      <w:r w:rsidR="000134FA" w:rsidRPr="07C31400">
        <w:rPr>
          <w:rFonts w:asciiTheme="majorHAnsi" w:hAnsiTheme="majorHAnsi"/>
          <w:sz w:val="20"/>
          <w:szCs w:val="20"/>
          <w:lang w:val="es-ES"/>
        </w:rPr>
        <w:t xml:space="preserve"> al interior del Internado Anzoátegui, y que estas </w:t>
      </w:r>
      <w:r w:rsidR="000134FA" w:rsidRPr="07C31400">
        <w:rPr>
          <w:rFonts w:asciiTheme="majorHAnsi" w:hAnsiTheme="majorHAnsi"/>
          <w:sz w:val="20"/>
          <w:szCs w:val="20"/>
          <w:lang w:val="es-ES"/>
        </w:rPr>
        <w:lastRenderedPageBreak/>
        <w:t>agresiones eran conocidas y toleradas por las autoridades del penal, quienes habían perdido el control frente a los internos</w:t>
      </w:r>
      <w:r w:rsidR="008A3495" w:rsidRPr="07C31400">
        <w:rPr>
          <w:rFonts w:asciiTheme="majorHAnsi" w:hAnsiTheme="majorHAnsi"/>
          <w:sz w:val="20"/>
          <w:szCs w:val="20"/>
          <w:lang w:val="es-ES"/>
        </w:rPr>
        <w:t xml:space="preserve">. En la petición se ha sostenido que las reclusas se veían forzadas a aceptar estas afectaciones a su libertad sexual </w:t>
      </w:r>
      <w:r w:rsidR="00BB0BA1" w:rsidRPr="07C31400">
        <w:rPr>
          <w:rFonts w:asciiTheme="majorHAnsi" w:hAnsiTheme="majorHAnsi"/>
          <w:sz w:val="20"/>
          <w:szCs w:val="20"/>
          <w:lang w:val="es-ES"/>
        </w:rPr>
        <w:t xml:space="preserve">como un mecanismo </w:t>
      </w:r>
      <w:r w:rsidR="008A3495" w:rsidRPr="07C31400">
        <w:rPr>
          <w:rFonts w:asciiTheme="majorHAnsi" w:hAnsiTheme="majorHAnsi"/>
          <w:sz w:val="20"/>
          <w:szCs w:val="20"/>
          <w:lang w:val="es-ES"/>
        </w:rPr>
        <w:t>para</w:t>
      </w:r>
      <w:r w:rsidR="00BB0BA1" w:rsidRPr="07C31400">
        <w:rPr>
          <w:rFonts w:asciiTheme="majorHAnsi" w:hAnsiTheme="majorHAnsi"/>
          <w:sz w:val="20"/>
          <w:szCs w:val="20"/>
          <w:lang w:val="es-ES"/>
        </w:rPr>
        <w:t xml:space="preserve"> protegerse de otros daños más graves, en vista de que las autoridades penitenciarias no les garantizaban esa seguridad</w:t>
      </w:r>
      <w:r w:rsidR="008A3495" w:rsidRPr="07C31400">
        <w:rPr>
          <w:rFonts w:asciiTheme="majorHAnsi" w:hAnsiTheme="majorHAnsi"/>
          <w:sz w:val="20"/>
          <w:szCs w:val="20"/>
          <w:lang w:val="es-ES"/>
        </w:rPr>
        <w:t xml:space="preserve">. En </w:t>
      </w:r>
      <w:r w:rsidR="00EB7A42" w:rsidRPr="07C31400">
        <w:rPr>
          <w:rFonts w:asciiTheme="majorHAnsi" w:hAnsiTheme="majorHAnsi"/>
          <w:sz w:val="20"/>
          <w:szCs w:val="20"/>
          <w:lang w:val="es-ES"/>
        </w:rPr>
        <w:t xml:space="preserve">virtud de </w:t>
      </w:r>
      <w:r w:rsidR="008A3495" w:rsidRPr="07C31400">
        <w:rPr>
          <w:rFonts w:asciiTheme="majorHAnsi" w:hAnsiTheme="majorHAnsi"/>
          <w:sz w:val="20"/>
          <w:szCs w:val="20"/>
          <w:lang w:val="es-ES"/>
        </w:rPr>
        <w:t>esta información, la CIDH considera probado que el Estado tenía conocimiento de la situación de riesgo de violación sexual que enfrentaba la presunta víctima.</w:t>
      </w:r>
    </w:p>
    <w:p w14:paraId="45CD1499" w14:textId="77777777" w:rsidR="008A3495" w:rsidRPr="004B114F" w:rsidRDefault="008A3495" w:rsidP="004B114F">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720"/>
        <w:jc w:val="both"/>
        <w:rPr>
          <w:rFonts w:asciiTheme="majorHAnsi" w:hAnsiTheme="majorHAnsi"/>
          <w:sz w:val="20"/>
          <w:szCs w:val="20"/>
          <w:lang w:val="es-ES_tradnl"/>
        </w:rPr>
      </w:pPr>
    </w:p>
    <w:p w14:paraId="679BFDC8" w14:textId="50512A47" w:rsidR="008A3495" w:rsidRPr="004B114F" w:rsidRDefault="008A3495" w:rsidP="07C31400">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720"/>
        <w:jc w:val="both"/>
        <w:rPr>
          <w:rFonts w:asciiTheme="majorHAnsi" w:hAnsiTheme="majorHAnsi"/>
          <w:sz w:val="20"/>
          <w:szCs w:val="20"/>
          <w:lang w:val="es-ES"/>
        </w:rPr>
      </w:pPr>
      <w:r w:rsidRPr="07C31400">
        <w:rPr>
          <w:rFonts w:asciiTheme="majorHAnsi" w:hAnsiTheme="majorHAnsi"/>
          <w:sz w:val="20"/>
          <w:szCs w:val="20"/>
          <w:lang w:val="es-ES"/>
        </w:rPr>
        <w:t xml:space="preserve">Asimismo, esta Comisión encuentra satisfecho el requisito de que el Estado </w:t>
      </w:r>
      <w:r w:rsidR="001D2FAF" w:rsidRPr="07C31400">
        <w:rPr>
          <w:rFonts w:asciiTheme="majorHAnsi" w:hAnsiTheme="majorHAnsi"/>
          <w:sz w:val="20"/>
          <w:szCs w:val="20"/>
          <w:lang w:val="es-ES"/>
        </w:rPr>
        <w:t xml:space="preserve">estaba </w:t>
      </w:r>
      <w:r w:rsidRPr="07C31400">
        <w:rPr>
          <w:rFonts w:asciiTheme="majorHAnsi" w:hAnsiTheme="majorHAnsi"/>
          <w:sz w:val="20"/>
          <w:szCs w:val="20"/>
          <w:lang w:val="es-ES"/>
        </w:rPr>
        <w:t xml:space="preserve">en la posibilidad razonable de evitar la materialización del riesgo real e inminente. Como se observa en el expediente, </w:t>
      </w:r>
      <w:r w:rsidR="006B71F5" w:rsidRPr="07C31400">
        <w:rPr>
          <w:rFonts w:asciiTheme="majorHAnsi" w:hAnsiTheme="majorHAnsi"/>
          <w:sz w:val="20"/>
          <w:szCs w:val="20"/>
          <w:lang w:val="es-ES"/>
        </w:rPr>
        <w:t xml:space="preserve">durante la primera audiencia oral </w:t>
      </w:r>
      <w:r w:rsidRPr="07C31400">
        <w:rPr>
          <w:rFonts w:asciiTheme="majorHAnsi" w:hAnsiTheme="majorHAnsi"/>
          <w:sz w:val="20"/>
          <w:szCs w:val="20"/>
          <w:lang w:val="es-ES"/>
        </w:rPr>
        <w:t xml:space="preserve">la defensa pública de la señora Maleno solicitó al Tribunal Cuarto </w:t>
      </w:r>
      <w:r w:rsidR="00F064E2" w:rsidRPr="07C31400">
        <w:rPr>
          <w:rFonts w:asciiTheme="majorHAnsi" w:hAnsiTheme="majorHAnsi"/>
          <w:sz w:val="20"/>
          <w:szCs w:val="20"/>
          <w:lang w:val="es-ES"/>
        </w:rPr>
        <w:t>evitar la medida de prisión preventiva</w:t>
      </w:r>
      <w:r w:rsidR="00AB3D6F" w:rsidRPr="07C31400">
        <w:rPr>
          <w:rFonts w:asciiTheme="majorHAnsi" w:hAnsiTheme="majorHAnsi"/>
          <w:sz w:val="20"/>
          <w:szCs w:val="20"/>
          <w:lang w:val="es-ES"/>
        </w:rPr>
        <w:t>.</w:t>
      </w:r>
      <w:r w:rsidR="00F064E2" w:rsidRPr="07C31400">
        <w:rPr>
          <w:rFonts w:asciiTheme="majorHAnsi" w:hAnsiTheme="majorHAnsi"/>
          <w:sz w:val="20"/>
          <w:szCs w:val="20"/>
          <w:lang w:val="es-ES"/>
        </w:rPr>
        <w:t xml:space="preserve"> </w:t>
      </w:r>
      <w:r w:rsidR="00AB3D6F" w:rsidRPr="07C31400">
        <w:rPr>
          <w:rFonts w:asciiTheme="majorHAnsi" w:hAnsiTheme="majorHAnsi"/>
          <w:sz w:val="20"/>
          <w:szCs w:val="20"/>
          <w:lang w:val="es-ES"/>
        </w:rPr>
        <w:t>D</w:t>
      </w:r>
      <w:r w:rsidR="00F064E2" w:rsidRPr="07C31400">
        <w:rPr>
          <w:rFonts w:asciiTheme="majorHAnsi" w:hAnsiTheme="majorHAnsi"/>
          <w:sz w:val="20"/>
          <w:szCs w:val="20"/>
          <w:lang w:val="es-ES"/>
        </w:rPr>
        <w:t xml:space="preserve">e </w:t>
      </w:r>
      <w:r w:rsidR="00AB3D6F" w:rsidRPr="07C31400">
        <w:rPr>
          <w:rFonts w:asciiTheme="majorHAnsi" w:hAnsiTheme="majorHAnsi"/>
          <w:sz w:val="20"/>
          <w:szCs w:val="20"/>
          <w:lang w:val="es-ES"/>
        </w:rPr>
        <w:t xml:space="preserve">este </w:t>
      </w:r>
      <w:r w:rsidR="00F064E2" w:rsidRPr="07C31400">
        <w:rPr>
          <w:rFonts w:asciiTheme="majorHAnsi" w:hAnsiTheme="majorHAnsi"/>
          <w:sz w:val="20"/>
          <w:szCs w:val="20"/>
          <w:lang w:val="es-ES"/>
        </w:rPr>
        <w:t>modo</w:t>
      </w:r>
      <w:r w:rsidR="00AB3D6F" w:rsidRPr="07C31400">
        <w:rPr>
          <w:rFonts w:asciiTheme="majorHAnsi" w:hAnsiTheme="majorHAnsi"/>
          <w:sz w:val="20"/>
          <w:szCs w:val="20"/>
          <w:lang w:val="es-ES"/>
        </w:rPr>
        <w:t>,</w:t>
      </w:r>
      <w:r w:rsidR="00F064E2" w:rsidRPr="07C31400">
        <w:rPr>
          <w:rFonts w:asciiTheme="majorHAnsi" w:hAnsiTheme="majorHAnsi"/>
          <w:sz w:val="20"/>
          <w:szCs w:val="20"/>
          <w:lang w:val="es-ES"/>
        </w:rPr>
        <w:t xml:space="preserve"> una alternativa disponible para el Estado era la de permitir a la presunta víctima afrontar la investigación penal</w:t>
      </w:r>
      <w:r w:rsidR="001D2FAF" w:rsidRPr="07C31400">
        <w:rPr>
          <w:rFonts w:asciiTheme="majorHAnsi" w:hAnsiTheme="majorHAnsi"/>
          <w:sz w:val="20"/>
          <w:szCs w:val="20"/>
          <w:lang w:val="es-ES"/>
        </w:rPr>
        <w:t xml:space="preserve"> en curso,</w:t>
      </w:r>
      <w:r w:rsidR="00F064E2" w:rsidRPr="07C31400">
        <w:rPr>
          <w:rFonts w:asciiTheme="majorHAnsi" w:hAnsiTheme="majorHAnsi"/>
          <w:sz w:val="20"/>
          <w:szCs w:val="20"/>
          <w:lang w:val="es-ES"/>
        </w:rPr>
        <w:t xml:space="preserve"> sujeta a una medida </w:t>
      </w:r>
      <w:r w:rsidR="001D2FAF" w:rsidRPr="07C31400">
        <w:rPr>
          <w:rFonts w:asciiTheme="majorHAnsi" w:hAnsiTheme="majorHAnsi"/>
          <w:sz w:val="20"/>
          <w:szCs w:val="20"/>
          <w:lang w:val="es-ES"/>
        </w:rPr>
        <w:t xml:space="preserve">cautelar alternativa que no involucre su detención en el Internado Anzoátegui, donde el Estado tenía </w:t>
      </w:r>
      <w:r w:rsidR="00AB3D6F" w:rsidRPr="07C31400">
        <w:rPr>
          <w:rFonts w:asciiTheme="majorHAnsi" w:hAnsiTheme="majorHAnsi"/>
          <w:sz w:val="20"/>
          <w:szCs w:val="20"/>
          <w:lang w:val="es-ES"/>
        </w:rPr>
        <w:t xml:space="preserve">conocimiento </w:t>
      </w:r>
      <w:r w:rsidR="001D2FAF" w:rsidRPr="07C31400">
        <w:rPr>
          <w:rFonts w:asciiTheme="majorHAnsi" w:hAnsiTheme="majorHAnsi"/>
          <w:sz w:val="20"/>
          <w:szCs w:val="20"/>
          <w:lang w:val="es-ES"/>
        </w:rPr>
        <w:t>de la existencia de amenazas reales contra su libertad sexual. La CIDH estima que otras medidas razonables hubieran sido implementar acciones que asegurasen una separación real de los internos en función al sexo y/o género, garantizando que los reclusos varones no puedan acceder por ningún medio al anexo femenino del Internado. En última instancia, esta Comisión considera que el Estado tenía la alternativa de trasladar a las reclusas a otros centros penitenciarios como decidió hacer luego de que la violación sexual contra la señora Maleno ya se hubiera perpetrado.</w:t>
      </w:r>
    </w:p>
    <w:p w14:paraId="6663D771" w14:textId="77777777" w:rsidR="001D2FAF" w:rsidRPr="004B114F" w:rsidRDefault="001D2FAF" w:rsidP="004B114F">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720"/>
        <w:jc w:val="both"/>
        <w:rPr>
          <w:rFonts w:asciiTheme="majorHAnsi" w:hAnsiTheme="majorHAnsi"/>
          <w:sz w:val="20"/>
          <w:szCs w:val="20"/>
          <w:lang w:val="es-ES_tradnl"/>
        </w:rPr>
      </w:pPr>
    </w:p>
    <w:p w14:paraId="1F4CF893" w14:textId="3F8D4BD2" w:rsidR="001D2FAF" w:rsidRPr="004B114F" w:rsidRDefault="001D2FAF" w:rsidP="004B114F">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720"/>
        <w:jc w:val="both"/>
        <w:rPr>
          <w:rFonts w:asciiTheme="majorHAnsi" w:hAnsiTheme="majorHAnsi"/>
          <w:sz w:val="20"/>
          <w:szCs w:val="20"/>
          <w:lang w:val="es-ES_tradnl"/>
        </w:rPr>
      </w:pPr>
      <w:r w:rsidRPr="004B114F">
        <w:rPr>
          <w:rFonts w:asciiTheme="majorHAnsi" w:hAnsiTheme="majorHAnsi"/>
          <w:sz w:val="20"/>
          <w:szCs w:val="20"/>
          <w:lang w:val="es-ES_tradnl"/>
        </w:rPr>
        <w:t>En virtud de lo expuesto, la Comisión Interamericana determina que el Estado de Venezuela no cumplió con su deber de prevención de la tortura sexual con la debida diligencia y no adoptó medidas de protección en favor de la presunta víctima.</w:t>
      </w:r>
    </w:p>
    <w:p w14:paraId="66E8CFCE" w14:textId="2997A92C" w:rsidR="00A02607" w:rsidRPr="004B114F" w:rsidRDefault="00A02607" w:rsidP="004B114F">
      <w:pPr>
        <w:pStyle w:val="ListParagraph"/>
        <w:rPr>
          <w:rFonts w:asciiTheme="majorHAnsi" w:hAnsiTheme="majorHAnsi"/>
          <w:sz w:val="20"/>
          <w:szCs w:val="20"/>
          <w:lang w:val="es-ES_tradnl"/>
        </w:rPr>
      </w:pPr>
    </w:p>
    <w:p w14:paraId="3A41B52E" w14:textId="5DE7A80B" w:rsidR="00AB3D6F" w:rsidRPr="00DE778C" w:rsidRDefault="00AB3D6F" w:rsidP="00DE778C">
      <w:pPr>
        <w:pStyle w:val="Heading5"/>
        <w:numPr>
          <w:ilvl w:val="0"/>
          <w:numId w:val="69"/>
        </w:numPr>
        <w:spacing w:before="0"/>
        <w:ind w:left="714" w:hanging="357"/>
        <w:rPr>
          <w:rFonts w:cstheme="minorHAnsi"/>
          <w:i/>
          <w:iCs/>
          <w:color w:val="000000" w:themeColor="text1"/>
          <w:sz w:val="20"/>
          <w:szCs w:val="20"/>
          <w:lang w:val="es-ES_tradnl"/>
        </w:rPr>
      </w:pPr>
      <w:r w:rsidRPr="004B114F">
        <w:rPr>
          <w:rFonts w:cstheme="minorHAnsi"/>
          <w:i/>
          <w:iCs/>
          <w:color w:val="000000" w:themeColor="text1"/>
          <w:sz w:val="20"/>
          <w:szCs w:val="20"/>
          <w:lang w:val="es-ES_tradnl"/>
        </w:rPr>
        <w:t xml:space="preserve">Obligación de investigar </w:t>
      </w:r>
    </w:p>
    <w:p w14:paraId="2C0D46A3" w14:textId="77777777" w:rsidR="00AB3D6F" w:rsidRPr="004B114F" w:rsidRDefault="00AB3D6F" w:rsidP="004B114F">
      <w:pPr>
        <w:pStyle w:val="ListParagraph"/>
        <w:rPr>
          <w:rFonts w:asciiTheme="majorHAnsi" w:hAnsiTheme="majorHAnsi"/>
          <w:sz w:val="20"/>
          <w:szCs w:val="20"/>
          <w:lang w:val="es-ES_tradnl"/>
        </w:rPr>
      </w:pPr>
    </w:p>
    <w:p w14:paraId="00A3392E" w14:textId="23A9DB83" w:rsidR="00AE6ACE" w:rsidRPr="004B114F" w:rsidRDefault="00A02607" w:rsidP="004B114F">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720"/>
        <w:jc w:val="both"/>
        <w:rPr>
          <w:rFonts w:asciiTheme="majorHAnsi" w:hAnsiTheme="majorHAnsi"/>
          <w:sz w:val="20"/>
          <w:szCs w:val="20"/>
          <w:lang w:val="es-ES_tradnl"/>
        </w:rPr>
      </w:pPr>
      <w:r w:rsidRPr="004B114F">
        <w:rPr>
          <w:rFonts w:asciiTheme="majorHAnsi" w:hAnsiTheme="majorHAnsi"/>
          <w:sz w:val="20"/>
          <w:szCs w:val="20"/>
          <w:lang w:val="es-ES_tradnl"/>
        </w:rPr>
        <w:t xml:space="preserve">Por otro lado, </w:t>
      </w:r>
      <w:r w:rsidR="00E03FC5" w:rsidRPr="004B114F">
        <w:rPr>
          <w:rFonts w:asciiTheme="majorHAnsi" w:hAnsiTheme="majorHAnsi"/>
          <w:sz w:val="20"/>
          <w:szCs w:val="20"/>
          <w:lang w:val="es-ES_tradnl"/>
        </w:rPr>
        <w:t>los Estados tienen el deber de investigar con debida diligencia los hechos de violencia de g</w:t>
      </w:r>
      <w:r w:rsidR="00AB3D6F" w:rsidRPr="004B114F">
        <w:rPr>
          <w:rFonts w:asciiTheme="majorHAnsi" w:hAnsiTheme="majorHAnsi"/>
          <w:sz w:val="20"/>
          <w:szCs w:val="20"/>
          <w:lang w:val="es-ES_tradnl"/>
        </w:rPr>
        <w:t>é</w:t>
      </w:r>
      <w:r w:rsidR="00E03FC5" w:rsidRPr="004B114F">
        <w:rPr>
          <w:rFonts w:asciiTheme="majorHAnsi" w:hAnsiTheme="majorHAnsi"/>
          <w:sz w:val="20"/>
          <w:szCs w:val="20"/>
          <w:lang w:val="es-ES_tradnl"/>
        </w:rPr>
        <w:t>nero que ocurran bajo su jurisdicción. En el presente caso</w:t>
      </w:r>
      <w:r w:rsidR="00AB3D6F" w:rsidRPr="004B114F">
        <w:rPr>
          <w:rFonts w:asciiTheme="majorHAnsi" w:hAnsiTheme="majorHAnsi"/>
          <w:sz w:val="20"/>
          <w:szCs w:val="20"/>
          <w:lang w:val="es-ES_tradnl"/>
        </w:rPr>
        <w:t>,</w:t>
      </w:r>
      <w:r w:rsidR="00E03FC5" w:rsidRPr="004B114F">
        <w:rPr>
          <w:rFonts w:asciiTheme="majorHAnsi" w:hAnsiTheme="majorHAnsi"/>
          <w:sz w:val="20"/>
          <w:szCs w:val="20"/>
          <w:lang w:val="es-ES_tradnl"/>
        </w:rPr>
        <w:t xml:space="preserve"> no existe controversia entre las partes respecto a que el Estado, al tomar conocimiento de la violación sexual sufrida por la señora Maleno, solicitó a la Fiscal Superior del Ministerio Público iniciar una investigación penal para el esclarecimiento de los hechos y la determinación de las responsabilidades penales </w:t>
      </w:r>
      <w:r w:rsidR="00905E89" w:rsidRPr="004B114F">
        <w:rPr>
          <w:rFonts w:asciiTheme="majorHAnsi" w:hAnsiTheme="majorHAnsi"/>
          <w:sz w:val="20"/>
          <w:szCs w:val="20"/>
          <w:lang w:val="es-ES_tradnl"/>
        </w:rPr>
        <w:t>(</w:t>
      </w:r>
      <w:r w:rsidR="00905E89" w:rsidRPr="004B114F">
        <w:rPr>
          <w:rFonts w:asciiTheme="majorHAnsi" w:hAnsiTheme="majorHAnsi"/>
          <w:i/>
          <w:sz w:val="20"/>
          <w:szCs w:val="20"/>
          <w:lang w:val="es-ES_tradnl"/>
        </w:rPr>
        <w:t xml:space="preserve">supra </w:t>
      </w:r>
      <w:hyperlink w:anchor="_Proceso_penal_iniciado" w:history="1">
        <w:r w:rsidR="005E1534" w:rsidRPr="004B114F">
          <w:rPr>
            <w:rStyle w:val="Hyperlink"/>
            <w:rFonts w:asciiTheme="majorHAnsi" w:hAnsiTheme="majorHAnsi"/>
            <w:sz w:val="20"/>
            <w:szCs w:val="20"/>
            <w:lang w:val="es-ES_tradnl"/>
          </w:rPr>
          <w:t>III.C.1</w:t>
        </w:r>
      </w:hyperlink>
      <w:r w:rsidR="00E11AB5" w:rsidRPr="004B114F">
        <w:rPr>
          <w:rFonts w:asciiTheme="majorHAnsi" w:hAnsiTheme="majorHAnsi"/>
          <w:sz w:val="20"/>
          <w:szCs w:val="20"/>
          <w:lang w:val="es-ES_tradnl"/>
        </w:rPr>
        <w:t>)</w:t>
      </w:r>
      <w:r w:rsidR="00E03FC5" w:rsidRPr="004B114F">
        <w:rPr>
          <w:rFonts w:asciiTheme="majorHAnsi" w:hAnsiTheme="majorHAnsi"/>
          <w:sz w:val="20"/>
          <w:szCs w:val="20"/>
          <w:lang w:val="es-ES_tradnl"/>
        </w:rPr>
        <w:t>.</w:t>
      </w:r>
    </w:p>
    <w:p w14:paraId="3F2A0FE2" w14:textId="77777777" w:rsidR="00AE6ACE" w:rsidRPr="004B114F" w:rsidRDefault="00AE6ACE" w:rsidP="004B114F">
      <w:pPr>
        <w:pStyle w:val="ListParagraph"/>
        <w:rPr>
          <w:rFonts w:asciiTheme="majorHAnsi" w:hAnsiTheme="majorHAnsi"/>
          <w:sz w:val="20"/>
          <w:szCs w:val="20"/>
          <w:lang w:val="es-ES_tradnl"/>
        </w:rPr>
      </w:pPr>
    </w:p>
    <w:p w14:paraId="11B349AF" w14:textId="0EBA4EE0" w:rsidR="00E11AB5" w:rsidRPr="004B114F" w:rsidRDefault="00E11AB5" w:rsidP="07C31400">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720"/>
        <w:jc w:val="both"/>
        <w:rPr>
          <w:rFonts w:asciiTheme="majorHAnsi" w:hAnsiTheme="majorHAnsi"/>
          <w:sz w:val="20"/>
          <w:szCs w:val="20"/>
          <w:lang w:val="es-ES"/>
        </w:rPr>
      </w:pPr>
      <w:r w:rsidRPr="07C31400">
        <w:rPr>
          <w:rFonts w:asciiTheme="majorHAnsi" w:hAnsiTheme="majorHAnsi"/>
          <w:sz w:val="20"/>
          <w:szCs w:val="20"/>
          <w:lang w:val="es-ES"/>
        </w:rPr>
        <w:t>La Comisión Interamericana recuerda que la obligación del Estado bajo análisis exige que</w:t>
      </w:r>
      <w:r w:rsidR="009E6777" w:rsidRPr="07C31400">
        <w:rPr>
          <w:rFonts w:asciiTheme="majorHAnsi" w:hAnsiTheme="majorHAnsi"/>
          <w:sz w:val="20"/>
          <w:szCs w:val="20"/>
          <w:lang w:val="es-ES"/>
        </w:rPr>
        <w:t>, desde el momento en que toma conocimiento del hecho alegado,</w:t>
      </w:r>
      <w:r w:rsidRPr="07C31400">
        <w:rPr>
          <w:rFonts w:asciiTheme="majorHAnsi" w:hAnsiTheme="majorHAnsi"/>
          <w:sz w:val="20"/>
          <w:szCs w:val="20"/>
          <w:lang w:val="es-ES"/>
        </w:rPr>
        <w:t xml:space="preserve"> este encamine </w:t>
      </w:r>
      <w:r w:rsidR="009E6777" w:rsidRPr="07C31400">
        <w:rPr>
          <w:rFonts w:asciiTheme="majorHAnsi" w:hAnsiTheme="majorHAnsi"/>
          <w:sz w:val="20"/>
          <w:szCs w:val="20"/>
          <w:lang w:val="es-ES"/>
        </w:rPr>
        <w:t>de forma inmediata</w:t>
      </w:r>
      <w:r w:rsidRPr="07C31400">
        <w:rPr>
          <w:rFonts w:asciiTheme="majorHAnsi" w:hAnsiTheme="majorHAnsi"/>
          <w:sz w:val="20"/>
          <w:szCs w:val="20"/>
          <w:lang w:val="es-ES"/>
        </w:rPr>
        <w:t xml:space="preserve"> una serie de acciones que </w:t>
      </w:r>
      <w:r w:rsidR="009E6777" w:rsidRPr="07C31400">
        <w:rPr>
          <w:rFonts w:asciiTheme="majorHAnsi" w:hAnsiTheme="majorHAnsi"/>
          <w:sz w:val="20"/>
          <w:szCs w:val="20"/>
          <w:lang w:val="es-ES"/>
        </w:rPr>
        <w:t>evidencien su compromiso con llegar a la verdad de lo sucedido dentro de un tiempo razonable y sancionar a los eventuales responsables.</w:t>
      </w:r>
      <w:r w:rsidR="002B1C84" w:rsidRPr="07C31400">
        <w:rPr>
          <w:rFonts w:asciiTheme="majorHAnsi" w:hAnsiTheme="majorHAnsi"/>
          <w:sz w:val="20"/>
          <w:szCs w:val="20"/>
          <w:lang w:val="es-ES"/>
        </w:rPr>
        <w:t xml:space="preserve"> </w:t>
      </w:r>
      <w:r w:rsidR="00AB3D6F" w:rsidRPr="07C31400">
        <w:rPr>
          <w:rFonts w:asciiTheme="majorHAnsi" w:hAnsiTheme="majorHAnsi"/>
          <w:sz w:val="20"/>
          <w:szCs w:val="20"/>
          <w:lang w:val="es-ES"/>
        </w:rPr>
        <w:t>No obstante</w:t>
      </w:r>
      <w:r w:rsidR="002B1C84" w:rsidRPr="07C31400">
        <w:rPr>
          <w:rFonts w:asciiTheme="majorHAnsi" w:hAnsiTheme="majorHAnsi"/>
          <w:sz w:val="20"/>
          <w:szCs w:val="20"/>
          <w:lang w:val="es-ES"/>
        </w:rPr>
        <w:t>, la CIDH nota que las acciones adoptadas por el Estado de Venezuela en el curso de la investigación iniciada frente a la violación sexual contra la señora Maleno, fueron insuficientes, inoportunas, o simplemente no han sido realizadas hasta la fecha.</w:t>
      </w:r>
    </w:p>
    <w:p w14:paraId="261E8143" w14:textId="77777777" w:rsidR="002B1C84" w:rsidRPr="004B114F" w:rsidRDefault="002B1C84" w:rsidP="004B114F">
      <w:pPr>
        <w:pStyle w:val="ListParagraph"/>
        <w:rPr>
          <w:rFonts w:asciiTheme="majorHAnsi" w:hAnsiTheme="majorHAnsi"/>
          <w:sz w:val="20"/>
          <w:szCs w:val="20"/>
          <w:lang w:val="es-ES_tradnl"/>
        </w:rPr>
      </w:pPr>
    </w:p>
    <w:p w14:paraId="7B51B423" w14:textId="1E840A5A" w:rsidR="00024DFE" w:rsidRPr="004B114F" w:rsidRDefault="00AB3D6F" w:rsidP="004B114F">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720"/>
        <w:jc w:val="both"/>
        <w:rPr>
          <w:rFonts w:asciiTheme="majorHAnsi" w:hAnsiTheme="majorHAnsi"/>
          <w:sz w:val="20"/>
          <w:szCs w:val="20"/>
          <w:lang w:val="es-ES_tradnl"/>
        </w:rPr>
      </w:pPr>
      <w:r w:rsidRPr="004B114F">
        <w:rPr>
          <w:rFonts w:asciiTheme="majorHAnsi" w:hAnsiTheme="majorHAnsi"/>
          <w:sz w:val="20"/>
          <w:szCs w:val="20"/>
          <w:lang w:val="es-ES_tradnl"/>
        </w:rPr>
        <w:t xml:space="preserve">En efecto, algunos días después de que la agresión fuera perpetrada, se realizó </w:t>
      </w:r>
      <w:r w:rsidR="002B1C84" w:rsidRPr="004B114F">
        <w:rPr>
          <w:rFonts w:asciiTheme="majorHAnsi" w:hAnsiTheme="majorHAnsi"/>
          <w:sz w:val="20"/>
          <w:szCs w:val="20"/>
          <w:lang w:val="es-ES_tradnl"/>
        </w:rPr>
        <w:t xml:space="preserve">un examen de reconocimiento legal practicado por la Medicatura Forense a la presunta víctima </w:t>
      </w:r>
      <w:r w:rsidR="00C404DD" w:rsidRPr="004B114F">
        <w:rPr>
          <w:rFonts w:asciiTheme="majorHAnsi" w:hAnsiTheme="majorHAnsi"/>
          <w:sz w:val="20"/>
          <w:szCs w:val="20"/>
          <w:lang w:val="es-ES_tradnl"/>
        </w:rPr>
        <w:t>(</w:t>
      </w:r>
      <w:r w:rsidR="00C404DD" w:rsidRPr="004B114F">
        <w:rPr>
          <w:rFonts w:asciiTheme="majorHAnsi" w:hAnsiTheme="majorHAnsi"/>
          <w:i/>
          <w:sz w:val="20"/>
          <w:szCs w:val="20"/>
          <w:lang w:val="es-ES_tradnl"/>
        </w:rPr>
        <w:t xml:space="preserve">supra </w:t>
      </w:r>
      <w:r w:rsidR="00C404DD" w:rsidRPr="004B114F">
        <w:rPr>
          <w:rFonts w:asciiTheme="majorHAnsi" w:hAnsiTheme="majorHAnsi"/>
          <w:sz w:val="20"/>
          <w:szCs w:val="20"/>
          <w:lang w:val="es-ES_tradnl"/>
        </w:rPr>
        <w:t xml:space="preserve">párr. </w:t>
      </w:r>
      <w:r w:rsidR="00265037">
        <w:rPr>
          <w:rFonts w:asciiTheme="majorHAnsi" w:hAnsiTheme="majorHAnsi"/>
          <w:sz w:val="20"/>
          <w:szCs w:val="20"/>
          <w:highlight w:val="yellow"/>
          <w:lang w:val="es-ES_tradnl"/>
        </w:rPr>
        <w:fldChar w:fldCharType="begin"/>
      </w:r>
      <w:r w:rsidR="00265037">
        <w:rPr>
          <w:rFonts w:asciiTheme="majorHAnsi" w:hAnsiTheme="majorHAnsi"/>
          <w:sz w:val="20"/>
          <w:szCs w:val="20"/>
          <w:lang w:val="es-ES_tradnl"/>
        </w:rPr>
        <w:instrText xml:space="preserve"> REF _Ref133934221 \r \h </w:instrText>
      </w:r>
      <w:r w:rsidR="00265037">
        <w:rPr>
          <w:rFonts w:asciiTheme="majorHAnsi" w:hAnsiTheme="majorHAnsi"/>
          <w:sz w:val="20"/>
          <w:szCs w:val="20"/>
          <w:highlight w:val="yellow"/>
          <w:lang w:val="es-ES_tradnl"/>
        </w:rPr>
      </w:r>
      <w:r w:rsidR="00265037">
        <w:rPr>
          <w:rFonts w:asciiTheme="majorHAnsi" w:hAnsiTheme="majorHAnsi"/>
          <w:sz w:val="20"/>
          <w:szCs w:val="20"/>
          <w:highlight w:val="yellow"/>
          <w:lang w:val="es-ES_tradnl"/>
        </w:rPr>
        <w:fldChar w:fldCharType="separate"/>
      </w:r>
      <w:r w:rsidR="005022C3">
        <w:rPr>
          <w:rFonts w:asciiTheme="majorHAnsi" w:hAnsiTheme="majorHAnsi"/>
          <w:sz w:val="20"/>
          <w:szCs w:val="20"/>
          <w:lang w:val="es-ES_tradnl"/>
        </w:rPr>
        <w:t>34</w:t>
      </w:r>
      <w:r w:rsidR="00265037">
        <w:rPr>
          <w:rFonts w:asciiTheme="majorHAnsi" w:hAnsiTheme="majorHAnsi"/>
          <w:sz w:val="20"/>
          <w:szCs w:val="20"/>
          <w:highlight w:val="yellow"/>
          <w:lang w:val="es-ES_tradnl"/>
        </w:rPr>
        <w:fldChar w:fldCharType="end"/>
      </w:r>
      <w:r w:rsidR="00C404DD" w:rsidRPr="004B114F">
        <w:rPr>
          <w:rFonts w:asciiTheme="majorHAnsi" w:hAnsiTheme="majorHAnsi"/>
          <w:sz w:val="20"/>
          <w:szCs w:val="20"/>
          <w:lang w:val="es-ES_tradnl"/>
        </w:rPr>
        <w:t>)</w:t>
      </w:r>
      <w:r w:rsidR="00024DFE" w:rsidRPr="004B114F">
        <w:rPr>
          <w:rFonts w:asciiTheme="majorHAnsi" w:hAnsiTheme="majorHAnsi"/>
          <w:sz w:val="20"/>
          <w:szCs w:val="20"/>
          <w:lang w:val="es-ES_tradnl"/>
        </w:rPr>
        <w:t xml:space="preserve">. El Estado de Venezuela no ha indicado en qué fecha </w:t>
      </w:r>
      <w:r w:rsidR="005E1534" w:rsidRPr="004B114F">
        <w:rPr>
          <w:rFonts w:asciiTheme="majorHAnsi" w:hAnsiTheme="majorHAnsi"/>
          <w:sz w:val="20"/>
          <w:szCs w:val="20"/>
          <w:lang w:val="es-ES_tradnl"/>
        </w:rPr>
        <w:t xml:space="preserve">exacta </w:t>
      </w:r>
      <w:r w:rsidR="00024DFE" w:rsidRPr="004B114F">
        <w:rPr>
          <w:rFonts w:asciiTheme="majorHAnsi" w:hAnsiTheme="majorHAnsi"/>
          <w:sz w:val="20"/>
          <w:szCs w:val="20"/>
          <w:lang w:val="es-ES_tradnl"/>
        </w:rPr>
        <w:t xml:space="preserve">se realizó la evaluación forense, mientras que la parte peticionaria ha </w:t>
      </w:r>
      <w:r w:rsidR="005E1534" w:rsidRPr="004B114F">
        <w:rPr>
          <w:rFonts w:asciiTheme="majorHAnsi" w:hAnsiTheme="majorHAnsi"/>
          <w:sz w:val="20"/>
          <w:szCs w:val="20"/>
          <w:lang w:val="es-ES_tradnl"/>
        </w:rPr>
        <w:t xml:space="preserve">indicado que fue </w:t>
      </w:r>
      <w:r w:rsidR="005E1534" w:rsidRPr="00DE778C">
        <w:rPr>
          <w:rFonts w:asciiTheme="majorHAnsi" w:hAnsiTheme="majorHAnsi"/>
          <w:sz w:val="20"/>
          <w:szCs w:val="20"/>
          <w:lang w:val="es-ES_tradnl"/>
        </w:rPr>
        <w:t xml:space="preserve">practicada </w:t>
      </w:r>
      <w:r w:rsidR="005E1534" w:rsidRPr="00DE778C">
        <w:rPr>
          <w:rFonts w:asciiTheme="majorHAnsi" w:hAnsiTheme="majorHAnsi"/>
          <w:sz w:val="20"/>
          <w:szCs w:val="20"/>
          <w:lang w:val="es-ES"/>
        </w:rPr>
        <w:t>entre 9 y 12 días después de que la violación sexual</w:t>
      </w:r>
      <w:r w:rsidR="00024DFE" w:rsidRPr="004B114F">
        <w:rPr>
          <w:rStyle w:val="FootnoteReference"/>
          <w:rFonts w:asciiTheme="majorHAnsi" w:hAnsiTheme="majorHAnsi"/>
          <w:sz w:val="20"/>
          <w:szCs w:val="20"/>
          <w:lang w:val="es-ES_tradnl"/>
        </w:rPr>
        <w:footnoteReference w:id="177"/>
      </w:r>
      <w:r w:rsidR="00024DFE" w:rsidRPr="004B114F">
        <w:rPr>
          <w:rFonts w:asciiTheme="majorHAnsi" w:hAnsiTheme="majorHAnsi"/>
          <w:sz w:val="20"/>
          <w:szCs w:val="20"/>
          <w:lang w:val="es-ES_tradnl"/>
        </w:rPr>
        <w:t>. En todo caso, la CIDH observa que el informe trasladado al Fiscal de Ejecución y Sentencia con los resultados de la pericia tiene por fecha el 15 de enero de 2002, lo que da indicios a esta Comisión de que la evaluación de reconocimiento legal no fue</w:t>
      </w:r>
      <w:r w:rsidR="00377DCC" w:rsidRPr="004B114F">
        <w:rPr>
          <w:rFonts w:asciiTheme="majorHAnsi" w:hAnsiTheme="majorHAnsi"/>
          <w:sz w:val="20"/>
          <w:szCs w:val="20"/>
          <w:lang w:val="es-ES_tradnl"/>
        </w:rPr>
        <w:t xml:space="preserve"> necesariamente</w:t>
      </w:r>
      <w:r w:rsidR="00024DFE" w:rsidRPr="004B114F">
        <w:rPr>
          <w:rFonts w:asciiTheme="majorHAnsi" w:hAnsiTheme="majorHAnsi"/>
          <w:sz w:val="20"/>
          <w:szCs w:val="20"/>
          <w:lang w:val="es-ES_tradnl"/>
        </w:rPr>
        <w:t xml:space="preserve"> practicada dentro de las primeras 72 horas de conocidos los hechos, como ha sido sostenido por la parte peticionaria</w:t>
      </w:r>
      <w:r w:rsidR="001C3E57" w:rsidRPr="004B114F">
        <w:rPr>
          <w:rFonts w:asciiTheme="majorHAnsi" w:hAnsiTheme="majorHAnsi"/>
          <w:sz w:val="20"/>
          <w:szCs w:val="20"/>
          <w:lang w:val="es-ES_tradnl"/>
        </w:rPr>
        <w:t xml:space="preserve">. </w:t>
      </w:r>
      <w:r w:rsidR="00AC2AAC" w:rsidRPr="004B114F">
        <w:rPr>
          <w:rFonts w:asciiTheme="majorHAnsi" w:hAnsiTheme="majorHAnsi"/>
          <w:sz w:val="20"/>
          <w:szCs w:val="20"/>
          <w:lang w:val="es-ES_tradnl"/>
        </w:rPr>
        <w:t xml:space="preserve">Además, la Comisión verifica que </w:t>
      </w:r>
      <w:r w:rsidR="002B1C84" w:rsidRPr="004B114F">
        <w:rPr>
          <w:rFonts w:asciiTheme="majorHAnsi" w:hAnsiTheme="majorHAnsi"/>
          <w:sz w:val="20"/>
          <w:szCs w:val="20"/>
          <w:lang w:val="es-ES_tradnl"/>
        </w:rPr>
        <w:t xml:space="preserve">los resultados de </w:t>
      </w:r>
      <w:r w:rsidR="001C3E57" w:rsidRPr="004B114F">
        <w:rPr>
          <w:rFonts w:asciiTheme="majorHAnsi" w:hAnsiTheme="majorHAnsi"/>
          <w:sz w:val="20"/>
          <w:szCs w:val="20"/>
          <w:lang w:val="es-ES_tradnl"/>
        </w:rPr>
        <w:t>dicha</w:t>
      </w:r>
      <w:r w:rsidR="002B1C84" w:rsidRPr="004B114F">
        <w:rPr>
          <w:rFonts w:asciiTheme="majorHAnsi" w:hAnsiTheme="majorHAnsi"/>
          <w:sz w:val="20"/>
          <w:szCs w:val="20"/>
          <w:lang w:val="es-ES_tradnl"/>
        </w:rPr>
        <w:t xml:space="preserve"> pericia no permitía</w:t>
      </w:r>
      <w:r w:rsidR="00AC2AAC" w:rsidRPr="004B114F">
        <w:rPr>
          <w:rFonts w:asciiTheme="majorHAnsi" w:hAnsiTheme="majorHAnsi"/>
          <w:sz w:val="20"/>
          <w:szCs w:val="20"/>
          <w:lang w:val="es-ES_tradnl"/>
        </w:rPr>
        <w:t>n</w:t>
      </w:r>
      <w:r w:rsidR="002B1C84" w:rsidRPr="004B114F">
        <w:rPr>
          <w:rFonts w:asciiTheme="majorHAnsi" w:hAnsiTheme="majorHAnsi"/>
          <w:sz w:val="20"/>
          <w:szCs w:val="20"/>
          <w:lang w:val="es-ES_tradnl"/>
        </w:rPr>
        <w:t xml:space="preserve"> determinar </w:t>
      </w:r>
      <w:r w:rsidR="001C3E57" w:rsidRPr="004B114F">
        <w:rPr>
          <w:rFonts w:asciiTheme="majorHAnsi" w:hAnsiTheme="majorHAnsi"/>
          <w:sz w:val="20"/>
          <w:szCs w:val="20"/>
          <w:lang w:val="es-ES_tradnl"/>
        </w:rPr>
        <w:t>con exactitud el origen de las lesiones encontradas en la señora Maleno</w:t>
      </w:r>
      <w:r w:rsidR="00AC2AAC" w:rsidRPr="004B114F">
        <w:rPr>
          <w:rFonts w:asciiTheme="majorHAnsi" w:hAnsiTheme="majorHAnsi"/>
          <w:sz w:val="20"/>
          <w:szCs w:val="20"/>
          <w:lang w:val="es-ES_tradnl"/>
        </w:rPr>
        <w:t>, motivo por el cual el Fiscal de Ejecución y Sentencia tuvo que solicitar una aclaración de los hallazgos contenidos en el informe</w:t>
      </w:r>
      <w:r w:rsidR="001C3E57" w:rsidRPr="004B114F">
        <w:rPr>
          <w:rFonts w:asciiTheme="majorHAnsi" w:hAnsiTheme="majorHAnsi"/>
          <w:sz w:val="20"/>
          <w:szCs w:val="20"/>
          <w:lang w:val="es-ES_tradnl"/>
        </w:rPr>
        <w:t xml:space="preserve">. </w:t>
      </w:r>
    </w:p>
    <w:p w14:paraId="0878A9E4" w14:textId="77777777" w:rsidR="00024DFE" w:rsidRPr="004B114F" w:rsidRDefault="00024DFE" w:rsidP="004B114F">
      <w:pPr>
        <w:pStyle w:val="ListParagraph"/>
        <w:rPr>
          <w:rFonts w:asciiTheme="majorHAnsi" w:hAnsiTheme="majorHAnsi"/>
          <w:sz w:val="20"/>
          <w:szCs w:val="20"/>
          <w:lang w:val="es-ES_tradnl"/>
        </w:rPr>
      </w:pPr>
    </w:p>
    <w:p w14:paraId="181A3705" w14:textId="22882CDE" w:rsidR="002B1C84" w:rsidRPr="004B114F" w:rsidRDefault="003624C2" w:rsidP="07C31400">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720"/>
        <w:jc w:val="both"/>
        <w:rPr>
          <w:rFonts w:asciiTheme="majorHAnsi" w:hAnsiTheme="majorHAnsi"/>
          <w:sz w:val="20"/>
          <w:szCs w:val="20"/>
          <w:lang w:val="es-ES"/>
        </w:rPr>
      </w:pPr>
      <w:r w:rsidRPr="07C31400">
        <w:rPr>
          <w:rFonts w:asciiTheme="majorHAnsi" w:hAnsiTheme="majorHAnsi"/>
          <w:sz w:val="20"/>
          <w:szCs w:val="20"/>
          <w:lang w:val="es-ES"/>
        </w:rPr>
        <w:lastRenderedPageBreak/>
        <w:t>De igual manera, l</w:t>
      </w:r>
      <w:r w:rsidR="001C3E57" w:rsidRPr="07C31400">
        <w:rPr>
          <w:rFonts w:asciiTheme="majorHAnsi" w:hAnsiTheme="majorHAnsi"/>
          <w:sz w:val="20"/>
          <w:szCs w:val="20"/>
          <w:lang w:val="es-ES"/>
        </w:rPr>
        <w:t>a CIDH toma nota de que esta pericia no fue complementada con exámenes posteriores ni con otro tipo de diligencias conducidas con inmediatez a fin de esclarecer los hechos y atribuir las responsabilidades penales correspondientes.</w:t>
      </w:r>
      <w:r w:rsidR="00462E7A" w:rsidRPr="07C31400">
        <w:rPr>
          <w:rFonts w:asciiTheme="majorHAnsi" w:hAnsiTheme="majorHAnsi"/>
          <w:sz w:val="20"/>
          <w:szCs w:val="20"/>
          <w:lang w:val="es-ES"/>
        </w:rPr>
        <w:t xml:space="preserve"> Por el contrario, la información aportada por la parte peticionaria demuestra que, </w:t>
      </w:r>
      <w:r w:rsidR="00EB7A42" w:rsidRPr="07C31400">
        <w:rPr>
          <w:rFonts w:asciiTheme="majorHAnsi" w:hAnsiTheme="majorHAnsi"/>
          <w:sz w:val="20"/>
          <w:szCs w:val="20"/>
          <w:lang w:val="es-ES"/>
        </w:rPr>
        <w:t>sobre la</w:t>
      </w:r>
      <w:r w:rsidR="00462E7A" w:rsidRPr="07C31400">
        <w:rPr>
          <w:rFonts w:asciiTheme="majorHAnsi" w:hAnsiTheme="majorHAnsi"/>
          <w:sz w:val="20"/>
          <w:szCs w:val="20"/>
          <w:lang w:val="es-ES"/>
        </w:rPr>
        <w:t xml:space="preserve"> base</w:t>
      </w:r>
      <w:r w:rsidR="00EB7A42" w:rsidRPr="07C31400">
        <w:rPr>
          <w:rFonts w:asciiTheme="majorHAnsi" w:hAnsiTheme="majorHAnsi"/>
          <w:sz w:val="20"/>
          <w:szCs w:val="20"/>
          <w:lang w:val="es-ES"/>
        </w:rPr>
        <w:t xml:space="preserve"> de</w:t>
      </w:r>
      <w:r w:rsidR="00462E7A" w:rsidRPr="07C31400">
        <w:rPr>
          <w:rFonts w:asciiTheme="majorHAnsi" w:hAnsiTheme="majorHAnsi"/>
          <w:sz w:val="20"/>
          <w:szCs w:val="20"/>
          <w:lang w:val="es-ES"/>
        </w:rPr>
        <w:t xml:space="preserve"> este informe, el Fiscal de Ejecución y Sentencia solicitó a la Fiscal Superior iniciar una investigación penal contra la señora Maleno por el delito de “simulación de hecho punible”. </w:t>
      </w:r>
      <w:r w:rsidR="005E1534" w:rsidRPr="07C31400">
        <w:rPr>
          <w:rFonts w:asciiTheme="majorHAnsi" w:hAnsiTheme="majorHAnsi"/>
          <w:sz w:val="20"/>
          <w:szCs w:val="20"/>
          <w:lang w:val="es-ES"/>
        </w:rPr>
        <w:t xml:space="preserve">Si bien la CIDH no cuenta con información que permita determinar si la investigación por simulación de hecho punible fue finalmente iniciada y cuál sería su estado actual, como se dio por probado,  el Fiscal de Ejecución y Sentencia efectivamente solicitó a la Fiscal Superior abrir una averiguación penal por la presunta comisión de tal delito. </w:t>
      </w:r>
      <w:r w:rsidR="00462E7A" w:rsidRPr="07C31400">
        <w:rPr>
          <w:rFonts w:asciiTheme="majorHAnsi" w:hAnsiTheme="majorHAnsi"/>
          <w:sz w:val="20"/>
          <w:szCs w:val="20"/>
          <w:lang w:val="es-ES"/>
        </w:rPr>
        <w:t>La CIDH considera que este tipo de prácticas son</w:t>
      </w:r>
      <w:r w:rsidR="00AB3D6F" w:rsidRPr="07C31400">
        <w:rPr>
          <w:rFonts w:asciiTheme="majorHAnsi" w:hAnsiTheme="majorHAnsi"/>
          <w:sz w:val="20"/>
          <w:szCs w:val="20"/>
          <w:lang w:val="es-ES"/>
        </w:rPr>
        <w:t xml:space="preserve"> abiertamente</w:t>
      </w:r>
      <w:r w:rsidR="00462E7A" w:rsidRPr="07C31400">
        <w:rPr>
          <w:rFonts w:asciiTheme="majorHAnsi" w:hAnsiTheme="majorHAnsi"/>
          <w:sz w:val="20"/>
          <w:szCs w:val="20"/>
          <w:lang w:val="es-ES"/>
        </w:rPr>
        <w:t xml:space="preserve"> revictimizantes para las personas afectadas por hechos de violencia sexual y generan desincentivos para que otras </w:t>
      </w:r>
      <w:r w:rsidR="00B0168E" w:rsidRPr="07C31400">
        <w:rPr>
          <w:rFonts w:asciiTheme="majorHAnsi" w:hAnsiTheme="majorHAnsi"/>
          <w:sz w:val="20"/>
          <w:szCs w:val="20"/>
          <w:lang w:val="es-ES"/>
        </w:rPr>
        <w:t xml:space="preserve">mujeres </w:t>
      </w:r>
      <w:r w:rsidR="00462E7A" w:rsidRPr="07C31400">
        <w:rPr>
          <w:rFonts w:asciiTheme="majorHAnsi" w:hAnsiTheme="majorHAnsi"/>
          <w:sz w:val="20"/>
          <w:szCs w:val="20"/>
          <w:lang w:val="es-ES"/>
        </w:rPr>
        <w:t>afectadas confíen en las instituciones de la administración de justicia y denuncien l</w:t>
      </w:r>
      <w:r w:rsidR="00B35DA9" w:rsidRPr="07C31400">
        <w:rPr>
          <w:rFonts w:asciiTheme="majorHAnsi" w:hAnsiTheme="majorHAnsi"/>
          <w:sz w:val="20"/>
          <w:szCs w:val="20"/>
          <w:lang w:val="es-ES"/>
        </w:rPr>
        <w:t>a</w:t>
      </w:r>
      <w:r w:rsidR="00462E7A" w:rsidRPr="07C31400">
        <w:rPr>
          <w:rFonts w:asciiTheme="majorHAnsi" w:hAnsiTheme="majorHAnsi"/>
          <w:sz w:val="20"/>
          <w:szCs w:val="20"/>
          <w:lang w:val="es-ES"/>
        </w:rPr>
        <w:t>s agresiones a las que son sometidas.</w:t>
      </w:r>
    </w:p>
    <w:p w14:paraId="40BD6E38" w14:textId="77777777" w:rsidR="001C3E57" w:rsidRPr="004B114F" w:rsidRDefault="001C3E57" w:rsidP="004B114F">
      <w:pPr>
        <w:pStyle w:val="ListParagraph"/>
        <w:rPr>
          <w:rFonts w:asciiTheme="majorHAnsi" w:hAnsiTheme="majorHAnsi"/>
          <w:sz w:val="20"/>
          <w:szCs w:val="20"/>
          <w:lang w:val="es-ES_tradnl"/>
        </w:rPr>
      </w:pPr>
    </w:p>
    <w:p w14:paraId="3E3A250C" w14:textId="0C7DEDDA" w:rsidR="006E7809" w:rsidRPr="004B114F" w:rsidRDefault="001C3E57" w:rsidP="004B114F">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720"/>
        <w:jc w:val="both"/>
        <w:rPr>
          <w:rFonts w:asciiTheme="majorHAnsi" w:hAnsiTheme="majorHAnsi"/>
          <w:sz w:val="20"/>
          <w:szCs w:val="20"/>
          <w:lang w:val="es-ES_tradnl"/>
        </w:rPr>
      </w:pPr>
      <w:r w:rsidRPr="004B114F">
        <w:rPr>
          <w:rFonts w:asciiTheme="majorHAnsi" w:hAnsiTheme="majorHAnsi"/>
          <w:sz w:val="20"/>
          <w:szCs w:val="20"/>
          <w:lang w:val="es-ES_tradnl"/>
        </w:rPr>
        <w:t>Si bien el Estado ha manifestado en sus alegatos que el Ministerio Público</w:t>
      </w:r>
      <w:r w:rsidR="004F0CF4" w:rsidRPr="004B114F">
        <w:rPr>
          <w:rFonts w:asciiTheme="majorHAnsi" w:hAnsiTheme="majorHAnsi"/>
          <w:sz w:val="20"/>
          <w:szCs w:val="20"/>
          <w:lang w:val="es-ES_tradnl"/>
        </w:rPr>
        <w:t>,</w:t>
      </w:r>
      <w:r w:rsidRPr="004B114F">
        <w:rPr>
          <w:rFonts w:asciiTheme="majorHAnsi" w:hAnsiTheme="majorHAnsi"/>
          <w:sz w:val="20"/>
          <w:szCs w:val="20"/>
          <w:lang w:val="es-ES_tradnl"/>
        </w:rPr>
        <w:t xml:space="preserve"> </w:t>
      </w:r>
      <w:r w:rsidR="004F0CF4" w:rsidRPr="004B114F">
        <w:rPr>
          <w:rFonts w:asciiTheme="majorHAnsi" w:hAnsiTheme="majorHAnsi"/>
          <w:sz w:val="20"/>
          <w:szCs w:val="20"/>
          <w:lang w:val="es-ES_tradnl"/>
        </w:rPr>
        <w:t xml:space="preserve">como parte de la investigación, </w:t>
      </w:r>
      <w:r w:rsidRPr="004B114F">
        <w:rPr>
          <w:rFonts w:asciiTheme="majorHAnsi" w:hAnsiTheme="majorHAnsi"/>
          <w:sz w:val="20"/>
          <w:szCs w:val="20"/>
          <w:lang w:val="es-ES_tradnl"/>
        </w:rPr>
        <w:t>hab</w:t>
      </w:r>
      <w:r w:rsidR="00AB3D6F" w:rsidRPr="004B114F">
        <w:rPr>
          <w:rFonts w:asciiTheme="majorHAnsi" w:hAnsiTheme="majorHAnsi"/>
          <w:sz w:val="20"/>
          <w:szCs w:val="20"/>
          <w:lang w:val="es-ES_tradnl"/>
        </w:rPr>
        <w:t>r</w:t>
      </w:r>
      <w:r w:rsidRPr="004B114F">
        <w:rPr>
          <w:rFonts w:asciiTheme="majorHAnsi" w:hAnsiTheme="majorHAnsi"/>
          <w:sz w:val="20"/>
          <w:szCs w:val="20"/>
          <w:lang w:val="es-ES_tradnl"/>
        </w:rPr>
        <w:t xml:space="preserve">ía adelantado </w:t>
      </w:r>
      <w:r w:rsidR="00B35DA9" w:rsidRPr="004B114F">
        <w:rPr>
          <w:rFonts w:asciiTheme="majorHAnsi" w:hAnsiTheme="majorHAnsi"/>
          <w:sz w:val="20"/>
          <w:szCs w:val="20"/>
          <w:lang w:val="es-ES_tradnl"/>
        </w:rPr>
        <w:t xml:space="preserve">otras </w:t>
      </w:r>
      <w:r w:rsidRPr="004B114F">
        <w:rPr>
          <w:rFonts w:asciiTheme="majorHAnsi" w:hAnsiTheme="majorHAnsi"/>
          <w:sz w:val="20"/>
          <w:szCs w:val="20"/>
          <w:lang w:val="es-ES_tradnl"/>
        </w:rPr>
        <w:t>diligencias complementarias</w:t>
      </w:r>
      <w:r w:rsidR="00484983" w:rsidRPr="004B114F">
        <w:rPr>
          <w:rFonts w:asciiTheme="majorHAnsi" w:hAnsiTheme="majorHAnsi"/>
          <w:sz w:val="20"/>
          <w:szCs w:val="20"/>
          <w:lang w:val="es-ES_tradnl"/>
        </w:rPr>
        <w:t xml:space="preserve">, </w:t>
      </w:r>
      <w:r w:rsidRPr="004B114F">
        <w:rPr>
          <w:rFonts w:asciiTheme="majorHAnsi" w:hAnsiTheme="majorHAnsi"/>
          <w:sz w:val="20"/>
          <w:szCs w:val="20"/>
          <w:lang w:val="es-ES_tradnl"/>
        </w:rPr>
        <w:t>como inspecciones oculares en el lugar de los hechos,</w:t>
      </w:r>
      <w:r w:rsidR="00484983" w:rsidRPr="004B114F">
        <w:rPr>
          <w:rFonts w:asciiTheme="majorHAnsi" w:hAnsiTheme="majorHAnsi"/>
          <w:sz w:val="20"/>
          <w:szCs w:val="20"/>
          <w:lang w:val="es-ES_tradnl"/>
        </w:rPr>
        <w:t xml:space="preserve"> la</w:t>
      </w:r>
      <w:r w:rsidRPr="004B114F">
        <w:rPr>
          <w:rFonts w:asciiTheme="majorHAnsi" w:hAnsiTheme="majorHAnsi"/>
          <w:sz w:val="20"/>
          <w:szCs w:val="20"/>
          <w:lang w:val="es-ES_tradnl"/>
        </w:rPr>
        <w:t xml:space="preserve"> recolección de prendas íntimas de la presunta víctima</w:t>
      </w:r>
      <w:r w:rsidR="00484983" w:rsidRPr="004B114F">
        <w:rPr>
          <w:rFonts w:asciiTheme="majorHAnsi" w:hAnsiTheme="majorHAnsi"/>
          <w:sz w:val="20"/>
          <w:szCs w:val="20"/>
          <w:lang w:val="es-ES_tradnl"/>
        </w:rPr>
        <w:t xml:space="preserve">, o la </w:t>
      </w:r>
      <w:r w:rsidRPr="004B114F">
        <w:rPr>
          <w:rFonts w:asciiTheme="majorHAnsi" w:hAnsiTheme="majorHAnsi"/>
          <w:sz w:val="20"/>
          <w:szCs w:val="20"/>
          <w:lang w:val="es-ES_tradnl"/>
        </w:rPr>
        <w:t>verificación de la identidad y ubicación de los reclusos sindicados como responsables, no existe en el expediente ningún elemento probatorio que lleve a esta Comisión a concluir que dichas diligencias fueron, en efecto, practica</w:t>
      </w:r>
      <w:r w:rsidR="00B0168E" w:rsidRPr="004B114F">
        <w:rPr>
          <w:rFonts w:asciiTheme="majorHAnsi" w:hAnsiTheme="majorHAnsi"/>
          <w:sz w:val="20"/>
          <w:szCs w:val="20"/>
          <w:lang w:val="es-ES_tradnl"/>
        </w:rPr>
        <w:t>das, ni bajo qué condiciones</w:t>
      </w:r>
      <w:r w:rsidRPr="004B114F">
        <w:rPr>
          <w:rFonts w:asciiTheme="majorHAnsi" w:hAnsiTheme="majorHAnsi"/>
          <w:sz w:val="20"/>
          <w:szCs w:val="20"/>
          <w:lang w:val="es-ES_tradnl"/>
        </w:rPr>
        <w:t xml:space="preserve">. </w:t>
      </w:r>
      <w:r w:rsidR="00323344" w:rsidRPr="004B114F">
        <w:rPr>
          <w:rFonts w:asciiTheme="majorHAnsi" w:hAnsiTheme="majorHAnsi"/>
          <w:sz w:val="20"/>
          <w:szCs w:val="20"/>
          <w:lang w:val="es-ES_tradnl"/>
        </w:rPr>
        <w:t xml:space="preserve">Ello a pesar de que la peticionaria refirió expresamente diligencias elementales que no habían sido practicadas, tales como recolectar la ropa interior de la presunta víctima, realizar una inspección ocular del lugar de los hechos, realizar una experticia hematológica de los sospechosos. Sostuvo igualmente que, al menos seis años después de la violación sexual, la Fiscalía seguía esperando los resultados de diligencias o elementos de pruebas para el esclarecimiento de los hechos que debieron realizarse de forma inmediata. </w:t>
      </w:r>
      <w:r w:rsidRPr="004B114F">
        <w:rPr>
          <w:rFonts w:asciiTheme="majorHAnsi" w:hAnsiTheme="majorHAnsi"/>
          <w:sz w:val="20"/>
          <w:szCs w:val="20"/>
          <w:lang w:val="es-ES_tradnl"/>
        </w:rPr>
        <w:t xml:space="preserve">Incluso en el supuesto de que a la fecha de este informe </w:t>
      </w:r>
      <w:r w:rsidR="006E7809" w:rsidRPr="004B114F">
        <w:rPr>
          <w:rFonts w:asciiTheme="majorHAnsi" w:hAnsiTheme="majorHAnsi"/>
          <w:sz w:val="20"/>
          <w:szCs w:val="20"/>
          <w:lang w:val="es-ES_tradnl"/>
        </w:rPr>
        <w:t>la</w:t>
      </w:r>
      <w:r w:rsidRPr="004B114F">
        <w:rPr>
          <w:rFonts w:asciiTheme="majorHAnsi" w:hAnsiTheme="majorHAnsi"/>
          <w:sz w:val="20"/>
          <w:szCs w:val="20"/>
          <w:lang w:val="es-ES_tradnl"/>
        </w:rPr>
        <w:t>s</w:t>
      </w:r>
      <w:r w:rsidR="006E7809" w:rsidRPr="004B114F">
        <w:rPr>
          <w:rFonts w:asciiTheme="majorHAnsi" w:hAnsiTheme="majorHAnsi"/>
          <w:sz w:val="20"/>
          <w:szCs w:val="20"/>
          <w:lang w:val="es-ES_tradnl"/>
        </w:rPr>
        <w:t xml:space="preserve"> diligencias en cuestión</w:t>
      </w:r>
      <w:r w:rsidRPr="004B114F">
        <w:rPr>
          <w:rFonts w:asciiTheme="majorHAnsi" w:hAnsiTheme="majorHAnsi"/>
          <w:sz w:val="20"/>
          <w:szCs w:val="20"/>
          <w:lang w:val="es-ES_tradnl"/>
        </w:rPr>
        <w:t xml:space="preserve"> hubiesen tenido lugar, </w:t>
      </w:r>
      <w:r w:rsidR="00323344" w:rsidRPr="004B114F">
        <w:rPr>
          <w:rFonts w:asciiTheme="majorHAnsi" w:hAnsiTheme="majorHAnsi"/>
          <w:sz w:val="20"/>
          <w:szCs w:val="20"/>
          <w:lang w:val="es-ES_tradnl"/>
        </w:rPr>
        <w:t xml:space="preserve">la CIDH considera que </w:t>
      </w:r>
      <w:r w:rsidRPr="004B114F">
        <w:rPr>
          <w:rFonts w:asciiTheme="majorHAnsi" w:hAnsiTheme="majorHAnsi"/>
          <w:sz w:val="20"/>
          <w:szCs w:val="20"/>
          <w:lang w:val="es-ES_tradnl"/>
        </w:rPr>
        <w:t xml:space="preserve">la oportunidad en que fueron realizadas es contraria a la debida diligencia </w:t>
      </w:r>
      <w:r w:rsidR="00B0168E" w:rsidRPr="004B114F">
        <w:rPr>
          <w:rFonts w:asciiTheme="majorHAnsi" w:hAnsiTheme="majorHAnsi"/>
          <w:sz w:val="20"/>
          <w:szCs w:val="20"/>
          <w:lang w:val="es-ES_tradnl"/>
        </w:rPr>
        <w:t>que</w:t>
      </w:r>
      <w:r w:rsidRPr="004B114F">
        <w:rPr>
          <w:rFonts w:asciiTheme="majorHAnsi" w:hAnsiTheme="majorHAnsi"/>
          <w:sz w:val="20"/>
          <w:szCs w:val="20"/>
          <w:lang w:val="es-ES_tradnl"/>
        </w:rPr>
        <w:t xml:space="preserve"> </w:t>
      </w:r>
      <w:r w:rsidR="00B0168E" w:rsidRPr="004B114F">
        <w:rPr>
          <w:rFonts w:asciiTheme="majorHAnsi" w:hAnsiTheme="majorHAnsi"/>
          <w:sz w:val="20"/>
          <w:szCs w:val="20"/>
          <w:lang w:val="es-ES_tradnl"/>
        </w:rPr>
        <w:t xml:space="preserve">exigía </w:t>
      </w:r>
      <w:r w:rsidRPr="004B114F">
        <w:rPr>
          <w:rFonts w:asciiTheme="majorHAnsi" w:hAnsiTheme="majorHAnsi"/>
          <w:sz w:val="20"/>
          <w:szCs w:val="20"/>
          <w:lang w:val="es-ES_tradnl"/>
        </w:rPr>
        <w:t xml:space="preserve">al Estado de Venezuela </w:t>
      </w:r>
      <w:r w:rsidR="00B0168E" w:rsidRPr="004B114F">
        <w:rPr>
          <w:rFonts w:asciiTheme="majorHAnsi" w:hAnsiTheme="majorHAnsi"/>
          <w:sz w:val="20"/>
          <w:szCs w:val="20"/>
          <w:lang w:val="es-ES_tradnl"/>
        </w:rPr>
        <w:t xml:space="preserve">tomar acciones inmediatas y urgentes en el marco de </w:t>
      </w:r>
      <w:r w:rsidRPr="004B114F">
        <w:rPr>
          <w:rFonts w:asciiTheme="majorHAnsi" w:hAnsiTheme="majorHAnsi"/>
          <w:sz w:val="20"/>
          <w:szCs w:val="20"/>
          <w:lang w:val="es-ES_tradnl"/>
        </w:rPr>
        <w:t xml:space="preserve">la investigación penal. </w:t>
      </w:r>
      <w:r w:rsidR="004E7786" w:rsidRPr="004B114F">
        <w:rPr>
          <w:rFonts w:asciiTheme="majorHAnsi" w:hAnsiTheme="majorHAnsi"/>
          <w:sz w:val="20"/>
          <w:szCs w:val="20"/>
          <w:lang w:val="es-ES_tradnl"/>
        </w:rPr>
        <w:t xml:space="preserve">Cabe resaltar que, en la última comunicación del Estado, de fecha 25 de febrero de 2008, este anunciaba que la investigación penal por el delito de violación se encontraba todavía en fase preparatoria y que la Fiscalía estaba a la espera de los resultados de las diligencias ordenadas. </w:t>
      </w:r>
    </w:p>
    <w:p w14:paraId="57AC1ADE" w14:textId="77777777" w:rsidR="004E7786" w:rsidRPr="004B114F" w:rsidRDefault="004E7786" w:rsidP="004B114F">
      <w:pPr>
        <w:pStyle w:val="ListParagraph"/>
        <w:rPr>
          <w:rFonts w:asciiTheme="majorHAnsi" w:hAnsiTheme="majorHAnsi"/>
          <w:sz w:val="20"/>
          <w:szCs w:val="20"/>
          <w:lang w:val="es-ES_tradnl"/>
        </w:rPr>
      </w:pPr>
    </w:p>
    <w:p w14:paraId="008FAADE" w14:textId="4F9EEAD8" w:rsidR="004065EA" w:rsidRPr="004B114F" w:rsidRDefault="004E7786" w:rsidP="004B114F">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720"/>
        <w:jc w:val="both"/>
        <w:rPr>
          <w:rFonts w:asciiTheme="majorHAnsi" w:hAnsiTheme="majorHAnsi"/>
          <w:sz w:val="20"/>
          <w:szCs w:val="20"/>
          <w:lang w:val="es-ES_tradnl"/>
        </w:rPr>
      </w:pPr>
      <w:r w:rsidRPr="004B114F">
        <w:rPr>
          <w:rFonts w:asciiTheme="majorHAnsi" w:hAnsiTheme="majorHAnsi"/>
          <w:sz w:val="20"/>
          <w:szCs w:val="20"/>
          <w:lang w:val="es-ES_tradnl"/>
        </w:rPr>
        <w:t>En vista de lo anterior, la CIDH toma nota de que el proceso penal bajo comentario no ha pasado siquiera a fase de juicio, y que al menos seis años después de ocurridos los hechos</w:t>
      </w:r>
      <w:r w:rsidR="00302242" w:rsidRPr="004B114F">
        <w:rPr>
          <w:rFonts w:asciiTheme="majorHAnsi" w:hAnsiTheme="majorHAnsi"/>
          <w:sz w:val="20"/>
          <w:szCs w:val="20"/>
          <w:lang w:val="es-ES_tradnl"/>
        </w:rPr>
        <w:t xml:space="preserve"> -</w:t>
      </w:r>
      <w:r w:rsidR="004C4C08" w:rsidRPr="004B114F">
        <w:rPr>
          <w:rFonts w:asciiTheme="majorHAnsi" w:hAnsiTheme="majorHAnsi"/>
          <w:sz w:val="20"/>
          <w:szCs w:val="20"/>
          <w:lang w:val="es-ES_tradnl"/>
        </w:rPr>
        <w:t xml:space="preserve"> cuando </w:t>
      </w:r>
      <w:r w:rsidR="00302242" w:rsidRPr="004B114F">
        <w:rPr>
          <w:rFonts w:asciiTheme="majorHAnsi" w:hAnsiTheme="majorHAnsi"/>
          <w:sz w:val="20"/>
          <w:szCs w:val="20"/>
          <w:lang w:val="es-ES_tradnl"/>
        </w:rPr>
        <w:t xml:space="preserve">fue remitida la última comunicación de Venezuela - </w:t>
      </w:r>
      <w:r w:rsidRPr="004B114F">
        <w:rPr>
          <w:rFonts w:asciiTheme="majorHAnsi" w:hAnsiTheme="majorHAnsi"/>
          <w:sz w:val="20"/>
          <w:szCs w:val="20"/>
          <w:lang w:val="es-ES_tradnl"/>
        </w:rPr>
        <w:t>estos no habían sido esclarecidos</w:t>
      </w:r>
      <w:r w:rsidR="006E5CF8" w:rsidRPr="004B114F">
        <w:rPr>
          <w:rFonts w:asciiTheme="majorHAnsi" w:hAnsiTheme="majorHAnsi"/>
          <w:sz w:val="20"/>
          <w:szCs w:val="20"/>
          <w:lang w:val="es-ES_tradnl"/>
        </w:rPr>
        <w:t xml:space="preserve">, ni </w:t>
      </w:r>
      <w:r w:rsidRPr="004B114F">
        <w:rPr>
          <w:rFonts w:asciiTheme="majorHAnsi" w:hAnsiTheme="majorHAnsi"/>
          <w:sz w:val="20"/>
          <w:szCs w:val="20"/>
          <w:lang w:val="es-ES_tradnl"/>
        </w:rPr>
        <w:t xml:space="preserve">los presuntos responsables habían sido sancionados por el Estado. </w:t>
      </w:r>
      <w:r w:rsidR="009B04F4" w:rsidRPr="004B114F">
        <w:rPr>
          <w:rFonts w:asciiTheme="majorHAnsi" w:hAnsiTheme="majorHAnsi"/>
          <w:sz w:val="20"/>
          <w:szCs w:val="20"/>
          <w:lang w:val="es-ES_tradnl"/>
        </w:rPr>
        <w:t xml:space="preserve">Ello implica que no se ha formulado acusación fiscal contra los sospechosos, no se ha llevado a cabo el juicio y no se ha emitido decisión condenatoria o absolutoria siquiera en primera instancia. </w:t>
      </w:r>
      <w:r w:rsidR="00070205" w:rsidRPr="004B114F">
        <w:rPr>
          <w:rFonts w:asciiTheme="majorHAnsi" w:hAnsiTheme="majorHAnsi"/>
          <w:sz w:val="20"/>
          <w:szCs w:val="20"/>
          <w:lang w:val="es-ES_tradnl"/>
        </w:rPr>
        <w:t>L</w:t>
      </w:r>
      <w:r w:rsidR="006E5CF8" w:rsidRPr="004B114F">
        <w:rPr>
          <w:rFonts w:asciiTheme="majorHAnsi" w:hAnsiTheme="majorHAnsi"/>
          <w:sz w:val="20"/>
          <w:szCs w:val="20"/>
          <w:lang w:val="es-ES_tradnl"/>
        </w:rPr>
        <w:t>a información disponible en el expediente permite concluir que dicha situación se mantiene a la fecha, de modo que, habiendo transcurrido más de 20 años desde la grave violación sufrida por la señora Maleno, el Estado no le ha garantizado el acceso a la justicia dentro de un plazo razonable.</w:t>
      </w:r>
      <w:r w:rsidR="004C4C08" w:rsidRPr="004B114F">
        <w:rPr>
          <w:rFonts w:asciiTheme="majorHAnsi" w:hAnsiTheme="majorHAnsi"/>
          <w:sz w:val="20"/>
          <w:szCs w:val="20"/>
          <w:lang w:val="es-ES_tradnl"/>
        </w:rPr>
        <w:t xml:space="preserve"> La CIDH considera que este grave retardo procesal refleja la ausencia de una debida diligencia en la conducción de las investigaciones y se traduce en una fuente de revictimización </w:t>
      </w:r>
      <w:r w:rsidR="002E0BDE" w:rsidRPr="004B114F">
        <w:rPr>
          <w:rFonts w:asciiTheme="majorHAnsi" w:hAnsiTheme="majorHAnsi"/>
          <w:sz w:val="20"/>
          <w:szCs w:val="20"/>
          <w:lang w:val="es-ES_tradnl"/>
        </w:rPr>
        <w:t>para</w:t>
      </w:r>
      <w:r w:rsidR="004C4C08" w:rsidRPr="004B114F">
        <w:rPr>
          <w:rFonts w:asciiTheme="majorHAnsi" w:hAnsiTheme="majorHAnsi"/>
          <w:sz w:val="20"/>
          <w:szCs w:val="20"/>
          <w:lang w:val="es-ES_tradnl"/>
        </w:rPr>
        <w:t xml:space="preserve"> </w:t>
      </w:r>
      <w:r w:rsidR="002A7951" w:rsidRPr="004B114F">
        <w:rPr>
          <w:rFonts w:asciiTheme="majorHAnsi" w:hAnsiTheme="majorHAnsi"/>
          <w:sz w:val="20"/>
          <w:szCs w:val="20"/>
          <w:lang w:val="es-ES_tradnl"/>
        </w:rPr>
        <w:t>la señora Maleno</w:t>
      </w:r>
      <w:r w:rsidR="00462E7A" w:rsidRPr="004B114F">
        <w:rPr>
          <w:rFonts w:asciiTheme="majorHAnsi" w:hAnsiTheme="majorHAnsi"/>
          <w:sz w:val="20"/>
          <w:szCs w:val="20"/>
          <w:lang w:val="es-ES_tradnl"/>
        </w:rPr>
        <w:t>.</w:t>
      </w:r>
      <w:r w:rsidR="004065EA" w:rsidRPr="004B114F">
        <w:rPr>
          <w:rFonts w:asciiTheme="majorHAnsi" w:hAnsiTheme="majorHAnsi"/>
          <w:sz w:val="20"/>
          <w:szCs w:val="20"/>
          <w:lang w:val="es-ES_tradnl"/>
        </w:rPr>
        <w:t xml:space="preserve"> </w:t>
      </w:r>
    </w:p>
    <w:p w14:paraId="229AAF90" w14:textId="77777777" w:rsidR="004065EA" w:rsidRPr="004B114F" w:rsidRDefault="004065EA" w:rsidP="004B114F">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720"/>
        <w:jc w:val="both"/>
        <w:rPr>
          <w:rFonts w:asciiTheme="majorHAnsi" w:hAnsiTheme="majorHAnsi"/>
          <w:sz w:val="20"/>
          <w:szCs w:val="20"/>
          <w:lang w:val="es-ES_tradnl"/>
        </w:rPr>
      </w:pPr>
    </w:p>
    <w:p w14:paraId="234DE189" w14:textId="5FA89C99" w:rsidR="001C3E57" w:rsidRPr="004B114F" w:rsidRDefault="009B04F4" w:rsidP="004B114F">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720"/>
        <w:jc w:val="both"/>
        <w:rPr>
          <w:rFonts w:asciiTheme="majorHAnsi" w:hAnsiTheme="majorHAnsi"/>
          <w:sz w:val="20"/>
          <w:szCs w:val="20"/>
          <w:lang w:val="es-ES_tradnl"/>
        </w:rPr>
      </w:pPr>
      <w:r w:rsidRPr="004B114F">
        <w:rPr>
          <w:rFonts w:asciiTheme="majorHAnsi" w:hAnsiTheme="majorHAnsi"/>
          <w:sz w:val="20"/>
          <w:szCs w:val="20"/>
          <w:lang w:val="es-ES_tradnl"/>
        </w:rPr>
        <w:t>Por último</w:t>
      </w:r>
      <w:r w:rsidR="004065EA" w:rsidRPr="004B114F">
        <w:rPr>
          <w:rFonts w:asciiTheme="majorHAnsi" w:hAnsiTheme="majorHAnsi"/>
          <w:sz w:val="20"/>
          <w:szCs w:val="20"/>
          <w:lang w:val="es-ES_tradnl"/>
        </w:rPr>
        <w:t xml:space="preserve">, la CIDH </w:t>
      </w:r>
      <w:r w:rsidRPr="004B114F">
        <w:rPr>
          <w:rFonts w:asciiTheme="majorHAnsi" w:hAnsiTheme="majorHAnsi"/>
          <w:sz w:val="20"/>
          <w:szCs w:val="20"/>
          <w:lang w:val="es-ES_tradnl"/>
        </w:rPr>
        <w:t>constata</w:t>
      </w:r>
      <w:r w:rsidR="004065EA" w:rsidRPr="004B114F">
        <w:rPr>
          <w:rFonts w:asciiTheme="majorHAnsi" w:hAnsiTheme="majorHAnsi"/>
          <w:sz w:val="20"/>
          <w:szCs w:val="20"/>
          <w:lang w:val="es-ES_tradnl"/>
        </w:rPr>
        <w:t xml:space="preserve">, que tampoco consta en el expediente que el Estado </w:t>
      </w:r>
      <w:r w:rsidR="00D65363" w:rsidRPr="004B114F">
        <w:rPr>
          <w:rFonts w:asciiTheme="majorHAnsi" w:hAnsiTheme="majorHAnsi"/>
          <w:sz w:val="20"/>
          <w:szCs w:val="20"/>
          <w:lang w:val="es-ES_tradnl"/>
        </w:rPr>
        <w:t>v</w:t>
      </w:r>
      <w:r w:rsidR="004065EA" w:rsidRPr="004B114F">
        <w:rPr>
          <w:rFonts w:asciiTheme="majorHAnsi" w:hAnsiTheme="majorHAnsi"/>
          <w:sz w:val="20"/>
          <w:szCs w:val="20"/>
          <w:lang w:val="es-ES_tradnl"/>
        </w:rPr>
        <w:t xml:space="preserve">enezolano haya tomado cuidado de otros elementos que potencialmente darían indicios de una investigación penal conducida con debida diligencia. </w:t>
      </w:r>
      <w:r w:rsidR="00D65363" w:rsidRPr="004B114F">
        <w:rPr>
          <w:rFonts w:asciiTheme="majorHAnsi" w:hAnsiTheme="majorHAnsi"/>
          <w:sz w:val="20"/>
          <w:szCs w:val="20"/>
          <w:lang w:val="es-ES_tradnl"/>
        </w:rPr>
        <w:t>En particular</w:t>
      </w:r>
      <w:r w:rsidR="004065EA" w:rsidRPr="004B114F">
        <w:rPr>
          <w:rFonts w:asciiTheme="majorHAnsi" w:hAnsiTheme="majorHAnsi"/>
          <w:sz w:val="20"/>
          <w:szCs w:val="20"/>
          <w:lang w:val="es-ES_tradnl"/>
        </w:rPr>
        <w:t xml:space="preserve">, el Estado no ha aportado información respecto a haber aplicado un protocolo de atención para casos de violencia sexual; haber manejado de forma adecuada la prueba disponible, garantizando la cadena de custodia; o haber brindado a la señora Maleno atención médica, sanitaria y psicológica de manera continuada, </w:t>
      </w:r>
      <w:r w:rsidRPr="004B114F">
        <w:rPr>
          <w:rFonts w:asciiTheme="majorHAnsi" w:hAnsiTheme="majorHAnsi"/>
          <w:sz w:val="20"/>
          <w:szCs w:val="20"/>
          <w:lang w:val="es-ES_tradnl"/>
        </w:rPr>
        <w:t>ni</w:t>
      </w:r>
      <w:r w:rsidR="004065EA" w:rsidRPr="004B114F">
        <w:rPr>
          <w:rFonts w:asciiTheme="majorHAnsi" w:hAnsiTheme="majorHAnsi"/>
          <w:sz w:val="20"/>
          <w:szCs w:val="20"/>
          <w:lang w:val="es-ES_tradnl"/>
        </w:rPr>
        <w:t xml:space="preserve"> asistencia jurídica gratuita (ver </w:t>
      </w:r>
      <w:r w:rsidR="004065EA" w:rsidRPr="004B114F">
        <w:rPr>
          <w:rFonts w:asciiTheme="majorHAnsi" w:hAnsiTheme="majorHAnsi"/>
          <w:i/>
          <w:sz w:val="20"/>
          <w:szCs w:val="20"/>
          <w:lang w:val="es-ES_tradnl"/>
        </w:rPr>
        <w:t xml:space="preserve">supra </w:t>
      </w:r>
      <w:hyperlink w:anchor="_Condiciones_carcelarias_y" w:history="1">
        <w:r w:rsidRPr="004B114F">
          <w:rPr>
            <w:rStyle w:val="Hyperlink"/>
            <w:rFonts w:asciiTheme="majorHAnsi" w:hAnsiTheme="majorHAnsi"/>
            <w:sz w:val="20"/>
            <w:szCs w:val="20"/>
            <w:lang w:val="es-ES_tradnl"/>
          </w:rPr>
          <w:t>III.B.2</w:t>
        </w:r>
      </w:hyperlink>
      <w:r w:rsidRPr="004B114F">
        <w:rPr>
          <w:rFonts w:asciiTheme="majorHAnsi" w:hAnsiTheme="majorHAnsi"/>
          <w:sz w:val="20"/>
          <w:szCs w:val="20"/>
          <w:lang w:val="es-ES_tradnl"/>
        </w:rPr>
        <w:t xml:space="preserve"> y </w:t>
      </w:r>
      <w:hyperlink w:anchor="_Proceso_penal_iniciado" w:history="1">
        <w:r w:rsidRPr="004B114F">
          <w:rPr>
            <w:rStyle w:val="Hyperlink"/>
            <w:rFonts w:asciiTheme="majorHAnsi" w:hAnsiTheme="majorHAnsi"/>
            <w:sz w:val="20"/>
            <w:szCs w:val="20"/>
            <w:lang w:val="es-ES_tradnl"/>
          </w:rPr>
          <w:t>III.C.1</w:t>
        </w:r>
      </w:hyperlink>
      <w:r w:rsidR="004065EA" w:rsidRPr="004B114F">
        <w:rPr>
          <w:rFonts w:asciiTheme="majorHAnsi" w:hAnsiTheme="majorHAnsi"/>
          <w:sz w:val="20"/>
          <w:szCs w:val="20"/>
          <w:lang w:val="es-ES_tradnl"/>
        </w:rPr>
        <w:t>).</w:t>
      </w:r>
    </w:p>
    <w:p w14:paraId="7DD208EA" w14:textId="77777777" w:rsidR="00462E7A" w:rsidRPr="004B114F" w:rsidRDefault="00462E7A" w:rsidP="004B114F">
      <w:pPr>
        <w:pStyle w:val="ListParagraph"/>
        <w:rPr>
          <w:rFonts w:asciiTheme="majorHAnsi" w:hAnsiTheme="majorHAnsi"/>
          <w:sz w:val="20"/>
          <w:szCs w:val="20"/>
          <w:lang w:val="es-ES_tradnl"/>
        </w:rPr>
      </w:pPr>
    </w:p>
    <w:p w14:paraId="2AD1B9B6" w14:textId="0DC4DA98" w:rsidR="009562BA" w:rsidRDefault="0017322F" w:rsidP="07C31400">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720"/>
        <w:jc w:val="both"/>
        <w:rPr>
          <w:rFonts w:asciiTheme="majorHAnsi" w:hAnsiTheme="majorHAnsi"/>
          <w:sz w:val="20"/>
          <w:szCs w:val="20"/>
          <w:lang w:val="es-ES"/>
        </w:rPr>
      </w:pPr>
      <w:r w:rsidRPr="07C31400">
        <w:rPr>
          <w:rFonts w:asciiTheme="majorHAnsi" w:hAnsiTheme="majorHAnsi"/>
          <w:sz w:val="20"/>
          <w:szCs w:val="20"/>
          <w:lang w:val="es-ES"/>
        </w:rPr>
        <w:t>Por todo lo señalado, la Comisión Interamericana debe concluir que</w:t>
      </w:r>
      <w:r w:rsidR="0085249A" w:rsidRPr="07C31400">
        <w:rPr>
          <w:rFonts w:asciiTheme="majorHAnsi" w:hAnsiTheme="majorHAnsi"/>
          <w:sz w:val="20"/>
          <w:szCs w:val="20"/>
          <w:lang w:val="es-ES"/>
        </w:rPr>
        <w:t>, en relación con la violación sexual denunciada en el presente caso,</w:t>
      </w:r>
      <w:r w:rsidRPr="07C31400">
        <w:rPr>
          <w:rFonts w:asciiTheme="majorHAnsi" w:hAnsiTheme="majorHAnsi"/>
          <w:sz w:val="20"/>
          <w:szCs w:val="20"/>
          <w:lang w:val="es-ES"/>
        </w:rPr>
        <w:t xml:space="preserve"> el Estado de Venezuela es responsable por la violación de los artículos, 5.1, 5.2, </w:t>
      </w:r>
      <w:r w:rsidR="00DF3DF3" w:rsidRPr="07C31400">
        <w:rPr>
          <w:rFonts w:asciiTheme="majorHAnsi" w:hAnsiTheme="majorHAnsi"/>
          <w:sz w:val="20"/>
          <w:szCs w:val="20"/>
          <w:lang w:val="es-ES"/>
        </w:rPr>
        <w:t xml:space="preserve">5.4, </w:t>
      </w:r>
      <w:r w:rsidRPr="07C31400">
        <w:rPr>
          <w:rFonts w:asciiTheme="majorHAnsi" w:hAnsiTheme="majorHAnsi"/>
          <w:sz w:val="20"/>
          <w:szCs w:val="20"/>
          <w:lang w:val="es-ES"/>
        </w:rPr>
        <w:t>8.1, 11, 24 y 25.1 de la Convención Americana en relación con el artículo 1.1 del mismo tratado, los artículos 1, 6 y 8 de la CIPST y el artículo 7</w:t>
      </w:r>
      <w:r w:rsidR="007C267D" w:rsidRPr="07C31400">
        <w:rPr>
          <w:rFonts w:asciiTheme="majorHAnsi" w:hAnsiTheme="majorHAnsi"/>
          <w:sz w:val="20"/>
          <w:szCs w:val="20"/>
          <w:lang w:val="es-ES"/>
        </w:rPr>
        <w:t>, literal b)</w:t>
      </w:r>
      <w:r w:rsidRPr="07C31400">
        <w:rPr>
          <w:rFonts w:asciiTheme="majorHAnsi" w:hAnsiTheme="majorHAnsi"/>
          <w:sz w:val="20"/>
          <w:szCs w:val="20"/>
          <w:lang w:val="es-ES"/>
        </w:rPr>
        <w:t xml:space="preserve"> de la Convención de Belém do Pará, todos ellos en perjuicio de la señora Dianora Maleno.</w:t>
      </w:r>
    </w:p>
    <w:p w14:paraId="75A7B088" w14:textId="77777777" w:rsidR="00BF6095" w:rsidRPr="00DE778C" w:rsidRDefault="00BF6095" w:rsidP="00BF6095">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jc w:val="both"/>
        <w:rPr>
          <w:rFonts w:asciiTheme="majorHAnsi" w:hAnsiTheme="majorHAnsi"/>
          <w:sz w:val="20"/>
          <w:szCs w:val="20"/>
          <w:lang w:val="es-ES_tradnl"/>
        </w:rPr>
      </w:pPr>
    </w:p>
    <w:p w14:paraId="31C72E3E" w14:textId="0F1BAB9A" w:rsidR="00115E91" w:rsidRDefault="00115E91" w:rsidP="004B114F">
      <w:pPr>
        <w:pStyle w:val="parrafos"/>
        <w:tabs>
          <w:tab w:val="clear" w:pos="360"/>
          <w:tab w:val="left" w:pos="993"/>
        </w:tabs>
        <w:autoSpaceDE w:val="0"/>
        <w:autoSpaceDN w:val="0"/>
        <w:adjustRightInd w:val="0"/>
        <w:rPr>
          <w:lang w:val="es-ES_tradnl"/>
        </w:rPr>
      </w:pPr>
    </w:p>
    <w:p w14:paraId="4145CA8C" w14:textId="77777777" w:rsidR="00D12193" w:rsidRPr="004B114F" w:rsidRDefault="00F5400E" w:rsidP="004B114F">
      <w:pPr>
        <w:pStyle w:val="Heading1"/>
        <w:rPr>
          <w:szCs w:val="20"/>
          <w:lang w:val="es-ES_tradnl"/>
        </w:rPr>
      </w:pPr>
      <w:bookmarkStart w:id="53" w:name="_Toc142398967"/>
      <w:r w:rsidRPr="004B114F">
        <w:rPr>
          <w:szCs w:val="20"/>
          <w:lang w:val="es-ES_tradnl"/>
        </w:rPr>
        <w:lastRenderedPageBreak/>
        <w:t>CONCLUSIONES Y RECOMENDACIONES</w:t>
      </w:r>
      <w:bookmarkEnd w:id="53"/>
    </w:p>
    <w:p w14:paraId="2D78353D" w14:textId="77777777" w:rsidR="00D12193" w:rsidRPr="004B114F" w:rsidRDefault="00D12193" w:rsidP="004B114F">
      <w:pPr>
        <w:suppressAutoHyphens/>
        <w:rPr>
          <w:rFonts w:asciiTheme="majorHAnsi" w:hAnsiTheme="majorHAnsi"/>
          <w:b/>
          <w:sz w:val="20"/>
          <w:szCs w:val="20"/>
          <w:lang w:val="es-ES_tradnl"/>
        </w:rPr>
      </w:pPr>
    </w:p>
    <w:p w14:paraId="779F352E" w14:textId="667B0C21" w:rsidR="00006896" w:rsidRPr="004B114F" w:rsidRDefault="00003576" w:rsidP="004B114F">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suppressAutoHyphens/>
        <w:ind w:left="0" w:firstLine="630"/>
        <w:jc w:val="both"/>
        <w:rPr>
          <w:rFonts w:asciiTheme="majorHAnsi" w:hAnsiTheme="majorHAnsi"/>
          <w:sz w:val="20"/>
          <w:szCs w:val="20"/>
          <w:lang w:val="es-ES_tradnl"/>
        </w:rPr>
      </w:pPr>
      <w:r w:rsidRPr="004B114F">
        <w:rPr>
          <w:rFonts w:asciiTheme="majorHAnsi" w:hAnsiTheme="majorHAnsi"/>
          <w:color w:val="000000" w:themeColor="text1"/>
          <w:sz w:val="20"/>
          <w:szCs w:val="20"/>
          <w:lang w:val="es-ES_tradnl"/>
        </w:rPr>
        <w:t xml:space="preserve">En razón de las determinaciones de hecho y de derecho, la Comisión Interamericana concluye que el Estado </w:t>
      </w:r>
      <w:r w:rsidR="00CB0AAD" w:rsidRPr="004B114F">
        <w:rPr>
          <w:rFonts w:asciiTheme="majorHAnsi" w:hAnsiTheme="majorHAnsi"/>
          <w:color w:val="000000" w:themeColor="text1"/>
          <w:sz w:val="20"/>
          <w:szCs w:val="20"/>
          <w:lang w:val="es-ES_tradnl"/>
        </w:rPr>
        <w:t xml:space="preserve">Venezolano </w:t>
      </w:r>
      <w:r w:rsidRPr="004B114F">
        <w:rPr>
          <w:rFonts w:asciiTheme="majorHAnsi" w:hAnsiTheme="majorHAnsi"/>
          <w:color w:val="000000" w:themeColor="text1"/>
          <w:sz w:val="20"/>
          <w:szCs w:val="20"/>
          <w:lang w:val="es-ES_tradnl"/>
        </w:rPr>
        <w:t>es responsable por la violación de los artículos 5.1</w:t>
      </w:r>
      <w:r w:rsidR="00CB0AAD" w:rsidRPr="004B114F">
        <w:rPr>
          <w:rFonts w:asciiTheme="majorHAnsi" w:hAnsiTheme="majorHAnsi"/>
          <w:color w:val="000000" w:themeColor="text1"/>
          <w:sz w:val="20"/>
          <w:szCs w:val="20"/>
          <w:lang w:val="es-ES_tradnl"/>
        </w:rPr>
        <w:t xml:space="preserve">, </w:t>
      </w:r>
      <w:r w:rsidRPr="004B114F">
        <w:rPr>
          <w:rFonts w:asciiTheme="majorHAnsi" w:hAnsiTheme="majorHAnsi"/>
          <w:color w:val="000000" w:themeColor="text1"/>
          <w:sz w:val="20"/>
          <w:szCs w:val="20"/>
          <w:lang w:val="es-ES_tradnl"/>
        </w:rPr>
        <w:t>5.2</w:t>
      </w:r>
      <w:r w:rsidR="00CB0AAD" w:rsidRPr="004B114F">
        <w:rPr>
          <w:rFonts w:asciiTheme="majorHAnsi" w:hAnsiTheme="majorHAnsi"/>
          <w:color w:val="000000" w:themeColor="text1"/>
          <w:sz w:val="20"/>
          <w:szCs w:val="20"/>
          <w:lang w:val="es-ES_tradnl"/>
        </w:rPr>
        <w:t xml:space="preserve"> y 5.4</w:t>
      </w:r>
      <w:r w:rsidRPr="004B114F">
        <w:rPr>
          <w:rFonts w:asciiTheme="majorHAnsi" w:hAnsiTheme="majorHAnsi"/>
          <w:color w:val="000000" w:themeColor="text1"/>
          <w:sz w:val="20"/>
          <w:szCs w:val="20"/>
          <w:lang w:val="es-ES_tradnl"/>
        </w:rPr>
        <w:t xml:space="preserve"> (derecho a la integridad personal), </w:t>
      </w:r>
      <w:r w:rsidR="00EB2B76" w:rsidRPr="004B114F">
        <w:rPr>
          <w:rFonts w:asciiTheme="majorHAnsi" w:eastAsia="Cambria" w:hAnsiTheme="majorHAnsi" w:cs="Cambria"/>
          <w:sz w:val="20"/>
          <w:szCs w:val="20"/>
          <w:lang w:val="es-ES"/>
        </w:rPr>
        <w:t xml:space="preserve">7.3 y 7.5 (libertad personal), </w:t>
      </w:r>
      <w:r w:rsidRPr="004B114F">
        <w:rPr>
          <w:rFonts w:asciiTheme="majorHAnsi" w:hAnsiTheme="majorHAnsi"/>
          <w:color w:val="000000" w:themeColor="text1"/>
          <w:sz w:val="20"/>
          <w:szCs w:val="20"/>
          <w:lang w:val="es-ES_tradnl"/>
        </w:rPr>
        <w:t xml:space="preserve">8.1 y 8.2 (derecho a las garantías judiciales), </w:t>
      </w:r>
      <w:r w:rsidR="00CB0AAD" w:rsidRPr="004B114F">
        <w:rPr>
          <w:rFonts w:asciiTheme="majorHAnsi" w:hAnsiTheme="majorHAnsi"/>
          <w:color w:val="000000" w:themeColor="text1"/>
          <w:sz w:val="20"/>
          <w:szCs w:val="20"/>
          <w:lang w:val="es-ES_tradnl"/>
        </w:rPr>
        <w:t xml:space="preserve">11 (derecho a la vida privada), 24 (derecho a la igualdad ante la ley) y </w:t>
      </w:r>
      <w:r w:rsidRPr="004B114F">
        <w:rPr>
          <w:rFonts w:asciiTheme="majorHAnsi" w:hAnsiTheme="majorHAnsi"/>
          <w:color w:val="000000" w:themeColor="text1"/>
          <w:sz w:val="20"/>
          <w:szCs w:val="20"/>
          <w:lang w:val="es-ES_tradnl"/>
        </w:rPr>
        <w:t xml:space="preserve">25.1 (derecho a la protección judicial) de la Convención Americana sobre Derechos humanos, en relación con las obligaciones establecidas en </w:t>
      </w:r>
      <w:r w:rsidR="00CB0AAD" w:rsidRPr="004B114F">
        <w:rPr>
          <w:rFonts w:asciiTheme="majorHAnsi" w:hAnsiTheme="majorHAnsi"/>
          <w:color w:val="000000" w:themeColor="text1"/>
          <w:sz w:val="20"/>
          <w:szCs w:val="20"/>
          <w:lang w:val="es-ES_tradnl"/>
        </w:rPr>
        <w:t xml:space="preserve">el artículo 1.1 </w:t>
      </w:r>
      <w:r w:rsidRPr="004B114F">
        <w:rPr>
          <w:rFonts w:asciiTheme="majorHAnsi" w:hAnsiTheme="majorHAnsi"/>
          <w:color w:val="000000" w:themeColor="text1"/>
          <w:sz w:val="20"/>
          <w:szCs w:val="20"/>
          <w:lang w:val="es-ES_tradnl"/>
        </w:rPr>
        <w:t>del mismo instrument</w:t>
      </w:r>
      <w:r w:rsidR="005E2740" w:rsidRPr="004B114F">
        <w:rPr>
          <w:rFonts w:asciiTheme="majorHAnsi" w:hAnsiTheme="majorHAnsi"/>
          <w:color w:val="000000" w:themeColor="text1"/>
          <w:sz w:val="20"/>
          <w:szCs w:val="20"/>
          <w:lang w:val="es-ES_tradnl"/>
        </w:rPr>
        <w:t>o</w:t>
      </w:r>
      <w:r w:rsidR="00DF3DF3">
        <w:rPr>
          <w:rFonts w:asciiTheme="majorHAnsi" w:hAnsiTheme="majorHAnsi"/>
          <w:color w:val="000000" w:themeColor="text1"/>
          <w:sz w:val="20"/>
          <w:szCs w:val="20"/>
          <w:lang w:val="es-ES_tradnl"/>
        </w:rPr>
        <w:t>;</w:t>
      </w:r>
      <w:r w:rsidR="005E2740" w:rsidRPr="004B114F">
        <w:rPr>
          <w:rFonts w:asciiTheme="majorHAnsi" w:hAnsiTheme="majorHAnsi"/>
          <w:color w:val="000000" w:themeColor="text1"/>
          <w:sz w:val="20"/>
          <w:szCs w:val="20"/>
          <w:lang w:val="es-ES_tradnl"/>
        </w:rPr>
        <w:t xml:space="preserve"> en los artículos 1, 6 y 8 de la Convención Interamericana para Prevenir y Sancionar la Tortura</w:t>
      </w:r>
      <w:r w:rsidR="00DF3DF3">
        <w:rPr>
          <w:rFonts w:asciiTheme="majorHAnsi" w:hAnsiTheme="majorHAnsi"/>
          <w:color w:val="000000" w:themeColor="text1"/>
          <w:sz w:val="20"/>
          <w:szCs w:val="20"/>
          <w:lang w:val="es-ES_tradnl"/>
        </w:rPr>
        <w:t>;</w:t>
      </w:r>
      <w:r w:rsidR="005E2740" w:rsidRPr="004B114F">
        <w:rPr>
          <w:rFonts w:asciiTheme="majorHAnsi" w:hAnsiTheme="majorHAnsi"/>
          <w:color w:val="000000" w:themeColor="text1"/>
          <w:sz w:val="20"/>
          <w:szCs w:val="20"/>
          <w:lang w:val="es-ES_tradnl"/>
        </w:rPr>
        <w:t xml:space="preserve"> y en el artículo 7</w:t>
      </w:r>
      <w:r w:rsidR="009D5BF2" w:rsidRPr="004B114F">
        <w:rPr>
          <w:rFonts w:asciiTheme="majorHAnsi" w:hAnsiTheme="majorHAnsi"/>
          <w:color w:val="000000" w:themeColor="text1"/>
          <w:sz w:val="20"/>
          <w:szCs w:val="20"/>
          <w:lang w:val="es-ES_tradnl"/>
        </w:rPr>
        <w:t>, literal b</w:t>
      </w:r>
      <w:r w:rsidR="005E2740" w:rsidRPr="004B114F">
        <w:rPr>
          <w:rFonts w:asciiTheme="majorHAnsi" w:hAnsiTheme="majorHAnsi"/>
          <w:color w:val="000000" w:themeColor="text1"/>
          <w:sz w:val="20"/>
          <w:szCs w:val="20"/>
          <w:lang w:val="es-ES_tradnl"/>
        </w:rPr>
        <w:t xml:space="preserve"> de la Convención Interamericana para Prevenir, Sancionar y Erradicar la Violencia contra la Mujer “Convención de Belém do Pará”.</w:t>
      </w:r>
    </w:p>
    <w:p w14:paraId="31C8259D" w14:textId="77777777" w:rsidR="007162A7" w:rsidRPr="004B114F" w:rsidRDefault="007162A7" w:rsidP="004B114F">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suppressAutoHyphens/>
        <w:ind w:left="630"/>
        <w:jc w:val="both"/>
        <w:rPr>
          <w:rFonts w:asciiTheme="majorHAnsi" w:hAnsiTheme="majorHAnsi"/>
          <w:sz w:val="20"/>
          <w:szCs w:val="20"/>
          <w:lang w:val="es-ES_tradnl"/>
        </w:rPr>
      </w:pPr>
    </w:p>
    <w:p w14:paraId="6657D445" w14:textId="77777777" w:rsidR="005F309E" w:rsidRPr="004B114F" w:rsidRDefault="00003576" w:rsidP="004B114F">
      <w:pPr>
        <w:jc w:val="both"/>
        <w:rPr>
          <w:rFonts w:asciiTheme="majorHAnsi" w:hAnsiTheme="majorHAnsi"/>
          <w:b/>
          <w:bCs/>
          <w:sz w:val="20"/>
          <w:szCs w:val="20"/>
          <w:lang w:val="es-ES_tradnl"/>
        </w:rPr>
      </w:pPr>
      <w:r w:rsidRPr="004B114F">
        <w:rPr>
          <w:rFonts w:asciiTheme="majorHAnsi" w:hAnsiTheme="majorHAnsi"/>
          <w:b/>
          <w:bCs/>
          <w:sz w:val="20"/>
          <w:szCs w:val="20"/>
          <w:lang w:val="es-ES_tradnl"/>
        </w:rPr>
        <w:t>LA COMISIÓN INTERAMERICANA DE DERECHOS HUMANOS RECOMIENDA AL ESTADO DE VENEZUELA:</w:t>
      </w:r>
    </w:p>
    <w:p w14:paraId="52774BE8" w14:textId="77777777" w:rsidR="00003576" w:rsidRPr="004B114F" w:rsidRDefault="00003576" w:rsidP="004B114F">
      <w:pPr>
        <w:ind w:firstLine="720"/>
        <w:jc w:val="both"/>
        <w:rPr>
          <w:rFonts w:asciiTheme="majorHAnsi" w:eastAsia="Times New Roman" w:hAnsiTheme="majorHAnsi" w:cs="Tahoma"/>
          <w:sz w:val="20"/>
          <w:szCs w:val="20"/>
          <w:bdr w:val="none" w:sz="0" w:space="0" w:color="auto"/>
          <w:lang w:val="es-ES_tradnl"/>
        </w:rPr>
      </w:pPr>
    </w:p>
    <w:p w14:paraId="45A7F240" w14:textId="5B05E55E" w:rsidR="005E2740" w:rsidRPr="004B114F" w:rsidRDefault="005E2740" w:rsidP="004B114F">
      <w:pPr>
        <w:pStyle w:val="BodyText3"/>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clear" w:pos="1860"/>
          <w:tab w:val="left" w:pos="993"/>
        </w:tabs>
        <w:spacing w:after="0"/>
        <w:ind w:left="0" w:right="6" w:firstLine="567"/>
        <w:jc w:val="both"/>
        <w:rPr>
          <w:rFonts w:asciiTheme="majorHAnsi" w:hAnsiTheme="majorHAnsi"/>
          <w:sz w:val="20"/>
          <w:szCs w:val="20"/>
          <w:lang w:val="es-ES_tradnl"/>
        </w:rPr>
      </w:pPr>
      <w:r w:rsidRPr="004B114F">
        <w:rPr>
          <w:rFonts w:asciiTheme="majorHAnsi" w:hAnsiTheme="majorHAnsi"/>
          <w:sz w:val="20"/>
          <w:szCs w:val="20"/>
          <w:lang w:val="es-ES_tradnl"/>
        </w:rPr>
        <w:t xml:space="preserve">Reparar integralmente las violaciones de derechos declaradas en el presente informe tanto en el aspecto material como moral, incluyendo el pago de una justa indemnización por concepto de los daños ocasionados. </w:t>
      </w:r>
    </w:p>
    <w:p w14:paraId="0C3D38AB" w14:textId="77777777" w:rsidR="00C404DD" w:rsidRPr="004B114F" w:rsidRDefault="00C404DD" w:rsidP="004B114F">
      <w:pPr>
        <w:pStyle w:val="BodyText3"/>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ind w:left="567" w:right="6"/>
        <w:jc w:val="both"/>
        <w:rPr>
          <w:rFonts w:asciiTheme="majorHAnsi" w:hAnsiTheme="majorHAnsi"/>
          <w:sz w:val="20"/>
          <w:szCs w:val="20"/>
          <w:lang w:val="es-ES_tradnl"/>
        </w:rPr>
      </w:pPr>
    </w:p>
    <w:p w14:paraId="397B7DEC" w14:textId="5E17B5C6" w:rsidR="00EB409C" w:rsidRPr="00DE778C" w:rsidRDefault="00EB409C" w:rsidP="004B114F">
      <w:pPr>
        <w:pStyle w:val="BodyText3"/>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clear" w:pos="1860"/>
          <w:tab w:val="left" w:pos="993"/>
        </w:tabs>
        <w:spacing w:after="0"/>
        <w:ind w:left="0" w:right="6" w:firstLine="567"/>
        <w:jc w:val="both"/>
        <w:rPr>
          <w:rFonts w:asciiTheme="majorHAnsi" w:hAnsiTheme="majorHAnsi"/>
          <w:sz w:val="20"/>
          <w:szCs w:val="20"/>
          <w:lang w:val="es-ES_tradnl"/>
        </w:rPr>
      </w:pPr>
      <w:r w:rsidRPr="00DE778C">
        <w:rPr>
          <w:rFonts w:asciiTheme="majorHAnsi" w:hAnsiTheme="majorHAnsi" w:cs="Tahoma"/>
          <w:sz w:val="20"/>
          <w:szCs w:val="20"/>
          <w:lang w:val="es-ES"/>
        </w:rPr>
        <w:t xml:space="preserve">Disponer las medidas de atención en salud física y mental necesarias para la rehabilitación de </w:t>
      </w:r>
      <w:r w:rsidRPr="00DE778C">
        <w:rPr>
          <w:rFonts w:asciiTheme="majorHAnsi" w:eastAsia="Cambria" w:hAnsiTheme="majorHAnsi" w:cs="Cambria"/>
          <w:sz w:val="20"/>
          <w:szCs w:val="20"/>
          <w:lang w:val="es-ES"/>
        </w:rPr>
        <w:t>la señora Dianora Maleno</w:t>
      </w:r>
      <w:r w:rsidRPr="00DE778C">
        <w:rPr>
          <w:rFonts w:asciiTheme="majorHAnsi" w:hAnsiTheme="majorHAnsi" w:cs="Tahoma"/>
          <w:sz w:val="20"/>
          <w:szCs w:val="20"/>
          <w:lang w:val="es-ES"/>
        </w:rPr>
        <w:t xml:space="preserve">, de ser su </w:t>
      </w:r>
      <w:r w:rsidRPr="00DE778C">
        <w:rPr>
          <w:rFonts w:asciiTheme="majorHAnsi" w:eastAsia="Cambria" w:hAnsiTheme="majorHAnsi" w:cs="Cambria"/>
          <w:sz w:val="20"/>
          <w:szCs w:val="20"/>
          <w:lang w:val="es-ES"/>
        </w:rPr>
        <w:t>voluntad</w:t>
      </w:r>
      <w:r w:rsidRPr="00DE778C">
        <w:rPr>
          <w:rFonts w:asciiTheme="majorHAnsi" w:hAnsiTheme="majorHAnsi" w:cs="Tahoma"/>
          <w:sz w:val="20"/>
          <w:szCs w:val="20"/>
          <w:lang w:val="es-ES"/>
        </w:rPr>
        <w:t xml:space="preserve"> y de manera concertada.</w:t>
      </w:r>
    </w:p>
    <w:p w14:paraId="519AA1EC" w14:textId="77777777" w:rsidR="00EB409C" w:rsidRPr="004B114F" w:rsidRDefault="00EB409C" w:rsidP="00DE778C">
      <w:pPr>
        <w:pStyle w:val="ListParagraph"/>
        <w:rPr>
          <w:rFonts w:asciiTheme="majorHAnsi" w:hAnsiTheme="majorHAnsi"/>
          <w:sz w:val="20"/>
          <w:szCs w:val="20"/>
          <w:lang w:val="es-ES_tradnl"/>
        </w:rPr>
      </w:pPr>
    </w:p>
    <w:p w14:paraId="57055B76" w14:textId="1ACCAFA8" w:rsidR="005E2740" w:rsidRPr="004B114F" w:rsidRDefault="005E2740" w:rsidP="07C31400">
      <w:pPr>
        <w:pStyle w:val="BodyText3"/>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clear" w:pos="1860"/>
          <w:tab w:val="left" w:pos="993"/>
        </w:tabs>
        <w:spacing w:after="0"/>
        <w:ind w:left="0" w:right="6" w:firstLine="567"/>
        <w:jc w:val="both"/>
        <w:rPr>
          <w:rFonts w:asciiTheme="majorHAnsi" w:hAnsiTheme="majorHAnsi"/>
          <w:sz w:val="20"/>
          <w:szCs w:val="20"/>
          <w:lang w:val="es-ES"/>
        </w:rPr>
      </w:pPr>
      <w:r w:rsidRPr="07C31400">
        <w:rPr>
          <w:rFonts w:asciiTheme="majorHAnsi" w:hAnsiTheme="majorHAnsi"/>
          <w:sz w:val="20"/>
          <w:szCs w:val="20"/>
          <w:lang w:val="es-ES"/>
        </w:rPr>
        <w:t>Disponer medidas para garantizar que el proceso penal que aún se mantiene abierto contra la señora Dianora Maleno sea resuelto, en cuanto al fondo, dentro de un plazo razonable e integrando las demás garantías del debido proceso legal.</w:t>
      </w:r>
    </w:p>
    <w:p w14:paraId="73DE889D" w14:textId="77777777" w:rsidR="00C404DD" w:rsidRPr="004B114F" w:rsidRDefault="00C404DD" w:rsidP="004B114F">
      <w:pPr>
        <w:pStyle w:val="ListParagraph"/>
        <w:rPr>
          <w:rFonts w:asciiTheme="majorHAnsi" w:hAnsiTheme="majorHAnsi"/>
          <w:sz w:val="20"/>
          <w:szCs w:val="20"/>
          <w:lang w:val="es-ES_tradnl"/>
        </w:rPr>
      </w:pPr>
    </w:p>
    <w:p w14:paraId="0392B262" w14:textId="3B2BE0DA" w:rsidR="005E2740" w:rsidRPr="001538EB" w:rsidRDefault="005E2740" w:rsidP="07C31400">
      <w:pPr>
        <w:pStyle w:val="BodyText3"/>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clear" w:pos="1860"/>
          <w:tab w:val="left" w:pos="993"/>
        </w:tabs>
        <w:spacing w:after="0"/>
        <w:ind w:left="0" w:right="4" w:firstLine="567"/>
        <w:jc w:val="both"/>
        <w:rPr>
          <w:rFonts w:asciiTheme="majorHAnsi" w:hAnsiTheme="majorHAnsi"/>
          <w:sz w:val="20"/>
          <w:szCs w:val="20"/>
          <w:lang w:val="es-ES"/>
        </w:rPr>
      </w:pPr>
      <w:r w:rsidRPr="07C31400">
        <w:rPr>
          <w:rFonts w:asciiTheme="majorHAnsi" w:hAnsiTheme="majorHAnsi"/>
          <w:sz w:val="20"/>
          <w:szCs w:val="20"/>
          <w:lang w:val="es-ES"/>
        </w:rPr>
        <w:t xml:space="preserve">Disponer medidas para garantizar que el proceso penal en curso por la violación sexual a la que fue sometida la señora Dianora Maleno sea resuelto incorporando las garantías del debido proceso, el estándar de la debida diligencia y la perspectiva de género. Asimismo, </w:t>
      </w:r>
      <w:r w:rsidR="00440F08" w:rsidRPr="07C31400">
        <w:rPr>
          <w:rFonts w:asciiTheme="majorHAnsi" w:hAnsiTheme="majorHAnsi"/>
          <w:sz w:val="20"/>
          <w:szCs w:val="20"/>
          <w:lang w:val="es-ES"/>
        </w:rPr>
        <w:t xml:space="preserve">desplegar </w:t>
      </w:r>
      <w:r w:rsidRPr="07C31400">
        <w:rPr>
          <w:rFonts w:asciiTheme="majorHAnsi" w:hAnsiTheme="majorHAnsi"/>
          <w:sz w:val="20"/>
          <w:szCs w:val="20"/>
          <w:lang w:val="es-ES"/>
        </w:rPr>
        <w:t>esfuerzos para atribuir las responsabilidades penales que correspondan, y otorgar medidas de reparación a la señora Dianora Maleno.</w:t>
      </w:r>
    </w:p>
    <w:p w14:paraId="35A9E1A2" w14:textId="77777777" w:rsidR="00C404DD" w:rsidRPr="001538EB" w:rsidRDefault="00C404DD" w:rsidP="004B114F">
      <w:pPr>
        <w:pStyle w:val="ListParagraph"/>
        <w:rPr>
          <w:rFonts w:asciiTheme="majorHAnsi" w:hAnsiTheme="majorHAnsi"/>
          <w:sz w:val="20"/>
          <w:szCs w:val="20"/>
          <w:lang w:val="es-ES_tradnl"/>
        </w:rPr>
      </w:pPr>
    </w:p>
    <w:p w14:paraId="7CCC6507" w14:textId="586BA8D7" w:rsidR="00B57447" w:rsidRDefault="005E2740" w:rsidP="00BE4102">
      <w:pPr>
        <w:pStyle w:val="BodyText3"/>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clear" w:pos="1860"/>
          <w:tab w:val="left" w:pos="993"/>
        </w:tabs>
        <w:spacing w:after="0"/>
        <w:ind w:left="0" w:right="4" w:firstLine="567"/>
        <w:jc w:val="both"/>
        <w:rPr>
          <w:rFonts w:asciiTheme="majorHAnsi" w:hAnsiTheme="majorHAnsi"/>
          <w:sz w:val="20"/>
          <w:szCs w:val="20"/>
          <w:lang w:val="es-ES_tradnl"/>
        </w:rPr>
      </w:pPr>
      <w:r w:rsidRPr="001538EB">
        <w:rPr>
          <w:rFonts w:asciiTheme="majorHAnsi" w:hAnsiTheme="majorHAnsi"/>
          <w:sz w:val="20"/>
          <w:szCs w:val="20"/>
          <w:lang w:val="es-ES_tradnl"/>
        </w:rPr>
        <w:t>Adoptar medidas de no repetición para asegurar que las personas privadas de libertad en el Estado de Venezuela cuenten con condiciones carcelarias que garanticen su dignidad y derechos humanos.</w:t>
      </w:r>
      <w:r w:rsidR="00B57447" w:rsidRPr="001538EB">
        <w:rPr>
          <w:rFonts w:asciiTheme="majorHAnsi" w:hAnsiTheme="majorHAnsi"/>
          <w:sz w:val="20"/>
          <w:szCs w:val="20"/>
          <w:lang w:val="es-ES_tradnl"/>
        </w:rPr>
        <w:t xml:space="preserve"> En particular, garantizar la separación de hombres y mujeres privados de libertad, adoptar protocolos de denuncia y actuación en el ámbito penitenciario en casos de denuncias sobre violencia sexual, y mejorar las condiciones carcelarias y de detención en el Internado Anzoátegui y en el Retén Policial de Lecherías. </w:t>
      </w:r>
    </w:p>
    <w:p w14:paraId="6B6E6188" w14:textId="77777777" w:rsidR="005709AB" w:rsidRDefault="005709AB" w:rsidP="005709AB">
      <w:pPr>
        <w:pStyle w:val="ListParagraph"/>
        <w:rPr>
          <w:rFonts w:asciiTheme="majorHAnsi" w:hAnsiTheme="majorHAnsi"/>
          <w:sz w:val="20"/>
          <w:szCs w:val="20"/>
          <w:lang w:val="es-ES_tradnl"/>
        </w:rPr>
      </w:pPr>
    </w:p>
    <w:p w14:paraId="35391F31" w14:textId="17026F2A" w:rsidR="005709AB" w:rsidRDefault="00FB481F" w:rsidP="07C31400">
      <w:pPr>
        <w:pStyle w:val="BodyText3"/>
        <w:pBdr>
          <w:top w:val="none" w:sz="0" w:space="0" w:color="auto"/>
          <w:left w:val="none" w:sz="0" w:space="0" w:color="auto"/>
          <w:bottom w:val="none" w:sz="0" w:space="0" w:color="auto"/>
          <w:right w:val="none" w:sz="0" w:space="0" w:color="auto"/>
          <w:between w:val="none" w:sz="0" w:space="0" w:color="auto"/>
          <w:bar w:val="none" w:sz="0" w:color="auto"/>
        </w:pBdr>
        <w:tabs>
          <w:tab w:val="left" w:pos="630"/>
        </w:tabs>
        <w:spacing w:after="0"/>
        <w:ind w:right="4"/>
        <w:jc w:val="both"/>
        <w:rPr>
          <w:rFonts w:asciiTheme="majorHAnsi" w:hAnsiTheme="majorHAnsi"/>
          <w:sz w:val="20"/>
          <w:szCs w:val="20"/>
          <w:lang w:val="es-ES"/>
        </w:rPr>
      </w:pPr>
      <w:r>
        <w:rPr>
          <w:rFonts w:asciiTheme="majorHAnsi" w:hAnsiTheme="majorHAnsi"/>
          <w:sz w:val="20"/>
          <w:szCs w:val="20"/>
          <w:lang w:val="es-ES_tradnl"/>
        </w:rPr>
        <w:tab/>
      </w:r>
      <w:r w:rsidR="005709AB" w:rsidRPr="07C31400">
        <w:rPr>
          <w:rFonts w:asciiTheme="majorHAnsi" w:hAnsiTheme="majorHAnsi"/>
          <w:sz w:val="20"/>
          <w:szCs w:val="20"/>
          <w:lang w:val="es-ES"/>
        </w:rPr>
        <w:t>Aprobado por la Comisión Interamericana de Derechos Humanos el 7 de noviembre de 2022. (Firmado): Julissa Mantilla Falcon (Presidenta), Stuardo Ralón Orellana (Primer Vicepresidente); Margarette May Macaulay (Segunda Vicepresidenta); Esmeralda Arosemena de Troitiño; Roberta Clarke; Joel Hernández García; y Carlos Bernal Pulido, miembros de la Comisión.</w:t>
      </w:r>
    </w:p>
    <w:p w14:paraId="29239FD7" w14:textId="56B7C462" w:rsidR="0012266D" w:rsidRDefault="0012266D" w:rsidP="005709AB">
      <w:pPr>
        <w:pStyle w:val="BodyText3"/>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ind w:right="4"/>
        <w:jc w:val="both"/>
        <w:rPr>
          <w:rFonts w:asciiTheme="majorHAnsi" w:hAnsiTheme="majorHAnsi"/>
          <w:sz w:val="20"/>
          <w:szCs w:val="20"/>
          <w:lang w:val="es-ES_tradnl"/>
        </w:rPr>
      </w:pPr>
    </w:p>
    <w:sectPr w:rsidR="0012266D" w:rsidSect="00423718">
      <w:type w:val="oddPage"/>
      <w:pgSz w:w="12240" w:h="15840"/>
      <w:pgMar w:top="1440" w:right="1440" w:bottom="135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18A1A" w14:textId="77777777" w:rsidR="00E03294" w:rsidRDefault="00E03294">
      <w:r>
        <w:separator/>
      </w:r>
    </w:p>
    <w:p w14:paraId="2C4C082C" w14:textId="77777777" w:rsidR="00E03294" w:rsidRDefault="00E03294"/>
  </w:endnote>
  <w:endnote w:type="continuationSeparator" w:id="0">
    <w:p w14:paraId="35F8C130" w14:textId="77777777" w:rsidR="00E03294" w:rsidRDefault="00E03294">
      <w:r>
        <w:continuationSeparator/>
      </w:r>
    </w:p>
    <w:p w14:paraId="23181732" w14:textId="77777777" w:rsidR="00E03294" w:rsidRDefault="00E032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5294112"/>
      <w:docPartObj>
        <w:docPartGallery w:val="Page Numbers (Bottom of Page)"/>
        <w:docPartUnique/>
      </w:docPartObj>
    </w:sdtPr>
    <w:sdtEndPr>
      <w:rPr>
        <w:noProof/>
        <w:sz w:val="16"/>
        <w:szCs w:val="22"/>
      </w:rPr>
    </w:sdtEndPr>
    <w:sdtContent>
      <w:p w14:paraId="58129412" w14:textId="77777777" w:rsidR="00AC2B34" w:rsidRPr="00934A2C" w:rsidRDefault="00AC2B34">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Pr>
            <w:noProof/>
            <w:sz w:val="16"/>
            <w:szCs w:val="22"/>
          </w:rPr>
          <w:t>24</w:t>
        </w:r>
        <w:r w:rsidRPr="00934A2C">
          <w:rPr>
            <w:noProof/>
            <w:sz w:val="16"/>
            <w:szCs w:val="22"/>
          </w:rPr>
          <w:fldChar w:fldCharType="end"/>
        </w:r>
      </w:p>
    </w:sdtContent>
  </w:sdt>
  <w:p w14:paraId="5BC74CA1" w14:textId="77777777" w:rsidR="00AC2B34" w:rsidRDefault="00AC2B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89780" w14:textId="77777777" w:rsidR="00AC2B34" w:rsidRPr="00934A2C" w:rsidRDefault="00AC2B34">
    <w:pPr>
      <w:pStyle w:val="Footer"/>
      <w:jc w:val="center"/>
      <w:rPr>
        <w:sz w:val="16"/>
        <w:szCs w:val="22"/>
      </w:rPr>
    </w:pPr>
  </w:p>
  <w:p w14:paraId="7EE8EB5A" w14:textId="77777777" w:rsidR="00AC2B34" w:rsidRDefault="00AC2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2E917" w14:textId="77777777" w:rsidR="00E03294" w:rsidRPr="000F35ED" w:rsidRDefault="00E03294">
      <w:pPr>
        <w:rPr>
          <w:rFonts w:asciiTheme="majorHAnsi" w:hAnsiTheme="majorHAnsi"/>
          <w:sz w:val="16"/>
          <w:szCs w:val="16"/>
        </w:rPr>
      </w:pPr>
      <w:r>
        <w:separator/>
      </w:r>
    </w:p>
  </w:footnote>
  <w:footnote w:type="continuationSeparator" w:id="0">
    <w:p w14:paraId="34B3D05D" w14:textId="77777777" w:rsidR="00E03294" w:rsidRPr="000F35ED" w:rsidRDefault="00E03294" w:rsidP="000F35ED">
      <w:pPr>
        <w:rPr>
          <w:rFonts w:asciiTheme="majorHAnsi" w:hAnsiTheme="majorHAnsi"/>
          <w:sz w:val="16"/>
          <w:szCs w:val="16"/>
        </w:rPr>
      </w:pPr>
      <w:r w:rsidRPr="000F35ED">
        <w:rPr>
          <w:rFonts w:asciiTheme="majorHAnsi" w:hAnsiTheme="majorHAnsi"/>
          <w:sz w:val="16"/>
          <w:szCs w:val="16"/>
        </w:rPr>
        <w:separator/>
      </w:r>
    </w:p>
    <w:p w14:paraId="714D61B7" w14:textId="77777777" w:rsidR="00E03294" w:rsidRPr="000F35ED" w:rsidRDefault="00E03294" w:rsidP="000F35ED">
      <w:pPr>
        <w:pStyle w:val="Footer"/>
        <w:rPr>
          <w:rFonts w:asciiTheme="majorHAnsi" w:hAnsiTheme="majorHAnsi"/>
          <w:sz w:val="16"/>
          <w:szCs w:val="16"/>
        </w:rPr>
      </w:pPr>
      <w:r>
        <w:rPr>
          <w:rFonts w:asciiTheme="majorHAnsi" w:hAnsiTheme="majorHAnsi"/>
          <w:sz w:val="16"/>
          <w:szCs w:val="16"/>
        </w:rPr>
        <w:t>[… c</w:t>
      </w:r>
      <w:r w:rsidRPr="000F35ED">
        <w:rPr>
          <w:rFonts w:asciiTheme="majorHAnsi" w:hAnsiTheme="majorHAnsi"/>
          <w:sz w:val="16"/>
          <w:szCs w:val="16"/>
        </w:rPr>
        <w:t>ontinuación</w:t>
      </w:r>
      <w:r>
        <w:rPr>
          <w:rFonts w:asciiTheme="majorHAnsi" w:hAnsiTheme="majorHAnsi"/>
          <w:sz w:val="16"/>
          <w:szCs w:val="16"/>
        </w:rPr>
        <w:t>]</w:t>
      </w:r>
    </w:p>
  </w:footnote>
  <w:footnote w:type="continuationNotice" w:id="1">
    <w:p w14:paraId="6ACFB7D7" w14:textId="77777777" w:rsidR="00E03294" w:rsidRPr="000A6F53" w:rsidRDefault="00E03294" w:rsidP="000A6F53">
      <w:pPr>
        <w:jc w:val="right"/>
        <w:rPr>
          <w:rFonts w:asciiTheme="majorHAnsi" w:hAnsiTheme="majorHAnsi"/>
          <w:sz w:val="16"/>
          <w:szCs w:val="16"/>
          <w:lang w:val="es-ES"/>
        </w:rPr>
      </w:pPr>
      <w:r>
        <w:rPr>
          <w:rFonts w:asciiTheme="majorHAnsi" w:hAnsiTheme="majorHAnsi"/>
          <w:sz w:val="16"/>
          <w:szCs w:val="16"/>
          <w:lang w:val="es-ES"/>
        </w:rPr>
        <w:t>[c</w:t>
      </w:r>
      <w:r w:rsidRPr="000F35ED">
        <w:rPr>
          <w:rFonts w:asciiTheme="majorHAnsi" w:hAnsiTheme="majorHAnsi"/>
          <w:sz w:val="16"/>
          <w:szCs w:val="16"/>
          <w:lang w:val="es-ES"/>
        </w:rPr>
        <w:t>ontinúa…</w:t>
      </w:r>
      <w:r>
        <w:rPr>
          <w:rFonts w:asciiTheme="majorHAnsi" w:hAnsiTheme="majorHAnsi"/>
          <w:sz w:val="16"/>
          <w:szCs w:val="16"/>
          <w:lang w:val="es-ES"/>
        </w:rPr>
        <w:t>]</w:t>
      </w:r>
    </w:p>
  </w:footnote>
  <w:footnote w:id="2">
    <w:p w14:paraId="71A3F38A" w14:textId="11FB8095" w:rsidR="00AC2B34" w:rsidRPr="0091434E" w:rsidRDefault="00AC2B34" w:rsidP="00DE778C">
      <w:pPr>
        <w:pStyle w:val="FootnoteText"/>
        <w:jc w:val="both"/>
        <w:rPr>
          <w:rFonts w:asciiTheme="majorHAnsi" w:hAnsiTheme="majorHAnsi"/>
          <w:szCs w:val="16"/>
          <w:lang w:val="es-ES"/>
        </w:rPr>
      </w:pPr>
      <w:r w:rsidRPr="0091434E">
        <w:rPr>
          <w:rStyle w:val="FootnoteReference"/>
          <w:rFonts w:asciiTheme="majorHAnsi" w:hAnsiTheme="majorHAnsi"/>
          <w:szCs w:val="16"/>
        </w:rPr>
        <w:footnoteRef/>
      </w:r>
      <w:r w:rsidRPr="0091434E">
        <w:rPr>
          <w:rFonts w:asciiTheme="majorHAnsi" w:hAnsiTheme="majorHAnsi"/>
          <w:szCs w:val="16"/>
          <w:lang w:val="es-ES"/>
        </w:rPr>
        <w:t xml:space="preserve"> </w:t>
      </w:r>
      <w:r w:rsidRPr="0091434E">
        <w:rPr>
          <w:rFonts w:asciiTheme="majorHAnsi" w:hAnsiTheme="majorHAnsi"/>
          <w:szCs w:val="16"/>
          <w:lang w:val="es-ES_tradnl"/>
        </w:rPr>
        <w:t xml:space="preserve">La Comisión decidió declarar la petición por la presunta violación de los derechos consagrados en los artículos 5, 8, 11 y 25 de la Convención Americana, todos en concordancia con su artículo 1.1 de dicho tratado; del artículo 7 de la Convención de Belém do Pará, y de los artículos 1, 6 y 8 de la Convención Interamericana para Prevenir y Sancionar la Tortura. </w:t>
      </w:r>
      <w:r w:rsidR="00641730" w:rsidRPr="0091434E">
        <w:rPr>
          <w:rFonts w:asciiTheme="majorHAnsi" w:hAnsiTheme="majorHAnsi"/>
          <w:szCs w:val="16"/>
          <w:lang w:val="es-ES_tradnl"/>
        </w:rPr>
        <w:t xml:space="preserve">Asimismo, considero inadmisible el artículo 2 de la CADH en tanto consideró que la peticionaria </w:t>
      </w:r>
      <w:r w:rsidR="00641730" w:rsidRPr="0091434E">
        <w:rPr>
          <w:rFonts w:asciiTheme="majorHAnsi" w:hAnsiTheme="majorHAnsi"/>
          <w:szCs w:val="16"/>
          <w:lang w:val="es-ES"/>
        </w:rPr>
        <w:t xml:space="preserve">no aportó elementos que permitan establecer </w:t>
      </w:r>
      <w:r w:rsidR="00641730" w:rsidRPr="0091434E">
        <w:rPr>
          <w:rFonts w:asciiTheme="majorHAnsi" w:hAnsiTheme="majorHAnsi"/>
          <w:i/>
          <w:szCs w:val="16"/>
          <w:lang w:val="es-ES"/>
        </w:rPr>
        <w:t xml:space="preserve">prima facie </w:t>
      </w:r>
      <w:r w:rsidR="00641730" w:rsidRPr="0091434E">
        <w:rPr>
          <w:rFonts w:asciiTheme="majorHAnsi" w:hAnsiTheme="majorHAnsi"/>
          <w:szCs w:val="16"/>
          <w:lang w:val="es-ES"/>
        </w:rPr>
        <w:t>la posible violación de esta norma.</w:t>
      </w:r>
      <w:r w:rsidRPr="0091434E">
        <w:rPr>
          <w:rFonts w:asciiTheme="majorHAnsi" w:hAnsiTheme="majorHAnsi"/>
          <w:szCs w:val="16"/>
          <w:lang w:val="es-ES_tradnl"/>
        </w:rPr>
        <w:t xml:space="preserve"> CIDH. Informe No. 122/11. Petición 454-06. Admisibilidad. Dianora Maleno. Venezuela. 19 de octubre de 2011.</w:t>
      </w:r>
    </w:p>
  </w:footnote>
  <w:footnote w:id="3">
    <w:p w14:paraId="64316AD3" w14:textId="1A88B53E" w:rsidR="00AC2B34" w:rsidRPr="0091434E" w:rsidRDefault="00AC2B34" w:rsidP="00DE778C">
      <w:pPr>
        <w:pStyle w:val="FootnoteText"/>
        <w:jc w:val="both"/>
        <w:rPr>
          <w:rFonts w:asciiTheme="majorHAnsi" w:hAnsiTheme="majorHAnsi"/>
          <w:szCs w:val="16"/>
          <w:lang w:val="es-ES"/>
        </w:rPr>
      </w:pPr>
      <w:r w:rsidRPr="0091434E">
        <w:rPr>
          <w:rStyle w:val="FootnoteReference"/>
          <w:rFonts w:asciiTheme="majorHAnsi" w:hAnsiTheme="majorHAnsi"/>
          <w:szCs w:val="16"/>
        </w:rPr>
        <w:footnoteRef/>
      </w:r>
      <w:r w:rsidRPr="0091434E">
        <w:rPr>
          <w:rFonts w:asciiTheme="majorHAnsi" w:hAnsiTheme="majorHAnsi"/>
          <w:szCs w:val="16"/>
          <w:lang w:val="es-ES"/>
        </w:rPr>
        <w:t xml:space="preserve"> </w:t>
      </w:r>
      <w:r w:rsidRPr="0091434E">
        <w:rPr>
          <w:rFonts w:asciiTheme="majorHAnsi" w:hAnsiTheme="majorHAnsi"/>
          <w:szCs w:val="16"/>
          <w:lang w:val="es-US"/>
        </w:rPr>
        <w:t>El Estado no presentó observaciones en la etapa de fondo, por lo que la presente sección se basa en los argumentos esgrimidos durante la etapa de admisibilidad que guardan relación con el fondo.</w:t>
      </w:r>
    </w:p>
  </w:footnote>
  <w:footnote w:id="4">
    <w:p w14:paraId="31C813A4" w14:textId="77777777" w:rsidR="00AC2B34" w:rsidRPr="0091434E" w:rsidRDefault="00AC2B34" w:rsidP="00EE66B7">
      <w:pPr>
        <w:pStyle w:val="FootnoteText"/>
        <w:jc w:val="both"/>
        <w:rPr>
          <w:rFonts w:asciiTheme="majorHAnsi" w:hAnsiTheme="majorHAnsi"/>
          <w:szCs w:val="16"/>
          <w:lang w:val="es-ES_tradnl"/>
        </w:rPr>
      </w:pPr>
      <w:r w:rsidRPr="0091434E">
        <w:rPr>
          <w:rStyle w:val="FootnoteReference"/>
          <w:rFonts w:asciiTheme="majorHAnsi" w:hAnsiTheme="majorHAnsi"/>
          <w:szCs w:val="16"/>
          <w:lang w:val="es-ES_tradnl"/>
        </w:rPr>
        <w:footnoteRef/>
      </w:r>
      <w:r w:rsidRPr="0091434E">
        <w:rPr>
          <w:rFonts w:asciiTheme="majorHAnsi" w:hAnsiTheme="majorHAnsi"/>
          <w:szCs w:val="16"/>
          <w:lang w:val="es-ES_tradnl"/>
        </w:rPr>
        <w:t xml:space="preserve"> La CIDH deja constancia de que el Estado de Venezuela no ha presentado sus observaciones de fondo pese a las comunicaciones remitidas por la Comisión, por tal motivo, resulta de aplicación el artículo 38 de Reglamento, el cual indica que: “Se presumirán verdaderos los hechos alegados en la petición cuyas partes pertinentes hayan sido transmitidas al Estado en cuestión, si éste no suministra información relevante para controvertirlos dentro del plazo fijado por la Comisión en el artículo 37 del presente Reglamento, siempre que de otros elementos de convicción no resulte una conclusión contraria.”</w:t>
      </w:r>
    </w:p>
  </w:footnote>
  <w:footnote w:id="5">
    <w:p w14:paraId="63A63638" w14:textId="7438A6F5" w:rsidR="00AC2B34" w:rsidRPr="0091434E" w:rsidRDefault="00AC2B34" w:rsidP="00EE66B7">
      <w:pPr>
        <w:pStyle w:val="FootnoteText"/>
        <w:jc w:val="both"/>
        <w:rPr>
          <w:rFonts w:asciiTheme="majorHAnsi" w:hAnsiTheme="majorHAnsi"/>
          <w:szCs w:val="16"/>
          <w:lang w:val="es-ES_tradnl"/>
        </w:rPr>
      </w:pPr>
      <w:r w:rsidRPr="0091434E">
        <w:rPr>
          <w:rStyle w:val="FootnoteReference"/>
          <w:rFonts w:asciiTheme="majorHAnsi" w:hAnsiTheme="majorHAnsi"/>
          <w:szCs w:val="16"/>
          <w:lang w:val="es-ES_tradnl"/>
        </w:rPr>
        <w:footnoteRef/>
      </w:r>
      <w:r w:rsidRPr="0091434E">
        <w:rPr>
          <w:rFonts w:asciiTheme="majorHAnsi" w:hAnsiTheme="majorHAnsi"/>
          <w:szCs w:val="16"/>
          <w:lang w:val="es-ES_tradnl"/>
        </w:rPr>
        <w:t xml:space="preserve"> Anexo </w:t>
      </w:r>
      <w:r w:rsidR="005B3B98" w:rsidRPr="0091434E">
        <w:rPr>
          <w:rFonts w:asciiTheme="majorHAnsi" w:hAnsiTheme="majorHAnsi"/>
          <w:szCs w:val="16"/>
          <w:lang w:val="es-ES_tradnl"/>
        </w:rPr>
        <w:t>1.</w:t>
      </w:r>
      <w:r w:rsidRPr="0091434E">
        <w:rPr>
          <w:rFonts w:asciiTheme="majorHAnsi" w:hAnsiTheme="majorHAnsi"/>
          <w:szCs w:val="16"/>
          <w:lang w:val="es-ES_tradnl"/>
        </w:rPr>
        <w:t xml:space="preserve"> Acta de Audiencia Oral de fecha 22 de octubre de 2001, Anexo al escrito de la parte peticionaria del 11 de octubre de 2006.</w:t>
      </w:r>
    </w:p>
  </w:footnote>
  <w:footnote w:id="6">
    <w:p w14:paraId="2C1A743D" w14:textId="5F44FD59" w:rsidR="00AC2B34" w:rsidRPr="0091434E" w:rsidRDefault="00AC2B34" w:rsidP="00FE0950">
      <w:pPr>
        <w:pStyle w:val="FootnoteText"/>
        <w:jc w:val="both"/>
        <w:rPr>
          <w:rFonts w:asciiTheme="majorHAnsi" w:hAnsiTheme="majorHAnsi"/>
          <w:szCs w:val="16"/>
          <w:lang w:val="es-ES_tradnl"/>
        </w:rPr>
      </w:pPr>
      <w:r w:rsidRPr="0091434E">
        <w:rPr>
          <w:rStyle w:val="FootnoteReference"/>
          <w:rFonts w:asciiTheme="majorHAnsi" w:hAnsiTheme="majorHAnsi"/>
          <w:szCs w:val="16"/>
          <w:lang w:val="es-ES_tradnl"/>
        </w:rPr>
        <w:footnoteRef/>
      </w:r>
      <w:r w:rsidRPr="0091434E">
        <w:rPr>
          <w:rFonts w:asciiTheme="majorHAnsi" w:hAnsiTheme="majorHAnsi"/>
          <w:szCs w:val="16"/>
          <w:lang w:val="es-ES_tradnl"/>
        </w:rPr>
        <w:t xml:space="preserve"> Anexo </w:t>
      </w:r>
      <w:r w:rsidR="005B3B98" w:rsidRPr="0091434E">
        <w:rPr>
          <w:rFonts w:asciiTheme="majorHAnsi" w:hAnsiTheme="majorHAnsi"/>
          <w:szCs w:val="16"/>
          <w:lang w:val="es-ES_tradnl"/>
        </w:rPr>
        <w:t>1.</w:t>
      </w:r>
      <w:r w:rsidRPr="0091434E">
        <w:rPr>
          <w:rFonts w:asciiTheme="majorHAnsi" w:hAnsiTheme="majorHAnsi"/>
          <w:szCs w:val="16"/>
          <w:lang w:val="es-ES_tradnl"/>
        </w:rPr>
        <w:t xml:space="preserve"> Acta de Audiencia Oral de fecha 22 de octubre de 2001, Anexo al escrito de la parte peticionaria del 11 de octubre de 2006.</w:t>
      </w:r>
    </w:p>
  </w:footnote>
  <w:footnote w:id="7">
    <w:p w14:paraId="0DEA072E" w14:textId="1C1915C7" w:rsidR="00AC2B34" w:rsidRPr="0091434E" w:rsidRDefault="00AC2B34" w:rsidP="00FE0950">
      <w:pPr>
        <w:pStyle w:val="FootnoteText"/>
        <w:jc w:val="both"/>
        <w:rPr>
          <w:rFonts w:asciiTheme="majorHAnsi" w:hAnsiTheme="majorHAnsi"/>
          <w:szCs w:val="16"/>
          <w:lang w:val="es-ES_tradnl"/>
        </w:rPr>
      </w:pPr>
      <w:r w:rsidRPr="0091434E">
        <w:rPr>
          <w:rStyle w:val="FootnoteReference"/>
          <w:rFonts w:asciiTheme="majorHAnsi" w:hAnsiTheme="majorHAnsi"/>
          <w:szCs w:val="16"/>
          <w:lang w:val="es-ES_tradnl"/>
        </w:rPr>
        <w:footnoteRef/>
      </w:r>
      <w:r w:rsidRPr="0091434E">
        <w:rPr>
          <w:rFonts w:asciiTheme="majorHAnsi" w:hAnsiTheme="majorHAnsi"/>
          <w:szCs w:val="16"/>
          <w:lang w:val="es-ES_tradnl"/>
        </w:rPr>
        <w:t xml:space="preserve"> Anexo </w:t>
      </w:r>
      <w:r w:rsidR="005B3B98" w:rsidRPr="0091434E">
        <w:rPr>
          <w:rFonts w:asciiTheme="majorHAnsi" w:hAnsiTheme="majorHAnsi"/>
          <w:szCs w:val="16"/>
          <w:lang w:val="es-ES_tradnl"/>
        </w:rPr>
        <w:t>1.</w:t>
      </w:r>
      <w:r w:rsidRPr="0091434E">
        <w:rPr>
          <w:rFonts w:asciiTheme="majorHAnsi" w:hAnsiTheme="majorHAnsi"/>
          <w:szCs w:val="16"/>
          <w:lang w:val="es-ES_tradnl"/>
        </w:rPr>
        <w:t xml:space="preserve"> Acta de Audiencia Oral de fecha 22 de octubre de 2001, Anexo al escrito de la parte peticionaria del 11 de octubre de 2006.</w:t>
      </w:r>
    </w:p>
  </w:footnote>
  <w:footnote w:id="8">
    <w:p w14:paraId="662219F8" w14:textId="288091C6" w:rsidR="00AC2B34" w:rsidRPr="0091434E" w:rsidRDefault="00AC2B34" w:rsidP="00FE0950">
      <w:pPr>
        <w:pStyle w:val="FootnoteText"/>
        <w:jc w:val="both"/>
        <w:rPr>
          <w:rFonts w:asciiTheme="majorHAnsi" w:hAnsiTheme="majorHAnsi"/>
          <w:szCs w:val="16"/>
          <w:lang w:val="es-ES_tradnl"/>
        </w:rPr>
      </w:pPr>
      <w:r w:rsidRPr="0091434E">
        <w:rPr>
          <w:rStyle w:val="FootnoteReference"/>
          <w:rFonts w:asciiTheme="majorHAnsi" w:hAnsiTheme="majorHAnsi"/>
          <w:szCs w:val="16"/>
          <w:lang w:val="es-ES_tradnl"/>
        </w:rPr>
        <w:footnoteRef/>
      </w:r>
      <w:r w:rsidRPr="0091434E">
        <w:rPr>
          <w:rFonts w:asciiTheme="majorHAnsi" w:hAnsiTheme="majorHAnsi"/>
          <w:szCs w:val="16"/>
          <w:lang w:val="es-ES_tradnl"/>
        </w:rPr>
        <w:t xml:space="preserve"> Anexo</w:t>
      </w:r>
      <w:r w:rsidR="005B3B98" w:rsidRPr="0091434E">
        <w:rPr>
          <w:rFonts w:asciiTheme="majorHAnsi" w:hAnsiTheme="majorHAnsi"/>
          <w:szCs w:val="16"/>
          <w:lang w:val="es-ES_tradnl"/>
        </w:rPr>
        <w:t xml:space="preserve"> 1.</w:t>
      </w:r>
      <w:r w:rsidRPr="0091434E">
        <w:rPr>
          <w:rFonts w:asciiTheme="majorHAnsi" w:hAnsiTheme="majorHAnsi"/>
          <w:szCs w:val="16"/>
          <w:lang w:val="es-ES_tradnl"/>
        </w:rPr>
        <w:t xml:space="preserve"> Acta de Audiencia Oral de fecha 22 de octubre de 2001, Anexo al escrito de la parte peticionaria del 11 de octubre de 2006.</w:t>
      </w:r>
    </w:p>
  </w:footnote>
  <w:footnote w:id="9">
    <w:p w14:paraId="454B2A04" w14:textId="6CDE5D81" w:rsidR="00AC2B34" w:rsidRPr="0091434E" w:rsidRDefault="00AC2B34" w:rsidP="00FE0950">
      <w:pPr>
        <w:pStyle w:val="FootnoteText"/>
        <w:jc w:val="both"/>
        <w:rPr>
          <w:rFonts w:asciiTheme="majorHAnsi" w:hAnsiTheme="majorHAnsi"/>
          <w:szCs w:val="16"/>
          <w:lang w:val="es-ES_tradnl"/>
        </w:rPr>
      </w:pPr>
      <w:r w:rsidRPr="0091434E">
        <w:rPr>
          <w:rStyle w:val="FootnoteReference"/>
          <w:rFonts w:asciiTheme="majorHAnsi" w:hAnsiTheme="majorHAnsi"/>
          <w:szCs w:val="16"/>
          <w:lang w:val="es-ES_tradnl"/>
        </w:rPr>
        <w:footnoteRef/>
      </w:r>
      <w:r w:rsidRPr="0091434E">
        <w:rPr>
          <w:rFonts w:asciiTheme="majorHAnsi" w:hAnsiTheme="majorHAnsi"/>
          <w:szCs w:val="16"/>
          <w:lang w:val="es-ES_tradnl"/>
        </w:rPr>
        <w:t xml:space="preserve"> Escrito de observaciones del Estado del 25 de febrero de 2008.</w:t>
      </w:r>
    </w:p>
  </w:footnote>
  <w:footnote w:id="10">
    <w:p w14:paraId="6F97BD02" w14:textId="43D9564D" w:rsidR="00AC2B34" w:rsidRPr="0091434E" w:rsidRDefault="00AC2B34" w:rsidP="00FE0950">
      <w:pPr>
        <w:pStyle w:val="FootnoteText"/>
        <w:jc w:val="both"/>
        <w:rPr>
          <w:rFonts w:asciiTheme="majorHAnsi" w:hAnsiTheme="majorHAnsi"/>
          <w:szCs w:val="16"/>
          <w:lang w:val="es-ES_tradnl"/>
        </w:rPr>
      </w:pPr>
      <w:r w:rsidRPr="0091434E">
        <w:rPr>
          <w:rStyle w:val="FootnoteReference"/>
          <w:rFonts w:asciiTheme="majorHAnsi" w:hAnsiTheme="majorHAnsi"/>
          <w:szCs w:val="16"/>
          <w:lang w:val="es-ES_tradnl"/>
        </w:rPr>
        <w:footnoteRef/>
      </w:r>
      <w:r w:rsidRPr="0091434E">
        <w:rPr>
          <w:rFonts w:asciiTheme="majorHAnsi" w:hAnsiTheme="majorHAnsi"/>
          <w:szCs w:val="16"/>
          <w:lang w:val="es-ES_tradnl"/>
        </w:rPr>
        <w:t xml:space="preserve"> Anexo </w:t>
      </w:r>
      <w:r w:rsidR="005B3B98" w:rsidRPr="0091434E">
        <w:rPr>
          <w:rFonts w:asciiTheme="majorHAnsi" w:hAnsiTheme="majorHAnsi"/>
          <w:szCs w:val="16"/>
          <w:lang w:val="es-ES_tradnl"/>
        </w:rPr>
        <w:t>2.</w:t>
      </w:r>
      <w:r w:rsidRPr="0091434E">
        <w:rPr>
          <w:rFonts w:asciiTheme="majorHAnsi" w:hAnsiTheme="majorHAnsi"/>
          <w:szCs w:val="16"/>
          <w:lang w:val="es-ES_tradnl"/>
        </w:rPr>
        <w:t xml:space="preserve"> Acta de Audiencia Preliminar de fecha 12 de marzo de 2002, Anexo al escrito de la parte peticionaria del 11 de octubre de 2006.</w:t>
      </w:r>
    </w:p>
  </w:footnote>
  <w:footnote w:id="11">
    <w:p w14:paraId="2B3AE299" w14:textId="5B0F9983" w:rsidR="00AC2B34" w:rsidRPr="0091434E" w:rsidRDefault="00AC2B34" w:rsidP="00FE0950">
      <w:pPr>
        <w:pStyle w:val="FootnoteText"/>
        <w:jc w:val="both"/>
        <w:rPr>
          <w:rFonts w:asciiTheme="majorHAnsi" w:hAnsiTheme="majorHAnsi"/>
          <w:szCs w:val="16"/>
          <w:lang w:val="es-ES_tradnl"/>
        </w:rPr>
      </w:pPr>
      <w:r w:rsidRPr="0091434E">
        <w:rPr>
          <w:rStyle w:val="FootnoteReference"/>
          <w:rFonts w:asciiTheme="majorHAnsi" w:hAnsiTheme="majorHAnsi"/>
          <w:szCs w:val="16"/>
          <w:lang w:val="es-ES_tradnl"/>
        </w:rPr>
        <w:footnoteRef/>
      </w:r>
      <w:r w:rsidRPr="0091434E">
        <w:rPr>
          <w:rFonts w:asciiTheme="majorHAnsi" w:hAnsiTheme="majorHAnsi"/>
          <w:szCs w:val="16"/>
          <w:lang w:val="es-ES_tradnl"/>
        </w:rPr>
        <w:t xml:space="preserve"> Anexo </w:t>
      </w:r>
      <w:r w:rsidR="005B3B98" w:rsidRPr="0091434E">
        <w:rPr>
          <w:rFonts w:asciiTheme="majorHAnsi" w:hAnsiTheme="majorHAnsi"/>
          <w:szCs w:val="16"/>
          <w:lang w:val="es-ES_tradnl"/>
        </w:rPr>
        <w:t>2.</w:t>
      </w:r>
      <w:r w:rsidRPr="0091434E">
        <w:rPr>
          <w:rFonts w:asciiTheme="majorHAnsi" w:hAnsiTheme="majorHAnsi"/>
          <w:szCs w:val="16"/>
          <w:lang w:val="es-ES_tradnl"/>
        </w:rPr>
        <w:t xml:space="preserve"> Acta de Audiencia Preliminar de fecha 12 de marzo de 2002, Anexo al escrito de la parte peticionaria del 11 de octubre de 2006.</w:t>
      </w:r>
    </w:p>
  </w:footnote>
  <w:footnote w:id="12">
    <w:p w14:paraId="404FC0DD" w14:textId="6353A0D3" w:rsidR="00AC2B34" w:rsidRPr="0091434E" w:rsidRDefault="00AC2B34" w:rsidP="00D86ADD">
      <w:pPr>
        <w:pStyle w:val="FootnoteText"/>
        <w:jc w:val="both"/>
        <w:rPr>
          <w:rFonts w:asciiTheme="majorHAnsi" w:hAnsiTheme="majorHAnsi"/>
          <w:szCs w:val="16"/>
          <w:lang w:val="es-ES_tradnl"/>
        </w:rPr>
      </w:pPr>
      <w:r w:rsidRPr="0091434E">
        <w:rPr>
          <w:rStyle w:val="FootnoteReference"/>
          <w:rFonts w:asciiTheme="majorHAnsi" w:hAnsiTheme="majorHAnsi"/>
          <w:szCs w:val="16"/>
          <w:lang w:val="es-ES_tradnl"/>
        </w:rPr>
        <w:footnoteRef/>
      </w:r>
      <w:r w:rsidRPr="0091434E">
        <w:rPr>
          <w:rFonts w:asciiTheme="majorHAnsi" w:hAnsiTheme="majorHAnsi"/>
          <w:szCs w:val="16"/>
          <w:lang w:val="es-ES_tradnl"/>
        </w:rPr>
        <w:t xml:space="preserve"> Anexo </w:t>
      </w:r>
      <w:r w:rsidR="005B3B98" w:rsidRPr="0091434E">
        <w:rPr>
          <w:rFonts w:asciiTheme="majorHAnsi" w:hAnsiTheme="majorHAnsi"/>
          <w:szCs w:val="16"/>
          <w:lang w:val="es-ES_tradnl"/>
        </w:rPr>
        <w:t>2.</w:t>
      </w:r>
      <w:r w:rsidRPr="0091434E">
        <w:rPr>
          <w:rFonts w:asciiTheme="majorHAnsi" w:hAnsiTheme="majorHAnsi"/>
          <w:szCs w:val="16"/>
          <w:lang w:val="es-ES_tradnl"/>
        </w:rPr>
        <w:t xml:space="preserve"> Acta de Audiencia Preliminar de fecha 12 de marzo de 2002, Anexo al escrito de la parte peticionaria del 11 de octubre de 2006.</w:t>
      </w:r>
    </w:p>
  </w:footnote>
  <w:footnote w:id="13">
    <w:p w14:paraId="0D13DE94" w14:textId="3A970F77" w:rsidR="00AC2B34" w:rsidRPr="0091434E" w:rsidRDefault="00AC2B34" w:rsidP="00FE0950">
      <w:pPr>
        <w:pStyle w:val="FootnoteText"/>
        <w:jc w:val="both"/>
        <w:rPr>
          <w:rFonts w:asciiTheme="majorHAnsi" w:hAnsiTheme="majorHAnsi"/>
          <w:szCs w:val="16"/>
          <w:lang w:val="es-ES_tradnl"/>
        </w:rPr>
      </w:pPr>
      <w:r w:rsidRPr="0091434E">
        <w:rPr>
          <w:rStyle w:val="FootnoteReference"/>
          <w:rFonts w:asciiTheme="majorHAnsi" w:hAnsiTheme="majorHAnsi"/>
          <w:szCs w:val="16"/>
          <w:lang w:val="es-ES_tradnl"/>
        </w:rPr>
        <w:footnoteRef/>
      </w:r>
      <w:r w:rsidRPr="0091434E">
        <w:rPr>
          <w:rFonts w:asciiTheme="majorHAnsi" w:hAnsiTheme="majorHAnsi"/>
          <w:szCs w:val="16"/>
          <w:lang w:val="es-ES_tradnl"/>
        </w:rPr>
        <w:t xml:space="preserve"> Anexo </w:t>
      </w:r>
      <w:r w:rsidR="005B3B98" w:rsidRPr="0091434E">
        <w:rPr>
          <w:rFonts w:asciiTheme="majorHAnsi" w:hAnsiTheme="majorHAnsi"/>
          <w:szCs w:val="16"/>
          <w:lang w:val="es-ES_tradnl"/>
        </w:rPr>
        <w:t>2.</w:t>
      </w:r>
      <w:r w:rsidRPr="0091434E">
        <w:rPr>
          <w:rFonts w:asciiTheme="majorHAnsi" w:hAnsiTheme="majorHAnsi"/>
          <w:szCs w:val="16"/>
          <w:lang w:val="es-ES_tradnl"/>
        </w:rPr>
        <w:t xml:space="preserve"> Acta de Audiencia Preliminar de fecha 12 de marzo de 2002, Anexo al escrito de la parte peticionaria del 11 de octubre de 2006.</w:t>
      </w:r>
    </w:p>
  </w:footnote>
  <w:footnote w:id="14">
    <w:p w14:paraId="34FD8ED4" w14:textId="0C1FB850" w:rsidR="00AC2B34" w:rsidRPr="0091434E" w:rsidRDefault="00AC2B34" w:rsidP="00FE0950">
      <w:pPr>
        <w:pStyle w:val="FootnoteText"/>
        <w:jc w:val="both"/>
        <w:rPr>
          <w:rFonts w:asciiTheme="majorHAnsi" w:hAnsiTheme="majorHAnsi"/>
          <w:szCs w:val="16"/>
          <w:lang w:val="es-ES_tradnl"/>
        </w:rPr>
      </w:pPr>
      <w:r w:rsidRPr="0091434E">
        <w:rPr>
          <w:rStyle w:val="FootnoteReference"/>
          <w:rFonts w:asciiTheme="majorHAnsi" w:hAnsiTheme="majorHAnsi"/>
          <w:szCs w:val="16"/>
          <w:lang w:val="es-ES_tradnl"/>
        </w:rPr>
        <w:footnoteRef/>
      </w:r>
      <w:r w:rsidRPr="0091434E">
        <w:rPr>
          <w:rFonts w:asciiTheme="majorHAnsi" w:hAnsiTheme="majorHAnsi"/>
          <w:szCs w:val="16"/>
          <w:lang w:val="es-ES_tradnl"/>
        </w:rPr>
        <w:t xml:space="preserve"> Anexo </w:t>
      </w:r>
      <w:r w:rsidR="005B3B98" w:rsidRPr="0091434E">
        <w:rPr>
          <w:rFonts w:asciiTheme="majorHAnsi" w:hAnsiTheme="majorHAnsi"/>
          <w:szCs w:val="16"/>
          <w:lang w:val="es-ES_tradnl"/>
        </w:rPr>
        <w:t>2.</w:t>
      </w:r>
      <w:r w:rsidRPr="0091434E">
        <w:rPr>
          <w:rFonts w:asciiTheme="majorHAnsi" w:hAnsiTheme="majorHAnsi"/>
          <w:szCs w:val="16"/>
          <w:lang w:val="es-ES_tradnl"/>
        </w:rPr>
        <w:t xml:space="preserve"> Acta de Audiencia Preliminar de fecha 12 de marzo de 2002, Anexo al escrito de la parte peticionaria del 11 de octubre de 2006.</w:t>
      </w:r>
    </w:p>
  </w:footnote>
  <w:footnote w:id="15">
    <w:p w14:paraId="7E5D1B00" w14:textId="58862E42" w:rsidR="00AC2B34" w:rsidRPr="0091434E" w:rsidRDefault="00AC2B34" w:rsidP="00FE0950">
      <w:pPr>
        <w:pStyle w:val="FootnoteText"/>
        <w:jc w:val="both"/>
        <w:rPr>
          <w:rFonts w:asciiTheme="majorHAnsi" w:hAnsiTheme="majorHAnsi"/>
          <w:szCs w:val="16"/>
          <w:lang w:val="es-ES_tradnl"/>
        </w:rPr>
      </w:pPr>
      <w:r w:rsidRPr="0091434E">
        <w:rPr>
          <w:rStyle w:val="FootnoteReference"/>
          <w:rFonts w:asciiTheme="majorHAnsi" w:hAnsiTheme="majorHAnsi"/>
          <w:szCs w:val="16"/>
          <w:lang w:val="es-ES_tradnl"/>
        </w:rPr>
        <w:footnoteRef/>
      </w:r>
      <w:r w:rsidRPr="0091434E">
        <w:rPr>
          <w:rFonts w:asciiTheme="majorHAnsi" w:hAnsiTheme="majorHAnsi"/>
          <w:szCs w:val="16"/>
          <w:lang w:val="es-ES_tradnl"/>
        </w:rPr>
        <w:t xml:space="preserve"> Anexo </w:t>
      </w:r>
      <w:r w:rsidR="005B3B98" w:rsidRPr="0091434E">
        <w:rPr>
          <w:rFonts w:asciiTheme="majorHAnsi" w:hAnsiTheme="majorHAnsi"/>
          <w:szCs w:val="16"/>
          <w:lang w:val="es-ES_tradnl"/>
        </w:rPr>
        <w:t>2.</w:t>
      </w:r>
      <w:r w:rsidRPr="0091434E">
        <w:rPr>
          <w:rFonts w:asciiTheme="majorHAnsi" w:hAnsiTheme="majorHAnsi"/>
          <w:szCs w:val="16"/>
          <w:lang w:val="es-ES_tradnl"/>
        </w:rPr>
        <w:t xml:space="preserve"> Acta de Audiencia Preliminar de fecha 12 de marzo de 2002, Anexo al escrito de la parte peticionaria del 11 de octubre de 2006.</w:t>
      </w:r>
    </w:p>
  </w:footnote>
  <w:footnote w:id="16">
    <w:p w14:paraId="54E1D3D9" w14:textId="588A6580" w:rsidR="00AC2B34" w:rsidRPr="0091434E" w:rsidRDefault="00AC2B34" w:rsidP="00FE0950">
      <w:pPr>
        <w:pStyle w:val="FootnoteText"/>
        <w:jc w:val="both"/>
        <w:rPr>
          <w:rFonts w:asciiTheme="majorHAnsi" w:hAnsiTheme="majorHAnsi"/>
          <w:szCs w:val="16"/>
          <w:lang w:val="es-ES_tradnl"/>
        </w:rPr>
      </w:pPr>
      <w:r w:rsidRPr="0091434E">
        <w:rPr>
          <w:rStyle w:val="FootnoteReference"/>
          <w:rFonts w:asciiTheme="majorHAnsi" w:hAnsiTheme="majorHAnsi"/>
          <w:szCs w:val="16"/>
          <w:lang w:val="es-ES_tradnl"/>
        </w:rPr>
        <w:footnoteRef/>
      </w:r>
      <w:r w:rsidRPr="0091434E">
        <w:rPr>
          <w:rFonts w:asciiTheme="majorHAnsi" w:hAnsiTheme="majorHAnsi"/>
          <w:szCs w:val="16"/>
          <w:lang w:val="es-ES_tradnl"/>
        </w:rPr>
        <w:t xml:space="preserve"> Anexo </w:t>
      </w:r>
      <w:r w:rsidR="005B3B98" w:rsidRPr="0091434E">
        <w:rPr>
          <w:rFonts w:asciiTheme="majorHAnsi" w:hAnsiTheme="majorHAnsi"/>
          <w:szCs w:val="16"/>
          <w:lang w:val="es-ES_tradnl"/>
        </w:rPr>
        <w:t>2.</w:t>
      </w:r>
      <w:r w:rsidRPr="0091434E">
        <w:rPr>
          <w:rFonts w:asciiTheme="majorHAnsi" w:hAnsiTheme="majorHAnsi"/>
          <w:szCs w:val="16"/>
          <w:lang w:val="es-ES_tradnl"/>
        </w:rPr>
        <w:t xml:space="preserve"> Acta de Audiencia Preliminar de fecha 12 de marzo de 2002, Anexo al escrito de la parte peticionaria del 11 de octubre de 2006.</w:t>
      </w:r>
    </w:p>
  </w:footnote>
  <w:footnote w:id="17">
    <w:p w14:paraId="7689079E" w14:textId="29B615FA" w:rsidR="00AC2B34" w:rsidRPr="0091434E" w:rsidRDefault="00AC2B34" w:rsidP="00FE0950">
      <w:pPr>
        <w:pStyle w:val="FootnoteText"/>
        <w:jc w:val="both"/>
        <w:rPr>
          <w:rFonts w:asciiTheme="majorHAnsi" w:hAnsiTheme="majorHAnsi"/>
          <w:szCs w:val="16"/>
          <w:lang w:val="es-ES_tradnl"/>
        </w:rPr>
      </w:pPr>
      <w:r w:rsidRPr="0091434E">
        <w:rPr>
          <w:rStyle w:val="FootnoteReference"/>
          <w:rFonts w:asciiTheme="majorHAnsi" w:hAnsiTheme="majorHAnsi"/>
          <w:szCs w:val="16"/>
          <w:lang w:val="es-ES_tradnl"/>
        </w:rPr>
        <w:footnoteRef/>
      </w:r>
      <w:r w:rsidRPr="0091434E">
        <w:rPr>
          <w:rFonts w:asciiTheme="majorHAnsi" w:hAnsiTheme="majorHAnsi"/>
          <w:szCs w:val="16"/>
          <w:lang w:val="es-ES_tradnl"/>
        </w:rPr>
        <w:t xml:space="preserve"> Escrito de observaciones del Estado del 25 de febrero de 2008.</w:t>
      </w:r>
    </w:p>
  </w:footnote>
  <w:footnote w:id="18">
    <w:p w14:paraId="01F625CC" w14:textId="4975D1E4" w:rsidR="00AC2B34" w:rsidRPr="0091434E" w:rsidRDefault="00AC2B34" w:rsidP="00FE0950">
      <w:pPr>
        <w:pStyle w:val="FootnoteText"/>
        <w:jc w:val="both"/>
        <w:rPr>
          <w:rFonts w:asciiTheme="majorHAnsi" w:hAnsiTheme="majorHAnsi"/>
          <w:szCs w:val="16"/>
          <w:lang w:val="es-ES_tradnl"/>
        </w:rPr>
      </w:pPr>
      <w:r w:rsidRPr="0091434E">
        <w:rPr>
          <w:rStyle w:val="FootnoteReference"/>
          <w:rFonts w:asciiTheme="majorHAnsi" w:hAnsiTheme="majorHAnsi"/>
          <w:szCs w:val="16"/>
          <w:lang w:val="es-ES_tradnl"/>
        </w:rPr>
        <w:footnoteRef/>
      </w:r>
      <w:r w:rsidRPr="0091434E">
        <w:rPr>
          <w:rFonts w:asciiTheme="majorHAnsi" w:hAnsiTheme="majorHAnsi"/>
          <w:szCs w:val="16"/>
          <w:lang w:val="es-ES_tradnl"/>
        </w:rPr>
        <w:t xml:space="preserve"> Escrito de observaciones del Estado del 25 de febrero de 2008.</w:t>
      </w:r>
    </w:p>
  </w:footnote>
  <w:footnote w:id="19">
    <w:p w14:paraId="5B14BE14" w14:textId="4801E8E6" w:rsidR="00AC2B34" w:rsidRPr="0091434E" w:rsidRDefault="00AC2B34" w:rsidP="00FE0950">
      <w:pPr>
        <w:pStyle w:val="FootnoteText"/>
        <w:jc w:val="both"/>
        <w:rPr>
          <w:rFonts w:asciiTheme="majorHAnsi" w:hAnsiTheme="majorHAnsi"/>
          <w:szCs w:val="16"/>
          <w:lang w:val="es-ES_tradnl"/>
        </w:rPr>
      </w:pPr>
      <w:r w:rsidRPr="0091434E">
        <w:rPr>
          <w:rStyle w:val="FootnoteReference"/>
          <w:rFonts w:asciiTheme="majorHAnsi" w:hAnsiTheme="majorHAnsi"/>
          <w:szCs w:val="16"/>
          <w:lang w:val="es-ES_tradnl"/>
        </w:rPr>
        <w:footnoteRef/>
      </w:r>
      <w:r w:rsidRPr="0091434E">
        <w:rPr>
          <w:rFonts w:asciiTheme="majorHAnsi" w:hAnsiTheme="majorHAnsi"/>
          <w:szCs w:val="16"/>
          <w:lang w:val="es-ES_tradnl"/>
        </w:rPr>
        <w:t xml:space="preserve"> Escrito de observaciones del Estado del 25 de febrero de 2008.</w:t>
      </w:r>
    </w:p>
  </w:footnote>
  <w:footnote w:id="20">
    <w:p w14:paraId="4CB5ADDB" w14:textId="0E2D25EE" w:rsidR="00AC2B34" w:rsidRPr="0091434E" w:rsidRDefault="00AC2B34" w:rsidP="005E04F5">
      <w:pPr>
        <w:pStyle w:val="FootnoteText"/>
        <w:jc w:val="both"/>
        <w:rPr>
          <w:rFonts w:asciiTheme="majorHAnsi" w:hAnsiTheme="majorHAnsi"/>
          <w:szCs w:val="16"/>
          <w:lang w:val="es-ES_tradnl"/>
        </w:rPr>
      </w:pPr>
      <w:r w:rsidRPr="0091434E">
        <w:rPr>
          <w:rStyle w:val="FootnoteReference"/>
          <w:rFonts w:asciiTheme="majorHAnsi" w:hAnsiTheme="majorHAnsi"/>
          <w:szCs w:val="16"/>
          <w:lang w:val="es-ES_tradnl"/>
        </w:rPr>
        <w:footnoteRef/>
      </w:r>
      <w:r w:rsidRPr="0091434E">
        <w:rPr>
          <w:rFonts w:asciiTheme="majorHAnsi" w:hAnsiTheme="majorHAnsi"/>
          <w:szCs w:val="16"/>
          <w:lang w:val="es-ES_tradnl"/>
        </w:rPr>
        <w:t xml:space="preserve"> Petición inicial del 10 de mayo de 2006. Escrito de observaciones del Estado del 25 de febrero de 2008.</w:t>
      </w:r>
    </w:p>
  </w:footnote>
  <w:footnote w:id="21">
    <w:p w14:paraId="45CCDD3C" w14:textId="3D83FA22" w:rsidR="00AC2B34" w:rsidRPr="0091434E" w:rsidRDefault="00AC2B34" w:rsidP="00FE0950">
      <w:pPr>
        <w:pStyle w:val="FootnoteText"/>
        <w:jc w:val="both"/>
        <w:rPr>
          <w:rFonts w:asciiTheme="majorHAnsi" w:hAnsiTheme="majorHAnsi"/>
          <w:szCs w:val="16"/>
          <w:lang w:val="es-ES_tradnl"/>
        </w:rPr>
      </w:pPr>
      <w:r w:rsidRPr="0091434E">
        <w:rPr>
          <w:rStyle w:val="FootnoteReference"/>
          <w:rFonts w:asciiTheme="majorHAnsi" w:hAnsiTheme="majorHAnsi"/>
          <w:szCs w:val="16"/>
          <w:lang w:val="es-ES_tradnl"/>
        </w:rPr>
        <w:footnoteRef/>
      </w:r>
      <w:r w:rsidRPr="0091434E">
        <w:rPr>
          <w:rFonts w:asciiTheme="majorHAnsi" w:hAnsiTheme="majorHAnsi"/>
          <w:szCs w:val="16"/>
          <w:lang w:val="es-ES_tradnl"/>
        </w:rPr>
        <w:t xml:space="preserve"> Escrito de observaciones del Estado del 25 de febrero de 2008.</w:t>
      </w:r>
    </w:p>
  </w:footnote>
  <w:footnote w:id="22">
    <w:p w14:paraId="5F501AB7" w14:textId="0B1FB06A" w:rsidR="00AC2B34" w:rsidRPr="0091434E" w:rsidRDefault="00AC2B34" w:rsidP="00FE0950">
      <w:pPr>
        <w:pStyle w:val="FootnoteText"/>
        <w:jc w:val="both"/>
        <w:rPr>
          <w:rFonts w:asciiTheme="majorHAnsi" w:hAnsiTheme="majorHAnsi"/>
          <w:szCs w:val="16"/>
          <w:lang w:val="es-ES_tradnl"/>
        </w:rPr>
      </w:pPr>
      <w:r w:rsidRPr="0091434E">
        <w:rPr>
          <w:rStyle w:val="FootnoteReference"/>
          <w:rFonts w:asciiTheme="majorHAnsi" w:hAnsiTheme="majorHAnsi"/>
          <w:szCs w:val="16"/>
          <w:lang w:val="es-ES_tradnl"/>
        </w:rPr>
        <w:footnoteRef/>
      </w:r>
      <w:r w:rsidRPr="0091434E">
        <w:rPr>
          <w:rFonts w:asciiTheme="majorHAnsi" w:hAnsiTheme="majorHAnsi"/>
          <w:szCs w:val="16"/>
          <w:lang w:val="es-ES_tradnl"/>
        </w:rPr>
        <w:t xml:space="preserve"> Escrito de observaciones del Estado del 25 de febrero de 2008.</w:t>
      </w:r>
    </w:p>
  </w:footnote>
  <w:footnote w:id="23">
    <w:p w14:paraId="1F1DC91B" w14:textId="59BF7F9D" w:rsidR="00AC2B34" w:rsidRPr="0091434E" w:rsidRDefault="00AC2B34" w:rsidP="00FE0950">
      <w:pPr>
        <w:pStyle w:val="FootnoteText"/>
        <w:jc w:val="both"/>
        <w:rPr>
          <w:rFonts w:asciiTheme="majorHAnsi" w:hAnsiTheme="majorHAnsi"/>
          <w:szCs w:val="16"/>
          <w:lang w:val="es-ES_tradnl"/>
        </w:rPr>
      </w:pPr>
      <w:r w:rsidRPr="0091434E">
        <w:rPr>
          <w:rStyle w:val="FootnoteReference"/>
          <w:rFonts w:asciiTheme="majorHAnsi" w:hAnsiTheme="majorHAnsi"/>
          <w:szCs w:val="16"/>
          <w:lang w:val="es-ES_tradnl"/>
        </w:rPr>
        <w:footnoteRef/>
      </w:r>
      <w:r w:rsidRPr="0091434E">
        <w:rPr>
          <w:rFonts w:asciiTheme="majorHAnsi" w:hAnsiTheme="majorHAnsi"/>
          <w:szCs w:val="16"/>
          <w:lang w:val="es-ES_tradnl"/>
        </w:rPr>
        <w:t xml:space="preserve"> Escrito de observaciones de la parte peticionaria a las observaciones del Estado de fecha 25 de abril de 2008.</w:t>
      </w:r>
    </w:p>
  </w:footnote>
  <w:footnote w:id="24">
    <w:p w14:paraId="54B8D67E" w14:textId="228F9137" w:rsidR="00AC2B34" w:rsidRPr="0091434E" w:rsidRDefault="00AC2B34" w:rsidP="00FE0950">
      <w:pPr>
        <w:pStyle w:val="FootnoteText"/>
        <w:jc w:val="both"/>
        <w:rPr>
          <w:rFonts w:asciiTheme="majorHAnsi" w:hAnsiTheme="majorHAnsi"/>
          <w:szCs w:val="16"/>
          <w:lang w:val="es-ES_tradnl"/>
        </w:rPr>
      </w:pPr>
      <w:r w:rsidRPr="0091434E">
        <w:rPr>
          <w:rStyle w:val="FootnoteReference"/>
          <w:rFonts w:asciiTheme="majorHAnsi" w:hAnsiTheme="majorHAnsi"/>
          <w:szCs w:val="16"/>
          <w:lang w:val="es-ES_tradnl"/>
        </w:rPr>
        <w:footnoteRef/>
      </w:r>
      <w:r w:rsidRPr="0091434E">
        <w:rPr>
          <w:rFonts w:asciiTheme="majorHAnsi" w:hAnsiTheme="majorHAnsi"/>
          <w:szCs w:val="16"/>
          <w:lang w:val="es-ES_tradnl"/>
        </w:rPr>
        <w:t xml:space="preserve"> Escrito de observaciones del Estado del 25 de febrero de 2008.</w:t>
      </w:r>
    </w:p>
  </w:footnote>
  <w:footnote w:id="25">
    <w:p w14:paraId="09162223" w14:textId="77777777" w:rsidR="00AC2B34" w:rsidRPr="0091434E" w:rsidRDefault="00AC2B34" w:rsidP="00EE66B7">
      <w:pPr>
        <w:pStyle w:val="FootnoteText"/>
        <w:jc w:val="both"/>
        <w:rPr>
          <w:rFonts w:asciiTheme="majorHAnsi" w:hAnsiTheme="majorHAnsi"/>
          <w:szCs w:val="16"/>
          <w:lang w:val="es-ES_tradnl"/>
        </w:rPr>
      </w:pPr>
      <w:r w:rsidRPr="0091434E">
        <w:rPr>
          <w:rStyle w:val="FootnoteReference"/>
          <w:rFonts w:asciiTheme="majorHAnsi" w:hAnsiTheme="majorHAnsi"/>
          <w:szCs w:val="16"/>
          <w:lang w:val="es-ES_tradnl"/>
        </w:rPr>
        <w:footnoteRef/>
      </w:r>
      <w:r w:rsidRPr="0091434E">
        <w:rPr>
          <w:rFonts w:asciiTheme="majorHAnsi" w:hAnsiTheme="majorHAnsi"/>
          <w:szCs w:val="16"/>
          <w:lang w:val="pt-BR"/>
        </w:rPr>
        <w:t xml:space="preserve"> CIDH, Informe Anual 2020, Capítulo IV.B. Venezuela, párr. 164-174. CIDH, Informe Anual 2019, Capítulo IV.B. Venezuela, párr. </w:t>
      </w:r>
      <w:r w:rsidRPr="0091434E">
        <w:rPr>
          <w:rFonts w:asciiTheme="majorHAnsi" w:hAnsiTheme="majorHAnsi"/>
          <w:szCs w:val="16"/>
          <w:lang w:val="es-ES_tradnl"/>
        </w:rPr>
        <w:t xml:space="preserve">123-133. CIDH, Informe Anual 2019, Capítulo IV.B. Venezuela, párr. 171-182. CIDH, Situación de los derechos humanos en Venezuela – “Institucionalidad democrática, Estado de Derecho y derechos humanos en Venezuela”, 2017, párr. </w:t>
      </w:r>
      <w:r w:rsidRPr="0091434E">
        <w:rPr>
          <w:rFonts w:asciiTheme="majorHAnsi" w:hAnsiTheme="majorHAnsi"/>
          <w:szCs w:val="16"/>
          <w:lang w:val="pt-BR"/>
        </w:rPr>
        <w:t xml:space="preserve">388; CIDH, Informe Anual 2016, Capítulo IV.B Venezuela, párr. 202-212; CIDH, Informe Anual 2015, Capítulo IV.B Venezuela, párr. 319-328; CIDH, Informe Anual 2014, Capítulo IV.B. Venezuela, párr. 606-614; Informe Anual 2014, Capítulo IV.B. Venezuela, párr. </w:t>
      </w:r>
      <w:r w:rsidRPr="0091434E">
        <w:rPr>
          <w:rFonts w:asciiTheme="majorHAnsi" w:hAnsiTheme="majorHAnsi"/>
          <w:szCs w:val="16"/>
          <w:lang w:val="es-ES_tradnl"/>
        </w:rPr>
        <w:t>697-795.</w:t>
      </w:r>
    </w:p>
  </w:footnote>
  <w:footnote w:id="26">
    <w:p w14:paraId="3128607F" w14:textId="77777777" w:rsidR="00AC2B34" w:rsidRPr="0091434E" w:rsidRDefault="00AC2B34" w:rsidP="00EE66B7">
      <w:pPr>
        <w:pStyle w:val="FootnoteText"/>
        <w:jc w:val="both"/>
        <w:rPr>
          <w:rFonts w:asciiTheme="majorHAnsi" w:hAnsiTheme="majorHAnsi"/>
          <w:szCs w:val="16"/>
          <w:lang w:val="es-ES_tradnl"/>
        </w:rPr>
      </w:pPr>
      <w:r w:rsidRPr="0091434E">
        <w:rPr>
          <w:rStyle w:val="FootnoteReference"/>
          <w:rFonts w:asciiTheme="majorHAnsi" w:hAnsiTheme="majorHAnsi"/>
          <w:szCs w:val="16"/>
          <w:lang w:val="es-ES_tradnl"/>
        </w:rPr>
        <w:footnoteRef/>
      </w:r>
      <w:r w:rsidRPr="00C852DD">
        <w:rPr>
          <w:rFonts w:asciiTheme="majorHAnsi" w:hAnsiTheme="majorHAnsi"/>
          <w:szCs w:val="16"/>
          <w:lang w:val="pt-BR"/>
        </w:rPr>
        <w:t xml:space="preserve"> CIDH, Informe Anual 2016, Capítulo IV.B Venezuela, párr. </w:t>
      </w:r>
      <w:r w:rsidRPr="0091434E">
        <w:rPr>
          <w:rFonts w:asciiTheme="majorHAnsi" w:hAnsiTheme="majorHAnsi"/>
          <w:szCs w:val="16"/>
          <w:lang w:val="es-ES_tradnl"/>
        </w:rPr>
        <w:t xml:space="preserve">202. </w:t>
      </w:r>
    </w:p>
  </w:footnote>
  <w:footnote w:id="27">
    <w:p w14:paraId="750AC26C" w14:textId="77777777" w:rsidR="00AC2B34" w:rsidRPr="0091434E" w:rsidRDefault="00AC2B34" w:rsidP="00EE66B7">
      <w:pPr>
        <w:pStyle w:val="FootnoteText"/>
        <w:jc w:val="both"/>
        <w:rPr>
          <w:rFonts w:asciiTheme="majorHAnsi" w:hAnsiTheme="majorHAnsi"/>
          <w:szCs w:val="16"/>
          <w:lang w:val="es-ES_tradnl"/>
        </w:rPr>
      </w:pPr>
      <w:r w:rsidRPr="0091434E">
        <w:rPr>
          <w:rStyle w:val="FootnoteReference"/>
          <w:rFonts w:asciiTheme="majorHAnsi" w:hAnsiTheme="majorHAnsi"/>
          <w:szCs w:val="16"/>
          <w:lang w:val="es-ES_tradnl"/>
        </w:rPr>
        <w:footnoteRef/>
      </w:r>
      <w:r w:rsidRPr="0091434E">
        <w:rPr>
          <w:rFonts w:asciiTheme="majorHAnsi" w:hAnsiTheme="majorHAnsi"/>
          <w:szCs w:val="16"/>
          <w:lang w:val="es-ES_tradnl"/>
        </w:rPr>
        <w:t xml:space="preserve"> CIDH, Democracia y Derechos Humanos en Venezuela, 2009, párr. 904; CIDH, Situación de los derechos humanos en Venezuela – “Institucionalidad democrática, Estado de Derecho y derechos humanos en Venezuela”, 2017, párr. 389; CIDH, Informe Anual 2018, Capítulo IV.B, Venezuela, párr. 171.</w:t>
      </w:r>
    </w:p>
  </w:footnote>
  <w:footnote w:id="28">
    <w:p w14:paraId="50151B73" w14:textId="77777777" w:rsidR="007E7A63" w:rsidRPr="0091434E" w:rsidRDefault="007E7A63" w:rsidP="007E7A63">
      <w:pPr>
        <w:pStyle w:val="FootnoteText"/>
        <w:jc w:val="both"/>
        <w:rPr>
          <w:rFonts w:asciiTheme="majorHAnsi" w:hAnsiTheme="majorHAnsi"/>
          <w:color w:val="000000" w:themeColor="text1"/>
          <w:szCs w:val="16"/>
          <w:lang w:val="es-ES_tradnl"/>
        </w:rPr>
      </w:pPr>
      <w:r w:rsidRPr="0091434E">
        <w:rPr>
          <w:rStyle w:val="FootnoteReference"/>
          <w:rFonts w:asciiTheme="majorHAnsi" w:hAnsiTheme="majorHAnsi"/>
          <w:color w:val="000000" w:themeColor="text1"/>
          <w:szCs w:val="16"/>
          <w:lang w:val="es-ES_tradnl"/>
        </w:rPr>
        <w:footnoteRef/>
      </w:r>
      <w:r w:rsidRPr="0091434E">
        <w:rPr>
          <w:rFonts w:asciiTheme="majorHAnsi" w:hAnsiTheme="majorHAnsi"/>
          <w:color w:val="000000" w:themeColor="text1"/>
          <w:szCs w:val="16"/>
          <w:lang w:val="es-ES_tradnl"/>
        </w:rPr>
        <w:t xml:space="preserve"> CIDH, Informe Anual 2004, Capítulo V. Seguimiento de las recomendaciones formuladas por la CIDH en sus informes sobre países, Venezuela, párr. 260.</w:t>
      </w:r>
    </w:p>
  </w:footnote>
  <w:footnote w:id="29">
    <w:p w14:paraId="54CAEF08" w14:textId="77777777" w:rsidR="007E7A63" w:rsidRPr="0091434E" w:rsidRDefault="007E7A63" w:rsidP="007E7A63">
      <w:pPr>
        <w:jc w:val="both"/>
        <w:rPr>
          <w:rFonts w:asciiTheme="majorHAnsi" w:hAnsiTheme="majorHAnsi"/>
          <w:sz w:val="16"/>
          <w:szCs w:val="16"/>
          <w:lang w:val="es-419"/>
        </w:rPr>
      </w:pPr>
      <w:r w:rsidRPr="0091434E">
        <w:rPr>
          <w:rStyle w:val="FootnoteReference"/>
          <w:rFonts w:asciiTheme="majorHAnsi" w:hAnsiTheme="majorHAnsi"/>
          <w:sz w:val="16"/>
          <w:szCs w:val="16"/>
        </w:rPr>
        <w:footnoteRef/>
      </w:r>
      <w:r w:rsidRPr="0091434E">
        <w:rPr>
          <w:rFonts w:asciiTheme="majorHAnsi" w:hAnsiTheme="majorHAnsi"/>
          <w:sz w:val="16"/>
          <w:szCs w:val="16"/>
          <w:lang w:val="es-419"/>
        </w:rPr>
        <w:t xml:space="preserve"> CIDH. Informe sobre la situación de los derechos humanos en Venezuela. OEA/Ser.L/V/II.118 Doc. 4 rev. 1, adoptado el 24 de octubre de 2003, párr. 198.</w:t>
      </w:r>
    </w:p>
  </w:footnote>
  <w:footnote w:id="30">
    <w:p w14:paraId="0840E119" w14:textId="77777777" w:rsidR="007E7A63" w:rsidRPr="0091434E" w:rsidRDefault="007E7A63" w:rsidP="007E7A63">
      <w:pPr>
        <w:jc w:val="both"/>
        <w:rPr>
          <w:rFonts w:asciiTheme="majorHAnsi" w:hAnsiTheme="majorHAnsi"/>
          <w:sz w:val="16"/>
          <w:szCs w:val="16"/>
          <w:lang w:val="es-419"/>
        </w:rPr>
      </w:pPr>
      <w:r w:rsidRPr="0091434E">
        <w:rPr>
          <w:rStyle w:val="FootnoteReference"/>
          <w:rFonts w:asciiTheme="majorHAnsi" w:hAnsiTheme="majorHAnsi"/>
          <w:sz w:val="16"/>
          <w:szCs w:val="16"/>
        </w:rPr>
        <w:footnoteRef/>
      </w:r>
      <w:r w:rsidRPr="0091434E">
        <w:rPr>
          <w:rFonts w:asciiTheme="majorHAnsi" w:hAnsiTheme="majorHAnsi"/>
          <w:sz w:val="16"/>
          <w:szCs w:val="16"/>
          <w:lang w:val="es-419"/>
        </w:rPr>
        <w:t xml:space="preserve"> CIDH. Informe sobre la situación de los derechos humanos en Venezuela. OEA/Ser.L/V/II.118 Doc. 4 rev. 1, adoptado el 24 de octubre de 2003, párr. 198.</w:t>
      </w:r>
    </w:p>
  </w:footnote>
  <w:footnote w:id="31">
    <w:p w14:paraId="3C0831BB" w14:textId="77777777" w:rsidR="007E7A63" w:rsidRPr="0091434E" w:rsidRDefault="007E7A63" w:rsidP="007E7A63">
      <w:pPr>
        <w:jc w:val="both"/>
        <w:rPr>
          <w:rFonts w:asciiTheme="majorHAnsi" w:hAnsiTheme="majorHAnsi"/>
          <w:sz w:val="16"/>
          <w:szCs w:val="16"/>
          <w:lang w:val="es-ES"/>
        </w:rPr>
      </w:pPr>
      <w:r w:rsidRPr="0091434E">
        <w:rPr>
          <w:rStyle w:val="FootnoteReference"/>
          <w:rFonts w:asciiTheme="majorHAnsi" w:hAnsiTheme="majorHAnsi"/>
          <w:sz w:val="16"/>
          <w:szCs w:val="16"/>
        </w:rPr>
        <w:footnoteRef/>
      </w:r>
      <w:r w:rsidRPr="0091434E">
        <w:rPr>
          <w:rFonts w:asciiTheme="majorHAnsi" w:hAnsiTheme="majorHAnsi"/>
          <w:sz w:val="16"/>
          <w:szCs w:val="16"/>
          <w:lang w:val="es-419"/>
        </w:rPr>
        <w:t xml:space="preserve"> CIDH. Informe sobre la situación de los derechos humanos en Venezuela. OEA/Ser.L/V/II.118 Doc. 4 rev. 1, adoptado el 24 de octubre de 2003, párr. </w:t>
      </w:r>
      <w:r w:rsidRPr="0091434E">
        <w:rPr>
          <w:rFonts w:asciiTheme="majorHAnsi" w:hAnsiTheme="majorHAnsi"/>
          <w:sz w:val="16"/>
          <w:szCs w:val="16"/>
          <w:lang w:val="es-ES"/>
        </w:rPr>
        <w:t>198.</w:t>
      </w:r>
    </w:p>
  </w:footnote>
  <w:footnote w:id="32">
    <w:p w14:paraId="5A8C3042" w14:textId="77777777" w:rsidR="007E7A63" w:rsidRPr="0091434E" w:rsidRDefault="007E7A63" w:rsidP="007E7A63">
      <w:pPr>
        <w:jc w:val="both"/>
        <w:rPr>
          <w:rFonts w:asciiTheme="majorHAnsi" w:hAnsiTheme="majorHAnsi"/>
          <w:color w:val="000000" w:themeColor="text1"/>
          <w:sz w:val="16"/>
          <w:szCs w:val="16"/>
          <w:lang w:val="es-419"/>
        </w:rPr>
      </w:pPr>
      <w:r w:rsidRPr="0091434E">
        <w:rPr>
          <w:rStyle w:val="FootnoteReference"/>
          <w:rFonts w:asciiTheme="majorHAnsi" w:eastAsia="Calibri" w:hAnsiTheme="majorHAnsi"/>
          <w:color w:val="000000" w:themeColor="text1"/>
          <w:sz w:val="16"/>
          <w:szCs w:val="16"/>
        </w:rPr>
        <w:footnoteRef/>
      </w:r>
      <w:r w:rsidRPr="0091434E">
        <w:rPr>
          <w:rFonts w:asciiTheme="majorHAnsi" w:hAnsiTheme="majorHAnsi"/>
          <w:color w:val="000000" w:themeColor="text1"/>
          <w:sz w:val="16"/>
          <w:szCs w:val="16"/>
          <w:lang w:val="es-419"/>
        </w:rPr>
        <w:t xml:space="preserve"> </w:t>
      </w:r>
      <w:r w:rsidRPr="0091434E">
        <w:rPr>
          <w:rFonts w:asciiTheme="majorHAnsi" w:hAnsiTheme="majorHAnsi"/>
          <w:color w:val="000000" w:themeColor="text1"/>
          <w:sz w:val="16"/>
          <w:szCs w:val="16"/>
          <w:lang w:val="es-ES_tradnl"/>
        </w:rPr>
        <w:t>En el c</w:t>
      </w:r>
      <w:r w:rsidRPr="0091434E">
        <w:rPr>
          <w:rFonts w:asciiTheme="majorHAnsi" w:hAnsiTheme="majorHAnsi"/>
          <w:color w:val="000000" w:themeColor="text1"/>
          <w:sz w:val="16"/>
          <w:szCs w:val="16"/>
          <w:lang w:val="es-419"/>
        </w:rPr>
        <w:t xml:space="preserve">aso Montero Aranguren y otros (Retén de Catia) Vs. Venezuela, este tribunal declaró la responsabilidad internacional del Estado por la ejecución extrajudicial de 37 reclusos del Retén de Catia por parte de tropas del Comando Regional de la Guardia Nacional y de la Policía Metropolitana, así como por la falta de investigación y sanción de los responsables. En ese contexto, como garantías de no repetición, </w:t>
      </w:r>
      <w:r w:rsidRPr="0091434E">
        <w:rPr>
          <w:rFonts w:asciiTheme="majorHAnsi" w:hAnsiTheme="majorHAnsi"/>
          <w:color w:val="000000" w:themeColor="text1"/>
          <w:sz w:val="16"/>
          <w:szCs w:val="16"/>
          <w:lang w:val="es-ES_tradnl"/>
        </w:rPr>
        <w:t xml:space="preserve">la Corte ordenó al Estado venezolano a adecuar sus </w:t>
      </w:r>
      <w:r w:rsidRPr="0091434E">
        <w:rPr>
          <w:rFonts w:asciiTheme="majorHAnsi" w:hAnsiTheme="majorHAnsi"/>
          <w:color w:val="000000" w:themeColor="text1"/>
          <w:sz w:val="16"/>
          <w:szCs w:val="16"/>
          <w:lang w:val="es-419"/>
        </w:rPr>
        <w:t>condiciones carcelarias a los estándares internacionales, para que las personas privadas de libertad vivan en condiciones compatibles con su dignidad humana. Corte IDH. Caso Montero Aranguren y otros (Retén de Catia) Vs. Venezuela. Fondo, Reparaciones y Costas. Sentencia de 5 de julio de 2006, párr. 146.</w:t>
      </w:r>
    </w:p>
  </w:footnote>
  <w:footnote w:id="33">
    <w:p w14:paraId="798391BD" w14:textId="3DDC6210" w:rsidR="00AC2B34" w:rsidRPr="0091434E" w:rsidRDefault="00AC2B34" w:rsidP="00B3688A">
      <w:pPr>
        <w:pStyle w:val="FootnoteText"/>
        <w:jc w:val="both"/>
        <w:rPr>
          <w:rFonts w:asciiTheme="majorHAnsi" w:hAnsiTheme="majorHAnsi"/>
          <w:szCs w:val="16"/>
          <w:lang w:val="es-ES_tradnl"/>
        </w:rPr>
      </w:pPr>
      <w:r w:rsidRPr="0091434E">
        <w:rPr>
          <w:rStyle w:val="FootnoteReference"/>
          <w:rFonts w:asciiTheme="majorHAnsi" w:hAnsiTheme="majorHAnsi"/>
          <w:color w:val="000000" w:themeColor="text1"/>
          <w:szCs w:val="16"/>
          <w:lang w:val="es-ES_tradnl"/>
        </w:rPr>
        <w:footnoteRef/>
      </w:r>
      <w:r w:rsidRPr="0091434E">
        <w:rPr>
          <w:rFonts w:asciiTheme="majorHAnsi" w:hAnsiTheme="majorHAnsi"/>
          <w:color w:val="000000" w:themeColor="text1"/>
          <w:szCs w:val="16"/>
          <w:lang w:val="es-ES_tradnl"/>
        </w:rPr>
        <w:t xml:space="preserve"> Anexo </w:t>
      </w:r>
      <w:r w:rsidR="005B3B98" w:rsidRPr="0091434E">
        <w:rPr>
          <w:rFonts w:asciiTheme="majorHAnsi" w:hAnsiTheme="majorHAnsi"/>
          <w:color w:val="000000" w:themeColor="text1"/>
          <w:szCs w:val="16"/>
          <w:lang w:val="es-ES_tradnl"/>
        </w:rPr>
        <w:t>3.</w:t>
      </w:r>
      <w:r w:rsidRPr="0091434E">
        <w:rPr>
          <w:rFonts w:asciiTheme="majorHAnsi" w:hAnsiTheme="majorHAnsi"/>
          <w:color w:val="000000" w:themeColor="text1"/>
          <w:szCs w:val="16"/>
          <w:lang w:val="es-ES_tradnl"/>
        </w:rPr>
        <w:t xml:space="preserve"> Estudio del Observatorio Venezolano de Prisiones “Situación de los derechos humanos y procesales de las personas privadas de libertad en Venezuela”, Anexo al escrito de observaciones de la parte peticionaria a las observaciones del Estado de fecha 25 de abril de 2008.</w:t>
      </w:r>
      <w:r w:rsidR="007E7A63" w:rsidRPr="0091434E">
        <w:rPr>
          <w:rFonts w:asciiTheme="majorHAnsi" w:hAnsiTheme="majorHAnsi"/>
          <w:color w:val="000000" w:themeColor="text1"/>
          <w:szCs w:val="16"/>
          <w:lang w:val="es-ES_tradnl"/>
        </w:rPr>
        <w:t xml:space="preserve"> De forma reciente, el Observatorio Venezolano </w:t>
      </w:r>
      <w:r w:rsidR="007E7A63" w:rsidRPr="0091434E">
        <w:rPr>
          <w:rFonts w:asciiTheme="majorHAnsi" w:hAnsiTheme="majorHAnsi"/>
          <w:color w:val="000000" w:themeColor="text1"/>
          <w:szCs w:val="16"/>
          <w:lang w:val="es-MX"/>
        </w:rPr>
        <w:t>de Prisiones (OVP)</w:t>
      </w:r>
      <w:r w:rsidR="007E7A63" w:rsidRPr="0091434E">
        <w:rPr>
          <w:rFonts w:asciiTheme="majorHAnsi" w:hAnsiTheme="majorHAnsi"/>
          <w:color w:val="000000" w:themeColor="text1"/>
          <w:szCs w:val="16"/>
          <w:lang w:val="es-ES_tradnl"/>
        </w:rPr>
        <w:t xml:space="preserve"> llevó a cabo un estudio que visibiliza la situación de las mujeres privadas de libertad en el contexto penitenciario, con información obtenida entre octubre del año 2020 hasta marzo del año 2021 mediante entrevistas a reclusas. Algunos testimonios sostenían que muchas mujeres detenidas son víctimas de violencia sexual, la cual sería conocida, aceptada y tolerada por el personal de custodia. Observatorio Venezolano </w:t>
      </w:r>
      <w:r w:rsidR="007E7A63" w:rsidRPr="0091434E">
        <w:rPr>
          <w:rFonts w:asciiTheme="majorHAnsi" w:hAnsiTheme="majorHAnsi"/>
          <w:color w:val="000000" w:themeColor="text1"/>
          <w:szCs w:val="16"/>
          <w:lang w:val="es-MX"/>
        </w:rPr>
        <w:t>de Prisiones (OVP</w:t>
      </w:r>
      <w:r w:rsidR="007E7A63" w:rsidRPr="0091434E">
        <w:rPr>
          <w:rFonts w:asciiTheme="majorHAnsi" w:eastAsiaTheme="minorHAnsi" w:hAnsiTheme="majorHAnsi"/>
          <w:color w:val="000000" w:themeColor="text1"/>
          <w:szCs w:val="16"/>
          <w:lang w:val="es-MX"/>
        </w:rPr>
        <w:t>). Informe. Mujeres privadas de la libertad en Venezuela. Las voces de las mujeres detrás de las rejas. Caracas:</w:t>
      </w:r>
      <w:r w:rsidR="007E7A63" w:rsidRPr="0091434E">
        <w:rPr>
          <w:rFonts w:asciiTheme="majorHAnsi" w:hAnsiTheme="majorHAnsi"/>
          <w:color w:val="000000" w:themeColor="text1"/>
          <w:szCs w:val="16"/>
          <w:lang w:val="es-MX"/>
        </w:rPr>
        <w:t xml:space="preserve"> OVP</w:t>
      </w:r>
      <w:r w:rsidR="007E7A63" w:rsidRPr="0091434E">
        <w:rPr>
          <w:rFonts w:asciiTheme="majorHAnsi" w:eastAsiaTheme="minorHAnsi" w:hAnsiTheme="majorHAnsi"/>
          <w:color w:val="000000" w:themeColor="text1"/>
          <w:szCs w:val="16"/>
          <w:lang w:val="es-MX"/>
        </w:rPr>
        <w:t>, 2021, p. 53.</w:t>
      </w:r>
    </w:p>
  </w:footnote>
  <w:footnote w:id="34">
    <w:p w14:paraId="41057F64" w14:textId="77777777" w:rsidR="007E7A63" w:rsidRPr="0091434E" w:rsidRDefault="007E7A63" w:rsidP="007E7A63">
      <w:pPr>
        <w:jc w:val="both"/>
        <w:rPr>
          <w:rFonts w:asciiTheme="majorHAnsi" w:hAnsiTheme="majorHAnsi"/>
          <w:color w:val="000000" w:themeColor="text1"/>
          <w:sz w:val="16"/>
          <w:szCs w:val="16"/>
          <w:lang w:val="pt-BR"/>
        </w:rPr>
      </w:pPr>
      <w:r w:rsidRPr="0091434E">
        <w:rPr>
          <w:rStyle w:val="FootnoteReference"/>
          <w:rFonts w:asciiTheme="majorHAnsi" w:eastAsia="Calibri" w:hAnsiTheme="majorHAnsi"/>
          <w:color w:val="000000" w:themeColor="text1"/>
          <w:sz w:val="16"/>
          <w:szCs w:val="16"/>
        </w:rPr>
        <w:footnoteRef/>
      </w:r>
      <w:r w:rsidRPr="0091434E">
        <w:rPr>
          <w:rFonts w:asciiTheme="majorHAnsi" w:hAnsiTheme="majorHAnsi"/>
          <w:color w:val="000000" w:themeColor="text1"/>
          <w:sz w:val="16"/>
          <w:szCs w:val="16"/>
          <w:lang w:val="es-419"/>
        </w:rPr>
        <w:t xml:space="preserve"> Comité de Derechos Humanos. Observaciones finales sobre el cuarto informe periódico de la República Bolivariana de Venezuela. </w:t>
      </w:r>
      <w:r w:rsidRPr="0091434E">
        <w:rPr>
          <w:rFonts w:asciiTheme="majorHAnsi" w:hAnsiTheme="majorHAnsi"/>
          <w:color w:val="000000" w:themeColor="text1"/>
          <w:sz w:val="16"/>
          <w:szCs w:val="16"/>
          <w:lang w:val="pt-BR"/>
        </w:rPr>
        <w:t>CCPR/C/VEN/CO/4. 14 de agosto de 2015, párr. 12.</w:t>
      </w:r>
    </w:p>
  </w:footnote>
  <w:footnote w:id="35">
    <w:p w14:paraId="5DA8E781" w14:textId="77777777" w:rsidR="00AC2B34" w:rsidRPr="0091434E" w:rsidRDefault="00AC2B34" w:rsidP="00EE66B7">
      <w:pPr>
        <w:pStyle w:val="FootnoteText"/>
        <w:jc w:val="both"/>
        <w:rPr>
          <w:rFonts w:asciiTheme="majorHAnsi" w:hAnsiTheme="majorHAnsi"/>
          <w:szCs w:val="16"/>
          <w:lang w:val="es-ES_tradnl"/>
        </w:rPr>
      </w:pPr>
      <w:r w:rsidRPr="0091434E">
        <w:rPr>
          <w:rStyle w:val="FootnoteReference"/>
          <w:rFonts w:asciiTheme="majorHAnsi" w:hAnsiTheme="majorHAnsi"/>
          <w:szCs w:val="16"/>
          <w:lang w:val="es-ES_tradnl"/>
        </w:rPr>
        <w:footnoteRef/>
      </w:r>
      <w:r w:rsidRPr="0091434E">
        <w:rPr>
          <w:rFonts w:asciiTheme="majorHAnsi" w:hAnsiTheme="majorHAnsi"/>
          <w:szCs w:val="16"/>
          <w:lang w:val="pt-BR"/>
        </w:rPr>
        <w:t xml:space="preserve"> CIDH, Informe Anual 2016, Capítulo IV.B Venezuela, párr. </w:t>
      </w:r>
      <w:r w:rsidRPr="0091434E">
        <w:rPr>
          <w:rFonts w:asciiTheme="majorHAnsi" w:hAnsiTheme="majorHAnsi"/>
          <w:szCs w:val="16"/>
          <w:lang w:val="es-ES_tradnl"/>
        </w:rPr>
        <w:t>205.</w:t>
      </w:r>
    </w:p>
  </w:footnote>
  <w:footnote w:id="36">
    <w:p w14:paraId="5E59B2E6" w14:textId="77777777" w:rsidR="00AC2B34" w:rsidRPr="0091434E" w:rsidRDefault="00AC2B34" w:rsidP="00E96514">
      <w:pPr>
        <w:pStyle w:val="FootnoteText"/>
        <w:jc w:val="both"/>
        <w:rPr>
          <w:rFonts w:asciiTheme="majorHAnsi" w:hAnsiTheme="majorHAnsi"/>
          <w:szCs w:val="16"/>
          <w:lang w:val="es-ES_tradnl"/>
        </w:rPr>
      </w:pPr>
      <w:r w:rsidRPr="0091434E">
        <w:rPr>
          <w:rStyle w:val="FootnoteReference"/>
          <w:rFonts w:asciiTheme="majorHAnsi" w:hAnsiTheme="majorHAnsi"/>
          <w:szCs w:val="16"/>
          <w:lang w:val="es-ES_tradnl"/>
        </w:rPr>
        <w:footnoteRef/>
      </w:r>
      <w:r w:rsidRPr="0091434E">
        <w:rPr>
          <w:rFonts w:asciiTheme="majorHAnsi" w:hAnsiTheme="majorHAnsi"/>
          <w:szCs w:val="16"/>
          <w:lang w:val="es-ES_tradnl"/>
        </w:rPr>
        <w:t xml:space="preserve"> CIDH, Situación de los derechos humanos en Venezuela – “Institucionalidad democrática, Estado de Derecho y derechos humanos en Venezuela”, 2017, párr. 393. CIDH, Informe Anual 2016, Capítulo IV.B Venezuela, párr. 207.</w:t>
      </w:r>
    </w:p>
  </w:footnote>
  <w:footnote w:id="37">
    <w:p w14:paraId="3AA43644" w14:textId="6DD32E08" w:rsidR="00AC2B34" w:rsidRPr="0091434E" w:rsidRDefault="00AC2B34" w:rsidP="00B3688A">
      <w:pPr>
        <w:pStyle w:val="FootnoteText"/>
        <w:jc w:val="both"/>
        <w:rPr>
          <w:rFonts w:asciiTheme="majorHAnsi" w:hAnsiTheme="majorHAnsi"/>
          <w:szCs w:val="16"/>
          <w:lang w:val="es-ES_tradnl"/>
        </w:rPr>
      </w:pPr>
      <w:r w:rsidRPr="0091434E">
        <w:rPr>
          <w:rStyle w:val="FootnoteReference"/>
          <w:rFonts w:asciiTheme="majorHAnsi" w:hAnsiTheme="majorHAnsi"/>
          <w:szCs w:val="16"/>
          <w:lang w:val="es-ES_tradnl"/>
        </w:rPr>
        <w:footnoteRef/>
      </w:r>
      <w:r w:rsidRPr="0091434E">
        <w:rPr>
          <w:rFonts w:asciiTheme="majorHAnsi" w:hAnsiTheme="majorHAnsi"/>
          <w:szCs w:val="16"/>
          <w:lang w:val="es-ES_tradnl"/>
        </w:rPr>
        <w:t xml:space="preserve"> Escrito de la parte peticionaria del 10 de mayo de 2006. Anexo </w:t>
      </w:r>
      <w:r w:rsidR="005B3B98" w:rsidRPr="0091434E">
        <w:rPr>
          <w:rFonts w:asciiTheme="majorHAnsi" w:hAnsiTheme="majorHAnsi"/>
          <w:szCs w:val="16"/>
          <w:lang w:val="es-ES_tradnl"/>
        </w:rPr>
        <w:t>4.</w:t>
      </w:r>
      <w:r w:rsidRPr="0091434E">
        <w:rPr>
          <w:rFonts w:asciiTheme="majorHAnsi" w:hAnsiTheme="majorHAnsi"/>
          <w:szCs w:val="16"/>
          <w:lang w:val="es-ES_tradnl"/>
        </w:rPr>
        <w:t xml:space="preserve"> Acción de amparo interpuesta a favor de Dianora Maleno de fecha 1 de julio de 2002, Anexo al escrito de la parte peticionaria del 11 de octubre de 2006. Escrito de observaciones de la parte peticionaria a las observaciones del Estado de fecha 25 de abril de 2008. </w:t>
      </w:r>
    </w:p>
  </w:footnote>
  <w:footnote w:id="38">
    <w:p w14:paraId="48C2967C" w14:textId="7ECCD8CA" w:rsidR="00AC2B34" w:rsidRPr="0091434E" w:rsidRDefault="00AC2B34" w:rsidP="00B3688A">
      <w:pPr>
        <w:pStyle w:val="FootnoteText"/>
        <w:jc w:val="both"/>
        <w:rPr>
          <w:rFonts w:asciiTheme="majorHAnsi" w:hAnsiTheme="majorHAnsi"/>
          <w:szCs w:val="16"/>
          <w:lang w:val="es-ES_tradnl"/>
        </w:rPr>
      </w:pPr>
      <w:r w:rsidRPr="0091434E">
        <w:rPr>
          <w:rStyle w:val="FootnoteReference"/>
          <w:rFonts w:asciiTheme="majorHAnsi" w:hAnsiTheme="majorHAnsi"/>
          <w:szCs w:val="16"/>
          <w:lang w:val="es-ES_tradnl"/>
        </w:rPr>
        <w:footnoteRef/>
      </w:r>
      <w:r w:rsidRPr="0091434E">
        <w:rPr>
          <w:rFonts w:asciiTheme="majorHAnsi" w:hAnsiTheme="majorHAnsi"/>
          <w:szCs w:val="16"/>
          <w:lang w:val="es-ES_tradnl"/>
        </w:rPr>
        <w:t xml:space="preserve"> Anexo </w:t>
      </w:r>
      <w:r w:rsidR="005B3B98" w:rsidRPr="0091434E">
        <w:rPr>
          <w:rFonts w:asciiTheme="majorHAnsi" w:hAnsiTheme="majorHAnsi"/>
          <w:szCs w:val="16"/>
          <w:lang w:val="es-ES_tradnl"/>
        </w:rPr>
        <w:t>4.</w:t>
      </w:r>
      <w:r w:rsidRPr="0091434E">
        <w:rPr>
          <w:rFonts w:asciiTheme="majorHAnsi" w:hAnsiTheme="majorHAnsi"/>
          <w:szCs w:val="16"/>
          <w:lang w:val="es-ES_tradnl"/>
        </w:rPr>
        <w:t xml:space="preserve"> Acción de amparo interpuesta a favor de Dianora Maleno de fecha 1 de julio de 2002, Anexo al escrito de la parte peticionaria del 11 de octubre de 2006.</w:t>
      </w:r>
    </w:p>
  </w:footnote>
  <w:footnote w:id="39">
    <w:p w14:paraId="6C13ED55" w14:textId="047B3227" w:rsidR="00AC2B34" w:rsidRPr="0091434E" w:rsidRDefault="00AC2B34" w:rsidP="00B3688A">
      <w:pPr>
        <w:pStyle w:val="FootnoteText"/>
        <w:jc w:val="both"/>
        <w:rPr>
          <w:rFonts w:asciiTheme="majorHAnsi" w:hAnsiTheme="majorHAnsi"/>
          <w:szCs w:val="16"/>
          <w:lang w:val="es-ES_tradnl"/>
        </w:rPr>
      </w:pPr>
      <w:r w:rsidRPr="0091434E">
        <w:rPr>
          <w:rStyle w:val="FootnoteReference"/>
          <w:rFonts w:asciiTheme="majorHAnsi" w:hAnsiTheme="majorHAnsi"/>
          <w:szCs w:val="16"/>
          <w:lang w:val="es-ES_tradnl"/>
        </w:rPr>
        <w:footnoteRef/>
      </w:r>
      <w:r w:rsidRPr="0091434E">
        <w:rPr>
          <w:rFonts w:asciiTheme="majorHAnsi" w:hAnsiTheme="majorHAnsi"/>
          <w:szCs w:val="16"/>
          <w:lang w:val="es-ES_tradnl"/>
        </w:rPr>
        <w:t xml:space="preserve"> Anexo </w:t>
      </w:r>
      <w:r w:rsidR="005B3B98" w:rsidRPr="0091434E">
        <w:rPr>
          <w:rFonts w:asciiTheme="majorHAnsi" w:hAnsiTheme="majorHAnsi"/>
          <w:szCs w:val="16"/>
          <w:lang w:val="es-ES_tradnl"/>
        </w:rPr>
        <w:t>5.</w:t>
      </w:r>
      <w:r w:rsidRPr="0091434E">
        <w:rPr>
          <w:rFonts w:asciiTheme="majorHAnsi" w:hAnsiTheme="majorHAnsi"/>
          <w:szCs w:val="16"/>
          <w:lang w:val="es-ES_tradnl"/>
        </w:rPr>
        <w:t xml:space="preserve"> Escrito dirigido a la Corte de Apelaciones del Circuito Penal de la Circunscripción Judicial del Estado de Anzoátegui de fecha 2 de agosto de 2002, Anexo al escrito de la parte peticionaria del 11 de octubre de 2006. Anexo </w:t>
      </w:r>
      <w:r w:rsidR="005B3B98" w:rsidRPr="0091434E">
        <w:rPr>
          <w:rFonts w:asciiTheme="majorHAnsi" w:hAnsiTheme="majorHAnsi"/>
          <w:szCs w:val="16"/>
          <w:lang w:val="es-ES_tradnl"/>
        </w:rPr>
        <w:t>6.</w:t>
      </w:r>
      <w:r w:rsidRPr="0091434E">
        <w:rPr>
          <w:rFonts w:asciiTheme="majorHAnsi" w:hAnsiTheme="majorHAnsi"/>
          <w:szCs w:val="16"/>
          <w:lang w:val="es-ES_tradnl"/>
        </w:rPr>
        <w:t xml:space="preserve"> Escrito dirigido a la Corte de Apelaciones del Circuito Penal de la Circunscripción Judicial del Estado de Anzoátegui de fecha 12 de septiembre de 2002, Anexo al escrito de la parte peticionaria del 11 de octubre de 2006. Anexo </w:t>
      </w:r>
      <w:r w:rsidR="005B3B98" w:rsidRPr="0091434E">
        <w:rPr>
          <w:rFonts w:asciiTheme="majorHAnsi" w:hAnsiTheme="majorHAnsi"/>
          <w:szCs w:val="16"/>
          <w:lang w:val="es-ES_tradnl"/>
        </w:rPr>
        <w:t>7.</w:t>
      </w:r>
      <w:r w:rsidRPr="0091434E">
        <w:rPr>
          <w:rFonts w:asciiTheme="majorHAnsi" w:hAnsiTheme="majorHAnsi"/>
          <w:szCs w:val="16"/>
          <w:lang w:val="es-ES_tradnl"/>
        </w:rPr>
        <w:t xml:space="preserve"> Escrito dirigido a la Corte de Apelaciones del Circuito Penal de la Circunscripción Judicial del Estado de Anzoátegui de fecha 23 de septiembre de 2002, Anexo al escrito de la parte peticionaria del 11 de octubre de 2006. Anexo </w:t>
      </w:r>
      <w:r w:rsidR="005B3B98" w:rsidRPr="0091434E">
        <w:rPr>
          <w:rFonts w:asciiTheme="majorHAnsi" w:hAnsiTheme="majorHAnsi"/>
          <w:szCs w:val="16"/>
          <w:lang w:val="es-ES_tradnl"/>
        </w:rPr>
        <w:t>8.</w:t>
      </w:r>
      <w:r w:rsidRPr="0091434E">
        <w:rPr>
          <w:rFonts w:asciiTheme="majorHAnsi" w:hAnsiTheme="majorHAnsi"/>
          <w:szCs w:val="16"/>
          <w:lang w:val="es-ES_tradnl"/>
        </w:rPr>
        <w:t xml:space="preserve"> Escrito dirigido a la Corte de Apelaciones del Circuito Penal de la Circunscripción Judicial del Estado de Anzoátegui de fecha 26 de septiembre de 2002, Anexo al escrito de la parte peticionaria del 11 de octubre de 2006.</w:t>
      </w:r>
    </w:p>
  </w:footnote>
  <w:footnote w:id="40">
    <w:p w14:paraId="1B2A04C7" w14:textId="258CAB15" w:rsidR="00AC2B34" w:rsidRPr="0091434E" w:rsidRDefault="00AC2B34" w:rsidP="007E381B">
      <w:pPr>
        <w:pStyle w:val="FootnoteText"/>
        <w:jc w:val="both"/>
        <w:rPr>
          <w:rFonts w:asciiTheme="majorHAnsi" w:hAnsiTheme="majorHAnsi"/>
          <w:szCs w:val="16"/>
          <w:lang w:val="es-ES_tradnl"/>
        </w:rPr>
      </w:pPr>
      <w:r w:rsidRPr="0091434E">
        <w:rPr>
          <w:rStyle w:val="FootnoteReference"/>
          <w:rFonts w:asciiTheme="majorHAnsi" w:hAnsiTheme="majorHAnsi"/>
          <w:szCs w:val="16"/>
          <w:lang w:val="es-ES_tradnl"/>
        </w:rPr>
        <w:footnoteRef/>
      </w:r>
      <w:r w:rsidRPr="0091434E">
        <w:rPr>
          <w:rFonts w:asciiTheme="majorHAnsi" w:hAnsiTheme="majorHAnsi"/>
          <w:szCs w:val="16"/>
          <w:lang w:val="es-ES_tradnl"/>
        </w:rPr>
        <w:t xml:space="preserve"> Anexo </w:t>
      </w:r>
      <w:r w:rsidR="005B3B98" w:rsidRPr="0091434E">
        <w:rPr>
          <w:rFonts w:asciiTheme="majorHAnsi" w:hAnsiTheme="majorHAnsi"/>
          <w:szCs w:val="16"/>
          <w:lang w:val="es-ES_tradnl"/>
        </w:rPr>
        <w:t>9.</w:t>
      </w:r>
      <w:r w:rsidRPr="0091434E">
        <w:rPr>
          <w:rFonts w:asciiTheme="majorHAnsi" w:hAnsiTheme="majorHAnsi"/>
          <w:szCs w:val="16"/>
          <w:lang w:val="es-ES_tradnl"/>
        </w:rPr>
        <w:t xml:space="preserve"> Oficio y recortes periodísticos enviados por el Fiscal de Ejecución y Sentencia del estado de Anzoátegui a la Fiscal Superior de fecha 11 de enero de 2002, Anexo al escrito de la parte peticionaria del 11 de octubre de 2006.</w:t>
      </w:r>
    </w:p>
  </w:footnote>
  <w:footnote w:id="41">
    <w:p w14:paraId="46F12444" w14:textId="53613B2D" w:rsidR="00AC2B34" w:rsidRPr="0091434E" w:rsidRDefault="00AC2B34" w:rsidP="007E381B">
      <w:pPr>
        <w:pStyle w:val="FootnoteText"/>
        <w:jc w:val="both"/>
        <w:rPr>
          <w:rFonts w:asciiTheme="majorHAnsi" w:hAnsiTheme="majorHAnsi"/>
          <w:szCs w:val="16"/>
          <w:lang w:val="es-ES_tradnl"/>
        </w:rPr>
      </w:pPr>
      <w:r w:rsidRPr="0091434E">
        <w:rPr>
          <w:rStyle w:val="FootnoteReference"/>
          <w:rFonts w:asciiTheme="majorHAnsi" w:hAnsiTheme="majorHAnsi"/>
          <w:szCs w:val="16"/>
          <w:lang w:val="es-ES_tradnl"/>
        </w:rPr>
        <w:footnoteRef/>
      </w:r>
      <w:r w:rsidRPr="0091434E">
        <w:rPr>
          <w:rFonts w:asciiTheme="majorHAnsi" w:hAnsiTheme="majorHAnsi"/>
          <w:szCs w:val="16"/>
          <w:lang w:val="es-ES_tradnl"/>
        </w:rPr>
        <w:t xml:space="preserve"> Anexo </w:t>
      </w:r>
      <w:r w:rsidR="005B3B98" w:rsidRPr="0091434E">
        <w:rPr>
          <w:rFonts w:asciiTheme="majorHAnsi" w:hAnsiTheme="majorHAnsi"/>
          <w:szCs w:val="16"/>
          <w:lang w:val="es-ES_tradnl"/>
        </w:rPr>
        <w:t>10.</w:t>
      </w:r>
      <w:r w:rsidRPr="0091434E">
        <w:rPr>
          <w:rFonts w:asciiTheme="majorHAnsi" w:hAnsiTheme="majorHAnsi"/>
          <w:szCs w:val="16"/>
          <w:lang w:val="es-ES_tradnl"/>
        </w:rPr>
        <w:t xml:space="preserve"> Ponencia del Fiscal Ricardo Maita dirigid</w:t>
      </w:r>
      <w:r w:rsidR="005B3B98" w:rsidRPr="0091434E">
        <w:rPr>
          <w:rFonts w:asciiTheme="majorHAnsi" w:hAnsiTheme="majorHAnsi"/>
          <w:szCs w:val="16"/>
          <w:lang w:val="es-ES_tradnl"/>
        </w:rPr>
        <w:t>a</w:t>
      </w:r>
      <w:r w:rsidRPr="0091434E">
        <w:rPr>
          <w:rFonts w:asciiTheme="majorHAnsi" w:hAnsiTheme="majorHAnsi"/>
          <w:szCs w:val="16"/>
          <w:lang w:val="es-ES_tradnl"/>
        </w:rPr>
        <w:t xml:space="preserve"> a la Corte de Apelaciones del Circuito Penal de la Circunscripción Judicial del Estado de Anzoátegui de fecha 2 de octubre de 2002, Anexo al escrito de la parte peticionaria del 11 de octubre de 2006.</w:t>
      </w:r>
    </w:p>
  </w:footnote>
  <w:footnote w:id="42">
    <w:p w14:paraId="29609D73" w14:textId="1139AB25" w:rsidR="00AC2B34" w:rsidRPr="0091434E" w:rsidRDefault="00AC2B34" w:rsidP="00B3688A">
      <w:pPr>
        <w:pStyle w:val="FootnoteText"/>
        <w:jc w:val="both"/>
        <w:rPr>
          <w:rFonts w:asciiTheme="majorHAnsi" w:hAnsiTheme="majorHAnsi"/>
          <w:szCs w:val="16"/>
          <w:lang w:val="es-ES_tradnl"/>
        </w:rPr>
      </w:pPr>
      <w:r w:rsidRPr="0091434E">
        <w:rPr>
          <w:rStyle w:val="FootnoteReference"/>
          <w:rFonts w:asciiTheme="majorHAnsi" w:hAnsiTheme="majorHAnsi"/>
          <w:szCs w:val="16"/>
          <w:lang w:val="es-ES_tradnl"/>
        </w:rPr>
        <w:footnoteRef/>
      </w:r>
      <w:r w:rsidRPr="0091434E">
        <w:rPr>
          <w:rFonts w:asciiTheme="majorHAnsi" w:hAnsiTheme="majorHAnsi"/>
          <w:szCs w:val="16"/>
          <w:lang w:val="es-ES_tradnl"/>
        </w:rPr>
        <w:t xml:space="preserve"> Anexo </w:t>
      </w:r>
      <w:r w:rsidR="00272E1C" w:rsidRPr="0091434E">
        <w:rPr>
          <w:rFonts w:asciiTheme="majorHAnsi" w:hAnsiTheme="majorHAnsi"/>
          <w:szCs w:val="16"/>
          <w:lang w:val="es-ES_tradnl"/>
        </w:rPr>
        <w:t>11.</w:t>
      </w:r>
      <w:r w:rsidRPr="0091434E">
        <w:rPr>
          <w:rFonts w:asciiTheme="majorHAnsi" w:hAnsiTheme="majorHAnsi"/>
          <w:szCs w:val="16"/>
          <w:lang w:val="es-ES_tradnl"/>
        </w:rPr>
        <w:t xml:space="preserve"> Sentencia de la Corte de Apelaciones declarando “sin lugar” la acción de amparo con fecha 7 de octubre de 2002, Anexo al escrito de la parte peticionaria del 11 de octubre de 2006.</w:t>
      </w:r>
    </w:p>
  </w:footnote>
  <w:footnote w:id="43">
    <w:p w14:paraId="7BB2C3AA" w14:textId="5DF51849" w:rsidR="00AC2B34" w:rsidRPr="0091434E" w:rsidRDefault="00AC2B34" w:rsidP="007E381B">
      <w:pPr>
        <w:pStyle w:val="FootnoteText"/>
        <w:jc w:val="both"/>
        <w:rPr>
          <w:rFonts w:asciiTheme="majorHAnsi" w:hAnsiTheme="majorHAnsi"/>
          <w:szCs w:val="16"/>
          <w:lang w:val="es-ES_tradnl"/>
        </w:rPr>
      </w:pPr>
      <w:r w:rsidRPr="0091434E">
        <w:rPr>
          <w:rStyle w:val="FootnoteReference"/>
          <w:rFonts w:asciiTheme="majorHAnsi" w:hAnsiTheme="majorHAnsi"/>
          <w:szCs w:val="16"/>
          <w:lang w:val="es-ES_tradnl"/>
        </w:rPr>
        <w:footnoteRef/>
      </w:r>
      <w:r w:rsidRPr="0091434E">
        <w:rPr>
          <w:rFonts w:asciiTheme="majorHAnsi" w:hAnsiTheme="majorHAnsi"/>
          <w:szCs w:val="16"/>
          <w:lang w:val="es-ES_tradnl"/>
        </w:rPr>
        <w:t xml:space="preserve"> Petición inicial del 10 de mayo de 2006. Escrito de observaciones de la parte peticionaria a las observaciones del Estado de fecha 25 de abril de 2008.</w:t>
      </w:r>
    </w:p>
  </w:footnote>
  <w:footnote w:id="44">
    <w:p w14:paraId="1409431A" w14:textId="08B27A9F" w:rsidR="00AC2B34" w:rsidRPr="0091434E" w:rsidRDefault="00AC2B34" w:rsidP="007E381B">
      <w:pPr>
        <w:pStyle w:val="FootnoteText"/>
        <w:jc w:val="both"/>
        <w:rPr>
          <w:rFonts w:asciiTheme="majorHAnsi" w:hAnsiTheme="majorHAnsi"/>
          <w:szCs w:val="16"/>
          <w:lang w:val="es-ES_tradnl"/>
        </w:rPr>
      </w:pPr>
      <w:r w:rsidRPr="0091434E">
        <w:rPr>
          <w:rStyle w:val="FootnoteReference"/>
          <w:rFonts w:asciiTheme="majorHAnsi" w:hAnsiTheme="majorHAnsi"/>
          <w:szCs w:val="16"/>
          <w:lang w:val="es-ES_tradnl"/>
        </w:rPr>
        <w:footnoteRef/>
      </w:r>
      <w:r w:rsidRPr="0091434E">
        <w:rPr>
          <w:rFonts w:asciiTheme="majorHAnsi" w:hAnsiTheme="majorHAnsi"/>
          <w:szCs w:val="16"/>
          <w:lang w:val="es-ES_tradnl"/>
        </w:rPr>
        <w:t xml:space="preserve"> Petición inicial del 10 de mayo de 2006. Escrito de observaciones de la parte peticionaria a las observaciones del Estado de fecha 25 de abril de 2008. Escrito de observaciones de la parte peticionaria a las observaciones del Estado de fecha 25 de abril de 2008.</w:t>
      </w:r>
    </w:p>
  </w:footnote>
  <w:footnote w:id="45">
    <w:p w14:paraId="38D99A96" w14:textId="4216D4D1" w:rsidR="00AC2B34" w:rsidRPr="0091434E" w:rsidRDefault="00AC2B34" w:rsidP="00EE66B7">
      <w:pPr>
        <w:pStyle w:val="FootnoteText"/>
        <w:jc w:val="both"/>
        <w:rPr>
          <w:rFonts w:asciiTheme="majorHAnsi" w:hAnsiTheme="majorHAnsi"/>
          <w:szCs w:val="16"/>
          <w:lang w:val="es-ES_tradnl"/>
        </w:rPr>
      </w:pPr>
      <w:r w:rsidRPr="0091434E">
        <w:rPr>
          <w:rStyle w:val="FootnoteReference"/>
          <w:rFonts w:asciiTheme="majorHAnsi" w:hAnsiTheme="majorHAnsi"/>
          <w:szCs w:val="16"/>
          <w:lang w:val="es-ES_tradnl"/>
        </w:rPr>
        <w:footnoteRef/>
      </w:r>
      <w:r w:rsidRPr="0091434E">
        <w:rPr>
          <w:rFonts w:asciiTheme="majorHAnsi" w:hAnsiTheme="majorHAnsi"/>
          <w:szCs w:val="16"/>
          <w:lang w:val="es-ES_tradnl"/>
        </w:rPr>
        <w:t xml:space="preserve"> Petición inicial del 10 de mayo de 2006.</w:t>
      </w:r>
    </w:p>
  </w:footnote>
  <w:footnote w:id="46">
    <w:p w14:paraId="0F0C4A75" w14:textId="5F5B7D19" w:rsidR="00AC2B34" w:rsidRPr="0091434E" w:rsidRDefault="00AC2B34" w:rsidP="00EE66B7">
      <w:pPr>
        <w:pStyle w:val="FootnoteText"/>
        <w:jc w:val="both"/>
        <w:rPr>
          <w:rFonts w:asciiTheme="majorHAnsi" w:hAnsiTheme="majorHAnsi"/>
          <w:szCs w:val="16"/>
          <w:lang w:val="es-ES_tradnl"/>
        </w:rPr>
      </w:pPr>
      <w:r w:rsidRPr="0091434E">
        <w:rPr>
          <w:rStyle w:val="FootnoteReference"/>
          <w:rFonts w:asciiTheme="majorHAnsi" w:hAnsiTheme="majorHAnsi"/>
          <w:szCs w:val="16"/>
          <w:lang w:val="es-ES_tradnl"/>
        </w:rPr>
        <w:footnoteRef/>
      </w:r>
      <w:r w:rsidRPr="0091434E">
        <w:rPr>
          <w:rFonts w:asciiTheme="majorHAnsi" w:hAnsiTheme="majorHAnsi"/>
          <w:szCs w:val="16"/>
          <w:lang w:val="es-ES_tradnl"/>
        </w:rPr>
        <w:t xml:space="preserve"> Anexo </w:t>
      </w:r>
      <w:r w:rsidR="00272E1C" w:rsidRPr="0091434E">
        <w:rPr>
          <w:rFonts w:asciiTheme="majorHAnsi" w:hAnsiTheme="majorHAnsi"/>
          <w:szCs w:val="16"/>
          <w:lang w:val="es-ES_tradnl"/>
        </w:rPr>
        <w:t>12.</w:t>
      </w:r>
      <w:r w:rsidRPr="0091434E">
        <w:rPr>
          <w:rFonts w:asciiTheme="majorHAnsi" w:hAnsiTheme="majorHAnsi"/>
          <w:szCs w:val="16"/>
          <w:lang w:val="es-ES_tradnl"/>
        </w:rPr>
        <w:t xml:space="preserve"> Acta y oficio de Fiscal de Ejecución y Sentencia del estado de Anzoátegui de fecha 8 de enero de 2002, Anexo al escrito de la parte peticionaria del 11 de octubre de 2006.</w:t>
      </w:r>
    </w:p>
  </w:footnote>
  <w:footnote w:id="47">
    <w:p w14:paraId="65911570" w14:textId="00EF3277" w:rsidR="00AC2B34" w:rsidRPr="0091434E" w:rsidRDefault="00AC2B34" w:rsidP="00EE66B7">
      <w:pPr>
        <w:pStyle w:val="FootnoteText"/>
        <w:jc w:val="both"/>
        <w:rPr>
          <w:rFonts w:asciiTheme="majorHAnsi" w:hAnsiTheme="majorHAnsi"/>
          <w:szCs w:val="16"/>
          <w:lang w:val="es-ES_tradnl"/>
        </w:rPr>
      </w:pPr>
      <w:r w:rsidRPr="0091434E">
        <w:rPr>
          <w:rStyle w:val="FootnoteReference"/>
          <w:rFonts w:asciiTheme="majorHAnsi" w:hAnsiTheme="majorHAnsi"/>
          <w:szCs w:val="16"/>
          <w:lang w:val="es-ES_tradnl"/>
        </w:rPr>
        <w:footnoteRef/>
      </w:r>
      <w:r w:rsidRPr="0091434E">
        <w:rPr>
          <w:rFonts w:asciiTheme="majorHAnsi" w:hAnsiTheme="majorHAnsi"/>
          <w:szCs w:val="16"/>
          <w:lang w:val="es-ES_tradnl"/>
        </w:rPr>
        <w:t xml:space="preserve"> Petición inicial del 10 de mayo de 2006.</w:t>
      </w:r>
    </w:p>
  </w:footnote>
  <w:footnote w:id="48">
    <w:p w14:paraId="5DBE8A73" w14:textId="736FBF37" w:rsidR="00AC2B34" w:rsidRPr="0091434E" w:rsidRDefault="00AC2B34" w:rsidP="0018413D">
      <w:pPr>
        <w:pStyle w:val="FootnoteText"/>
        <w:jc w:val="both"/>
        <w:rPr>
          <w:rFonts w:asciiTheme="majorHAnsi" w:hAnsiTheme="majorHAnsi"/>
          <w:szCs w:val="16"/>
          <w:lang w:val="es-ES_tradnl"/>
        </w:rPr>
      </w:pPr>
      <w:r w:rsidRPr="0091434E">
        <w:rPr>
          <w:rStyle w:val="FootnoteReference"/>
          <w:rFonts w:asciiTheme="majorHAnsi" w:hAnsiTheme="majorHAnsi"/>
          <w:szCs w:val="16"/>
          <w:lang w:val="es-ES_tradnl"/>
        </w:rPr>
        <w:footnoteRef/>
      </w:r>
      <w:r w:rsidRPr="0091434E">
        <w:rPr>
          <w:rFonts w:asciiTheme="majorHAnsi" w:hAnsiTheme="majorHAnsi"/>
          <w:szCs w:val="16"/>
          <w:lang w:val="es-ES_tradnl"/>
        </w:rPr>
        <w:t xml:space="preserve"> Escrito de observaciones de la parte peticionaria a las observaciones del Estado de fecha 25 de abril de 2008.</w:t>
      </w:r>
    </w:p>
  </w:footnote>
  <w:footnote w:id="49">
    <w:p w14:paraId="09F0469A" w14:textId="3926446A" w:rsidR="00AC2B34" w:rsidRPr="0091434E" w:rsidRDefault="00AC2B34" w:rsidP="00EE66B7">
      <w:pPr>
        <w:pStyle w:val="FootnoteText"/>
        <w:jc w:val="both"/>
        <w:rPr>
          <w:rFonts w:asciiTheme="majorHAnsi" w:hAnsiTheme="majorHAnsi"/>
          <w:szCs w:val="16"/>
          <w:lang w:val="es-ES_tradnl"/>
        </w:rPr>
      </w:pPr>
      <w:r w:rsidRPr="0091434E">
        <w:rPr>
          <w:rStyle w:val="FootnoteReference"/>
          <w:rFonts w:asciiTheme="majorHAnsi" w:hAnsiTheme="majorHAnsi"/>
          <w:szCs w:val="16"/>
          <w:lang w:val="es-ES_tradnl"/>
        </w:rPr>
        <w:footnoteRef/>
      </w:r>
      <w:r w:rsidRPr="0091434E">
        <w:rPr>
          <w:rFonts w:asciiTheme="majorHAnsi" w:hAnsiTheme="majorHAnsi"/>
          <w:szCs w:val="16"/>
          <w:lang w:val="es-ES_tradnl"/>
        </w:rPr>
        <w:t xml:space="preserve"> Anexo </w:t>
      </w:r>
      <w:r w:rsidR="0091434E" w:rsidRPr="0091434E">
        <w:rPr>
          <w:rFonts w:asciiTheme="majorHAnsi" w:hAnsiTheme="majorHAnsi"/>
          <w:szCs w:val="16"/>
          <w:lang w:val="es-ES_tradnl"/>
        </w:rPr>
        <w:t>12.</w:t>
      </w:r>
      <w:r w:rsidRPr="0091434E">
        <w:rPr>
          <w:rFonts w:asciiTheme="majorHAnsi" w:hAnsiTheme="majorHAnsi"/>
          <w:szCs w:val="16"/>
          <w:lang w:val="es-ES_tradnl"/>
        </w:rPr>
        <w:t xml:space="preserve"> </w:t>
      </w:r>
      <w:bookmarkStart w:id="15" w:name="_Hlk133932941"/>
      <w:r w:rsidRPr="0091434E">
        <w:rPr>
          <w:rFonts w:asciiTheme="majorHAnsi" w:hAnsiTheme="majorHAnsi"/>
          <w:szCs w:val="16"/>
          <w:lang w:val="es-ES_tradnl"/>
        </w:rPr>
        <w:t>Acta y oficio del Fiscal de Ejecución y Sentencia del estado de Anzoátegui de fecha 8 de enero de 2002, Anexo al escrito de la parte peticionaria del 11 de octubre de 2006.</w:t>
      </w:r>
      <w:bookmarkEnd w:id="15"/>
    </w:p>
  </w:footnote>
  <w:footnote w:id="50">
    <w:p w14:paraId="61D13E69" w14:textId="00C707AD" w:rsidR="00AC2B34" w:rsidRPr="0091434E" w:rsidRDefault="00AC2B34" w:rsidP="00EE66B7">
      <w:pPr>
        <w:pStyle w:val="FootnoteText"/>
        <w:jc w:val="both"/>
        <w:rPr>
          <w:rFonts w:asciiTheme="majorHAnsi" w:hAnsiTheme="majorHAnsi"/>
          <w:szCs w:val="16"/>
          <w:lang w:val="es-ES_tradnl"/>
        </w:rPr>
      </w:pPr>
      <w:r w:rsidRPr="0091434E">
        <w:rPr>
          <w:rStyle w:val="FootnoteReference"/>
          <w:rFonts w:asciiTheme="majorHAnsi" w:hAnsiTheme="majorHAnsi"/>
          <w:szCs w:val="16"/>
          <w:lang w:val="es-ES_tradnl"/>
        </w:rPr>
        <w:footnoteRef/>
      </w:r>
      <w:r w:rsidRPr="0091434E">
        <w:rPr>
          <w:rFonts w:asciiTheme="majorHAnsi" w:hAnsiTheme="majorHAnsi"/>
          <w:szCs w:val="16"/>
          <w:lang w:val="es-ES_tradnl"/>
        </w:rPr>
        <w:t xml:space="preserve"> </w:t>
      </w:r>
      <w:r w:rsidR="0091434E" w:rsidRPr="0091434E">
        <w:rPr>
          <w:rFonts w:asciiTheme="majorHAnsi" w:hAnsiTheme="majorHAnsi"/>
          <w:szCs w:val="16"/>
          <w:lang w:val="es-ES_tradnl"/>
        </w:rPr>
        <w:t>Anexo 12. Acta y oficio del Fiscal de Ejecución y Sentencia del estado de Anzoátegui de fecha 8 de enero de 2002, Anexo al escrito de la parte peticionaria del 11 de octubre de 2006.</w:t>
      </w:r>
    </w:p>
  </w:footnote>
  <w:footnote w:id="51">
    <w:p w14:paraId="47845426" w14:textId="14CB2940" w:rsidR="00AC2B34" w:rsidRPr="0091434E" w:rsidRDefault="00AC2B34" w:rsidP="00EE66B7">
      <w:pPr>
        <w:pStyle w:val="FootnoteText"/>
        <w:jc w:val="both"/>
        <w:rPr>
          <w:rFonts w:asciiTheme="majorHAnsi" w:hAnsiTheme="majorHAnsi"/>
          <w:szCs w:val="16"/>
          <w:lang w:val="es-ES_tradnl"/>
        </w:rPr>
      </w:pPr>
      <w:r w:rsidRPr="0091434E">
        <w:rPr>
          <w:rStyle w:val="FootnoteReference"/>
          <w:rFonts w:asciiTheme="majorHAnsi" w:hAnsiTheme="majorHAnsi"/>
          <w:szCs w:val="16"/>
          <w:lang w:val="es-ES_tradnl"/>
        </w:rPr>
        <w:footnoteRef/>
      </w:r>
      <w:r w:rsidRPr="0091434E">
        <w:rPr>
          <w:rFonts w:asciiTheme="majorHAnsi" w:hAnsiTheme="majorHAnsi"/>
          <w:szCs w:val="16"/>
          <w:lang w:val="es-ES_tradnl"/>
        </w:rPr>
        <w:t xml:space="preserve"> Anexo </w:t>
      </w:r>
      <w:r w:rsidR="00272E1C" w:rsidRPr="0091434E">
        <w:rPr>
          <w:rFonts w:asciiTheme="majorHAnsi" w:hAnsiTheme="majorHAnsi"/>
          <w:szCs w:val="16"/>
          <w:lang w:val="es-ES_tradnl"/>
        </w:rPr>
        <w:t>13</w:t>
      </w:r>
      <w:r w:rsidRPr="0091434E">
        <w:rPr>
          <w:rFonts w:asciiTheme="majorHAnsi" w:hAnsiTheme="majorHAnsi"/>
          <w:szCs w:val="16"/>
          <w:lang w:val="es-ES_tradnl"/>
        </w:rPr>
        <w:t>, Oficio del Fiscal de Ejecución y Sentencia del estado de Anzoátegui dirigido a la Dirección General de Protección y Defensa al Ciudadano, de fecha 10 de enero de 2002, Anexo al escrito de la parte peticionaria del 11 de octubre de 2006.</w:t>
      </w:r>
    </w:p>
  </w:footnote>
  <w:footnote w:id="52">
    <w:p w14:paraId="3A9D16C3" w14:textId="1316550D" w:rsidR="00AC2B34" w:rsidRPr="0091434E" w:rsidRDefault="00AC2B34" w:rsidP="00EE66B7">
      <w:pPr>
        <w:pStyle w:val="FootnoteText"/>
        <w:jc w:val="both"/>
        <w:rPr>
          <w:rFonts w:asciiTheme="majorHAnsi" w:hAnsiTheme="majorHAnsi"/>
          <w:szCs w:val="16"/>
          <w:lang w:val="es-ES_tradnl"/>
        </w:rPr>
      </w:pPr>
      <w:r w:rsidRPr="0091434E">
        <w:rPr>
          <w:rStyle w:val="FootnoteReference"/>
          <w:rFonts w:asciiTheme="majorHAnsi" w:hAnsiTheme="majorHAnsi"/>
          <w:szCs w:val="16"/>
          <w:lang w:val="es-ES_tradnl"/>
        </w:rPr>
        <w:footnoteRef/>
      </w:r>
      <w:r w:rsidRPr="0091434E">
        <w:rPr>
          <w:rFonts w:asciiTheme="majorHAnsi" w:hAnsiTheme="majorHAnsi"/>
          <w:szCs w:val="16"/>
          <w:lang w:val="es-ES_tradnl"/>
        </w:rPr>
        <w:t xml:space="preserve"> Escrito de observaciones de la parte peticionaria a las observaciones del Estado de fecha 25 de abril de 2008. Anexo </w:t>
      </w:r>
      <w:r w:rsidR="005B3B98" w:rsidRPr="0091434E">
        <w:rPr>
          <w:rFonts w:asciiTheme="majorHAnsi" w:hAnsiTheme="majorHAnsi"/>
          <w:szCs w:val="16"/>
          <w:lang w:val="es-ES_tradnl"/>
        </w:rPr>
        <w:t>10.</w:t>
      </w:r>
      <w:r w:rsidRPr="0091434E">
        <w:rPr>
          <w:rFonts w:asciiTheme="majorHAnsi" w:hAnsiTheme="majorHAnsi"/>
          <w:szCs w:val="16"/>
          <w:lang w:val="es-ES_tradnl"/>
        </w:rPr>
        <w:t xml:space="preserve"> Ponencia del Fiscal Ricardo Maita dirigida a la Corte de Apelaciones del Circuito Penal de la Circunscripción Judicial del Estado de Anzoátegui de fecha 2 de octubre de 2002, Anexo al escrito de la parte peticionaria del 11 de octubre de 2006. Anexo </w:t>
      </w:r>
      <w:r w:rsidR="00272E1C" w:rsidRPr="0091434E">
        <w:rPr>
          <w:rFonts w:asciiTheme="majorHAnsi" w:hAnsiTheme="majorHAnsi"/>
          <w:szCs w:val="16"/>
          <w:lang w:val="es-ES_tradnl"/>
        </w:rPr>
        <w:t>14.</w:t>
      </w:r>
      <w:r w:rsidRPr="0091434E">
        <w:rPr>
          <w:rFonts w:asciiTheme="majorHAnsi" w:hAnsiTheme="majorHAnsi"/>
          <w:szCs w:val="16"/>
          <w:lang w:val="es-ES_tradnl"/>
        </w:rPr>
        <w:t xml:space="preserve"> Ponencia de la Fiscal Libia Romero dirigida a la Corte de Apelaciones del Circuito Penal de la Circunscripción Judicial del Estado de Anzoátegui de fecha 2 de octubre de 2002, Anexo al escrito de la parte peticionaria del 11 de octubre de 2006. </w:t>
      </w:r>
    </w:p>
  </w:footnote>
  <w:footnote w:id="53">
    <w:p w14:paraId="377F1254" w14:textId="2AFD6F1B" w:rsidR="00AC2B34" w:rsidRPr="0091434E" w:rsidRDefault="00AC2B34" w:rsidP="00EE66B7">
      <w:pPr>
        <w:pStyle w:val="FootnoteText"/>
        <w:jc w:val="both"/>
        <w:rPr>
          <w:rFonts w:asciiTheme="majorHAnsi" w:hAnsiTheme="majorHAnsi"/>
          <w:szCs w:val="16"/>
          <w:lang w:val="es-ES_tradnl"/>
        </w:rPr>
      </w:pPr>
      <w:r w:rsidRPr="0091434E">
        <w:rPr>
          <w:rStyle w:val="FootnoteReference"/>
          <w:rFonts w:asciiTheme="majorHAnsi" w:hAnsiTheme="majorHAnsi"/>
          <w:szCs w:val="16"/>
          <w:lang w:val="es-ES_tradnl"/>
        </w:rPr>
        <w:footnoteRef/>
      </w:r>
      <w:r w:rsidRPr="0091434E">
        <w:rPr>
          <w:rFonts w:asciiTheme="majorHAnsi" w:hAnsiTheme="majorHAnsi"/>
          <w:szCs w:val="16"/>
          <w:lang w:val="es-ES_tradnl"/>
        </w:rPr>
        <w:t xml:space="preserve"> Anexo </w:t>
      </w:r>
      <w:r w:rsidR="005B3B98" w:rsidRPr="0091434E">
        <w:rPr>
          <w:rFonts w:asciiTheme="majorHAnsi" w:hAnsiTheme="majorHAnsi"/>
          <w:szCs w:val="16"/>
          <w:lang w:val="es-ES_tradnl"/>
        </w:rPr>
        <w:t>9.</w:t>
      </w:r>
      <w:r w:rsidRPr="0091434E">
        <w:rPr>
          <w:rFonts w:asciiTheme="majorHAnsi" w:hAnsiTheme="majorHAnsi"/>
          <w:szCs w:val="16"/>
          <w:lang w:val="es-ES_tradnl"/>
        </w:rPr>
        <w:t xml:space="preserve"> Oficio y recortes periodísticos enviados por el Fiscal de Ejecución y Sentencia del estado de Anzoátegui a la Fiscal Superior de fecha 11 de enero de 2002, Anexo al escrito de la parte peticionaria del 11 de octubre de 2006.</w:t>
      </w:r>
    </w:p>
  </w:footnote>
  <w:footnote w:id="54">
    <w:p w14:paraId="20EEF20A" w14:textId="4A2ACADC" w:rsidR="00AC2B34" w:rsidRPr="0091434E" w:rsidRDefault="00AC2B34" w:rsidP="00EE66B7">
      <w:pPr>
        <w:pStyle w:val="FootnoteText"/>
        <w:jc w:val="both"/>
        <w:rPr>
          <w:rFonts w:asciiTheme="majorHAnsi" w:hAnsiTheme="majorHAnsi"/>
          <w:szCs w:val="16"/>
          <w:lang w:val="es-ES_tradnl"/>
        </w:rPr>
      </w:pPr>
      <w:r w:rsidRPr="0091434E">
        <w:rPr>
          <w:rStyle w:val="FootnoteReference"/>
          <w:rFonts w:asciiTheme="majorHAnsi" w:hAnsiTheme="majorHAnsi"/>
          <w:szCs w:val="16"/>
          <w:lang w:val="es-ES_tradnl"/>
        </w:rPr>
        <w:footnoteRef/>
      </w:r>
      <w:r w:rsidRPr="0091434E">
        <w:rPr>
          <w:rFonts w:asciiTheme="majorHAnsi" w:hAnsiTheme="majorHAnsi"/>
          <w:szCs w:val="16"/>
          <w:lang w:val="es-ES_tradnl"/>
        </w:rPr>
        <w:t xml:space="preserve"> Anexo </w:t>
      </w:r>
      <w:r w:rsidR="005B3B98" w:rsidRPr="0091434E">
        <w:rPr>
          <w:rFonts w:asciiTheme="majorHAnsi" w:hAnsiTheme="majorHAnsi"/>
          <w:szCs w:val="16"/>
          <w:lang w:val="es-ES_tradnl"/>
        </w:rPr>
        <w:t>9.</w:t>
      </w:r>
      <w:r w:rsidRPr="0091434E">
        <w:rPr>
          <w:rFonts w:asciiTheme="majorHAnsi" w:hAnsiTheme="majorHAnsi"/>
          <w:szCs w:val="16"/>
          <w:lang w:val="es-ES_tradnl"/>
        </w:rPr>
        <w:t xml:space="preserve"> Oficio y recortes periodísticos enviados por el Fiscal de Ejecución y Sentencia del estado de Anzoátegui a la Fiscal Superior de fecha 11 de enero de 2002, Anexo al escrito de la parte peticionaria del 11 de octubre de 2006.</w:t>
      </w:r>
    </w:p>
  </w:footnote>
  <w:footnote w:id="55">
    <w:p w14:paraId="09C83517" w14:textId="31C8D5A3" w:rsidR="00AC2B34" w:rsidRPr="0091434E" w:rsidRDefault="00AC2B34" w:rsidP="00EE66B7">
      <w:pPr>
        <w:pStyle w:val="FootnoteText"/>
        <w:jc w:val="both"/>
        <w:rPr>
          <w:rFonts w:asciiTheme="majorHAnsi" w:hAnsiTheme="majorHAnsi"/>
          <w:szCs w:val="16"/>
          <w:lang w:val="es-ES_tradnl"/>
        </w:rPr>
      </w:pPr>
      <w:r w:rsidRPr="0091434E">
        <w:rPr>
          <w:rStyle w:val="FootnoteReference"/>
          <w:rFonts w:asciiTheme="majorHAnsi" w:hAnsiTheme="majorHAnsi"/>
          <w:szCs w:val="16"/>
          <w:lang w:val="es-ES_tradnl"/>
        </w:rPr>
        <w:footnoteRef/>
      </w:r>
      <w:r w:rsidRPr="0091434E">
        <w:rPr>
          <w:rFonts w:asciiTheme="majorHAnsi" w:hAnsiTheme="majorHAnsi"/>
          <w:szCs w:val="16"/>
          <w:lang w:val="es-ES_tradnl"/>
        </w:rPr>
        <w:t xml:space="preserve"> Anexo </w:t>
      </w:r>
      <w:r w:rsidR="005B3B98" w:rsidRPr="0091434E">
        <w:rPr>
          <w:rFonts w:asciiTheme="majorHAnsi" w:hAnsiTheme="majorHAnsi"/>
          <w:szCs w:val="16"/>
          <w:lang w:val="es-ES_tradnl"/>
        </w:rPr>
        <w:t>9.</w:t>
      </w:r>
      <w:r w:rsidRPr="0091434E">
        <w:rPr>
          <w:rFonts w:asciiTheme="majorHAnsi" w:hAnsiTheme="majorHAnsi"/>
          <w:szCs w:val="16"/>
          <w:lang w:val="es-ES_tradnl"/>
        </w:rPr>
        <w:t xml:space="preserve"> Oficio y recortes periodísticos enviados por el Fiscal de Ejecución y Sentencia del estado de Anzoátegui a la Fiscal Superior de fecha 11 de enero de 2002, Anexo al escrito de la parte peticionaria del 11 de octubre de 2006.</w:t>
      </w:r>
    </w:p>
  </w:footnote>
  <w:footnote w:id="56">
    <w:p w14:paraId="60A96375" w14:textId="03A42C9C" w:rsidR="00AC2B34" w:rsidRPr="0091434E" w:rsidRDefault="00AC2B34" w:rsidP="00EE66B7">
      <w:pPr>
        <w:pStyle w:val="FootnoteText"/>
        <w:jc w:val="both"/>
        <w:rPr>
          <w:rFonts w:asciiTheme="majorHAnsi" w:hAnsiTheme="majorHAnsi"/>
          <w:szCs w:val="16"/>
          <w:lang w:val="es-ES_tradnl"/>
        </w:rPr>
      </w:pPr>
      <w:r w:rsidRPr="0091434E">
        <w:rPr>
          <w:rStyle w:val="FootnoteReference"/>
          <w:rFonts w:asciiTheme="majorHAnsi" w:hAnsiTheme="majorHAnsi"/>
          <w:szCs w:val="16"/>
          <w:lang w:val="es-ES_tradnl"/>
        </w:rPr>
        <w:footnoteRef/>
      </w:r>
      <w:r w:rsidRPr="0091434E">
        <w:rPr>
          <w:rFonts w:asciiTheme="majorHAnsi" w:hAnsiTheme="majorHAnsi"/>
          <w:szCs w:val="16"/>
          <w:lang w:val="es-ES_tradnl"/>
        </w:rPr>
        <w:t xml:space="preserve"> Anexo </w:t>
      </w:r>
      <w:r w:rsidR="00272E1C" w:rsidRPr="0091434E">
        <w:rPr>
          <w:rFonts w:asciiTheme="majorHAnsi" w:hAnsiTheme="majorHAnsi"/>
          <w:szCs w:val="16"/>
          <w:lang w:val="es-ES_tradnl"/>
        </w:rPr>
        <w:t>15.</w:t>
      </w:r>
      <w:r w:rsidRPr="0091434E">
        <w:rPr>
          <w:rFonts w:asciiTheme="majorHAnsi" w:hAnsiTheme="majorHAnsi"/>
          <w:szCs w:val="16"/>
          <w:lang w:val="es-ES_tradnl"/>
        </w:rPr>
        <w:t xml:space="preserve"> Oficio del Director Presidente del Instituto Autónomo Policial del estado Anzoátegui dirigido a la Fiscal Superior de fecha 6 de agosto de 2002, Anexo al escrito de la parte peticionaria del 11 de octubre de 2006.</w:t>
      </w:r>
    </w:p>
  </w:footnote>
  <w:footnote w:id="57">
    <w:p w14:paraId="51D161FC" w14:textId="22B887A5" w:rsidR="00AC2B34" w:rsidRPr="0091434E" w:rsidRDefault="00AC2B34" w:rsidP="0018413D">
      <w:pPr>
        <w:pStyle w:val="FootnoteText"/>
        <w:jc w:val="both"/>
        <w:rPr>
          <w:rFonts w:asciiTheme="majorHAnsi" w:hAnsiTheme="majorHAnsi"/>
          <w:szCs w:val="16"/>
          <w:lang w:val="es-ES_tradnl"/>
        </w:rPr>
      </w:pPr>
      <w:r w:rsidRPr="0091434E">
        <w:rPr>
          <w:rStyle w:val="FootnoteReference"/>
          <w:rFonts w:asciiTheme="majorHAnsi" w:hAnsiTheme="majorHAnsi"/>
          <w:szCs w:val="16"/>
          <w:lang w:val="es-ES_tradnl"/>
        </w:rPr>
        <w:footnoteRef/>
      </w:r>
      <w:r w:rsidRPr="0091434E">
        <w:rPr>
          <w:rFonts w:asciiTheme="majorHAnsi" w:hAnsiTheme="majorHAnsi"/>
          <w:szCs w:val="16"/>
          <w:lang w:val="es-ES_tradnl"/>
        </w:rPr>
        <w:t xml:space="preserve"> Anexo </w:t>
      </w:r>
      <w:r w:rsidR="00272E1C" w:rsidRPr="0091434E">
        <w:rPr>
          <w:rFonts w:asciiTheme="majorHAnsi" w:hAnsiTheme="majorHAnsi"/>
          <w:szCs w:val="16"/>
          <w:lang w:val="es-ES_tradnl"/>
        </w:rPr>
        <w:t>15.</w:t>
      </w:r>
      <w:r w:rsidRPr="0091434E">
        <w:rPr>
          <w:rFonts w:asciiTheme="majorHAnsi" w:hAnsiTheme="majorHAnsi"/>
          <w:szCs w:val="16"/>
          <w:lang w:val="es-ES_tradnl"/>
        </w:rPr>
        <w:t xml:space="preserve"> Oficio del Director Presidente del Instituto Autónomo Policial del estado Anzoátegui dirigido a la Fiscal Superior de fecha 6 de agosto de 2002, Anexo al escrito de la parte peticionaria del 11 de octubre de 2006.</w:t>
      </w:r>
    </w:p>
  </w:footnote>
  <w:footnote w:id="58">
    <w:p w14:paraId="45DB19FD" w14:textId="2C9B0FF1" w:rsidR="00AC2B34" w:rsidRPr="0091434E" w:rsidRDefault="00AC2B34" w:rsidP="00EE66B7">
      <w:pPr>
        <w:pStyle w:val="FootnoteText"/>
        <w:jc w:val="both"/>
        <w:rPr>
          <w:rFonts w:asciiTheme="majorHAnsi" w:hAnsiTheme="majorHAnsi"/>
          <w:szCs w:val="16"/>
          <w:lang w:val="es-ES_tradnl"/>
        </w:rPr>
      </w:pPr>
      <w:r w:rsidRPr="0091434E">
        <w:rPr>
          <w:rStyle w:val="FootnoteReference"/>
          <w:rFonts w:asciiTheme="majorHAnsi" w:hAnsiTheme="majorHAnsi"/>
          <w:szCs w:val="16"/>
          <w:lang w:val="es-ES_tradnl"/>
        </w:rPr>
        <w:footnoteRef/>
      </w:r>
      <w:r w:rsidRPr="0091434E">
        <w:rPr>
          <w:rFonts w:asciiTheme="majorHAnsi" w:hAnsiTheme="majorHAnsi"/>
          <w:szCs w:val="16"/>
          <w:lang w:val="es-ES_tradnl"/>
        </w:rPr>
        <w:t xml:space="preserve"> Anexo </w:t>
      </w:r>
      <w:r w:rsidR="00272E1C" w:rsidRPr="0091434E">
        <w:rPr>
          <w:rFonts w:asciiTheme="majorHAnsi" w:hAnsiTheme="majorHAnsi"/>
          <w:szCs w:val="16"/>
          <w:lang w:val="es-ES_tradnl"/>
        </w:rPr>
        <w:t>16.</w:t>
      </w:r>
      <w:r w:rsidRPr="0091434E">
        <w:rPr>
          <w:rFonts w:asciiTheme="majorHAnsi" w:hAnsiTheme="majorHAnsi"/>
          <w:szCs w:val="16"/>
          <w:lang w:val="es-ES_tradnl"/>
        </w:rPr>
        <w:t xml:space="preserve"> Recorte de periódico “El Tiempo” de fecha 11 de enero de 2002, Anexo al escrito de la parte peticionaria del 11 de octubre de 2006.</w:t>
      </w:r>
    </w:p>
  </w:footnote>
  <w:footnote w:id="59">
    <w:p w14:paraId="18AE83B4" w14:textId="4AE9E8BC" w:rsidR="00AC2B34" w:rsidRPr="0091434E" w:rsidRDefault="00AC2B34" w:rsidP="001923FA">
      <w:pPr>
        <w:pStyle w:val="FootnoteText"/>
        <w:jc w:val="both"/>
        <w:rPr>
          <w:rFonts w:asciiTheme="majorHAnsi" w:hAnsiTheme="majorHAnsi"/>
          <w:szCs w:val="16"/>
          <w:lang w:val="es-ES_tradnl"/>
        </w:rPr>
      </w:pPr>
      <w:r w:rsidRPr="0091434E">
        <w:rPr>
          <w:rStyle w:val="FootnoteReference"/>
          <w:rFonts w:asciiTheme="majorHAnsi" w:hAnsiTheme="majorHAnsi"/>
          <w:szCs w:val="16"/>
          <w:lang w:val="es-ES_tradnl"/>
        </w:rPr>
        <w:footnoteRef/>
      </w:r>
      <w:r w:rsidRPr="0091434E">
        <w:rPr>
          <w:rFonts w:asciiTheme="majorHAnsi" w:hAnsiTheme="majorHAnsi"/>
          <w:szCs w:val="16"/>
          <w:lang w:val="es-ES_tradnl"/>
        </w:rPr>
        <w:t xml:space="preserve"> Petición inicial del 10 de mayo de 2006. Escrito de observaciones de la parte peticionaria a las observaciones del Estado de fecha 25 de abril de 2008.</w:t>
      </w:r>
    </w:p>
  </w:footnote>
  <w:footnote w:id="60">
    <w:p w14:paraId="0180D169" w14:textId="6EB654F0" w:rsidR="00AC2B34" w:rsidRPr="0091434E" w:rsidRDefault="00AC2B34" w:rsidP="00EE66B7">
      <w:pPr>
        <w:pStyle w:val="FootnoteText"/>
        <w:jc w:val="both"/>
        <w:rPr>
          <w:rFonts w:asciiTheme="majorHAnsi" w:hAnsiTheme="majorHAnsi"/>
          <w:szCs w:val="16"/>
          <w:lang w:val="es-ES_tradnl"/>
        </w:rPr>
      </w:pPr>
      <w:r w:rsidRPr="0091434E">
        <w:rPr>
          <w:rStyle w:val="FootnoteReference"/>
          <w:rFonts w:asciiTheme="majorHAnsi" w:hAnsiTheme="majorHAnsi"/>
          <w:szCs w:val="16"/>
          <w:lang w:val="es-ES_tradnl"/>
        </w:rPr>
        <w:footnoteRef/>
      </w:r>
      <w:r w:rsidRPr="0091434E">
        <w:rPr>
          <w:rFonts w:asciiTheme="majorHAnsi" w:hAnsiTheme="majorHAnsi"/>
          <w:szCs w:val="16"/>
          <w:lang w:val="es-ES_tradnl"/>
        </w:rPr>
        <w:t xml:space="preserve"> Anexo </w:t>
      </w:r>
      <w:r w:rsidR="00272E1C" w:rsidRPr="0091434E">
        <w:rPr>
          <w:rFonts w:asciiTheme="majorHAnsi" w:hAnsiTheme="majorHAnsi"/>
          <w:szCs w:val="16"/>
          <w:lang w:val="es-ES_tradnl"/>
        </w:rPr>
        <w:t>17.</w:t>
      </w:r>
      <w:r w:rsidRPr="0091434E">
        <w:rPr>
          <w:rFonts w:asciiTheme="majorHAnsi" w:hAnsiTheme="majorHAnsi"/>
          <w:szCs w:val="16"/>
          <w:lang w:val="es-ES_tradnl"/>
        </w:rPr>
        <w:t xml:space="preserve"> Recorte de periódico “El Tiempo” de fecha 27 de febrero de 2002, Anexo al escrito de la parte peticionaria del 11 de octubre de 2006. Anexo </w:t>
      </w:r>
      <w:r w:rsidR="00272E1C" w:rsidRPr="0091434E">
        <w:rPr>
          <w:rFonts w:asciiTheme="majorHAnsi" w:hAnsiTheme="majorHAnsi"/>
          <w:szCs w:val="16"/>
          <w:lang w:val="es-ES_tradnl"/>
        </w:rPr>
        <w:t>18.</w:t>
      </w:r>
      <w:r w:rsidRPr="0091434E">
        <w:rPr>
          <w:rFonts w:asciiTheme="majorHAnsi" w:hAnsiTheme="majorHAnsi"/>
          <w:szCs w:val="16"/>
          <w:lang w:val="es-ES_tradnl"/>
        </w:rPr>
        <w:t xml:space="preserve"> Recorte de periódico “El Tiempo” de fecha 9 de mayo de 2002. , Anexo al escrito de la parte peticionaria del 11 de octubre de 2006.</w:t>
      </w:r>
    </w:p>
  </w:footnote>
  <w:footnote w:id="61">
    <w:p w14:paraId="45EE5C19" w14:textId="2776814A" w:rsidR="00AC2B34" w:rsidRPr="0091434E" w:rsidRDefault="00AC2B34" w:rsidP="00EE66B7">
      <w:pPr>
        <w:pStyle w:val="FootnoteText"/>
        <w:jc w:val="both"/>
        <w:rPr>
          <w:rFonts w:asciiTheme="majorHAnsi" w:hAnsiTheme="majorHAnsi"/>
          <w:szCs w:val="16"/>
          <w:lang w:val="es-ES_tradnl"/>
        </w:rPr>
      </w:pPr>
      <w:r w:rsidRPr="0091434E">
        <w:rPr>
          <w:rStyle w:val="FootnoteReference"/>
          <w:rFonts w:asciiTheme="majorHAnsi" w:hAnsiTheme="majorHAnsi"/>
          <w:szCs w:val="16"/>
          <w:lang w:val="es-ES_tradnl"/>
        </w:rPr>
        <w:footnoteRef/>
      </w:r>
      <w:r w:rsidRPr="0091434E">
        <w:rPr>
          <w:rFonts w:asciiTheme="majorHAnsi" w:hAnsiTheme="majorHAnsi"/>
          <w:szCs w:val="16"/>
          <w:lang w:val="es-ES_tradnl"/>
        </w:rPr>
        <w:t xml:space="preserve"> Escrito de observaciones de la parte peticionaria a las observaciones del Estado de fecha 25 de abril de 2008. Petición inicial del 10 de mayo de 2006.</w:t>
      </w:r>
    </w:p>
  </w:footnote>
  <w:footnote w:id="62">
    <w:p w14:paraId="5B548EC8" w14:textId="084AB41A" w:rsidR="00AC2B34" w:rsidRPr="0091434E" w:rsidRDefault="00AC2B34" w:rsidP="0018413D">
      <w:pPr>
        <w:pStyle w:val="FootnoteText"/>
        <w:jc w:val="both"/>
        <w:rPr>
          <w:rFonts w:asciiTheme="majorHAnsi" w:hAnsiTheme="majorHAnsi"/>
          <w:szCs w:val="16"/>
          <w:lang w:val="es-ES_tradnl"/>
        </w:rPr>
      </w:pPr>
      <w:r w:rsidRPr="0091434E">
        <w:rPr>
          <w:rStyle w:val="FootnoteReference"/>
          <w:rFonts w:asciiTheme="majorHAnsi" w:hAnsiTheme="majorHAnsi"/>
          <w:szCs w:val="16"/>
          <w:lang w:val="es-ES_tradnl"/>
        </w:rPr>
        <w:footnoteRef/>
      </w:r>
      <w:r w:rsidRPr="0091434E">
        <w:rPr>
          <w:rFonts w:asciiTheme="majorHAnsi" w:hAnsiTheme="majorHAnsi"/>
          <w:szCs w:val="16"/>
          <w:lang w:val="es-ES_tradnl"/>
        </w:rPr>
        <w:t xml:space="preserve"> Escrito de observaciones de la parte peticionaria a las observaciones del Estado de fecha 25 de abril de 2008.</w:t>
      </w:r>
    </w:p>
  </w:footnote>
  <w:footnote w:id="63">
    <w:p w14:paraId="21DFDD80" w14:textId="34EBF01C" w:rsidR="00AC2B34" w:rsidRPr="0091434E" w:rsidRDefault="00AC2B34" w:rsidP="00EE66B7">
      <w:pPr>
        <w:pStyle w:val="FootnoteText"/>
        <w:jc w:val="both"/>
        <w:rPr>
          <w:rFonts w:asciiTheme="majorHAnsi" w:hAnsiTheme="majorHAnsi"/>
          <w:szCs w:val="16"/>
          <w:lang w:val="es-ES_tradnl"/>
        </w:rPr>
      </w:pPr>
      <w:r w:rsidRPr="0091434E">
        <w:rPr>
          <w:rStyle w:val="FootnoteReference"/>
          <w:rFonts w:asciiTheme="majorHAnsi" w:hAnsiTheme="majorHAnsi"/>
          <w:szCs w:val="16"/>
          <w:lang w:val="es-ES_tradnl"/>
        </w:rPr>
        <w:footnoteRef/>
      </w:r>
      <w:r w:rsidRPr="0091434E">
        <w:rPr>
          <w:rFonts w:asciiTheme="majorHAnsi" w:hAnsiTheme="majorHAnsi"/>
          <w:szCs w:val="16"/>
          <w:lang w:val="es-ES_tradnl"/>
        </w:rPr>
        <w:t xml:space="preserve"> Petición inicial del 10 de mayo de 2006.</w:t>
      </w:r>
    </w:p>
  </w:footnote>
  <w:footnote w:id="64">
    <w:p w14:paraId="711317F5" w14:textId="76D59D67" w:rsidR="00AC2B34" w:rsidRPr="0091434E" w:rsidRDefault="00AC2B34" w:rsidP="00F50A82">
      <w:pPr>
        <w:pStyle w:val="FootnoteText"/>
        <w:jc w:val="both"/>
        <w:rPr>
          <w:rFonts w:asciiTheme="majorHAnsi" w:hAnsiTheme="majorHAnsi"/>
          <w:szCs w:val="16"/>
          <w:lang w:val="es-ES_tradnl"/>
        </w:rPr>
      </w:pPr>
      <w:r w:rsidRPr="0091434E">
        <w:rPr>
          <w:rStyle w:val="FootnoteReference"/>
          <w:rFonts w:asciiTheme="majorHAnsi" w:hAnsiTheme="majorHAnsi"/>
          <w:szCs w:val="16"/>
          <w:lang w:val="es-ES_tradnl"/>
        </w:rPr>
        <w:footnoteRef/>
      </w:r>
      <w:r w:rsidRPr="0091434E">
        <w:rPr>
          <w:rFonts w:asciiTheme="majorHAnsi" w:hAnsiTheme="majorHAnsi"/>
          <w:szCs w:val="16"/>
          <w:lang w:val="es-ES_tradnl"/>
        </w:rPr>
        <w:t xml:space="preserve"> </w:t>
      </w:r>
      <w:r w:rsidR="0091434E" w:rsidRPr="0091434E">
        <w:rPr>
          <w:rFonts w:asciiTheme="majorHAnsi" w:hAnsiTheme="majorHAnsi"/>
          <w:szCs w:val="16"/>
          <w:lang w:val="es-ES_tradnl"/>
        </w:rPr>
        <w:t>Anexo 12. Acta y oficio del Fiscal de Ejecución y Sentencia del estado de Anzoátegui de fecha 8 de enero de 2002, Anexo al escrito de la parte peticionaria del 11 de octubre de 2006.</w:t>
      </w:r>
    </w:p>
  </w:footnote>
  <w:footnote w:id="65">
    <w:p w14:paraId="048B15A8" w14:textId="1FAF7C22" w:rsidR="00AC2B34" w:rsidRPr="0091434E" w:rsidRDefault="00AC2B34" w:rsidP="00F50A82">
      <w:pPr>
        <w:pStyle w:val="FootnoteText"/>
        <w:jc w:val="both"/>
        <w:rPr>
          <w:rFonts w:asciiTheme="majorHAnsi" w:hAnsiTheme="majorHAnsi"/>
          <w:szCs w:val="16"/>
          <w:lang w:val="es-ES_tradnl"/>
        </w:rPr>
      </w:pPr>
      <w:r w:rsidRPr="0091434E">
        <w:rPr>
          <w:rStyle w:val="FootnoteReference"/>
          <w:rFonts w:asciiTheme="majorHAnsi" w:hAnsiTheme="majorHAnsi"/>
          <w:szCs w:val="16"/>
          <w:lang w:val="es-ES_tradnl"/>
        </w:rPr>
        <w:footnoteRef/>
      </w:r>
      <w:r w:rsidRPr="0091434E">
        <w:rPr>
          <w:rFonts w:asciiTheme="majorHAnsi" w:hAnsiTheme="majorHAnsi"/>
          <w:szCs w:val="16"/>
          <w:lang w:val="es-ES_tradnl"/>
        </w:rPr>
        <w:t xml:space="preserve"> Anexo </w:t>
      </w:r>
      <w:r w:rsidR="00272E1C" w:rsidRPr="0091434E">
        <w:rPr>
          <w:rFonts w:asciiTheme="majorHAnsi" w:hAnsiTheme="majorHAnsi"/>
          <w:szCs w:val="16"/>
          <w:lang w:val="es-ES_tradnl"/>
        </w:rPr>
        <w:t>19.</w:t>
      </w:r>
      <w:r w:rsidRPr="0091434E">
        <w:rPr>
          <w:rFonts w:asciiTheme="majorHAnsi" w:hAnsiTheme="majorHAnsi"/>
          <w:szCs w:val="16"/>
          <w:lang w:val="es-ES_tradnl"/>
        </w:rPr>
        <w:t xml:space="preserve"> Oficio del Fiscal de Ejecución y Sentencia del estado de Anzoátegui dirigido al Juez de Control No. 04 del Circuito Judicial Penal del Estado de Anzoátegui, de fecha 9 de enero de 2002, Anexo al escrito de la parte peticionaria del 11 de octubre de 2006.</w:t>
      </w:r>
    </w:p>
  </w:footnote>
  <w:footnote w:id="66">
    <w:p w14:paraId="0B7E56B0" w14:textId="775DEB4E" w:rsidR="00AC2B34" w:rsidRPr="0091434E" w:rsidRDefault="00AC2B34" w:rsidP="00EE66B7">
      <w:pPr>
        <w:pStyle w:val="FootnoteText"/>
        <w:jc w:val="both"/>
        <w:rPr>
          <w:rFonts w:asciiTheme="majorHAnsi" w:hAnsiTheme="majorHAnsi"/>
          <w:szCs w:val="16"/>
          <w:lang w:val="es-ES_tradnl"/>
        </w:rPr>
      </w:pPr>
      <w:r w:rsidRPr="0091434E">
        <w:rPr>
          <w:rStyle w:val="FootnoteReference"/>
          <w:rFonts w:asciiTheme="majorHAnsi" w:hAnsiTheme="majorHAnsi"/>
          <w:szCs w:val="16"/>
          <w:lang w:val="es-ES_tradnl"/>
        </w:rPr>
        <w:footnoteRef/>
      </w:r>
      <w:r w:rsidRPr="0091434E">
        <w:rPr>
          <w:rFonts w:asciiTheme="majorHAnsi" w:hAnsiTheme="majorHAnsi"/>
          <w:szCs w:val="16"/>
          <w:lang w:val="es-ES_tradnl"/>
        </w:rPr>
        <w:t xml:space="preserve"> </w:t>
      </w:r>
      <w:bookmarkStart w:id="23" w:name="_Hlk133933105"/>
      <w:r w:rsidRPr="0091434E">
        <w:rPr>
          <w:rFonts w:asciiTheme="majorHAnsi" w:hAnsiTheme="majorHAnsi"/>
          <w:szCs w:val="16"/>
          <w:lang w:val="es-ES_tradnl"/>
        </w:rPr>
        <w:t xml:space="preserve">Anexo </w:t>
      </w:r>
      <w:r w:rsidR="0091434E" w:rsidRPr="0091434E">
        <w:rPr>
          <w:rFonts w:asciiTheme="majorHAnsi" w:hAnsiTheme="majorHAnsi"/>
          <w:szCs w:val="16"/>
          <w:lang w:val="es-ES_tradnl"/>
        </w:rPr>
        <w:t>31.</w:t>
      </w:r>
      <w:r w:rsidRPr="0091434E">
        <w:rPr>
          <w:rFonts w:asciiTheme="majorHAnsi" w:hAnsiTheme="majorHAnsi"/>
          <w:szCs w:val="16"/>
          <w:lang w:val="es-ES_tradnl"/>
        </w:rPr>
        <w:t xml:space="preserve"> Oficio del Fiscal de Ejecución y Sentencia del estado de Anzoátegui dirigido a la Fiscal Superior para solicitar apertura de investigación penal, de fecha 9 de enero de 2002, Anexo al escrito de la parte peticionaria del 11 de octubre de 2006.</w:t>
      </w:r>
      <w:bookmarkEnd w:id="23"/>
    </w:p>
  </w:footnote>
  <w:footnote w:id="67">
    <w:p w14:paraId="08D05DDB" w14:textId="398F6772" w:rsidR="00AC2B34" w:rsidRPr="0091434E" w:rsidRDefault="00AC2B34" w:rsidP="00EE66B7">
      <w:pPr>
        <w:pStyle w:val="FootnoteText"/>
        <w:jc w:val="both"/>
        <w:rPr>
          <w:rFonts w:asciiTheme="majorHAnsi" w:hAnsiTheme="majorHAnsi"/>
          <w:szCs w:val="16"/>
          <w:lang w:val="es-ES_tradnl"/>
        </w:rPr>
      </w:pPr>
      <w:r w:rsidRPr="0091434E">
        <w:rPr>
          <w:rStyle w:val="FootnoteReference"/>
          <w:rFonts w:asciiTheme="majorHAnsi" w:hAnsiTheme="majorHAnsi"/>
          <w:szCs w:val="16"/>
          <w:lang w:val="es-ES_tradnl"/>
        </w:rPr>
        <w:footnoteRef/>
      </w:r>
      <w:r w:rsidRPr="0091434E">
        <w:rPr>
          <w:rFonts w:asciiTheme="majorHAnsi" w:hAnsiTheme="majorHAnsi"/>
          <w:szCs w:val="16"/>
          <w:lang w:val="es-ES_tradnl"/>
        </w:rPr>
        <w:t xml:space="preserve"> </w:t>
      </w:r>
      <w:bookmarkStart w:id="24" w:name="_Hlk133933152"/>
      <w:r w:rsidRPr="0091434E">
        <w:rPr>
          <w:rFonts w:asciiTheme="majorHAnsi" w:hAnsiTheme="majorHAnsi"/>
          <w:szCs w:val="16"/>
          <w:lang w:val="es-ES_tradnl"/>
        </w:rPr>
        <w:t xml:space="preserve">Anexo </w:t>
      </w:r>
      <w:r w:rsidR="0091434E" w:rsidRPr="0091434E">
        <w:rPr>
          <w:rFonts w:asciiTheme="majorHAnsi" w:hAnsiTheme="majorHAnsi"/>
          <w:szCs w:val="16"/>
          <w:lang w:val="es-ES_tradnl"/>
        </w:rPr>
        <w:t>32.</w:t>
      </w:r>
      <w:r w:rsidRPr="0091434E">
        <w:rPr>
          <w:rFonts w:asciiTheme="majorHAnsi" w:hAnsiTheme="majorHAnsi"/>
          <w:szCs w:val="16"/>
          <w:lang w:val="es-ES_tradnl"/>
        </w:rPr>
        <w:t xml:space="preserve"> Oficio del Fiscal de Ejecución y Sentencia del estado de Anzoátegui dirigido al Tribunal Cuarto solicitando traslado de la señora Maleno a la Medicatura Forense, de fecha 9 de enero de 2002, Anexo al escrito de la parte peticionaria del 11 de octubre de 2006.</w:t>
      </w:r>
      <w:bookmarkEnd w:id="24"/>
    </w:p>
  </w:footnote>
  <w:footnote w:id="68">
    <w:p w14:paraId="3CAD4BB6" w14:textId="274351DB" w:rsidR="00AC2B34" w:rsidRPr="0091434E" w:rsidRDefault="00AC2B34" w:rsidP="00EE66B7">
      <w:pPr>
        <w:pStyle w:val="FootnoteText"/>
        <w:jc w:val="both"/>
        <w:rPr>
          <w:rFonts w:asciiTheme="majorHAnsi" w:hAnsiTheme="majorHAnsi"/>
          <w:szCs w:val="16"/>
          <w:lang w:val="es-ES_tradnl"/>
        </w:rPr>
      </w:pPr>
      <w:r w:rsidRPr="0091434E">
        <w:rPr>
          <w:rStyle w:val="FootnoteReference"/>
          <w:rFonts w:asciiTheme="majorHAnsi" w:hAnsiTheme="majorHAnsi"/>
          <w:szCs w:val="16"/>
          <w:lang w:val="es-ES_tradnl"/>
        </w:rPr>
        <w:footnoteRef/>
      </w:r>
      <w:r w:rsidRPr="0091434E">
        <w:rPr>
          <w:rFonts w:asciiTheme="majorHAnsi" w:hAnsiTheme="majorHAnsi"/>
          <w:szCs w:val="16"/>
          <w:lang w:val="es-ES_tradnl"/>
        </w:rPr>
        <w:t xml:space="preserve"> Anexo </w:t>
      </w:r>
      <w:r w:rsidR="00272E1C" w:rsidRPr="0091434E">
        <w:rPr>
          <w:rFonts w:asciiTheme="majorHAnsi" w:hAnsiTheme="majorHAnsi"/>
          <w:szCs w:val="16"/>
          <w:lang w:val="es-ES_tradnl"/>
        </w:rPr>
        <w:t>20.</w:t>
      </w:r>
      <w:r w:rsidRPr="0091434E">
        <w:rPr>
          <w:rFonts w:asciiTheme="majorHAnsi" w:hAnsiTheme="majorHAnsi"/>
          <w:szCs w:val="16"/>
          <w:lang w:val="es-ES_tradnl"/>
        </w:rPr>
        <w:t xml:space="preserve"> Oficio de la Fiscal Segunda a la Fiscal Superior del Ministerio Público informando sobre la recepción del expediente No. 603, de fecha 5 de agosto de 2002, Anexo al escrito de la parte peticionaria del 11 de octubre de 2006.</w:t>
      </w:r>
    </w:p>
  </w:footnote>
  <w:footnote w:id="69">
    <w:p w14:paraId="5F3E64F3" w14:textId="11912A49" w:rsidR="00AC2B34" w:rsidRPr="0091434E" w:rsidRDefault="00AC2B34" w:rsidP="00EE66B7">
      <w:pPr>
        <w:pStyle w:val="FootnoteText"/>
        <w:jc w:val="both"/>
        <w:rPr>
          <w:rFonts w:asciiTheme="majorHAnsi" w:hAnsiTheme="majorHAnsi"/>
          <w:szCs w:val="16"/>
          <w:lang w:val="es-ES_tradnl"/>
        </w:rPr>
      </w:pPr>
      <w:r w:rsidRPr="0091434E">
        <w:rPr>
          <w:rStyle w:val="FootnoteReference"/>
          <w:rFonts w:asciiTheme="majorHAnsi" w:hAnsiTheme="majorHAnsi"/>
          <w:szCs w:val="16"/>
          <w:lang w:val="es-ES_tradnl"/>
        </w:rPr>
        <w:footnoteRef/>
      </w:r>
      <w:r w:rsidRPr="0091434E">
        <w:rPr>
          <w:rFonts w:asciiTheme="majorHAnsi" w:hAnsiTheme="majorHAnsi"/>
          <w:szCs w:val="16"/>
          <w:lang w:val="es-ES_tradnl"/>
        </w:rPr>
        <w:t xml:space="preserve"> Anexo </w:t>
      </w:r>
      <w:r w:rsidR="00272E1C" w:rsidRPr="0091434E">
        <w:rPr>
          <w:rFonts w:asciiTheme="majorHAnsi" w:hAnsiTheme="majorHAnsi"/>
          <w:szCs w:val="16"/>
          <w:lang w:val="es-ES_tradnl"/>
        </w:rPr>
        <w:t>21.</w:t>
      </w:r>
      <w:r w:rsidRPr="0091434E">
        <w:rPr>
          <w:rFonts w:asciiTheme="majorHAnsi" w:hAnsiTheme="majorHAnsi"/>
          <w:szCs w:val="16"/>
          <w:lang w:val="es-ES_tradnl"/>
        </w:rPr>
        <w:t xml:space="preserve"> Oficio de la Fiscal Segunda a la Fiscal Superior del Ministerio Público informando estado de actuaciones practicadas en el expediente No. 603, de fecha 9 de septiembre de 2002, Anexo al escrito de la parte peticionaria del 11 de octubre de 2006.</w:t>
      </w:r>
    </w:p>
  </w:footnote>
  <w:footnote w:id="70">
    <w:p w14:paraId="77B3A454" w14:textId="45DEAECE" w:rsidR="00AC2B34" w:rsidRPr="0091434E" w:rsidRDefault="00AC2B34" w:rsidP="00EE66B7">
      <w:pPr>
        <w:pStyle w:val="FootnoteText"/>
        <w:jc w:val="both"/>
        <w:rPr>
          <w:rFonts w:asciiTheme="majorHAnsi" w:hAnsiTheme="majorHAnsi"/>
          <w:szCs w:val="16"/>
          <w:lang w:val="es-ES_tradnl"/>
        </w:rPr>
      </w:pPr>
      <w:r w:rsidRPr="0091434E">
        <w:rPr>
          <w:rStyle w:val="FootnoteReference"/>
          <w:rFonts w:asciiTheme="majorHAnsi" w:hAnsiTheme="majorHAnsi"/>
          <w:szCs w:val="16"/>
          <w:lang w:val="es-ES_tradnl"/>
        </w:rPr>
        <w:footnoteRef/>
      </w:r>
      <w:r w:rsidRPr="0091434E">
        <w:rPr>
          <w:rFonts w:asciiTheme="majorHAnsi" w:hAnsiTheme="majorHAnsi"/>
          <w:szCs w:val="16"/>
          <w:lang w:val="es-ES_tradnl"/>
        </w:rPr>
        <w:t xml:space="preserve"> Anexo </w:t>
      </w:r>
      <w:r w:rsidR="00272E1C" w:rsidRPr="0091434E">
        <w:rPr>
          <w:rFonts w:asciiTheme="majorHAnsi" w:hAnsiTheme="majorHAnsi"/>
          <w:szCs w:val="16"/>
          <w:lang w:val="es-ES_tradnl"/>
        </w:rPr>
        <w:t>22.</w:t>
      </w:r>
      <w:r w:rsidRPr="0091434E">
        <w:rPr>
          <w:rFonts w:asciiTheme="majorHAnsi" w:hAnsiTheme="majorHAnsi"/>
          <w:szCs w:val="16"/>
          <w:lang w:val="es-ES_tradnl"/>
        </w:rPr>
        <w:t xml:space="preserve"> Oficio del médico forense de la Medicatura Forense de Barcelona dirigido al Fiscal de Ejecución y Sentencia del estado de Anzoátegui con resultados del reconocimiento médico legal, de fecha 15 de enero de 2002, Anexo al escrito de la parte peticionaria del 11 de octubre de 2006.</w:t>
      </w:r>
    </w:p>
  </w:footnote>
  <w:footnote w:id="71">
    <w:p w14:paraId="41B4137E" w14:textId="64AECD56" w:rsidR="00AC2B34" w:rsidRPr="0091434E" w:rsidRDefault="00AC2B34" w:rsidP="00EE66B7">
      <w:pPr>
        <w:pStyle w:val="FootnoteText"/>
        <w:jc w:val="both"/>
        <w:rPr>
          <w:rFonts w:asciiTheme="majorHAnsi" w:hAnsiTheme="majorHAnsi"/>
          <w:szCs w:val="16"/>
          <w:lang w:val="es-ES_tradnl"/>
        </w:rPr>
      </w:pPr>
      <w:r w:rsidRPr="0091434E">
        <w:rPr>
          <w:rStyle w:val="FootnoteReference"/>
          <w:rFonts w:asciiTheme="majorHAnsi" w:hAnsiTheme="majorHAnsi"/>
          <w:szCs w:val="16"/>
          <w:lang w:val="es-ES_tradnl"/>
        </w:rPr>
        <w:footnoteRef/>
      </w:r>
      <w:r w:rsidRPr="0091434E">
        <w:rPr>
          <w:rFonts w:asciiTheme="majorHAnsi" w:hAnsiTheme="majorHAnsi"/>
          <w:szCs w:val="16"/>
          <w:lang w:val="es-ES_tradnl"/>
        </w:rPr>
        <w:t xml:space="preserve"> Anexo </w:t>
      </w:r>
      <w:r w:rsidR="00272E1C" w:rsidRPr="0091434E">
        <w:rPr>
          <w:rFonts w:asciiTheme="majorHAnsi" w:hAnsiTheme="majorHAnsi"/>
          <w:szCs w:val="16"/>
          <w:lang w:val="es-ES_tradnl"/>
        </w:rPr>
        <w:t>23.</w:t>
      </w:r>
      <w:r w:rsidRPr="0091434E">
        <w:rPr>
          <w:rFonts w:asciiTheme="majorHAnsi" w:hAnsiTheme="majorHAnsi"/>
          <w:szCs w:val="16"/>
          <w:lang w:val="es-ES_tradnl"/>
        </w:rPr>
        <w:t xml:space="preserve"> Oficio del Fiscal de Ejecución y Sentencia del estado de Anzoátegui dirigido a la Medicatura Forense de Barcelona, de fecha 30 de enero de 2002, Anexo al escrito de la parte peticionaria del 11 de octubre de 2006.</w:t>
      </w:r>
    </w:p>
  </w:footnote>
  <w:footnote w:id="72">
    <w:p w14:paraId="345C8EAF" w14:textId="7BF665F6" w:rsidR="00AC2B34" w:rsidRPr="0091434E" w:rsidRDefault="00AC2B34" w:rsidP="00EE66B7">
      <w:pPr>
        <w:pStyle w:val="FootnoteText"/>
        <w:jc w:val="both"/>
        <w:rPr>
          <w:rFonts w:asciiTheme="majorHAnsi" w:hAnsiTheme="majorHAnsi"/>
          <w:szCs w:val="16"/>
          <w:lang w:val="es-ES_tradnl"/>
        </w:rPr>
      </w:pPr>
      <w:r w:rsidRPr="0091434E">
        <w:rPr>
          <w:rStyle w:val="FootnoteReference"/>
          <w:rFonts w:asciiTheme="majorHAnsi" w:hAnsiTheme="majorHAnsi"/>
          <w:szCs w:val="16"/>
          <w:lang w:val="es-ES_tradnl"/>
        </w:rPr>
        <w:footnoteRef/>
      </w:r>
      <w:r w:rsidRPr="0091434E">
        <w:rPr>
          <w:rFonts w:asciiTheme="majorHAnsi" w:hAnsiTheme="majorHAnsi"/>
          <w:szCs w:val="16"/>
          <w:lang w:val="es-ES_tradnl"/>
        </w:rPr>
        <w:t xml:space="preserve"> Anexo </w:t>
      </w:r>
      <w:r w:rsidR="00272E1C" w:rsidRPr="0091434E">
        <w:rPr>
          <w:rFonts w:asciiTheme="majorHAnsi" w:hAnsiTheme="majorHAnsi"/>
          <w:szCs w:val="16"/>
          <w:lang w:val="es-ES_tradnl"/>
        </w:rPr>
        <w:t>24.</w:t>
      </w:r>
      <w:r w:rsidRPr="0091434E">
        <w:rPr>
          <w:rFonts w:asciiTheme="majorHAnsi" w:hAnsiTheme="majorHAnsi"/>
          <w:szCs w:val="16"/>
          <w:lang w:val="es-ES_tradnl"/>
        </w:rPr>
        <w:t xml:space="preserve"> Oficio del médico forense de la Medicatura Forense de Barcelona dirigido al Fiscal de Ejecución y Sentencia del estado de Anzoátegui con detalles pormenorizados del reconocimiento médico legal, de fecha 22 de febrero de 2002, Anexo al escrito de la parte peticionaria del 11 de octubre de 2006.</w:t>
      </w:r>
    </w:p>
  </w:footnote>
  <w:footnote w:id="73">
    <w:p w14:paraId="5DDA951B" w14:textId="54AB1211" w:rsidR="00AC2B34" w:rsidRPr="0091434E" w:rsidRDefault="00AC2B34" w:rsidP="00EE66B7">
      <w:pPr>
        <w:pStyle w:val="FootnoteText"/>
        <w:jc w:val="both"/>
        <w:rPr>
          <w:rFonts w:asciiTheme="majorHAnsi" w:hAnsiTheme="majorHAnsi"/>
          <w:szCs w:val="16"/>
          <w:lang w:val="es-ES_tradnl"/>
        </w:rPr>
      </w:pPr>
      <w:r w:rsidRPr="0091434E">
        <w:rPr>
          <w:rStyle w:val="FootnoteReference"/>
          <w:rFonts w:asciiTheme="majorHAnsi" w:hAnsiTheme="majorHAnsi"/>
          <w:szCs w:val="16"/>
          <w:lang w:val="es-ES_tradnl"/>
        </w:rPr>
        <w:footnoteRef/>
      </w:r>
      <w:r w:rsidRPr="0091434E">
        <w:rPr>
          <w:rFonts w:asciiTheme="majorHAnsi" w:hAnsiTheme="majorHAnsi"/>
          <w:szCs w:val="16"/>
          <w:lang w:val="es-ES_tradnl"/>
        </w:rPr>
        <w:t xml:space="preserve"> Anexo </w:t>
      </w:r>
      <w:r w:rsidR="00272E1C" w:rsidRPr="0091434E">
        <w:rPr>
          <w:rFonts w:asciiTheme="majorHAnsi" w:hAnsiTheme="majorHAnsi"/>
          <w:szCs w:val="16"/>
          <w:lang w:val="es-ES_tradnl"/>
        </w:rPr>
        <w:t>25.</w:t>
      </w:r>
      <w:r w:rsidRPr="0091434E">
        <w:rPr>
          <w:rFonts w:asciiTheme="majorHAnsi" w:hAnsiTheme="majorHAnsi"/>
          <w:szCs w:val="16"/>
          <w:lang w:val="es-ES_tradnl"/>
        </w:rPr>
        <w:t xml:space="preserve"> Oficio del Fiscal de Ejecución y Sentencia del estado de Anzoátegui dirigido a la Fiscal Superior para solicitar apertura de averiguación penal contra Dianora Maleno, de fecha 4 de abril de 2002, Anexo al escrito de la parte peticionaria del 11 de octubre de 2006.</w:t>
      </w:r>
    </w:p>
  </w:footnote>
  <w:footnote w:id="74">
    <w:p w14:paraId="25971C3B" w14:textId="0E5B031F" w:rsidR="00AC2B34" w:rsidRPr="0091434E" w:rsidRDefault="00AC2B34">
      <w:pPr>
        <w:pStyle w:val="FootnoteText"/>
        <w:rPr>
          <w:rFonts w:asciiTheme="majorHAnsi" w:hAnsiTheme="majorHAnsi"/>
          <w:szCs w:val="16"/>
          <w:lang w:val="es-PE"/>
        </w:rPr>
      </w:pPr>
      <w:r w:rsidRPr="0091434E">
        <w:rPr>
          <w:rStyle w:val="FootnoteReference"/>
          <w:rFonts w:asciiTheme="majorHAnsi" w:hAnsiTheme="majorHAnsi"/>
          <w:szCs w:val="16"/>
        </w:rPr>
        <w:footnoteRef/>
      </w:r>
      <w:r w:rsidRPr="0091434E">
        <w:rPr>
          <w:rFonts w:asciiTheme="majorHAnsi" w:hAnsiTheme="majorHAnsi"/>
          <w:szCs w:val="16"/>
          <w:lang w:val="es-PE"/>
        </w:rPr>
        <w:t xml:space="preserve"> </w:t>
      </w:r>
      <w:r w:rsidRPr="0091434E">
        <w:rPr>
          <w:rFonts w:asciiTheme="majorHAnsi" w:hAnsiTheme="majorHAnsi"/>
          <w:szCs w:val="16"/>
          <w:lang w:val="es-ES_tradnl"/>
        </w:rPr>
        <w:t xml:space="preserve">Anexo </w:t>
      </w:r>
      <w:r w:rsidR="00272E1C" w:rsidRPr="0091434E">
        <w:rPr>
          <w:rFonts w:asciiTheme="majorHAnsi" w:hAnsiTheme="majorHAnsi"/>
          <w:szCs w:val="16"/>
          <w:lang w:val="es-ES_tradnl"/>
        </w:rPr>
        <w:t>21.</w:t>
      </w:r>
      <w:r w:rsidRPr="0091434E">
        <w:rPr>
          <w:rFonts w:asciiTheme="majorHAnsi" w:hAnsiTheme="majorHAnsi"/>
          <w:szCs w:val="16"/>
          <w:lang w:val="es-ES_tradnl"/>
        </w:rPr>
        <w:t xml:space="preserve"> Oficio de la Fiscal Segunda a la Fiscal Superior del Ministerio Público informando estado de actuaciones practicadas en el expediente No. 603, de fecha 9 de septiembre de 2002, Anexo al escrito de la parte peticionaria del 11 de octubre de 2006.</w:t>
      </w:r>
    </w:p>
  </w:footnote>
  <w:footnote w:id="75">
    <w:p w14:paraId="3122BABB" w14:textId="5A673185" w:rsidR="00AC2B34" w:rsidRPr="0091434E" w:rsidRDefault="00AC2B34" w:rsidP="00EE66B7">
      <w:pPr>
        <w:pStyle w:val="FootnoteText"/>
        <w:jc w:val="both"/>
        <w:rPr>
          <w:rFonts w:asciiTheme="majorHAnsi" w:hAnsiTheme="majorHAnsi"/>
          <w:szCs w:val="16"/>
          <w:lang w:val="es-ES_tradnl"/>
        </w:rPr>
      </w:pPr>
      <w:r w:rsidRPr="0091434E">
        <w:rPr>
          <w:rStyle w:val="FootnoteReference"/>
          <w:rFonts w:asciiTheme="majorHAnsi" w:hAnsiTheme="majorHAnsi"/>
          <w:szCs w:val="16"/>
          <w:lang w:val="es-ES_tradnl"/>
        </w:rPr>
        <w:footnoteRef/>
      </w:r>
      <w:r w:rsidRPr="0091434E">
        <w:rPr>
          <w:rFonts w:asciiTheme="majorHAnsi" w:hAnsiTheme="majorHAnsi"/>
          <w:szCs w:val="16"/>
          <w:lang w:val="es-ES_tradnl"/>
        </w:rPr>
        <w:t xml:space="preserve"> Escrito de observaciones del Estado del 25 de febrero de 2008.</w:t>
      </w:r>
    </w:p>
  </w:footnote>
  <w:footnote w:id="76">
    <w:p w14:paraId="1C6273B9" w14:textId="4AAD6B46" w:rsidR="00AC2B34" w:rsidRPr="0091434E" w:rsidRDefault="00AC2B34" w:rsidP="00EE66B7">
      <w:pPr>
        <w:pStyle w:val="FootnoteText"/>
        <w:jc w:val="both"/>
        <w:rPr>
          <w:rFonts w:asciiTheme="majorHAnsi" w:hAnsiTheme="majorHAnsi"/>
          <w:szCs w:val="16"/>
          <w:lang w:val="es-ES_tradnl"/>
        </w:rPr>
      </w:pPr>
      <w:r w:rsidRPr="0091434E">
        <w:rPr>
          <w:rStyle w:val="FootnoteReference"/>
          <w:rFonts w:asciiTheme="majorHAnsi" w:hAnsiTheme="majorHAnsi"/>
          <w:szCs w:val="16"/>
          <w:lang w:val="es-ES_tradnl"/>
        </w:rPr>
        <w:footnoteRef/>
      </w:r>
      <w:r w:rsidRPr="0091434E">
        <w:rPr>
          <w:rFonts w:asciiTheme="majorHAnsi" w:hAnsiTheme="majorHAnsi"/>
          <w:szCs w:val="16"/>
          <w:lang w:val="es-ES_tradnl"/>
        </w:rPr>
        <w:t xml:space="preserve"> </w:t>
      </w:r>
      <w:r w:rsidR="0091434E" w:rsidRPr="0091434E">
        <w:rPr>
          <w:rFonts w:asciiTheme="majorHAnsi" w:hAnsiTheme="majorHAnsi"/>
          <w:szCs w:val="16"/>
          <w:lang w:val="es-ES_tradnl"/>
        </w:rPr>
        <w:t>Anexo 4. Acción de amparo interpuesta a favor de Dianora Maleno de fecha 1 de julio de 2002, Anexo al escrito de la parte peticionaria del 11 de octubre de 2006.</w:t>
      </w:r>
    </w:p>
  </w:footnote>
  <w:footnote w:id="77">
    <w:p w14:paraId="07FE473E" w14:textId="085C2422" w:rsidR="00AC2B34" w:rsidRPr="0091434E" w:rsidRDefault="00AC2B34" w:rsidP="00EE66B7">
      <w:pPr>
        <w:pStyle w:val="FootnoteText"/>
        <w:jc w:val="both"/>
        <w:rPr>
          <w:rFonts w:asciiTheme="majorHAnsi" w:hAnsiTheme="majorHAnsi"/>
          <w:szCs w:val="16"/>
          <w:lang w:val="es-ES_tradnl"/>
        </w:rPr>
      </w:pPr>
      <w:r w:rsidRPr="0091434E">
        <w:rPr>
          <w:rStyle w:val="FootnoteReference"/>
          <w:rFonts w:asciiTheme="majorHAnsi" w:hAnsiTheme="majorHAnsi"/>
          <w:szCs w:val="16"/>
          <w:lang w:val="es-ES_tradnl"/>
        </w:rPr>
        <w:footnoteRef/>
      </w:r>
      <w:r w:rsidRPr="0091434E">
        <w:rPr>
          <w:rFonts w:asciiTheme="majorHAnsi" w:hAnsiTheme="majorHAnsi"/>
          <w:szCs w:val="16"/>
          <w:lang w:val="es-ES_tradnl"/>
        </w:rPr>
        <w:t xml:space="preserve"> </w:t>
      </w:r>
      <w:r w:rsidR="0091434E" w:rsidRPr="0091434E">
        <w:rPr>
          <w:rFonts w:asciiTheme="majorHAnsi" w:hAnsiTheme="majorHAnsi"/>
          <w:szCs w:val="16"/>
          <w:lang w:val="es-ES_tradnl"/>
        </w:rPr>
        <w:t>Anexo 4. Acción de amparo interpuesta a favor de Dianora Maleno de fecha 1 de julio de 2002, Anexo al escrito de la parte peticionaria del 11 de octubre de 2006.</w:t>
      </w:r>
    </w:p>
  </w:footnote>
  <w:footnote w:id="78">
    <w:p w14:paraId="40FFD07E" w14:textId="1A598FAE" w:rsidR="00AC2B34" w:rsidRPr="0091434E" w:rsidRDefault="00AC2B34" w:rsidP="00EE66B7">
      <w:pPr>
        <w:pStyle w:val="FootnoteText"/>
        <w:jc w:val="both"/>
        <w:rPr>
          <w:rFonts w:asciiTheme="majorHAnsi" w:hAnsiTheme="majorHAnsi"/>
          <w:szCs w:val="16"/>
          <w:lang w:val="es-ES_tradnl"/>
        </w:rPr>
      </w:pPr>
      <w:r w:rsidRPr="0091434E">
        <w:rPr>
          <w:rStyle w:val="FootnoteReference"/>
          <w:rFonts w:asciiTheme="majorHAnsi" w:hAnsiTheme="majorHAnsi"/>
          <w:szCs w:val="16"/>
          <w:lang w:val="es-ES_tradnl"/>
        </w:rPr>
        <w:footnoteRef/>
      </w:r>
      <w:r w:rsidRPr="0091434E">
        <w:rPr>
          <w:rFonts w:asciiTheme="majorHAnsi" w:hAnsiTheme="majorHAnsi"/>
          <w:szCs w:val="16"/>
          <w:lang w:val="es-ES_tradnl"/>
        </w:rPr>
        <w:t xml:space="preserve"> </w:t>
      </w:r>
      <w:r w:rsidR="0091434E" w:rsidRPr="0091434E">
        <w:rPr>
          <w:rFonts w:asciiTheme="majorHAnsi" w:hAnsiTheme="majorHAnsi"/>
          <w:szCs w:val="16"/>
          <w:lang w:val="es-ES_tradnl"/>
        </w:rPr>
        <w:t>Anexo 4. Acción de amparo interpuesta a favor de Dianora Maleno de fecha 1 de julio de 2002, Anexo al escrito de la parte peticionaria del 11 de octubre de 2006.</w:t>
      </w:r>
    </w:p>
  </w:footnote>
  <w:footnote w:id="79">
    <w:p w14:paraId="30EE49BE" w14:textId="68152469" w:rsidR="00AC2B34" w:rsidRPr="0091434E" w:rsidRDefault="00AC2B34" w:rsidP="00EE66B7">
      <w:pPr>
        <w:pStyle w:val="FootnoteText"/>
        <w:jc w:val="both"/>
        <w:rPr>
          <w:rFonts w:asciiTheme="majorHAnsi" w:hAnsiTheme="majorHAnsi"/>
          <w:szCs w:val="16"/>
          <w:lang w:val="es-ES_tradnl"/>
        </w:rPr>
      </w:pPr>
      <w:r w:rsidRPr="0091434E">
        <w:rPr>
          <w:rStyle w:val="FootnoteReference"/>
          <w:rFonts w:asciiTheme="majorHAnsi" w:hAnsiTheme="majorHAnsi"/>
          <w:szCs w:val="16"/>
          <w:lang w:val="es-ES_tradnl"/>
        </w:rPr>
        <w:footnoteRef/>
      </w:r>
      <w:r w:rsidRPr="0091434E">
        <w:rPr>
          <w:rFonts w:asciiTheme="majorHAnsi" w:hAnsiTheme="majorHAnsi"/>
          <w:szCs w:val="16"/>
          <w:lang w:val="es-ES_tradnl"/>
        </w:rPr>
        <w:t xml:space="preserve"> La CIDH toma nota que la demanda se refiere también a la protección de intereses difusos. En particular, la peticionaria solicitó se adopten una serie de medidas para proteger los derechos de todas y todos los reclusos del Internado Anzoátegui y aquellos que hubiesen sido trasladados a otros centros de detención y que pudieran estar enfrentando condiciones infrahumanas de internamiento. </w:t>
      </w:r>
      <w:r w:rsidR="0091434E" w:rsidRPr="0091434E">
        <w:rPr>
          <w:rFonts w:asciiTheme="majorHAnsi" w:hAnsiTheme="majorHAnsi"/>
          <w:szCs w:val="16"/>
          <w:lang w:val="es-ES_tradnl"/>
        </w:rPr>
        <w:t>Anexo 4. Acción de amparo interpuesta a favor de Dianora Maleno de fecha 1 de julio de 2002, Anexo al escrito de la parte peticionaria del 11 de octubre de 2006.</w:t>
      </w:r>
    </w:p>
  </w:footnote>
  <w:footnote w:id="80">
    <w:p w14:paraId="408FBAF1" w14:textId="02F1AF7A" w:rsidR="00AC2B34" w:rsidRPr="0091434E" w:rsidRDefault="00AC2B34" w:rsidP="00EE66B7">
      <w:pPr>
        <w:pStyle w:val="FootnoteText"/>
        <w:jc w:val="both"/>
        <w:rPr>
          <w:rFonts w:asciiTheme="majorHAnsi" w:hAnsiTheme="majorHAnsi"/>
          <w:szCs w:val="16"/>
          <w:lang w:val="es-ES_tradnl"/>
        </w:rPr>
      </w:pPr>
      <w:r w:rsidRPr="0091434E">
        <w:rPr>
          <w:rStyle w:val="FootnoteReference"/>
          <w:rFonts w:asciiTheme="majorHAnsi" w:hAnsiTheme="majorHAnsi"/>
          <w:szCs w:val="16"/>
          <w:lang w:val="es-ES_tradnl"/>
        </w:rPr>
        <w:footnoteRef/>
      </w:r>
      <w:r w:rsidRPr="0091434E">
        <w:rPr>
          <w:rFonts w:asciiTheme="majorHAnsi" w:hAnsiTheme="majorHAnsi"/>
          <w:szCs w:val="16"/>
          <w:lang w:val="es-ES_tradnl"/>
        </w:rPr>
        <w:t xml:space="preserve"> Anexo </w:t>
      </w:r>
      <w:r w:rsidR="00272E1C" w:rsidRPr="0091434E">
        <w:rPr>
          <w:rFonts w:asciiTheme="majorHAnsi" w:hAnsiTheme="majorHAnsi"/>
          <w:szCs w:val="16"/>
          <w:lang w:val="es-ES_tradnl"/>
        </w:rPr>
        <w:t>26.</w:t>
      </w:r>
      <w:r w:rsidRPr="0091434E">
        <w:rPr>
          <w:rFonts w:asciiTheme="majorHAnsi" w:hAnsiTheme="majorHAnsi"/>
          <w:szCs w:val="16"/>
          <w:lang w:val="es-ES_tradnl"/>
        </w:rPr>
        <w:t xml:space="preserve"> Resolución del Tribunal de Juicio de Barcelona de fecha 3 de julio de 2002, Anexo al escrito de la parte peticionaria del 11 de octubre de 2006.</w:t>
      </w:r>
    </w:p>
  </w:footnote>
  <w:footnote w:id="81">
    <w:p w14:paraId="65037CE0" w14:textId="1F49674E" w:rsidR="00AC2B34" w:rsidRPr="0091434E" w:rsidRDefault="00AC2B34" w:rsidP="00EE66B7">
      <w:pPr>
        <w:pStyle w:val="FootnoteText"/>
        <w:jc w:val="both"/>
        <w:rPr>
          <w:rFonts w:asciiTheme="majorHAnsi" w:hAnsiTheme="majorHAnsi"/>
          <w:szCs w:val="16"/>
          <w:lang w:val="es-ES_tradnl"/>
        </w:rPr>
      </w:pPr>
      <w:r w:rsidRPr="0091434E">
        <w:rPr>
          <w:rStyle w:val="FootnoteReference"/>
          <w:rFonts w:asciiTheme="majorHAnsi" w:hAnsiTheme="majorHAnsi"/>
          <w:szCs w:val="16"/>
          <w:lang w:val="es-ES_tradnl"/>
        </w:rPr>
        <w:footnoteRef/>
      </w:r>
      <w:r w:rsidRPr="0091434E">
        <w:rPr>
          <w:rFonts w:asciiTheme="majorHAnsi" w:hAnsiTheme="majorHAnsi"/>
          <w:szCs w:val="16"/>
          <w:lang w:val="es-ES_tradnl"/>
        </w:rPr>
        <w:t xml:space="preserve"> Anexo </w:t>
      </w:r>
      <w:r w:rsidR="005B3B98" w:rsidRPr="0091434E">
        <w:rPr>
          <w:rFonts w:asciiTheme="majorHAnsi" w:hAnsiTheme="majorHAnsi"/>
          <w:szCs w:val="16"/>
          <w:lang w:val="es-ES_tradnl"/>
        </w:rPr>
        <w:t>6.</w:t>
      </w:r>
      <w:r w:rsidRPr="0091434E">
        <w:rPr>
          <w:rFonts w:asciiTheme="majorHAnsi" w:hAnsiTheme="majorHAnsi"/>
          <w:szCs w:val="16"/>
          <w:lang w:val="es-ES_tradnl"/>
        </w:rPr>
        <w:t xml:space="preserve"> Escrito dirigido a la Corte de Apelaciones del Circuito Penal de la Circunscripción Judicial del Estado de Anzoátegui de fecha 12 de septiembre de 2002, Anexo al escrito de la parte peticionaria del 11 de octubre de 2006.</w:t>
      </w:r>
    </w:p>
  </w:footnote>
  <w:footnote w:id="82">
    <w:p w14:paraId="51DA8899" w14:textId="5ED69B63" w:rsidR="00AC2B34" w:rsidRPr="0091434E" w:rsidRDefault="00AC2B34" w:rsidP="00EE66B7">
      <w:pPr>
        <w:pStyle w:val="FootnoteText"/>
        <w:jc w:val="both"/>
        <w:rPr>
          <w:rFonts w:asciiTheme="majorHAnsi" w:hAnsiTheme="majorHAnsi"/>
          <w:szCs w:val="16"/>
          <w:lang w:val="es-ES_tradnl"/>
        </w:rPr>
      </w:pPr>
      <w:r w:rsidRPr="0091434E">
        <w:rPr>
          <w:rStyle w:val="FootnoteReference"/>
          <w:rFonts w:asciiTheme="majorHAnsi" w:hAnsiTheme="majorHAnsi"/>
          <w:szCs w:val="16"/>
          <w:lang w:val="es-ES_tradnl"/>
        </w:rPr>
        <w:footnoteRef/>
      </w:r>
      <w:r w:rsidRPr="0091434E">
        <w:rPr>
          <w:rFonts w:asciiTheme="majorHAnsi" w:hAnsiTheme="majorHAnsi"/>
          <w:szCs w:val="16"/>
          <w:lang w:val="es-ES_tradnl"/>
        </w:rPr>
        <w:t xml:space="preserve"> Anexo </w:t>
      </w:r>
      <w:r w:rsidR="00272E1C" w:rsidRPr="0091434E">
        <w:rPr>
          <w:rFonts w:asciiTheme="majorHAnsi" w:hAnsiTheme="majorHAnsi"/>
          <w:szCs w:val="16"/>
          <w:lang w:val="es-ES_tradnl"/>
        </w:rPr>
        <w:t>27.</w:t>
      </w:r>
      <w:r w:rsidRPr="0091434E">
        <w:rPr>
          <w:rFonts w:asciiTheme="majorHAnsi" w:hAnsiTheme="majorHAnsi"/>
          <w:szCs w:val="16"/>
          <w:lang w:val="es-ES_tradnl"/>
        </w:rPr>
        <w:t xml:space="preserve"> Resolución de la Corte de Apelaciones del Circuito Penal de la Circunscripción Judicial del Estado de Anzoátegui de fecha 20 de septiembre de 2002, Anexo al escrito de la parte peticionaria del 11 de octubre de 2006.</w:t>
      </w:r>
    </w:p>
  </w:footnote>
  <w:footnote w:id="83">
    <w:p w14:paraId="47B72CA6" w14:textId="452A1B38" w:rsidR="00AC2B34" w:rsidRPr="0091434E" w:rsidRDefault="00AC2B34" w:rsidP="00EE66B7">
      <w:pPr>
        <w:pStyle w:val="FootnoteText"/>
        <w:jc w:val="both"/>
        <w:rPr>
          <w:rFonts w:asciiTheme="majorHAnsi" w:hAnsiTheme="majorHAnsi"/>
          <w:szCs w:val="16"/>
          <w:lang w:val="es-ES_tradnl"/>
        </w:rPr>
      </w:pPr>
      <w:r w:rsidRPr="0091434E">
        <w:rPr>
          <w:rStyle w:val="FootnoteReference"/>
          <w:rFonts w:asciiTheme="majorHAnsi" w:hAnsiTheme="majorHAnsi"/>
          <w:szCs w:val="16"/>
          <w:lang w:val="es-ES_tradnl"/>
        </w:rPr>
        <w:footnoteRef/>
      </w:r>
      <w:r w:rsidRPr="0091434E">
        <w:rPr>
          <w:rFonts w:asciiTheme="majorHAnsi" w:hAnsiTheme="majorHAnsi"/>
          <w:szCs w:val="16"/>
          <w:lang w:val="es-ES_tradnl"/>
        </w:rPr>
        <w:t xml:space="preserve"> Anexo </w:t>
      </w:r>
      <w:r w:rsidR="00272E1C" w:rsidRPr="0091434E">
        <w:rPr>
          <w:rFonts w:asciiTheme="majorHAnsi" w:hAnsiTheme="majorHAnsi"/>
          <w:szCs w:val="16"/>
          <w:lang w:val="es-ES_tradnl"/>
        </w:rPr>
        <w:t>28.</w:t>
      </w:r>
      <w:r w:rsidRPr="0091434E">
        <w:rPr>
          <w:rFonts w:asciiTheme="majorHAnsi" w:hAnsiTheme="majorHAnsi"/>
          <w:szCs w:val="16"/>
          <w:lang w:val="es-ES_tradnl"/>
        </w:rPr>
        <w:t xml:space="preserve"> Acta de Audiencia Constitucional Oral y Pública de fecha 2 de octubre de 2002, Anexo al escrito de la parte peticionaria del 11 de octubre de 2006.</w:t>
      </w:r>
    </w:p>
  </w:footnote>
  <w:footnote w:id="84">
    <w:p w14:paraId="5938B8B1" w14:textId="0515A17B" w:rsidR="00AC2B34" w:rsidRPr="0091434E" w:rsidRDefault="00AC2B34" w:rsidP="00EE66B7">
      <w:pPr>
        <w:pStyle w:val="FootnoteText"/>
        <w:jc w:val="both"/>
        <w:rPr>
          <w:rFonts w:asciiTheme="majorHAnsi" w:hAnsiTheme="majorHAnsi"/>
          <w:szCs w:val="16"/>
          <w:lang w:val="es-ES_tradnl"/>
        </w:rPr>
      </w:pPr>
      <w:r w:rsidRPr="0091434E">
        <w:rPr>
          <w:rStyle w:val="FootnoteReference"/>
          <w:rFonts w:asciiTheme="majorHAnsi" w:hAnsiTheme="majorHAnsi"/>
          <w:szCs w:val="16"/>
          <w:lang w:val="es-ES_tradnl"/>
        </w:rPr>
        <w:footnoteRef/>
      </w:r>
      <w:r w:rsidRPr="0091434E">
        <w:rPr>
          <w:rFonts w:asciiTheme="majorHAnsi" w:hAnsiTheme="majorHAnsi"/>
          <w:szCs w:val="16"/>
          <w:lang w:val="es-ES_tradnl"/>
        </w:rPr>
        <w:t xml:space="preserve"> Anexo </w:t>
      </w:r>
      <w:r w:rsidR="00272E1C" w:rsidRPr="0091434E">
        <w:rPr>
          <w:rFonts w:asciiTheme="majorHAnsi" w:hAnsiTheme="majorHAnsi"/>
          <w:szCs w:val="16"/>
          <w:lang w:val="es-ES_tradnl"/>
        </w:rPr>
        <w:t>11.</w:t>
      </w:r>
      <w:r w:rsidRPr="0091434E">
        <w:rPr>
          <w:rFonts w:asciiTheme="majorHAnsi" w:hAnsiTheme="majorHAnsi"/>
          <w:szCs w:val="16"/>
          <w:lang w:val="es-ES_tradnl"/>
        </w:rPr>
        <w:t xml:space="preserve"> Sentencia de la Corte de Apelaciones declarando “sin lugar” la acción de amparo con fecha 7 de octubre de 2002, Anexo al escrito de la parte peticionaria del 11 de octubre de 2006.</w:t>
      </w:r>
    </w:p>
  </w:footnote>
  <w:footnote w:id="85">
    <w:p w14:paraId="701236B7" w14:textId="784891A2" w:rsidR="00AC2B34" w:rsidRPr="0091434E" w:rsidRDefault="00AC2B34" w:rsidP="00EE66B7">
      <w:pPr>
        <w:pStyle w:val="FootnoteText"/>
        <w:jc w:val="both"/>
        <w:rPr>
          <w:rFonts w:asciiTheme="majorHAnsi" w:hAnsiTheme="majorHAnsi"/>
          <w:szCs w:val="16"/>
          <w:lang w:val="es-ES_tradnl"/>
        </w:rPr>
      </w:pPr>
      <w:r w:rsidRPr="0091434E">
        <w:rPr>
          <w:rStyle w:val="FootnoteReference"/>
          <w:rFonts w:asciiTheme="majorHAnsi" w:hAnsiTheme="majorHAnsi"/>
          <w:szCs w:val="16"/>
          <w:lang w:val="es-ES_tradnl"/>
        </w:rPr>
        <w:footnoteRef/>
      </w:r>
      <w:r w:rsidRPr="0091434E">
        <w:rPr>
          <w:rFonts w:asciiTheme="majorHAnsi" w:hAnsiTheme="majorHAnsi"/>
          <w:szCs w:val="16"/>
          <w:lang w:val="es-ES_tradnl"/>
        </w:rPr>
        <w:t xml:space="preserve"> Anexo </w:t>
      </w:r>
      <w:r w:rsidR="00272E1C" w:rsidRPr="0091434E">
        <w:rPr>
          <w:rFonts w:asciiTheme="majorHAnsi" w:hAnsiTheme="majorHAnsi"/>
          <w:szCs w:val="16"/>
          <w:lang w:val="es-ES_tradnl"/>
        </w:rPr>
        <w:t>29.</w:t>
      </w:r>
      <w:r w:rsidRPr="0091434E">
        <w:rPr>
          <w:rFonts w:asciiTheme="majorHAnsi" w:hAnsiTheme="majorHAnsi"/>
          <w:szCs w:val="16"/>
          <w:lang w:val="es-ES_tradnl"/>
        </w:rPr>
        <w:t xml:space="preserve"> Recurso de apelación presentado por la parte peticionaria ante la Sala Constitucional del Tribunal Supremo de Justicia, Anexo al escrito de la parte peticionaria del 11 de octubre de 2006.</w:t>
      </w:r>
    </w:p>
  </w:footnote>
  <w:footnote w:id="86">
    <w:p w14:paraId="05C9F136" w14:textId="447805F1" w:rsidR="00AC2B34" w:rsidRPr="0091434E" w:rsidRDefault="00AC2B34" w:rsidP="00EE66B7">
      <w:pPr>
        <w:pStyle w:val="FootnoteText"/>
        <w:jc w:val="both"/>
        <w:rPr>
          <w:rFonts w:asciiTheme="majorHAnsi" w:hAnsiTheme="majorHAnsi"/>
          <w:szCs w:val="16"/>
          <w:lang w:val="es-ES_tradnl"/>
        </w:rPr>
      </w:pPr>
      <w:r w:rsidRPr="0091434E">
        <w:rPr>
          <w:rStyle w:val="FootnoteReference"/>
          <w:rFonts w:asciiTheme="majorHAnsi" w:hAnsiTheme="majorHAnsi"/>
          <w:szCs w:val="16"/>
          <w:lang w:val="es-ES_tradnl"/>
        </w:rPr>
        <w:footnoteRef/>
      </w:r>
      <w:r w:rsidRPr="0091434E">
        <w:rPr>
          <w:rFonts w:asciiTheme="majorHAnsi" w:hAnsiTheme="majorHAnsi"/>
          <w:szCs w:val="16"/>
          <w:lang w:val="es-ES_tradnl"/>
        </w:rPr>
        <w:t xml:space="preserve"> Anexo </w:t>
      </w:r>
      <w:r w:rsidR="00272E1C" w:rsidRPr="0091434E">
        <w:rPr>
          <w:rFonts w:asciiTheme="majorHAnsi" w:hAnsiTheme="majorHAnsi"/>
          <w:szCs w:val="16"/>
          <w:lang w:val="es-ES_tradnl"/>
        </w:rPr>
        <w:t>30.</w:t>
      </w:r>
      <w:r w:rsidRPr="0091434E">
        <w:rPr>
          <w:rFonts w:asciiTheme="majorHAnsi" w:hAnsiTheme="majorHAnsi"/>
          <w:szCs w:val="16"/>
          <w:lang w:val="es-ES_tradnl"/>
        </w:rPr>
        <w:t xml:space="preserve"> Sentencia de la Sala Constitucional del Tribunal Supremo de Justicia de fecha 11 de noviembre de 2005.</w:t>
      </w:r>
    </w:p>
  </w:footnote>
  <w:footnote w:id="87">
    <w:p w14:paraId="2F37594B" w14:textId="79A29295" w:rsidR="00AC2B34" w:rsidRPr="0091434E" w:rsidRDefault="00AC2B34" w:rsidP="00EE66B7">
      <w:pPr>
        <w:pStyle w:val="FootnoteText"/>
        <w:jc w:val="both"/>
        <w:rPr>
          <w:rFonts w:asciiTheme="majorHAnsi" w:hAnsiTheme="majorHAnsi"/>
          <w:szCs w:val="16"/>
          <w:lang w:val="es-ES_tradnl"/>
        </w:rPr>
      </w:pPr>
      <w:r w:rsidRPr="0091434E">
        <w:rPr>
          <w:rStyle w:val="FootnoteReference"/>
          <w:rFonts w:asciiTheme="majorHAnsi" w:hAnsiTheme="majorHAnsi"/>
          <w:szCs w:val="16"/>
          <w:lang w:val="es-ES_tradnl"/>
        </w:rPr>
        <w:footnoteRef/>
      </w:r>
      <w:r w:rsidRPr="0091434E">
        <w:rPr>
          <w:rFonts w:asciiTheme="majorHAnsi" w:hAnsiTheme="majorHAnsi"/>
          <w:szCs w:val="16"/>
          <w:lang w:val="es-ES_tradnl"/>
        </w:rPr>
        <w:t xml:space="preserve"> Anexo </w:t>
      </w:r>
      <w:r w:rsidR="00272E1C" w:rsidRPr="0091434E">
        <w:rPr>
          <w:rFonts w:asciiTheme="majorHAnsi" w:hAnsiTheme="majorHAnsi"/>
          <w:szCs w:val="16"/>
          <w:lang w:val="es-ES_tradnl"/>
        </w:rPr>
        <w:t>30.</w:t>
      </w:r>
      <w:r w:rsidRPr="0091434E">
        <w:rPr>
          <w:rFonts w:asciiTheme="majorHAnsi" w:hAnsiTheme="majorHAnsi"/>
          <w:szCs w:val="16"/>
          <w:lang w:val="es-ES_tradnl"/>
        </w:rPr>
        <w:t xml:space="preserve"> Sentencia de la Sala Constitucional del Tribunal Supremo de Justicia de fecha 11 de noviembre de 2005.</w:t>
      </w:r>
    </w:p>
  </w:footnote>
  <w:footnote w:id="88">
    <w:p w14:paraId="4E060CA1" w14:textId="77777777" w:rsidR="00AC2B34" w:rsidRPr="0091434E" w:rsidRDefault="00AC2B34" w:rsidP="00565695">
      <w:pPr>
        <w:pBdr>
          <w:top w:val="none" w:sz="0" w:space="0" w:color="000000"/>
          <w:left w:val="none" w:sz="0" w:space="0" w:color="000000"/>
          <w:bottom w:val="none" w:sz="0" w:space="0" w:color="000000"/>
          <w:right w:val="none" w:sz="0" w:space="0" w:color="000000"/>
          <w:between w:val="none" w:sz="0" w:space="0" w:color="000000"/>
        </w:pBdr>
        <w:ind w:right="72"/>
        <w:jc w:val="both"/>
        <w:rPr>
          <w:rFonts w:asciiTheme="majorHAnsi" w:eastAsia="Cambria" w:hAnsiTheme="majorHAnsi" w:cs="Cambria"/>
          <w:color w:val="000000" w:themeColor="text1"/>
          <w:sz w:val="16"/>
          <w:szCs w:val="16"/>
          <w:lang w:val="es-ES"/>
        </w:rPr>
      </w:pPr>
      <w:r w:rsidRPr="0091434E">
        <w:rPr>
          <w:rStyle w:val="FootnoteReference"/>
          <w:rFonts w:asciiTheme="majorHAnsi" w:hAnsiTheme="majorHAnsi"/>
          <w:color w:val="000000" w:themeColor="text1"/>
          <w:sz w:val="16"/>
          <w:szCs w:val="16"/>
        </w:rPr>
        <w:footnoteRef/>
      </w:r>
      <w:r w:rsidRPr="0091434E">
        <w:rPr>
          <w:rFonts w:asciiTheme="majorHAnsi" w:eastAsia="Cambria" w:hAnsiTheme="majorHAnsi" w:cs="Cambria"/>
          <w:color w:val="000000" w:themeColor="text1"/>
          <w:sz w:val="16"/>
          <w:szCs w:val="16"/>
          <w:lang w:val="es-ES"/>
        </w:rPr>
        <w:t xml:space="preserve">  Artículo 7. Derecho a la libertad personal:</w:t>
      </w:r>
    </w:p>
    <w:p w14:paraId="3975FBE3" w14:textId="7928EA64" w:rsidR="00AC2B34" w:rsidRPr="0091434E" w:rsidRDefault="00AC2B34" w:rsidP="00565695">
      <w:pPr>
        <w:pBdr>
          <w:top w:val="none" w:sz="0" w:space="0" w:color="000000"/>
          <w:left w:val="none" w:sz="0" w:space="0" w:color="000000"/>
          <w:bottom w:val="none" w:sz="0" w:space="0" w:color="000000"/>
          <w:right w:val="none" w:sz="0" w:space="0" w:color="000000"/>
          <w:between w:val="none" w:sz="0" w:space="0" w:color="000000"/>
        </w:pBdr>
        <w:jc w:val="both"/>
        <w:rPr>
          <w:rFonts w:asciiTheme="majorHAnsi" w:eastAsia="Cambria" w:hAnsiTheme="majorHAnsi" w:cs="Cambria"/>
          <w:color w:val="000000" w:themeColor="text1"/>
          <w:sz w:val="16"/>
          <w:szCs w:val="16"/>
          <w:lang w:val="es-ES"/>
        </w:rPr>
      </w:pPr>
      <w:r w:rsidRPr="0091434E">
        <w:rPr>
          <w:rFonts w:asciiTheme="majorHAnsi" w:eastAsia="Cambria" w:hAnsiTheme="majorHAnsi" w:cs="Cambria"/>
          <w:color w:val="000000" w:themeColor="text1"/>
          <w:sz w:val="16"/>
          <w:szCs w:val="16"/>
          <w:lang w:val="es-ES"/>
        </w:rPr>
        <w:t>3. Nadie puede ser sometido a detención o encarcelamiento arbitrarios…</w:t>
      </w:r>
    </w:p>
    <w:p w14:paraId="6C2CA4B4" w14:textId="19AE9375" w:rsidR="00AC2B34" w:rsidRPr="0091434E" w:rsidRDefault="00AC2B34" w:rsidP="00565695">
      <w:pPr>
        <w:pBdr>
          <w:top w:val="none" w:sz="0" w:space="0" w:color="000000"/>
          <w:left w:val="none" w:sz="0" w:space="0" w:color="000000"/>
          <w:bottom w:val="none" w:sz="0" w:space="0" w:color="000000"/>
          <w:right w:val="none" w:sz="0" w:space="0" w:color="000000"/>
          <w:between w:val="none" w:sz="0" w:space="0" w:color="000000"/>
        </w:pBdr>
        <w:jc w:val="both"/>
        <w:rPr>
          <w:rFonts w:asciiTheme="majorHAnsi" w:eastAsia="Cambria" w:hAnsiTheme="majorHAnsi" w:cs="Cambria"/>
          <w:color w:val="000000" w:themeColor="text1"/>
          <w:sz w:val="16"/>
          <w:szCs w:val="16"/>
          <w:lang w:val="es-ES"/>
        </w:rPr>
      </w:pPr>
      <w:r w:rsidRPr="0091434E">
        <w:rPr>
          <w:rFonts w:asciiTheme="majorHAnsi" w:eastAsia="Cambria" w:hAnsiTheme="majorHAnsi" w:cs="Cambria"/>
          <w:color w:val="000000" w:themeColor="text1"/>
          <w:sz w:val="16"/>
          <w:szCs w:val="16"/>
          <w:lang w:val="es-ES"/>
        </w:rPr>
        <w:t>5. Toda persona detenida o retenida debe ser llevada, sin demora, ante un juez u otro funcionario autorizado por la ley para ejercer funciones judiciales y tendrá derecho a ser juzgada dentro de un plazo razonable o a ser puesta en libertad, sin perjuicio de que continúe el proceso. Su libertad podrá estar condicionada a garantías que aseguren su comparecencia en el juicio…</w:t>
      </w:r>
    </w:p>
  </w:footnote>
  <w:footnote w:id="89">
    <w:p w14:paraId="65340A31" w14:textId="77777777" w:rsidR="00AC2B34" w:rsidRPr="0091434E" w:rsidRDefault="00AC2B34" w:rsidP="00565695">
      <w:pPr>
        <w:jc w:val="both"/>
        <w:rPr>
          <w:rFonts w:asciiTheme="majorHAnsi" w:eastAsia="Cambria" w:hAnsiTheme="majorHAnsi" w:cs="Cambria"/>
          <w:color w:val="000000" w:themeColor="text1"/>
          <w:sz w:val="16"/>
          <w:szCs w:val="16"/>
          <w:lang w:val="es-ES"/>
        </w:rPr>
      </w:pPr>
      <w:r w:rsidRPr="0091434E">
        <w:rPr>
          <w:rStyle w:val="FootnoteReference"/>
          <w:rFonts w:asciiTheme="majorHAnsi" w:hAnsiTheme="majorHAnsi"/>
          <w:color w:val="000000" w:themeColor="text1"/>
          <w:sz w:val="16"/>
          <w:szCs w:val="16"/>
        </w:rPr>
        <w:footnoteRef/>
      </w:r>
      <w:r w:rsidRPr="0091434E">
        <w:rPr>
          <w:rFonts w:asciiTheme="majorHAnsi" w:eastAsia="Cambria" w:hAnsiTheme="majorHAnsi" w:cs="Cambria"/>
          <w:color w:val="000000" w:themeColor="text1"/>
          <w:sz w:val="16"/>
          <w:szCs w:val="16"/>
          <w:lang w:val="es-ES"/>
        </w:rPr>
        <w:t xml:space="preserve"> CIDH. </w:t>
      </w:r>
      <w:hyperlink r:id="rId1">
        <w:r w:rsidRPr="0091434E">
          <w:rPr>
            <w:rFonts w:asciiTheme="majorHAnsi" w:eastAsia="Cambria" w:hAnsiTheme="majorHAnsi" w:cs="Cambria"/>
            <w:i/>
            <w:color w:val="000000" w:themeColor="text1"/>
            <w:sz w:val="16"/>
            <w:szCs w:val="16"/>
            <w:lang w:val="es-ES"/>
          </w:rPr>
          <w:t>Informe sobre el uso de la prisión preventiva en las Américas</w:t>
        </w:r>
      </w:hyperlink>
      <w:r w:rsidRPr="0091434E">
        <w:rPr>
          <w:rFonts w:asciiTheme="majorHAnsi" w:eastAsia="Cambria" w:hAnsiTheme="majorHAnsi" w:cs="Cambria"/>
          <w:i/>
          <w:color w:val="000000" w:themeColor="text1"/>
          <w:sz w:val="16"/>
          <w:szCs w:val="16"/>
          <w:lang w:val="es-ES"/>
        </w:rPr>
        <w:t>.</w:t>
      </w:r>
      <w:r w:rsidRPr="0091434E">
        <w:rPr>
          <w:rFonts w:asciiTheme="majorHAnsi" w:eastAsia="Cambria" w:hAnsiTheme="majorHAnsi" w:cs="Cambria"/>
          <w:color w:val="000000" w:themeColor="text1"/>
          <w:sz w:val="16"/>
          <w:szCs w:val="16"/>
          <w:lang w:val="es-ES"/>
        </w:rPr>
        <w:t xml:space="preserve"> 30 de diciembre de 2013, párr. 20; Corte IDH. </w:t>
      </w:r>
      <w:r w:rsidRPr="0091434E">
        <w:rPr>
          <w:rFonts w:asciiTheme="majorHAnsi" w:eastAsia="Cambria" w:hAnsiTheme="majorHAnsi" w:cs="Cambria"/>
          <w:i/>
          <w:color w:val="000000" w:themeColor="text1"/>
          <w:sz w:val="16"/>
          <w:szCs w:val="16"/>
          <w:lang w:val="es-ES"/>
        </w:rPr>
        <w:t>Caso López Álvarez</w:t>
      </w:r>
      <w:r w:rsidRPr="0091434E">
        <w:rPr>
          <w:rFonts w:asciiTheme="majorHAnsi" w:eastAsia="Cambria" w:hAnsiTheme="majorHAnsi" w:cs="Cambria"/>
          <w:color w:val="000000" w:themeColor="text1"/>
          <w:sz w:val="16"/>
          <w:szCs w:val="16"/>
          <w:lang w:val="es-ES"/>
        </w:rPr>
        <w:t xml:space="preserve"> </w:t>
      </w:r>
      <w:r w:rsidRPr="0091434E">
        <w:rPr>
          <w:rFonts w:asciiTheme="majorHAnsi" w:eastAsia="Cambria" w:hAnsiTheme="majorHAnsi" w:cs="Cambria"/>
          <w:i/>
          <w:color w:val="000000" w:themeColor="text1"/>
          <w:sz w:val="16"/>
          <w:szCs w:val="16"/>
          <w:lang w:val="es-ES"/>
        </w:rPr>
        <w:t>Vs. Honduras</w:t>
      </w:r>
      <w:r w:rsidRPr="0091434E">
        <w:rPr>
          <w:rFonts w:asciiTheme="majorHAnsi" w:eastAsia="Cambria" w:hAnsiTheme="majorHAnsi" w:cs="Cambria"/>
          <w:color w:val="000000" w:themeColor="text1"/>
          <w:sz w:val="16"/>
          <w:szCs w:val="16"/>
          <w:lang w:val="es-ES"/>
        </w:rPr>
        <w:t xml:space="preserve">. Sentencia de 1 de febrero de 2006. Serie C No. 141, párr. 67; </w:t>
      </w:r>
      <w:r w:rsidRPr="0091434E">
        <w:rPr>
          <w:rFonts w:asciiTheme="majorHAnsi" w:eastAsia="Cambria" w:hAnsiTheme="majorHAnsi" w:cs="Cambria"/>
          <w:i/>
          <w:color w:val="000000" w:themeColor="text1"/>
          <w:sz w:val="16"/>
          <w:szCs w:val="16"/>
          <w:lang w:val="es-ES"/>
        </w:rPr>
        <w:t>y Caso Palamara Iribarne Vs. Chile</w:t>
      </w:r>
      <w:r w:rsidRPr="0091434E">
        <w:rPr>
          <w:rFonts w:asciiTheme="majorHAnsi" w:eastAsia="Cambria" w:hAnsiTheme="majorHAnsi" w:cs="Cambria"/>
          <w:color w:val="000000" w:themeColor="text1"/>
          <w:sz w:val="16"/>
          <w:szCs w:val="16"/>
          <w:lang w:val="es-ES"/>
        </w:rPr>
        <w:t>. Sentencia de 22 de noviembre de 2005. Serie C No. 135, párr. 197.</w:t>
      </w:r>
    </w:p>
  </w:footnote>
  <w:footnote w:id="90">
    <w:p w14:paraId="1877DF69" w14:textId="77777777" w:rsidR="00AC2B34" w:rsidRPr="0091434E" w:rsidRDefault="00AC2B34" w:rsidP="00565695">
      <w:pPr>
        <w:jc w:val="both"/>
        <w:rPr>
          <w:rFonts w:asciiTheme="majorHAnsi" w:eastAsia="Cambria" w:hAnsiTheme="majorHAnsi" w:cs="Cambria"/>
          <w:color w:val="000000" w:themeColor="text1"/>
          <w:sz w:val="16"/>
          <w:szCs w:val="16"/>
          <w:lang w:val="es-ES"/>
        </w:rPr>
      </w:pPr>
      <w:r w:rsidRPr="0091434E">
        <w:rPr>
          <w:rStyle w:val="FootnoteReference"/>
          <w:rFonts w:asciiTheme="majorHAnsi" w:hAnsiTheme="majorHAnsi"/>
          <w:color w:val="000000" w:themeColor="text1"/>
          <w:sz w:val="16"/>
          <w:szCs w:val="16"/>
        </w:rPr>
        <w:footnoteRef/>
      </w:r>
      <w:r w:rsidRPr="0091434E">
        <w:rPr>
          <w:rFonts w:asciiTheme="majorHAnsi" w:eastAsia="Cambria" w:hAnsiTheme="majorHAnsi" w:cs="Cambria"/>
          <w:color w:val="000000" w:themeColor="text1"/>
          <w:sz w:val="16"/>
          <w:szCs w:val="16"/>
          <w:lang w:val="es-ES"/>
        </w:rPr>
        <w:t xml:space="preserve"> Corte IDH. </w:t>
      </w:r>
      <w:r w:rsidRPr="0091434E">
        <w:rPr>
          <w:rFonts w:asciiTheme="majorHAnsi" w:eastAsia="Cambria" w:hAnsiTheme="majorHAnsi" w:cs="Cambria"/>
          <w:i/>
          <w:color w:val="000000" w:themeColor="text1"/>
          <w:sz w:val="16"/>
          <w:szCs w:val="16"/>
          <w:lang w:val="es-ES"/>
        </w:rPr>
        <w:t>Caso Suárez Rosero Vs. Ecuador</w:t>
      </w:r>
      <w:r w:rsidRPr="0091434E">
        <w:rPr>
          <w:rFonts w:asciiTheme="majorHAnsi" w:eastAsia="Cambria" w:hAnsiTheme="majorHAnsi" w:cs="Cambria"/>
          <w:color w:val="000000" w:themeColor="text1"/>
          <w:sz w:val="16"/>
          <w:szCs w:val="16"/>
          <w:lang w:val="es-ES"/>
        </w:rPr>
        <w:t>. Sentencia de 12 de noviembre de 1997. Serie C No. 35, párr. 77.</w:t>
      </w:r>
    </w:p>
  </w:footnote>
  <w:footnote w:id="91">
    <w:p w14:paraId="49C26EF3" w14:textId="77777777" w:rsidR="00AC2B34" w:rsidRPr="0091434E" w:rsidRDefault="00AC2B34" w:rsidP="00565695">
      <w:pPr>
        <w:jc w:val="both"/>
        <w:rPr>
          <w:rFonts w:asciiTheme="majorHAnsi" w:eastAsia="Cambria" w:hAnsiTheme="majorHAnsi" w:cs="Cambria"/>
          <w:color w:val="000000" w:themeColor="text1"/>
          <w:sz w:val="16"/>
          <w:szCs w:val="16"/>
          <w:lang w:val="es-ES"/>
        </w:rPr>
      </w:pPr>
      <w:r w:rsidRPr="0091434E">
        <w:rPr>
          <w:rStyle w:val="FootnoteReference"/>
          <w:rFonts w:asciiTheme="majorHAnsi" w:hAnsiTheme="majorHAnsi"/>
          <w:color w:val="000000" w:themeColor="text1"/>
          <w:sz w:val="16"/>
          <w:szCs w:val="16"/>
        </w:rPr>
        <w:footnoteRef/>
      </w:r>
      <w:r w:rsidRPr="0091434E">
        <w:rPr>
          <w:rFonts w:asciiTheme="majorHAnsi" w:eastAsia="Cambria" w:hAnsiTheme="majorHAnsi" w:cs="Cambria"/>
          <w:color w:val="000000" w:themeColor="text1"/>
          <w:sz w:val="16"/>
          <w:szCs w:val="16"/>
          <w:lang w:val="es-ES"/>
        </w:rPr>
        <w:t xml:space="preserve"> CIDH</w:t>
      </w:r>
      <w:r w:rsidRPr="0091434E">
        <w:rPr>
          <w:rFonts w:asciiTheme="majorHAnsi" w:eastAsia="Cambria" w:hAnsiTheme="majorHAnsi" w:cs="Cambria"/>
          <w:i/>
          <w:color w:val="000000" w:themeColor="text1"/>
          <w:sz w:val="16"/>
          <w:szCs w:val="16"/>
          <w:lang w:val="es-ES"/>
        </w:rPr>
        <w:t xml:space="preserve">. </w:t>
      </w:r>
      <w:hyperlink r:id="rId2">
        <w:r w:rsidRPr="0091434E">
          <w:rPr>
            <w:rFonts w:asciiTheme="majorHAnsi" w:eastAsia="Cambria" w:hAnsiTheme="majorHAnsi" w:cs="Cambria"/>
            <w:i/>
            <w:color w:val="000000" w:themeColor="text1"/>
            <w:sz w:val="16"/>
            <w:szCs w:val="16"/>
            <w:lang w:val="es-ES"/>
          </w:rPr>
          <w:t>Informe sobre el uso de la prisión preventiva en las Américas</w:t>
        </w:r>
      </w:hyperlink>
      <w:r w:rsidRPr="0091434E">
        <w:rPr>
          <w:rFonts w:asciiTheme="majorHAnsi" w:eastAsia="Cambria" w:hAnsiTheme="majorHAnsi" w:cs="Cambria"/>
          <w:color w:val="000000" w:themeColor="text1"/>
          <w:sz w:val="16"/>
          <w:szCs w:val="16"/>
          <w:lang w:val="es-ES"/>
        </w:rPr>
        <w:t xml:space="preserve">. 30 de diciembre de 2013, párr. 21. Corte IDH. </w:t>
      </w:r>
      <w:r w:rsidRPr="0091434E">
        <w:rPr>
          <w:rFonts w:asciiTheme="majorHAnsi" w:eastAsia="Cambria" w:hAnsiTheme="majorHAnsi" w:cs="Cambria"/>
          <w:i/>
          <w:color w:val="000000" w:themeColor="text1"/>
          <w:sz w:val="16"/>
          <w:szCs w:val="16"/>
          <w:lang w:val="es-ES"/>
        </w:rPr>
        <w:t>Caso López Álvarez Vs. Honduras</w:t>
      </w:r>
      <w:r w:rsidRPr="0091434E">
        <w:rPr>
          <w:rFonts w:asciiTheme="majorHAnsi" w:eastAsia="Cambria" w:hAnsiTheme="majorHAnsi" w:cs="Cambria"/>
          <w:color w:val="000000" w:themeColor="text1"/>
          <w:sz w:val="16"/>
          <w:szCs w:val="16"/>
          <w:lang w:val="es-ES"/>
        </w:rPr>
        <w:t xml:space="preserve">. Sentencia de 1 de febrero de 2006. Serie C No. 141, párr. 67; y </w:t>
      </w:r>
      <w:r w:rsidRPr="0091434E">
        <w:rPr>
          <w:rFonts w:asciiTheme="majorHAnsi" w:eastAsia="Cambria" w:hAnsiTheme="majorHAnsi" w:cs="Cambria"/>
          <w:i/>
          <w:color w:val="000000" w:themeColor="text1"/>
          <w:sz w:val="16"/>
          <w:szCs w:val="16"/>
          <w:lang w:val="es-ES"/>
        </w:rPr>
        <w:t>Caso Palamara Iribarne Vs. Chile</w:t>
      </w:r>
      <w:r w:rsidRPr="0091434E">
        <w:rPr>
          <w:rFonts w:asciiTheme="majorHAnsi" w:eastAsia="Cambria" w:hAnsiTheme="majorHAnsi" w:cs="Cambria"/>
          <w:color w:val="000000" w:themeColor="text1"/>
          <w:sz w:val="16"/>
          <w:szCs w:val="16"/>
          <w:lang w:val="es-ES"/>
        </w:rPr>
        <w:t>. Sentencia de 22 de noviembre de 2005. Serie C No. 135, párr. 196.</w:t>
      </w:r>
    </w:p>
  </w:footnote>
  <w:footnote w:id="92">
    <w:p w14:paraId="432735C5" w14:textId="77777777" w:rsidR="00AC2B34" w:rsidRPr="0091434E" w:rsidRDefault="00AC2B34" w:rsidP="00565695">
      <w:pPr>
        <w:jc w:val="both"/>
        <w:rPr>
          <w:rFonts w:asciiTheme="majorHAnsi" w:eastAsia="Cambria" w:hAnsiTheme="majorHAnsi" w:cs="Cambria"/>
          <w:color w:val="000000" w:themeColor="text1"/>
          <w:sz w:val="16"/>
          <w:szCs w:val="16"/>
          <w:lang w:val="es-ES"/>
        </w:rPr>
      </w:pPr>
      <w:r w:rsidRPr="0091434E">
        <w:rPr>
          <w:rStyle w:val="FootnoteReference"/>
          <w:rFonts w:asciiTheme="majorHAnsi" w:hAnsiTheme="majorHAnsi"/>
          <w:color w:val="000000" w:themeColor="text1"/>
          <w:sz w:val="16"/>
          <w:szCs w:val="16"/>
        </w:rPr>
        <w:footnoteRef/>
      </w:r>
      <w:r w:rsidRPr="0091434E">
        <w:rPr>
          <w:rFonts w:asciiTheme="majorHAnsi" w:eastAsia="Cambria" w:hAnsiTheme="majorHAnsi" w:cs="Cambria"/>
          <w:color w:val="000000" w:themeColor="text1"/>
          <w:sz w:val="16"/>
          <w:szCs w:val="16"/>
          <w:lang w:val="es-ES"/>
        </w:rPr>
        <w:t xml:space="preserve"> CIDH. </w:t>
      </w:r>
      <w:hyperlink r:id="rId3">
        <w:r w:rsidRPr="0091434E">
          <w:rPr>
            <w:rFonts w:asciiTheme="majorHAnsi" w:eastAsia="Cambria" w:hAnsiTheme="majorHAnsi" w:cs="Cambria"/>
            <w:color w:val="000000" w:themeColor="text1"/>
            <w:sz w:val="16"/>
            <w:szCs w:val="16"/>
            <w:lang w:val="es-ES"/>
          </w:rPr>
          <w:t>Informe sobre el uso de la prisión preventiva en las Américas</w:t>
        </w:r>
      </w:hyperlink>
      <w:r w:rsidRPr="0091434E">
        <w:rPr>
          <w:rFonts w:asciiTheme="majorHAnsi" w:eastAsia="Cambria" w:hAnsiTheme="majorHAnsi" w:cs="Cambria"/>
          <w:color w:val="000000" w:themeColor="text1"/>
          <w:sz w:val="16"/>
          <w:szCs w:val="16"/>
          <w:lang w:val="es-ES"/>
        </w:rPr>
        <w:t>. 30 de diciembre de 2013, párr. 21; Corte IDH.</w:t>
      </w:r>
      <w:r w:rsidRPr="0091434E">
        <w:rPr>
          <w:rFonts w:asciiTheme="majorHAnsi" w:eastAsia="Cambria" w:hAnsiTheme="majorHAnsi" w:cs="Cambria"/>
          <w:i/>
          <w:color w:val="000000" w:themeColor="text1"/>
          <w:sz w:val="16"/>
          <w:szCs w:val="16"/>
          <w:lang w:val="es-ES"/>
        </w:rPr>
        <w:t xml:space="preserve"> Caso García Asto y Ramírez Rojas Vs. Perú</w:t>
      </w:r>
      <w:r w:rsidRPr="0091434E">
        <w:rPr>
          <w:rFonts w:asciiTheme="majorHAnsi" w:eastAsia="Cambria" w:hAnsiTheme="majorHAnsi" w:cs="Cambria"/>
          <w:color w:val="000000" w:themeColor="text1"/>
          <w:sz w:val="16"/>
          <w:szCs w:val="16"/>
          <w:lang w:val="es-ES"/>
        </w:rPr>
        <w:t xml:space="preserve">. Sentencia de 25 de noviembre de 2005. Serie C No. 137, párr. 106; y </w:t>
      </w:r>
      <w:r w:rsidRPr="0091434E">
        <w:rPr>
          <w:rFonts w:asciiTheme="majorHAnsi" w:eastAsia="Cambria" w:hAnsiTheme="majorHAnsi" w:cs="Cambria"/>
          <w:i/>
          <w:color w:val="000000" w:themeColor="text1"/>
          <w:sz w:val="16"/>
          <w:szCs w:val="16"/>
          <w:lang w:val="es-ES"/>
        </w:rPr>
        <w:t>Caso Tibi Vs. Ecuador.</w:t>
      </w:r>
      <w:r w:rsidRPr="0091434E">
        <w:rPr>
          <w:rFonts w:asciiTheme="majorHAnsi" w:eastAsia="Cambria" w:hAnsiTheme="majorHAnsi" w:cs="Cambria"/>
          <w:color w:val="000000" w:themeColor="text1"/>
          <w:sz w:val="16"/>
          <w:szCs w:val="16"/>
          <w:lang w:val="es-ES"/>
        </w:rPr>
        <w:t xml:space="preserve"> Sentencia de 7 de septiembre de 2004.  Serie C No. 114, párr. 180.</w:t>
      </w:r>
    </w:p>
  </w:footnote>
  <w:footnote w:id="93">
    <w:p w14:paraId="5246AA12" w14:textId="77777777" w:rsidR="00AC2B34" w:rsidRPr="0091434E" w:rsidRDefault="00AC2B34" w:rsidP="00565695">
      <w:pPr>
        <w:jc w:val="both"/>
        <w:rPr>
          <w:rFonts w:asciiTheme="majorHAnsi" w:eastAsia="Cambria" w:hAnsiTheme="majorHAnsi" w:cs="Cambria"/>
          <w:color w:val="000000" w:themeColor="text1"/>
          <w:sz w:val="16"/>
          <w:szCs w:val="16"/>
          <w:lang w:val="es-ES"/>
        </w:rPr>
      </w:pPr>
      <w:r w:rsidRPr="0091434E">
        <w:rPr>
          <w:rStyle w:val="FootnoteReference"/>
          <w:rFonts w:asciiTheme="majorHAnsi" w:hAnsiTheme="majorHAnsi"/>
          <w:color w:val="000000" w:themeColor="text1"/>
          <w:sz w:val="16"/>
          <w:szCs w:val="16"/>
        </w:rPr>
        <w:footnoteRef/>
      </w:r>
      <w:r w:rsidRPr="0091434E">
        <w:rPr>
          <w:rFonts w:asciiTheme="majorHAnsi" w:eastAsia="Cambria" w:hAnsiTheme="majorHAnsi" w:cs="Cambria"/>
          <w:color w:val="000000" w:themeColor="text1"/>
          <w:sz w:val="16"/>
          <w:szCs w:val="16"/>
          <w:lang w:val="es-ES"/>
        </w:rPr>
        <w:t xml:space="preserve"> Corte IDH. </w:t>
      </w:r>
      <w:r w:rsidRPr="0091434E">
        <w:rPr>
          <w:rFonts w:asciiTheme="majorHAnsi" w:eastAsia="Cambria" w:hAnsiTheme="majorHAnsi" w:cs="Cambria"/>
          <w:i/>
          <w:color w:val="000000" w:themeColor="text1"/>
          <w:sz w:val="16"/>
          <w:szCs w:val="16"/>
          <w:lang w:val="es-ES"/>
        </w:rPr>
        <w:t>Caso Chaparro Álvarez y Lapo Íñiguez Vs. Ecuador</w:t>
      </w:r>
      <w:r w:rsidRPr="0091434E">
        <w:rPr>
          <w:rFonts w:asciiTheme="majorHAnsi" w:eastAsia="Cambria" w:hAnsiTheme="majorHAnsi" w:cs="Cambria"/>
          <w:color w:val="000000" w:themeColor="text1"/>
          <w:sz w:val="16"/>
          <w:szCs w:val="16"/>
          <w:lang w:val="es-ES"/>
        </w:rPr>
        <w:t>. Excepciones Preliminares, Fondo, Reparaciones y Costas. Sentencia de 21 de noviembre de 2007. Serie C No. 170, párr. 103.</w:t>
      </w:r>
    </w:p>
  </w:footnote>
  <w:footnote w:id="94">
    <w:p w14:paraId="7BF756C4" w14:textId="77777777" w:rsidR="00AC2B34" w:rsidRPr="0091434E" w:rsidRDefault="00AC2B34" w:rsidP="00565695">
      <w:pPr>
        <w:jc w:val="both"/>
        <w:rPr>
          <w:rFonts w:asciiTheme="majorHAnsi" w:eastAsia="Cambria" w:hAnsiTheme="majorHAnsi" w:cs="Cambria"/>
          <w:color w:val="000000" w:themeColor="text1"/>
          <w:sz w:val="16"/>
          <w:szCs w:val="16"/>
          <w:lang w:val="es-ES"/>
        </w:rPr>
      </w:pPr>
      <w:r w:rsidRPr="0091434E">
        <w:rPr>
          <w:rStyle w:val="FootnoteReference"/>
          <w:rFonts w:asciiTheme="majorHAnsi" w:hAnsiTheme="majorHAnsi"/>
          <w:color w:val="000000" w:themeColor="text1"/>
          <w:sz w:val="16"/>
          <w:szCs w:val="16"/>
        </w:rPr>
        <w:footnoteRef/>
      </w:r>
      <w:r w:rsidRPr="0091434E">
        <w:rPr>
          <w:rFonts w:asciiTheme="majorHAnsi" w:eastAsia="Cambria" w:hAnsiTheme="majorHAnsi" w:cs="Cambria"/>
          <w:color w:val="000000" w:themeColor="text1"/>
          <w:sz w:val="16"/>
          <w:szCs w:val="16"/>
          <w:lang w:val="es-ES"/>
        </w:rPr>
        <w:t xml:space="preserve"> Corte IDH. </w:t>
      </w:r>
      <w:r w:rsidRPr="0091434E">
        <w:rPr>
          <w:rFonts w:asciiTheme="majorHAnsi" w:eastAsia="Cambria" w:hAnsiTheme="majorHAnsi" w:cs="Cambria"/>
          <w:i/>
          <w:color w:val="000000" w:themeColor="text1"/>
          <w:sz w:val="16"/>
          <w:szCs w:val="16"/>
          <w:lang w:val="es-ES"/>
        </w:rPr>
        <w:t>Caso Barreto Leiva Vs Venezuela</w:t>
      </w:r>
      <w:r w:rsidRPr="0091434E">
        <w:rPr>
          <w:rFonts w:asciiTheme="majorHAnsi" w:eastAsia="Cambria" w:hAnsiTheme="majorHAnsi" w:cs="Cambria"/>
          <w:color w:val="000000" w:themeColor="text1"/>
          <w:sz w:val="16"/>
          <w:szCs w:val="16"/>
          <w:lang w:val="es-ES"/>
        </w:rPr>
        <w:t>. Fondo, Reparaciones y Costas. Sentencia de 17 de noviembre de 2009, Serie C No. 206. párr.120.</w:t>
      </w:r>
    </w:p>
  </w:footnote>
  <w:footnote w:id="95">
    <w:p w14:paraId="5AC8A26D" w14:textId="77777777" w:rsidR="00AC2B34" w:rsidRPr="0091434E" w:rsidRDefault="00AC2B34" w:rsidP="00565695">
      <w:pPr>
        <w:jc w:val="both"/>
        <w:rPr>
          <w:rFonts w:asciiTheme="majorHAnsi" w:eastAsia="Cambria" w:hAnsiTheme="majorHAnsi" w:cs="Cambria"/>
          <w:color w:val="000000" w:themeColor="text1"/>
          <w:sz w:val="16"/>
          <w:szCs w:val="16"/>
          <w:lang w:val="es-ES"/>
        </w:rPr>
      </w:pPr>
      <w:r w:rsidRPr="0091434E">
        <w:rPr>
          <w:rStyle w:val="FootnoteReference"/>
          <w:rFonts w:asciiTheme="majorHAnsi" w:hAnsiTheme="majorHAnsi"/>
          <w:color w:val="000000" w:themeColor="text1"/>
          <w:sz w:val="16"/>
          <w:szCs w:val="16"/>
        </w:rPr>
        <w:footnoteRef/>
      </w:r>
      <w:r w:rsidRPr="0091434E">
        <w:rPr>
          <w:rFonts w:asciiTheme="majorHAnsi" w:eastAsia="Cambria" w:hAnsiTheme="majorHAnsi" w:cs="Cambria"/>
          <w:color w:val="000000" w:themeColor="text1"/>
          <w:sz w:val="16"/>
          <w:szCs w:val="16"/>
          <w:lang w:val="es-ES"/>
        </w:rPr>
        <w:t xml:space="preserve"> Corte IDH. </w:t>
      </w:r>
      <w:r w:rsidRPr="0091434E">
        <w:rPr>
          <w:rFonts w:asciiTheme="majorHAnsi" w:eastAsia="Cambria" w:hAnsiTheme="majorHAnsi" w:cs="Cambria"/>
          <w:i/>
          <w:color w:val="000000" w:themeColor="text1"/>
          <w:sz w:val="16"/>
          <w:szCs w:val="16"/>
          <w:lang w:val="es-ES"/>
        </w:rPr>
        <w:t>Caso Arguelles y otros Vs. Argentina</w:t>
      </w:r>
      <w:r w:rsidRPr="0091434E">
        <w:rPr>
          <w:rFonts w:asciiTheme="majorHAnsi" w:eastAsia="Cambria" w:hAnsiTheme="majorHAnsi" w:cs="Cambria"/>
          <w:color w:val="000000" w:themeColor="text1"/>
          <w:sz w:val="16"/>
          <w:szCs w:val="16"/>
          <w:lang w:val="es-ES"/>
        </w:rPr>
        <w:t>. Excepciones Preliminares, Fondo, Reparaciones y Costas. Sentencia de 20 de noviembre de 2014. Serie C No. 288, párr.121.</w:t>
      </w:r>
    </w:p>
  </w:footnote>
  <w:footnote w:id="96">
    <w:p w14:paraId="5E0C07F0" w14:textId="77777777" w:rsidR="00AC2B34" w:rsidRPr="0091434E" w:rsidRDefault="00AC2B34" w:rsidP="00565695">
      <w:pPr>
        <w:jc w:val="both"/>
        <w:rPr>
          <w:rFonts w:asciiTheme="majorHAnsi" w:eastAsia="Cambria" w:hAnsiTheme="majorHAnsi" w:cs="Cambria"/>
          <w:color w:val="000000" w:themeColor="text1"/>
          <w:sz w:val="16"/>
          <w:szCs w:val="16"/>
          <w:lang w:val="es-ES"/>
        </w:rPr>
      </w:pPr>
      <w:r w:rsidRPr="0091434E">
        <w:rPr>
          <w:rStyle w:val="FootnoteReference"/>
          <w:rFonts w:asciiTheme="majorHAnsi" w:hAnsiTheme="majorHAnsi"/>
          <w:color w:val="000000" w:themeColor="text1"/>
          <w:sz w:val="16"/>
          <w:szCs w:val="16"/>
        </w:rPr>
        <w:footnoteRef/>
      </w:r>
      <w:r w:rsidRPr="0091434E">
        <w:rPr>
          <w:rFonts w:asciiTheme="majorHAnsi" w:eastAsia="Cambria" w:hAnsiTheme="majorHAnsi" w:cs="Cambria"/>
          <w:color w:val="000000" w:themeColor="text1"/>
          <w:sz w:val="16"/>
          <w:szCs w:val="16"/>
          <w:lang w:val="es-ES"/>
        </w:rPr>
        <w:t xml:space="preserve"> CIDH. Informe No. 2/97. Caso 11.205. Fondo. Jorge Luis Bronstein y otros. Argentina. 11 de marzo de 1997, párr. 12. Ver también: Corte IDH</w:t>
      </w:r>
      <w:r w:rsidRPr="0091434E">
        <w:rPr>
          <w:rFonts w:asciiTheme="majorHAnsi" w:eastAsia="Cambria" w:hAnsiTheme="majorHAnsi" w:cs="Cambria"/>
          <w:i/>
          <w:color w:val="000000" w:themeColor="text1"/>
          <w:sz w:val="16"/>
          <w:szCs w:val="16"/>
          <w:lang w:val="es-ES"/>
        </w:rPr>
        <w:t>. Caso Acosta Calderón Vs. Ecuador</w:t>
      </w:r>
      <w:r w:rsidRPr="0091434E">
        <w:rPr>
          <w:rFonts w:asciiTheme="majorHAnsi" w:eastAsia="Cambria" w:hAnsiTheme="majorHAnsi" w:cs="Cambria"/>
          <w:color w:val="000000" w:themeColor="text1"/>
          <w:sz w:val="16"/>
          <w:szCs w:val="16"/>
          <w:lang w:val="es-ES"/>
        </w:rPr>
        <w:t>. Sentencia de 24 de junio de 2005. Serie C No. 129, párr. 111.</w:t>
      </w:r>
    </w:p>
  </w:footnote>
  <w:footnote w:id="97">
    <w:p w14:paraId="0E9961F3" w14:textId="77777777" w:rsidR="00AC2B34" w:rsidRPr="0091434E" w:rsidRDefault="00AC2B34" w:rsidP="00565695">
      <w:pPr>
        <w:jc w:val="both"/>
        <w:rPr>
          <w:rFonts w:asciiTheme="majorHAnsi" w:eastAsia="Cambria" w:hAnsiTheme="majorHAnsi" w:cs="Cambria"/>
          <w:color w:val="000000" w:themeColor="text1"/>
          <w:sz w:val="16"/>
          <w:szCs w:val="16"/>
          <w:lang w:val="es-ES"/>
        </w:rPr>
      </w:pPr>
      <w:r w:rsidRPr="0091434E">
        <w:rPr>
          <w:rStyle w:val="FootnoteReference"/>
          <w:rFonts w:asciiTheme="majorHAnsi" w:hAnsiTheme="majorHAnsi"/>
          <w:color w:val="000000" w:themeColor="text1"/>
          <w:sz w:val="16"/>
          <w:szCs w:val="16"/>
        </w:rPr>
        <w:footnoteRef/>
      </w:r>
      <w:r w:rsidRPr="0091434E">
        <w:rPr>
          <w:rFonts w:asciiTheme="majorHAnsi" w:eastAsia="Cambria" w:hAnsiTheme="majorHAnsi" w:cs="Cambria"/>
          <w:color w:val="000000" w:themeColor="text1"/>
          <w:sz w:val="16"/>
          <w:szCs w:val="16"/>
          <w:lang w:val="es-ES"/>
        </w:rPr>
        <w:t xml:space="preserve"> Corte IDH. </w:t>
      </w:r>
      <w:r w:rsidRPr="0091434E">
        <w:rPr>
          <w:rFonts w:asciiTheme="majorHAnsi" w:eastAsia="Cambria" w:hAnsiTheme="majorHAnsi" w:cs="Cambria"/>
          <w:i/>
          <w:color w:val="000000" w:themeColor="text1"/>
          <w:sz w:val="16"/>
          <w:szCs w:val="16"/>
          <w:lang w:val="es-ES"/>
        </w:rPr>
        <w:t>Caso Usón Ramírez Vs. Venezuela</w:t>
      </w:r>
      <w:r w:rsidRPr="0091434E">
        <w:rPr>
          <w:rFonts w:asciiTheme="majorHAnsi" w:eastAsia="Cambria" w:hAnsiTheme="majorHAnsi" w:cs="Cambria"/>
          <w:color w:val="000000" w:themeColor="text1"/>
          <w:sz w:val="16"/>
          <w:szCs w:val="16"/>
          <w:lang w:val="es-ES"/>
        </w:rPr>
        <w:t>. Excepción Preliminar, Fondo, Reparaciones y Costas. Sentencia de 20 de noviembre de 2009. Serie C No. 207, párr. 144.</w:t>
      </w:r>
    </w:p>
  </w:footnote>
  <w:footnote w:id="98">
    <w:p w14:paraId="2D4F6000" w14:textId="77777777" w:rsidR="00AC2B34" w:rsidRPr="0091434E" w:rsidRDefault="00AC2B34" w:rsidP="00565695">
      <w:pPr>
        <w:jc w:val="both"/>
        <w:rPr>
          <w:rFonts w:asciiTheme="majorHAnsi" w:eastAsia="Cambria" w:hAnsiTheme="majorHAnsi" w:cs="Cambria"/>
          <w:color w:val="000000" w:themeColor="text1"/>
          <w:sz w:val="16"/>
          <w:szCs w:val="16"/>
          <w:lang w:val="es-ES"/>
        </w:rPr>
      </w:pPr>
      <w:r w:rsidRPr="0091434E">
        <w:rPr>
          <w:rStyle w:val="FootnoteReference"/>
          <w:rFonts w:asciiTheme="majorHAnsi" w:hAnsiTheme="majorHAnsi"/>
          <w:color w:val="000000" w:themeColor="text1"/>
          <w:sz w:val="16"/>
          <w:szCs w:val="16"/>
        </w:rPr>
        <w:footnoteRef/>
      </w:r>
      <w:r w:rsidRPr="0091434E">
        <w:rPr>
          <w:rFonts w:asciiTheme="majorHAnsi" w:eastAsia="Cambria" w:hAnsiTheme="majorHAnsi" w:cs="Cambria"/>
          <w:color w:val="000000" w:themeColor="text1"/>
          <w:sz w:val="16"/>
          <w:szCs w:val="16"/>
          <w:lang w:val="es-ES"/>
        </w:rPr>
        <w:t xml:space="preserve"> CIDH. </w:t>
      </w:r>
      <w:hyperlink r:id="rId4">
        <w:r w:rsidRPr="0091434E">
          <w:rPr>
            <w:rFonts w:asciiTheme="majorHAnsi" w:eastAsia="Cambria" w:hAnsiTheme="majorHAnsi" w:cs="Cambria"/>
            <w:color w:val="000000" w:themeColor="text1"/>
            <w:sz w:val="16"/>
            <w:szCs w:val="16"/>
            <w:lang w:val="es-ES"/>
          </w:rPr>
          <w:t>Informe sobre el uso de la prisión preventiva en las Américas</w:t>
        </w:r>
      </w:hyperlink>
      <w:r w:rsidRPr="0091434E">
        <w:rPr>
          <w:rFonts w:asciiTheme="majorHAnsi" w:eastAsia="Cambria" w:hAnsiTheme="majorHAnsi" w:cs="Cambria"/>
          <w:color w:val="000000" w:themeColor="text1"/>
          <w:sz w:val="16"/>
          <w:szCs w:val="16"/>
          <w:lang w:val="es-ES"/>
        </w:rPr>
        <w:t>. 30 de diciembre de 2013, párr. 137.</w:t>
      </w:r>
    </w:p>
  </w:footnote>
  <w:footnote w:id="99">
    <w:p w14:paraId="210186C4" w14:textId="77777777" w:rsidR="00AC2B34" w:rsidRPr="0091434E" w:rsidRDefault="00AC2B34" w:rsidP="004A3DF1">
      <w:pPr>
        <w:pStyle w:val="FootnoteText"/>
        <w:jc w:val="both"/>
        <w:rPr>
          <w:rFonts w:asciiTheme="majorHAnsi" w:hAnsiTheme="majorHAnsi"/>
          <w:szCs w:val="16"/>
          <w:lang w:val="es-ES"/>
        </w:rPr>
      </w:pPr>
      <w:r w:rsidRPr="0091434E">
        <w:rPr>
          <w:rStyle w:val="FootnoteReference"/>
          <w:rFonts w:asciiTheme="majorHAnsi" w:hAnsiTheme="majorHAnsi"/>
          <w:szCs w:val="16"/>
        </w:rPr>
        <w:footnoteRef/>
      </w:r>
      <w:r w:rsidRPr="0091434E">
        <w:rPr>
          <w:rFonts w:asciiTheme="majorHAnsi" w:hAnsiTheme="majorHAnsi"/>
          <w:szCs w:val="16"/>
          <w:lang w:val="es-PE"/>
        </w:rPr>
        <w:t xml:space="preserve"> </w:t>
      </w:r>
      <w:r w:rsidRPr="0091434E">
        <w:rPr>
          <w:rFonts w:asciiTheme="majorHAnsi" w:hAnsiTheme="majorHAnsi"/>
          <w:szCs w:val="16"/>
          <w:lang w:val="es-ES"/>
        </w:rPr>
        <w:t>El artículo 8.2 de la Convención Americana establece, en lo pertinente, lo siguiente: “Toda persona inculpada de delito tiene derecho a que se presuma su inocencia mientras no se establezca legalmente su culpabilidad. Durante el proceso, toda persona tiene derecho, en plena igualdad, a las siguientes garantías mínimas: (…)</w:t>
      </w:r>
    </w:p>
    <w:p w14:paraId="529BC5C6" w14:textId="3E2E8F19" w:rsidR="00AC2B34" w:rsidRPr="0091434E" w:rsidRDefault="00AC2B34" w:rsidP="004A3DF1">
      <w:pPr>
        <w:pStyle w:val="FootnoteText"/>
        <w:jc w:val="both"/>
        <w:rPr>
          <w:rFonts w:asciiTheme="majorHAnsi" w:hAnsiTheme="majorHAnsi"/>
          <w:szCs w:val="16"/>
          <w:lang w:val="es-ES"/>
        </w:rPr>
      </w:pPr>
      <w:r w:rsidRPr="0091434E">
        <w:rPr>
          <w:rFonts w:asciiTheme="majorHAnsi" w:hAnsiTheme="majorHAnsi"/>
          <w:szCs w:val="16"/>
          <w:lang w:val="es-ES"/>
        </w:rPr>
        <w:t>c. concesión al inculpado del tiempo y de los medios adecuados para la preparación de su defensa;</w:t>
      </w:r>
    </w:p>
    <w:p w14:paraId="0E79A3C2" w14:textId="77777777" w:rsidR="004A1829" w:rsidRPr="0091434E" w:rsidRDefault="004A1829" w:rsidP="004A1829">
      <w:pPr>
        <w:pStyle w:val="FootnoteText"/>
        <w:jc w:val="both"/>
        <w:rPr>
          <w:rFonts w:asciiTheme="majorHAnsi" w:hAnsiTheme="majorHAnsi"/>
          <w:szCs w:val="16"/>
          <w:lang w:val="es-ES"/>
        </w:rPr>
      </w:pPr>
      <w:r w:rsidRPr="0091434E">
        <w:rPr>
          <w:rFonts w:asciiTheme="majorHAnsi" w:hAnsiTheme="majorHAnsi"/>
          <w:szCs w:val="16"/>
          <w:lang w:val="es-ES"/>
        </w:rPr>
        <w:t>d) derecho del inculpado de defenderse personalmente o de ser asistido por un defensor de su elección y de comunicarse libre y privadamente con su defensor; </w:t>
      </w:r>
    </w:p>
    <w:p w14:paraId="6B8C11A1" w14:textId="77777777" w:rsidR="004A1829" w:rsidRPr="0091434E" w:rsidRDefault="004A1829" w:rsidP="004A1829">
      <w:pPr>
        <w:pStyle w:val="FootnoteText"/>
        <w:jc w:val="both"/>
        <w:rPr>
          <w:rFonts w:asciiTheme="majorHAnsi" w:hAnsiTheme="majorHAnsi"/>
          <w:szCs w:val="16"/>
          <w:lang w:val="es-ES"/>
        </w:rPr>
      </w:pPr>
      <w:r w:rsidRPr="0091434E">
        <w:rPr>
          <w:rFonts w:asciiTheme="majorHAnsi" w:hAnsiTheme="majorHAnsi"/>
          <w:szCs w:val="16"/>
          <w:lang w:val="es-ES"/>
        </w:rPr>
        <w:t> e) derecho irrenunciable de ser asistido por un defensor proporcionado por el Estado, remunerado o no según la legislación interna, si el inculpado no se defendiere por sí mismo ni nombrare defensor dentro del plazo establecido por la ley;</w:t>
      </w:r>
    </w:p>
    <w:p w14:paraId="3CFF1C17" w14:textId="77777777" w:rsidR="00AC2B34" w:rsidRPr="0091434E" w:rsidRDefault="00AC2B34" w:rsidP="004A3DF1">
      <w:pPr>
        <w:pStyle w:val="FootnoteText"/>
        <w:jc w:val="both"/>
        <w:rPr>
          <w:rFonts w:asciiTheme="majorHAnsi" w:hAnsiTheme="majorHAnsi"/>
          <w:szCs w:val="16"/>
          <w:lang w:val="es-ES"/>
        </w:rPr>
      </w:pPr>
      <w:r w:rsidRPr="0091434E">
        <w:rPr>
          <w:rFonts w:asciiTheme="majorHAnsi" w:hAnsiTheme="majorHAnsi"/>
          <w:szCs w:val="16"/>
          <w:lang w:val="es-ES"/>
        </w:rPr>
        <w:t>f. derecho de la defensa de interrogar a los testigos presentes en el tribunal y de obtener la comparecencia, como testigos o peritos, de otras personas que puedan arrojar luz sobre los hechos.</w:t>
      </w:r>
    </w:p>
  </w:footnote>
  <w:footnote w:id="100">
    <w:p w14:paraId="21E56C0F" w14:textId="77777777" w:rsidR="00AC2B34" w:rsidRPr="0091434E" w:rsidRDefault="00AC2B34" w:rsidP="004A3DF1">
      <w:pPr>
        <w:pStyle w:val="FootnoteText"/>
        <w:jc w:val="both"/>
        <w:rPr>
          <w:rFonts w:asciiTheme="majorHAnsi" w:hAnsiTheme="majorHAnsi"/>
          <w:szCs w:val="16"/>
          <w:lang w:val="pt-BR"/>
        </w:rPr>
      </w:pPr>
      <w:r w:rsidRPr="0091434E">
        <w:rPr>
          <w:rStyle w:val="FootnoteReference"/>
          <w:rFonts w:asciiTheme="majorHAnsi" w:hAnsiTheme="majorHAnsi"/>
          <w:szCs w:val="16"/>
          <w:lang w:val="es-ES"/>
        </w:rPr>
        <w:footnoteRef/>
      </w:r>
      <w:r w:rsidRPr="0091434E">
        <w:rPr>
          <w:rFonts w:asciiTheme="majorHAnsi" w:hAnsiTheme="majorHAnsi"/>
          <w:szCs w:val="16"/>
          <w:lang w:val="es-ES"/>
        </w:rPr>
        <w:t xml:space="preserve"> Corte IDH. Caso de la Masacre de Pueblo Bello Vs. Colombia. Sentencia de 31 de enero de 2006. </w:t>
      </w:r>
      <w:r w:rsidRPr="0091434E">
        <w:rPr>
          <w:rFonts w:asciiTheme="majorHAnsi" w:hAnsiTheme="majorHAnsi"/>
          <w:szCs w:val="16"/>
          <w:lang w:val="pt-BR"/>
        </w:rPr>
        <w:t>Serie C No. 140, párr. 140.</w:t>
      </w:r>
    </w:p>
  </w:footnote>
  <w:footnote w:id="101">
    <w:p w14:paraId="796F3CC9" w14:textId="77777777" w:rsidR="00AC2B34" w:rsidRPr="0091434E" w:rsidRDefault="00AC2B34" w:rsidP="004A3DF1">
      <w:pPr>
        <w:pStyle w:val="FootnoteText"/>
        <w:jc w:val="both"/>
        <w:rPr>
          <w:rFonts w:asciiTheme="majorHAnsi" w:hAnsiTheme="majorHAnsi"/>
          <w:szCs w:val="16"/>
          <w:lang w:val="es-PE"/>
        </w:rPr>
      </w:pPr>
      <w:r w:rsidRPr="0091434E">
        <w:rPr>
          <w:rStyle w:val="FootnoteReference"/>
          <w:rFonts w:asciiTheme="majorHAnsi" w:hAnsiTheme="majorHAnsi"/>
          <w:szCs w:val="16"/>
        </w:rPr>
        <w:footnoteRef/>
      </w:r>
      <w:r w:rsidRPr="0091434E">
        <w:rPr>
          <w:rFonts w:asciiTheme="majorHAnsi" w:hAnsiTheme="majorHAnsi"/>
          <w:szCs w:val="16"/>
          <w:lang w:val="pt-BR"/>
        </w:rPr>
        <w:t xml:space="preserve"> Corte IDH. Caso Barreto Leiva Vs. </w:t>
      </w:r>
      <w:r w:rsidRPr="0091434E">
        <w:rPr>
          <w:rFonts w:asciiTheme="majorHAnsi" w:hAnsiTheme="majorHAnsi"/>
          <w:szCs w:val="16"/>
          <w:lang w:val="es-PE"/>
        </w:rPr>
        <w:t>Venezuela. Fondo, Reparaciones y Costas. Sentencia de 17 de noviembre de 2009. Serie C No. 206. Párr. 29. Corte IDH. Caso Cabrera García y Montiel Flores Vs. México. Excepción Preliminar, Fondo, Reparaciones y Costas. Sentencia de 26 de noviembre de 2010. Serie C No. 220. Párr. 154.</w:t>
      </w:r>
    </w:p>
  </w:footnote>
  <w:footnote w:id="102">
    <w:p w14:paraId="3B7BD3D8" w14:textId="77777777" w:rsidR="00AC2B34" w:rsidRPr="0091434E" w:rsidRDefault="00AC2B34" w:rsidP="004A3DF1">
      <w:pPr>
        <w:pStyle w:val="FootnoteText"/>
        <w:jc w:val="both"/>
        <w:rPr>
          <w:rFonts w:asciiTheme="majorHAnsi" w:hAnsiTheme="majorHAnsi"/>
          <w:szCs w:val="16"/>
          <w:lang w:val="es-PE"/>
        </w:rPr>
      </w:pPr>
      <w:r w:rsidRPr="0091434E">
        <w:rPr>
          <w:rStyle w:val="FootnoteReference"/>
          <w:rFonts w:asciiTheme="majorHAnsi" w:hAnsiTheme="majorHAnsi"/>
          <w:szCs w:val="16"/>
        </w:rPr>
        <w:footnoteRef/>
      </w:r>
      <w:r w:rsidRPr="0091434E">
        <w:rPr>
          <w:rFonts w:asciiTheme="majorHAnsi" w:hAnsiTheme="majorHAnsi"/>
          <w:szCs w:val="16"/>
          <w:lang w:val="es-PE"/>
        </w:rPr>
        <w:t xml:space="preserve"> Corte IDH. Caso DaCosta Cadogan Vs. Barbados. Excepciones Preliminares, Fondo, Reparaciones y Costas. Sentencia de 24 de septiembre de 2009. Serie C No. 204. Párr. 85.</w:t>
      </w:r>
    </w:p>
  </w:footnote>
  <w:footnote w:id="103">
    <w:p w14:paraId="187AE3CE" w14:textId="77777777" w:rsidR="00AC2B34" w:rsidRPr="0091434E" w:rsidRDefault="00AC2B34" w:rsidP="004A3DF1">
      <w:pPr>
        <w:pStyle w:val="FootnoteText"/>
        <w:jc w:val="both"/>
        <w:rPr>
          <w:rFonts w:asciiTheme="majorHAnsi" w:hAnsiTheme="majorHAnsi"/>
          <w:szCs w:val="16"/>
          <w:lang w:val="es-ES"/>
        </w:rPr>
      </w:pPr>
      <w:r w:rsidRPr="0091434E">
        <w:rPr>
          <w:rStyle w:val="FootnoteReference"/>
          <w:rFonts w:asciiTheme="majorHAnsi" w:hAnsiTheme="majorHAnsi"/>
          <w:szCs w:val="16"/>
        </w:rPr>
        <w:footnoteRef/>
      </w:r>
      <w:r w:rsidRPr="0091434E">
        <w:rPr>
          <w:rFonts w:asciiTheme="majorHAnsi" w:hAnsiTheme="majorHAnsi"/>
          <w:szCs w:val="16"/>
          <w:lang w:val="es-PE"/>
        </w:rPr>
        <w:t xml:space="preserve"> Corte IDH. Caso DaCosta Cadogan Vs. Barbados. Excepciones Preliminares, Fondo, Reparaciones y Costas. Sentencia de 24 de septiembre de 2009. Serie C No. 204. Párr. 87.</w:t>
      </w:r>
    </w:p>
  </w:footnote>
  <w:footnote w:id="104">
    <w:p w14:paraId="3D82239D" w14:textId="77777777" w:rsidR="00AC2B34" w:rsidRPr="0091434E" w:rsidRDefault="00AC2B34" w:rsidP="004A3DF1">
      <w:pPr>
        <w:pStyle w:val="FootnoteText"/>
        <w:jc w:val="both"/>
        <w:rPr>
          <w:rFonts w:asciiTheme="majorHAnsi" w:hAnsiTheme="majorHAnsi"/>
          <w:szCs w:val="16"/>
          <w:lang w:val="es-ES"/>
        </w:rPr>
      </w:pPr>
      <w:r w:rsidRPr="0091434E">
        <w:rPr>
          <w:rStyle w:val="FootnoteReference"/>
          <w:rFonts w:asciiTheme="majorHAnsi" w:hAnsiTheme="majorHAnsi"/>
          <w:szCs w:val="16"/>
        </w:rPr>
        <w:footnoteRef/>
      </w:r>
      <w:r w:rsidRPr="0091434E">
        <w:rPr>
          <w:rFonts w:asciiTheme="majorHAnsi" w:hAnsiTheme="majorHAnsi"/>
          <w:szCs w:val="16"/>
          <w:lang w:val="es-PE"/>
        </w:rPr>
        <w:t xml:space="preserve"> Corte IDH. Caso DaCosta Cadogan Vs. Barbados. Excepciones Preliminares, Fondo, Reparaciones y Costas. Sentencia de 24 de septiembre de 2009. Serie C No. 204. Párr. 88.</w:t>
      </w:r>
    </w:p>
  </w:footnote>
  <w:footnote w:id="105">
    <w:p w14:paraId="5BA09D55" w14:textId="77777777" w:rsidR="00AC2B34" w:rsidRPr="0091434E" w:rsidRDefault="00AC2B34" w:rsidP="00000B9C">
      <w:pPr>
        <w:jc w:val="both"/>
        <w:rPr>
          <w:rFonts w:asciiTheme="majorHAnsi" w:hAnsiTheme="majorHAnsi"/>
          <w:sz w:val="16"/>
          <w:szCs w:val="16"/>
          <w:lang w:val="es-ES"/>
        </w:rPr>
      </w:pPr>
      <w:r w:rsidRPr="0091434E">
        <w:rPr>
          <w:rStyle w:val="FootnoteReference"/>
          <w:rFonts w:asciiTheme="majorHAnsi" w:hAnsiTheme="majorHAnsi"/>
          <w:sz w:val="16"/>
          <w:szCs w:val="16"/>
        </w:rPr>
        <w:footnoteRef/>
      </w:r>
      <w:r w:rsidRPr="0091434E">
        <w:rPr>
          <w:rFonts w:asciiTheme="majorHAnsi" w:hAnsiTheme="majorHAnsi"/>
          <w:sz w:val="16"/>
          <w:szCs w:val="16"/>
          <w:lang w:val="es-ES"/>
        </w:rPr>
        <w:t xml:space="preserve"> CIDH. Informe No. 82/13. Caso 12.679. Fondo. José Agapito Ruano Torres y Familia. El Salvador. 4 de noviembre de 2013, párr. 145. Corte IDH. </w:t>
      </w:r>
      <w:r w:rsidRPr="0091434E">
        <w:rPr>
          <w:rFonts w:asciiTheme="majorHAnsi" w:hAnsiTheme="majorHAnsi"/>
          <w:i/>
          <w:sz w:val="16"/>
          <w:szCs w:val="16"/>
          <w:lang w:val="es-ES"/>
        </w:rPr>
        <w:t xml:space="preserve">Cabrera García y Montiel Flores Vs. México. </w:t>
      </w:r>
      <w:r w:rsidRPr="0091434E">
        <w:rPr>
          <w:rFonts w:asciiTheme="majorHAnsi" w:hAnsiTheme="majorHAnsi"/>
          <w:sz w:val="16"/>
          <w:szCs w:val="16"/>
          <w:lang w:val="es-ES"/>
        </w:rPr>
        <w:t>Excepción Preliminar, Fondo, Reparaciones y Costas. Sentencia de 26 de noviembre de 2010. Serie C No. 220, párr. 155.</w:t>
      </w:r>
    </w:p>
  </w:footnote>
  <w:footnote w:id="106">
    <w:p w14:paraId="3BC0B500" w14:textId="77777777" w:rsidR="00AC2B34" w:rsidRPr="0091434E" w:rsidRDefault="00AC2B34" w:rsidP="00000B9C">
      <w:pPr>
        <w:pStyle w:val="FootnoteText"/>
        <w:jc w:val="both"/>
        <w:rPr>
          <w:rFonts w:asciiTheme="majorHAnsi" w:hAnsiTheme="majorHAnsi"/>
          <w:szCs w:val="16"/>
          <w:lang w:val="es-GT"/>
        </w:rPr>
      </w:pPr>
      <w:r w:rsidRPr="0091434E">
        <w:rPr>
          <w:rStyle w:val="FootnoteReference"/>
          <w:rFonts w:asciiTheme="majorHAnsi" w:hAnsiTheme="majorHAnsi"/>
          <w:szCs w:val="16"/>
        </w:rPr>
        <w:footnoteRef/>
      </w:r>
      <w:r w:rsidRPr="0091434E">
        <w:rPr>
          <w:rFonts w:asciiTheme="majorHAnsi" w:hAnsiTheme="majorHAnsi"/>
          <w:szCs w:val="16"/>
          <w:lang w:val="es-ES"/>
        </w:rPr>
        <w:t xml:space="preserve"> Corte IDH. </w:t>
      </w:r>
      <w:r w:rsidRPr="0091434E">
        <w:rPr>
          <w:rFonts w:asciiTheme="majorHAnsi" w:hAnsiTheme="majorHAnsi"/>
          <w:i/>
          <w:szCs w:val="16"/>
          <w:lang w:val="es-ES"/>
        </w:rPr>
        <w:t xml:space="preserve">Caso Cabrera García y Montiel Flores Vs. México. </w:t>
      </w:r>
      <w:r w:rsidRPr="0091434E">
        <w:rPr>
          <w:rFonts w:asciiTheme="majorHAnsi" w:hAnsiTheme="majorHAnsi"/>
          <w:szCs w:val="16"/>
          <w:lang w:val="es-ES"/>
        </w:rPr>
        <w:t>Excepción Preliminar, Fondo, Reparaciones y Costas. Sentencia de 26 de noviembre de 2010. Serie C No. 220, párr. 155.</w:t>
      </w:r>
    </w:p>
  </w:footnote>
  <w:footnote w:id="107">
    <w:p w14:paraId="6AEC82C9" w14:textId="77777777" w:rsidR="00AC2B34" w:rsidRPr="0091434E" w:rsidRDefault="00AC2B34" w:rsidP="00000B9C">
      <w:pPr>
        <w:pStyle w:val="FootnoteText"/>
        <w:jc w:val="both"/>
        <w:rPr>
          <w:rFonts w:asciiTheme="majorHAnsi" w:hAnsiTheme="majorHAnsi"/>
          <w:szCs w:val="16"/>
          <w:lang w:val="es-GT"/>
        </w:rPr>
      </w:pPr>
      <w:r w:rsidRPr="0091434E">
        <w:rPr>
          <w:rStyle w:val="FootnoteReference"/>
          <w:rFonts w:asciiTheme="majorHAnsi" w:hAnsiTheme="majorHAnsi"/>
          <w:szCs w:val="16"/>
        </w:rPr>
        <w:footnoteRef/>
      </w:r>
      <w:r w:rsidRPr="0091434E">
        <w:rPr>
          <w:rFonts w:asciiTheme="majorHAnsi" w:hAnsiTheme="majorHAnsi"/>
          <w:szCs w:val="16"/>
          <w:lang w:val="es-ES"/>
        </w:rPr>
        <w:t xml:space="preserve"> </w:t>
      </w:r>
      <w:r w:rsidRPr="0091434E">
        <w:rPr>
          <w:rFonts w:asciiTheme="majorHAnsi" w:hAnsiTheme="majorHAnsi"/>
          <w:szCs w:val="16"/>
          <w:lang w:val="es-GT"/>
        </w:rPr>
        <w:t>CIDH. Informe No. 41/04. Caso 12.417. Fondo. Whitley Myrie. Jamaica. 12 de octubre de 2004, párr. 62.</w:t>
      </w:r>
    </w:p>
  </w:footnote>
  <w:footnote w:id="108">
    <w:p w14:paraId="61FB468C" w14:textId="77777777" w:rsidR="00AC2B34" w:rsidRPr="0091434E" w:rsidRDefault="00AC2B34" w:rsidP="00000B9C">
      <w:pPr>
        <w:pStyle w:val="FootnoteText"/>
        <w:jc w:val="both"/>
        <w:rPr>
          <w:rFonts w:asciiTheme="majorHAnsi" w:hAnsiTheme="majorHAnsi"/>
          <w:szCs w:val="16"/>
          <w:lang w:val="es-ES"/>
        </w:rPr>
      </w:pPr>
      <w:r w:rsidRPr="0091434E">
        <w:rPr>
          <w:rStyle w:val="FootnoteReference"/>
          <w:rFonts w:asciiTheme="majorHAnsi" w:hAnsiTheme="majorHAnsi"/>
          <w:szCs w:val="16"/>
        </w:rPr>
        <w:footnoteRef/>
      </w:r>
      <w:r w:rsidRPr="0091434E">
        <w:rPr>
          <w:rFonts w:asciiTheme="majorHAnsi" w:hAnsiTheme="majorHAnsi"/>
          <w:szCs w:val="16"/>
          <w:lang w:val="es-ES"/>
        </w:rPr>
        <w:t xml:space="preserve"> </w:t>
      </w:r>
      <w:r w:rsidRPr="0091434E">
        <w:rPr>
          <w:rFonts w:asciiTheme="majorHAnsi" w:hAnsiTheme="majorHAnsi"/>
          <w:szCs w:val="16"/>
          <w:lang w:val="es-GT"/>
        </w:rPr>
        <w:t>CIDH. Informe No. 41/04. Caso 12.417. Fondo. Whitley Myrie. Jamaica. 12 de octubre de 2004, párr. 62.</w:t>
      </w:r>
    </w:p>
  </w:footnote>
  <w:footnote w:id="109">
    <w:p w14:paraId="7FCE5B7F" w14:textId="77777777" w:rsidR="00AC2B34" w:rsidRPr="0091434E" w:rsidRDefault="00AC2B34" w:rsidP="00000B9C">
      <w:pPr>
        <w:pStyle w:val="FootnoteText"/>
        <w:jc w:val="both"/>
        <w:rPr>
          <w:rFonts w:asciiTheme="majorHAnsi" w:hAnsiTheme="majorHAnsi"/>
          <w:szCs w:val="16"/>
          <w:lang w:val="es-ES"/>
        </w:rPr>
      </w:pPr>
      <w:r w:rsidRPr="0091434E">
        <w:rPr>
          <w:rStyle w:val="FootnoteReference"/>
          <w:rFonts w:asciiTheme="majorHAnsi" w:hAnsiTheme="majorHAnsi"/>
          <w:szCs w:val="16"/>
        </w:rPr>
        <w:footnoteRef/>
      </w:r>
      <w:r w:rsidRPr="0091434E">
        <w:rPr>
          <w:rFonts w:asciiTheme="majorHAnsi" w:hAnsiTheme="majorHAnsi"/>
          <w:szCs w:val="16"/>
          <w:lang w:val="es-ES"/>
        </w:rPr>
        <w:t xml:space="preserve"> Corte IDH. </w:t>
      </w:r>
      <w:r w:rsidRPr="0091434E">
        <w:rPr>
          <w:rFonts w:asciiTheme="majorHAnsi" w:hAnsiTheme="majorHAnsi"/>
          <w:i/>
          <w:szCs w:val="16"/>
          <w:lang w:val="es-ES"/>
        </w:rPr>
        <w:t xml:space="preserve">Caso Ruano Torres y Otros Vs. El Salvador. </w:t>
      </w:r>
      <w:r w:rsidRPr="0091434E">
        <w:rPr>
          <w:rFonts w:asciiTheme="majorHAnsi" w:hAnsiTheme="majorHAnsi"/>
          <w:szCs w:val="16"/>
          <w:lang w:val="es-ES"/>
        </w:rPr>
        <w:t>Fondo, Reparaciones y Costas. Sentencia de 5 de octubre de 2015. Serie C No. 303, párr. 157.</w:t>
      </w:r>
    </w:p>
  </w:footnote>
  <w:footnote w:id="110">
    <w:p w14:paraId="2A9913E5" w14:textId="77777777" w:rsidR="00AC2B34" w:rsidRPr="0091434E" w:rsidRDefault="00AC2B34" w:rsidP="00000B9C">
      <w:pPr>
        <w:pStyle w:val="FootnoteText"/>
        <w:jc w:val="both"/>
        <w:rPr>
          <w:rFonts w:asciiTheme="majorHAnsi" w:hAnsiTheme="majorHAnsi"/>
          <w:szCs w:val="16"/>
          <w:lang w:val="es-ES"/>
        </w:rPr>
      </w:pPr>
      <w:r w:rsidRPr="0091434E">
        <w:rPr>
          <w:rStyle w:val="FootnoteReference"/>
          <w:rFonts w:asciiTheme="majorHAnsi" w:hAnsiTheme="majorHAnsi"/>
          <w:szCs w:val="16"/>
        </w:rPr>
        <w:footnoteRef/>
      </w:r>
      <w:r w:rsidRPr="0091434E">
        <w:rPr>
          <w:rFonts w:asciiTheme="majorHAnsi" w:hAnsiTheme="majorHAnsi"/>
          <w:szCs w:val="16"/>
          <w:lang w:val="es-ES"/>
        </w:rPr>
        <w:t xml:space="preserve"> Corte IDH. </w:t>
      </w:r>
      <w:r w:rsidRPr="0091434E">
        <w:rPr>
          <w:rFonts w:asciiTheme="majorHAnsi" w:hAnsiTheme="majorHAnsi"/>
          <w:i/>
          <w:szCs w:val="16"/>
          <w:lang w:val="es-ES"/>
        </w:rPr>
        <w:t xml:space="preserve">Caso Ruano Torres y Otros Vs. El Salvador. </w:t>
      </w:r>
      <w:r w:rsidRPr="0091434E">
        <w:rPr>
          <w:rFonts w:asciiTheme="majorHAnsi" w:hAnsiTheme="majorHAnsi"/>
          <w:szCs w:val="16"/>
          <w:lang w:val="es-ES"/>
        </w:rPr>
        <w:t>Fondo, Reparaciones y Costas. Sentencia de 5 de octubre de 2015. Serie C No. 303, párr. 164.</w:t>
      </w:r>
    </w:p>
  </w:footnote>
  <w:footnote w:id="111">
    <w:p w14:paraId="449D0657" w14:textId="77777777" w:rsidR="00AC2B34" w:rsidRPr="0091434E" w:rsidRDefault="00AC2B34" w:rsidP="004A3DF1">
      <w:pPr>
        <w:pStyle w:val="FootnoteText"/>
        <w:jc w:val="both"/>
        <w:rPr>
          <w:rFonts w:asciiTheme="majorHAnsi" w:hAnsiTheme="majorHAnsi"/>
          <w:szCs w:val="16"/>
          <w:lang w:val="es-ES"/>
        </w:rPr>
      </w:pPr>
      <w:r w:rsidRPr="0091434E">
        <w:rPr>
          <w:rStyle w:val="FootnoteReference"/>
          <w:rFonts w:asciiTheme="majorHAnsi" w:hAnsiTheme="majorHAnsi"/>
          <w:szCs w:val="16"/>
          <w:lang w:val="es-ES"/>
        </w:rPr>
        <w:footnoteRef/>
      </w:r>
      <w:r w:rsidRPr="0091434E">
        <w:rPr>
          <w:rFonts w:asciiTheme="majorHAnsi" w:hAnsiTheme="majorHAnsi"/>
          <w:szCs w:val="16"/>
          <w:lang w:val="es-419"/>
        </w:rPr>
        <w:t xml:space="preserve"> Corte IDH. </w:t>
      </w:r>
      <w:r w:rsidRPr="0091434E">
        <w:rPr>
          <w:rFonts w:asciiTheme="majorHAnsi" w:hAnsiTheme="majorHAnsi"/>
          <w:szCs w:val="16"/>
          <w:lang w:val="es-ES"/>
        </w:rPr>
        <w:t>Caso Wong Ho Wing Vs. Perú. Excepción Preliminar, Fondo, Reparaciones y Costas. Sentencia de 30 de junio de 2015. Serie C No. 297. Párr. 210.</w:t>
      </w:r>
    </w:p>
  </w:footnote>
  <w:footnote w:id="112">
    <w:p w14:paraId="57091C4F" w14:textId="77777777" w:rsidR="00AC2B34" w:rsidRPr="0091434E" w:rsidRDefault="00AC2B34" w:rsidP="004A3DF1">
      <w:pPr>
        <w:pStyle w:val="FootnoteText"/>
        <w:jc w:val="both"/>
        <w:rPr>
          <w:rFonts w:asciiTheme="majorHAnsi" w:hAnsiTheme="majorHAnsi"/>
          <w:szCs w:val="16"/>
          <w:lang w:val="es-ES"/>
        </w:rPr>
      </w:pPr>
      <w:r w:rsidRPr="0091434E">
        <w:rPr>
          <w:rStyle w:val="FootnoteReference"/>
          <w:rFonts w:asciiTheme="majorHAnsi" w:hAnsiTheme="majorHAnsi"/>
          <w:szCs w:val="16"/>
          <w:lang w:val="es-ES"/>
        </w:rPr>
        <w:footnoteRef/>
      </w:r>
      <w:r w:rsidRPr="0091434E">
        <w:rPr>
          <w:rFonts w:asciiTheme="majorHAnsi" w:hAnsiTheme="majorHAnsi"/>
          <w:szCs w:val="16"/>
          <w:lang w:val="es-ES"/>
        </w:rPr>
        <w:t xml:space="preserve"> Corte IDH. Caso Wong Ho Wing Vs. Perú. Excepción Preliminar, Fondo, Reparaciones y Costas. Sentencia de 30 de junio de 2015. Serie C No. 297. Párr. 221; Corte IDH. Caso Vélez Loor Vs. Panamá. Excepciones Preliminares, Fondo, Reparaciones y Costas. Sentencia de 23 de noviembre de 2010. Serie C No. 218. Párr. 107.</w:t>
      </w:r>
    </w:p>
  </w:footnote>
  <w:footnote w:id="113">
    <w:p w14:paraId="4B1A2200" w14:textId="77777777" w:rsidR="0077301B" w:rsidRPr="0091434E" w:rsidRDefault="0077301B" w:rsidP="0077301B">
      <w:pPr>
        <w:pStyle w:val="FootnoteText"/>
        <w:contextualSpacing/>
        <w:jc w:val="both"/>
        <w:rPr>
          <w:rFonts w:asciiTheme="majorHAnsi" w:hAnsiTheme="majorHAnsi"/>
          <w:szCs w:val="16"/>
          <w:lang w:val="es-ES"/>
        </w:rPr>
      </w:pPr>
      <w:r w:rsidRPr="0091434E">
        <w:rPr>
          <w:rStyle w:val="FootnoteReference"/>
          <w:rFonts w:asciiTheme="majorHAnsi" w:hAnsiTheme="majorHAnsi"/>
          <w:szCs w:val="16"/>
          <w:lang w:val="es-ES"/>
        </w:rPr>
        <w:footnoteRef/>
      </w:r>
      <w:r w:rsidRPr="0091434E">
        <w:rPr>
          <w:rFonts w:asciiTheme="majorHAnsi" w:hAnsiTheme="majorHAnsi"/>
          <w:szCs w:val="16"/>
          <w:lang w:val="es-ES"/>
        </w:rPr>
        <w:t xml:space="preserve"> CIDH. Principales estándares y recomendaciones en materia de violencia y discriminación contra mujeres, niñas y adolescentes. Anexo 1. Violencia y discriminación contra mujeres, niñas y adolescentes: Buenas prácticas y desafíos en América Latina y en el Caribe. 2019, párr. 6</w:t>
      </w:r>
    </w:p>
  </w:footnote>
  <w:footnote w:id="114">
    <w:p w14:paraId="449748AB" w14:textId="77777777" w:rsidR="0077301B" w:rsidRPr="0091434E" w:rsidRDefault="0077301B" w:rsidP="0077301B">
      <w:pPr>
        <w:jc w:val="both"/>
        <w:rPr>
          <w:rFonts w:asciiTheme="majorHAnsi" w:eastAsiaTheme="majorEastAsia" w:hAnsiTheme="majorHAnsi" w:cstheme="majorBidi"/>
          <w:sz w:val="16"/>
          <w:szCs w:val="16"/>
          <w:lang w:val="es-ES"/>
        </w:rPr>
      </w:pPr>
      <w:r w:rsidRPr="0091434E">
        <w:rPr>
          <w:rFonts w:asciiTheme="majorHAnsi" w:hAnsiTheme="majorHAnsi"/>
          <w:sz w:val="16"/>
          <w:szCs w:val="16"/>
          <w:vertAlign w:val="superscript"/>
        </w:rPr>
        <w:footnoteRef/>
      </w:r>
      <w:r w:rsidRPr="0091434E">
        <w:rPr>
          <w:rFonts w:asciiTheme="majorHAnsi" w:hAnsiTheme="majorHAnsi"/>
          <w:sz w:val="16"/>
          <w:szCs w:val="16"/>
          <w:vertAlign w:val="superscript"/>
          <w:lang w:val="es-ES"/>
        </w:rPr>
        <w:t xml:space="preserve"> </w:t>
      </w:r>
      <w:r w:rsidRPr="0091434E">
        <w:rPr>
          <w:rFonts w:asciiTheme="majorHAnsi" w:eastAsiaTheme="majorEastAsia" w:hAnsiTheme="majorHAnsi" w:cstheme="majorBidi"/>
          <w:sz w:val="16"/>
          <w:szCs w:val="16"/>
          <w:lang w:val="es-ES"/>
        </w:rPr>
        <w:t xml:space="preserve">CIDH. Informe </w:t>
      </w:r>
      <w:r w:rsidRPr="0091434E">
        <w:rPr>
          <w:rFonts w:asciiTheme="majorHAnsi" w:eastAsiaTheme="majorEastAsia" w:hAnsiTheme="majorHAnsi" w:cstheme="majorBidi"/>
          <w:i/>
          <w:iCs/>
          <w:sz w:val="16"/>
          <w:szCs w:val="16"/>
          <w:lang w:val="es-ES"/>
        </w:rPr>
        <w:t>”Acceso a Servicios de Salud Materna desde una perspectiva de Derechos Humanos”. 7 de junio 2010. Doc 69</w:t>
      </w:r>
      <w:r w:rsidRPr="0091434E">
        <w:rPr>
          <w:rFonts w:asciiTheme="majorHAnsi" w:eastAsiaTheme="majorEastAsia" w:hAnsiTheme="majorHAnsi" w:cstheme="majorBidi"/>
          <w:sz w:val="16"/>
          <w:szCs w:val="16"/>
          <w:lang w:val="es-ES"/>
        </w:rPr>
        <w:t xml:space="preserve">, </w:t>
      </w:r>
    </w:p>
  </w:footnote>
  <w:footnote w:id="115">
    <w:p w14:paraId="7ACBACD2" w14:textId="22C68582" w:rsidR="0077301B" w:rsidRPr="0091434E" w:rsidRDefault="0077301B" w:rsidP="0077301B">
      <w:pPr>
        <w:pStyle w:val="FootnoteText"/>
        <w:jc w:val="both"/>
        <w:rPr>
          <w:rFonts w:asciiTheme="majorHAnsi" w:hAnsiTheme="majorHAnsi"/>
          <w:szCs w:val="16"/>
          <w:lang w:val="es-ES"/>
        </w:rPr>
      </w:pPr>
      <w:r w:rsidRPr="0091434E">
        <w:rPr>
          <w:rStyle w:val="FootnoteReference"/>
          <w:rFonts w:asciiTheme="majorHAnsi" w:hAnsiTheme="majorHAnsi"/>
          <w:szCs w:val="16"/>
        </w:rPr>
        <w:footnoteRef/>
      </w:r>
      <w:r w:rsidRPr="0091434E">
        <w:rPr>
          <w:rFonts w:asciiTheme="majorHAnsi" w:hAnsiTheme="majorHAnsi"/>
          <w:szCs w:val="16"/>
          <w:lang w:val="es-AR"/>
        </w:rPr>
        <w:t>Naciones Unidas, Comité para la Eliminación de la Discriminación contra la Mujer, Recomendación General No. 24, La Mujer y la Salud</w:t>
      </w:r>
      <w:r w:rsidR="00D1288B" w:rsidRPr="0091434E">
        <w:rPr>
          <w:rFonts w:asciiTheme="majorHAnsi" w:hAnsiTheme="majorHAnsi"/>
          <w:szCs w:val="16"/>
          <w:lang w:val="es-AR"/>
        </w:rPr>
        <w:t xml:space="preserve">. Naciones Unidas, Comité de Derechos Económicos, Sociales y Culturales, Observación General No. 14, E/C.12/2000/4, 11 de agosto de 2000, párrs. 14 y 21; Naciones Unidas, Comité para la Eliminación de la Discriminación contra la Mujer, Recomendación General No. 24, La Mujer y la Salud, párr. 27. Ver también </w:t>
      </w:r>
      <w:r w:rsidR="00D1288B" w:rsidRPr="0091434E">
        <w:rPr>
          <w:rFonts w:asciiTheme="majorHAnsi" w:hAnsiTheme="majorHAnsi"/>
          <w:szCs w:val="16"/>
          <w:lang w:val="es-419"/>
        </w:rPr>
        <w:t>ONU. Comité del Niño. Observaciones al Estado de Palestina. CRC/C/PSE/CO/1 (CRC 2020), parr. 51 y Comité CEDAW. Observaciones al Estado de Etiopía. CEDAW/C/ETH/CO/6-7 (CEDAW 2011).</w:t>
      </w:r>
    </w:p>
  </w:footnote>
  <w:footnote w:id="116">
    <w:p w14:paraId="79696051" w14:textId="77777777" w:rsidR="00AC2B34" w:rsidRPr="0091434E" w:rsidRDefault="00AC2B34" w:rsidP="00EE66B7">
      <w:pPr>
        <w:pStyle w:val="FootnoteText"/>
        <w:jc w:val="both"/>
        <w:rPr>
          <w:rFonts w:asciiTheme="majorHAnsi" w:hAnsiTheme="majorHAnsi"/>
          <w:szCs w:val="16"/>
          <w:lang w:val="es-ES_tradnl"/>
        </w:rPr>
      </w:pPr>
      <w:r w:rsidRPr="0091434E">
        <w:rPr>
          <w:rStyle w:val="FootnoteReference"/>
          <w:rFonts w:asciiTheme="majorHAnsi" w:hAnsiTheme="majorHAnsi"/>
          <w:szCs w:val="16"/>
          <w:lang w:val="es-ES_tradnl"/>
        </w:rPr>
        <w:footnoteRef/>
      </w:r>
      <w:r w:rsidRPr="0091434E">
        <w:rPr>
          <w:rFonts w:asciiTheme="majorHAnsi" w:hAnsiTheme="majorHAnsi"/>
          <w:szCs w:val="16"/>
          <w:lang w:val="es-ES_tradnl"/>
        </w:rPr>
        <w:t xml:space="preserve"> El artículo 5 de la Convención Americana establece, en lo pertinente, lo siguiente: “</w:t>
      </w:r>
      <w:r w:rsidRPr="0091434E">
        <w:rPr>
          <w:rFonts w:asciiTheme="majorHAnsi" w:hAnsiTheme="majorHAnsi" w:cs="Verdana"/>
          <w:szCs w:val="16"/>
          <w:lang w:val="es-ES_tradnl" w:bidi="en-US"/>
        </w:rPr>
        <w:t>1. Toda persona tiene derecho a que se respete su integridad física, psíquica y moral.</w:t>
      </w:r>
    </w:p>
    <w:p w14:paraId="5AA10DF8" w14:textId="77777777" w:rsidR="00AC2B34" w:rsidRPr="0091434E" w:rsidRDefault="00AC2B34" w:rsidP="00EE66B7">
      <w:pPr>
        <w:pStyle w:val="FootnoteText"/>
        <w:jc w:val="both"/>
        <w:rPr>
          <w:rFonts w:asciiTheme="majorHAnsi" w:hAnsiTheme="majorHAnsi" w:cs="Verdana"/>
          <w:szCs w:val="16"/>
          <w:lang w:val="es-ES_tradnl" w:bidi="en-US"/>
        </w:rPr>
      </w:pPr>
      <w:r w:rsidRPr="0091434E">
        <w:rPr>
          <w:rFonts w:asciiTheme="majorHAnsi" w:hAnsiTheme="majorHAnsi" w:cs="Verdana"/>
          <w:szCs w:val="16"/>
          <w:lang w:val="es-ES_tradnl" w:bidi="en-US"/>
        </w:rPr>
        <w:t>2. Nadie debe ser sometido a torturas ni a penas o tratos crueles, inhumanos o degradantes. Toda persona privada de libertad será tratada con el respeto debido a la dignidad inherente al ser humano. (…)</w:t>
      </w:r>
    </w:p>
    <w:p w14:paraId="6FA1B763" w14:textId="77777777" w:rsidR="00AC2B34" w:rsidRPr="0091434E" w:rsidRDefault="00AC2B34" w:rsidP="00EE66B7">
      <w:pPr>
        <w:pStyle w:val="FootnoteText"/>
        <w:jc w:val="both"/>
        <w:rPr>
          <w:rFonts w:asciiTheme="majorHAnsi" w:hAnsiTheme="majorHAnsi" w:cs="Verdana"/>
          <w:szCs w:val="16"/>
          <w:lang w:val="es-ES_tradnl" w:bidi="en-US"/>
        </w:rPr>
      </w:pPr>
      <w:r w:rsidRPr="0091434E">
        <w:rPr>
          <w:rFonts w:asciiTheme="majorHAnsi" w:hAnsiTheme="majorHAnsi" w:cs="Verdana"/>
          <w:szCs w:val="16"/>
          <w:lang w:val="es-ES_tradnl" w:bidi="en-US"/>
        </w:rPr>
        <w:t>4. Los procesados deben estar separados de los condenados, salvo en circunstancias excepcionales, y serán sometidos a un tratamiento adecuado a su condición de personas no condenadas”.</w:t>
      </w:r>
    </w:p>
  </w:footnote>
  <w:footnote w:id="117">
    <w:p w14:paraId="2A053811" w14:textId="7B91F3D5" w:rsidR="00AC2B34" w:rsidRPr="0091434E" w:rsidRDefault="00AC2B34" w:rsidP="00EE66B7">
      <w:pPr>
        <w:pStyle w:val="FootnoteText"/>
        <w:jc w:val="both"/>
        <w:rPr>
          <w:rFonts w:asciiTheme="majorHAnsi" w:hAnsiTheme="majorHAnsi"/>
          <w:szCs w:val="16"/>
          <w:lang w:val="es-ES"/>
        </w:rPr>
      </w:pPr>
      <w:r w:rsidRPr="0091434E">
        <w:rPr>
          <w:rStyle w:val="FootnoteReference"/>
          <w:rFonts w:asciiTheme="majorHAnsi" w:hAnsiTheme="majorHAnsi"/>
          <w:szCs w:val="16"/>
        </w:rPr>
        <w:footnoteRef/>
      </w:r>
      <w:r w:rsidRPr="0091434E">
        <w:rPr>
          <w:rFonts w:asciiTheme="majorHAnsi" w:hAnsiTheme="majorHAnsi"/>
          <w:szCs w:val="16"/>
          <w:lang w:val="es-PE"/>
        </w:rPr>
        <w:t xml:space="preserve"> </w:t>
      </w:r>
      <w:r w:rsidRPr="0091434E">
        <w:rPr>
          <w:rFonts w:asciiTheme="majorHAnsi" w:hAnsiTheme="majorHAnsi"/>
          <w:szCs w:val="16"/>
          <w:lang w:val="es-ES_tradnl"/>
        </w:rPr>
        <w:t>El artículo 8.1 de la Convención Americana establece lo siguiente: “1. Toda persona tiene derecho a ser oída, con las debidas garantías y dentro de un plazo razonable, por un juez o tribunal competente, independiente e imparcial, establecido con anterioridad por la ley, en la sustentación de cualquier acusación penal formulada contra ella, o para la determinación de sus derechos y obligaciones de orden civil, laboral, fiscal o de cualquier otro carácter”.</w:t>
      </w:r>
    </w:p>
  </w:footnote>
  <w:footnote w:id="118">
    <w:p w14:paraId="2544BB9E" w14:textId="77777777" w:rsidR="00AC2B34" w:rsidRPr="0091434E" w:rsidRDefault="00AC2B34" w:rsidP="00EE66B7">
      <w:pPr>
        <w:pStyle w:val="FootnoteText"/>
        <w:jc w:val="both"/>
        <w:rPr>
          <w:rFonts w:asciiTheme="majorHAnsi" w:hAnsiTheme="majorHAnsi"/>
          <w:szCs w:val="16"/>
          <w:lang w:val="es-ES"/>
        </w:rPr>
      </w:pPr>
      <w:r w:rsidRPr="0091434E">
        <w:rPr>
          <w:rStyle w:val="FootnoteReference"/>
          <w:rFonts w:asciiTheme="majorHAnsi" w:hAnsiTheme="majorHAnsi"/>
          <w:szCs w:val="16"/>
        </w:rPr>
        <w:footnoteRef/>
      </w:r>
      <w:r w:rsidRPr="0091434E">
        <w:rPr>
          <w:rFonts w:asciiTheme="majorHAnsi" w:hAnsiTheme="majorHAnsi"/>
          <w:szCs w:val="16"/>
          <w:lang w:val="es-PE"/>
        </w:rPr>
        <w:t xml:space="preserve"> </w:t>
      </w:r>
      <w:r w:rsidRPr="0091434E">
        <w:rPr>
          <w:rFonts w:asciiTheme="majorHAnsi" w:hAnsiTheme="majorHAnsi"/>
          <w:szCs w:val="16"/>
          <w:lang w:val="es-ES_tradnl"/>
        </w:rPr>
        <w:t>El artículo 11 de la Convención Americana establece, en lo pertinente, lo siguiente: “2. Nadie puede ser objeto de injerencias arbitrarias o abusivas en su vida privada, en la de su familia, en su domicilio o en su correspondencia, ni de ataques ilegales a su honra o reputación”.</w:t>
      </w:r>
    </w:p>
  </w:footnote>
  <w:footnote w:id="119">
    <w:p w14:paraId="58DE7543" w14:textId="77777777" w:rsidR="00AC2B34" w:rsidRPr="0091434E" w:rsidRDefault="00AC2B34" w:rsidP="00EE66B7">
      <w:pPr>
        <w:pStyle w:val="FootnoteText"/>
        <w:jc w:val="both"/>
        <w:rPr>
          <w:rFonts w:asciiTheme="majorHAnsi" w:hAnsiTheme="majorHAnsi"/>
          <w:szCs w:val="16"/>
          <w:lang w:val="es-ES"/>
        </w:rPr>
      </w:pPr>
      <w:r w:rsidRPr="0091434E">
        <w:rPr>
          <w:rStyle w:val="FootnoteReference"/>
          <w:rFonts w:asciiTheme="majorHAnsi" w:hAnsiTheme="majorHAnsi"/>
          <w:szCs w:val="16"/>
        </w:rPr>
        <w:footnoteRef/>
      </w:r>
      <w:r w:rsidRPr="0091434E">
        <w:rPr>
          <w:rFonts w:asciiTheme="majorHAnsi" w:hAnsiTheme="majorHAnsi"/>
          <w:szCs w:val="16"/>
          <w:lang w:val="es-PE"/>
        </w:rPr>
        <w:t xml:space="preserve"> </w:t>
      </w:r>
      <w:r w:rsidRPr="0091434E">
        <w:rPr>
          <w:rFonts w:asciiTheme="majorHAnsi" w:hAnsiTheme="majorHAnsi"/>
          <w:szCs w:val="16"/>
          <w:lang w:val="es-ES_tradnl"/>
        </w:rPr>
        <w:t>El artículo 24 de la Convención Americana establece lo siguiente: “Todas las personas son iguales ante la ley. En consecuencia, tienen derecho, sin discriminación, a igual protección ante la ley”.</w:t>
      </w:r>
    </w:p>
  </w:footnote>
  <w:footnote w:id="120">
    <w:p w14:paraId="69457583" w14:textId="77777777" w:rsidR="00AC2B34" w:rsidRPr="0091434E" w:rsidRDefault="00AC2B34" w:rsidP="00EE66B7">
      <w:pPr>
        <w:pStyle w:val="FootnoteText"/>
        <w:jc w:val="both"/>
        <w:rPr>
          <w:rFonts w:asciiTheme="majorHAnsi" w:hAnsiTheme="majorHAnsi"/>
          <w:szCs w:val="16"/>
          <w:lang w:val="es-ES"/>
        </w:rPr>
      </w:pPr>
      <w:r w:rsidRPr="0091434E">
        <w:rPr>
          <w:rStyle w:val="FootnoteReference"/>
          <w:rFonts w:asciiTheme="majorHAnsi" w:hAnsiTheme="majorHAnsi"/>
          <w:szCs w:val="16"/>
        </w:rPr>
        <w:footnoteRef/>
      </w:r>
      <w:r w:rsidRPr="0091434E">
        <w:rPr>
          <w:rFonts w:asciiTheme="majorHAnsi" w:hAnsiTheme="majorHAnsi"/>
          <w:szCs w:val="16"/>
          <w:lang w:val="es-PE"/>
        </w:rPr>
        <w:t xml:space="preserve"> </w:t>
      </w:r>
      <w:r w:rsidRPr="0091434E">
        <w:rPr>
          <w:rFonts w:asciiTheme="majorHAnsi" w:hAnsiTheme="majorHAnsi"/>
          <w:szCs w:val="16"/>
          <w:lang w:val="es-ES_tradnl"/>
        </w:rPr>
        <w:t>El artículo 25.1 de la Convención Americana establece lo siguiente: “Toda persona tiene derecho a un recurso sencillo y rápido o a cualquier otro recurso efectivo ante los jueces o tribunales competentes, que la ampare contra actos que violen sus derechos fundamentales reconocidos por la Constitución, la ley o la presente Convención, aun cuando tal violación sea cometida por personas que actúen en ejercicio de sus funciones oficiales”.</w:t>
      </w:r>
    </w:p>
  </w:footnote>
  <w:footnote w:id="121">
    <w:p w14:paraId="28BA0B31" w14:textId="77777777" w:rsidR="00AC2B34" w:rsidRPr="0091434E" w:rsidRDefault="00AC2B34" w:rsidP="00EE66B7">
      <w:pPr>
        <w:shd w:val="clear" w:color="auto" w:fill="FFFFFF"/>
        <w:tabs>
          <w:tab w:val="num" w:pos="720"/>
          <w:tab w:val="left" w:pos="1440"/>
          <w:tab w:val="num" w:pos="2040"/>
        </w:tabs>
        <w:jc w:val="both"/>
        <w:rPr>
          <w:rFonts w:asciiTheme="majorHAnsi" w:hAnsiTheme="majorHAnsi"/>
          <w:sz w:val="16"/>
          <w:szCs w:val="16"/>
          <w:lang w:val="es-ES_tradnl"/>
        </w:rPr>
      </w:pPr>
      <w:r w:rsidRPr="0091434E">
        <w:rPr>
          <w:rStyle w:val="FootnoteReference"/>
          <w:rFonts w:asciiTheme="majorHAnsi" w:hAnsiTheme="majorHAnsi"/>
          <w:sz w:val="16"/>
          <w:szCs w:val="16"/>
          <w:lang w:val="es-ES_tradnl"/>
        </w:rPr>
        <w:footnoteRef/>
      </w:r>
      <w:r w:rsidRPr="0091434E">
        <w:rPr>
          <w:rFonts w:asciiTheme="majorHAnsi" w:hAnsiTheme="majorHAnsi"/>
          <w:sz w:val="16"/>
          <w:szCs w:val="16"/>
          <w:lang w:val="es-ES_tradnl"/>
        </w:rPr>
        <w:t xml:space="preserve"> El artículo 1.1 de la Convención Americana establece lo siguiente: “</w:t>
      </w:r>
      <w:r w:rsidRPr="0091434E">
        <w:rPr>
          <w:rFonts w:asciiTheme="majorHAnsi" w:hAnsiTheme="majorHAnsi" w:cs="Verdana"/>
          <w:sz w:val="16"/>
          <w:szCs w:val="16"/>
          <w:lang w:val="es-ES_tradnl" w:bidi="en-US"/>
        </w:rPr>
        <w:t>1. Los Estados Partes en esta Convención se comprometen a respetar los derechos y libertades reconocidos en ella y a garantizar su libre y pleno ejercicio a toda persona que esté sujeta a su jurisdicción, sin discriminación alguna por motivos de raza, color, sexo, idioma, religión, opiniones políticas o de cualquier otra índole, origen nacional o social, posición económica, nacimiento o cualquier otra condición social.”</w:t>
      </w:r>
    </w:p>
  </w:footnote>
  <w:footnote w:id="122">
    <w:p w14:paraId="044C2029" w14:textId="77777777" w:rsidR="00AC2B34" w:rsidRPr="0091434E" w:rsidRDefault="00AC2B34" w:rsidP="00EE66B7">
      <w:pPr>
        <w:pStyle w:val="FootnoteText"/>
        <w:jc w:val="both"/>
        <w:rPr>
          <w:rFonts w:asciiTheme="majorHAnsi" w:hAnsiTheme="majorHAnsi"/>
          <w:szCs w:val="16"/>
          <w:lang w:val="es-PE"/>
        </w:rPr>
      </w:pPr>
      <w:r w:rsidRPr="0091434E">
        <w:rPr>
          <w:rStyle w:val="FootnoteReference"/>
          <w:rFonts w:asciiTheme="majorHAnsi" w:hAnsiTheme="majorHAnsi"/>
          <w:szCs w:val="16"/>
        </w:rPr>
        <w:footnoteRef/>
      </w:r>
      <w:r w:rsidRPr="0091434E">
        <w:rPr>
          <w:rFonts w:asciiTheme="majorHAnsi" w:hAnsiTheme="majorHAnsi"/>
          <w:szCs w:val="16"/>
          <w:lang w:val="es-PE"/>
        </w:rPr>
        <w:t xml:space="preserve"> El artículo 1 de la CIPST establece lo siguiente: “Los Estados partes se obligan a prevenir y sancionar la tortura en los términos de la presente Convención”</w:t>
      </w:r>
    </w:p>
  </w:footnote>
  <w:footnote w:id="123">
    <w:p w14:paraId="777A71B3" w14:textId="77777777" w:rsidR="00AC2B34" w:rsidRPr="0091434E" w:rsidRDefault="00AC2B34" w:rsidP="00EE66B7">
      <w:pPr>
        <w:pStyle w:val="FootnoteText"/>
        <w:jc w:val="both"/>
        <w:rPr>
          <w:rFonts w:asciiTheme="majorHAnsi" w:hAnsiTheme="majorHAnsi"/>
          <w:szCs w:val="16"/>
          <w:lang w:val="es-PE"/>
        </w:rPr>
      </w:pPr>
      <w:r w:rsidRPr="0091434E">
        <w:rPr>
          <w:rStyle w:val="FootnoteReference"/>
          <w:rFonts w:asciiTheme="majorHAnsi" w:hAnsiTheme="majorHAnsi"/>
          <w:szCs w:val="16"/>
        </w:rPr>
        <w:footnoteRef/>
      </w:r>
      <w:r w:rsidRPr="0091434E">
        <w:rPr>
          <w:rFonts w:asciiTheme="majorHAnsi" w:hAnsiTheme="majorHAnsi"/>
          <w:szCs w:val="16"/>
          <w:lang w:val="es-PE"/>
        </w:rPr>
        <w:t xml:space="preserve"> El artículo 6 de la CIPST establece lo siguiente: “De conformidad con lo dispuesto en el artículo 1, los Estados partes tomarán medidas efectivas para prevenir y sancionar la tortura en el ámbito de su jurisdicción.</w:t>
      </w:r>
    </w:p>
    <w:p w14:paraId="2F68D1B2" w14:textId="77777777" w:rsidR="00AC2B34" w:rsidRPr="0091434E" w:rsidRDefault="00AC2B34" w:rsidP="00EE66B7">
      <w:pPr>
        <w:pStyle w:val="FootnoteText"/>
        <w:jc w:val="both"/>
        <w:rPr>
          <w:rFonts w:asciiTheme="majorHAnsi" w:hAnsiTheme="majorHAnsi"/>
          <w:szCs w:val="16"/>
          <w:lang w:val="es-PE"/>
        </w:rPr>
      </w:pPr>
      <w:r w:rsidRPr="0091434E">
        <w:rPr>
          <w:rFonts w:asciiTheme="majorHAnsi" w:hAnsiTheme="majorHAnsi"/>
          <w:szCs w:val="16"/>
          <w:lang w:val="es-PE"/>
        </w:rPr>
        <w:t>Los Estados partes se asegurarán de que todos los actos de tortura y los intentos de cometer tales actos constituyan delitos conforme a su derecho penal, estableciendo para castigarlos sanciones severas que tengan en cuenta su gravedad.</w:t>
      </w:r>
    </w:p>
    <w:p w14:paraId="63416245" w14:textId="77777777" w:rsidR="00AC2B34" w:rsidRPr="0091434E" w:rsidRDefault="00AC2B34" w:rsidP="00EE66B7">
      <w:pPr>
        <w:pStyle w:val="FootnoteText"/>
        <w:jc w:val="both"/>
        <w:rPr>
          <w:rFonts w:asciiTheme="majorHAnsi" w:hAnsiTheme="majorHAnsi"/>
          <w:szCs w:val="16"/>
          <w:lang w:val="es-ES"/>
        </w:rPr>
      </w:pPr>
      <w:r w:rsidRPr="0091434E">
        <w:rPr>
          <w:rFonts w:asciiTheme="majorHAnsi" w:hAnsiTheme="majorHAnsi"/>
          <w:szCs w:val="16"/>
          <w:lang w:val="es-PE"/>
        </w:rPr>
        <w:t>Igualmente, los Estados partes tomarán medidas efectivas para prevenir y sancionar, además, otros tratos o penas crueles, inhumanos o degradantes en el ámbito de su jurisdicción”.</w:t>
      </w:r>
    </w:p>
  </w:footnote>
  <w:footnote w:id="124">
    <w:p w14:paraId="5E63CB47" w14:textId="77777777" w:rsidR="00AC2B34" w:rsidRPr="0091434E" w:rsidRDefault="00AC2B34" w:rsidP="00EE66B7">
      <w:pPr>
        <w:pStyle w:val="FootnoteText"/>
        <w:jc w:val="both"/>
        <w:rPr>
          <w:rFonts w:asciiTheme="majorHAnsi" w:hAnsiTheme="majorHAnsi"/>
          <w:szCs w:val="16"/>
          <w:lang w:val="es-PE"/>
        </w:rPr>
      </w:pPr>
      <w:r w:rsidRPr="0091434E">
        <w:rPr>
          <w:rStyle w:val="FootnoteReference"/>
          <w:rFonts w:asciiTheme="majorHAnsi" w:hAnsiTheme="majorHAnsi"/>
          <w:szCs w:val="16"/>
        </w:rPr>
        <w:footnoteRef/>
      </w:r>
      <w:r w:rsidRPr="0091434E">
        <w:rPr>
          <w:rFonts w:asciiTheme="majorHAnsi" w:hAnsiTheme="majorHAnsi"/>
          <w:szCs w:val="16"/>
          <w:lang w:val="es-PE"/>
        </w:rPr>
        <w:t xml:space="preserve"> El artículo 8 de la CIPST establece lo siguiente: “Los Estados partes garantizarán a toda persona que denuncie haber sido sometida a tortura en el ámbito de su jurisdicción el derecho a que el caso sea examinado imparcialmente.</w:t>
      </w:r>
    </w:p>
    <w:p w14:paraId="357A574F" w14:textId="77777777" w:rsidR="00AC2B34" w:rsidRPr="0091434E" w:rsidRDefault="00AC2B34" w:rsidP="00EE66B7">
      <w:pPr>
        <w:pStyle w:val="FootnoteText"/>
        <w:jc w:val="both"/>
        <w:rPr>
          <w:rFonts w:asciiTheme="majorHAnsi" w:hAnsiTheme="majorHAnsi"/>
          <w:szCs w:val="16"/>
          <w:lang w:val="es-PE"/>
        </w:rPr>
      </w:pPr>
      <w:r w:rsidRPr="0091434E">
        <w:rPr>
          <w:rFonts w:asciiTheme="majorHAnsi" w:hAnsiTheme="majorHAnsi"/>
          <w:szCs w:val="16"/>
          <w:lang w:val="es-PE"/>
        </w:rPr>
        <w:t>Asimismo, cuando exista denuncia o razón fundada para creer que se ha cometido un acto de tortura en el ámbito de su jurisdicción, los Estados partes garantizarán que sus respectivas autoridades procederán de oficio y de inmediato a realizar una investigación sobre el caso y a iniciar, cuando corresponda, el respectivo proceso penal.</w:t>
      </w:r>
    </w:p>
    <w:p w14:paraId="3174367C" w14:textId="77777777" w:rsidR="00AC2B34" w:rsidRPr="0091434E" w:rsidRDefault="00AC2B34" w:rsidP="00EE66B7">
      <w:pPr>
        <w:pStyle w:val="FootnoteText"/>
        <w:jc w:val="both"/>
        <w:rPr>
          <w:rFonts w:asciiTheme="majorHAnsi" w:hAnsiTheme="majorHAnsi"/>
          <w:szCs w:val="16"/>
          <w:lang w:val="es-ES"/>
        </w:rPr>
      </w:pPr>
      <w:r w:rsidRPr="0091434E">
        <w:rPr>
          <w:rFonts w:asciiTheme="majorHAnsi" w:hAnsiTheme="majorHAnsi"/>
          <w:szCs w:val="16"/>
          <w:lang w:val="es-PE"/>
        </w:rPr>
        <w:t>Una vez agotado el ordenamiento jurídico interno del respectivo Estado y los recursos que éste prevé, el caso podrá ser sometido a instancias internacionales cuya competencia haya sido aceptada por ese Estado”.</w:t>
      </w:r>
    </w:p>
  </w:footnote>
  <w:footnote w:id="125">
    <w:p w14:paraId="525B0325" w14:textId="77777777" w:rsidR="00AC2B34" w:rsidRPr="0091434E" w:rsidRDefault="00AC2B34" w:rsidP="00EE66B7">
      <w:pPr>
        <w:pStyle w:val="FootnoteText"/>
        <w:jc w:val="both"/>
        <w:rPr>
          <w:rFonts w:asciiTheme="majorHAnsi" w:hAnsiTheme="majorHAnsi"/>
          <w:szCs w:val="16"/>
          <w:lang w:val="es-PE"/>
        </w:rPr>
      </w:pPr>
      <w:r w:rsidRPr="0091434E">
        <w:rPr>
          <w:rStyle w:val="FootnoteReference"/>
          <w:rFonts w:asciiTheme="majorHAnsi" w:hAnsiTheme="majorHAnsi"/>
          <w:szCs w:val="16"/>
        </w:rPr>
        <w:footnoteRef/>
      </w:r>
      <w:r w:rsidRPr="0091434E">
        <w:rPr>
          <w:rFonts w:asciiTheme="majorHAnsi" w:hAnsiTheme="majorHAnsi"/>
          <w:szCs w:val="16"/>
          <w:lang w:val="es-PE"/>
        </w:rPr>
        <w:t xml:space="preserve"> El artículo 7 de la Convención de Belém do Pará establece, en lo pertinente, lo siguiente: “Los Estados Partes condenan todas las formas de violencia contra la mujer y convienen en adoptar, por tods los medios apropiados y sin dilaciones, políticas orientadas a prevenir, sancionar y erradicar dicha violencia y en llevar a cabo lo siguiente:</w:t>
      </w:r>
    </w:p>
    <w:p w14:paraId="089482F4" w14:textId="77777777" w:rsidR="00AC2B34" w:rsidRPr="0091434E" w:rsidRDefault="00AC2B34" w:rsidP="00EE66B7">
      <w:pPr>
        <w:pStyle w:val="FootnoteText"/>
        <w:jc w:val="both"/>
        <w:rPr>
          <w:rFonts w:asciiTheme="majorHAnsi" w:hAnsiTheme="majorHAnsi"/>
          <w:szCs w:val="16"/>
          <w:lang w:val="es-PE"/>
        </w:rPr>
      </w:pPr>
      <w:r w:rsidRPr="0091434E">
        <w:rPr>
          <w:rFonts w:asciiTheme="majorHAnsi" w:hAnsiTheme="majorHAnsi"/>
          <w:szCs w:val="16"/>
          <w:lang w:val="es-PE"/>
        </w:rPr>
        <w:t>b. actuar con la debida diligencia para prevenir, investigar y sancionar la violencia contra la mujer”.</w:t>
      </w:r>
    </w:p>
  </w:footnote>
  <w:footnote w:id="126">
    <w:p w14:paraId="44707C51" w14:textId="77777777" w:rsidR="00AC2B34" w:rsidRPr="0091434E" w:rsidRDefault="00AC2B34" w:rsidP="00EE66B7">
      <w:pPr>
        <w:pStyle w:val="FootnoteText"/>
        <w:jc w:val="both"/>
        <w:rPr>
          <w:rFonts w:asciiTheme="majorHAnsi" w:hAnsiTheme="majorHAnsi"/>
          <w:szCs w:val="16"/>
          <w:lang w:val="es-ES_tradnl"/>
        </w:rPr>
      </w:pPr>
      <w:r w:rsidRPr="0091434E">
        <w:rPr>
          <w:rStyle w:val="FootnoteReference"/>
          <w:rFonts w:asciiTheme="majorHAnsi" w:hAnsiTheme="majorHAnsi"/>
          <w:szCs w:val="16"/>
          <w:lang w:val="es-ES_tradnl"/>
        </w:rPr>
        <w:footnoteRef/>
      </w:r>
      <w:r w:rsidRPr="0091434E">
        <w:rPr>
          <w:rFonts w:asciiTheme="majorHAnsi" w:hAnsiTheme="majorHAnsi"/>
          <w:szCs w:val="16"/>
          <w:lang w:val="es-ES_tradnl"/>
        </w:rPr>
        <w:t xml:space="preserve"> Corte IDH. Caso Montero Aranguren y otros (Retén de Catia) Vs. Venezuela. Excepción Preliminar, Fondo, Reparaciones y Costas. Sentencia de 5 de julio de 2006. Serie C No. 150. Párr. 85; CIDH, Informe sobre los derechos humanos de las personas privadas de libertad en las Américas, 31 de diciembre de 2011, OEA/Ser.L/V/II. Doc.64, párr. 49; Corte IDH. Caso Bulacio Vs. Argentina. Fondo, Reparaciones y Costas. Sentencia de 18 de septiembre de 2003. Serie C No. 100. Párr. 138.</w:t>
      </w:r>
    </w:p>
  </w:footnote>
  <w:footnote w:id="127">
    <w:p w14:paraId="2A5E19AD" w14:textId="77777777" w:rsidR="00AC2B34" w:rsidRPr="0091434E" w:rsidRDefault="00AC2B34" w:rsidP="00EE66B7">
      <w:pPr>
        <w:pStyle w:val="FootnoteText"/>
        <w:jc w:val="both"/>
        <w:rPr>
          <w:rFonts w:asciiTheme="majorHAnsi" w:hAnsiTheme="majorHAnsi"/>
          <w:szCs w:val="16"/>
          <w:lang w:val="es-ES_tradnl"/>
        </w:rPr>
      </w:pPr>
      <w:r w:rsidRPr="0091434E">
        <w:rPr>
          <w:rStyle w:val="FootnoteReference"/>
          <w:rFonts w:asciiTheme="majorHAnsi" w:hAnsiTheme="majorHAnsi"/>
          <w:szCs w:val="16"/>
          <w:lang w:val="es-ES_tradnl"/>
        </w:rPr>
        <w:footnoteRef/>
      </w:r>
      <w:r w:rsidRPr="0091434E">
        <w:rPr>
          <w:rFonts w:asciiTheme="majorHAnsi" w:hAnsiTheme="majorHAnsi"/>
          <w:szCs w:val="16"/>
          <w:lang w:val="es-ES_tradnl"/>
        </w:rPr>
        <w:t xml:space="preserve"> Corte IDH. Caso Manuela y otros Vs. El Salvador. Excepciones preliminares, Fondo, Reparaciones y Costas. Sentencia de 2 de noviembre de 2021. Serie C No. 441. Párr. 181.</w:t>
      </w:r>
    </w:p>
  </w:footnote>
  <w:footnote w:id="128">
    <w:p w14:paraId="770BCB0D" w14:textId="77777777" w:rsidR="00AC2B34" w:rsidRPr="0091434E" w:rsidRDefault="00AC2B34" w:rsidP="00EE66B7">
      <w:pPr>
        <w:pStyle w:val="FootnoteText"/>
        <w:jc w:val="both"/>
        <w:rPr>
          <w:rFonts w:asciiTheme="majorHAnsi" w:hAnsiTheme="majorHAnsi"/>
          <w:szCs w:val="16"/>
          <w:lang w:val="es-ES_tradnl"/>
        </w:rPr>
      </w:pPr>
      <w:r w:rsidRPr="0091434E">
        <w:rPr>
          <w:rStyle w:val="FootnoteReference"/>
          <w:rFonts w:asciiTheme="majorHAnsi" w:hAnsiTheme="majorHAnsi"/>
          <w:szCs w:val="16"/>
          <w:lang w:val="es-ES_tradnl"/>
        </w:rPr>
        <w:footnoteRef/>
      </w:r>
      <w:r w:rsidRPr="0091434E">
        <w:rPr>
          <w:rFonts w:asciiTheme="majorHAnsi" w:hAnsiTheme="majorHAnsi"/>
          <w:szCs w:val="16"/>
          <w:lang w:val="es-ES_tradnl"/>
        </w:rPr>
        <w:t xml:space="preserve"> Corte IDH. Caso de la Masacre de Pueblo Bello Vs. Colombia. Sentencia de 31 de enero de 2006. Serie C No. 140. Párr. 119.</w:t>
      </w:r>
    </w:p>
  </w:footnote>
  <w:footnote w:id="129">
    <w:p w14:paraId="1A799D53" w14:textId="77777777" w:rsidR="00AC2B34" w:rsidRPr="0091434E" w:rsidRDefault="00AC2B34" w:rsidP="00EE66B7">
      <w:pPr>
        <w:pStyle w:val="FootnoteText"/>
        <w:jc w:val="both"/>
        <w:rPr>
          <w:rFonts w:asciiTheme="majorHAnsi" w:hAnsiTheme="majorHAnsi"/>
          <w:szCs w:val="16"/>
          <w:lang w:val="es-ES_tradnl"/>
        </w:rPr>
      </w:pPr>
      <w:r w:rsidRPr="0091434E">
        <w:rPr>
          <w:rStyle w:val="FootnoteReference"/>
          <w:rFonts w:asciiTheme="majorHAnsi" w:hAnsiTheme="majorHAnsi"/>
          <w:szCs w:val="16"/>
          <w:lang w:val="es-ES_tradnl"/>
        </w:rPr>
        <w:footnoteRef/>
      </w:r>
      <w:r w:rsidRPr="0091434E">
        <w:rPr>
          <w:rFonts w:asciiTheme="majorHAnsi" w:hAnsiTheme="majorHAnsi"/>
          <w:szCs w:val="16"/>
          <w:lang w:val="es-ES_tradnl"/>
        </w:rPr>
        <w:t xml:space="preserve"> CIDH, Informe No. 41/15, Casos 12.335, 12.336, 12.757, 12.711, Informe de Fondo, Gustavo Giraldo Villamizar Durán y Otros, 28 de julio de 2015, párr.60. Corte IDH. Caso Vicky Hernández y otras Vs. Honduras. Fondo, Reparaciones y Costas. Sentencia de 26 de marzo de 2021. Serie C No. 422. Párr. 86; Corte IDH. Caso Norín Catrimán y otros (Dirigentes, Miembros y Activista del Pueblo Indígena Mapuche) Vs. Chile. Fondo, Reparaciones y Costas. Sentencia de 29 de mayo de 2014. Serie C No. 279. Párr. 388. </w:t>
      </w:r>
    </w:p>
  </w:footnote>
  <w:footnote w:id="130">
    <w:p w14:paraId="46952656" w14:textId="77777777" w:rsidR="00AC2B34" w:rsidRPr="0091434E" w:rsidRDefault="00AC2B34" w:rsidP="00EE66B7">
      <w:pPr>
        <w:pStyle w:val="FootnoteText"/>
        <w:jc w:val="both"/>
        <w:rPr>
          <w:rFonts w:asciiTheme="majorHAnsi" w:hAnsiTheme="majorHAnsi"/>
          <w:szCs w:val="16"/>
          <w:lang w:val="es-ES_tradnl"/>
        </w:rPr>
      </w:pPr>
      <w:r w:rsidRPr="0091434E">
        <w:rPr>
          <w:rStyle w:val="FootnoteReference"/>
          <w:rFonts w:asciiTheme="majorHAnsi" w:hAnsiTheme="majorHAnsi"/>
          <w:szCs w:val="16"/>
          <w:lang w:val="es-ES_tradnl"/>
        </w:rPr>
        <w:footnoteRef/>
      </w:r>
      <w:r w:rsidRPr="0091434E">
        <w:rPr>
          <w:rFonts w:asciiTheme="majorHAnsi" w:hAnsiTheme="majorHAnsi"/>
          <w:szCs w:val="16"/>
          <w:lang w:val="es-ES_tradnl"/>
        </w:rPr>
        <w:t xml:space="preserve"> CIDH, Demanda en el caso de Víctor Jesús Montero Aranguren y otros (Retén de Catia), Caso 11.699, Venezuela, 24 de febrero de 2005, párr. 172; Corte IDH. Caso Mendoza y otros Vs. Argentina. Excepciones Preliminares, Fondo y Reparaciones. Sentencia de 14 de mayo de 2013. Serie C No. 260. Párr. 188.</w:t>
      </w:r>
    </w:p>
  </w:footnote>
  <w:footnote w:id="131">
    <w:p w14:paraId="62EC7906" w14:textId="77777777" w:rsidR="00AC2B34" w:rsidRPr="0091434E" w:rsidRDefault="00AC2B34" w:rsidP="00EE66B7">
      <w:pPr>
        <w:pStyle w:val="FootnoteText"/>
        <w:jc w:val="both"/>
        <w:rPr>
          <w:rFonts w:asciiTheme="majorHAnsi" w:hAnsiTheme="majorHAnsi"/>
          <w:szCs w:val="16"/>
          <w:lang w:val="es-ES_tradnl"/>
        </w:rPr>
      </w:pPr>
      <w:r w:rsidRPr="0091434E">
        <w:rPr>
          <w:rStyle w:val="FootnoteReference"/>
          <w:rFonts w:asciiTheme="majorHAnsi" w:hAnsiTheme="majorHAnsi"/>
          <w:szCs w:val="16"/>
          <w:lang w:val="es-ES_tradnl"/>
        </w:rPr>
        <w:footnoteRef/>
      </w:r>
      <w:r w:rsidRPr="0091434E">
        <w:rPr>
          <w:rFonts w:asciiTheme="majorHAnsi" w:hAnsiTheme="majorHAnsi"/>
          <w:szCs w:val="16"/>
          <w:lang w:val="es-ES_tradnl"/>
        </w:rPr>
        <w:t xml:space="preserve"> Corte IDH. Caso Montero Aranguren y otros (Retén de Catia) Vs. Venezuela. Excepción Preliminar, Fondo, Reparaciones y Costas. Sentencia de 5 de julio de 2006. Serie C No. 150. Párr. 87.</w:t>
      </w:r>
    </w:p>
  </w:footnote>
  <w:footnote w:id="132">
    <w:p w14:paraId="24EBB578" w14:textId="77777777" w:rsidR="00AC2B34" w:rsidRPr="0091434E" w:rsidRDefault="00AC2B34" w:rsidP="00EE66B7">
      <w:pPr>
        <w:pStyle w:val="FootnoteText"/>
        <w:jc w:val="both"/>
        <w:rPr>
          <w:rFonts w:asciiTheme="majorHAnsi" w:hAnsiTheme="majorHAnsi"/>
          <w:szCs w:val="16"/>
          <w:lang w:val="es-ES_tradnl"/>
        </w:rPr>
      </w:pPr>
      <w:r w:rsidRPr="0091434E">
        <w:rPr>
          <w:rStyle w:val="FootnoteReference"/>
          <w:rFonts w:asciiTheme="majorHAnsi" w:hAnsiTheme="majorHAnsi"/>
          <w:szCs w:val="16"/>
          <w:lang w:val="es-ES_tradnl"/>
        </w:rPr>
        <w:footnoteRef/>
      </w:r>
      <w:r w:rsidRPr="0091434E">
        <w:rPr>
          <w:rFonts w:asciiTheme="majorHAnsi" w:hAnsiTheme="majorHAnsi"/>
          <w:szCs w:val="16"/>
          <w:lang w:val="es-ES_tradnl"/>
        </w:rPr>
        <w:t xml:space="preserve"> Corte IDH. Caso Neira Alegría y otros Vs. Perú. Fondo. Sentencia de 19 de enero de 1995. Serie C No. 20. Párr. 60.</w:t>
      </w:r>
    </w:p>
  </w:footnote>
  <w:footnote w:id="133">
    <w:p w14:paraId="019D91B7" w14:textId="77777777" w:rsidR="00AC2B34" w:rsidRPr="0091434E" w:rsidRDefault="00AC2B34" w:rsidP="00EE66B7">
      <w:pPr>
        <w:pStyle w:val="FootnoteText"/>
        <w:jc w:val="both"/>
        <w:rPr>
          <w:rFonts w:asciiTheme="majorHAnsi" w:hAnsiTheme="majorHAnsi"/>
          <w:szCs w:val="16"/>
          <w:lang w:val="es-ES_tradnl"/>
        </w:rPr>
      </w:pPr>
      <w:r w:rsidRPr="0091434E">
        <w:rPr>
          <w:rStyle w:val="FootnoteReference"/>
          <w:rFonts w:asciiTheme="majorHAnsi" w:hAnsiTheme="majorHAnsi"/>
          <w:szCs w:val="16"/>
          <w:lang w:val="es-ES_tradnl"/>
        </w:rPr>
        <w:footnoteRef/>
      </w:r>
      <w:r w:rsidRPr="0091434E">
        <w:rPr>
          <w:rFonts w:asciiTheme="majorHAnsi" w:hAnsiTheme="majorHAnsi"/>
          <w:szCs w:val="16"/>
          <w:lang w:val="es-ES_tradnl"/>
        </w:rPr>
        <w:t xml:space="preserve"> Corte IDH. Caso "Instituto de Reeducación del Menor" Vs. Paraguay. Excepciones Preliminares, Fondo, Reparaciones y Costas. Sentencia de 2 de septiembre de 2004. Serie C No. 112. Párr. 152 y 153. Corte IDH. Caso Chaparro Álvarez y Lapo Íñiguez. Vs. Ecuador. Excepciones Preliminares, Fondo, Reparaciones y Costas. Sentencia de 21 de noviembre de 2007. Serie C No. 170. Párr. 170.</w:t>
      </w:r>
    </w:p>
  </w:footnote>
  <w:footnote w:id="134">
    <w:p w14:paraId="14EBDA26" w14:textId="77777777" w:rsidR="00AC2B34" w:rsidRPr="0091434E" w:rsidRDefault="00AC2B34" w:rsidP="00EE66B7">
      <w:pPr>
        <w:pStyle w:val="FootnoteText"/>
        <w:jc w:val="both"/>
        <w:rPr>
          <w:rFonts w:asciiTheme="majorHAnsi" w:hAnsiTheme="majorHAnsi"/>
          <w:szCs w:val="16"/>
          <w:lang w:val="es-PE"/>
        </w:rPr>
      </w:pPr>
      <w:r w:rsidRPr="0091434E">
        <w:rPr>
          <w:rStyle w:val="FootnoteReference"/>
          <w:rFonts w:asciiTheme="majorHAnsi" w:hAnsiTheme="majorHAnsi"/>
          <w:szCs w:val="16"/>
        </w:rPr>
        <w:footnoteRef/>
      </w:r>
      <w:r w:rsidRPr="0091434E">
        <w:rPr>
          <w:rFonts w:asciiTheme="majorHAnsi" w:hAnsiTheme="majorHAnsi"/>
          <w:szCs w:val="16"/>
          <w:lang w:val="es-PE"/>
        </w:rPr>
        <w:t xml:space="preserve"> </w:t>
      </w:r>
      <w:r w:rsidRPr="0091434E">
        <w:rPr>
          <w:rFonts w:asciiTheme="majorHAnsi" w:hAnsiTheme="majorHAnsi"/>
          <w:szCs w:val="16"/>
          <w:lang w:val="es-ES_tradnl"/>
        </w:rPr>
        <w:t>Corte IDH. Caso Montero Aranguren y otros (Retén de Catia) Vs. Venezuela. Excepción Preliminar, Fondo, Reparaciones y Costas. Sentencia de 5 de julio de 2006. Serie C No. 150. Párr. 85</w:t>
      </w:r>
    </w:p>
  </w:footnote>
  <w:footnote w:id="135">
    <w:p w14:paraId="371C8DEB" w14:textId="77777777" w:rsidR="00AC2B34" w:rsidRPr="0091434E" w:rsidRDefault="00AC2B34" w:rsidP="00EE66B7">
      <w:pPr>
        <w:pStyle w:val="FootnoteText"/>
        <w:jc w:val="both"/>
        <w:rPr>
          <w:rFonts w:asciiTheme="majorHAnsi" w:hAnsiTheme="majorHAnsi"/>
          <w:szCs w:val="16"/>
          <w:lang w:val="es-ES"/>
        </w:rPr>
      </w:pPr>
      <w:r w:rsidRPr="0091434E">
        <w:rPr>
          <w:rStyle w:val="FootnoteReference"/>
          <w:rFonts w:asciiTheme="majorHAnsi" w:hAnsiTheme="majorHAnsi"/>
          <w:szCs w:val="16"/>
        </w:rPr>
        <w:footnoteRef/>
      </w:r>
      <w:r w:rsidRPr="0091434E">
        <w:rPr>
          <w:rFonts w:asciiTheme="majorHAnsi" w:hAnsiTheme="majorHAnsi"/>
          <w:szCs w:val="16"/>
          <w:lang w:val="es-PE"/>
        </w:rPr>
        <w:t xml:space="preserve"> </w:t>
      </w:r>
      <w:r w:rsidRPr="0091434E">
        <w:rPr>
          <w:rFonts w:asciiTheme="majorHAnsi" w:hAnsiTheme="majorHAnsi"/>
          <w:szCs w:val="16"/>
          <w:lang w:val="es-ES"/>
        </w:rPr>
        <w:t xml:space="preserve">CIDH, Informe No. 117/18, Caso 12.829, Informe de Fondo, Olimpiades Gonzáles y Otros, Venezuela, 5 de octubre de 2018, párr. 91. </w:t>
      </w:r>
    </w:p>
  </w:footnote>
  <w:footnote w:id="136">
    <w:p w14:paraId="5D7D327E" w14:textId="77777777" w:rsidR="00AC2B34" w:rsidRPr="0091434E" w:rsidRDefault="00AC2B34" w:rsidP="00EE66B7">
      <w:pPr>
        <w:pStyle w:val="FootnoteText"/>
        <w:jc w:val="both"/>
        <w:rPr>
          <w:rFonts w:asciiTheme="majorHAnsi" w:hAnsiTheme="majorHAnsi"/>
          <w:szCs w:val="16"/>
          <w:lang w:val="es-ES_tradnl"/>
        </w:rPr>
      </w:pPr>
      <w:r w:rsidRPr="0091434E">
        <w:rPr>
          <w:rStyle w:val="FootnoteReference"/>
          <w:rFonts w:asciiTheme="majorHAnsi" w:hAnsiTheme="majorHAnsi"/>
          <w:szCs w:val="16"/>
          <w:lang w:val="es-ES_tradnl"/>
        </w:rPr>
        <w:footnoteRef/>
      </w:r>
      <w:r w:rsidRPr="0091434E">
        <w:rPr>
          <w:rFonts w:asciiTheme="majorHAnsi" w:hAnsiTheme="majorHAnsi"/>
          <w:szCs w:val="16"/>
          <w:lang w:val="es-ES_tradnl"/>
        </w:rPr>
        <w:t xml:space="preserve"> Corte IDH. Caso Fleury y otros Vs. Haití. Fondo y Reparaciones. Sentencia de 23 de noviembre de 2011. Serie C No. 236. Párr. 85 y 86. Corte IDH. Caso Pacheco Teruel y otros Vs. Honduras. Fondo, Reparaciones y Costas. Sentencia de 27 de abril de 2012. Serie C No. 241. Párr. 67.</w:t>
      </w:r>
    </w:p>
  </w:footnote>
  <w:footnote w:id="137">
    <w:p w14:paraId="27070443" w14:textId="77777777" w:rsidR="00AC2B34" w:rsidRPr="0091434E" w:rsidRDefault="00AC2B34" w:rsidP="00EE66B7">
      <w:pPr>
        <w:pStyle w:val="FootnoteText"/>
        <w:jc w:val="both"/>
        <w:rPr>
          <w:rFonts w:asciiTheme="majorHAnsi" w:hAnsiTheme="majorHAnsi"/>
          <w:szCs w:val="16"/>
          <w:lang w:val="es-ES"/>
        </w:rPr>
      </w:pPr>
      <w:r w:rsidRPr="0091434E">
        <w:rPr>
          <w:rStyle w:val="FootnoteReference"/>
          <w:rFonts w:asciiTheme="majorHAnsi" w:hAnsiTheme="majorHAnsi"/>
          <w:szCs w:val="16"/>
        </w:rPr>
        <w:footnoteRef/>
      </w:r>
      <w:r w:rsidRPr="0091434E">
        <w:rPr>
          <w:rFonts w:asciiTheme="majorHAnsi" w:hAnsiTheme="majorHAnsi"/>
          <w:szCs w:val="16"/>
          <w:lang w:val="es-PE"/>
        </w:rPr>
        <w:t xml:space="preserve"> Corte IDH. Caso Hernández Vs. Argentina. Excepción Preliminar, Fondo, Reparaciones y Costas. Sentencia de 22 de noviembre de 2019. Serie C No. 395. Párr. 57.</w:t>
      </w:r>
    </w:p>
  </w:footnote>
  <w:footnote w:id="138">
    <w:p w14:paraId="533B34D0" w14:textId="77777777" w:rsidR="00AC2B34" w:rsidRPr="0091434E" w:rsidRDefault="00AC2B34" w:rsidP="00EE66B7">
      <w:pPr>
        <w:pStyle w:val="FootnoteText"/>
        <w:jc w:val="both"/>
        <w:rPr>
          <w:rFonts w:asciiTheme="majorHAnsi" w:hAnsiTheme="majorHAnsi"/>
          <w:szCs w:val="16"/>
          <w:lang w:val="es-PE"/>
        </w:rPr>
      </w:pPr>
      <w:r w:rsidRPr="0091434E">
        <w:rPr>
          <w:rStyle w:val="FootnoteReference"/>
          <w:rFonts w:asciiTheme="majorHAnsi" w:hAnsiTheme="majorHAnsi"/>
          <w:szCs w:val="16"/>
        </w:rPr>
        <w:footnoteRef/>
      </w:r>
      <w:r w:rsidRPr="0091434E">
        <w:rPr>
          <w:rFonts w:asciiTheme="majorHAnsi" w:hAnsiTheme="majorHAnsi"/>
          <w:szCs w:val="16"/>
          <w:lang w:val="es-PE"/>
        </w:rPr>
        <w:t xml:space="preserve"> Organización de las Naciones Unidas. Reglas mínimas para el tratamiento de los reclusos. 13 de mayo de 1977. Regla No. 8.</w:t>
      </w:r>
    </w:p>
  </w:footnote>
  <w:footnote w:id="139">
    <w:p w14:paraId="2165EB6D" w14:textId="77777777" w:rsidR="00AC2B34" w:rsidRPr="0091434E" w:rsidRDefault="00AC2B34" w:rsidP="00EE66B7">
      <w:pPr>
        <w:pStyle w:val="FootnoteText"/>
        <w:jc w:val="both"/>
        <w:rPr>
          <w:rFonts w:asciiTheme="majorHAnsi" w:hAnsiTheme="majorHAnsi"/>
          <w:szCs w:val="16"/>
          <w:lang w:val="es-ES"/>
        </w:rPr>
      </w:pPr>
      <w:r w:rsidRPr="0091434E">
        <w:rPr>
          <w:rStyle w:val="FootnoteReference"/>
          <w:rFonts w:asciiTheme="majorHAnsi" w:hAnsiTheme="majorHAnsi"/>
          <w:szCs w:val="16"/>
        </w:rPr>
        <w:footnoteRef/>
      </w:r>
      <w:r w:rsidRPr="0091434E">
        <w:rPr>
          <w:rFonts w:asciiTheme="majorHAnsi" w:hAnsiTheme="majorHAnsi"/>
          <w:szCs w:val="16"/>
          <w:lang w:val="es-PE"/>
        </w:rPr>
        <w:t xml:space="preserve"> </w:t>
      </w:r>
      <w:r w:rsidRPr="0091434E">
        <w:rPr>
          <w:rFonts w:asciiTheme="majorHAnsi" w:hAnsiTheme="majorHAnsi"/>
          <w:szCs w:val="16"/>
          <w:lang w:val="es-ES"/>
        </w:rPr>
        <w:t>CIDH, Principios y Buenas Prácticas sobre la Protección de los Derechos de las Personas Privadas de Libertad en las Américas, 131 Periodo Ordinario de Sesiones, 2008.</w:t>
      </w:r>
    </w:p>
  </w:footnote>
  <w:footnote w:id="140">
    <w:p w14:paraId="5E058299" w14:textId="77777777" w:rsidR="00AC2B34" w:rsidRPr="0091434E" w:rsidRDefault="00AC2B34" w:rsidP="00EE66B7">
      <w:pPr>
        <w:pStyle w:val="FootnoteText"/>
        <w:jc w:val="both"/>
        <w:rPr>
          <w:rFonts w:asciiTheme="majorHAnsi" w:hAnsiTheme="majorHAnsi"/>
          <w:szCs w:val="16"/>
          <w:lang w:val="es-ES"/>
        </w:rPr>
      </w:pPr>
      <w:r w:rsidRPr="0091434E">
        <w:rPr>
          <w:rStyle w:val="FootnoteReference"/>
          <w:rFonts w:asciiTheme="majorHAnsi" w:hAnsiTheme="majorHAnsi"/>
          <w:szCs w:val="16"/>
        </w:rPr>
        <w:footnoteRef/>
      </w:r>
      <w:r w:rsidRPr="0091434E">
        <w:rPr>
          <w:rFonts w:asciiTheme="majorHAnsi" w:hAnsiTheme="majorHAnsi"/>
          <w:szCs w:val="16"/>
          <w:lang w:val="es-PE"/>
        </w:rPr>
        <w:t xml:space="preserve"> </w:t>
      </w:r>
      <w:r w:rsidRPr="0091434E">
        <w:rPr>
          <w:rFonts w:asciiTheme="majorHAnsi" w:hAnsiTheme="majorHAnsi"/>
          <w:szCs w:val="16"/>
          <w:lang w:val="es-ES"/>
        </w:rPr>
        <w:t>CIDH, Principios y Buenas Prácticas sobre la Protección de los Derechos de las Personas Privadas de Libertad en las Américas, 131 Periodo Ordinario de Sesiones, 2008. Principios X, XII, XVII, XIX.</w:t>
      </w:r>
    </w:p>
  </w:footnote>
  <w:footnote w:id="141">
    <w:p w14:paraId="147004CC" w14:textId="77777777" w:rsidR="00AC2B34" w:rsidRPr="0091434E" w:rsidRDefault="00AC2B34" w:rsidP="00EE66B7">
      <w:pPr>
        <w:pStyle w:val="FootnoteText"/>
        <w:jc w:val="both"/>
        <w:rPr>
          <w:rFonts w:asciiTheme="majorHAnsi" w:hAnsiTheme="majorHAnsi"/>
          <w:szCs w:val="16"/>
          <w:lang w:val="es-ES"/>
        </w:rPr>
      </w:pPr>
      <w:r w:rsidRPr="0091434E">
        <w:rPr>
          <w:rStyle w:val="FootnoteReference"/>
          <w:rFonts w:asciiTheme="majorHAnsi" w:hAnsiTheme="majorHAnsi"/>
          <w:szCs w:val="16"/>
        </w:rPr>
        <w:footnoteRef/>
      </w:r>
      <w:r w:rsidRPr="0091434E">
        <w:rPr>
          <w:rFonts w:asciiTheme="majorHAnsi" w:hAnsiTheme="majorHAnsi"/>
          <w:szCs w:val="16"/>
          <w:lang w:val="es-PE"/>
        </w:rPr>
        <w:t xml:space="preserve"> </w:t>
      </w:r>
      <w:r w:rsidRPr="0091434E">
        <w:rPr>
          <w:rFonts w:asciiTheme="majorHAnsi" w:hAnsiTheme="majorHAnsi"/>
          <w:szCs w:val="16"/>
          <w:lang w:val="es-ES_tradnl"/>
        </w:rPr>
        <w:t>Corte IDH. Caso Montero Aranguren y otros (Retén de Catia) Vs. Venezuela. Excepción Preliminar, Fondo, Reparaciones y Costas. Sentencia de 5 de julio de 2006. Serie C No. 150. Párr. 91.</w:t>
      </w:r>
    </w:p>
  </w:footnote>
  <w:footnote w:id="142">
    <w:p w14:paraId="2874B817" w14:textId="77777777" w:rsidR="00AC2B34" w:rsidRPr="0091434E" w:rsidRDefault="00AC2B34" w:rsidP="00EE66B7">
      <w:pPr>
        <w:pStyle w:val="FootnoteText"/>
        <w:jc w:val="both"/>
        <w:rPr>
          <w:rFonts w:asciiTheme="majorHAnsi" w:hAnsiTheme="majorHAnsi"/>
          <w:szCs w:val="16"/>
          <w:lang w:val="es-ES"/>
        </w:rPr>
      </w:pPr>
      <w:r w:rsidRPr="0091434E">
        <w:rPr>
          <w:rStyle w:val="FootnoteReference"/>
          <w:rFonts w:asciiTheme="majorHAnsi" w:hAnsiTheme="majorHAnsi"/>
          <w:szCs w:val="16"/>
        </w:rPr>
        <w:footnoteRef/>
      </w:r>
      <w:r w:rsidRPr="0091434E">
        <w:rPr>
          <w:rFonts w:asciiTheme="majorHAnsi" w:hAnsiTheme="majorHAnsi"/>
          <w:szCs w:val="16"/>
          <w:lang w:val="es-PE"/>
        </w:rPr>
        <w:t xml:space="preserve"> </w:t>
      </w:r>
      <w:r w:rsidRPr="0091434E">
        <w:rPr>
          <w:rFonts w:asciiTheme="majorHAnsi" w:hAnsiTheme="majorHAnsi"/>
          <w:szCs w:val="16"/>
          <w:lang w:val="es-ES_tradnl"/>
        </w:rPr>
        <w:t>Corte IDH. Caso Montero Aranguren y otros (Retén de Catia) Vs. Venezuela. Excepción Preliminar, Fondo, Reparaciones y Costas. Sentencia de 5 de julio de 2006. Serie C No. 150. Párr. 91 y 97-100.</w:t>
      </w:r>
    </w:p>
  </w:footnote>
  <w:footnote w:id="143">
    <w:p w14:paraId="20C703C1" w14:textId="77777777" w:rsidR="00AC2B34" w:rsidRPr="0091434E" w:rsidRDefault="00AC2B34" w:rsidP="00EE66B7">
      <w:pPr>
        <w:pStyle w:val="FootnoteText"/>
        <w:jc w:val="both"/>
        <w:rPr>
          <w:rFonts w:asciiTheme="majorHAnsi" w:hAnsiTheme="majorHAnsi"/>
          <w:szCs w:val="16"/>
          <w:lang w:val="es-ES"/>
        </w:rPr>
      </w:pPr>
      <w:r w:rsidRPr="0091434E">
        <w:rPr>
          <w:rStyle w:val="FootnoteReference"/>
          <w:rFonts w:asciiTheme="majorHAnsi" w:hAnsiTheme="majorHAnsi"/>
          <w:szCs w:val="16"/>
        </w:rPr>
        <w:footnoteRef/>
      </w:r>
      <w:r w:rsidRPr="0091434E">
        <w:rPr>
          <w:rFonts w:asciiTheme="majorHAnsi" w:hAnsiTheme="majorHAnsi"/>
          <w:szCs w:val="16"/>
          <w:lang w:val="es-PE"/>
        </w:rPr>
        <w:t xml:space="preserve"> Corte IDH. Caso Tibi Vs. Ecuador. Excepciones Preliminares, Fondo, Reparaciones y Costas. Sentencia de 7 de septiembre de 2004. Serie C No. 114.</w:t>
      </w:r>
    </w:p>
  </w:footnote>
  <w:footnote w:id="144">
    <w:p w14:paraId="0DE7BBD6" w14:textId="77777777" w:rsidR="00AC2B34" w:rsidRPr="0091434E" w:rsidRDefault="00AC2B34" w:rsidP="00EE66B7">
      <w:pPr>
        <w:pStyle w:val="FootnoteText"/>
        <w:jc w:val="both"/>
        <w:rPr>
          <w:rFonts w:asciiTheme="majorHAnsi" w:hAnsiTheme="majorHAnsi"/>
          <w:szCs w:val="16"/>
          <w:lang w:val="es-ES_tradnl"/>
        </w:rPr>
      </w:pPr>
      <w:r w:rsidRPr="0091434E">
        <w:rPr>
          <w:rStyle w:val="FootnoteReference"/>
          <w:rFonts w:asciiTheme="majorHAnsi" w:hAnsiTheme="majorHAnsi"/>
          <w:szCs w:val="16"/>
          <w:lang w:val="es-ES_tradnl"/>
        </w:rPr>
        <w:footnoteRef/>
      </w:r>
      <w:r w:rsidRPr="0091434E">
        <w:rPr>
          <w:rFonts w:asciiTheme="majorHAnsi" w:hAnsiTheme="majorHAnsi"/>
          <w:szCs w:val="16"/>
          <w:lang w:val="es-ES_tradnl"/>
        </w:rPr>
        <w:t xml:space="preserve"> Corte IDH. Caso Omeara Carrascal y otros Vs. Colombia. Fondo, Reparaciones y Costas. Sentencia de 21 de noviembre de 2018. Serie C No. 368. Párr. 192; Corte IDH. Caso Masacres de El Mozote y lugares aledaños Vs. El Salvador. Fondo, Reparaciones y Costas. Sentencia de 25 de octubre de 2012. Serie C No. 252. Párr. 147.</w:t>
      </w:r>
    </w:p>
  </w:footnote>
  <w:footnote w:id="145">
    <w:p w14:paraId="0E1DC77A" w14:textId="77777777" w:rsidR="00AC2B34" w:rsidRPr="0091434E" w:rsidRDefault="00AC2B34" w:rsidP="00EE66B7">
      <w:pPr>
        <w:pStyle w:val="FootnoteText"/>
        <w:jc w:val="both"/>
        <w:rPr>
          <w:rFonts w:asciiTheme="majorHAnsi" w:hAnsiTheme="majorHAnsi"/>
          <w:szCs w:val="16"/>
          <w:lang w:val="es-ES_tradnl"/>
        </w:rPr>
      </w:pPr>
      <w:r w:rsidRPr="0091434E">
        <w:rPr>
          <w:rStyle w:val="FootnoteReference"/>
          <w:rFonts w:asciiTheme="majorHAnsi" w:hAnsiTheme="majorHAnsi"/>
          <w:szCs w:val="16"/>
          <w:lang w:val="es-ES_tradnl"/>
        </w:rPr>
        <w:footnoteRef/>
      </w:r>
      <w:r w:rsidRPr="0091434E">
        <w:rPr>
          <w:rFonts w:asciiTheme="majorHAnsi" w:hAnsiTheme="majorHAnsi"/>
          <w:szCs w:val="16"/>
          <w:lang w:val="es-ES_tradnl"/>
        </w:rPr>
        <w:t xml:space="preserve">  CIDH, Informe No. 74/15, Caso 12.846, Informe de Fondo, Mariana Selvas Gómez y otras, México, párr. 344, CIDH, Informe No. 67/11, Caso 11.157, Admisibilidad y Fondo, Gladys Carol Espinoza Gonzales, Perú, 31 de marzo de 2011, párr. 172. Corte IDH. Caso Azul Rojas Marín y otra Vs. Perú. Excepciones Preliminares, Fondo, Reparaciones y Costas. Sentencia de 12 de marzo de 2020. Serie C No. 402. Párr. 140.</w:t>
      </w:r>
    </w:p>
  </w:footnote>
  <w:footnote w:id="146">
    <w:p w14:paraId="277A58C8" w14:textId="77777777" w:rsidR="00AC2B34" w:rsidRPr="0091434E" w:rsidRDefault="00AC2B34" w:rsidP="00EE66B7">
      <w:pPr>
        <w:pStyle w:val="FootnoteText"/>
        <w:jc w:val="both"/>
        <w:rPr>
          <w:rFonts w:asciiTheme="majorHAnsi" w:hAnsiTheme="majorHAnsi"/>
          <w:szCs w:val="16"/>
          <w:lang w:val="es-ES"/>
        </w:rPr>
      </w:pPr>
      <w:r w:rsidRPr="0091434E">
        <w:rPr>
          <w:rStyle w:val="FootnoteReference"/>
          <w:rFonts w:asciiTheme="majorHAnsi" w:hAnsiTheme="majorHAnsi"/>
          <w:szCs w:val="16"/>
        </w:rPr>
        <w:footnoteRef/>
      </w:r>
      <w:r w:rsidRPr="0091434E">
        <w:rPr>
          <w:rFonts w:asciiTheme="majorHAnsi" w:hAnsiTheme="majorHAnsi"/>
          <w:szCs w:val="16"/>
          <w:lang w:val="es-PE"/>
        </w:rPr>
        <w:t xml:space="preserve"> CIDH, Informe No. 131/17, Caso 11.678, Informe de Admisibilidad y Fondo, Mario Montesinos Mejía, Ecuador, 15 de octubre de 2007, párr. 101. CIDH, Informe No. 5/96, Caso 10.970, Fondo, Raquel Martin Mejía, Perú, 1 de marzo de 1996, sección 3. Corte IDH. Caso Bueno Alves Vs. Argentina. Fondo, Reparaciones y Costas. Sentencia de 11 de mayo de 2007. Serie C No. 164, párr. 79.</w:t>
      </w:r>
    </w:p>
  </w:footnote>
  <w:footnote w:id="147">
    <w:p w14:paraId="1BACB2BF" w14:textId="77777777" w:rsidR="00AC2B34" w:rsidRPr="0091434E" w:rsidRDefault="00AC2B34" w:rsidP="00EE66B7">
      <w:pPr>
        <w:pStyle w:val="FootnoteText"/>
        <w:jc w:val="both"/>
        <w:rPr>
          <w:rFonts w:asciiTheme="majorHAnsi" w:hAnsiTheme="majorHAnsi"/>
          <w:szCs w:val="16"/>
          <w:lang w:val="es-ES"/>
        </w:rPr>
      </w:pPr>
      <w:r w:rsidRPr="0091434E">
        <w:rPr>
          <w:rStyle w:val="FootnoteReference"/>
          <w:rFonts w:asciiTheme="majorHAnsi" w:hAnsiTheme="majorHAnsi"/>
          <w:szCs w:val="16"/>
        </w:rPr>
        <w:footnoteRef/>
      </w:r>
      <w:r w:rsidRPr="0091434E">
        <w:rPr>
          <w:rFonts w:asciiTheme="majorHAnsi" w:hAnsiTheme="majorHAnsi"/>
          <w:szCs w:val="16"/>
          <w:lang w:val="es-PE"/>
        </w:rPr>
        <w:t xml:space="preserve"> Corte IDH. Caso del Penal Miguel Castro Castro Vs. Perú. Fondo, Reparaciones y Costas. Sentencia de 25 de noviembre de 2006. Serie C No. 160. Párr. 303.</w:t>
      </w:r>
    </w:p>
  </w:footnote>
  <w:footnote w:id="148">
    <w:p w14:paraId="4B5204CE" w14:textId="77777777" w:rsidR="00AC2B34" w:rsidRPr="0091434E" w:rsidRDefault="00AC2B34" w:rsidP="00EE66B7">
      <w:pPr>
        <w:pStyle w:val="FootnoteText"/>
        <w:jc w:val="both"/>
        <w:rPr>
          <w:rFonts w:asciiTheme="majorHAnsi" w:hAnsiTheme="majorHAnsi"/>
          <w:szCs w:val="16"/>
          <w:lang w:val="es-ES"/>
        </w:rPr>
      </w:pPr>
      <w:r w:rsidRPr="0091434E">
        <w:rPr>
          <w:rStyle w:val="FootnoteReference"/>
          <w:rFonts w:asciiTheme="majorHAnsi" w:hAnsiTheme="majorHAnsi"/>
          <w:szCs w:val="16"/>
        </w:rPr>
        <w:footnoteRef/>
      </w:r>
      <w:r w:rsidRPr="0091434E">
        <w:rPr>
          <w:rFonts w:asciiTheme="majorHAnsi" w:hAnsiTheme="majorHAnsi"/>
          <w:szCs w:val="16"/>
          <w:lang w:val="es-PE"/>
        </w:rPr>
        <w:t xml:space="preserve"> CIDH, Informe No. 33/16, Caso 12.797, Informe de Fondo, Linda Loaiza López Soto y Familiares, Venezuela, 29 de julio de 2016, párr. 175. Corte IDH. Caso Fernández Ortega y otros Vs. México. Excepción Preliminar, Fondo, Reparaciones y Costas. Sentencia de 30 de agosto de 2010. Serie C No. 215.</w:t>
      </w:r>
    </w:p>
  </w:footnote>
  <w:footnote w:id="149">
    <w:p w14:paraId="248F2E40" w14:textId="77777777" w:rsidR="00AC2B34" w:rsidRPr="0091434E" w:rsidRDefault="00AC2B34" w:rsidP="00EE66B7">
      <w:pPr>
        <w:pStyle w:val="FootnoteText"/>
        <w:jc w:val="both"/>
        <w:rPr>
          <w:rFonts w:asciiTheme="majorHAnsi" w:hAnsiTheme="majorHAnsi"/>
          <w:szCs w:val="16"/>
          <w:lang w:val="es-ES"/>
        </w:rPr>
      </w:pPr>
      <w:r w:rsidRPr="0091434E">
        <w:rPr>
          <w:rStyle w:val="FootnoteReference"/>
          <w:rFonts w:asciiTheme="majorHAnsi" w:hAnsiTheme="majorHAnsi"/>
          <w:szCs w:val="16"/>
        </w:rPr>
        <w:footnoteRef/>
      </w:r>
      <w:r w:rsidRPr="0091434E">
        <w:rPr>
          <w:rFonts w:asciiTheme="majorHAnsi" w:hAnsiTheme="majorHAnsi"/>
          <w:szCs w:val="16"/>
          <w:lang w:val="es-PE"/>
        </w:rPr>
        <w:t xml:space="preserve"> Corte IDH. Caso Mujeres Víctimas de Tortura Sexual en Atenco Vs. México. Excepción Preliminar, Fondo, Reparaciones y Costas. Sentencia de 28 de noviembre de 2018. Serie C No. 371. Párr. 179.</w:t>
      </w:r>
    </w:p>
  </w:footnote>
  <w:footnote w:id="150">
    <w:p w14:paraId="23EE17CE" w14:textId="77777777" w:rsidR="00AC2B34" w:rsidRPr="0091434E" w:rsidRDefault="00AC2B34" w:rsidP="00EE66B7">
      <w:pPr>
        <w:pStyle w:val="FootnoteText"/>
        <w:jc w:val="both"/>
        <w:rPr>
          <w:rFonts w:asciiTheme="majorHAnsi" w:hAnsiTheme="majorHAnsi"/>
          <w:szCs w:val="16"/>
          <w:lang w:val="es-PE"/>
        </w:rPr>
      </w:pPr>
      <w:r w:rsidRPr="0091434E">
        <w:rPr>
          <w:rStyle w:val="FootnoteReference"/>
          <w:rFonts w:asciiTheme="majorHAnsi" w:hAnsiTheme="majorHAnsi"/>
          <w:szCs w:val="16"/>
        </w:rPr>
        <w:footnoteRef/>
      </w:r>
      <w:r w:rsidRPr="0091434E">
        <w:rPr>
          <w:rFonts w:asciiTheme="majorHAnsi" w:hAnsiTheme="majorHAnsi"/>
          <w:szCs w:val="16"/>
          <w:lang w:val="es-PE"/>
        </w:rPr>
        <w:t xml:space="preserve"> CIDH, Informe No. 33/16, Caso 12.797, Informe de Fondo, Linda Loaiza López Soto y Familiares, Venezuela, 29 de julio de 2016, párr. 175. Párr. 179 y 180. Corte IDH. Caso Espinoza Gonzáles Vs. Perú. Excepciones Preliminares, Fondo, Reparaciones y Costas. Sentencia de 20 de noviembre de 2014. Serie C No. 289. Párr. 221.</w:t>
      </w:r>
    </w:p>
  </w:footnote>
  <w:footnote w:id="151">
    <w:p w14:paraId="0014096A" w14:textId="77777777" w:rsidR="00AC2B34" w:rsidRPr="0091434E" w:rsidRDefault="00AC2B34" w:rsidP="00EE66B7">
      <w:pPr>
        <w:pStyle w:val="FootnoteText"/>
        <w:jc w:val="both"/>
        <w:rPr>
          <w:rFonts w:asciiTheme="majorHAnsi" w:hAnsiTheme="majorHAnsi"/>
          <w:szCs w:val="16"/>
          <w:lang w:val="es-ES"/>
        </w:rPr>
      </w:pPr>
      <w:r w:rsidRPr="0091434E">
        <w:rPr>
          <w:rStyle w:val="FootnoteReference"/>
          <w:rFonts w:asciiTheme="majorHAnsi" w:hAnsiTheme="majorHAnsi"/>
          <w:szCs w:val="16"/>
        </w:rPr>
        <w:footnoteRef/>
      </w:r>
      <w:r w:rsidRPr="0091434E">
        <w:rPr>
          <w:rFonts w:asciiTheme="majorHAnsi" w:hAnsiTheme="majorHAnsi"/>
          <w:szCs w:val="16"/>
          <w:lang w:val="es-PE"/>
        </w:rPr>
        <w:t xml:space="preserve"> CIDH, Informe No. 76/11, Caso 11.769, Fondo, J., Perú, 20 de julio de 2011, párr. 189. Corte IDH. Caso del Penal Miguel Castro Castro Vs. Perú. Fondo, Reparaciones y Costas. Sentencia de 25 de noviembre de 2006. Serie C No. 160. Párr. 311.</w:t>
      </w:r>
    </w:p>
  </w:footnote>
  <w:footnote w:id="152">
    <w:p w14:paraId="1BB9D73D" w14:textId="77777777" w:rsidR="00AC2B34" w:rsidRPr="0091434E" w:rsidRDefault="00AC2B34" w:rsidP="00EE66B7">
      <w:pPr>
        <w:pStyle w:val="FootnoteText"/>
        <w:jc w:val="both"/>
        <w:rPr>
          <w:rFonts w:asciiTheme="majorHAnsi" w:hAnsiTheme="majorHAnsi"/>
          <w:szCs w:val="16"/>
          <w:lang w:val="es-ES"/>
        </w:rPr>
      </w:pPr>
      <w:r w:rsidRPr="0091434E">
        <w:rPr>
          <w:rStyle w:val="FootnoteReference"/>
          <w:rFonts w:asciiTheme="majorHAnsi" w:hAnsiTheme="majorHAnsi"/>
          <w:szCs w:val="16"/>
        </w:rPr>
        <w:footnoteRef/>
      </w:r>
      <w:r w:rsidRPr="0091434E">
        <w:rPr>
          <w:rFonts w:asciiTheme="majorHAnsi" w:hAnsiTheme="majorHAnsi"/>
          <w:szCs w:val="16"/>
          <w:lang w:val="es-PE"/>
        </w:rPr>
        <w:t xml:space="preserve"> </w:t>
      </w:r>
      <w:r w:rsidRPr="0091434E">
        <w:rPr>
          <w:rFonts w:asciiTheme="majorHAnsi" w:hAnsiTheme="majorHAnsi"/>
          <w:szCs w:val="16"/>
          <w:lang w:val="es-ES_tradnl"/>
        </w:rPr>
        <w:t>CIDH, Informe No. 74/15, Caso 12.846, Informe de Fondo, Mariana Selvas Gómez y otras, México, párr. 349. Corte IDH. Caso Rosendo Cantú y otra Vs. México. Excepción Preliminar, Fondo, Reparaciones y Costas. Sentencia de 31 de agosto de 2010. Serie C No. 216. Párr. 109.</w:t>
      </w:r>
    </w:p>
  </w:footnote>
  <w:footnote w:id="153">
    <w:p w14:paraId="43830DB0" w14:textId="77777777" w:rsidR="00AC2B34" w:rsidRPr="0091434E" w:rsidRDefault="00AC2B34" w:rsidP="00EE66B7">
      <w:pPr>
        <w:pStyle w:val="FootnoteText"/>
        <w:jc w:val="both"/>
        <w:rPr>
          <w:rFonts w:asciiTheme="majorHAnsi" w:hAnsiTheme="majorHAnsi"/>
          <w:szCs w:val="16"/>
          <w:lang w:val="es-ES"/>
        </w:rPr>
      </w:pPr>
      <w:r w:rsidRPr="0091434E">
        <w:rPr>
          <w:rStyle w:val="FootnoteReference"/>
          <w:rFonts w:asciiTheme="majorHAnsi" w:hAnsiTheme="majorHAnsi"/>
          <w:szCs w:val="16"/>
        </w:rPr>
        <w:footnoteRef/>
      </w:r>
      <w:r w:rsidRPr="0091434E">
        <w:rPr>
          <w:rFonts w:asciiTheme="majorHAnsi" w:hAnsiTheme="majorHAnsi"/>
          <w:szCs w:val="16"/>
          <w:lang w:val="es-PE"/>
        </w:rPr>
        <w:t xml:space="preserve"> CIDH, Informe No. 150/18, Caso 12.954, Informe de Fondo, Jineth Bedoya Lima y otra, Colombia, 7 de diciembre de 2018, párr. 88, Citando a: Informe del Relator Especial contra la Tortura, y otros Tratos Crueles, Inhumanos o Degradantes, E./CN.4/1986/15, párr. 119 y 431.</w:t>
      </w:r>
    </w:p>
  </w:footnote>
  <w:footnote w:id="154">
    <w:p w14:paraId="15B0E7D7" w14:textId="77777777" w:rsidR="00AC2B34" w:rsidRPr="0091434E" w:rsidRDefault="00AC2B34" w:rsidP="00EE66B7">
      <w:pPr>
        <w:pStyle w:val="FootnoteText"/>
        <w:jc w:val="both"/>
        <w:rPr>
          <w:rFonts w:asciiTheme="majorHAnsi" w:hAnsiTheme="majorHAnsi"/>
          <w:szCs w:val="16"/>
          <w:lang w:val="es-PE"/>
        </w:rPr>
      </w:pPr>
      <w:r w:rsidRPr="0091434E">
        <w:rPr>
          <w:rStyle w:val="FootnoteReference"/>
          <w:rFonts w:asciiTheme="majorHAnsi" w:hAnsiTheme="majorHAnsi"/>
          <w:szCs w:val="16"/>
        </w:rPr>
        <w:footnoteRef/>
      </w:r>
      <w:r w:rsidRPr="0091434E">
        <w:rPr>
          <w:rFonts w:asciiTheme="majorHAnsi" w:hAnsiTheme="majorHAnsi"/>
          <w:szCs w:val="16"/>
          <w:lang w:val="es-PE"/>
        </w:rPr>
        <w:t xml:space="preserve"> Corte IDH. Caso Fernández Ortega y otros Vs. México. Excepción Preliminar, Fondo, Reparaciones y Costas. </w:t>
      </w:r>
      <w:r w:rsidRPr="0091434E">
        <w:rPr>
          <w:rFonts w:asciiTheme="majorHAnsi" w:hAnsiTheme="majorHAnsi"/>
          <w:szCs w:val="16"/>
          <w:lang w:val="pt-BR"/>
        </w:rPr>
        <w:t xml:space="preserve">Sentencia de 30 de agosto de 2010. Serie C No. 215. Párr. 122 y ss. Corte IDH. Caso Favela Nova Brasília Vs. </w:t>
      </w:r>
      <w:r w:rsidRPr="0091434E">
        <w:rPr>
          <w:rFonts w:asciiTheme="majorHAnsi" w:hAnsiTheme="majorHAnsi"/>
          <w:szCs w:val="16"/>
          <w:lang w:val="es-PE"/>
        </w:rPr>
        <w:t>Brasil. Excepciones Preliminares, Fondo, Reparaciones y Costas. Sentencia de 16 de febrero de 2017. Serie C No. 333. Párr. 252. En la misma línea se han manifestado los órganos del sistema universal de derechos humanos: Cfr. Relatora Especial sobre la violencia contra la mujer, sus causas y consecuencias, La violación como una vulneración grave, sistemática y generalizada de los derechos humanos, 2021, párr. 29; Comité contra la Tortura. Observación General No. 2 (2007); Comité de Derechos Humanos, Observación General No. 28 (2000).</w:t>
      </w:r>
    </w:p>
  </w:footnote>
  <w:footnote w:id="155">
    <w:p w14:paraId="3EBAE0D9" w14:textId="77777777" w:rsidR="00AC2B34" w:rsidRPr="0091434E" w:rsidRDefault="00AC2B34" w:rsidP="00EE66B7">
      <w:pPr>
        <w:pStyle w:val="FootnoteText"/>
        <w:jc w:val="both"/>
        <w:rPr>
          <w:rFonts w:asciiTheme="majorHAnsi" w:hAnsiTheme="majorHAnsi"/>
          <w:szCs w:val="16"/>
          <w:lang w:val="es-ES"/>
        </w:rPr>
      </w:pPr>
      <w:r w:rsidRPr="0091434E">
        <w:rPr>
          <w:rStyle w:val="FootnoteReference"/>
          <w:rFonts w:asciiTheme="majorHAnsi" w:hAnsiTheme="majorHAnsi"/>
          <w:szCs w:val="16"/>
        </w:rPr>
        <w:footnoteRef/>
      </w:r>
      <w:r w:rsidRPr="0091434E">
        <w:rPr>
          <w:rFonts w:asciiTheme="majorHAnsi" w:hAnsiTheme="majorHAnsi"/>
          <w:szCs w:val="16"/>
          <w:lang w:val="es-PE"/>
        </w:rPr>
        <w:t xml:space="preserve"> CIDH, Informe No. 33/16, Caso 12.797, Informe de Fondo, Linda Loaiza López Soto y Familiares, Venezuela, 29 de julio de 2016. Corte IDH. Caso López Soto y otros Vs. Venezuela. Fondo, Reparaciones y Costas. Sentencia de 26 de septiembre de 2018. Serie C No. 362.</w:t>
      </w:r>
    </w:p>
  </w:footnote>
  <w:footnote w:id="156">
    <w:p w14:paraId="2250B216" w14:textId="77777777" w:rsidR="00AC2B34" w:rsidRPr="0091434E" w:rsidRDefault="00AC2B34" w:rsidP="00EE66B7">
      <w:pPr>
        <w:pStyle w:val="FootnoteText"/>
        <w:jc w:val="both"/>
        <w:rPr>
          <w:rFonts w:asciiTheme="majorHAnsi" w:hAnsiTheme="majorHAnsi"/>
          <w:szCs w:val="16"/>
          <w:lang w:val="es-PE"/>
        </w:rPr>
      </w:pPr>
      <w:r w:rsidRPr="0091434E">
        <w:rPr>
          <w:rStyle w:val="FootnoteReference"/>
          <w:rFonts w:asciiTheme="majorHAnsi" w:hAnsiTheme="majorHAnsi"/>
          <w:szCs w:val="16"/>
        </w:rPr>
        <w:footnoteRef/>
      </w:r>
      <w:r w:rsidRPr="0091434E">
        <w:rPr>
          <w:rFonts w:asciiTheme="majorHAnsi" w:hAnsiTheme="majorHAnsi"/>
          <w:szCs w:val="16"/>
          <w:lang w:val="es-PE"/>
        </w:rPr>
        <w:t xml:space="preserve"> CIDH, Informe No. 33/16, Caso 12.797, Informe de Fondo, Linda Loaiza López Soto y Familiares, Venezuela, 29 de julio de 2016, párr. 220.</w:t>
      </w:r>
    </w:p>
  </w:footnote>
  <w:footnote w:id="157">
    <w:p w14:paraId="0CCCB3E3" w14:textId="77777777" w:rsidR="00AC2B34" w:rsidRPr="0091434E" w:rsidRDefault="00AC2B34" w:rsidP="00EE66B7">
      <w:pPr>
        <w:pStyle w:val="FootnoteText"/>
        <w:jc w:val="both"/>
        <w:rPr>
          <w:rFonts w:asciiTheme="majorHAnsi" w:hAnsiTheme="majorHAnsi"/>
          <w:szCs w:val="16"/>
          <w:lang w:val="es-PE"/>
        </w:rPr>
      </w:pPr>
      <w:r w:rsidRPr="0091434E">
        <w:rPr>
          <w:rStyle w:val="FootnoteReference"/>
          <w:rFonts w:asciiTheme="majorHAnsi" w:hAnsiTheme="majorHAnsi"/>
          <w:szCs w:val="16"/>
        </w:rPr>
        <w:footnoteRef/>
      </w:r>
      <w:r w:rsidRPr="0091434E">
        <w:rPr>
          <w:rFonts w:asciiTheme="majorHAnsi" w:hAnsiTheme="majorHAnsi"/>
          <w:szCs w:val="16"/>
          <w:lang w:val="es-PE"/>
        </w:rPr>
        <w:t xml:space="preserve"> CIDH, Informe No. 150/18, Caso 12.954, Informe de Fondo, Jineth Bedoya Lima y otra, Colombia, 7 de diciembre de 2018, párr. 85. Corte IDH. Caso Véliz Franco y otros Vs. Guatemala. Excepciones Preliminares, Fondo, Reparaciones y Costas. Sentencia de 19 de mayo de 2014. Serie C No. 277. Párr. 134.</w:t>
      </w:r>
    </w:p>
  </w:footnote>
  <w:footnote w:id="158">
    <w:p w14:paraId="241DC04B" w14:textId="77777777" w:rsidR="00AC2B34" w:rsidRPr="0091434E" w:rsidRDefault="00AC2B34" w:rsidP="00EE66B7">
      <w:pPr>
        <w:pStyle w:val="FootnoteText"/>
        <w:jc w:val="both"/>
        <w:rPr>
          <w:rFonts w:asciiTheme="majorHAnsi" w:hAnsiTheme="majorHAnsi"/>
          <w:szCs w:val="16"/>
          <w:lang w:val="es-ES"/>
        </w:rPr>
      </w:pPr>
      <w:r w:rsidRPr="0091434E">
        <w:rPr>
          <w:rStyle w:val="FootnoteReference"/>
          <w:rFonts w:asciiTheme="majorHAnsi" w:hAnsiTheme="majorHAnsi"/>
          <w:szCs w:val="16"/>
        </w:rPr>
        <w:footnoteRef/>
      </w:r>
      <w:r w:rsidRPr="0091434E">
        <w:rPr>
          <w:rFonts w:asciiTheme="majorHAnsi" w:hAnsiTheme="majorHAnsi"/>
          <w:szCs w:val="16"/>
          <w:lang w:val="es-PE"/>
        </w:rPr>
        <w:t xml:space="preserve"> Corte IDH. Caso López Soto y otros Vs. Venezuela. Fondo, Reparaciones y Costas. Sentencia de 26 de septiembre de 2018. Serie C No. 362. Párr. 139 y ss. </w:t>
      </w:r>
      <w:r w:rsidRPr="0091434E">
        <w:rPr>
          <w:rFonts w:asciiTheme="majorHAnsi" w:hAnsiTheme="majorHAnsi"/>
          <w:szCs w:val="16"/>
          <w:lang w:val="es-ES_tradnl"/>
        </w:rPr>
        <w:t>Corte IDH. Caso de la Masacre de Pueblo Bello Vs. Colombia. Sentencia de 31 de enero de 2006. Serie C No. 140. Párr. 123.</w:t>
      </w:r>
    </w:p>
  </w:footnote>
  <w:footnote w:id="159">
    <w:p w14:paraId="54640472" w14:textId="40FF0535" w:rsidR="00C476CD" w:rsidRPr="0091434E" w:rsidRDefault="00C476CD" w:rsidP="00DE778C">
      <w:pPr>
        <w:pStyle w:val="FootnoteText"/>
        <w:jc w:val="both"/>
        <w:rPr>
          <w:rFonts w:asciiTheme="majorHAnsi" w:hAnsiTheme="majorHAnsi"/>
          <w:szCs w:val="16"/>
          <w:lang w:val="es-419"/>
        </w:rPr>
      </w:pPr>
      <w:r w:rsidRPr="0091434E">
        <w:rPr>
          <w:rStyle w:val="FootnoteReference"/>
          <w:rFonts w:asciiTheme="majorHAnsi" w:hAnsiTheme="majorHAnsi"/>
          <w:szCs w:val="16"/>
        </w:rPr>
        <w:footnoteRef/>
      </w:r>
      <w:r w:rsidRPr="0091434E">
        <w:rPr>
          <w:rFonts w:asciiTheme="majorHAnsi" w:hAnsiTheme="majorHAnsi"/>
          <w:szCs w:val="16"/>
          <w:lang w:val="es-419"/>
        </w:rPr>
        <w:t xml:space="preserve"> ONU. Reglas de las Naciones Unidas para el Tratamiento de las Reclusas y Medidas no Privativas de la Libertad para las Mujeres Delincuentes. Resolución aprobada por la Asamblea General No. 65/229. A/RES/65/229. 16 de marzo de 2011.</w:t>
      </w:r>
      <w:r w:rsidR="00BE1F92" w:rsidRPr="0091434E">
        <w:rPr>
          <w:rFonts w:asciiTheme="majorHAnsi" w:hAnsiTheme="majorHAnsi"/>
          <w:szCs w:val="16"/>
          <w:lang w:val="es-419"/>
        </w:rPr>
        <w:t xml:space="preserve"> Regla 7.1.</w:t>
      </w:r>
    </w:p>
  </w:footnote>
  <w:footnote w:id="160">
    <w:p w14:paraId="2466B2E6" w14:textId="77777777" w:rsidR="00AC2B34" w:rsidRPr="0091434E" w:rsidRDefault="00AC2B34" w:rsidP="00EE66B7">
      <w:pPr>
        <w:pStyle w:val="FootnoteText"/>
        <w:jc w:val="both"/>
        <w:rPr>
          <w:rFonts w:asciiTheme="majorHAnsi" w:hAnsiTheme="majorHAnsi"/>
          <w:szCs w:val="16"/>
          <w:lang w:val="es-ES"/>
        </w:rPr>
      </w:pPr>
      <w:r w:rsidRPr="0091434E">
        <w:rPr>
          <w:rStyle w:val="FootnoteReference"/>
          <w:rFonts w:asciiTheme="majorHAnsi" w:hAnsiTheme="majorHAnsi"/>
          <w:szCs w:val="16"/>
        </w:rPr>
        <w:footnoteRef/>
      </w:r>
      <w:r w:rsidRPr="0091434E">
        <w:rPr>
          <w:rFonts w:asciiTheme="majorHAnsi" w:hAnsiTheme="majorHAnsi"/>
          <w:szCs w:val="16"/>
          <w:lang w:val="es-PE"/>
        </w:rPr>
        <w:t xml:space="preserve"> CIDH, Informe No. 150/18, Caso 12.954, Informe de Fondo, Jineth Bedoya Lima y otra, Colombia, 7 de diciembre de 2018, párr. 106. </w:t>
      </w:r>
      <w:r w:rsidRPr="0091434E">
        <w:rPr>
          <w:rFonts w:asciiTheme="majorHAnsi" w:hAnsiTheme="majorHAnsi"/>
          <w:szCs w:val="16"/>
          <w:lang w:val="es-ES"/>
        </w:rPr>
        <w:t>Corte IDH. Caso Espinoza Gonzáles Vs. Perú. Excepciones Preliminares, Fondo, Reparaciones y Costas. Sentencia de 20 de noviembre de 2014. Serie C No. 289. Párr. 237.</w:t>
      </w:r>
    </w:p>
  </w:footnote>
  <w:footnote w:id="161">
    <w:p w14:paraId="12E9D722" w14:textId="77777777" w:rsidR="00AC2B34" w:rsidRPr="0091434E" w:rsidRDefault="00AC2B34" w:rsidP="00EE66B7">
      <w:pPr>
        <w:pStyle w:val="FootnoteText"/>
        <w:keepNext/>
        <w:widowControl w:val="0"/>
        <w:jc w:val="both"/>
        <w:rPr>
          <w:rFonts w:asciiTheme="majorHAnsi" w:hAnsiTheme="majorHAnsi"/>
          <w:szCs w:val="16"/>
          <w:lang w:val="es-ES"/>
        </w:rPr>
      </w:pPr>
      <w:r w:rsidRPr="0091434E">
        <w:rPr>
          <w:rStyle w:val="FootnoteReference"/>
          <w:rFonts w:asciiTheme="majorHAnsi" w:hAnsiTheme="majorHAnsi"/>
          <w:szCs w:val="16"/>
          <w:lang w:val="es-ES"/>
        </w:rPr>
        <w:footnoteRef/>
      </w:r>
      <w:r w:rsidRPr="0091434E">
        <w:rPr>
          <w:rFonts w:asciiTheme="majorHAnsi" w:hAnsiTheme="majorHAnsi"/>
          <w:szCs w:val="16"/>
          <w:lang w:val="es-ES"/>
        </w:rPr>
        <w:t xml:space="preserve"> Corte IDH. Caso Liakat Ali Alibux Vs. Surinam. Excepciones Preliminares, Fondo, Reparaciones y Costas. Sentencia de 30 de enero de 2014. Serie C No. 276, párr.116; Corte IDH. Caso Chocrón Chocrón Vs. Venezuela. Excepción Preliminar, Fondo, Reparaciones y Costas. Sentencia de 1 de julio de 2011. Serie C No. 227, párr. 127. </w:t>
      </w:r>
    </w:p>
  </w:footnote>
  <w:footnote w:id="162">
    <w:p w14:paraId="2FEEE1F5" w14:textId="77777777" w:rsidR="00AC2B34" w:rsidRPr="0091434E" w:rsidRDefault="00AC2B34" w:rsidP="00EE66B7">
      <w:pPr>
        <w:pStyle w:val="FootnoteText"/>
        <w:keepNext/>
        <w:widowControl w:val="0"/>
        <w:jc w:val="both"/>
        <w:rPr>
          <w:rFonts w:asciiTheme="majorHAnsi" w:hAnsiTheme="majorHAnsi"/>
          <w:szCs w:val="16"/>
          <w:lang w:val="es-ES"/>
        </w:rPr>
      </w:pPr>
      <w:r w:rsidRPr="0091434E">
        <w:rPr>
          <w:rStyle w:val="FootnoteReference"/>
          <w:rFonts w:asciiTheme="majorHAnsi" w:hAnsiTheme="majorHAnsi"/>
          <w:szCs w:val="16"/>
          <w:lang w:val="es-ES"/>
        </w:rPr>
        <w:footnoteRef/>
      </w:r>
      <w:r w:rsidRPr="0091434E">
        <w:rPr>
          <w:rFonts w:asciiTheme="majorHAnsi" w:hAnsiTheme="majorHAnsi"/>
          <w:szCs w:val="16"/>
          <w:lang w:val="es-ES"/>
        </w:rPr>
        <w:t xml:space="preserve"> Corte IDH. Caso Duque Vs. Colombia. Interpretación de Sentencia de Excepciones Preliminares, Fondo, Reparaciones y Costas. Sentencia de 21 de noviembre de 2016. Serie C No. 322, párr. 149; Corte IDH. Caso Granier y otros (Radio Caracas Televisión) Vs. Venezuela. Excepciones Preliminares, Fondo, Reparaciones y Costas. Sentencia de 22 de junio de 2015. Serie C No. 293. Párr. 314.</w:t>
      </w:r>
    </w:p>
  </w:footnote>
  <w:footnote w:id="163">
    <w:p w14:paraId="7A5F4D17" w14:textId="77777777" w:rsidR="00AC2B34" w:rsidRPr="0091434E" w:rsidRDefault="00AC2B34" w:rsidP="00EE66B7">
      <w:pPr>
        <w:pStyle w:val="FootnoteText"/>
        <w:keepNext/>
        <w:widowControl w:val="0"/>
        <w:jc w:val="both"/>
        <w:rPr>
          <w:rFonts w:asciiTheme="majorHAnsi" w:hAnsiTheme="majorHAnsi"/>
          <w:szCs w:val="16"/>
          <w:lang w:val="es-ES"/>
        </w:rPr>
      </w:pPr>
      <w:r w:rsidRPr="0091434E">
        <w:rPr>
          <w:rStyle w:val="FootnoteReference"/>
          <w:rFonts w:asciiTheme="majorHAnsi" w:hAnsiTheme="majorHAnsi"/>
          <w:szCs w:val="16"/>
          <w:lang w:val="es-ES"/>
        </w:rPr>
        <w:footnoteRef/>
      </w:r>
      <w:r w:rsidRPr="0091434E">
        <w:rPr>
          <w:rFonts w:asciiTheme="majorHAnsi" w:hAnsiTheme="majorHAnsi"/>
          <w:szCs w:val="16"/>
          <w:lang w:val="es-ES"/>
        </w:rPr>
        <w:t xml:space="preserve"> CIDH, Demanda ante la Corte Interamericana de Derechos Humanos en el caso de Leopoldo López Mendoza contra la República Bolivariana de Venezuela, Caso 12.668, 14 de diciembre de 2009, párr. 75.</w:t>
      </w:r>
    </w:p>
  </w:footnote>
  <w:footnote w:id="164">
    <w:p w14:paraId="351D6A6F" w14:textId="77777777" w:rsidR="00AC2B34" w:rsidRPr="0091434E" w:rsidRDefault="00AC2B34" w:rsidP="00EE66B7">
      <w:pPr>
        <w:pStyle w:val="FootnoteText"/>
        <w:jc w:val="both"/>
        <w:rPr>
          <w:rFonts w:asciiTheme="majorHAnsi" w:hAnsiTheme="majorHAnsi"/>
          <w:szCs w:val="16"/>
          <w:lang w:val="es-ES"/>
        </w:rPr>
      </w:pPr>
      <w:r w:rsidRPr="0091434E">
        <w:rPr>
          <w:rStyle w:val="FootnoteReference"/>
          <w:rFonts w:asciiTheme="majorHAnsi" w:hAnsiTheme="majorHAnsi"/>
          <w:szCs w:val="16"/>
        </w:rPr>
        <w:footnoteRef/>
      </w:r>
      <w:r w:rsidRPr="0091434E">
        <w:rPr>
          <w:rFonts w:asciiTheme="majorHAnsi" w:hAnsiTheme="majorHAnsi"/>
          <w:szCs w:val="16"/>
          <w:lang w:val="es-PE"/>
        </w:rPr>
        <w:t xml:space="preserve"> Corte IDH. Caso Digna Ochoa y familiares Vs. México. Excepciones Preliminares, Fondo, Reparaciones y Costas. Sentencia de 25 de noviembre de 2021. Serie C No. 447. Párr. 130. </w:t>
      </w:r>
      <w:r w:rsidRPr="0091434E">
        <w:rPr>
          <w:rFonts w:asciiTheme="majorHAnsi" w:hAnsiTheme="majorHAnsi"/>
          <w:szCs w:val="16"/>
          <w:lang w:val="es-ES"/>
        </w:rPr>
        <w:t>Corte IDH. Caso Defensor de Derechos Humanos y otros Vs. Guatemala. Excepciones Preliminares, Fondo, Reparaciones y Costas. Sentencia de 28 de agosto de 2014. Serie C No. 283. Párr. 199</w:t>
      </w:r>
    </w:p>
  </w:footnote>
  <w:footnote w:id="165">
    <w:p w14:paraId="44890090" w14:textId="2D348D28" w:rsidR="00AC2B34" w:rsidRPr="0091434E" w:rsidRDefault="00AC2B34" w:rsidP="00EE66B7">
      <w:pPr>
        <w:pStyle w:val="FootnoteText"/>
        <w:jc w:val="both"/>
        <w:rPr>
          <w:rFonts w:asciiTheme="majorHAnsi" w:hAnsiTheme="majorHAnsi"/>
          <w:szCs w:val="16"/>
          <w:lang w:val="es-PE"/>
        </w:rPr>
      </w:pPr>
      <w:r w:rsidRPr="0091434E">
        <w:rPr>
          <w:rStyle w:val="FootnoteReference"/>
          <w:rFonts w:asciiTheme="majorHAnsi" w:hAnsiTheme="majorHAnsi"/>
          <w:szCs w:val="16"/>
        </w:rPr>
        <w:footnoteRef/>
      </w:r>
      <w:r w:rsidRPr="0091434E">
        <w:rPr>
          <w:rFonts w:asciiTheme="majorHAnsi" w:hAnsiTheme="majorHAnsi"/>
          <w:szCs w:val="16"/>
          <w:lang w:val="es-PE"/>
        </w:rPr>
        <w:t xml:space="preserve"> CIDH, Informe No. 24/17, Caso 12.254, Fondo, </w:t>
      </w:r>
      <w:r w:rsidR="004B114F" w:rsidRPr="0091434E">
        <w:rPr>
          <w:rFonts w:asciiTheme="majorHAnsi" w:hAnsiTheme="majorHAnsi"/>
          <w:szCs w:val="16"/>
          <w:lang w:val="es-PE"/>
        </w:rPr>
        <w:t>Víctor</w:t>
      </w:r>
      <w:r w:rsidRPr="0091434E">
        <w:rPr>
          <w:rFonts w:asciiTheme="majorHAnsi" w:hAnsiTheme="majorHAnsi"/>
          <w:szCs w:val="16"/>
          <w:lang w:val="es-PE"/>
        </w:rPr>
        <w:t xml:space="preserve"> Saldaño, Estados Unidos, 18 de marzo de 2017, párr. 205. Corte IDH. Caso Digna Ochoa y familiares Vs. México. Excepciones Preliminares, Fondo, Reparaciones y Costas. Sentencia de 25 de noviembre de 2021. Serie C No. 447. Párr. 130.</w:t>
      </w:r>
    </w:p>
  </w:footnote>
  <w:footnote w:id="166">
    <w:p w14:paraId="56E75ECA" w14:textId="77777777" w:rsidR="00AC2B34" w:rsidRPr="0091434E" w:rsidRDefault="00AC2B34" w:rsidP="00EE66B7">
      <w:pPr>
        <w:pStyle w:val="FootnoteText"/>
        <w:jc w:val="both"/>
        <w:rPr>
          <w:rFonts w:asciiTheme="majorHAnsi" w:hAnsiTheme="majorHAnsi"/>
          <w:szCs w:val="16"/>
          <w:lang w:val="es-ES"/>
        </w:rPr>
      </w:pPr>
      <w:r w:rsidRPr="0091434E">
        <w:rPr>
          <w:rStyle w:val="FootnoteReference"/>
          <w:rFonts w:asciiTheme="majorHAnsi" w:hAnsiTheme="majorHAnsi"/>
          <w:szCs w:val="16"/>
        </w:rPr>
        <w:footnoteRef/>
      </w:r>
      <w:r w:rsidRPr="0091434E">
        <w:rPr>
          <w:rFonts w:asciiTheme="majorHAnsi" w:hAnsiTheme="majorHAnsi"/>
          <w:szCs w:val="16"/>
          <w:lang w:val="es-PE"/>
        </w:rPr>
        <w:t xml:space="preserve"> </w:t>
      </w:r>
      <w:r w:rsidRPr="0091434E">
        <w:rPr>
          <w:rFonts w:asciiTheme="majorHAnsi" w:hAnsiTheme="majorHAnsi"/>
          <w:noProof/>
          <w:color w:val="auto"/>
          <w:szCs w:val="16"/>
          <w:lang w:val="es-ES"/>
        </w:rPr>
        <w:t>CIDH, Informe No. 130/17, Caso 13.044. Fondo. Gustavo Francisco Petro Urrego. Colombia, 25 de octubre de 2017, párr. 138; CIDH, Demanda de la Comisión Interamericana de Derechos Humanos ante la Corte Interamericana de Derechos Humanos en el caso de Hilaire c. Trinidad y Tobago, 25 de mayo de 1999, p. 45.</w:t>
      </w:r>
    </w:p>
  </w:footnote>
  <w:footnote w:id="167">
    <w:p w14:paraId="052C5A5B" w14:textId="77777777" w:rsidR="00AC2B34" w:rsidRPr="0091434E" w:rsidRDefault="00AC2B34" w:rsidP="00EE66B7">
      <w:pPr>
        <w:pStyle w:val="FootnoteText"/>
        <w:jc w:val="both"/>
        <w:rPr>
          <w:rFonts w:asciiTheme="majorHAnsi" w:hAnsiTheme="majorHAnsi"/>
          <w:szCs w:val="16"/>
          <w:lang w:val="es-ES"/>
        </w:rPr>
      </w:pPr>
      <w:r w:rsidRPr="0091434E">
        <w:rPr>
          <w:rStyle w:val="FootnoteReference"/>
          <w:rFonts w:asciiTheme="majorHAnsi" w:hAnsiTheme="majorHAnsi"/>
          <w:szCs w:val="16"/>
        </w:rPr>
        <w:footnoteRef/>
      </w:r>
      <w:r w:rsidRPr="0091434E">
        <w:rPr>
          <w:rFonts w:asciiTheme="majorHAnsi" w:hAnsiTheme="majorHAnsi"/>
          <w:szCs w:val="16"/>
          <w:lang w:val="pt-BR"/>
        </w:rPr>
        <w:t xml:space="preserve"> Corte IDH. Caso J. Vs. </w:t>
      </w:r>
      <w:r w:rsidRPr="0091434E">
        <w:rPr>
          <w:rFonts w:asciiTheme="majorHAnsi" w:hAnsiTheme="majorHAnsi"/>
          <w:szCs w:val="16"/>
          <w:lang w:val="es-PE"/>
        </w:rPr>
        <w:t>Perú. Excepción Preliminar, Fondo, Reparaciones y Costas. Sentencia de 27 de noviembre de 2013. Serie C No. 275. Párr. 350.</w:t>
      </w:r>
    </w:p>
  </w:footnote>
  <w:footnote w:id="168">
    <w:p w14:paraId="119308EA" w14:textId="77777777" w:rsidR="00AC2B34" w:rsidRPr="0091434E" w:rsidRDefault="00AC2B34" w:rsidP="00EE66B7">
      <w:pPr>
        <w:pStyle w:val="FootnoteText"/>
        <w:jc w:val="both"/>
        <w:rPr>
          <w:rFonts w:asciiTheme="majorHAnsi" w:hAnsiTheme="majorHAnsi"/>
          <w:szCs w:val="16"/>
          <w:lang w:val="es-ES"/>
        </w:rPr>
      </w:pPr>
      <w:r w:rsidRPr="0091434E">
        <w:rPr>
          <w:rStyle w:val="FootnoteReference"/>
          <w:rFonts w:asciiTheme="majorHAnsi" w:hAnsiTheme="majorHAnsi"/>
          <w:szCs w:val="16"/>
        </w:rPr>
        <w:footnoteRef/>
      </w:r>
      <w:r w:rsidRPr="0091434E">
        <w:rPr>
          <w:rFonts w:asciiTheme="majorHAnsi" w:hAnsiTheme="majorHAnsi"/>
          <w:szCs w:val="16"/>
          <w:lang w:val="es-PE"/>
        </w:rPr>
        <w:t xml:space="preserve"> CIDH, Informe No. 150/18, Caso 12.954, Informe de Fondo, Jineth Bedoya Lima y otra, Colombia, 7 de diciembre de 2018, párr. 111;</w:t>
      </w:r>
      <w:r w:rsidRPr="0091434E">
        <w:rPr>
          <w:rFonts w:asciiTheme="majorHAnsi" w:hAnsiTheme="majorHAnsi"/>
          <w:szCs w:val="16"/>
          <w:lang w:val="es-ES_tradnl"/>
        </w:rPr>
        <w:t xml:space="preserve"> Corte IDH. Caso Rosendo Cantú y otra Vs. México. Excepción Preliminar, Fondo, Reparaciones y Costas. Sentencia de 31 de agosto de 2010. Serie C No. 216. Párr. 103.</w:t>
      </w:r>
    </w:p>
  </w:footnote>
  <w:footnote w:id="169">
    <w:p w14:paraId="50C9A0CB" w14:textId="77777777" w:rsidR="00AC2B34" w:rsidRPr="0091434E" w:rsidRDefault="00AC2B34" w:rsidP="00EE66B7">
      <w:pPr>
        <w:pStyle w:val="FootnoteText"/>
        <w:jc w:val="both"/>
        <w:rPr>
          <w:rFonts w:asciiTheme="majorHAnsi" w:hAnsiTheme="majorHAnsi"/>
          <w:szCs w:val="16"/>
          <w:lang w:val="es-ES"/>
        </w:rPr>
      </w:pPr>
      <w:r w:rsidRPr="0091434E">
        <w:rPr>
          <w:rStyle w:val="FootnoteReference"/>
          <w:rFonts w:asciiTheme="majorHAnsi" w:hAnsiTheme="majorHAnsi"/>
          <w:szCs w:val="16"/>
        </w:rPr>
        <w:footnoteRef/>
      </w:r>
      <w:r w:rsidRPr="0091434E">
        <w:rPr>
          <w:rFonts w:asciiTheme="majorHAnsi" w:hAnsiTheme="majorHAnsi"/>
          <w:szCs w:val="16"/>
          <w:lang w:val="es-PE"/>
        </w:rPr>
        <w:t xml:space="preserve"> Corte IDH. Caso J. Vs. Perú. Excepción Preliminar, Fondo, Reparaciones y Costas. Sentencia de 27 de noviembre de 2013. Serie C No. 275. Párr. 344.</w:t>
      </w:r>
    </w:p>
  </w:footnote>
  <w:footnote w:id="170">
    <w:p w14:paraId="622A76E4" w14:textId="77777777" w:rsidR="00AC2B34" w:rsidRPr="0091434E" w:rsidRDefault="00AC2B34" w:rsidP="00EE66B7">
      <w:pPr>
        <w:pStyle w:val="FootnoteText"/>
        <w:jc w:val="both"/>
        <w:rPr>
          <w:rFonts w:asciiTheme="majorHAnsi" w:hAnsiTheme="majorHAnsi"/>
          <w:szCs w:val="16"/>
          <w:lang w:val="es-PE"/>
        </w:rPr>
      </w:pPr>
      <w:r w:rsidRPr="0091434E">
        <w:rPr>
          <w:rStyle w:val="FootnoteReference"/>
          <w:rFonts w:asciiTheme="majorHAnsi" w:hAnsiTheme="majorHAnsi"/>
          <w:szCs w:val="16"/>
        </w:rPr>
        <w:footnoteRef/>
      </w:r>
      <w:r w:rsidRPr="0091434E">
        <w:rPr>
          <w:rFonts w:asciiTheme="majorHAnsi" w:hAnsiTheme="majorHAnsi"/>
          <w:szCs w:val="16"/>
          <w:lang w:val="es-PE"/>
        </w:rPr>
        <w:t xml:space="preserve"> CIDH, Informe No. 150/18, Caso 12.954, Informe de Fondo, Jineth Bedoya Lima y otra, Colombia, 7 de diciembre de 2018, párr. 111. Citando a: Organización Mundial de la Salud, Guidelines for medic-legal care for victims of sexual violence, Ginebra, 2003, pp. 18, 43 y 58.</w:t>
      </w:r>
    </w:p>
  </w:footnote>
  <w:footnote w:id="171">
    <w:p w14:paraId="121FFF4B" w14:textId="77777777" w:rsidR="00AC2B34" w:rsidRPr="0091434E" w:rsidRDefault="00AC2B34" w:rsidP="00EE66B7">
      <w:pPr>
        <w:pStyle w:val="FootnoteText"/>
        <w:jc w:val="both"/>
        <w:rPr>
          <w:rFonts w:asciiTheme="majorHAnsi" w:hAnsiTheme="majorHAnsi"/>
          <w:szCs w:val="16"/>
          <w:lang w:val="es-PE"/>
        </w:rPr>
      </w:pPr>
      <w:r w:rsidRPr="0091434E">
        <w:rPr>
          <w:rStyle w:val="FootnoteReference"/>
          <w:rFonts w:asciiTheme="majorHAnsi" w:hAnsiTheme="majorHAnsi"/>
          <w:szCs w:val="16"/>
        </w:rPr>
        <w:footnoteRef/>
      </w:r>
      <w:r w:rsidRPr="0091434E">
        <w:rPr>
          <w:rFonts w:asciiTheme="majorHAnsi" w:hAnsiTheme="majorHAnsi"/>
          <w:szCs w:val="16"/>
          <w:lang w:val="es-PE"/>
        </w:rPr>
        <w:t xml:space="preserve"> </w:t>
      </w:r>
      <w:r w:rsidRPr="0091434E">
        <w:rPr>
          <w:rFonts w:asciiTheme="majorHAnsi" w:hAnsiTheme="majorHAnsi"/>
          <w:szCs w:val="16"/>
          <w:lang w:val="es-ES"/>
        </w:rPr>
        <w:t>Corte IDH. Caso Espinoza Gonzáles Vs. Perú. Excepciones Preliminares, Fondo, Reparaciones y Costas. Sentencia de 20 de noviembre de 2014. Serie C No. 289. Párr. 252.</w:t>
      </w:r>
    </w:p>
  </w:footnote>
  <w:footnote w:id="172">
    <w:p w14:paraId="70919A63" w14:textId="77777777" w:rsidR="00AC2B34" w:rsidRPr="0091434E" w:rsidRDefault="00AC2B34" w:rsidP="00EE66B7">
      <w:pPr>
        <w:pStyle w:val="FootnoteText"/>
        <w:jc w:val="both"/>
        <w:rPr>
          <w:rFonts w:asciiTheme="majorHAnsi" w:hAnsiTheme="majorHAnsi"/>
          <w:szCs w:val="16"/>
          <w:lang w:val="es-PE"/>
        </w:rPr>
      </w:pPr>
      <w:r w:rsidRPr="0091434E">
        <w:rPr>
          <w:rStyle w:val="FootnoteReference"/>
          <w:rFonts w:asciiTheme="majorHAnsi" w:hAnsiTheme="majorHAnsi"/>
          <w:szCs w:val="16"/>
        </w:rPr>
        <w:footnoteRef/>
      </w:r>
      <w:r w:rsidRPr="0091434E">
        <w:rPr>
          <w:rFonts w:asciiTheme="majorHAnsi" w:hAnsiTheme="majorHAnsi"/>
          <w:szCs w:val="16"/>
          <w:lang w:val="es-PE"/>
        </w:rPr>
        <w:t xml:space="preserve"> Corte IDH. Caso Véliz Franco y otros Vs. Guatemala. Excepciones Preliminares, Fondo, Reparaciones y Costas. Sentencia de 19 de mayo de 2014. Serie C No. 277. Párr. 188. Corte IDH. Caso Gonzáles y otras (“Campo Algodonero”) Vs. México. Excepción Preliminar, Fondo, Reparaciones y Costas. Sentencia de 16 de noviembre de 2009. Serie C No. 205, párr. 455.</w:t>
      </w:r>
    </w:p>
  </w:footnote>
  <w:footnote w:id="173">
    <w:p w14:paraId="1CDCC65F" w14:textId="77777777" w:rsidR="00AC2B34" w:rsidRPr="0091434E" w:rsidRDefault="00AC2B34" w:rsidP="00EE66B7">
      <w:pPr>
        <w:pStyle w:val="FootnoteText"/>
        <w:jc w:val="both"/>
        <w:rPr>
          <w:rFonts w:asciiTheme="majorHAnsi" w:hAnsiTheme="majorHAnsi"/>
          <w:szCs w:val="16"/>
          <w:lang w:val="es-PE"/>
        </w:rPr>
      </w:pPr>
      <w:r w:rsidRPr="0091434E">
        <w:rPr>
          <w:rStyle w:val="FootnoteReference"/>
          <w:rFonts w:asciiTheme="majorHAnsi" w:hAnsiTheme="majorHAnsi"/>
          <w:szCs w:val="16"/>
        </w:rPr>
        <w:footnoteRef/>
      </w:r>
      <w:r w:rsidRPr="0091434E">
        <w:rPr>
          <w:rFonts w:asciiTheme="majorHAnsi" w:hAnsiTheme="majorHAnsi"/>
          <w:szCs w:val="16"/>
          <w:lang w:val="es-PE"/>
        </w:rPr>
        <w:t xml:space="preserve"> CIDH, Informe No. 150/18, Caso 12.954, Informe de Fondo, Jineth Bedoya Lima y otra, Colombia, 7 de diciembre de 2018, párr. 116.</w:t>
      </w:r>
    </w:p>
  </w:footnote>
  <w:footnote w:id="174">
    <w:p w14:paraId="5CB2EE78" w14:textId="77777777" w:rsidR="00AC2B34" w:rsidRPr="0091434E" w:rsidRDefault="00AC2B34" w:rsidP="00EE66B7">
      <w:pPr>
        <w:pStyle w:val="FootnoteText"/>
        <w:jc w:val="both"/>
        <w:rPr>
          <w:rFonts w:asciiTheme="majorHAnsi" w:hAnsiTheme="majorHAnsi"/>
          <w:szCs w:val="16"/>
          <w:lang w:val="es-PE"/>
        </w:rPr>
      </w:pPr>
      <w:r w:rsidRPr="0091434E">
        <w:rPr>
          <w:rStyle w:val="FootnoteReference"/>
          <w:rFonts w:asciiTheme="majorHAnsi" w:hAnsiTheme="majorHAnsi"/>
          <w:szCs w:val="16"/>
        </w:rPr>
        <w:footnoteRef/>
      </w:r>
      <w:r w:rsidRPr="0091434E">
        <w:rPr>
          <w:rFonts w:asciiTheme="majorHAnsi" w:hAnsiTheme="majorHAnsi"/>
          <w:szCs w:val="16"/>
          <w:lang w:val="es-PE"/>
        </w:rPr>
        <w:t xml:space="preserve"> CIDH, Informe No. 33/16, Caso 12.797, Informe de Fondo, Linda Loaiza López Soto y Familiares, Venezuela, 29 de julio de 2016, párr. 270.</w:t>
      </w:r>
    </w:p>
  </w:footnote>
  <w:footnote w:id="175">
    <w:p w14:paraId="57736821" w14:textId="77777777" w:rsidR="00AC2B34" w:rsidRPr="0091434E" w:rsidRDefault="00AC2B34" w:rsidP="00EE66B7">
      <w:pPr>
        <w:pStyle w:val="FootnoteText"/>
        <w:jc w:val="both"/>
        <w:rPr>
          <w:rFonts w:asciiTheme="majorHAnsi" w:hAnsiTheme="majorHAnsi"/>
          <w:szCs w:val="16"/>
          <w:lang w:val="es-PE"/>
        </w:rPr>
      </w:pPr>
      <w:r w:rsidRPr="0091434E">
        <w:rPr>
          <w:rStyle w:val="FootnoteReference"/>
          <w:rFonts w:asciiTheme="majorHAnsi" w:hAnsiTheme="majorHAnsi"/>
          <w:szCs w:val="16"/>
        </w:rPr>
        <w:footnoteRef/>
      </w:r>
      <w:r w:rsidRPr="0091434E">
        <w:rPr>
          <w:rFonts w:asciiTheme="majorHAnsi" w:hAnsiTheme="majorHAnsi"/>
          <w:szCs w:val="16"/>
          <w:lang w:val="es-PE"/>
        </w:rPr>
        <w:t xml:space="preserve"> CIDH, Informe No. 150/18, Caso 12.954, Informe de Fondo, Jineth Bedoya Lima y otra, Colombia, 7 de diciembre de 2018, párr. 117. CIDH, Situación de los Derechos de la Mujer en Ciudad Juárez, México. El Derecho a no ser Objeto de Violencia y Discriminación, párr. 165. Corte IDH. Caso Gonzáles y otras (“Campo Algodonero”) Vs. México. Excepción Preliminar, Fondo, Reparaciones y Costas. Sentencia de 16 de noviembre de 2009. Serie C No. 205, párr. 400.</w:t>
      </w:r>
    </w:p>
  </w:footnote>
  <w:footnote w:id="176">
    <w:p w14:paraId="016EA178" w14:textId="77777777" w:rsidR="00AC2B34" w:rsidRPr="0091434E" w:rsidRDefault="00AC2B34" w:rsidP="00EE66B7">
      <w:pPr>
        <w:pStyle w:val="FootnoteText"/>
        <w:jc w:val="both"/>
        <w:rPr>
          <w:rFonts w:asciiTheme="majorHAnsi" w:hAnsiTheme="majorHAnsi"/>
          <w:szCs w:val="16"/>
          <w:lang w:val="es-ES"/>
        </w:rPr>
      </w:pPr>
      <w:r w:rsidRPr="0091434E">
        <w:rPr>
          <w:rStyle w:val="FootnoteReference"/>
          <w:rFonts w:asciiTheme="majorHAnsi" w:hAnsiTheme="majorHAnsi"/>
          <w:szCs w:val="16"/>
        </w:rPr>
        <w:footnoteRef/>
      </w:r>
      <w:r w:rsidRPr="0091434E">
        <w:rPr>
          <w:rFonts w:asciiTheme="majorHAnsi" w:hAnsiTheme="majorHAnsi"/>
          <w:szCs w:val="16"/>
          <w:lang w:val="es-PE"/>
        </w:rPr>
        <w:t xml:space="preserve"> </w:t>
      </w:r>
      <w:r w:rsidRPr="0091434E">
        <w:rPr>
          <w:rFonts w:asciiTheme="majorHAnsi" w:hAnsiTheme="majorHAnsi"/>
          <w:szCs w:val="16"/>
          <w:lang w:val="es-ES"/>
        </w:rPr>
        <w:t>Corte IDH. Caso Guerrero, Molina y otros Vs. Venezuela. Fondo, Reparaciones y Costas. Sentencia de 3 de junio de 2021. Serie C No. 424. Párr. 114; Corte IDH. Caso Guzmán Albarracín y otras Vs. Ecuador. Fondo, Reparaciones y Costas. Sentencia de 24 de junio de 2020. Serie C No. 405. Párr. 148. Corte IDH. Caso Yvon Neptune Vs. Haití, Fondo, Reparaciones y Costas. Sentencia de 6 de mayo de 2008. Serie C No. 180. Párr. 129.</w:t>
      </w:r>
    </w:p>
  </w:footnote>
  <w:footnote w:id="177">
    <w:p w14:paraId="0C352627" w14:textId="77777777" w:rsidR="00AC2B34" w:rsidRPr="0091434E" w:rsidRDefault="00AC2B34" w:rsidP="00EE66B7">
      <w:pPr>
        <w:pStyle w:val="FootnoteText"/>
        <w:jc w:val="both"/>
        <w:rPr>
          <w:rFonts w:asciiTheme="majorHAnsi" w:hAnsiTheme="majorHAnsi"/>
          <w:szCs w:val="16"/>
          <w:lang w:val="es-ES"/>
        </w:rPr>
      </w:pPr>
      <w:r w:rsidRPr="0091434E">
        <w:rPr>
          <w:rStyle w:val="FootnoteReference"/>
          <w:rFonts w:asciiTheme="majorHAnsi" w:hAnsiTheme="majorHAnsi"/>
          <w:szCs w:val="16"/>
        </w:rPr>
        <w:footnoteRef/>
      </w:r>
      <w:r w:rsidRPr="0091434E">
        <w:rPr>
          <w:rFonts w:asciiTheme="majorHAnsi" w:hAnsiTheme="majorHAnsi"/>
          <w:szCs w:val="16"/>
          <w:lang w:val="es-PE"/>
        </w:rPr>
        <w:t xml:space="preserve"> </w:t>
      </w:r>
      <w:r w:rsidRPr="0091434E">
        <w:rPr>
          <w:rFonts w:asciiTheme="majorHAnsi" w:hAnsiTheme="majorHAnsi"/>
          <w:szCs w:val="16"/>
          <w:lang w:val="es-ES"/>
        </w:rPr>
        <w:t>En los diferentes escritos presentados por la parte peticionaria a la CIDH, se ha indicado que la pericia en cuestión fue practicada entre 9 y 12 días después de que la violación sexual en perjuicio de la señora Maleno fuera cometida.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6DB15" w14:textId="77777777" w:rsidR="00AC2B34" w:rsidRDefault="00AC2B34" w:rsidP="00795A4D">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791F7105" w14:textId="77777777" w:rsidR="00AC2B34" w:rsidRDefault="00AC2B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97224" w14:textId="77777777" w:rsidR="00AC2B34" w:rsidRDefault="00AC2B34" w:rsidP="00A50FCF">
    <w:pPr>
      <w:pStyle w:val="Header"/>
      <w:tabs>
        <w:tab w:val="clear" w:pos="4320"/>
        <w:tab w:val="clear" w:pos="8640"/>
      </w:tabs>
      <w:jc w:val="center"/>
      <w:rPr>
        <w:sz w:val="22"/>
        <w:szCs w:val="22"/>
      </w:rPr>
    </w:pPr>
    <w:r>
      <w:rPr>
        <w:noProof/>
        <w:sz w:val="22"/>
        <w:szCs w:val="22"/>
      </w:rPr>
      <w:drawing>
        <wp:inline distT="0" distB="0" distL="0" distR="0" wp14:anchorId="17F309DE" wp14:editId="61CE5819">
          <wp:extent cx="1972237" cy="104775"/>
          <wp:effectExtent l="0" t="0" r="9525" b="0"/>
          <wp:docPr id="16" name="Picture 16"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14:paraId="57DC8420" w14:textId="77777777" w:rsidR="00AC2B34" w:rsidRPr="00EC7D62" w:rsidRDefault="005022C3" w:rsidP="00A50FCF">
    <w:pPr>
      <w:pStyle w:val="Header"/>
      <w:tabs>
        <w:tab w:val="clear" w:pos="4320"/>
        <w:tab w:val="clear" w:pos="8640"/>
      </w:tabs>
      <w:jc w:val="center"/>
      <w:rPr>
        <w:sz w:val="22"/>
        <w:szCs w:val="22"/>
      </w:rPr>
    </w:pPr>
    <w:r>
      <w:rPr>
        <w:noProof/>
        <w:sz w:val="22"/>
        <w:szCs w:val="22"/>
        <w:bdr w:val="nil"/>
      </w:rPr>
      <w:pict w14:anchorId="30E965FB">
        <v:rect id="_x0000_i1025" alt="" style="width:468pt;height:.05pt;mso-width-percent:0;mso-height-percent:0;mso-width-percent:0;mso-height-percent:0"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36304"/>
    <w:multiLevelType w:val="hybridMultilevel"/>
    <w:tmpl w:val="C0762590"/>
    <w:lvl w:ilvl="0" w:tplc="D2ACBF1A">
      <w:start w:val="1"/>
      <w:numFmt w:val="decimal"/>
      <w:lvlText w:val="%1."/>
      <w:lvlJc w:val="left"/>
      <w:pPr>
        <w:ind w:left="1080" w:hanging="360"/>
      </w:pPr>
      <w:rPr>
        <w:rFonts w:ascii="Cambria" w:hAnsi="Cambria" w:hint="default"/>
        <w:b/>
        <w:i w:val="0"/>
        <w:sz w:val="20"/>
      </w:rPr>
    </w:lvl>
    <w:lvl w:ilvl="1" w:tplc="38522072">
      <w:start w:val="1"/>
      <w:numFmt w:val="lowerLetter"/>
      <w:lvlText w:val="%2."/>
      <w:lvlJc w:val="left"/>
      <w:pPr>
        <w:ind w:left="890" w:hanging="440"/>
      </w:pPr>
      <w:rPr>
        <w:rFonts w:hint="default"/>
        <w:color w:val="000000" w:themeColor="text1"/>
      </w:r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 w15:restartNumberingAfterBreak="0">
    <w:nsid w:val="04FE3501"/>
    <w:multiLevelType w:val="hybridMultilevel"/>
    <w:tmpl w:val="C71AB794"/>
    <w:lvl w:ilvl="0" w:tplc="B426BB08">
      <w:start w:val="1"/>
      <w:numFmt w:val="decimal"/>
      <w:lvlText w:val="%1."/>
      <w:lvlJc w:val="left"/>
      <w:pPr>
        <w:ind w:left="990" w:hanging="360"/>
      </w:pPr>
      <w:rPr>
        <w:rFonts w:hint="default"/>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2"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3"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6" w15:restartNumberingAfterBreak="0">
    <w:nsid w:val="117850C6"/>
    <w:multiLevelType w:val="hybridMultilevel"/>
    <w:tmpl w:val="FFF03F68"/>
    <w:lvl w:ilvl="0" w:tplc="D25C892A">
      <w:start w:val="1"/>
      <w:numFmt w:val="lowerLetter"/>
      <w:lvlText w:val="%1."/>
      <w:lvlJc w:val="left"/>
      <w:pPr>
        <w:ind w:left="1080" w:hanging="360"/>
      </w:pPr>
      <w:rPr>
        <w:rFonts w:ascii="Cambria" w:hAnsi="Cambria" w:hint="default"/>
        <w:b/>
        <w:i w:val="0"/>
        <w:color w:val="auto"/>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8" w15:restartNumberingAfterBreak="0">
    <w:nsid w:val="1752504A"/>
    <w:multiLevelType w:val="hybridMultilevel"/>
    <w:tmpl w:val="D3F4C592"/>
    <w:lvl w:ilvl="0" w:tplc="7C2AE38A">
      <w:start w:val="1"/>
      <w:numFmt w:val="lowerLetter"/>
      <w:lvlText w:val="%1."/>
      <w:lvlJc w:val="left"/>
      <w:pPr>
        <w:ind w:left="1146" w:hanging="360"/>
      </w:pPr>
      <w:rPr>
        <w:rFonts w:asciiTheme="minorHAnsi" w:hAnsiTheme="minorHAnsi" w:hint="default"/>
        <w:b w:val="0"/>
        <w:i w:val="0"/>
        <w:sz w:val="22"/>
      </w:r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 w15:restartNumberingAfterBreak="0">
    <w:nsid w:val="18303217"/>
    <w:multiLevelType w:val="multilevel"/>
    <w:tmpl w:val="9148F59A"/>
    <w:lvl w:ilvl="0">
      <w:start w:val="1"/>
      <w:numFmt w:val="decimal"/>
      <w:lvlText w:val="%1."/>
      <w:lvlJc w:val="left"/>
      <w:pPr>
        <w:ind w:left="360" w:hanging="360"/>
      </w:pPr>
      <w:rPr>
        <w:rFonts w:ascii="Cambria" w:eastAsia="Cambria" w:hAnsi="Cambria" w:cs="Cambria"/>
        <w:b w:val="0"/>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1"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12"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3"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4"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5"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6"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7"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8" w15:restartNumberingAfterBreak="0">
    <w:nsid w:val="23D67F18"/>
    <w:multiLevelType w:val="hybridMultilevel"/>
    <w:tmpl w:val="EE70DB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0"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1"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2"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3"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4" w15:restartNumberingAfterBreak="0">
    <w:nsid w:val="31037A81"/>
    <w:multiLevelType w:val="hybridMultilevel"/>
    <w:tmpl w:val="F598743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6"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7"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8"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9"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0"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1"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32" w15:restartNumberingAfterBreak="0">
    <w:nsid w:val="3A2C5E2C"/>
    <w:multiLevelType w:val="hybridMultilevel"/>
    <w:tmpl w:val="8ACA05A0"/>
    <w:lvl w:ilvl="0" w:tplc="2B6C2152">
      <w:start w:val="1"/>
      <w:numFmt w:val="upperLetter"/>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34" w15:restartNumberingAfterBreak="0">
    <w:nsid w:val="3C204D0A"/>
    <w:multiLevelType w:val="hybridMultilevel"/>
    <w:tmpl w:val="9B847F4E"/>
    <w:lvl w:ilvl="0" w:tplc="27FC52EC">
      <w:start w:val="1"/>
      <w:numFmt w:val="decimal"/>
      <w:lvlText w:val="%1."/>
      <w:lvlJc w:val="left"/>
      <w:pPr>
        <w:ind w:left="720" w:hanging="360"/>
      </w:pPr>
      <w:rPr>
        <w:rFonts w:ascii="Cambria" w:hAnsi="Cambria"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6" w15:restartNumberingAfterBreak="0">
    <w:nsid w:val="42DF19D7"/>
    <w:multiLevelType w:val="multilevel"/>
    <w:tmpl w:val="E7265BB0"/>
    <w:styleLink w:val="List511"/>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7"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8"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9"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0"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1" w15:restartNumberingAfterBreak="0">
    <w:nsid w:val="492723E7"/>
    <w:multiLevelType w:val="multilevel"/>
    <w:tmpl w:val="0CF8CC36"/>
    <w:styleLink w:val="List211"/>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2"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43"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4" w15:restartNumberingAfterBreak="0">
    <w:nsid w:val="4EFA0CA4"/>
    <w:multiLevelType w:val="hybridMultilevel"/>
    <w:tmpl w:val="E81AD80A"/>
    <w:lvl w:ilvl="0" w:tplc="D2ACBF1A">
      <w:start w:val="1"/>
      <w:numFmt w:val="decimal"/>
      <w:lvlText w:val="%1."/>
      <w:lvlJc w:val="left"/>
      <w:pPr>
        <w:ind w:left="1980" w:hanging="360"/>
      </w:pPr>
      <w:rPr>
        <w:rFonts w:ascii="Cambria" w:hAnsi="Cambria" w:hint="default"/>
        <w:b/>
        <w:i w:val="0"/>
        <w:sz w:val="20"/>
      </w:rPr>
    </w:lvl>
    <w:lvl w:ilvl="1" w:tplc="04090019">
      <w:start w:val="1"/>
      <w:numFmt w:val="lowerLetter"/>
      <w:lvlText w:val="%2."/>
      <w:lvlJc w:val="left"/>
      <w:pPr>
        <w:ind w:left="1440" w:hanging="360"/>
      </w:pPr>
    </w:lvl>
    <w:lvl w:ilvl="2" w:tplc="A17EC7DC">
      <w:start w:val="1"/>
      <w:numFmt w:val="decimal"/>
      <w:lvlText w:val="%3."/>
      <w:lvlJc w:val="left"/>
      <w:pPr>
        <w:ind w:left="2340" w:hanging="360"/>
      </w:pPr>
      <w:rPr>
        <w:rFonts w:ascii="Cambria" w:hAnsi="Cambria" w:hint="default"/>
        <w:b/>
        <w:i w:val="0"/>
        <w:sz w:val="2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6"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7" w15:restartNumberingAfterBreak="0">
    <w:nsid w:val="5087187A"/>
    <w:multiLevelType w:val="multilevel"/>
    <w:tmpl w:val="D5303458"/>
    <w:styleLink w:val="List21"/>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8" w15:restartNumberingAfterBreak="0">
    <w:nsid w:val="52EE29D4"/>
    <w:multiLevelType w:val="hybridMultilevel"/>
    <w:tmpl w:val="BB7071FC"/>
    <w:lvl w:ilvl="0" w:tplc="0809001B">
      <w:start w:val="1"/>
      <w:numFmt w:val="lowerRoman"/>
      <w:lvlText w:val="%1."/>
      <w:lvlJc w:val="right"/>
      <w:pPr>
        <w:ind w:left="1446" w:hanging="360"/>
      </w:pPr>
    </w:lvl>
    <w:lvl w:ilvl="1" w:tplc="08090019" w:tentative="1">
      <w:start w:val="1"/>
      <w:numFmt w:val="lowerLetter"/>
      <w:lvlText w:val="%2."/>
      <w:lvlJc w:val="left"/>
      <w:pPr>
        <w:ind w:left="2166" w:hanging="360"/>
      </w:pPr>
    </w:lvl>
    <w:lvl w:ilvl="2" w:tplc="0809001B" w:tentative="1">
      <w:start w:val="1"/>
      <w:numFmt w:val="lowerRoman"/>
      <w:lvlText w:val="%3."/>
      <w:lvlJc w:val="right"/>
      <w:pPr>
        <w:ind w:left="2886" w:hanging="180"/>
      </w:pPr>
    </w:lvl>
    <w:lvl w:ilvl="3" w:tplc="0809000F" w:tentative="1">
      <w:start w:val="1"/>
      <w:numFmt w:val="decimal"/>
      <w:lvlText w:val="%4."/>
      <w:lvlJc w:val="left"/>
      <w:pPr>
        <w:ind w:left="3606" w:hanging="360"/>
      </w:pPr>
    </w:lvl>
    <w:lvl w:ilvl="4" w:tplc="08090019" w:tentative="1">
      <w:start w:val="1"/>
      <w:numFmt w:val="lowerLetter"/>
      <w:lvlText w:val="%5."/>
      <w:lvlJc w:val="left"/>
      <w:pPr>
        <w:ind w:left="4326" w:hanging="360"/>
      </w:pPr>
    </w:lvl>
    <w:lvl w:ilvl="5" w:tplc="0809001B" w:tentative="1">
      <w:start w:val="1"/>
      <w:numFmt w:val="lowerRoman"/>
      <w:lvlText w:val="%6."/>
      <w:lvlJc w:val="right"/>
      <w:pPr>
        <w:ind w:left="5046" w:hanging="180"/>
      </w:pPr>
    </w:lvl>
    <w:lvl w:ilvl="6" w:tplc="0809000F" w:tentative="1">
      <w:start w:val="1"/>
      <w:numFmt w:val="decimal"/>
      <w:lvlText w:val="%7."/>
      <w:lvlJc w:val="left"/>
      <w:pPr>
        <w:ind w:left="5766" w:hanging="360"/>
      </w:pPr>
    </w:lvl>
    <w:lvl w:ilvl="7" w:tplc="08090019" w:tentative="1">
      <w:start w:val="1"/>
      <w:numFmt w:val="lowerLetter"/>
      <w:lvlText w:val="%8."/>
      <w:lvlJc w:val="left"/>
      <w:pPr>
        <w:ind w:left="6486" w:hanging="360"/>
      </w:pPr>
    </w:lvl>
    <w:lvl w:ilvl="8" w:tplc="0809001B" w:tentative="1">
      <w:start w:val="1"/>
      <w:numFmt w:val="lowerRoman"/>
      <w:lvlText w:val="%9."/>
      <w:lvlJc w:val="right"/>
      <w:pPr>
        <w:ind w:left="7206" w:hanging="180"/>
      </w:pPr>
    </w:lvl>
  </w:abstractNum>
  <w:abstractNum w:abstractNumId="49"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0"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51" w15:restartNumberingAfterBreak="0">
    <w:nsid w:val="5BF62682"/>
    <w:multiLevelType w:val="multilevel"/>
    <w:tmpl w:val="44B09150"/>
    <w:styleLink w:val="List5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2" w15:restartNumberingAfterBreak="0">
    <w:nsid w:val="5D7D4B9D"/>
    <w:multiLevelType w:val="hybridMultilevel"/>
    <w:tmpl w:val="D69CA88C"/>
    <w:lvl w:ilvl="0" w:tplc="66705476">
      <w:start w:val="1"/>
      <w:numFmt w:val="decimal"/>
      <w:lvlText w:val="%1."/>
      <w:lvlJc w:val="left"/>
      <w:pPr>
        <w:ind w:left="1980" w:hanging="360"/>
      </w:pPr>
      <w:rPr>
        <w:rFonts w:ascii="Cambria" w:hAnsi="Cambria" w:hint="default"/>
        <w:b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FDF2ED9"/>
    <w:multiLevelType w:val="hybridMultilevel"/>
    <w:tmpl w:val="052CDC5E"/>
    <w:lvl w:ilvl="0" w:tplc="D92C12E8">
      <w:start w:val="1"/>
      <w:numFmt w:val="decimal"/>
      <w:lvlText w:val="%1."/>
      <w:lvlJc w:val="left"/>
      <w:pPr>
        <w:tabs>
          <w:tab w:val="num" w:pos="1860"/>
        </w:tabs>
        <w:ind w:left="1860" w:hanging="4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5" w15:restartNumberingAfterBreak="0">
    <w:nsid w:val="65EA7C44"/>
    <w:multiLevelType w:val="hybridMultilevel"/>
    <w:tmpl w:val="33FE146E"/>
    <w:lvl w:ilvl="0" w:tplc="B574954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7"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58"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9" w15:restartNumberingAfterBreak="0">
    <w:nsid w:val="70786ED7"/>
    <w:multiLevelType w:val="hybridMultilevel"/>
    <w:tmpl w:val="50BCA1C8"/>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09F4E39"/>
    <w:multiLevelType w:val="hybridMultilevel"/>
    <w:tmpl w:val="642097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1162337"/>
    <w:multiLevelType w:val="hybridMultilevel"/>
    <w:tmpl w:val="5016E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45A711E"/>
    <w:multiLevelType w:val="multilevel"/>
    <w:tmpl w:val="ED88159C"/>
    <w:styleLink w:val="List411"/>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3" w15:restartNumberingAfterBreak="0">
    <w:nsid w:val="78C26FCF"/>
    <w:multiLevelType w:val="multilevel"/>
    <w:tmpl w:val="2FCAD168"/>
    <w:styleLink w:val="List311"/>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4"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65"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6"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7"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8"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9"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1853107846">
    <w:abstractNumId w:val="5"/>
  </w:num>
  <w:num w:numId="2" w16cid:durableId="643629700">
    <w:abstractNumId w:val="7"/>
  </w:num>
  <w:num w:numId="3" w16cid:durableId="511648651">
    <w:abstractNumId w:val="64"/>
  </w:num>
  <w:num w:numId="4" w16cid:durableId="2102950804">
    <w:abstractNumId w:val="26"/>
  </w:num>
  <w:num w:numId="5" w16cid:durableId="1938635264">
    <w:abstractNumId w:val="56"/>
  </w:num>
  <w:num w:numId="6" w16cid:durableId="606810330">
    <w:abstractNumId w:val="31"/>
  </w:num>
  <w:num w:numId="7" w16cid:durableId="162745025">
    <w:abstractNumId w:val="10"/>
  </w:num>
  <w:num w:numId="8" w16cid:durableId="847259125">
    <w:abstractNumId w:val="21"/>
  </w:num>
  <w:num w:numId="9" w16cid:durableId="543445110">
    <w:abstractNumId w:val="49"/>
  </w:num>
  <w:num w:numId="10" w16cid:durableId="723797736">
    <w:abstractNumId w:val="2"/>
  </w:num>
  <w:num w:numId="11" w16cid:durableId="687948326">
    <w:abstractNumId w:val="42"/>
  </w:num>
  <w:num w:numId="12" w16cid:durableId="15817231">
    <w:abstractNumId w:val="43"/>
  </w:num>
  <w:num w:numId="13" w16cid:durableId="1918856547">
    <w:abstractNumId w:val="50"/>
  </w:num>
  <w:num w:numId="14" w16cid:durableId="1945452104">
    <w:abstractNumId w:val="3"/>
  </w:num>
  <w:num w:numId="15" w16cid:durableId="682365761">
    <w:abstractNumId w:val="4"/>
  </w:num>
  <w:num w:numId="16" w16cid:durableId="388724849">
    <w:abstractNumId w:val="11"/>
  </w:num>
  <w:num w:numId="17" w16cid:durableId="1137532528">
    <w:abstractNumId w:val="12"/>
  </w:num>
  <w:num w:numId="18" w16cid:durableId="623463287">
    <w:abstractNumId w:val="13"/>
  </w:num>
  <w:num w:numId="19" w16cid:durableId="1423799254">
    <w:abstractNumId w:val="14"/>
  </w:num>
  <w:num w:numId="20" w16cid:durableId="1967352239">
    <w:abstractNumId w:val="15"/>
  </w:num>
  <w:num w:numId="21" w16cid:durableId="700980354">
    <w:abstractNumId w:val="16"/>
  </w:num>
  <w:num w:numId="22" w16cid:durableId="1880777869">
    <w:abstractNumId w:val="17"/>
  </w:num>
  <w:num w:numId="23" w16cid:durableId="1877886700">
    <w:abstractNumId w:val="19"/>
  </w:num>
  <w:num w:numId="24" w16cid:durableId="1140268205">
    <w:abstractNumId w:val="20"/>
  </w:num>
  <w:num w:numId="25" w16cid:durableId="1298336743">
    <w:abstractNumId w:val="22"/>
  </w:num>
  <w:num w:numId="26" w16cid:durableId="1372220419">
    <w:abstractNumId w:val="23"/>
  </w:num>
  <w:num w:numId="27" w16cid:durableId="536087467">
    <w:abstractNumId w:val="27"/>
  </w:num>
  <w:num w:numId="28" w16cid:durableId="1363901086">
    <w:abstractNumId w:val="28"/>
  </w:num>
  <w:num w:numId="29" w16cid:durableId="1782610197">
    <w:abstractNumId w:val="29"/>
  </w:num>
  <w:num w:numId="30" w16cid:durableId="84766837">
    <w:abstractNumId w:val="30"/>
  </w:num>
  <w:num w:numId="31" w16cid:durableId="1781870471">
    <w:abstractNumId w:val="33"/>
  </w:num>
  <w:num w:numId="32" w16cid:durableId="435829168">
    <w:abstractNumId w:val="35"/>
  </w:num>
  <w:num w:numId="33" w16cid:durableId="616369878">
    <w:abstractNumId w:val="36"/>
  </w:num>
  <w:num w:numId="34" w16cid:durableId="1357077581">
    <w:abstractNumId w:val="37"/>
  </w:num>
  <w:num w:numId="35" w16cid:durableId="1906908985">
    <w:abstractNumId w:val="38"/>
  </w:num>
  <w:num w:numId="36" w16cid:durableId="243144621">
    <w:abstractNumId w:val="39"/>
  </w:num>
  <w:num w:numId="37" w16cid:durableId="257491021">
    <w:abstractNumId w:val="40"/>
  </w:num>
  <w:num w:numId="38" w16cid:durableId="1763990712">
    <w:abstractNumId w:val="41"/>
  </w:num>
  <w:num w:numId="39" w16cid:durableId="174734952">
    <w:abstractNumId w:val="45"/>
  </w:num>
  <w:num w:numId="40" w16cid:durableId="1887141675">
    <w:abstractNumId w:val="46"/>
  </w:num>
  <w:num w:numId="41" w16cid:durableId="91631086">
    <w:abstractNumId w:val="54"/>
  </w:num>
  <w:num w:numId="42" w16cid:durableId="1666739917">
    <w:abstractNumId w:val="57"/>
  </w:num>
  <w:num w:numId="43" w16cid:durableId="620839227">
    <w:abstractNumId w:val="58"/>
  </w:num>
  <w:num w:numId="44" w16cid:durableId="460464039">
    <w:abstractNumId w:val="62"/>
  </w:num>
  <w:num w:numId="45" w16cid:durableId="1957298713">
    <w:abstractNumId w:val="63"/>
  </w:num>
  <w:num w:numId="46" w16cid:durableId="1985235680">
    <w:abstractNumId w:val="65"/>
  </w:num>
  <w:num w:numId="47" w16cid:durableId="1797791121">
    <w:abstractNumId w:val="66"/>
  </w:num>
  <w:num w:numId="48" w16cid:durableId="396051975">
    <w:abstractNumId w:val="67"/>
  </w:num>
  <w:num w:numId="49" w16cid:durableId="923297622">
    <w:abstractNumId w:val="68"/>
  </w:num>
  <w:num w:numId="50" w16cid:durableId="638724239">
    <w:abstractNumId w:val="69"/>
  </w:num>
  <w:num w:numId="51" w16cid:durableId="2080864300">
    <w:abstractNumId w:val="25"/>
  </w:num>
  <w:num w:numId="52" w16cid:durableId="79524383">
    <w:abstractNumId w:val="47"/>
  </w:num>
  <w:num w:numId="53" w16cid:durableId="790629378">
    <w:abstractNumId w:val="59"/>
  </w:num>
  <w:num w:numId="54" w16cid:durableId="525293286">
    <w:abstractNumId w:val="51"/>
  </w:num>
  <w:num w:numId="55" w16cid:durableId="1049456226">
    <w:abstractNumId w:val="52"/>
  </w:num>
  <w:num w:numId="56" w16cid:durableId="22288715">
    <w:abstractNumId w:val="32"/>
  </w:num>
  <w:num w:numId="57" w16cid:durableId="78063098">
    <w:abstractNumId w:val="0"/>
  </w:num>
  <w:num w:numId="58" w16cid:durableId="1470905547">
    <w:abstractNumId w:val="0"/>
    <w:lvlOverride w:ilvl="0">
      <w:startOverride w:val="1"/>
    </w:lvlOverride>
  </w:num>
  <w:num w:numId="59" w16cid:durableId="1944340261">
    <w:abstractNumId w:val="0"/>
    <w:lvlOverride w:ilvl="0">
      <w:startOverride w:val="1"/>
    </w:lvlOverride>
  </w:num>
  <w:num w:numId="60" w16cid:durableId="1840731779">
    <w:abstractNumId w:val="53"/>
  </w:num>
  <w:num w:numId="61" w16cid:durableId="1049693738">
    <w:abstractNumId w:val="32"/>
    <w:lvlOverride w:ilvl="0">
      <w:startOverride w:val="1"/>
    </w:lvlOverride>
  </w:num>
  <w:num w:numId="62" w16cid:durableId="1771045016">
    <w:abstractNumId w:val="32"/>
    <w:lvlOverride w:ilvl="0">
      <w:startOverride w:val="1"/>
    </w:lvlOverride>
  </w:num>
  <w:num w:numId="63" w16cid:durableId="1961255674">
    <w:abstractNumId w:val="8"/>
  </w:num>
  <w:num w:numId="64" w16cid:durableId="641034244">
    <w:abstractNumId w:val="1"/>
  </w:num>
  <w:num w:numId="65" w16cid:durableId="563029341">
    <w:abstractNumId w:val="0"/>
  </w:num>
  <w:num w:numId="66" w16cid:durableId="2126535614">
    <w:abstractNumId w:val="32"/>
  </w:num>
  <w:num w:numId="67" w16cid:durableId="1356468566">
    <w:abstractNumId w:val="0"/>
  </w:num>
  <w:num w:numId="68" w16cid:durableId="834763186">
    <w:abstractNumId w:val="24"/>
  </w:num>
  <w:num w:numId="69" w16cid:durableId="155340169">
    <w:abstractNumId w:val="48"/>
  </w:num>
  <w:num w:numId="70" w16cid:durableId="479929940">
    <w:abstractNumId w:val="60"/>
  </w:num>
  <w:num w:numId="71" w16cid:durableId="1254581781">
    <w:abstractNumId w:val="44"/>
  </w:num>
  <w:num w:numId="72" w16cid:durableId="1891501501">
    <w:abstractNumId w:val="18"/>
  </w:num>
  <w:num w:numId="73" w16cid:durableId="1496842877">
    <w:abstractNumId w:val="61"/>
  </w:num>
  <w:num w:numId="74" w16cid:durableId="1741322958">
    <w:abstractNumId w:val="34"/>
  </w:num>
  <w:num w:numId="75" w16cid:durableId="1684891058">
    <w:abstractNumId w:val="9"/>
  </w:num>
  <w:num w:numId="76" w16cid:durableId="1753819944">
    <w:abstractNumId w:val="32"/>
  </w:num>
  <w:num w:numId="77" w16cid:durableId="627510518">
    <w:abstractNumId w:val="32"/>
  </w:num>
  <w:num w:numId="78" w16cid:durableId="1911112338">
    <w:abstractNumId w:val="6"/>
  </w:num>
  <w:num w:numId="79" w16cid:durableId="2128154250">
    <w:abstractNumId w:val="55"/>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IzMjQzNbU0MTOzNLFQ0lEKTi0uzszPAykwtKwFABZty0QtAAAA"/>
  </w:docVars>
  <w:rsids>
    <w:rsidRoot w:val="006B2D5C"/>
    <w:rsid w:val="0000036F"/>
    <w:rsid w:val="00000670"/>
    <w:rsid w:val="00000B9C"/>
    <w:rsid w:val="00000CDA"/>
    <w:rsid w:val="0000158C"/>
    <w:rsid w:val="00001DF3"/>
    <w:rsid w:val="00003576"/>
    <w:rsid w:val="00005F78"/>
    <w:rsid w:val="00006896"/>
    <w:rsid w:val="00006E1F"/>
    <w:rsid w:val="000070D7"/>
    <w:rsid w:val="0001103A"/>
    <w:rsid w:val="00012122"/>
    <w:rsid w:val="000128EE"/>
    <w:rsid w:val="00012FAB"/>
    <w:rsid w:val="000134FA"/>
    <w:rsid w:val="00015359"/>
    <w:rsid w:val="000158FD"/>
    <w:rsid w:val="00016C4C"/>
    <w:rsid w:val="0001788C"/>
    <w:rsid w:val="0002054C"/>
    <w:rsid w:val="00022308"/>
    <w:rsid w:val="0002230B"/>
    <w:rsid w:val="00022496"/>
    <w:rsid w:val="00022BE4"/>
    <w:rsid w:val="00022C79"/>
    <w:rsid w:val="00024DFE"/>
    <w:rsid w:val="00024EDA"/>
    <w:rsid w:val="00025F42"/>
    <w:rsid w:val="00026B83"/>
    <w:rsid w:val="00027565"/>
    <w:rsid w:val="000313AC"/>
    <w:rsid w:val="00032247"/>
    <w:rsid w:val="00032B1D"/>
    <w:rsid w:val="0003324F"/>
    <w:rsid w:val="000348F3"/>
    <w:rsid w:val="00036791"/>
    <w:rsid w:val="00036A03"/>
    <w:rsid w:val="00040C3A"/>
    <w:rsid w:val="0004139F"/>
    <w:rsid w:val="00042373"/>
    <w:rsid w:val="00043E3E"/>
    <w:rsid w:val="00044EC3"/>
    <w:rsid w:val="000517BC"/>
    <w:rsid w:val="00052692"/>
    <w:rsid w:val="00052EB4"/>
    <w:rsid w:val="00052EC0"/>
    <w:rsid w:val="000538E9"/>
    <w:rsid w:val="00055EEB"/>
    <w:rsid w:val="00057B66"/>
    <w:rsid w:val="0006051B"/>
    <w:rsid w:val="000618B7"/>
    <w:rsid w:val="000632F8"/>
    <w:rsid w:val="00065F19"/>
    <w:rsid w:val="000660E7"/>
    <w:rsid w:val="000671AE"/>
    <w:rsid w:val="0006786C"/>
    <w:rsid w:val="00067A5D"/>
    <w:rsid w:val="00070205"/>
    <w:rsid w:val="000716C5"/>
    <w:rsid w:val="00071C89"/>
    <w:rsid w:val="0007262C"/>
    <w:rsid w:val="0007273F"/>
    <w:rsid w:val="00072ED2"/>
    <w:rsid w:val="00072FD3"/>
    <w:rsid w:val="0007451A"/>
    <w:rsid w:val="00075E23"/>
    <w:rsid w:val="00075E3A"/>
    <w:rsid w:val="00081208"/>
    <w:rsid w:val="00086B59"/>
    <w:rsid w:val="00086EFE"/>
    <w:rsid w:val="00086FA6"/>
    <w:rsid w:val="000872D8"/>
    <w:rsid w:val="000875F4"/>
    <w:rsid w:val="0008768F"/>
    <w:rsid w:val="00087863"/>
    <w:rsid w:val="00090F6B"/>
    <w:rsid w:val="00092DAA"/>
    <w:rsid w:val="00092DC0"/>
    <w:rsid w:val="0009344A"/>
    <w:rsid w:val="000935B2"/>
    <w:rsid w:val="00094EA0"/>
    <w:rsid w:val="000957CA"/>
    <w:rsid w:val="00096184"/>
    <w:rsid w:val="000965A3"/>
    <w:rsid w:val="0009798E"/>
    <w:rsid w:val="00097D1A"/>
    <w:rsid w:val="000A0FBE"/>
    <w:rsid w:val="000A159A"/>
    <w:rsid w:val="000A1A22"/>
    <w:rsid w:val="000A1FBC"/>
    <w:rsid w:val="000A235A"/>
    <w:rsid w:val="000A3398"/>
    <w:rsid w:val="000A3566"/>
    <w:rsid w:val="000A392E"/>
    <w:rsid w:val="000A50FC"/>
    <w:rsid w:val="000A575F"/>
    <w:rsid w:val="000A576A"/>
    <w:rsid w:val="000A6AEB"/>
    <w:rsid w:val="000A6F53"/>
    <w:rsid w:val="000A70B2"/>
    <w:rsid w:val="000B02EF"/>
    <w:rsid w:val="000B09AC"/>
    <w:rsid w:val="000B1CAC"/>
    <w:rsid w:val="000B23D1"/>
    <w:rsid w:val="000B2BCA"/>
    <w:rsid w:val="000B306D"/>
    <w:rsid w:val="000B6D04"/>
    <w:rsid w:val="000B7002"/>
    <w:rsid w:val="000B7163"/>
    <w:rsid w:val="000B792A"/>
    <w:rsid w:val="000C113E"/>
    <w:rsid w:val="000C1700"/>
    <w:rsid w:val="000C4097"/>
    <w:rsid w:val="000C4E2A"/>
    <w:rsid w:val="000C57B3"/>
    <w:rsid w:val="000C7A11"/>
    <w:rsid w:val="000D10DB"/>
    <w:rsid w:val="000D1948"/>
    <w:rsid w:val="000D2A3E"/>
    <w:rsid w:val="000D2FFD"/>
    <w:rsid w:val="000D39BB"/>
    <w:rsid w:val="000D5AAA"/>
    <w:rsid w:val="000D6A0F"/>
    <w:rsid w:val="000D78C1"/>
    <w:rsid w:val="000E0331"/>
    <w:rsid w:val="000E10C9"/>
    <w:rsid w:val="000E10D9"/>
    <w:rsid w:val="000E339E"/>
    <w:rsid w:val="000E56EB"/>
    <w:rsid w:val="000E5EB5"/>
    <w:rsid w:val="000E6A79"/>
    <w:rsid w:val="000E6C7C"/>
    <w:rsid w:val="000E7E38"/>
    <w:rsid w:val="000E7E46"/>
    <w:rsid w:val="000F01B6"/>
    <w:rsid w:val="000F0757"/>
    <w:rsid w:val="000F0B39"/>
    <w:rsid w:val="000F0D06"/>
    <w:rsid w:val="000F11A4"/>
    <w:rsid w:val="000F31B7"/>
    <w:rsid w:val="000F35ED"/>
    <w:rsid w:val="000F3669"/>
    <w:rsid w:val="000F4085"/>
    <w:rsid w:val="000F455E"/>
    <w:rsid w:val="000F4CB0"/>
    <w:rsid w:val="0010127D"/>
    <w:rsid w:val="00102748"/>
    <w:rsid w:val="0010502E"/>
    <w:rsid w:val="001059FE"/>
    <w:rsid w:val="00105E03"/>
    <w:rsid w:val="00106790"/>
    <w:rsid w:val="00107131"/>
    <w:rsid w:val="0010736F"/>
    <w:rsid w:val="00107F31"/>
    <w:rsid w:val="00110F1F"/>
    <w:rsid w:val="001114E8"/>
    <w:rsid w:val="00112A7F"/>
    <w:rsid w:val="00113F73"/>
    <w:rsid w:val="001140CF"/>
    <w:rsid w:val="00114518"/>
    <w:rsid w:val="00115E38"/>
    <w:rsid w:val="00115E91"/>
    <w:rsid w:val="00117D8F"/>
    <w:rsid w:val="00120762"/>
    <w:rsid w:val="001208B8"/>
    <w:rsid w:val="001211D1"/>
    <w:rsid w:val="00121BC7"/>
    <w:rsid w:val="00121CC2"/>
    <w:rsid w:val="00122107"/>
    <w:rsid w:val="0012266D"/>
    <w:rsid w:val="0012455F"/>
    <w:rsid w:val="00124F05"/>
    <w:rsid w:val="00126177"/>
    <w:rsid w:val="00130A11"/>
    <w:rsid w:val="00133EE5"/>
    <w:rsid w:val="00135D22"/>
    <w:rsid w:val="0014064F"/>
    <w:rsid w:val="00141440"/>
    <w:rsid w:val="00142F40"/>
    <w:rsid w:val="00143D2D"/>
    <w:rsid w:val="00144191"/>
    <w:rsid w:val="00145E13"/>
    <w:rsid w:val="0014675E"/>
    <w:rsid w:val="00146767"/>
    <w:rsid w:val="001474E1"/>
    <w:rsid w:val="00151147"/>
    <w:rsid w:val="001538EB"/>
    <w:rsid w:val="0015583C"/>
    <w:rsid w:val="00155C48"/>
    <w:rsid w:val="00155D6A"/>
    <w:rsid w:val="001563D4"/>
    <w:rsid w:val="00156A7F"/>
    <w:rsid w:val="00160A17"/>
    <w:rsid w:val="00160A2A"/>
    <w:rsid w:val="00162B39"/>
    <w:rsid w:val="00162CE6"/>
    <w:rsid w:val="0016411B"/>
    <w:rsid w:val="00164ABB"/>
    <w:rsid w:val="0016585B"/>
    <w:rsid w:val="00166189"/>
    <w:rsid w:val="0016643D"/>
    <w:rsid w:val="00166B77"/>
    <w:rsid w:val="00167693"/>
    <w:rsid w:val="00167A34"/>
    <w:rsid w:val="00170267"/>
    <w:rsid w:val="00170FA4"/>
    <w:rsid w:val="001714F1"/>
    <w:rsid w:val="00171A41"/>
    <w:rsid w:val="00172513"/>
    <w:rsid w:val="0017322F"/>
    <w:rsid w:val="00176147"/>
    <w:rsid w:val="0017625E"/>
    <w:rsid w:val="001763A1"/>
    <w:rsid w:val="00176489"/>
    <w:rsid w:val="001765CD"/>
    <w:rsid w:val="00177091"/>
    <w:rsid w:val="00177E17"/>
    <w:rsid w:val="00181190"/>
    <w:rsid w:val="00181F34"/>
    <w:rsid w:val="0018393D"/>
    <w:rsid w:val="0018413D"/>
    <w:rsid w:val="0018438C"/>
    <w:rsid w:val="00184CCA"/>
    <w:rsid w:val="00184EF4"/>
    <w:rsid w:val="00186633"/>
    <w:rsid w:val="0018666F"/>
    <w:rsid w:val="001869D4"/>
    <w:rsid w:val="001879FB"/>
    <w:rsid w:val="00191FD7"/>
    <w:rsid w:val="001923FA"/>
    <w:rsid w:val="00193FB2"/>
    <w:rsid w:val="00194110"/>
    <w:rsid w:val="001947A5"/>
    <w:rsid w:val="001948FC"/>
    <w:rsid w:val="00194939"/>
    <w:rsid w:val="00195C7B"/>
    <w:rsid w:val="001A107B"/>
    <w:rsid w:val="001A2541"/>
    <w:rsid w:val="001A4A3D"/>
    <w:rsid w:val="001A7870"/>
    <w:rsid w:val="001A787D"/>
    <w:rsid w:val="001B0F20"/>
    <w:rsid w:val="001B164A"/>
    <w:rsid w:val="001B296D"/>
    <w:rsid w:val="001B2D4F"/>
    <w:rsid w:val="001B2EF5"/>
    <w:rsid w:val="001B344F"/>
    <w:rsid w:val="001B4D6D"/>
    <w:rsid w:val="001B579D"/>
    <w:rsid w:val="001B5ED4"/>
    <w:rsid w:val="001C103F"/>
    <w:rsid w:val="001C173A"/>
    <w:rsid w:val="001C1B41"/>
    <w:rsid w:val="001C2609"/>
    <w:rsid w:val="001C3BC2"/>
    <w:rsid w:val="001C3DFE"/>
    <w:rsid w:val="001C3E57"/>
    <w:rsid w:val="001C4B42"/>
    <w:rsid w:val="001C70B7"/>
    <w:rsid w:val="001D18C7"/>
    <w:rsid w:val="001D251F"/>
    <w:rsid w:val="001D2E04"/>
    <w:rsid w:val="001D2FAF"/>
    <w:rsid w:val="001D31FF"/>
    <w:rsid w:val="001D3585"/>
    <w:rsid w:val="001D415C"/>
    <w:rsid w:val="001D4374"/>
    <w:rsid w:val="001D6243"/>
    <w:rsid w:val="001D65EF"/>
    <w:rsid w:val="001D6B90"/>
    <w:rsid w:val="001D7432"/>
    <w:rsid w:val="001D7A3C"/>
    <w:rsid w:val="001E0DE9"/>
    <w:rsid w:val="001E11B2"/>
    <w:rsid w:val="001E15B6"/>
    <w:rsid w:val="001E2B1D"/>
    <w:rsid w:val="001E4CD9"/>
    <w:rsid w:val="001E4F4A"/>
    <w:rsid w:val="001E75EC"/>
    <w:rsid w:val="001E798C"/>
    <w:rsid w:val="001E7A13"/>
    <w:rsid w:val="001F07F1"/>
    <w:rsid w:val="001F1550"/>
    <w:rsid w:val="001F3157"/>
    <w:rsid w:val="001F4E48"/>
    <w:rsid w:val="001F54E5"/>
    <w:rsid w:val="001F731C"/>
    <w:rsid w:val="001F7552"/>
    <w:rsid w:val="001F7F33"/>
    <w:rsid w:val="00201EBF"/>
    <w:rsid w:val="00201F9F"/>
    <w:rsid w:val="002028DE"/>
    <w:rsid w:val="0020310B"/>
    <w:rsid w:val="00203344"/>
    <w:rsid w:val="00203481"/>
    <w:rsid w:val="00204B61"/>
    <w:rsid w:val="00204DDD"/>
    <w:rsid w:val="0020691A"/>
    <w:rsid w:val="00210165"/>
    <w:rsid w:val="002120D8"/>
    <w:rsid w:val="00212387"/>
    <w:rsid w:val="00213D17"/>
    <w:rsid w:val="00214084"/>
    <w:rsid w:val="0021468D"/>
    <w:rsid w:val="00214C2F"/>
    <w:rsid w:val="002156C8"/>
    <w:rsid w:val="00216A5C"/>
    <w:rsid w:val="00220590"/>
    <w:rsid w:val="00220D79"/>
    <w:rsid w:val="00221DE3"/>
    <w:rsid w:val="00224CCC"/>
    <w:rsid w:val="002250A3"/>
    <w:rsid w:val="002258FE"/>
    <w:rsid w:val="00225D36"/>
    <w:rsid w:val="002320C9"/>
    <w:rsid w:val="00234EB9"/>
    <w:rsid w:val="00235217"/>
    <w:rsid w:val="00235863"/>
    <w:rsid w:val="002367A5"/>
    <w:rsid w:val="00237433"/>
    <w:rsid w:val="002374F0"/>
    <w:rsid w:val="00240DD3"/>
    <w:rsid w:val="002415AC"/>
    <w:rsid w:val="00246217"/>
    <w:rsid w:val="002465AE"/>
    <w:rsid w:val="00246D1F"/>
    <w:rsid w:val="00247403"/>
    <w:rsid w:val="00247542"/>
    <w:rsid w:val="002504B4"/>
    <w:rsid w:val="00251D49"/>
    <w:rsid w:val="00251FBD"/>
    <w:rsid w:val="00253052"/>
    <w:rsid w:val="0025331D"/>
    <w:rsid w:val="002542B4"/>
    <w:rsid w:val="00254D3A"/>
    <w:rsid w:val="0025612A"/>
    <w:rsid w:val="00256A94"/>
    <w:rsid w:val="00260259"/>
    <w:rsid w:val="00261228"/>
    <w:rsid w:val="00262F9C"/>
    <w:rsid w:val="00263EF0"/>
    <w:rsid w:val="00265037"/>
    <w:rsid w:val="00266B61"/>
    <w:rsid w:val="0026712A"/>
    <w:rsid w:val="0027023B"/>
    <w:rsid w:val="002704DB"/>
    <w:rsid w:val="00272635"/>
    <w:rsid w:val="00272E1C"/>
    <w:rsid w:val="002753CB"/>
    <w:rsid w:val="00276827"/>
    <w:rsid w:val="00276CBE"/>
    <w:rsid w:val="00276D49"/>
    <w:rsid w:val="00276DF8"/>
    <w:rsid w:val="002772D9"/>
    <w:rsid w:val="00277EF9"/>
    <w:rsid w:val="0028012A"/>
    <w:rsid w:val="002827DD"/>
    <w:rsid w:val="002853D6"/>
    <w:rsid w:val="00285FD7"/>
    <w:rsid w:val="002923EB"/>
    <w:rsid w:val="00292E99"/>
    <w:rsid w:val="002933B1"/>
    <w:rsid w:val="00295144"/>
    <w:rsid w:val="00297CA8"/>
    <w:rsid w:val="002A0AAE"/>
    <w:rsid w:val="002A0B4A"/>
    <w:rsid w:val="002A12A5"/>
    <w:rsid w:val="002A13C1"/>
    <w:rsid w:val="002A1ECA"/>
    <w:rsid w:val="002A2CA5"/>
    <w:rsid w:val="002A3935"/>
    <w:rsid w:val="002A4555"/>
    <w:rsid w:val="002A4F1B"/>
    <w:rsid w:val="002A5820"/>
    <w:rsid w:val="002A7951"/>
    <w:rsid w:val="002A7B7D"/>
    <w:rsid w:val="002B1C84"/>
    <w:rsid w:val="002B3C77"/>
    <w:rsid w:val="002B59CC"/>
    <w:rsid w:val="002B755C"/>
    <w:rsid w:val="002B7F4A"/>
    <w:rsid w:val="002C0BE6"/>
    <w:rsid w:val="002C3E77"/>
    <w:rsid w:val="002D097C"/>
    <w:rsid w:val="002D12CC"/>
    <w:rsid w:val="002D1FE5"/>
    <w:rsid w:val="002D2B26"/>
    <w:rsid w:val="002D4319"/>
    <w:rsid w:val="002D43E9"/>
    <w:rsid w:val="002D50E7"/>
    <w:rsid w:val="002D5135"/>
    <w:rsid w:val="002D6737"/>
    <w:rsid w:val="002D6847"/>
    <w:rsid w:val="002D7EA2"/>
    <w:rsid w:val="002E0BDE"/>
    <w:rsid w:val="002E187C"/>
    <w:rsid w:val="002E1D8F"/>
    <w:rsid w:val="002E22AA"/>
    <w:rsid w:val="002E3CDE"/>
    <w:rsid w:val="002E4AEA"/>
    <w:rsid w:val="002E5C67"/>
    <w:rsid w:val="002E682F"/>
    <w:rsid w:val="002E7679"/>
    <w:rsid w:val="002F1DAE"/>
    <w:rsid w:val="002F3E7A"/>
    <w:rsid w:val="002F5950"/>
    <w:rsid w:val="002F5C7F"/>
    <w:rsid w:val="002F63A2"/>
    <w:rsid w:val="002F6E18"/>
    <w:rsid w:val="002F7F31"/>
    <w:rsid w:val="00300C86"/>
    <w:rsid w:val="0030125E"/>
    <w:rsid w:val="00302242"/>
    <w:rsid w:val="0030224F"/>
    <w:rsid w:val="00302733"/>
    <w:rsid w:val="00303259"/>
    <w:rsid w:val="00303D52"/>
    <w:rsid w:val="00307456"/>
    <w:rsid w:val="00307ABC"/>
    <w:rsid w:val="003105D5"/>
    <w:rsid w:val="003112E1"/>
    <w:rsid w:val="00312C5D"/>
    <w:rsid w:val="00314078"/>
    <w:rsid w:val="00314435"/>
    <w:rsid w:val="0031535D"/>
    <w:rsid w:val="00315B04"/>
    <w:rsid w:val="00315F3D"/>
    <w:rsid w:val="0032025B"/>
    <w:rsid w:val="00321078"/>
    <w:rsid w:val="00322BE5"/>
    <w:rsid w:val="003232F3"/>
    <w:rsid w:val="00323344"/>
    <w:rsid w:val="00324887"/>
    <w:rsid w:val="0032617B"/>
    <w:rsid w:val="00326260"/>
    <w:rsid w:val="003277CF"/>
    <w:rsid w:val="0033028D"/>
    <w:rsid w:val="003308BB"/>
    <w:rsid w:val="0033169F"/>
    <w:rsid w:val="003324C4"/>
    <w:rsid w:val="00336652"/>
    <w:rsid w:val="00337207"/>
    <w:rsid w:val="00337D40"/>
    <w:rsid w:val="00337EFE"/>
    <w:rsid w:val="0034255C"/>
    <w:rsid w:val="00343272"/>
    <w:rsid w:val="00346BE7"/>
    <w:rsid w:val="00346C95"/>
    <w:rsid w:val="003502F5"/>
    <w:rsid w:val="00351DF6"/>
    <w:rsid w:val="00352594"/>
    <w:rsid w:val="00354E79"/>
    <w:rsid w:val="00356185"/>
    <w:rsid w:val="00360380"/>
    <w:rsid w:val="00360415"/>
    <w:rsid w:val="00361415"/>
    <w:rsid w:val="003620A0"/>
    <w:rsid w:val="003624C2"/>
    <w:rsid w:val="003637C2"/>
    <w:rsid w:val="00365872"/>
    <w:rsid w:val="00365DC7"/>
    <w:rsid w:val="00366901"/>
    <w:rsid w:val="00366F0B"/>
    <w:rsid w:val="003671BA"/>
    <w:rsid w:val="00371E11"/>
    <w:rsid w:val="00372521"/>
    <w:rsid w:val="003727AE"/>
    <w:rsid w:val="003738B3"/>
    <w:rsid w:val="00373D69"/>
    <w:rsid w:val="00374DD1"/>
    <w:rsid w:val="0037519E"/>
    <w:rsid w:val="00375B2B"/>
    <w:rsid w:val="0037609C"/>
    <w:rsid w:val="0037635B"/>
    <w:rsid w:val="00377DCC"/>
    <w:rsid w:val="003814DD"/>
    <w:rsid w:val="00383A4E"/>
    <w:rsid w:val="0038475E"/>
    <w:rsid w:val="00384FBF"/>
    <w:rsid w:val="00385EB4"/>
    <w:rsid w:val="00386214"/>
    <w:rsid w:val="00386CB0"/>
    <w:rsid w:val="00386CF0"/>
    <w:rsid w:val="00386D2D"/>
    <w:rsid w:val="003872C0"/>
    <w:rsid w:val="0039034B"/>
    <w:rsid w:val="00390F68"/>
    <w:rsid w:val="00392FED"/>
    <w:rsid w:val="00394072"/>
    <w:rsid w:val="00394F64"/>
    <w:rsid w:val="00395477"/>
    <w:rsid w:val="00397959"/>
    <w:rsid w:val="003A0774"/>
    <w:rsid w:val="003A0A58"/>
    <w:rsid w:val="003A1175"/>
    <w:rsid w:val="003A4D2F"/>
    <w:rsid w:val="003A55AE"/>
    <w:rsid w:val="003A659A"/>
    <w:rsid w:val="003A6D59"/>
    <w:rsid w:val="003A796E"/>
    <w:rsid w:val="003B1BA4"/>
    <w:rsid w:val="003B2146"/>
    <w:rsid w:val="003B2BD7"/>
    <w:rsid w:val="003B495F"/>
    <w:rsid w:val="003B5318"/>
    <w:rsid w:val="003B5D89"/>
    <w:rsid w:val="003C00D5"/>
    <w:rsid w:val="003C30CC"/>
    <w:rsid w:val="003C34EC"/>
    <w:rsid w:val="003C5147"/>
    <w:rsid w:val="003C676B"/>
    <w:rsid w:val="003C723C"/>
    <w:rsid w:val="003D074B"/>
    <w:rsid w:val="003D138A"/>
    <w:rsid w:val="003D289E"/>
    <w:rsid w:val="003D3BC2"/>
    <w:rsid w:val="003D46C7"/>
    <w:rsid w:val="003D5F40"/>
    <w:rsid w:val="003D67C7"/>
    <w:rsid w:val="003D7C03"/>
    <w:rsid w:val="003E0B4D"/>
    <w:rsid w:val="003E3ABC"/>
    <w:rsid w:val="003E4030"/>
    <w:rsid w:val="003E432F"/>
    <w:rsid w:val="003E5B4A"/>
    <w:rsid w:val="003E5CC7"/>
    <w:rsid w:val="003E6CA1"/>
    <w:rsid w:val="003F0638"/>
    <w:rsid w:val="003F0B2D"/>
    <w:rsid w:val="003F19AD"/>
    <w:rsid w:val="003F3D39"/>
    <w:rsid w:val="003F4838"/>
    <w:rsid w:val="003F4FA6"/>
    <w:rsid w:val="003F5D46"/>
    <w:rsid w:val="003F73BC"/>
    <w:rsid w:val="00400AE0"/>
    <w:rsid w:val="00401F8B"/>
    <w:rsid w:val="004029E2"/>
    <w:rsid w:val="00403119"/>
    <w:rsid w:val="00403921"/>
    <w:rsid w:val="00403B27"/>
    <w:rsid w:val="00403F57"/>
    <w:rsid w:val="004065EA"/>
    <w:rsid w:val="00406B44"/>
    <w:rsid w:val="00413CCE"/>
    <w:rsid w:val="00413D2D"/>
    <w:rsid w:val="004165C2"/>
    <w:rsid w:val="004178F5"/>
    <w:rsid w:val="004201F0"/>
    <w:rsid w:val="004206AE"/>
    <w:rsid w:val="00423453"/>
    <w:rsid w:val="00423718"/>
    <w:rsid w:val="00423917"/>
    <w:rsid w:val="00426114"/>
    <w:rsid w:val="004269DE"/>
    <w:rsid w:val="00426E44"/>
    <w:rsid w:val="00426F51"/>
    <w:rsid w:val="00430B5C"/>
    <w:rsid w:val="00432912"/>
    <w:rsid w:val="0043294B"/>
    <w:rsid w:val="00432FB6"/>
    <w:rsid w:val="00433B61"/>
    <w:rsid w:val="00434447"/>
    <w:rsid w:val="00434DA4"/>
    <w:rsid w:val="00436FD7"/>
    <w:rsid w:val="00437655"/>
    <w:rsid w:val="00437664"/>
    <w:rsid w:val="00437777"/>
    <w:rsid w:val="0043794B"/>
    <w:rsid w:val="00440F08"/>
    <w:rsid w:val="00441919"/>
    <w:rsid w:val="00441ECB"/>
    <w:rsid w:val="00442090"/>
    <w:rsid w:val="00442667"/>
    <w:rsid w:val="004437FA"/>
    <w:rsid w:val="00443EC5"/>
    <w:rsid w:val="00443FFA"/>
    <w:rsid w:val="0044430F"/>
    <w:rsid w:val="00444FE6"/>
    <w:rsid w:val="00445BA8"/>
    <w:rsid w:val="0044690D"/>
    <w:rsid w:val="004471C7"/>
    <w:rsid w:val="00447A86"/>
    <w:rsid w:val="0045077F"/>
    <w:rsid w:val="004507CF"/>
    <w:rsid w:val="00450AC6"/>
    <w:rsid w:val="00453B04"/>
    <w:rsid w:val="00460348"/>
    <w:rsid w:val="004610BC"/>
    <w:rsid w:val="00462E7A"/>
    <w:rsid w:val="0046524E"/>
    <w:rsid w:val="00466A82"/>
    <w:rsid w:val="00467050"/>
    <w:rsid w:val="00467A4A"/>
    <w:rsid w:val="00467B7E"/>
    <w:rsid w:val="00470991"/>
    <w:rsid w:val="00471529"/>
    <w:rsid w:val="00472BBF"/>
    <w:rsid w:val="0047428B"/>
    <w:rsid w:val="00474DA4"/>
    <w:rsid w:val="00476081"/>
    <w:rsid w:val="00477592"/>
    <w:rsid w:val="00481B81"/>
    <w:rsid w:val="00482EC8"/>
    <w:rsid w:val="00484983"/>
    <w:rsid w:val="00486EBC"/>
    <w:rsid w:val="00486F1C"/>
    <w:rsid w:val="0049125A"/>
    <w:rsid w:val="0049337A"/>
    <w:rsid w:val="004940FC"/>
    <w:rsid w:val="0049419D"/>
    <w:rsid w:val="00495928"/>
    <w:rsid w:val="00496186"/>
    <w:rsid w:val="0049647A"/>
    <w:rsid w:val="0049666D"/>
    <w:rsid w:val="004A00DC"/>
    <w:rsid w:val="004A0E94"/>
    <w:rsid w:val="004A1829"/>
    <w:rsid w:val="004A2A9F"/>
    <w:rsid w:val="004A3DF1"/>
    <w:rsid w:val="004B114F"/>
    <w:rsid w:val="004B2044"/>
    <w:rsid w:val="004B2AB0"/>
    <w:rsid w:val="004B70EB"/>
    <w:rsid w:val="004B7564"/>
    <w:rsid w:val="004C044E"/>
    <w:rsid w:val="004C0B25"/>
    <w:rsid w:val="004C1BE0"/>
    <w:rsid w:val="004C20D2"/>
    <w:rsid w:val="004C2B54"/>
    <w:rsid w:val="004C4B62"/>
    <w:rsid w:val="004C4C08"/>
    <w:rsid w:val="004C54C9"/>
    <w:rsid w:val="004C790D"/>
    <w:rsid w:val="004D03B6"/>
    <w:rsid w:val="004D195F"/>
    <w:rsid w:val="004D2720"/>
    <w:rsid w:val="004D3D0A"/>
    <w:rsid w:val="004D43E4"/>
    <w:rsid w:val="004D6025"/>
    <w:rsid w:val="004D62D9"/>
    <w:rsid w:val="004D6618"/>
    <w:rsid w:val="004E0C15"/>
    <w:rsid w:val="004E1A83"/>
    <w:rsid w:val="004E2649"/>
    <w:rsid w:val="004E2F8F"/>
    <w:rsid w:val="004E3E77"/>
    <w:rsid w:val="004E72B5"/>
    <w:rsid w:val="004E7786"/>
    <w:rsid w:val="004F009D"/>
    <w:rsid w:val="004F0662"/>
    <w:rsid w:val="004F0CF4"/>
    <w:rsid w:val="004F12D7"/>
    <w:rsid w:val="004F43C3"/>
    <w:rsid w:val="004F47A6"/>
    <w:rsid w:val="004F516B"/>
    <w:rsid w:val="004F627D"/>
    <w:rsid w:val="004F73DF"/>
    <w:rsid w:val="00500224"/>
    <w:rsid w:val="00501399"/>
    <w:rsid w:val="0050163C"/>
    <w:rsid w:val="00501DAC"/>
    <w:rsid w:val="005022C3"/>
    <w:rsid w:val="00502911"/>
    <w:rsid w:val="005032EF"/>
    <w:rsid w:val="0050430D"/>
    <w:rsid w:val="00504877"/>
    <w:rsid w:val="0050556D"/>
    <w:rsid w:val="0050633D"/>
    <w:rsid w:val="00507410"/>
    <w:rsid w:val="00507BB1"/>
    <w:rsid w:val="00507BC4"/>
    <w:rsid w:val="005103AB"/>
    <w:rsid w:val="00510BE2"/>
    <w:rsid w:val="00510EE0"/>
    <w:rsid w:val="00511288"/>
    <w:rsid w:val="005128E4"/>
    <w:rsid w:val="00512E3F"/>
    <w:rsid w:val="005133DB"/>
    <w:rsid w:val="00515649"/>
    <w:rsid w:val="00517A4C"/>
    <w:rsid w:val="00517FCE"/>
    <w:rsid w:val="005215B6"/>
    <w:rsid w:val="005233E7"/>
    <w:rsid w:val="00525560"/>
    <w:rsid w:val="0052601D"/>
    <w:rsid w:val="005274EE"/>
    <w:rsid w:val="00527DA3"/>
    <w:rsid w:val="00530267"/>
    <w:rsid w:val="00531EC4"/>
    <w:rsid w:val="00533438"/>
    <w:rsid w:val="005354F3"/>
    <w:rsid w:val="005358DD"/>
    <w:rsid w:val="00536923"/>
    <w:rsid w:val="005369EE"/>
    <w:rsid w:val="00536D3D"/>
    <w:rsid w:val="00537E9D"/>
    <w:rsid w:val="005402C6"/>
    <w:rsid w:val="0054039B"/>
    <w:rsid w:val="00541FB1"/>
    <w:rsid w:val="00542C07"/>
    <w:rsid w:val="00542D10"/>
    <w:rsid w:val="00542DF3"/>
    <w:rsid w:val="005430CE"/>
    <w:rsid w:val="00544C49"/>
    <w:rsid w:val="005507F9"/>
    <w:rsid w:val="005516A1"/>
    <w:rsid w:val="00553F15"/>
    <w:rsid w:val="00554F1A"/>
    <w:rsid w:val="00556B68"/>
    <w:rsid w:val="00556F88"/>
    <w:rsid w:val="005576E9"/>
    <w:rsid w:val="00560BD0"/>
    <w:rsid w:val="00563EE8"/>
    <w:rsid w:val="00565211"/>
    <w:rsid w:val="00565663"/>
    <w:rsid w:val="00565695"/>
    <w:rsid w:val="00565744"/>
    <w:rsid w:val="00565A8D"/>
    <w:rsid w:val="00567052"/>
    <w:rsid w:val="00567B58"/>
    <w:rsid w:val="005709AB"/>
    <w:rsid w:val="00571906"/>
    <w:rsid w:val="00571DA9"/>
    <w:rsid w:val="005737F5"/>
    <w:rsid w:val="0057402A"/>
    <w:rsid w:val="005766FF"/>
    <w:rsid w:val="005771D0"/>
    <w:rsid w:val="0058081E"/>
    <w:rsid w:val="00580A6F"/>
    <w:rsid w:val="005821B2"/>
    <w:rsid w:val="0058315B"/>
    <w:rsid w:val="005841F0"/>
    <w:rsid w:val="00584586"/>
    <w:rsid w:val="00585653"/>
    <w:rsid w:val="0058744E"/>
    <w:rsid w:val="00587601"/>
    <w:rsid w:val="0059191A"/>
    <w:rsid w:val="005921FF"/>
    <w:rsid w:val="00592241"/>
    <w:rsid w:val="00592CC8"/>
    <w:rsid w:val="00592FFA"/>
    <w:rsid w:val="005937F1"/>
    <w:rsid w:val="00595C1D"/>
    <w:rsid w:val="00595F07"/>
    <w:rsid w:val="00597666"/>
    <w:rsid w:val="00597DD4"/>
    <w:rsid w:val="005A2383"/>
    <w:rsid w:val="005A2D1A"/>
    <w:rsid w:val="005A5C14"/>
    <w:rsid w:val="005A619D"/>
    <w:rsid w:val="005A6A22"/>
    <w:rsid w:val="005A6D0E"/>
    <w:rsid w:val="005A77AE"/>
    <w:rsid w:val="005B01CF"/>
    <w:rsid w:val="005B0EB7"/>
    <w:rsid w:val="005B35ED"/>
    <w:rsid w:val="005B3B98"/>
    <w:rsid w:val="005B4677"/>
    <w:rsid w:val="005B4700"/>
    <w:rsid w:val="005B52B0"/>
    <w:rsid w:val="005B615C"/>
    <w:rsid w:val="005B6806"/>
    <w:rsid w:val="005C008E"/>
    <w:rsid w:val="005C21FB"/>
    <w:rsid w:val="005C3D77"/>
    <w:rsid w:val="005C40D0"/>
    <w:rsid w:val="005C4225"/>
    <w:rsid w:val="005C4CA5"/>
    <w:rsid w:val="005C5476"/>
    <w:rsid w:val="005C60B0"/>
    <w:rsid w:val="005C6449"/>
    <w:rsid w:val="005C65A3"/>
    <w:rsid w:val="005C6735"/>
    <w:rsid w:val="005C6D69"/>
    <w:rsid w:val="005C73DB"/>
    <w:rsid w:val="005D0975"/>
    <w:rsid w:val="005D0DB1"/>
    <w:rsid w:val="005D1D06"/>
    <w:rsid w:val="005D2637"/>
    <w:rsid w:val="005D28F5"/>
    <w:rsid w:val="005D2C99"/>
    <w:rsid w:val="005D3C97"/>
    <w:rsid w:val="005D53B6"/>
    <w:rsid w:val="005D5DBF"/>
    <w:rsid w:val="005D647F"/>
    <w:rsid w:val="005D74A7"/>
    <w:rsid w:val="005E04F5"/>
    <w:rsid w:val="005E1534"/>
    <w:rsid w:val="005E19B8"/>
    <w:rsid w:val="005E2740"/>
    <w:rsid w:val="005E6296"/>
    <w:rsid w:val="005F084C"/>
    <w:rsid w:val="005F0DAD"/>
    <w:rsid w:val="005F0F33"/>
    <w:rsid w:val="005F1574"/>
    <w:rsid w:val="005F29AE"/>
    <w:rsid w:val="005F309E"/>
    <w:rsid w:val="005F4203"/>
    <w:rsid w:val="005F4264"/>
    <w:rsid w:val="005F4B55"/>
    <w:rsid w:val="006009AE"/>
    <w:rsid w:val="00600DEB"/>
    <w:rsid w:val="00601010"/>
    <w:rsid w:val="00601239"/>
    <w:rsid w:val="006023D6"/>
    <w:rsid w:val="006040A4"/>
    <w:rsid w:val="00605238"/>
    <w:rsid w:val="00607111"/>
    <w:rsid w:val="00607C1B"/>
    <w:rsid w:val="006100F8"/>
    <w:rsid w:val="006116F9"/>
    <w:rsid w:val="00611EC5"/>
    <w:rsid w:val="006125C3"/>
    <w:rsid w:val="00612D6C"/>
    <w:rsid w:val="00615BFC"/>
    <w:rsid w:val="0061628E"/>
    <w:rsid w:val="0061696E"/>
    <w:rsid w:val="00617116"/>
    <w:rsid w:val="00617893"/>
    <w:rsid w:val="00621B5B"/>
    <w:rsid w:val="00622C76"/>
    <w:rsid w:val="006235C5"/>
    <w:rsid w:val="00626305"/>
    <w:rsid w:val="006269EA"/>
    <w:rsid w:val="00627C9F"/>
    <w:rsid w:val="006311E9"/>
    <w:rsid w:val="00632354"/>
    <w:rsid w:val="00634378"/>
    <w:rsid w:val="00634A54"/>
    <w:rsid w:val="006357A3"/>
    <w:rsid w:val="0063745C"/>
    <w:rsid w:val="00637C94"/>
    <w:rsid w:val="00641730"/>
    <w:rsid w:val="00641868"/>
    <w:rsid w:val="00642810"/>
    <w:rsid w:val="006430E0"/>
    <w:rsid w:val="00644C60"/>
    <w:rsid w:val="00645B59"/>
    <w:rsid w:val="00645FD8"/>
    <w:rsid w:val="0065027A"/>
    <w:rsid w:val="00651951"/>
    <w:rsid w:val="00651EAB"/>
    <w:rsid w:val="00652333"/>
    <w:rsid w:val="006525CC"/>
    <w:rsid w:val="00653365"/>
    <w:rsid w:val="00660AC6"/>
    <w:rsid w:val="00662137"/>
    <w:rsid w:val="00664F03"/>
    <w:rsid w:val="00665ED9"/>
    <w:rsid w:val="00666653"/>
    <w:rsid w:val="006668C8"/>
    <w:rsid w:val="00670F8F"/>
    <w:rsid w:val="006710AC"/>
    <w:rsid w:val="0067128C"/>
    <w:rsid w:val="006716BE"/>
    <w:rsid w:val="00671FB9"/>
    <w:rsid w:val="00674FB7"/>
    <w:rsid w:val="006758EB"/>
    <w:rsid w:val="0068009E"/>
    <w:rsid w:val="00680776"/>
    <w:rsid w:val="00680ED2"/>
    <w:rsid w:val="006810DD"/>
    <w:rsid w:val="006838F0"/>
    <w:rsid w:val="006857CE"/>
    <w:rsid w:val="00686E68"/>
    <w:rsid w:val="006903F6"/>
    <w:rsid w:val="00692219"/>
    <w:rsid w:val="00694A74"/>
    <w:rsid w:val="006952F1"/>
    <w:rsid w:val="00695B5E"/>
    <w:rsid w:val="00696216"/>
    <w:rsid w:val="00697092"/>
    <w:rsid w:val="006A022A"/>
    <w:rsid w:val="006A17D2"/>
    <w:rsid w:val="006A19CD"/>
    <w:rsid w:val="006A4B39"/>
    <w:rsid w:val="006A66C0"/>
    <w:rsid w:val="006A73E6"/>
    <w:rsid w:val="006A75F1"/>
    <w:rsid w:val="006B2A4D"/>
    <w:rsid w:val="006B2D5C"/>
    <w:rsid w:val="006B2F20"/>
    <w:rsid w:val="006B3A81"/>
    <w:rsid w:val="006B4D40"/>
    <w:rsid w:val="006B53F0"/>
    <w:rsid w:val="006B5E97"/>
    <w:rsid w:val="006B6704"/>
    <w:rsid w:val="006B6738"/>
    <w:rsid w:val="006B71BE"/>
    <w:rsid w:val="006B71F5"/>
    <w:rsid w:val="006B77E2"/>
    <w:rsid w:val="006C1A20"/>
    <w:rsid w:val="006C2F5A"/>
    <w:rsid w:val="006C36C8"/>
    <w:rsid w:val="006C4EB1"/>
    <w:rsid w:val="006C7971"/>
    <w:rsid w:val="006D0344"/>
    <w:rsid w:val="006D11E7"/>
    <w:rsid w:val="006D2135"/>
    <w:rsid w:val="006D2A34"/>
    <w:rsid w:val="006D46B8"/>
    <w:rsid w:val="006D5097"/>
    <w:rsid w:val="006D5F4E"/>
    <w:rsid w:val="006D6D5B"/>
    <w:rsid w:val="006E0166"/>
    <w:rsid w:val="006E0170"/>
    <w:rsid w:val="006E220A"/>
    <w:rsid w:val="006E58AA"/>
    <w:rsid w:val="006E5CF8"/>
    <w:rsid w:val="006E6A19"/>
    <w:rsid w:val="006E6C9C"/>
    <w:rsid w:val="006E6EB2"/>
    <w:rsid w:val="006E77E2"/>
    <w:rsid w:val="006E7809"/>
    <w:rsid w:val="006E7B34"/>
    <w:rsid w:val="006F260A"/>
    <w:rsid w:val="006F2AEE"/>
    <w:rsid w:val="006F34A2"/>
    <w:rsid w:val="006F3EFC"/>
    <w:rsid w:val="006F4CAF"/>
    <w:rsid w:val="006F5327"/>
    <w:rsid w:val="006F6795"/>
    <w:rsid w:val="006F774F"/>
    <w:rsid w:val="00701532"/>
    <w:rsid w:val="007015B1"/>
    <w:rsid w:val="007017AC"/>
    <w:rsid w:val="00702A17"/>
    <w:rsid w:val="00705AF3"/>
    <w:rsid w:val="00705C41"/>
    <w:rsid w:val="00706462"/>
    <w:rsid w:val="0070697F"/>
    <w:rsid w:val="007071A2"/>
    <w:rsid w:val="00710A46"/>
    <w:rsid w:val="00711EED"/>
    <w:rsid w:val="00713C73"/>
    <w:rsid w:val="00713CE2"/>
    <w:rsid w:val="00715992"/>
    <w:rsid w:val="007162A7"/>
    <w:rsid w:val="00716398"/>
    <w:rsid w:val="00717989"/>
    <w:rsid w:val="00717D02"/>
    <w:rsid w:val="0072199C"/>
    <w:rsid w:val="007226C0"/>
    <w:rsid w:val="00722C9F"/>
    <w:rsid w:val="007232BC"/>
    <w:rsid w:val="007235E7"/>
    <w:rsid w:val="0072433F"/>
    <w:rsid w:val="007253B8"/>
    <w:rsid w:val="00726AD0"/>
    <w:rsid w:val="0073210D"/>
    <w:rsid w:val="00732362"/>
    <w:rsid w:val="00732AC5"/>
    <w:rsid w:val="0073519C"/>
    <w:rsid w:val="007360DA"/>
    <w:rsid w:val="0073631B"/>
    <w:rsid w:val="00737294"/>
    <w:rsid w:val="0073741F"/>
    <w:rsid w:val="007401DF"/>
    <w:rsid w:val="00741470"/>
    <w:rsid w:val="007431E2"/>
    <w:rsid w:val="007460E8"/>
    <w:rsid w:val="00747428"/>
    <w:rsid w:val="00747D8D"/>
    <w:rsid w:val="007500E6"/>
    <w:rsid w:val="0075131E"/>
    <w:rsid w:val="007516C6"/>
    <w:rsid w:val="00751BB0"/>
    <w:rsid w:val="007558A9"/>
    <w:rsid w:val="00755988"/>
    <w:rsid w:val="007570F1"/>
    <w:rsid w:val="00761B8A"/>
    <w:rsid w:val="007622D0"/>
    <w:rsid w:val="00762822"/>
    <w:rsid w:val="00763DF5"/>
    <w:rsid w:val="00765AF4"/>
    <w:rsid w:val="00765C7A"/>
    <w:rsid w:val="0076643F"/>
    <w:rsid w:val="007703BC"/>
    <w:rsid w:val="007711AE"/>
    <w:rsid w:val="00772949"/>
    <w:rsid w:val="0077301B"/>
    <w:rsid w:val="007731C6"/>
    <w:rsid w:val="00774BCF"/>
    <w:rsid w:val="00776080"/>
    <w:rsid w:val="00777F63"/>
    <w:rsid w:val="00781A94"/>
    <w:rsid w:val="00781B67"/>
    <w:rsid w:val="00782418"/>
    <w:rsid w:val="00782EEF"/>
    <w:rsid w:val="00783619"/>
    <w:rsid w:val="00784178"/>
    <w:rsid w:val="0078619C"/>
    <w:rsid w:val="00787A83"/>
    <w:rsid w:val="00787D00"/>
    <w:rsid w:val="00792296"/>
    <w:rsid w:val="00795805"/>
    <w:rsid w:val="00795A4D"/>
    <w:rsid w:val="00795BB3"/>
    <w:rsid w:val="00795EB9"/>
    <w:rsid w:val="0079701C"/>
    <w:rsid w:val="0079757E"/>
    <w:rsid w:val="00797F27"/>
    <w:rsid w:val="007A0574"/>
    <w:rsid w:val="007A159D"/>
    <w:rsid w:val="007A380D"/>
    <w:rsid w:val="007A3BE7"/>
    <w:rsid w:val="007A52BA"/>
    <w:rsid w:val="007A5817"/>
    <w:rsid w:val="007A5E59"/>
    <w:rsid w:val="007A61EA"/>
    <w:rsid w:val="007A6279"/>
    <w:rsid w:val="007A733F"/>
    <w:rsid w:val="007B0638"/>
    <w:rsid w:val="007B37DF"/>
    <w:rsid w:val="007B454F"/>
    <w:rsid w:val="007B5069"/>
    <w:rsid w:val="007B5F08"/>
    <w:rsid w:val="007B60E9"/>
    <w:rsid w:val="007B6302"/>
    <w:rsid w:val="007B64FB"/>
    <w:rsid w:val="007B6CC3"/>
    <w:rsid w:val="007C174C"/>
    <w:rsid w:val="007C267D"/>
    <w:rsid w:val="007C2748"/>
    <w:rsid w:val="007C2C66"/>
    <w:rsid w:val="007C3334"/>
    <w:rsid w:val="007C4095"/>
    <w:rsid w:val="007C4955"/>
    <w:rsid w:val="007C4C66"/>
    <w:rsid w:val="007C52B4"/>
    <w:rsid w:val="007C6C14"/>
    <w:rsid w:val="007C756A"/>
    <w:rsid w:val="007C7F39"/>
    <w:rsid w:val="007D17A7"/>
    <w:rsid w:val="007D2B98"/>
    <w:rsid w:val="007D3E9E"/>
    <w:rsid w:val="007D4796"/>
    <w:rsid w:val="007D4D43"/>
    <w:rsid w:val="007D51DA"/>
    <w:rsid w:val="007D528E"/>
    <w:rsid w:val="007D73D0"/>
    <w:rsid w:val="007D7B2D"/>
    <w:rsid w:val="007E02EF"/>
    <w:rsid w:val="007E21BC"/>
    <w:rsid w:val="007E381B"/>
    <w:rsid w:val="007E3FB0"/>
    <w:rsid w:val="007E40A5"/>
    <w:rsid w:val="007E72A7"/>
    <w:rsid w:val="007E7A63"/>
    <w:rsid w:val="007F2A10"/>
    <w:rsid w:val="007F2E25"/>
    <w:rsid w:val="007F4AA1"/>
    <w:rsid w:val="007F4B71"/>
    <w:rsid w:val="007F6955"/>
    <w:rsid w:val="007F7385"/>
    <w:rsid w:val="007F7BE0"/>
    <w:rsid w:val="007F7E9A"/>
    <w:rsid w:val="008004A5"/>
    <w:rsid w:val="00801051"/>
    <w:rsid w:val="008016CF"/>
    <w:rsid w:val="00801FED"/>
    <w:rsid w:val="0080273F"/>
    <w:rsid w:val="00802EC7"/>
    <w:rsid w:val="00803F1C"/>
    <w:rsid w:val="0080600E"/>
    <w:rsid w:val="0080639E"/>
    <w:rsid w:val="00811F93"/>
    <w:rsid w:val="00812170"/>
    <w:rsid w:val="008127E6"/>
    <w:rsid w:val="00814E6D"/>
    <w:rsid w:val="00815021"/>
    <w:rsid w:val="008161FF"/>
    <w:rsid w:val="008172BC"/>
    <w:rsid w:val="00817612"/>
    <w:rsid w:val="0082029B"/>
    <w:rsid w:val="00820FC7"/>
    <w:rsid w:val="008217E6"/>
    <w:rsid w:val="00822694"/>
    <w:rsid w:val="00822774"/>
    <w:rsid w:val="00822810"/>
    <w:rsid w:val="00825056"/>
    <w:rsid w:val="008266A7"/>
    <w:rsid w:val="00827E7C"/>
    <w:rsid w:val="008301AB"/>
    <w:rsid w:val="00830347"/>
    <w:rsid w:val="00830AB7"/>
    <w:rsid w:val="00831B71"/>
    <w:rsid w:val="008338A4"/>
    <w:rsid w:val="00837965"/>
    <w:rsid w:val="00837C45"/>
    <w:rsid w:val="00841689"/>
    <w:rsid w:val="00842583"/>
    <w:rsid w:val="00843CA2"/>
    <w:rsid w:val="00844730"/>
    <w:rsid w:val="00844931"/>
    <w:rsid w:val="008457C2"/>
    <w:rsid w:val="00845B08"/>
    <w:rsid w:val="008462AD"/>
    <w:rsid w:val="00846922"/>
    <w:rsid w:val="00850A2B"/>
    <w:rsid w:val="0085121B"/>
    <w:rsid w:val="0085249A"/>
    <w:rsid w:val="00852B06"/>
    <w:rsid w:val="00857A82"/>
    <w:rsid w:val="0086148E"/>
    <w:rsid w:val="00862FEF"/>
    <w:rsid w:val="00863CF9"/>
    <w:rsid w:val="00863E76"/>
    <w:rsid w:val="008645D1"/>
    <w:rsid w:val="008679E4"/>
    <w:rsid w:val="00870AB6"/>
    <w:rsid w:val="00871AB8"/>
    <w:rsid w:val="00873836"/>
    <w:rsid w:val="008764AC"/>
    <w:rsid w:val="0087706F"/>
    <w:rsid w:val="0088017F"/>
    <w:rsid w:val="0088346D"/>
    <w:rsid w:val="0088374C"/>
    <w:rsid w:val="00885737"/>
    <w:rsid w:val="008859AC"/>
    <w:rsid w:val="00885B11"/>
    <w:rsid w:val="00886030"/>
    <w:rsid w:val="00890548"/>
    <w:rsid w:val="00890650"/>
    <w:rsid w:val="0089327C"/>
    <w:rsid w:val="00893321"/>
    <w:rsid w:val="00897E12"/>
    <w:rsid w:val="008A3495"/>
    <w:rsid w:val="008A36D9"/>
    <w:rsid w:val="008A3996"/>
    <w:rsid w:val="008A7935"/>
    <w:rsid w:val="008A7E0F"/>
    <w:rsid w:val="008B12F5"/>
    <w:rsid w:val="008B3692"/>
    <w:rsid w:val="008B3BB8"/>
    <w:rsid w:val="008B3F9A"/>
    <w:rsid w:val="008C2ACC"/>
    <w:rsid w:val="008C2EC3"/>
    <w:rsid w:val="008C308D"/>
    <w:rsid w:val="008C3098"/>
    <w:rsid w:val="008C39E0"/>
    <w:rsid w:val="008C3BE9"/>
    <w:rsid w:val="008C3E63"/>
    <w:rsid w:val="008C5BB6"/>
    <w:rsid w:val="008D0E16"/>
    <w:rsid w:val="008D1454"/>
    <w:rsid w:val="008D1728"/>
    <w:rsid w:val="008D3DD7"/>
    <w:rsid w:val="008D4DD3"/>
    <w:rsid w:val="008D53AA"/>
    <w:rsid w:val="008D768D"/>
    <w:rsid w:val="008E159E"/>
    <w:rsid w:val="008E1832"/>
    <w:rsid w:val="008E2A28"/>
    <w:rsid w:val="008E32ED"/>
    <w:rsid w:val="008E3759"/>
    <w:rsid w:val="008E3ACF"/>
    <w:rsid w:val="008E3D0D"/>
    <w:rsid w:val="008E7ACB"/>
    <w:rsid w:val="008F1912"/>
    <w:rsid w:val="008F1B28"/>
    <w:rsid w:val="008F4391"/>
    <w:rsid w:val="008F5C66"/>
    <w:rsid w:val="008F604B"/>
    <w:rsid w:val="008F6534"/>
    <w:rsid w:val="008F6DD3"/>
    <w:rsid w:val="00901289"/>
    <w:rsid w:val="0090149C"/>
    <w:rsid w:val="009014A4"/>
    <w:rsid w:val="009014CB"/>
    <w:rsid w:val="00901E68"/>
    <w:rsid w:val="0090211C"/>
    <w:rsid w:val="00902131"/>
    <w:rsid w:val="0090270B"/>
    <w:rsid w:val="009027D3"/>
    <w:rsid w:val="00903B81"/>
    <w:rsid w:val="009041C9"/>
    <w:rsid w:val="009041DC"/>
    <w:rsid w:val="00905E89"/>
    <w:rsid w:val="00907369"/>
    <w:rsid w:val="00912170"/>
    <w:rsid w:val="0091222D"/>
    <w:rsid w:val="009133BF"/>
    <w:rsid w:val="00913EB1"/>
    <w:rsid w:val="009141A0"/>
    <w:rsid w:val="0091434E"/>
    <w:rsid w:val="00916E89"/>
    <w:rsid w:val="00917B5A"/>
    <w:rsid w:val="009200FE"/>
    <w:rsid w:val="00920A58"/>
    <w:rsid w:val="00920A8C"/>
    <w:rsid w:val="00920AED"/>
    <w:rsid w:val="0092111F"/>
    <w:rsid w:val="009214DD"/>
    <w:rsid w:val="00922587"/>
    <w:rsid w:val="00922858"/>
    <w:rsid w:val="0092316F"/>
    <w:rsid w:val="00923718"/>
    <w:rsid w:val="00924248"/>
    <w:rsid w:val="00924388"/>
    <w:rsid w:val="00927388"/>
    <w:rsid w:val="009314DD"/>
    <w:rsid w:val="009317EB"/>
    <w:rsid w:val="0093295D"/>
    <w:rsid w:val="00934A2C"/>
    <w:rsid w:val="00934A81"/>
    <w:rsid w:val="00937A1C"/>
    <w:rsid w:val="00942177"/>
    <w:rsid w:val="009424FA"/>
    <w:rsid w:val="009454DE"/>
    <w:rsid w:val="00946169"/>
    <w:rsid w:val="00946ADF"/>
    <w:rsid w:val="00947EF1"/>
    <w:rsid w:val="00950789"/>
    <w:rsid w:val="00951C32"/>
    <w:rsid w:val="00951CBC"/>
    <w:rsid w:val="00951D83"/>
    <w:rsid w:val="00951E37"/>
    <w:rsid w:val="009529FC"/>
    <w:rsid w:val="00953444"/>
    <w:rsid w:val="00954E23"/>
    <w:rsid w:val="009562BA"/>
    <w:rsid w:val="00957BAF"/>
    <w:rsid w:val="009609E8"/>
    <w:rsid w:val="00960AC6"/>
    <w:rsid w:val="009610CF"/>
    <w:rsid w:val="00961A42"/>
    <w:rsid w:val="00966B0A"/>
    <w:rsid w:val="00966F97"/>
    <w:rsid w:val="00966FE6"/>
    <w:rsid w:val="0096706E"/>
    <w:rsid w:val="009675FE"/>
    <w:rsid w:val="00970073"/>
    <w:rsid w:val="009706BD"/>
    <w:rsid w:val="009734A3"/>
    <w:rsid w:val="0097448E"/>
    <w:rsid w:val="00974F0F"/>
    <w:rsid w:val="00975C4E"/>
    <w:rsid w:val="009772D8"/>
    <w:rsid w:val="00981499"/>
    <w:rsid w:val="00981FBA"/>
    <w:rsid w:val="00981FED"/>
    <w:rsid w:val="009826CE"/>
    <w:rsid w:val="00982FE4"/>
    <w:rsid w:val="0098308F"/>
    <w:rsid w:val="009841DD"/>
    <w:rsid w:val="009868AE"/>
    <w:rsid w:val="009871EF"/>
    <w:rsid w:val="00991135"/>
    <w:rsid w:val="009927AE"/>
    <w:rsid w:val="009928BE"/>
    <w:rsid w:val="00997BC5"/>
    <w:rsid w:val="009A01A0"/>
    <w:rsid w:val="009A0906"/>
    <w:rsid w:val="009A0BE3"/>
    <w:rsid w:val="009A36B6"/>
    <w:rsid w:val="009A48BC"/>
    <w:rsid w:val="009A4F41"/>
    <w:rsid w:val="009A6114"/>
    <w:rsid w:val="009A64BB"/>
    <w:rsid w:val="009B007A"/>
    <w:rsid w:val="009B04F4"/>
    <w:rsid w:val="009B0D8F"/>
    <w:rsid w:val="009B2726"/>
    <w:rsid w:val="009B381B"/>
    <w:rsid w:val="009B39EC"/>
    <w:rsid w:val="009B4671"/>
    <w:rsid w:val="009B51A6"/>
    <w:rsid w:val="009B5CB2"/>
    <w:rsid w:val="009B764B"/>
    <w:rsid w:val="009B7796"/>
    <w:rsid w:val="009C1436"/>
    <w:rsid w:val="009C4EAA"/>
    <w:rsid w:val="009C4FF3"/>
    <w:rsid w:val="009C6C48"/>
    <w:rsid w:val="009C7D62"/>
    <w:rsid w:val="009D0D65"/>
    <w:rsid w:val="009D1753"/>
    <w:rsid w:val="009D2256"/>
    <w:rsid w:val="009D2FBD"/>
    <w:rsid w:val="009D4F8D"/>
    <w:rsid w:val="009D5BF2"/>
    <w:rsid w:val="009D6C1E"/>
    <w:rsid w:val="009D6D4A"/>
    <w:rsid w:val="009D6F04"/>
    <w:rsid w:val="009D7472"/>
    <w:rsid w:val="009D7611"/>
    <w:rsid w:val="009E0B61"/>
    <w:rsid w:val="009E0FD6"/>
    <w:rsid w:val="009E53DE"/>
    <w:rsid w:val="009E59A9"/>
    <w:rsid w:val="009E6777"/>
    <w:rsid w:val="009F2645"/>
    <w:rsid w:val="009F3BBB"/>
    <w:rsid w:val="009F45D9"/>
    <w:rsid w:val="009F5211"/>
    <w:rsid w:val="009F526E"/>
    <w:rsid w:val="009F67A9"/>
    <w:rsid w:val="009F6B96"/>
    <w:rsid w:val="009F6EB5"/>
    <w:rsid w:val="009F7120"/>
    <w:rsid w:val="009F743C"/>
    <w:rsid w:val="009F74DD"/>
    <w:rsid w:val="00A02607"/>
    <w:rsid w:val="00A044B7"/>
    <w:rsid w:val="00A05E19"/>
    <w:rsid w:val="00A127AA"/>
    <w:rsid w:val="00A15DE4"/>
    <w:rsid w:val="00A164F9"/>
    <w:rsid w:val="00A20152"/>
    <w:rsid w:val="00A21C17"/>
    <w:rsid w:val="00A22225"/>
    <w:rsid w:val="00A236BF"/>
    <w:rsid w:val="00A24437"/>
    <w:rsid w:val="00A24A7D"/>
    <w:rsid w:val="00A24BAE"/>
    <w:rsid w:val="00A2598E"/>
    <w:rsid w:val="00A266B4"/>
    <w:rsid w:val="00A27F57"/>
    <w:rsid w:val="00A30BD2"/>
    <w:rsid w:val="00A30DAE"/>
    <w:rsid w:val="00A328B3"/>
    <w:rsid w:val="00A33B1E"/>
    <w:rsid w:val="00A33B5E"/>
    <w:rsid w:val="00A33D86"/>
    <w:rsid w:val="00A35AD1"/>
    <w:rsid w:val="00A35B18"/>
    <w:rsid w:val="00A40685"/>
    <w:rsid w:val="00A41857"/>
    <w:rsid w:val="00A41DF1"/>
    <w:rsid w:val="00A42A50"/>
    <w:rsid w:val="00A42AF2"/>
    <w:rsid w:val="00A42CE8"/>
    <w:rsid w:val="00A4388E"/>
    <w:rsid w:val="00A44654"/>
    <w:rsid w:val="00A464E2"/>
    <w:rsid w:val="00A466DD"/>
    <w:rsid w:val="00A46F5B"/>
    <w:rsid w:val="00A47B4B"/>
    <w:rsid w:val="00A47F0C"/>
    <w:rsid w:val="00A50FCF"/>
    <w:rsid w:val="00A528D1"/>
    <w:rsid w:val="00A53E60"/>
    <w:rsid w:val="00A5588D"/>
    <w:rsid w:val="00A5621A"/>
    <w:rsid w:val="00A610CD"/>
    <w:rsid w:val="00A6291E"/>
    <w:rsid w:val="00A62ABD"/>
    <w:rsid w:val="00A64242"/>
    <w:rsid w:val="00A64533"/>
    <w:rsid w:val="00A64D33"/>
    <w:rsid w:val="00A650D3"/>
    <w:rsid w:val="00A65E4B"/>
    <w:rsid w:val="00A66BD4"/>
    <w:rsid w:val="00A66CBF"/>
    <w:rsid w:val="00A67DBA"/>
    <w:rsid w:val="00A71266"/>
    <w:rsid w:val="00A7147E"/>
    <w:rsid w:val="00A725F7"/>
    <w:rsid w:val="00A72D8F"/>
    <w:rsid w:val="00A74843"/>
    <w:rsid w:val="00A750CC"/>
    <w:rsid w:val="00A75733"/>
    <w:rsid w:val="00A75E63"/>
    <w:rsid w:val="00A75F1E"/>
    <w:rsid w:val="00A814FA"/>
    <w:rsid w:val="00A82FC3"/>
    <w:rsid w:val="00A833A2"/>
    <w:rsid w:val="00A93518"/>
    <w:rsid w:val="00A93840"/>
    <w:rsid w:val="00A93F1A"/>
    <w:rsid w:val="00A94F71"/>
    <w:rsid w:val="00AA09A2"/>
    <w:rsid w:val="00AA0B4F"/>
    <w:rsid w:val="00AA258B"/>
    <w:rsid w:val="00AA2E8A"/>
    <w:rsid w:val="00AA3B3B"/>
    <w:rsid w:val="00AA4850"/>
    <w:rsid w:val="00AA5AFA"/>
    <w:rsid w:val="00AA7996"/>
    <w:rsid w:val="00AA7F3D"/>
    <w:rsid w:val="00AB06CA"/>
    <w:rsid w:val="00AB1BFF"/>
    <w:rsid w:val="00AB2406"/>
    <w:rsid w:val="00AB265C"/>
    <w:rsid w:val="00AB3D6F"/>
    <w:rsid w:val="00AB444D"/>
    <w:rsid w:val="00AB72C8"/>
    <w:rsid w:val="00AC0A3F"/>
    <w:rsid w:val="00AC19CB"/>
    <w:rsid w:val="00AC2AAC"/>
    <w:rsid w:val="00AC2B34"/>
    <w:rsid w:val="00AC5261"/>
    <w:rsid w:val="00AC55D4"/>
    <w:rsid w:val="00AC6933"/>
    <w:rsid w:val="00AD17C2"/>
    <w:rsid w:val="00AD334F"/>
    <w:rsid w:val="00AD554F"/>
    <w:rsid w:val="00AD6043"/>
    <w:rsid w:val="00AE3378"/>
    <w:rsid w:val="00AE3F02"/>
    <w:rsid w:val="00AE5488"/>
    <w:rsid w:val="00AE54CE"/>
    <w:rsid w:val="00AE6ACE"/>
    <w:rsid w:val="00AE6F91"/>
    <w:rsid w:val="00AE6F9C"/>
    <w:rsid w:val="00AF0BC1"/>
    <w:rsid w:val="00AF0F24"/>
    <w:rsid w:val="00AF15E9"/>
    <w:rsid w:val="00AF3055"/>
    <w:rsid w:val="00AF30A3"/>
    <w:rsid w:val="00AF3656"/>
    <w:rsid w:val="00AF5571"/>
    <w:rsid w:val="00AF56D6"/>
    <w:rsid w:val="00AF6FE7"/>
    <w:rsid w:val="00AF7988"/>
    <w:rsid w:val="00AF7E06"/>
    <w:rsid w:val="00B00F03"/>
    <w:rsid w:val="00B0168E"/>
    <w:rsid w:val="00B01DD5"/>
    <w:rsid w:val="00B01F4F"/>
    <w:rsid w:val="00B0267B"/>
    <w:rsid w:val="00B02F71"/>
    <w:rsid w:val="00B03ED3"/>
    <w:rsid w:val="00B05425"/>
    <w:rsid w:val="00B063E3"/>
    <w:rsid w:val="00B07184"/>
    <w:rsid w:val="00B07341"/>
    <w:rsid w:val="00B102E7"/>
    <w:rsid w:val="00B10477"/>
    <w:rsid w:val="00B110BE"/>
    <w:rsid w:val="00B11FAB"/>
    <w:rsid w:val="00B16203"/>
    <w:rsid w:val="00B16F59"/>
    <w:rsid w:val="00B170A3"/>
    <w:rsid w:val="00B2165F"/>
    <w:rsid w:val="00B21EB4"/>
    <w:rsid w:val="00B23D1D"/>
    <w:rsid w:val="00B241AD"/>
    <w:rsid w:val="00B24398"/>
    <w:rsid w:val="00B30539"/>
    <w:rsid w:val="00B314DB"/>
    <w:rsid w:val="00B32442"/>
    <w:rsid w:val="00B33D08"/>
    <w:rsid w:val="00B34CE7"/>
    <w:rsid w:val="00B35DA9"/>
    <w:rsid w:val="00B361F2"/>
    <w:rsid w:val="00B36242"/>
    <w:rsid w:val="00B3688A"/>
    <w:rsid w:val="00B370CA"/>
    <w:rsid w:val="00B3718B"/>
    <w:rsid w:val="00B37F9C"/>
    <w:rsid w:val="00B4034C"/>
    <w:rsid w:val="00B405AB"/>
    <w:rsid w:val="00B40F4A"/>
    <w:rsid w:val="00B425C0"/>
    <w:rsid w:val="00B439EB"/>
    <w:rsid w:val="00B43C27"/>
    <w:rsid w:val="00B43CE1"/>
    <w:rsid w:val="00B44E0A"/>
    <w:rsid w:val="00B4527A"/>
    <w:rsid w:val="00B4632A"/>
    <w:rsid w:val="00B47063"/>
    <w:rsid w:val="00B477D9"/>
    <w:rsid w:val="00B513B1"/>
    <w:rsid w:val="00B51837"/>
    <w:rsid w:val="00B530F1"/>
    <w:rsid w:val="00B53608"/>
    <w:rsid w:val="00B53FCD"/>
    <w:rsid w:val="00B54A0C"/>
    <w:rsid w:val="00B54AB1"/>
    <w:rsid w:val="00B566A4"/>
    <w:rsid w:val="00B573B2"/>
    <w:rsid w:val="00B57447"/>
    <w:rsid w:val="00B57E60"/>
    <w:rsid w:val="00B57F59"/>
    <w:rsid w:val="00B632BE"/>
    <w:rsid w:val="00B632D6"/>
    <w:rsid w:val="00B63C20"/>
    <w:rsid w:val="00B665D2"/>
    <w:rsid w:val="00B67999"/>
    <w:rsid w:val="00B67AD6"/>
    <w:rsid w:val="00B70493"/>
    <w:rsid w:val="00B71A90"/>
    <w:rsid w:val="00B7454E"/>
    <w:rsid w:val="00B746E5"/>
    <w:rsid w:val="00B74DB1"/>
    <w:rsid w:val="00B75DB4"/>
    <w:rsid w:val="00B77940"/>
    <w:rsid w:val="00B77AF8"/>
    <w:rsid w:val="00B81612"/>
    <w:rsid w:val="00B82BFB"/>
    <w:rsid w:val="00B8382D"/>
    <w:rsid w:val="00B83CBB"/>
    <w:rsid w:val="00B85552"/>
    <w:rsid w:val="00B85F84"/>
    <w:rsid w:val="00B87411"/>
    <w:rsid w:val="00B875BB"/>
    <w:rsid w:val="00B908DF"/>
    <w:rsid w:val="00B924DB"/>
    <w:rsid w:val="00B93554"/>
    <w:rsid w:val="00B938BF"/>
    <w:rsid w:val="00B96F54"/>
    <w:rsid w:val="00B970B2"/>
    <w:rsid w:val="00BA04D5"/>
    <w:rsid w:val="00BA05ED"/>
    <w:rsid w:val="00BA276C"/>
    <w:rsid w:val="00BA461E"/>
    <w:rsid w:val="00BA558F"/>
    <w:rsid w:val="00BA635E"/>
    <w:rsid w:val="00BA6362"/>
    <w:rsid w:val="00BA79F5"/>
    <w:rsid w:val="00BB0035"/>
    <w:rsid w:val="00BB0BA1"/>
    <w:rsid w:val="00BB1C01"/>
    <w:rsid w:val="00BB306F"/>
    <w:rsid w:val="00BB3CC1"/>
    <w:rsid w:val="00BB4338"/>
    <w:rsid w:val="00BB5211"/>
    <w:rsid w:val="00BB528C"/>
    <w:rsid w:val="00BB688F"/>
    <w:rsid w:val="00BC1180"/>
    <w:rsid w:val="00BC27E6"/>
    <w:rsid w:val="00BC2C5A"/>
    <w:rsid w:val="00BC667C"/>
    <w:rsid w:val="00BD0E17"/>
    <w:rsid w:val="00BD2533"/>
    <w:rsid w:val="00BD25E9"/>
    <w:rsid w:val="00BD3BD7"/>
    <w:rsid w:val="00BD4B89"/>
    <w:rsid w:val="00BD5534"/>
    <w:rsid w:val="00BE16CB"/>
    <w:rsid w:val="00BE1F92"/>
    <w:rsid w:val="00BE2254"/>
    <w:rsid w:val="00BE39D1"/>
    <w:rsid w:val="00BE48BF"/>
    <w:rsid w:val="00BE4CCD"/>
    <w:rsid w:val="00BE539A"/>
    <w:rsid w:val="00BE728F"/>
    <w:rsid w:val="00BE73C3"/>
    <w:rsid w:val="00BE7D0F"/>
    <w:rsid w:val="00BF0210"/>
    <w:rsid w:val="00BF02CB"/>
    <w:rsid w:val="00BF03E3"/>
    <w:rsid w:val="00BF07B8"/>
    <w:rsid w:val="00BF10CC"/>
    <w:rsid w:val="00BF11D3"/>
    <w:rsid w:val="00BF1664"/>
    <w:rsid w:val="00BF1DA5"/>
    <w:rsid w:val="00BF1EEC"/>
    <w:rsid w:val="00BF321A"/>
    <w:rsid w:val="00BF6095"/>
    <w:rsid w:val="00BF6FD8"/>
    <w:rsid w:val="00BF7F02"/>
    <w:rsid w:val="00C008B6"/>
    <w:rsid w:val="00C01CA2"/>
    <w:rsid w:val="00C03680"/>
    <w:rsid w:val="00C054DF"/>
    <w:rsid w:val="00C061B1"/>
    <w:rsid w:val="00C07514"/>
    <w:rsid w:val="00C137F2"/>
    <w:rsid w:val="00C1637A"/>
    <w:rsid w:val="00C16403"/>
    <w:rsid w:val="00C21762"/>
    <w:rsid w:val="00C24543"/>
    <w:rsid w:val="00C256A2"/>
    <w:rsid w:val="00C266E0"/>
    <w:rsid w:val="00C315EA"/>
    <w:rsid w:val="00C32E94"/>
    <w:rsid w:val="00C33B4D"/>
    <w:rsid w:val="00C33C53"/>
    <w:rsid w:val="00C33D0E"/>
    <w:rsid w:val="00C34D9C"/>
    <w:rsid w:val="00C35C55"/>
    <w:rsid w:val="00C36337"/>
    <w:rsid w:val="00C40139"/>
    <w:rsid w:val="00C404DD"/>
    <w:rsid w:val="00C40789"/>
    <w:rsid w:val="00C40EF1"/>
    <w:rsid w:val="00C41FB2"/>
    <w:rsid w:val="00C4258E"/>
    <w:rsid w:val="00C42773"/>
    <w:rsid w:val="00C43425"/>
    <w:rsid w:val="00C441F7"/>
    <w:rsid w:val="00C44AD6"/>
    <w:rsid w:val="00C46EE5"/>
    <w:rsid w:val="00C476CD"/>
    <w:rsid w:val="00C505E4"/>
    <w:rsid w:val="00C512AE"/>
    <w:rsid w:val="00C513D7"/>
    <w:rsid w:val="00C51515"/>
    <w:rsid w:val="00C520DE"/>
    <w:rsid w:val="00C5217B"/>
    <w:rsid w:val="00C53A3E"/>
    <w:rsid w:val="00C54D17"/>
    <w:rsid w:val="00C54EF9"/>
    <w:rsid w:val="00C551C3"/>
    <w:rsid w:val="00C558CA"/>
    <w:rsid w:val="00C5660B"/>
    <w:rsid w:val="00C616EE"/>
    <w:rsid w:val="00C62A75"/>
    <w:rsid w:val="00C650C1"/>
    <w:rsid w:val="00C65A69"/>
    <w:rsid w:val="00C66B72"/>
    <w:rsid w:val="00C67144"/>
    <w:rsid w:val="00C70779"/>
    <w:rsid w:val="00C74834"/>
    <w:rsid w:val="00C74C07"/>
    <w:rsid w:val="00C75022"/>
    <w:rsid w:val="00C75282"/>
    <w:rsid w:val="00C75626"/>
    <w:rsid w:val="00C7679A"/>
    <w:rsid w:val="00C77F1B"/>
    <w:rsid w:val="00C810D8"/>
    <w:rsid w:val="00C81912"/>
    <w:rsid w:val="00C81B72"/>
    <w:rsid w:val="00C81D49"/>
    <w:rsid w:val="00C8368D"/>
    <w:rsid w:val="00C8491D"/>
    <w:rsid w:val="00C852DD"/>
    <w:rsid w:val="00C874F6"/>
    <w:rsid w:val="00C87FF4"/>
    <w:rsid w:val="00C90EE4"/>
    <w:rsid w:val="00C92E9D"/>
    <w:rsid w:val="00C92F6A"/>
    <w:rsid w:val="00C9567A"/>
    <w:rsid w:val="00C95969"/>
    <w:rsid w:val="00C96EB2"/>
    <w:rsid w:val="00C97129"/>
    <w:rsid w:val="00CA05C6"/>
    <w:rsid w:val="00CA1852"/>
    <w:rsid w:val="00CA6048"/>
    <w:rsid w:val="00CA62F7"/>
    <w:rsid w:val="00CA724F"/>
    <w:rsid w:val="00CA7ABC"/>
    <w:rsid w:val="00CB0AAD"/>
    <w:rsid w:val="00CB212D"/>
    <w:rsid w:val="00CB2478"/>
    <w:rsid w:val="00CB24A2"/>
    <w:rsid w:val="00CB2583"/>
    <w:rsid w:val="00CB2660"/>
    <w:rsid w:val="00CB4312"/>
    <w:rsid w:val="00CB496B"/>
    <w:rsid w:val="00CB6588"/>
    <w:rsid w:val="00CB6BF5"/>
    <w:rsid w:val="00CB6D65"/>
    <w:rsid w:val="00CB7038"/>
    <w:rsid w:val="00CB7234"/>
    <w:rsid w:val="00CB7B42"/>
    <w:rsid w:val="00CB7D41"/>
    <w:rsid w:val="00CC1AC5"/>
    <w:rsid w:val="00CC270E"/>
    <w:rsid w:val="00CC4D4E"/>
    <w:rsid w:val="00CC5E90"/>
    <w:rsid w:val="00CC6371"/>
    <w:rsid w:val="00CC63CF"/>
    <w:rsid w:val="00CD046C"/>
    <w:rsid w:val="00CD645A"/>
    <w:rsid w:val="00CD7068"/>
    <w:rsid w:val="00CE076C"/>
    <w:rsid w:val="00CE50BF"/>
    <w:rsid w:val="00CE5199"/>
    <w:rsid w:val="00CE5F67"/>
    <w:rsid w:val="00CE66BE"/>
    <w:rsid w:val="00CE66D5"/>
    <w:rsid w:val="00CE6C1C"/>
    <w:rsid w:val="00CF33D8"/>
    <w:rsid w:val="00CF3AAE"/>
    <w:rsid w:val="00CF5E69"/>
    <w:rsid w:val="00CF637A"/>
    <w:rsid w:val="00CF77FA"/>
    <w:rsid w:val="00CF7DAA"/>
    <w:rsid w:val="00D01100"/>
    <w:rsid w:val="00D012FF"/>
    <w:rsid w:val="00D04E2D"/>
    <w:rsid w:val="00D05850"/>
    <w:rsid w:val="00D059DE"/>
    <w:rsid w:val="00D073F7"/>
    <w:rsid w:val="00D10FF7"/>
    <w:rsid w:val="00D11334"/>
    <w:rsid w:val="00D12193"/>
    <w:rsid w:val="00D1288B"/>
    <w:rsid w:val="00D13A0F"/>
    <w:rsid w:val="00D13FCE"/>
    <w:rsid w:val="00D14E6A"/>
    <w:rsid w:val="00D21CD9"/>
    <w:rsid w:val="00D22CA5"/>
    <w:rsid w:val="00D306D1"/>
    <w:rsid w:val="00D30F59"/>
    <w:rsid w:val="00D33621"/>
    <w:rsid w:val="00D34786"/>
    <w:rsid w:val="00D36381"/>
    <w:rsid w:val="00D36B5A"/>
    <w:rsid w:val="00D36E6F"/>
    <w:rsid w:val="00D37598"/>
    <w:rsid w:val="00D37BFC"/>
    <w:rsid w:val="00D40D13"/>
    <w:rsid w:val="00D4167D"/>
    <w:rsid w:val="00D418CD"/>
    <w:rsid w:val="00D41E22"/>
    <w:rsid w:val="00D421B3"/>
    <w:rsid w:val="00D43A9F"/>
    <w:rsid w:val="00D46DA1"/>
    <w:rsid w:val="00D47930"/>
    <w:rsid w:val="00D47A73"/>
    <w:rsid w:val="00D47A8E"/>
    <w:rsid w:val="00D5028B"/>
    <w:rsid w:val="00D502E1"/>
    <w:rsid w:val="00D524BD"/>
    <w:rsid w:val="00D52D14"/>
    <w:rsid w:val="00D5356B"/>
    <w:rsid w:val="00D61081"/>
    <w:rsid w:val="00D63475"/>
    <w:rsid w:val="00D652C6"/>
    <w:rsid w:val="00D65363"/>
    <w:rsid w:val="00D712D3"/>
    <w:rsid w:val="00D71422"/>
    <w:rsid w:val="00D718AE"/>
    <w:rsid w:val="00D72DC6"/>
    <w:rsid w:val="00D75040"/>
    <w:rsid w:val="00D7558D"/>
    <w:rsid w:val="00D75D29"/>
    <w:rsid w:val="00D7637D"/>
    <w:rsid w:val="00D81951"/>
    <w:rsid w:val="00D81D92"/>
    <w:rsid w:val="00D82981"/>
    <w:rsid w:val="00D83D73"/>
    <w:rsid w:val="00D83E09"/>
    <w:rsid w:val="00D86ADD"/>
    <w:rsid w:val="00D86DAB"/>
    <w:rsid w:val="00D909C1"/>
    <w:rsid w:val="00D90D70"/>
    <w:rsid w:val="00D911B5"/>
    <w:rsid w:val="00D93408"/>
    <w:rsid w:val="00D93C96"/>
    <w:rsid w:val="00D93D2D"/>
    <w:rsid w:val="00D95ACE"/>
    <w:rsid w:val="00D95F47"/>
    <w:rsid w:val="00D96C28"/>
    <w:rsid w:val="00D96E66"/>
    <w:rsid w:val="00DA00D9"/>
    <w:rsid w:val="00DA1086"/>
    <w:rsid w:val="00DA3176"/>
    <w:rsid w:val="00DA3906"/>
    <w:rsid w:val="00DA432D"/>
    <w:rsid w:val="00DA5314"/>
    <w:rsid w:val="00DA57FA"/>
    <w:rsid w:val="00DA7B5F"/>
    <w:rsid w:val="00DB01B0"/>
    <w:rsid w:val="00DB0A24"/>
    <w:rsid w:val="00DB0C47"/>
    <w:rsid w:val="00DB186A"/>
    <w:rsid w:val="00DB2DE7"/>
    <w:rsid w:val="00DB5A3D"/>
    <w:rsid w:val="00DB5AFF"/>
    <w:rsid w:val="00DB5D83"/>
    <w:rsid w:val="00DB5DBC"/>
    <w:rsid w:val="00DB6E9F"/>
    <w:rsid w:val="00DC02DF"/>
    <w:rsid w:val="00DC11E7"/>
    <w:rsid w:val="00DC2BB7"/>
    <w:rsid w:val="00DC5690"/>
    <w:rsid w:val="00DC5968"/>
    <w:rsid w:val="00DC62D7"/>
    <w:rsid w:val="00DC68D8"/>
    <w:rsid w:val="00DC6B09"/>
    <w:rsid w:val="00DC6B96"/>
    <w:rsid w:val="00DC7023"/>
    <w:rsid w:val="00DC769A"/>
    <w:rsid w:val="00DD0F11"/>
    <w:rsid w:val="00DD3144"/>
    <w:rsid w:val="00DD3677"/>
    <w:rsid w:val="00DD3D86"/>
    <w:rsid w:val="00DD413F"/>
    <w:rsid w:val="00DD4706"/>
    <w:rsid w:val="00DD4F2B"/>
    <w:rsid w:val="00DD7FA7"/>
    <w:rsid w:val="00DE3E89"/>
    <w:rsid w:val="00DE4B10"/>
    <w:rsid w:val="00DE546B"/>
    <w:rsid w:val="00DE7689"/>
    <w:rsid w:val="00DE775A"/>
    <w:rsid w:val="00DE778C"/>
    <w:rsid w:val="00DF0153"/>
    <w:rsid w:val="00DF0620"/>
    <w:rsid w:val="00DF0B28"/>
    <w:rsid w:val="00DF0E3C"/>
    <w:rsid w:val="00DF1EC4"/>
    <w:rsid w:val="00DF2082"/>
    <w:rsid w:val="00DF3478"/>
    <w:rsid w:val="00DF3DF3"/>
    <w:rsid w:val="00DF422D"/>
    <w:rsid w:val="00DF588F"/>
    <w:rsid w:val="00DF5B86"/>
    <w:rsid w:val="00DF69F6"/>
    <w:rsid w:val="00E00222"/>
    <w:rsid w:val="00E01AFF"/>
    <w:rsid w:val="00E02116"/>
    <w:rsid w:val="00E02AD0"/>
    <w:rsid w:val="00E030E2"/>
    <w:rsid w:val="00E03294"/>
    <w:rsid w:val="00E0340B"/>
    <w:rsid w:val="00E03FC5"/>
    <w:rsid w:val="00E04A90"/>
    <w:rsid w:val="00E065C8"/>
    <w:rsid w:val="00E11AB5"/>
    <w:rsid w:val="00E14313"/>
    <w:rsid w:val="00E14507"/>
    <w:rsid w:val="00E16239"/>
    <w:rsid w:val="00E16318"/>
    <w:rsid w:val="00E219C7"/>
    <w:rsid w:val="00E254AF"/>
    <w:rsid w:val="00E25C41"/>
    <w:rsid w:val="00E264A0"/>
    <w:rsid w:val="00E302AD"/>
    <w:rsid w:val="00E3186D"/>
    <w:rsid w:val="00E33797"/>
    <w:rsid w:val="00E3416B"/>
    <w:rsid w:val="00E3593C"/>
    <w:rsid w:val="00E37FB2"/>
    <w:rsid w:val="00E40E61"/>
    <w:rsid w:val="00E41227"/>
    <w:rsid w:val="00E43157"/>
    <w:rsid w:val="00E435DD"/>
    <w:rsid w:val="00E461CE"/>
    <w:rsid w:val="00E468A3"/>
    <w:rsid w:val="00E4696B"/>
    <w:rsid w:val="00E478F0"/>
    <w:rsid w:val="00E50384"/>
    <w:rsid w:val="00E54F2D"/>
    <w:rsid w:val="00E5676C"/>
    <w:rsid w:val="00E56FE7"/>
    <w:rsid w:val="00E574CE"/>
    <w:rsid w:val="00E6189E"/>
    <w:rsid w:val="00E62A4E"/>
    <w:rsid w:val="00E62D25"/>
    <w:rsid w:val="00E63766"/>
    <w:rsid w:val="00E64EF6"/>
    <w:rsid w:val="00E65777"/>
    <w:rsid w:val="00E65C6D"/>
    <w:rsid w:val="00E668EB"/>
    <w:rsid w:val="00E66DAA"/>
    <w:rsid w:val="00E720CA"/>
    <w:rsid w:val="00E72419"/>
    <w:rsid w:val="00E72A4D"/>
    <w:rsid w:val="00E72B5F"/>
    <w:rsid w:val="00E742D4"/>
    <w:rsid w:val="00E759F1"/>
    <w:rsid w:val="00E768AB"/>
    <w:rsid w:val="00E76F5C"/>
    <w:rsid w:val="00E7746C"/>
    <w:rsid w:val="00E808F5"/>
    <w:rsid w:val="00E810C3"/>
    <w:rsid w:val="00E81AAA"/>
    <w:rsid w:val="00E82AE4"/>
    <w:rsid w:val="00E84EB5"/>
    <w:rsid w:val="00E85662"/>
    <w:rsid w:val="00E85E57"/>
    <w:rsid w:val="00E86EF6"/>
    <w:rsid w:val="00E87053"/>
    <w:rsid w:val="00E8789F"/>
    <w:rsid w:val="00E9095B"/>
    <w:rsid w:val="00E909AA"/>
    <w:rsid w:val="00E91E46"/>
    <w:rsid w:val="00E939E4"/>
    <w:rsid w:val="00E93E88"/>
    <w:rsid w:val="00E94C62"/>
    <w:rsid w:val="00E96212"/>
    <w:rsid w:val="00E96514"/>
    <w:rsid w:val="00E9685E"/>
    <w:rsid w:val="00E97B71"/>
    <w:rsid w:val="00E97E98"/>
    <w:rsid w:val="00EA0C50"/>
    <w:rsid w:val="00EA105A"/>
    <w:rsid w:val="00EA1D86"/>
    <w:rsid w:val="00EA3D34"/>
    <w:rsid w:val="00EA4441"/>
    <w:rsid w:val="00EA51B5"/>
    <w:rsid w:val="00EB00D2"/>
    <w:rsid w:val="00EB2B76"/>
    <w:rsid w:val="00EB3492"/>
    <w:rsid w:val="00EB409C"/>
    <w:rsid w:val="00EB454D"/>
    <w:rsid w:val="00EB5D0B"/>
    <w:rsid w:val="00EB5D26"/>
    <w:rsid w:val="00EB6C12"/>
    <w:rsid w:val="00EB7A42"/>
    <w:rsid w:val="00EB7A7D"/>
    <w:rsid w:val="00EC0178"/>
    <w:rsid w:val="00EC1A97"/>
    <w:rsid w:val="00EC1F54"/>
    <w:rsid w:val="00EC292F"/>
    <w:rsid w:val="00EC4CCC"/>
    <w:rsid w:val="00EC5E98"/>
    <w:rsid w:val="00EC745E"/>
    <w:rsid w:val="00EC75BC"/>
    <w:rsid w:val="00EC7A66"/>
    <w:rsid w:val="00EC7AB0"/>
    <w:rsid w:val="00EC7EF2"/>
    <w:rsid w:val="00ED07AF"/>
    <w:rsid w:val="00ED149A"/>
    <w:rsid w:val="00ED256F"/>
    <w:rsid w:val="00ED334E"/>
    <w:rsid w:val="00ED48C9"/>
    <w:rsid w:val="00ED4A83"/>
    <w:rsid w:val="00ED566D"/>
    <w:rsid w:val="00ED6957"/>
    <w:rsid w:val="00ED70D1"/>
    <w:rsid w:val="00ED75FF"/>
    <w:rsid w:val="00ED76BE"/>
    <w:rsid w:val="00ED78FB"/>
    <w:rsid w:val="00ED7921"/>
    <w:rsid w:val="00EE0BF2"/>
    <w:rsid w:val="00EE13C3"/>
    <w:rsid w:val="00EE2180"/>
    <w:rsid w:val="00EE3963"/>
    <w:rsid w:val="00EE3B73"/>
    <w:rsid w:val="00EE66B7"/>
    <w:rsid w:val="00EE6B1A"/>
    <w:rsid w:val="00EF1007"/>
    <w:rsid w:val="00EF26C8"/>
    <w:rsid w:val="00EF286F"/>
    <w:rsid w:val="00EF3399"/>
    <w:rsid w:val="00EF5360"/>
    <w:rsid w:val="00EF619B"/>
    <w:rsid w:val="00F00B55"/>
    <w:rsid w:val="00F019B4"/>
    <w:rsid w:val="00F01F9E"/>
    <w:rsid w:val="00F02A9A"/>
    <w:rsid w:val="00F02AD1"/>
    <w:rsid w:val="00F055BA"/>
    <w:rsid w:val="00F05A6A"/>
    <w:rsid w:val="00F064E2"/>
    <w:rsid w:val="00F1064A"/>
    <w:rsid w:val="00F114CD"/>
    <w:rsid w:val="00F131AC"/>
    <w:rsid w:val="00F13812"/>
    <w:rsid w:val="00F14BCF"/>
    <w:rsid w:val="00F15E9F"/>
    <w:rsid w:val="00F16513"/>
    <w:rsid w:val="00F20061"/>
    <w:rsid w:val="00F2052F"/>
    <w:rsid w:val="00F22630"/>
    <w:rsid w:val="00F22F37"/>
    <w:rsid w:val="00F23168"/>
    <w:rsid w:val="00F24EF9"/>
    <w:rsid w:val="00F253CC"/>
    <w:rsid w:val="00F256CF"/>
    <w:rsid w:val="00F25896"/>
    <w:rsid w:val="00F2687D"/>
    <w:rsid w:val="00F27C72"/>
    <w:rsid w:val="00F3063D"/>
    <w:rsid w:val="00F33606"/>
    <w:rsid w:val="00F33BB9"/>
    <w:rsid w:val="00F34039"/>
    <w:rsid w:val="00F35841"/>
    <w:rsid w:val="00F35BCA"/>
    <w:rsid w:val="00F36AE8"/>
    <w:rsid w:val="00F37106"/>
    <w:rsid w:val="00F37D1A"/>
    <w:rsid w:val="00F40148"/>
    <w:rsid w:val="00F412AA"/>
    <w:rsid w:val="00F417F9"/>
    <w:rsid w:val="00F4223B"/>
    <w:rsid w:val="00F4343A"/>
    <w:rsid w:val="00F4383E"/>
    <w:rsid w:val="00F44D3B"/>
    <w:rsid w:val="00F46785"/>
    <w:rsid w:val="00F50A82"/>
    <w:rsid w:val="00F519CF"/>
    <w:rsid w:val="00F53B29"/>
    <w:rsid w:val="00F5400E"/>
    <w:rsid w:val="00F54A7D"/>
    <w:rsid w:val="00F556CC"/>
    <w:rsid w:val="00F5605A"/>
    <w:rsid w:val="00F56B16"/>
    <w:rsid w:val="00F56BA5"/>
    <w:rsid w:val="00F57399"/>
    <w:rsid w:val="00F60E22"/>
    <w:rsid w:val="00F6130F"/>
    <w:rsid w:val="00F61F6A"/>
    <w:rsid w:val="00F648B0"/>
    <w:rsid w:val="00F667B3"/>
    <w:rsid w:val="00F6700F"/>
    <w:rsid w:val="00F67204"/>
    <w:rsid w:val="00F716C8"/>
    <w:rsid w:val="00F7171D"/>
    <w:rsid w:val="00F7173F"/>
    <w:rsid w:val="00F73104"/>
    <w:rsid w:val="00F73D25"/>
    <w:rsid w:val="00F73D63"/>
    <w:rsid w:val="00F73E9E"/>
    <w:rsid w:val="00F755B3"/>
    <w:rsid w:val="00F805FB"/>
    <w:rsid w:val="00F81395"/>
    <w:rsid w:val="00F82B5B"/>
    <w:rsid w:val="00F86531"/>
    <w:rsid w:val="00F86DE4"/>
    <w:rsid w:val="00F902EB"/>
    <w:rsid w:val="00F90423"/>
    <w:rsid w:val="00F90BC6"/>
    <w:rsid w:val="00F90DDC"/>
    <w:rsid w:val="00F917D1"/>
    <w:rsid w:val="00F91E84"/>
    <w:rsid w:val="00F94B43"/>
    <w:rsid w:val="00F96349"/>
    <w:rsid w:val="00F9653B"/>
    <w:rsid w:val="00F967DE"/>
    <w:rsid w:val="00F96B3A"/>
    <w:rsid w:val="00F96E15"/>
    <w:rsid w:val="00FA015A"/>
    <w:rsid w:val="00FA1069"/>
    <w:rsid w:val="00FA2890"/>
    <w:rsid w:val="00FA3237"/>
    <w:rsid w:val="00FA3E2F"/>
    <w:rsid w:val="00FA4375"/>
    <w:rsid w:val="00FA4DA2"/>
    <w:rsid w:val="00FA6682"/>
    <w:rsid w:val="00FA782B"/>
    <w:rsid w:val="00FB0BB2"/>
    <w:rsid w:val="00FB0C9D"/>
    <w:rsid w:val="00FB454F"/>
    <w:rsid w:val="00FB481F"/>
    <w:rsid w:val="00FB62CF"/>
    <w:rsid w:val="00FB66C7"/>
    <w:rsid w:val="00FB7E0E"/>
    <w:rsid w:val="00FC000E"/>
    <w:rsid w:val="00FC2693"/>
    <w:rsid w:val="00FC27A7"/>
    <w:rsid w:val="00FC338B"/>
    <w:rsid w:val="00FC3407"/>
    <w:rsid w:val="00FC3866"/>
    <w:rsid w:val="00FC3C48"/>
    <w:rsid w:val="00FC5CB1"/>
    <w:rsid w:val="00FC6FC4"/>
    <w:rsid w:val="00FD0FAD"/>
    <w:rsid w:val="00FD1EF0"/>
    <w:rsid w:val="00FD20E7"/>
    <w:rsid w:val="00FD3387"/>
    <w:rsid w:val="00FD39AF"/>
    <w:rsid w:val="00FD3C3B"/>
    <w:rsid w:val="00FD42F2"/>
    <w:rsid w:val="00FD4BF5"/>
    <w:rsid w:val="00FD5A99"/>
    <w:rsid w:val="00FD5E0E"/>
    <w:rsid w:val="00FD5F26"/>
    <w:rsid w:val="00FD66DE"/>
    <w:rsid w:val="00FD6FAB"/>
    <w:rsid w:val="00FD7E4D"/>
    <w:rsid w:val="00FE0783"/>
    <w:rsid w:val="00FE07DD"/>
    <w:rsid w:val="00FE0950"/>
    <w:rsid w:val="00FE3CC1"/>
    <w:rsid w:val="00FE6B45"/>
    <w:rsid w:val="00FE6C47"/>
    <w:rsid w:val="00FE7F7D"/>
    <w:rsid w:val="00FF1BDA"/>
    <w:rsid w:val="00FF2832"/>
    <w:rsid w:val="00FF2D4F"/>
    <w:rsid w:val="00FF2F5D"/>
    <w:rsid w:val="00FF31F1"/>
    <w:rsid w:val="00FF33D8"/>
    <w:rsid w:val="00FF3D1E"/>
    <w:rsid w:val="00FF413A"/>
    <w:rsid w:val="00FF55F3"/>
    <w:rsid w:val="00FF5851"/>
    <w:rsid w:val="00FF7B79"/>
    <w:rsid w:val="00FF7D5A"/>
    <w:rsid w:val="07C31400"/>
    <w:rsid w:val="58398DD8"/>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87E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C505E4"/>
    <w:pPr>
      <w:keepNext/>
      <w:keepLines/>
      <w:numPr>
        <w:numId w:val="53"/>
      </w:numPr>
      <w:outlineLvl w:val="0"/>
    </w:pPr>
    <w:rPr>
      <w:rFonts w:asciiTheme="majorHAnsi" w:eastAsiaTheme="majorEastAsia" w:hAnsiTheme="majorHAnsi" w:cstheme="majorBidi"/>
      <w:b/>
      <w:bCs/>
      <w:sz w:val="20"/>
      <w:szCs w:val="28"/>
    </w:rPr>
  </w:style>
  <w:style w:type="paragraph" w:styleId="Heading2">
    <w:name w:val="heading 2"/>
    <w:basedOn w:val="Normal"/>
    <w:next w:val="Normal"/>
    <w:link w:val="Heading2Char"/>
    <w:qFormat/>
    <w:rsid w:val="00C87FF4"/>
    <w:pPr>
      <w:keepNext/>
      <w:numPr>
        <w:numId w:val="56"/>
      </w:numPr>
      <w:pBdr>
        <w:top w:val="none" w:sz="0" w:space="0" w:color="auto"/>
        <w:left w:val="none" w:sz="0" w:space="0" w:color="auto"/>
        <w:bottom w:val="none" w:sz="0" w:space="0" w:color="auto"/>
        <w:right w:val="none" w:sz="0" w:space="0" w:color="auto"/>
        <w:between w:val="none" w:sz="0" w:space="0" w:color="auto"/>
        <w:bar w:val="none" w:sz="0" w:color="auto"/>
      </w:pBdr>
      <w:outlineLvl w:val="1"/>
    </w:pPr>
    <w:rPr>
      <w:rFonts w:ascii="Cambria" w:eastAsia="Times New Roman" w:hAnsi="Cambria" w:cs="Arial"/>
      <w:b/>
      <w:bCs/>
      <w:iCs/>
      <w:sz w:val="20"/>
      <w:szCs w:val="28"/>
      <w:bdr w:val="none" w:sz="0" w:space="0" w:color="auto"/>
    </w:rPr>
  </w:style>
  <w:style w:type="paragraph" w:styleId="Heading3">
    <w:name w:val="heading 3"/>
    <w:basedOn w:val="Normal"/>
    <w:next w:val="Normal"/>
    <w:link w:val="Heading3Char"/>
    <w:qFormat/>
    <w:rsid w:val="00C87FF4"/>
    <w:pPr>
      <w:keepNext/>
      <w:pBdr>
        <w:top w:val="none" w:sz="0" w:space="0" w:color="auto"/>
        <w:left w:val="none" w:sz="0" w:space="0" w:color="auto"/>
        <w:bottom w:val="none" w:sz="0" w:space="0" w:color="auto"/>
        <w:right w:val="none" w:sz="0" w:space="0" w:color="auto"/>
        <w:between w:val="none" w:sz="0" w:space="0" w:color="auto"/>
        <w:bar w:val="none" w:sz="0" w:color="auto"/>
      </w:pBdr>
      <w:outlineLvl w:val="2"/>
    </w:pPr>
    <w:rPr>
      <w:rFonts w:ascii="Cambria" w:eastAsia="Times New Roman" w:hAnsi="Cambria" w:cs="Arial"/>
      <w:b/>
      <w:bCs/>
      <w:sz w:val="20"/>
      <w:szCs w:val="26"/>
      <w:bdr w:val="none" w:sz="0" w:space="0" w:color="auto"/>
    </w:rPr>
  </w:style>
  <w:style w:type="paragraph" w:styleId="Heading4">
    <w:name w:val="heading 4"/>
    <w:basedOn w:val="Normal"/>
    <w:next w:val="Normal"/>
    <w:link w:val="Heading4Char"/>
    <w:uiPriority w:val="9"/>
    <w:unhideWhenUsed/>
    <w:qFormat/>
    <w:rsid w:val="00115E9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AB3D6F"/>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link w:val="BodyTextIndentChar"/>
    <w:pPr>
      <w:ind w:left="2160" w:hanging="720"/>
    </w:pPr>
    <w:rPr>
      <w:rFonts w:eastAsia="Times New Roman"/>
      <w:color w:val="000000"/>
      <w:sz w:val="24"/>
      <w:szCs w:val="24"/>
      <w:u w:color="000000"/>
      <w:lang w:val="es-ES_tradnl"/>
    </w:rPr>
  </w:style>
  <w:style w:type="paragraph" w:styleId="ListParagraph">
    <w:name w:val="List Paragraph"/>
    <w:aliases w:val="Párrafo de lista1,List Paragraph1,Colorful List - Accent 11,List Paragraph11,List Paragraph2,Lista vistosa - Énfasis 11,Subtle Emphasis1,Footnote1,Medium Grid 1 - Accent 21,Grade Clara - Ênfase 31,Parragrap"/>
    <w:link w:val="ListParagraphChar"/>
    <w:qFormat/>
    <w:pPr>
      <w:ind w:left="720"/>
    </w:pPr>
    <w:rPr>
      <w:rFonts w:ascii="Cambria" w:eastAsia="Cambria" w:hAnsi="Cambria" w:cs="Cambria"/>
      <w:color w:val="000000"/>
      <w:sz w:val="24"/>
      <w:szCs w:val="24"/>
      <w:u w:color="000000"/>
      <w:lang w:val="en-US"/>
    </w:rPr>
  </w:style>
  <w:style w:type="numbering" w:customStyle="1" w:styleId="List0">
    <w:name w:val="List 0"/>
    <w:basedOn w:val="Estiloimportado1"/>
    <w:pPr>
      <w:numPr>
        <w:numId w:val="31"/>
      </w:numPr>
    </w:pPr>
  </w:style>
  <w:style w:type="numbering" w:customStyle="1" w:styleId="Estiloimportado1">
    <w:name w:val="Estilo importado 1"/>
  </w:style>
  <w:style w:type="numbering" w:customStyle="1" w:styleId="List1">
    <w:name w:val="List 1"/>
    <w:basedOn w:val="Estiloimportado2"/>
    <w:pPr>
      <w:numPr>
        <w:numId w:val="1"/>
      </w:numPr>
    </w:pPr>
  </w:style>
  <w:style w:type="numbering" w:customStyle="1" w:styleId="Estiloimportado2">
    <w:name w:val="Estilo importado 2"/>
  </w:style>
  <w:style w:type="numbering" w:customStyle="1" w:styleId="List21">
    <w:name w:val="List 21"/>
    <w:basedOn w:val="Estiloimportado3"/>
    <w:pPr>
      <w:numPr>
        <w:numId w:val="52"/>
      </w:numPr>
    </w:pPr>
  </w:style>
  <w:style w:type="numbering" w:customStyle="1" w:styleId="Estiloimportado3">
    <w:name w:val="Estilo importado 3"/>
  </w:style>
  <w:style w:type="numbering" w:customStyle="1" w:styleId="List31">
    <w:name w:val="List 31"/>
    <w:basedOn w:val="Estiloimportado4"/>
    <w:pPr>
      <w:numPr>
        <w:numId w:val="51"/>
      </w:numPr>
    </w:pPr>
  </w:style>
  <w:style w:type="numbering" w:customStyle="1" w:styleId="Estiloimportado4">
    <w:name w:val="Estilo importado 4"/>
  </w:style>
  <w:style w:type="numbering" w:customStyle="1" w:styleId="List41">
    <w:name w:val="List 41"/>
    <w:basedOn w:val="Estiloimportado5"/>
    <w:pPr>
      <w:numPr>
        <w:numId w:val="2"/>
      </w:numPr>
    </w:pPr>
  </w:style>
  <w:style w:type="numbering" w:customStyle="1" w:styleId="Estiloimportado5">
    <w:name w:val="Estilo importado 5"/>
  </w:style>
  <w:style w:type="numbering" w:customStyle="1" w:styleId="List51">
    <w:name w:val="List 51"/>
    <w:basedOn w:val="Estiloimportado6"/>
    <w:pPr>
      <w:numPr>
        <w:numId w:val="54"/>
      </w:numPr>
    </w:pPr>
  </w:style>
  <w:style w:type="numbering" w:customStyle="1" w:styleId="Estiloimportado6">
    <w:name w:val="Estilo importado 6"/>
  </w:style>
  <w:style w:type="numbering" w:customStyle="1" w:styleId="List6">
    <w:name w:val="List 6"/>
    <w:basedOn w:val="Estiloimportado7"/>
    <w:pPr>
      <w:numPr>
        <w:numId w:val="3"/>
      </w:numPr>
    </w:pPr>
  </w:style>
  <w:style w:type="numbering" w:customStyle="1" w:styleId="Estiloimportado7">
    <w:name w:val="Estilo importado 7"/>
  </w:style>
  <w:style w:type="numbering" w:customStyle="1" w:styleId="List7">
    <w:name w:val="List 7"/>
    <w:basedOn w:val="Estiloimportado8"/>
    <w:pPr>
      <w:numPr>
        <w:numId w:val="4"/>
      </w:numPr>
    </w:pPr>
  </w:style>
  <w:style w:type="numbering" w:customStyle="1" w:styleId="Estiloimportado8">
    <w:name w:val="Estilo importado 8"/>
  </w:style>
  <w:style w:type="numbering" w:customStyle="1" w:styleId="List8">
    <w:name w:val="List 8"/>
    <w:basedOn w:val="Estiloimportado9"/>
    <w:pPr>
      <w:numPr>
        <w:numId w:val="5"/>
      </w:numPr>
    </w:pPr>
  </w:style>
  <w:style w:type="numbering" w:customStyle="1" w:styleId="Estiloimportado9">
    <w:name w:val="Estilo importado 9"/>
  </w:style>
  <w:style w:type="numbering" w:customStyle="1" w:styleId="List9">
    <w:name w:val="List 9"/>
    <w:basedOn w:val="Estiloimportado10"/>
    <w:pPr>
      <w:numPr>
        <w:numId w:val="22"/>
      </w:numPr>
    </w:pPr>
  </w:style>
  <w:style w:type="numbering" w:customStyle="1" w:styleId="Estiloimportado10">
    <w:name w:val="Estilo importado 10"/>
  </w:style>
  <w:style w:type="numbering" w:customStyle="1" w:styleId="List10">
    <w:name w:val="List 10"/>
    <w:basedOn w:val="Estiloimportado11"/>
    <w:pPr>
      <w:numPr>
        <w:numId w:val="6"/>
      </w:numPr>
    </w:pPr>
  </w:style>
  <w:style w:type="numbering" w:customStyle="1" w:styleId="Estiloimportado11">
    <w:name w:val="Estilo importado 11"/>
  </w:style>
  <w:style w:type="numbering" w:customStyle="1" w:styleId="List11">
    <w:name w:val="List 11"/>
    <w:basedOn w:val="Estiloimportado12"/>
    <w:pPr>
      <w:numPr>
        <w:numId w:val="7"/>
      </w:numPr>
    </w:pPr>
  </w:style>
  <w:style w:type="numbering" w:customStyle="1" w:styleId="Estiloimportado12">
    <w:name w:val="Estilo importado 12"/>
  </w:style>
  <w:style w:type="numbering" w:customStyle="1" w:styleId="List12">
    <w:name w:val="List 12"/>
    <w:basedOn w:val="Estiloimportado13"/>
    <w:pPr>
      <w:numPr>
        <w:numId w:val="36"/>
      </w:numPr>
    </w:pPr>
  </w:style>
  <w:style w:type="numbering" w:customStyle="1" w:styleId="Estiloimportado13">
    <w:name w:val="Estilo importado 13"/>
  </w:style>
  <w:style w:type="numbering" w:customStyle="1" w:styleId="List13">
    <w:name w:val="List 13"/>
    <w:basedOn w:val="Estiloimportado14"/>
    <w:pPr>
      <w:numPr>
        <w:numId w:val="42"/>
      </w:numPr>
    </w:pPr>
  </w:style>
  <w:style w:type="numbering" w:customStyle="1" w:styleId="Estiloimportado14">
    <w:name w:val="Estilo importado 14"/>
  </w:style>
  <w:style w:type="numbering" w:customStyle="1" w:styleId="List14">
    <w:name w:val="List 14"/>
    <w:basedOn w:val="Estiloimportado15"/>
    <w:pPr>
      <w:numPr>
        <w:numId w:val="17"/>
      </w:numPr>
    </w:pPr>
  </w:style>
  <w:style w:type="numbering" w:customStyle="1" w:styleId="Estiloimportado15">
    <w:name w:val="Estilo importado 15"/>
  </w:style>
  <w:style w:type="numbering" w:customStyle="1" w:styleId="List15">
    <w:name w:val="List 15"/>
    <w:basedOn w:val="Estiloimportado16"/>
    <w:pPr>
      <w:numPr>
        <w:numId w:val="16"/>
      </w:numPr>
    </w:pPr>
  </w:style>
  <w:style w:type="numbering" w:customStyle="1" w:styleId="Estiloimportado16">
    <w:name w:val="Estilo importado 16"/>
  </w:style>
  <w:style w:type="numbering" w:customStyle="1" w:styleId="List16">
    <w:name w:val="List 16"/>
    <w:basedOn w:val="Estiloimportado16"/>
    <w:pPr>
      <w:numPr>
        <w:numId w:val="10"/>
      </w:numPr>
    </w:pPr>
  </w:style>
  <w:style w:type="numbering" w:customStyle="1" w:styleId="List17">
    <w:name w:val="List 17"/>
    <w:basedOn w:val="Estiloimportado17"/>
    <w:pPr>
      <w:numPr>
        <w:numId w:val="25"/>
      </w:numPr>
    </w:pPr>
  </w:style>
  <w:style w:type="numbering" w:customStyle="1" w:styleId="Estiloimportado17">
    <w:name w:val="Estilo importado 17"/>
  </w:style>
  <w:style w:type="numbering" w:customStyle="1" w:styleId="List18">
    <w:name w:val="List 18"/>
    <w:basedOn w:val="Estiloimportado18"/>
    <w:pPr>
      <w:numPr>
        <w:numId w:val="27"/>
      </w:numPr>
    </w:pPr>
  </w:style>
  <w:style w:type="numbering" w:customStyle="1" w:styleId="Estiloimportado18">
    <w:name w:val="Estilo importado 18"/>
  </w:style>
  <w:style w:type="numbering" w:customStyle="1" w:styleId="List19">
    <w:name w:val="List 19"/>
    <w:basedOn w:val="Estiloimportado10"/>
    <w:pPr>
      <w:numPr>
        <w:numId w:val="19"/>
      </w:numPr>
    </w:pPr>
  </w:style>
  <w:style w:type="numbering" w:customStyle="1" w:styleId="List20">
    <w:name w:val="List 20"/>
    <w:basedOn w:val="Estiloimportado12"/>
    <w:pPr>
      <w:numPr>
        <w:numId w:val="43"/>
      </w:numPr>
    </w:pPr>
  </w:style>
  <w:style w:type="numbering" w:customStyle="1" w:styleId="List211">
    <w:name w:val="List 211"/>
    <w:basedOn w:val="Estiloimportado19"/>
    <w:pPr>
      <w:numPr>
        <w:numId w:val="38"/>
      </w:numPr>
    </w:pPr>
  </w:style>
  <w:style w:type="numbering" w:customStyle="1" w:styleId="Estiloimportado19">
    <w:name w:val="Estilo importado 19"/>
  </w:style>
  <w:style w:type="numbering" w:customStyle="1" w:styleId="List22">
    <w:name w:val="List 22"/>
    <w:basedOn w:val="Estiloimportado19"/>
    <w:pPr>
      <w:numPr>
        <w:numId w:val="28"/>
      </w:numPr>
    </w:pPr>
  </w:style>
  <w:style w:type="numbering" w:customStyle="1" w:styleId="List23">
    <w:name w:val="List 23"/>
    <w:basedOn w:val="Estiloimportado19"/>
    <w:pPr>
      <w:numPr>
        <w:numId w:val="18"/>
      </w:numPr>
    </w:pPr>
  </w:style>
  <w:style w:type="numbering" w:customStyle="1" w:styleId="List24">
    <w:name w:val="List 24"/>
    <w:basedOn w:val="Estiloimportado20"/>
    <w:pPr>
      <w:numPr>
        <w:numId w:val="13"/>
      </w:numPr>
    </w:pPr>
  </w:style>
  <w:style w:type="numbering" w:customStyle="1" w:styleId="Estiloimportado20">
    <w:name w:val="Estilo importado 20"/>
  </w:style>
  <w:style w:type="numbering" w:customStyle="1" w:styleId="List25">
    <w:name w:val="List 25"/>
    <w:basedOn w:val="Estiloimportado21"/>
    <w:pPr>
      <w:numPr>
        <w:numId w:val="15"/>
      </w:numPr>
    </w:pPr>
  </w:style>
  <w:style w:type="numbering" w:customStyle="1" w:styleId="Estiloimportado21">
    <w:name w:val="Estilo importado 21"/>
  </w:style>
  <w:style w:type="numbering" w:customStyle="1" w:styleId="List26">
    <w:name w:val="List 26"/>
    <w:basedOn w:val="Estiloimportado22"/>
    <w:pPr>
      <w:numPr>
        <w:numId w:val="49"/>
      </w:numPr>
    </w:pPr>
  </w:style>
  <w:style w:type="numbering" w:customStyle="1" w:styleId="Estiloimportado22">
    <w:name w:val="Estilo importado 22"/>
  </w:style>
  <w:style w:type="numbering" w:customStyle="1" w:styleId="List27">
    <w:name w:val="List 27"/>
    <w:basedOn w:val="Estiloimportado23"/>
    <w:pPr>
      <w:numPr>
        <w:numId w:val="41"/>
      </w:numPr>
    </w:pPr>
  </w:style>
  <w:style w:type="numbering" w:customStyle="1" w:styleId="Estiloimportado23">
    <w:name w:val="Estilo importado 23"/>
  </w:style>
  <w:style w:type="numbering" w:customStyle="1" w:styleId="List28">
    <w:name w:val="List 28"/>
    <w:basedOn w:val="Estiloimportado24"/>
    <w:pPr>
      <w:numPr>
        <w:numId w:val="30"/>
      </w:numPr>
    </w:pPr>
  </w:style>
  <w:style w:type="numbering" w:customStyle="1" w:styleId="Estiloimportado24">
    <w:name w:val="Estilo importado 24"/>
  </w:style>
  <w:style w:type="numbering" w:customStyle="1" w:styleId="List29">
    <w:name w:val="List 29"/>
    <w:basedOn w:val="Estiloimportado25"/>
    <w:pPr>
      <w:numPr>
        <w:numId w:val="34"/>
      </w:numPr>
    </w:pPr>
  </w:style>
  <w:style w:type="numbering" w:customStyle="1" w:styleId="Estiloimportado25">
    <w:name w:val="Estilo importado 25"/>
  </w:style>
  <w:style w:type="numbering" w:customStyle="1" w:styleId="List30">
    <w:name w:val="List 30"/>
    <w:basedOn w:val="Estiloimportado26"/>
    <w:pPr>
      <w:numPr>
        <w:numId w:val="32"/>
      </w:numPr>
    </w:pPr>
  </w:style>
  <w:style w:type="numbering" w:customStyle="1" w:styleId="Estiloimportado26">
    <w:name w:val="Estilo importado 26"/>
  </w:style>
  <w:style w:type="numbering" w:customStyle="1" w:styleId="List311">
    <w:name w:val="List 311"/>
    <w:basedOn w:val="Estiloimportado27"/>
    <w:pPr>
      <w:numPr>
        <w:numId w:val="45"/>
      </w:numPr>
    </w:pPr>
  </w:style>
  <w:style w:type="numbering" w:customStyle="1" w:styleId="Estiloimportado27">
    <w:name w:val="Estilo importado 27"/>
  </w:style>
  <w:style w:type="numbering" w:customStyle="1" w:styleId="List32">
    <w:name w:val="List 32"/>
    <w:basedOn w:val="Estiloimportado28"/>
    <w:pPr>
      <w:numPr>
        <w:numId w:val="48"/>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ft"/>
    <w:link w:val="FootnoteTextChar"/>
    <w:qFormat/>
    <w:rsid w:val="00515649"/>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Calibri" w:hAnsi="Cambria" w:cs="Calibri"/>
      <w:color w:val="000000"/>
      <w:sz w:val="16"/>
      <w:u w:color="000000"/>
      <w:lang w:val="en-US"/>
    </w:rPr>
  </w:style>
  <w:style w:type="numbering" w:customStyle="1" w:styleId="List33">
    <w:name w:val="List 33"/>
    <w:basedOn w:val="Estiloimportado29"/>
    <w:pPr>
      <w:numPr>
        <w:numId w:val="26"/>
      </w:numPr>
    </w:pPr>
  </w:style>
  <w:style w:type="numbering" w:customStyle="1" w:styleId="Estiloimportado29">
    <w:name w:val="Estilo importado 29"/>
  </w:style>
  <w:style w:type="numbering" w:customStyle="1" w:styleId="List34">
    <w:name w:val="List 34"/>
    <w:basedOn w:val="Estiloimportado30"/>
    <w:pPr>
      <w:numPr>
        <w:numId w:val="11"/>
      </w:numPr>
    </w:pPr>
  </w:style>
  <w:style w:type="numbering" w:customStyle="1" w:styleId="Estiloimportado30">
    <w:name w:val="Estilo importado 30"/>
  </w:style>
  <w:style w:type="numbering" w:customStyle="1" w:styleId="List35">
    <w:name w:val="List 35"/>
    <w:basedOn w:val="Estiloimportado31"/>
    <w:pPr>
      <w:numPr>
        <w:numId w:val="8"/>
      </w:numPr>
    </w:pPr>
  </w:style>
  <w:style w:type="numbering" w:customStyle="1" w:styleId="Estiloimportado31">
    <w:name w:val="Estilo importado 31"/>
  </w:style>
  <w:style w:type="numbering" w:customStyle="1" w:styleId="List36">
    <w:name w:val="List 36"/>
    <w:basedOn w:val="Estiloimportado32"/>
    <w:pPr>
      <w:numPr>
        <w:numId w:val="14"/>
      </w:numPr>
    </w:pPr>
  </w:style>
  <w:style w:type="numbering" w:customStyle="1" w:styleId="Estiloimportado32">
    <w:name w:val="Estilo importado 32"/>
  </w:style>
  <w:style w:type="numbering" w:customStyle="1" w:styleId="List37">
    <w:name w:val="List 37"/>
    <w:basedOn w:val="Estiloimportado33"/>
    <w:pPr>
      <w:numPr>
        <w:numId w:val="47"/>
      </w:numPr>
    </w:pPr>
  </w:style>
  <w:style w:type="numbering" w:customStyle="1" w:styleId="Estiloimportado33">
    <w:name w:val="Estilo importado 33"/>
  </w:style>
  <w:style w:type="numbering" w:customStyle="1" w:styleId="List38">
    <w:name w:val="List 38"/>
    <w:basedOn w:val="Estiloimportado34"/>
    <w:pPr>
      <w:numPr>
        <w:numId w:val="35"/>
      </w:numPr>
    </w:pPr>
  </w:style>
  <w:style w:type="numbering" w:customStyle="1" w:styleId="Estiloimportado34">
    <w:name w:val="Estilo importado 34"/>
  </w:style>
  <w:style w:type="numbering" w:customStyle="1" w:styleId="List39">
    <w:name w:val="List 39"/>
    <w:basedOn w:val="Estiloimportado35"/>
    <w:pPr>
      <w:numPr>
        <w:numId w:val="46"/>
      </w:numPr>
    </w:pPr>
  </w:style>
  <w:style w:type="numbering" w:customStyle="1" w:styleId="Estiloimportado35">
    <w:name w:val="Estilo importado 35"/>
  </w:style>
  <w:style w:type="numbering" w:customStyle="1" w:styleId="List40">
    <w:name w:val="List 40"/>
    <w:basedOn w:val="Estiloimportado36"/>
    <w:pPr>
      <w:numPr>
        <w:numId w:val="21"/>
      </w:numPr>
    </w:pPr>
  </w:style>
  <w:style w:type="numbering" w:customStyle="1" w:styleId="Estiloimportado36">
    <w:name w:val="Estilo importado 36"/>
  </w:style>
  <w:style w:type="numbering" w:customStyle="1" w:styleId="List411">
    <w:name w:val="List 411"/>
    <w:basedOn w:val="Estiloimportado37"/>
    <w:pPr>
      <w:numPr>
        <w:numId w:val="44"/>
      </w:numPr>
    </w:pPr>
  </w:style>
  <w:style w:type="numbering" w:customStyle="1" w:styleId="Estiloimportado37">
    <w:name w:val="Estilo importado 37"/>
  </w:style>
  <w:style w:type="numbering" w:customStyle="1" w:styleId="List42">
    <w:name w:val="List 42"/>
    <w:basedOn w:val="Estiloimportado12"/>
    <w:pPr>
      <w:numPr>
        <w:numId w:val="12"/>
      </w:numPr>
    </w:pPr>
  </w:style>
  <w:style w:type="numbering" w:customStyle="1" w:styleId="List43">
    <w:name w:val="List 43"/>
    <w:basedOn w:val="Estiloimportado38"/>
    <w:pPr>
      <w:numPr>
        <w:numId w:val="23"/>
      </w:numPr>
    </w:pPr>
  </w:style>
  <w:style w:type="numbering" w:customStyle="1" w:styleId="Estiloimportado38">
    <w:name w:val="Estilo importado 38"/>
  </w:style>
  <w:style w:type="numbering" w:customStyle="1" w:styleId="List44">
    <w:name w:val="List 44"/>
    <w:basedOn w:val="Estiloimportado39"/>
    <w:pPr>
      <w:numPr>
        <w:numId w:val="40"/>
      </w:numPr>
    </w:pPr>
  </w:style>
  <w:style w:type="numbering" w:customStyle="1" w:styleId="Estiloimportado39">
    <w:name w:val="Estilo importado 39"/>
  </w:style>
  <w:style w:type="numbering" w:customStyle="1" w:styleId="List45">
    <w:name w:val="List 45"/>
    <w:basedOn w:val="Estiloimportado40"/>
    <w:pPr>
      <w:numPr>
        <w:numId w:val="20"/>
      </w:numPr>
    </w:pPr>
  </w:style>
  <w:style w:type="numbering" w:customStyle="1" w:styleId="Estiloimportado40">
    <w:name w:val="Estilo importado 40"/>
  </w:style>
  <w:style w:type="numbering" w:customStyle="1" w:styleId="List46">
    <w:name w:val="List 46"/>
    <w:basedOn w:val="Estiloimportado41"/>
    <w:pPr>
      <w:numPr>
        <w:numId w:val="24"/>
      </w:numPr>
    </w:pPr>
  </w:style>
  <w:style w:type="numbering" w:customStyle="1" w:styleId="Estiloimportado41">
    <w:name w:val="Estilo importado 41"/>
  </w:style>
  <w:style w:type="numbering" w:customStyle="1" w:styleId="List47">
    <w:name w:val="List 47"/>
    <w:basedOn w:val="Estiloimportado42"/>
    <w:pPr>
      <w:numPr>
        <w:numId w:val="29"/>
      </w:numPr>
    </w:pPr>
  </w:style>
  <w:style w:type="numbering" w:customStyle="1" w:styleId="Estiloimportado42">
    <w:name w:val="Estilo importado 42"/>
  </w:style>
  <w:style w:type="numbering" w:customStyle="1" w:styleId="List48">
    <w:name w:val="List 48"/>
    <w:basedOn w:val="Estiloimportado43"/>
    <w:pPr>
      <w:numPr>
        <w:numId w:val="50"/>
      </w:numPr>
    </w:pPr>
  </w:style>
  <w:style w:type="numbering" w:customStyle="1" w:styleId="Estiloimportado43">
    <w:name w:val="Estilo importado 43"/>
  </w:style>
  <w:style w:type="numbering" w:customStyle="1" w:styleId="List49">
    <w:name w:val="List 49"/>
    <w:basedOn w:val="Estiloimportado44"/>
    <w:pPr>
      <w:numPr>
        <w:numId w:val="39"/>
      </w:numPr>
    </w:pPr>
  </w:style>
  <w:style w:type="numbering" w:customStyle="1" w:styleId="Estiloimportado44">
    <w:name w:val="Estilo importado 44"/>
  </w:style>
  <w:style w:type="numbering" w:customStyle="1" w:styleId="List50">
    <w:name w:val="List 50"/>
    <w:basedOn w:val="Estiloimportado45"/>
    <w:pPr>
      <w:numPr>
        <w:numId w:val="37"/>
      </w:numPr>
    </w:pPr>
  </w:style>
  <w:style w:type="numbering" w:customStyle="1" w:styleId="Estiloimportado45">
    <w:name w:val="Estilo importado 45"/>
  </w:style>
  <w:style w:type="numbering" w:customStyle="1" w:styleId="List511">
    <w:name w:val="List 511"/>
    <w:basedOn w:val="Estiloimportado46"/>
    <w:pPr>
      <w:numPr>
        <w:numId w:val="33"/>
      </w:numPr>
    </w:pPr>
  </w:style>
  <w:style w:type="numbering" w:customStyle="1" w:styleId="Estiloimportado46">
    <w:name w:val="Estilo importado 46"/>
  </w:style>
  <w:style w:type="numbering" w:customStyle="1" w:styleId="List52">
    <w:name w:val="List 52"/>
    <w:basedOn w:val="Estiloimportado1"/>
    <w:pPr>
      <w:numPr>
        <w:numId w:val="9"/>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C505E4"/>
    <w:rPr>
      <w:rFonts w:asciiTheme="majorHAnsi" w:eastAsiaTheme="majorEastAsia" w:hAnsiTheme="majorHAnsi" w:cstheme="majorBidi"/>
      <w:b/>
      <w:bCs/>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qFormat/>
    <w:rsid w:val="00B4527A"/>
    <w:pPr>
      <w:tabs>
        <w:tab w:val="right" w:leader="dot" w:pos="9350"/>
      </w:tabs>
      <w:spacing w:after="100"/>
      <w:ind w:left="450" w:hanging="450"/>
    </w:pPr>
  </w:style>
  <w:style w:type="paragraph" w:styleId="TOC1">
    <w:name w:val="toc 1"/>
    <w:basedOn w:val="Normal"/>
    <w:next w:val="Normal"/>
    <w:autoRedefine/>
    <w:uiPriority w:val="39"/>
    <w:unhideWhenUsed/>
    <w:qFormat/>
    <w:rsid w:val="00176489"/>
    <w:pPr>
      <w:tabs>
        <w:tab w:val="left" w:pos="540"/>
        <w:tab w:val="left" w:pos="900"/>
        <w:tab w:val="right" w:leader="dot" w:pos="9350"/>
      </w:tabs>
    </w:pPr>
    <w:rPr>
      <w:rFonts w:asciiTheme="majorHAnsi" w:hAnsiTheme="majorHAnsi"/>
      <w:b/>
      <w:bCs/>
      <w:noProof/>
      <w:sz w:val="20"/>
      <w:szCs w:val="20"/>
      <w:lang w:val="es-ES_tradnl"/>
    </w:rPr>
  </w:style>
  <w:style w:type="paragraph" w:styleId="TOC3">
    <w:name w:val="toc 3"/>
    <w:basedOn w:val="Normal"/>
    <w:next w:val="Normal"/>
    <w:autoRedefine/>
    <w:uiPriority w:val="39"/>
    <w:unhideWhenUsed/>
    <w:qFormat/>
    <w:rsid w:val="00BF1DA5"/>
    <w:pPr>
      <w:tabs>
        <w:tab w:val="left" w:pos="540"/>
        <w:tab w:val="left" w:pos="880"/>
        <w:tab w:val="left" w:pos="2250"/>
        <w:tab w:val="right" w:leader="dot" w:pos="9350"/>
      </w:tabs>
      <w:spacing w:after="100"/>
      <w:ind w:left="540"/>
      <w:jc w:val="both"/>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1,4_G,16 Point,Superscript 6 Point,Footnote symbol,Footnote,Texto nota al pie,Ref. de nota al pi,Re"/>
    <w:basedOn w:val="DefaultParagraphFont"/>
    <w:link w:val="FootnotesrefssChar1Char"/>
    <w:uiPriority w:val="99"/>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semiHidden/>
    <w:unhideWhenUsed/>
    <w:rsid w:val="0031535D"/>
    <w:pPr>
      <w:spacing w:after="120"/>
    </w:pPr>
  </w:style>
  <w:style w:type="character" w:customStyle="1" w:styleId="BodyTextChar">
    <w:name w:val="Body Text Char"/>
    <w:basedOn w:val="DefaultParagraphFont"/>
    <w:link w:val="BodyText"/>
    <w:uiPriority w:val="99"/>
    <w:semiHidden/>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ft Char"/>
    <w:link w:val="FootnoteText"/>
    <w:qFormat/>
    <w:locked/>
    <w:rsid w:val="00515649"/>
    <w:rPr>
      <w:rFonts w:ascii="Cambria" w:eastAsia="Calibri" w:hAnsi="Cambria" w:cs="Calibri"/>
      <w:color w:val="000000"/>
      <w:sz w:val="16"/>
      <w:u w:color="000000"/>
      <w:lang w:val="en-US"/>
    </w:rPr>
  </w:style>
  <w:style w:type="character" w:customStyle="1" w:styleId="Heading2Char">
    <w:name w:val="Heading 2 Char"/>
    <w:basedOn w:val="DefaultParagraphFont"/>
    <w:link w:val="Heading2"/>
    <w:rsid w:val="00C87FF4"/>
    <w:rPr>
      <w:rFonts w:ascii="Cambria" w:eastAsia="Times New Roman" w:hAnsi="Cambria" w:cs="Arial"/>
      <w:b/>
      <w:bCs/>
      <w:iCs/>
      <w:szCs w:val="28"/>
      <w:bdr w:val="none" w:sz="0" w:space="0" w:color="auto"/>
      <w:lang w:val="en-US" w:eastAsia="en-US"/>
    </w:rPr>
  </w:style>
  <w:style w:type="character" w:customStyle="1" w:styleId="Heading3Char">
    <w:name w:val="Heading 3 Char"/>
    <w:basedOn w:val="DefaultParagraphFont"/>
    <w:link w:val="Heading3"/>
    <w:rsid w:val="00C87FF4"/>
    <w:rPr>
      <w:rFonts w:ascii="Cambria" w:eastAsia="Times New Roman" w:hAnsi="Cambria" w:cs="Arial"/>
      <w:b/>
      <w:bCs/>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paragraph" w:customStyle="1" w:styleId="FootnotesrefssChar1Char">
    <w:name w:val="Footnotes refss Char1 Char"/>
    <w:aliases w:val="Texto de nota al pie Char1 Char,Appel note de bas de page Char1 Char,Footnote number Char1 Char,referencia nota al pie Char1 Char,BVI fnr Char1 Char,f Char1 Char,4_G Char1 Char,16 Point Char1 Char"/>
    <w:basedOn w:val="Normal"/>
    <w:link w:val="FootnoteReference"/>
    <w:uiPriority w:val="99"/>
    <w:qFormat/>
    <w:rsid w:val="009014A4"/>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sz w:val="20"/>
      <w:szCs w:val="20"/>
      <w:vertAlign w:val="superscript"/>
      <w:lang w:val="es-ES" w:eastAsia="es-ES"/>
    </w:rPr>
  </w:style>
  <w:style w:type="paragraph" w:customStyle="1" w:styleId="BVIfnrCar1CarCarCarCar">
    <w:name w:val="BVI fnr Car1 Car Car Car Car"/>
    <w:aliases w:val="ftref Car Car Car Car Car Car Car Car Car Car,BVI fnr Char Car Car Car Car Car Car Car Car Car Car Car,BVI fnr Char Car Car Car Car Car Car Car Car Car Car Car Car Car"/>
    <w:basedOn w:val="Normal"/>
    <w:uiPriority w:val="99"/>
    <w:rsid w:val="004D6618"/>
    <w:pPr>
      <w:pBdr>
        <w:top w:val="none" w:sz="0" w:space="0" w:color="auto"/>
        <w:left w:val="none" w:sz="0" w:space="0" w:color="auto"/>
        <w:bottom w:val="none" w:sz="0" w:space="0" w:color="auto"/>
        <w:right w:val="none" w:sz="0" w:space="0" w:color="auto"/>
        <w:between w:val="none" w:sz="0" w:space="0" w:color="auto"/>
        <w:bar w:val="none" w:sz="0" w:color="auto"/>
      </w:pBdr>
      <w:spacing w:before="200" w:after="160" w:line="240" w:lineRule="exact"/>
    </w:pPr>
    <w:rPr>
      <w:rFonts w:ascii="Verdana" w:hAnsi="Verdana"/>
      <w:sz w:val="22"/>
      <w:szCs w:val="20"/>
      <w:bdr w:val="none" w:sz="0" w:space="0" w:color="auto"/>
      <w:vertAlign w:val="superscript"/>
      <w:lang w:val="es-ES" w:eastAsia="es-ES"/>
    </w:rPr>
  </w:style>
  <w:style w:type="character" w:customStyle="1" w:styleId="ListParagraphChar">
    <w:name w:val="List Paragraph Char"/>
    <w:aliases w:val="Párrafo de lista1 Char,List Paragraph1 Char,Colorful List - Accent 11 Char,List Paragraph11 Char,List Paragraph2 Char,Lista vistosa - Énfasis 11 Char,Subtle Emphasis1 Char,Footnote1 Char,Medium Grid 1 - Accent 21 Char,Parragrap Char"/>
    <w:link w:val="ListParagraph"/>
    <w:locked/>
    <w:rsid w:val="002E4AEA"/>
    <w:rPr>
      <w:rFonts w:ascii="Cambria" w:eastAsia="Cambria" w:hAnsi="Cambria" w:cs="Cambria"/>
      <w:color w:val="000000"/>
      <w:sz w:val="24"/>
      <w:szCs w:val="24"/>
      <w:u w:color="000000"/>
      <w:lang w:val="en-US"/>
    </w:rPr>
  </w:style>
  <w:style w:type="character" w:styleId="PlaceholderText">
    <w:name w:val="Placeholder Text"/>
    <w:basedOn w:val="DefaultParagraphFont"/>
    <w:uiPriority w:val="99"/>
    <w:semiHidden/>
    <w:rsid w:val="006B2F20"/>
    <w:rPr>
      <w:color w:val="808080"/>
    </w:rPr>
  </w:style>
  <w:style w:type="paragraph" w:styleId="HTMLPreformatted">
    <w:name w:val="HTML Preformatted"/>
    <w:basedOn w:val="Normal"/>
    <w:link w:val="HTMLPreformattedChar"/>
    <w:uiPriority w:val="99"/>
    <w:semiHidden/>
    <w:unhideWhenUsed/>
    <w:rsid w:val="0025331D"/>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25331D"/>
    <w:rPr>
      <w:rFonts w:ascii="Consolas" w:hAnsi="Consolas" w:cs="Consolas"/>
      <w:lang w:val="en-US" w:eastAsia="en-US"/>
    </w:rPr>
  </w:style>
  <w:style w:type="character" w:styleId="CommentReference">
    <w:name w:val="annotation reference"/>
    <w:basedOn w:val="DefaultParagraphFont"/>
    <w:uiPriority w:val="99"/>
    <w:semiHidden/>
    <w:unhideWhenUsed/>
    <w:rsid w:val="00F755B3"/>
    <w:rPr>
      <w:sz w:val="18"/>
      <w:szCs w:val="18"/>
    </w:rPr>
  </w:style>
  <w:style w:type="paragraph" w:styleId="CommentText">
    <w:name w:val="annotation text"/>
    <w:basedOn w:val="Normal"/>
    <w:link w:val="CommentTextChar"/>
    <w:uiPriority w:val="99"/>
    <w:unhideWhenUsed/>
    <w:rsid w:val="00F755B3"/>
  </w:style>
  <w:style w:type="character" w:customStyle="1" w:styleId="CommentTextChar">
    <w:name w:val="Comment Text Char"/>
    <w:basedOn w:val="DefaultParagraphFont"/>
    <w:link w:val="CommentText"/>
    <w:uiPriority w:val="99"/>
    <w:rsid w:val="00F755B3"/>
    <w:rPr>
      <w:sz w:val="24"/>
      <w:szCs w:val="24"/>
      <w:lang w:val="en-US" w:eastAsia="en-US"/>
    </w:rPr>
  </w:style>
  <w:style w:type="paragraph" w:styleId="CommentSubject">
    <w:name w:val="annotation subject"/>
    <w:basedOn w:val="CommentText"/>
    <w:next w:val="CommentText"/>
    <w:link w:val="CommentSubjectChar"/>
    <w:uiPriority w:val="99"/>
    <w:semiHidden/>
    <w:unhideWhenUsed/>
    <w:rsid w:val="00F755B3"/>
    <w:rPr>
      <w:b/>
      <w:bCs/>
      <w:sz w:val="20"/>
      <w:szCs w:val="20"/>
    </w:rPr>
  </w:style>
  <w:style w:type="character" w:customStyle="1" w:styleId="CommentSubjectChar">
    <w:name w:val="Comment Subject Char"/>
    <w:basedOn w:val="CommentTextChar"/>
    <w:link w:val="CommentSubject"/>
    <w:uiPriority w:val="99"/>
    <w:semiHidden/>
    <w:rsid w:val="00F755B3"/>
    <w:rPr>
      <w:b/>
      <w:bCs/>
      <w:sz w:val="24"/>
      <w:szCs w:val="24"/>
      <w:lang w:val="en-US" w:eastAsia="en-US"/>
    </w:rPr>
  </w:style>
  <w:style w:type="character" w:styleId="Strong">
    <w:name w:val="Strong"/>
    <w:uiPriority w:val="22"/>
    <w:qFormat/>
    <w:rsid w:val="00B63C20"/>
    <w:rPr>
      <w:rFonts w:cs="Times New Roman"/>
      <w:b/>
      <w:bCs/>
    </w:rPr>
  </w:style>
  <w:style w:type="character" w:customStyle="1" w:styleId="apple-converted-space">
    <w:name w:val="apple-converted-space"/>
    <w:rsid w:val="00B63C20"/>
    <w:rPr>
      <w:rFonts w:cs="Times New Roman"/>
    </w:rPr>
  </w:style>
  <w:style w:type="paragraph" w:customStyle="1" w:styleId="Char2">
    <w:name w:val="Char2"/>
    <w:basedOn w:val="Normal"/>
    <w:uiPriority w:val="99"/>
    <w:rsid w:val="00B63C2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sz w:val="20"/>
      <w:szCs w:val="20"/>
      <w:bdr w:val="none" w:sz="0" w:space="0" w:color="auto"/>
      <w:vertAlign w:val="superscript"/>
    </w:rPr>
  </w:style>
  <w:style w:type="paragraph" w:styleId="NormalWeb">
    <w:name w:val="Normal (Web)"/>
    <w:basedOn w:val="Normal"/>
    <w:uiPriority w:val="99"/>
    <w:rsid w:val="00B63C2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rial Unicode MS" w:hAnsi="Arial Unicode MS" w:cs="Arial Unicode MS"/>
      <w:bdr w:val="none" w:sz="0" w:space="0" w:color="auto"/>
    </w:rPr>
  </w:style>
  <w:style w:type="character" w:customStyle="1" w:styleId="BodyTextIndentChar">
    <w:name w:val="Body Text Indent Char"/>
    <w:basedOn w:val="DefaultParagraphFont"/>
    <w:link w:val="BodyTextIndent"/>
    <w:rsid w:val="00B63C20"/>
    <w:rPr>
      <w:rFonts w:eastAsia="Times New Roman"/>
      <w:color w:val="000000"/>
      <w:sz w:val="24"/>
      <w:szCs w:val="24"/>
      <w:u w:color="000000"/>
      <w:lang w:val="es-ES_tradnl"/>
    </w:rPr>
  </w:style>
  <w:style w:type="paragraph" w:customStyle="1" w:styleId="1">
    <w:name w:val="1"/>
    <w:basedOn w:val="Normal"/>
    <w:rsid w:val="00B63C2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sz w:val="20"/>
      <w:szCs w:val="20"/>
      <w:vertAlign w:val="superscript"/>
      <w:lang w:val="es-ES" w:eastAsia="es-ES"/>
    </w:rPr>
  </w:style>
  <w:style w:type="paragraph" w:customStyle="1" w:styleId="Textonotapie1">
    <w:name w:val="Texto nota pie1"/>
    <w:basedOn w:val="Normal"/>
    <w:uiPriority w:val="99"/>
    <w:semiHidden/>
    <w:rsid w:val="00B63C20"/>
    <w:pPr>
      <w:pBdr>
        <w:top w:val="none" w:sz="0" w:space="0" w:color="auto"/>
        <w:left w:val="none" w:sz="0" w:space="0" w:color="auto"/>
        <w:bottom w:val="none" w:sz="0" w:space="0" w:color="auto"/>
        <w:right w:val="none" w:sz="0" w:space="0" w:color="auto"/>
        <w:between w:val="none" w:sz="0" w:space="0" w:color="auto"/>
        <w:bar w:val="none" w:sz="0" w:color="auto"/>
      </w:pBdr>
    </w:pPr>
    <w:rPr>
      <w:rFonts w:eastAsia="Batang"/>
      <w:sz w:val="20"/>
      <w:szCs w:val="20"/>
      <w:bdr w:val="none" w:sz="0" w:space="0" w:color="auto"/>
      <w:lang w:val="es-ES_tradnl" w:eastAsia="es-ES"/>
    </w:rPr>
  </w:style>
  <w:style w:type="paragraph" w:styleId="Revision">
    <w:name w:val="Revision"/>
    <w:hidden/>
    <w:uiPriority w:val="99"/>
    <w:semiHidden/>
    <w:rsid w:val="00213D1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TOCHeading">
    <w:name w:val="TOC Heading"/>
    <w:basedOn w:val="Heading1"/>
    <w:next w:val="Normal"/>
    <w:uiPriority w:val="39"/>
    <w:semiHidden/>
    <w:unhideWhenUsed/>
    <w:qFormat/>
    <w:rsid w:val="00C505E4"/>
    <w:pPr>
      <w:numPr>
        <w:numId w:val="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outlineLvl w:val="9"/>
    </w:pPr>
    <w:rPr>
      <w:bdr w:val="none" w:sz="0" w:space="0" w:color="auto"/>
      <w:lang w:eastAsia="ja-JP"/>
    </w:rPr>
  </w:style>
  <w:style w:type="paragraph" w:styleId="BodyTextIndent3">
    <w:name w:val="Body Text Indent 3"/>
    <w:basedOn w:val="Normal"/>
    <w:link w:val="BodyTextIndent3Char"/>
    <w:uiPriority w:val="99"/>
    <w:semiHidden/>
    <w:unhideWhenUsed/>
    <w:rsid w:val="009F526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F526E"/>
    <w:rPr>
      <w:sz w:val="16"/>
      <w:szCs w:val="16"/>
      <w:lang w:val="en-US" w:eastAsia="en-US"/>
    </w:rPr>
  </w:style>
  <w:style w:type="paragraph" w:customStyle="1" w:styleId="parrafos">
    <w:name w:val="parrafos"/>
    <w:basedOn w:val="Normal"/>
    <w:link w:val="parrafosChar"/>
    <w:qFormat/>
    <w:rsid w:val="00003576"/>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pPr>
    <w:rPr>
      <w:rFonts w:asciiTheme="majorHAnsi" w:hAnsiTheme="majorHAnsi"/>
      <w:color w:val="000000" w:themeColor="text1"/>
      <w:sz w:val="20"/>
      <w:szCs w:val="20"/>
      <w:lang w:val="es-VE"/>
    </w:rPr>
  </w:style>
  <w:style w:type="character" w:customStyle="1" w:styleId="parrafosChar">
    <w:name w:val="parrafos Char"/>
    <w:basedOn w:val="DefaultParagraphFont"/>
    <w:link w:val="parrafos"/>
    <w:rsid w:val="00003576"/>
    <w:rPr>
      <w:rFonts w:asciiTheme="majorHAnsi" w:hAnsiTheme="majorHAnsi"/>
      <w:color w:val="000000" w:themeColor="text1"/>
      <w:lang w:val="es-VE" w:eastAsia="en-US"/>
    </w:rPr>
  </w:style>
  <w:style w:type="paragraph" w:styleId="BodyText3">
    <w:name w:val="Body Text 3"/>
    <w:basedOn w:val="Normal"/>
    <w:link w:val="BodyText3Char"/>
    <w:uiPriority w:val="99"/>
    <w:unhideWhenUsed/>
    <w:rsid w:val="005E2740"/>
    <w:pPr>
      <w:spacing w:after="120"/>
    </w:pPr>
    <w:rPr>
      <w:sz w:val="16"/>
      <w:szCs w:val="16"/>
    </w:rPr>
  </w:style>
  <w:style w:type="character" w:customStyle="1" w:styleId="BodyText3Char">
    <w:name w:val="Body Text 3 Char"/>
    <w:basedOn w:val="DefaultParagraphFont"/>
    <w:link w:val="BodyText3"/>
    <w:uiPriority w:val="99"/>
    <w:rsid w:val="005E2740"/>
    <w:rPr>
      <w:sz w:val="16"/>
      <w:szCs w:val="16"/>
      <w:lang w:val="en-US" w:eastAsia="en-US"/>
    </w:rPr>
  </w:style>
  <w:style w:type="character" w:customStyle="1" w:styleId="Heading4Char">
    <w:name w:val="Heading 4 Char"/>
    <w:basedOn w:val="DefaultParagraphFont"/>
    <w:link w:val="Heading4"/>
    <w:uiPriority w:val="9"/>
    <w:rsid w:val="00115E91"/>
    <w:rPr>
      <w:rFonts w:asciiTheme="majorHAnsi" w:eastAsiaTheme="majorEastAsia" w:hAnsiTheme="majorHAnsi" w:cstheme="majorBidi"/>
      <w:i/>
      <w:iCs/>
      <w:color w:val="365F91" w:themeColor="accent1" w:themeShade="BF"/>
      <w:sz w:val="24"/>
      <w:szCs w:val="24"/>
      <w:lang w:val="en-US" w:eastAsia="en-US"/>
    </w:rPr>
  </w:style>
  <w:style w:type="character" w:customStyle="1" w:styleId="Heading5Char">
    <w:name w:val="Heading 5 Char"/>
    <w:basedOn w:val="DefaultParagraphFont"/>
    <w:link w:val="Heading5"/>
    <w:uiPriority w:val="9"/>
    <w:rsid w:val="00AB3D6F"/>
    <w:rPr>
      <w:rFonts w:asciiTheme="majorHAnsi" w:eastAsiaTheme="majorEastAsia" w:hAnsiTheme="majorHAnsi" w:cstheme="majorBidi"/>
      <w:color w:val="365F91" w:themeColor="accent1" w:themeShade="BF"/>
      <w:sz w:val="24"/>
      <w:szCs w:val="24"/>
      <w:lang w:val="en-US" w:eastAsia="en-US"/>
    </w:rPr>
  </w:style>
  <w:style w:type="character" w:styleId="UnresolvedMention">
    <w:name w:val="Unresolved Mention"/>
    <w:basedOn w:val="DefaultParagraphFont"/>
    <w:uiPriority w:val="99"/>
    <w:semiHidden/>
    <w:unhideWhenUsed/>
    <w:rsid w:val="00292E99"/>
    <w:rPr>
      <w:color w:val="605E5C"/>
      <w:shd w:val="clear" w:color="auto" w:fill="E1DFDD"/>
    </w:rPr>
  </w:style>
  <w:style w:type="numbering" w:customStyle="1" w:styleId="List431">
    <w:name w:val="List 431"/>
    <w:basedOn w:val="NoList"/>
    <w:rsid w:val="006E6C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40470">
      <w:bodyDiv w:val="1"/>
      <w:marLeft w:val="0"/>
      <w:marRight w:val="0"/>
      <w:marTop w:val="0"/>
      <w:marBottom w:val="0"/>
      <w:divBdr>
        <w:top w:val="none" w:sz="0" w:space="0" w:color="auto"/>
        <w:left w:val="none" w:sz="0" w:space="0" w:color="auto"/>
        <w:bottom w:val="none" w:sz="0" w:space="0" w:color="auto"/>
        <w:right w:val="none" w:sz="0" w:space="0" w:color="auto"/>
      </w:divBdr>
    </w:div>
    <w:div w:id="65222982">
      <w:bodyDiv w:val="1"/>
      <w:marLeft w:val="0"/>
      <w:marRight w:val="0"/>
      <w:marTop w:val="0"/>
      <w:marBottom w:val="0"/>
      <w:divBdr>
        <w:top w:val="none" w:sz="0" w:space="0" w:color="auto"/>
        <w:left w:val="none" w:sz="0" w:space="0" w:color="auto"/>
        <w:bottom w:val="none" w:sz="0" w:space="0" w:color="auto"/>
        <w:right w:val="none" w:sz="0" w:space="0" w:color="auto"/>
      </w:divBdr>
    </w:div>
    <w:div w:id="68961681">
      <w:bodyDiv w:val="1"/>
      <w:marLeft w:val="0"/>
      <w:marRight w:val="0"/>
      <w:marTop w:val="0"/>
      <w:marBottom w:val="0"/>
      <w:divBdr>
        <w:top w:val="none" w:sz="0" w:space="0" w:color="auto"/>
        <w:left w:val="none" w:sz="0" w:space="0" w:color="auto"/>
        <w:bottom w:val="none" w:sz="0" w:space="0" w:color="auto"/>
        <w:right w:val="none" w:sz="0" w:space="0" w:color="auto"/>
      </w:divBdr>
    </w:div>
    <w:div w:id="175727426">
      <w:bodyDiv w:val="1"/>
      <w:marLeft w:val="0"/>
      <w:marRight w:val="0"/>
      <w:marTop w:val="0"/>
      <w:marBottom w:val="0"/>
      <w:divBdr>
        <w:top w:val="none" w:sz="0" w:space="0" w:color="auto"/>
        <w:left w:val="none" w:sz="0" w:space="0" w:color="auto"/>
        <w:bottom w:val="none" w:sz="0" w:space="0" w:color="auto"/>
        <w:right w:val="none" w:sz="0" w:space="0" w:color="auto"/>
      </w:divBdr>
      <w:divsChild>
        <w:div w:id="1424186068">
          <w:marLeft w:val="0"/>
          <w:marRight w:val="0"/>
          <w:marTop w:val="0"/>
          <w:marBottom w:val="0"/>
          <w:divBdr>
            <w:top w:val="none" w:sz="0" w:space="0" w:color="auto"/>
            <w:left w:val="none" w:sz="0" w:space="0" w:color="auto"/>
            <w:bottom w:val="none" w:sz="0" w:space="0" w:color="auto"/>
            <w:right w:val="none" w:sz="0" w:space="0" w:color="auto"/>
          </w:divBdr>
          <w:divsChild>
            <w:div w:id="310642931">
              <w:marLeft w:val="0"/>
              <w:marRight w:val="0"/>
              <w:marTop w:val="0"/>
              <w:marBottom w:val="0"/>
              <w:divBdr>
                <w:top w:val="none" w:sz="0" w:space="0" w:color="auto"/>
                <w:left w:val="none" w:sz="0" w:space="0" w:color="auto"/>
                <w:bottom w:val="none" w:sz="0" w:space="0" w:color="auto"/>
                <w:right w:val="none" w:sz="0" w:space="0" w:color="auto"/>
              </w:divBdr>
              <w:divsChild>
                <w:div w:id="135175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27328">
      <w:bodyDiv w:val="1"/>
      <w:marLeft w:val="0"/>
      <w:marRight w:val="0"/>
      <w:marTop w:val="0"/>
      <w:marBottom w:val="0"/>
      <w:divBdr>
        <w:top w:val="none" w:sz="0" w:space="0" w:color="auto"/>
        <w:left w:val="none" w:sz="0" w:space="0" w:color="auto"/>
        <w:bottom w:val="none" w:sz="0" w:space="0" w:color="auto"/>
        <w:right w:val="none" w:sz="0" w:space="0" w:color="auto"/>
      </w:divBdr>
      <w:divsChild>
        <w:div w:id="1365253809">
          <w:marLeft w:val="0"/>
          <w:marRight w:val="0"/>
          <w:marTop w:val="0"/>
          <w:marBottom w:val="0"/>
          <w:divBdr>
            <w:top w:val="none" w:sz="0" w:space="0" w:color="auto"/>
            <w:left w:val="none" w:sz="0" w:space="0" w:color="auto"/>
            <w:bottom w:val="none" w:sz="0" w:space="0" w:color="auto"/>
            <w:right w:val="none" w:sz="0" w:space="0" w:color="auto"/>
          </w:divBdr>
          <w:divsChild>
            <w:div w:id="1141195179">
              <w:marLeft w:val="0"/>
              <w:marRight w:val="0"/>
              <w:marTop w:val="0"/>
              <w:marBottom w:val="0"/>
              <w:divBdr>
                <w:top w:val="none" w:sz="0" w:space="0" w:color="auto"/>
                <w:left w:val="none" w:sz="0" w:space="0" w:color="auto"/>
                <w:bottom w:val="none" w:sz="0" w:space="0" w:color="auto"/>
                <w:right w:val="none" w:sz="0" w:space="0" w:color="auto"/>
              </w:divBdr>
              <w:divsChild>
                <w:div w:id="15329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298499">
      <w:bodyDiv w:val="1"/>
      <w:marLeft w:val="0"/>
      <w:marRight w:val="0"/>
      <w:marTop w:val="0"/>
      <w:marBottom w:val="0"/>
      <w:divBdr>
        <w:top w:val="none" w:sz="0" w:space="0" w:color="auto"/>
        <w:left w:val="none" w:sz="0" w:space="0" w:color="auto"/>
        <w:bottom w:val="none" w:sz="0" w:space="0" w:color="auto"/>
        <w:right w:val="none" w:sz="0" w:space="0" w:color="auto"/>
      </w:divBdr>
    </w:div>
    <w:div w:id="270557620">
      <w:bodyDiv w:val="1"/>
      <w:marLeft w:val="0"/>
      <w:marRight w:val="0"/>
      <w:marTop w:val="0"/>
      <w:marBottom w:val="0"/>
      <w:divBdr>
        <w:top w:val="none" w:sz="0" w:space="0" w:color="auto"/>
        <w:left w:val="none" w:sz="0" w:space="0" w:color="auto"/>
        <w:bottom w:val="none" w:sz="0" w:space="0" w:color="auto"/>
        <w:right w:val="none" w:sz="0" w:space="0" w:color="auto"/>
      </w:divBdr>
      <w:divsChild>
        <w:div w:id="757559634">
          <w:marLeft w:val="0"/>
          <w:marRight w:val="0"/>
          <w:marTop w:val="0"/>
          <w:marBottom w:val="0"/>
          <w:divBdr>
            <w:top w:val="none" w:sz="0" w:space="0" w:color="auto"/>
            <w:left w:val="none" w:sz="0" w:space="0" w:color="auto"/>
            <w:bottom w:val="none" w:sz="0" w:space="0" w:color="auto"/>
            <w:right w:val="none" w:sz="0" w:space="0" w:color="auto"/>
          </w:divBdr>
          <w:divsChild>
            <w:div w:id="1124546251">
              <w:marLeft w:val="0"/>
              <w:marRight w:val="0"/>
              <w:marTop w:val="0"/>
              <w:marBottom w:val="0"/>
              <w:divBdr>
                <w:top w:val="none" w:sz="0" w:space="0" w:color="auto"/>
                <w:left w:val="none" w:sz="0" w:space="0" w:color="auto"/>
                <w:bottom w:val="none" w:sz="0" w:space="0" w:color="auto"/>
                <w:right w:val="none" w:sz="0" w:space="0" w:color="auto"/>
              </w:divBdr>
              <w:divsChild>
                <w:div w:id="139088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181408">
      <w:bodyDiv w:val="1"/>
      <w:marLeft w:val="0"/>
      <w:marRight w:val="0"/>
      <w:marTop w:val="0"/>
      <w:marBottom w:val="0"/>
      <w:divBdr>
        <w:top w:val="none" w:sz="0" w:space="0" w:color="auto"/>
        <w:left w:val="none" w:sz="0" w:space="0" w:color="auto"/>
        <w:bottom w:val="none" w:sz="0" w:space="0" w:color="auto"/>
        <w:right w:val="none" w:sz="0" w:space="0" w:color="auto"/>
      </w:divBdr>
      <w:divsChild>
        <w:div w:id="1838030534">
          <w:marLeft w:val="0"/>
          <w:marRight w:val="0"/>
          <w:marTop w:val="0"/>
          <w:marBottom w:val="0"/>
          <w:divBdr>
            <w:top w:val="none" w:sz="0" w:space="0" w:color="auto"/>
            <w:left w:val="none" w:sz="0" w:space="0" w:color="auto"/>
            <w:bottom w:val="none" w:sz="0" w:space="0" w:color="auto"/>
            <w:right w:val="none" w:sz="0" w:space="0" w:color="auto"/>
          </w:divBdr>
          <w:divsChild>
            <w:div w:id="336348845">
              <w:marLeft w:val="0"/>
              <w:marRight w:val="0"/>
              <w:marTop w:val="0"/>
              <w:marBottom w:val="0"/>
              <w:divBdr>
                <w:top w:val="none" w:sz="0" w:space="0" w:color="auto"/>
                <w:left w:val="none" w:sz="0" w:space="0" w:color="auto"/>
                <w:bottom w:val="none" w:sz="0" w:space="0" w:color="auto"/>
                <w:right w:val="none" w:sz="0" w:space="0" w:color="auto"/>
              </w:divBdr>
              <w:divsChild>
                <w:div w:id="54082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395426">
      <w:bodyDiv w:val="1"/>
      <w:marLeft w:val="0"/>
      <w:marRight w:val="0"/>
      <w:marTop w:val="0"/>
      <w:marBottom w:val="0"/>
      <w:divBdr>
        <w:top w:val="none" w:sz="0" w:space="0" w:color="auto"/>
        <w:left w:val="none" w:sz="0" w:space="0" w:color="auto"/>
        <w:bottom w:val="none" w:sz="0" w:space="0" w:color="auto"/>
        <w:right w:val="none" w:sz="0" w:space="0" w:color="auto"/>
      </w:divBdr>
    </w:div>
    <w:div w:id="350840513">
      <w:bodyDiv w:val="1"/>
      <w:marLeft w:val="0"/>
      <w:marRight w:val="0"/>
      <w:marTop w:val="0"/>
      <w:marBottom w:val="0"/>
      <w:divBdr>
        <w:top w:val="none" w:sz="0" w:space="0" w:color="auto"/>
        <w:left w:val="none" w:sz="0" w:space="0" w:color="auto"/>
        <w:bottom w:val="none" w:sz="0" w:space="0" w:color="auto"/>
        <w:right w:val="none" w:sz="0" w:space="0" w:color="auto"/>
      </w:divBdr>
    </w:div>
    <w:div w:id="352652926">
      <w:bodyDiv w:val="1"/>
      <w:marLeft w:val="0"/>
      <w:marRight w:val="0"/>
      <w:marTop w:val="0"/>
      <w:marBottom w:val="0"/>
      <w:divBdr>
        <w:top w:val="none" w:sz="0" w:space="0" w:color="auto"/>
        <w:left w:val="none" w:sz="0" w:space="0" w:color="auto"/>
        <w:bottom w:val="none" w:sz="0" w:space="0" w:color="auto"/>
        <w:right w:val="none" w:sz="0" w:space="0" w:color="auto"/>
      </w:divBdr>
    </w:div>
    <w:div w:id="369303801">
      <w:bodyDiv w:val="1"/>
      <w:marLeft w:val="0"/>
      <w:marRight w:val="0"/>
      <w:marTop w:val="0"/>
      <w:marBottom w:val="0"/>
      <w:divBdr>
        <w:top w:val="none" w:sz="0" w:space="0" w:color="auto"/>
        <w:left w:val="none" w:sz="0" w:space="0" w:color="auto"/>
        <w:bottom w:val="none" w:sz="0" w:space="0" w:color="auto"/>
        <w:right w:val="none" w:sz="0" w:space="0" w:color="auto"/>
      </w:divBdr>
    </w:div>
    <w:div w:id="415637286">
      <w:bodyDiv w:val="1"/>
      <w:marLeft w:val="0"/>
      <w:marRight w:val="0"/>
      <w:marTop w:val="0"/>
      <w:marBottom w:val="0"/>
      <w:divBdr>
        <w:top w:val="none" w:sz="0" w:space="0" w:color="auto"/>
        <w:left w:val="none" w:sz="0" w:space="0" w:color="auto"/>
        <w:bottom w:val="none" w:sz="0" w:space="0" w:color="auto"/>
        <w:right w:val="none" w:sz="0" w:space="0" w:color="auto"/>
      </w:divBdr>
    </w:div>
    <w:div w:id="485710812">
      <w:bodyDiv w:val="1"/>
      <w:marLeft w:val="0"/>
      <w:marRight w:val="0"/>
      <w:marTop w:val="0"/>
      <w:marBottom w:val="0"/>
      <w:divBdr>
        <w:top w:val="none" w:sz="0" w:space="0" w:color="auto"/>
        <w:left w:val="none" w:sz="0" w:space="0" w:color="auto"/>
        <w:bottom w:val="none" w:sz="0" w:space="0" w:color="auto"/>
        <w:right w:val="none" w:sz="0" w:space="0" w:color="auto"/>
      </w:divBdr>
    </w:div>
    <w:div w:id="512230313">
      <w:bodyDiv w:val="1"/>
      <w:marLeft w:val="0"/>
      <w:marRight w:val="0"/>
      <w:marTop w:val="0"/>
      <w:marBottom w:val="0"/>
      <w:divBdr>
        <w:top w:val="none" w:sz="0" w:space="0" w:color="auto"/>
        <w:left w:val="none" w:sz="0" w:space="0" w:color="auto"/>
        <w:bottom w:val="none" w:sz="0" w:space="0" w:color="auto"/>
        <w:right w:val="none" w:sz="0" w:space="0" w:color="auto"/>
      </w:divBdr>
    </w:div>
    <w:div w:id="554898015">
      <w:bodyDiv w:val="1"/>
      <w:marLeft w:val="0"/>
      <w:marRight w:val="0"/>
      <w:marTop w:val="0"/>
      <w:marBottom w:val="0"/>
      <w:divBdr>
        <w:top w:val="none" w:sz="0" w:space="0" w:color="auto"/>
        <w:left w:val="none" w:sz="0" w:space="0" w:color="auto"/>
        <w:bottom w:val="none" w:sz="0" w:space="0" w:color="auto"/>
        <w:right w:val="none" w:sz="0" w:space="0" w:color="auto"/>
      </w:divBdr>
    </w:div>
    <w:div w:id="575893418">
      <w:bodyDiv w:val="1"/>
      <w:marLeft w:val="0"/>
      <w:marRight w:val="0"/>
      <w:marTop w:val="0"/>
      <w:marBottom w:val="0"/>
      <w:divBdr>
        <w:top w:val="none" w:sz="0" w:space="0" w:color="auto"/>
        <w:left w:val="none" w:sz="0" w:space="0" w:color="auto"/>
        <w:bottom w:val="none" w:sz="0" w:space="0" w:color="auto"/>
        <w:right w:val="none" w:sz="0" w:space="0" w:color="auto"/>
      </w:divBdr>
    </w:div>
    <w:div w:id="584530715">
      <w:bodyDiv w:val="1"/>
      <w:marLeft w:val="0"/>
      <w:marRight w:val="0"/>
      <w:marTop w:val="0"/>
      <w:marBottom w:val="0"/>
      <w:divBdr>
        <w:top w:val="none" w:sz="0" w:space="0" w:color="auto"/>
        <w:left w:val="none" w:sz="0" w:space="0" w:color="auto"/>
        <w:bottom w:val="none" w:sz="0" w:space="0" w:color="auto"/>
        <w:right w:val="none" w:sz="0" w:space="0" w:color="auto"/>
      </w:divBdr>
    </w:div>
    <w:div w:id="670260646">
      <w:bodyDiv w:val="1"/>
      <w:marLeft w:val="0"/>
      <w:marRight w:val="0"/>
      <w:marTop w:val="0"/>
      <w:marBottom w:val="0"/>
      <w:divBdr>
        <w:top w:val="none" w:sz="0" w:space="0" w:color="auto"/>
        <w:left w:val="none" w:sz="0" w:space="0" w:color="auto"/>
        <w:bottom w:val="none" w:sz="0" w:space="0" w:color="auto"/>
        <w:right w:val="none" w:sz="0" w:space="0" w:color="auto"/>
      </w:divBdr>
    </w:div>
    <w:div w:id="693769974">
      <w:bodyDiv w:val="1"/>
      <w:marLeft w:val="0"/>
      <w:marRight w:val="0"/>
      <w:marTop w:val="0"/>
      <w:marBottom w:val="0"/>
      <w:divBdr>
        <w:top w:val="none" w:sz="0" w:space="0" w:color="auto"/>
        <w:left w:val="none" w:sz="0" w:space="0" w:color="auto"/>
        <w:bottom w:val="none" w:sz="0" w:space="0" w:color="auto"/>
        <w:right w:val="none" w:sz="0" w:space="0" w:color="auto"/>
      </w:divBdr>
    </w:div>
    <w:div w:id="722561779">
      <w:bodyDiv w:val="1"/>
      <w:marLeft w:val="0"/>
      <w:marRight w:val="0"/>
      <w:marTop w:val="0"/>
      <w:marBottom w:val="0"/>
      <w:divBdr>
        <w:top w:val="none" w:sz="0" w:space="0" w:color="auto"/>
        <w:left w:val="none" w:sz="0" w:space="0" w:color="auto"/>
        <w:bottom w:val="none" w:sz="0" w:space="0" w:color="auto"/>
        <w:right w:val="none" w:sz="0" w:space="0" w:color="auto"/>
      </w:divBdr>
      <w:divsChild>
        <w:div w:id="900599133">
          <w:marLeft w:val="0"/>
          <w:marRight w:val="0"/>
          <w:marTop w:val="0"/>
          <w:marBottom w:val="0"/>
          <w:divBdr>
            <w:top w:val="none" w:sz="0" w:space="0" w:color="auto"/>
            <w:left w:val="none" w:sz="0" w:space="0" w:color="auto"/>
            <w:bottom w:val="none" w:sz="0" w:space="0" w:color="auto"/>
            <w:right w:val="none" w:sz="0" w:space="0" w:color="auto"/>
          </w:divBdr>
          <w:divsChild>
            <w:div w:id="1280382398">
              <w:marLeft w:val="0"/>
              <w:marRight w:val="0"/>
              <w:marTop w:val="0"/>
              <w:marBottom w:val="0"/>
              <w:divBdr>
                <w:top w:val="none" w:sz="0" w:space="0" w:color="auto"/>
                <w:left w:val="none" w:sz="0" w:space="0" w:color="auto"/>
                <w:bottom w:val="none" w:sz="0" w:space="0" w:color="auto"/>
                <w:right w:val="none" w:sz="0" w:space="0" w:color="auto"/>
              </w:divBdr>
              <w:divsChild>
                <w:div w:id="106522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655059">
      <w:bodyDiv w:val="1"/>
      <w:marLeft w:val="0"/>
      <w:marRight w:val="0"/>
      <w:marTop w:val="0"/>
      <w:marBottom w:val="0"/>
      <w:divBdr>
        <w:top w:val="none" w:sz="0" w:space="0" w:color="auto"/>
        <w:left w:val="none" w:sz="0" w:space="0" w:color="auto"/>
        <w:bottom w:val="none" w:sz="0" w:space="0" w:color="auto"/>
        <w:right w:val="none" w:sz="0" w:space="0" w:color="auto"/>
      </w:divBdr>
    </w:div>
    <w:div w:id="757023427">
      <w:bodyDiv w:val="1"/>
      <w:marLeft w:val="0"/>
      <w:marRight w:val="0"/>
      <w:marTop w:val="0"/>
      <w:marBottom w:val="0"/>
      <w:divBdr>
        <w:top w:val="none" w:sz="0" w:space="0" w:color="auto"/>
        <w:left w:val="none" w:sz="0" w:space="0" w:color="auto"/>
        <w:bottom w:val="none" w:sz="0" w:space="0" w:color="auto"/>
        <w:right w:val="none" w:sz="0" w:space="0" w:color="auto"/>
      </w:divBdr>
    </w:div>
    <w:div w:id="783305970">
      <w:bodyDiv w:val="1"/>
      <w:marLeft w:val="0"/>
      <w:marRight w:val="0"/>
      <w:marTop w:val="0"/>
      <w:marBottom w:val="0"/>
      <w:divBdr>
        <w:top w:val="none" w:sz="0" w:space="0" w:color="auto"/>
        <w:left w:val="none" w:sz="0" w:space="0" w:color="auto"/>
        <w:bottom w:val="none" w:sz="0" w:space="0" w:color="auto"/>
        <w:right w:val="none" w:sz="0" w:space="0" w:color="auto"/>
      </w:divBdr>
    </w:div>
    <w:div w:id="811024734">
      <w:bodyDiv w:val="1"/>
      <w:marLeft w:val="0"/>
      <w:marRight w:val="0"/>
      <w:marTop w:val="0"/>
      <w:marBottom w:val="0"/>
      <w:divBdr>
        <w:top w:val="none" w:sz="0" w:space="0" w:color="auto"/>
        <w:left w:val="none" w:sz="0" w:space="0" w:color="auto"/>
        <w:bottom w:val="none" w:sz="0" w:space="0" w:color="auto"/>
        <w:right w:val="none" w:sz="0" w:space="0" w:color="auto"/>
      </w:divBdr>
      <w:divsChild>
        <w:div w:id="168297140">
          <w:marLeft w:val="0"/>
          <w:marRight w:val="0"/>
          <w:marTop w:val="0"/>
          <w:marBottom w:val="0"/>
          <w:divBdr>
            <w:top w:val="none" w:sz="0" w:space="0" w:color="auto"/>
            <w:left w:val="none" w:sz="0" w:space="0" w:color="auto"/>
            <w:bottom w:val="none" w:sz="0" w:space="0" w:color="auto"/>
            <w:right w:val="none" w:sz="0" w:space="0" w:color="auto"/>
          </w:divBdr>
          <w:divsChild>
            <w:div w:id="985865548">
              <w:marLeft w:val="0"/>
              <w:marRight w:val="0"/>
              <w:marTop w:val="0"/>
              <w:marBottom w:val="0"/>
              <w:divBdr>
                <w:top w:val="none" w:sz="0" w:space="0" w:color="auto"/>
                <w:left w:val="none" w:sz="0" w:space="0" w:color="auto"/>
                <w:bottom w:val="none" w:sz="0" w:space="0" w:color="auto"/>
                <w:right w:val="none" w:sz="0" w:space="0" w:color="auto"/>
              </w:divBdr>
              <w:divsChild>
                <w:div w:id="83669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959809">
      <w:bodyDiv w:val="1"/>
      <w:marLeft w:val="0"/>
      <w:marRight w:val="0"/>
      <w:marTop w:val="0"/>
      <w:marBottom w:val="0"/>
      <w:divBdr>
        <w:top w:val="none" w:sz="0" w:space="0" w:color="auto"/>
        <w:left w:val="none" w:sz="0" w:space="0" w:color="auto"/>
        <w:bottom w:val="none" w:sz="0" w:space="0" w:color="auto"/>
        <w:right w:val="none" w:sz="0" w:space="0" w:color="auto"/>
      </w:divBdr>
    </w:div>
    <w:div w:id="888303867">
      <w:bodyDiv w:val="1"/>
      <w:marLeft w:val="0"/>
      <w:marRight w:val="0"/>
      <w:marTop w:val="0"/>
      <w:marBottom w:val="0"/>
      <w:divBdr>
        <w:top w:val="none" w:sz="0" w:space="0" w:color="auto"/>
        <w:left w:val="none" w:sz="0" w:space="0" w:color="auto"/>
        <w:bottom w:val="none" w:sz="0" w:space="0" w:color="auto"/>
        <w:right w:val="none" w:sz="0" w:space="0" w:color="auto"/>
      </w:divBdr>
      <w:divsChild>
        <w:div w:id="662438580">
          <w:marLeft w:val="0"/>
          <w:marRight w:val="0"/>
          <w:marTop w:val="0"/>
          <w:marBottom w:val="0"/>
          <w:divBdr>
            <w:top w:val="none" w:sz="0" w:space="0" w:color="auto"/>
            <w:left w:val="none" w:sz="0" w:space="0" w:color="auto"/>
            <w:bottom w:val="none" w:sz="0" w:space="0" w:color="auto"/>
            <w:right w:val="none" w:sz="0" w:space="0" w:color="auto"/>
          </w:divBdr>
          <w:divsChild>
            <w:div w:id="1182203992">
              <w:marLeft w:val="0"/>
              <w:marRight w:val="0"/>
              <w:marTop w:val="0"/>
              <w:marBottom w:val="0"/>
              <w:divBdr>
                <w:top w:val="none" w:sz="0" w:space="0" w:color="auto"/>
                <w:left w:val="none" w:sz="0" w:space="0" w:color="auto"/>
                <w:bottom w:val="none" w:sz="0" w:space="0" w:color="auto"/>
                <w:right w:val="none" w:sz="0" w:space="0" w:color="auto"/>
              </w:divBdr>
              <w:divsChild>
                <w:div w:id="177320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811911">
      <w:bodyDiv w:val="1"/>
      <w:marLeft w:val="0"/>
      <w:marRight w:val="0"/>
      <w:marTop w:val="0"/>
      <w:marBottom w:val="0"/>
      <w:divBdr>
        <w:top w:val="none" w:sz="0" w:space="0" w:color="auto"/>
        <w:left w:val="none" w:sz="0" w:space="0" w:color="auto"/>
        <w:bottom w:val="none" w:sz="0" w:space="0" w:color="auto"/>
        <w:right w:val="none" w:sz="0" w:space="0" w:color="auto"/>
      </w:divBdr>
    </w:div>
    <w:div w:id="915671885">
      <w:bodyDiv w:val="1"/>
      <w:marLeft w:val="0"/>
      <w:marRight w:val="0"/>
      <w:marTop w:val="0"/>
      <w:marBottom w:val="0"/>
      <w:divBdr>
        <w:top w:val="none" w:sz="0" w:space="0" w:color="auto"/>
        <w:left w:val="none" w:sz="0" w:space="0" w:color="auto"/>
        <w:bottom w:val="none" w:sz="0" w:space="0" w:color="auto"/>
        <w:right w:val="none" w:sz="0" w:space="0" w:color="auto"/>
      </w:divBdr>
    </w:div>
    <w:div w:id="988052248">
      <w:bodyDiv w:val="1"/>
      <w:marLeft w:val="0"/>
      <w:marRight w:val="0"/>
      <w:marTop w:val="0"/>
      <w:marBottom w:val="0"/>
      <w:divBdr>
        <w:top w:val="none" w:sz="0" w:space="0" w:color="auto"/>
        <w:left w:val="none" w:sz="0" w:space="0" w:color="auto"/>
        <w:bottom w:val="none" w:sz="0" w:space="0" w:color="auto"/>
        <w:right w:val="none" w:sz="0" w:space="0" w:color="auto"/>
      </w:divBdr>
      <w:divsChild>
        <w:div w:id="591552420">
          <w:marLeft w:val="0"/>
          <w:marRight w:val="0"/>
          <w:marTop w:val="0"/>
          <w:marBottom w:val="0"/>
          <w:divBdr>
            <w:top w:val="none" w:sz="0" w:space="0" w:color="auto"/>
            <w:left w:val="none" w:sz="0" w:space="0" w:color="auto"/>
            <w:bottom w:val="none" w:sz="0" w:space="0" w:color="auto"/>
            <w:right w:val="none" w:sz="0" w:space="0" w:color="auto"/>
          </w:divBdr>
          <w:divsChild>
            <w:div w:id="3363400">
              <w:marLeft w:val="0"/>
              <w:marRight w:val="0"/>
              <w:marTop w:val="0"/>
              <w:marBottom w:val="0"/>
              <w:divBdr>
                <w:top w:val="none" w:sz="0" w:space="0" w:color="auto"/>
                <w:left w:val="none" w:sz="0" w:space="0" w:color="auto"/>
                <w:bottom w:val="none" w:sz="0" w:space="0" w:color="auto"/>
                <w:right w:val="none" w:sz="0" w:space="0" w:color="auto"/>
              </w:divBdr>
              <w:divsChild>
                <w:div w:id="77748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652334">
      <w:bodyDiv w:val="1"/>
      <w:marLeft w:val="0"/>
      <w:marRight w:val="0"/>
      <w:marTop w:val="0"/>
      <w:marBottom w:val="0"/>
      <w:divBdr>
        <w:top w:val="none" w:sz="0" w:space="0" w:color="auto"/>
        <w:left w:val="none" w:sz="0" w:space="0" w:color="auto"/>
        <w:bottom w:val="none" w:sz="0" w:space="0" w:color="auto"/>
        <w:right w:val="none" w:sz="0" w:space="0" w:color="auto"/>
      </w:divBdr>
    </w:div>
    <w:div w:id="1055591807">
      <w:bodyDiv w:val="1"/>
      <w:marLeft w:val="0"/>
      <w:marRight w:val="0"/>
      <w:marTop w:val="0"/>
      <w:marBottom w:val="0"/>
      <w:divBdr>
        <w:top w:val="none" w:sz="0" w:space="0" w:color="auto"/>
        <w:left w:val="none" w:sz="0" w:space="0" w:color="auto"/>
        <w:bottom w:val="none" w:sz="0" w:space="0" w:color="auto"/>
        <w:right w:val="none" w:sz="0" w:space="0" w:color="auto"/>
      </w:divBdr>
    </w:div>
    <w:div w:id="1056003517">
      <w:bodyDiv w:val="1"/>
      <w:marLeft w:val="0"/>
      <w:marRight w:val="0"/>
      <w:marTop w:val="0"/>
      <w:marBottom w:val="0"/>
      <w:divBdr>
        <w:top w:val="none" w:sz="0" w:space="0" w:color="auto"/>
        <w:left w:val="none" w:sz="0" w:space="0" w:color="auto"/>
        <w:bottom w:val="none" w:sz="0" w:space="0" w:color="auto"/>
        <w:right w:val="none" w:sz="0" w:space="0" w:color="auto"/>
      </w:divBdr>
    </w:div>
    <w:div w:id="1093360229">
      <w:bodyDiv w:val="1"/>
      <w:marLeft w:val="0"/>
      <w:marRight w:val="0"/>
      <w:marTop w:val="0"/>
      <w:marBottom w:val="0"/>
      <w:divBdr>
        <w:top w:val="none" w:sz="0" w:space="0" w:color="auto"/>
        <w:left w:val="none" w:sz="0" w:space="0" w:color="auto"/>
        <w:bottom w:val="none" w:sz="0" w:space="0" w:color="auto"/>
        <w:right w:val="none" w:sz="0" w:space="0" w:color="auto"/>
      </w:divBdr>
    </w:div>
    <w:div w:id="1170221339">
      <w:bodyDiv w:val="1"/>
      <w:marLeft w:val="0"/>
      <w:marRight w:val="0"/>
      <w:marTop w:val="0"/>
      <w:marBottom w:val="0"/>
      <w:divBdr>
        <w:top w:val="none" w:sz="0" w:space="0" w:color="auto"/>
        <w:left w:val="none" w:sz="0" w:space="0" w:color="auto"/>
        <w:bottom w:val="none" w:sz="0" w:space="0" w:color="auto"/>
        <w:right w:val="none" w:sz="0" w:space="0" w:color="auto"/>
      </w:divBdr>
      <w:divsChild>
        <w:div w:id="1178882115">
          <w:marLeft w:val="0"/>
          <w:marRight w:val="0"/>
          <w:marTop w:val="0"/>
          <w:marBottom w:val="0"/>
          <w:divBdr>
            <w:top w:val="none" w:sz="0" w:space="0" w:color="auto"/>
            <w:left w:val="none" w:sz="0" w:space="0" w:color="auto"/>
            <w:bottom w:val="none" w:sz="0" w:space="0" w:color="auto"/>
            <w:right w:val="none" w:sz="0" w:space="0" w:color="auto"/>
          </w:divBdr>
          <w:divsChild>
            <w:div w:id="585576550">
              <w:marLeft w:val="0"/>
              <w:marRight w:val="0"/>
              <w:marTop w:val="0"/>
              <w:marBottom w:val="0"/>
              <w:divBdr>
                <w:top w:val="none" w:sz="0" w:space="0" w:color="auto"/>
                <w:left w:val="none" w:sz="0" w:space="0" w:color="auto"/>
                <w:bottom w:val="none" w:sz="0" w:space="0" w:color="auto"/>
                <w:right w:val="none" w:sz="0" w:space="0" w:color="auto"/>
              </w:divBdr>
              <w:divsChild>
                <w:div w:id="142530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147511">
      <w:bodyDiv w:val="1"/>
      <w:marLeft w:val="0"/>
      <w:marRight w:val="0"/>
      <w:marTop w:val="0"/>
      <w:marBottom w:val="0"/>
      <w:divBdr>
        <w:top w:val="none" w:sz="0" w:space="0" w:color="auto"/>
        <w:left w:val="none" w:sz="0" w:space="0" w:color="auto"/>
        <w:bottom w:val="none" w:sz="0" w:space="0" w:color="auto"/>
        <w:right w:val="none" w:sz="0" w:space="0" w:color="auto"/>
      </w:divBdr>
      <w:divsChild>
        <w:div w:id="1033963759">
          <w:marLeft w:val="0"/>
          <w:marRight w:val="0"/>
          <w:marTop w:val="0"/>
          <w:marBottom w:val="0"/>
          <w:divBdr>
            <w:top w:val="none" w:sz="0" w:space="0" w:color="auto"/>
            <w:left w:val="none" w:sz="0" w:space="0" w:color="auto"/>
            <w:bottom w:val="none" w:sz="0" w:space="0" w:color="auto"/>
            <w:right w:val="none" w:sz="0" w:space="0" w:color="auto"/>
          </w:divBdr>
          <w:divsChild>
            <w:div w:id="1187871224">
              <w:marLeft w:val="0"/>
              <w:marRight w:val="0"/>
              <w:marTop w:val="0"/>
              <w:marBottom w:val="0"/>
              <w:divBdr>
                <w:top w:val="none" w:sz="0" w:space="0" w:color="auto"/>
                <w:left w:val="none" w:sz="0" w:space="0" w:color="auto"/>
                <w:bottom w:val="none" w:sz="0" w:space="0" w:color="auto"/>
                <w:right w:val="none" w:sz="0" w:space="0" w:color="auto"/>
              </w:divBdr>
              <w:divsChild>
                <w:div w:id="187623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836659">
      <w:bodyDiv w:val="1"/>
      <w:marLeft w:val="0"/>
      <w:marRight w:val="0"/>
      <w:marTop w:val="0"/>
      <w:marBottom w:val="0"/>
      <w:divBdr>
        <w:top w:val="none" w:sz="0" w:space="0" w:color="auto"/>
        <w:left w:val="none" w:sz="0" w:space="0" w:color="auto"/>
        <w:bottom w:val="none" w:sz="0" w:space="0" w:color="auto"/>
        <w:right w:val="none" w:sz="0" w:space="0" w:color="auto"/>
      </w:divBdr>
    </w:div>
    <w:div w:id="1245457156">
      <w:bodyDiv w:val="1"/>
      <w:marLeft w:val="0"/>
      <w:marRight w:val="0"/>
      <w:marTop w:val="0"/>
      <w:marBottom w:val="0"/>
      <w:divBdr>
        <w:top w:val="none" w:sz="0" w:space="0" w:color="auto"/>
        <w:left w:val="none" w:sz="0" w:space="0" w:color="auto"/>
        <w:bottom w:val="none" w:sz="0" w:space="0" w:color="auto"/>
        <w:right w:val="none" w:sz="0" w:space="0" w:color="auto"/>
      </w:divBdr>
    </w:div>
    <w:div w:id="1248075193">
      <w:bodyDiv w:val="1"/>
      <w:marLeft w:val="0"/>
      <w:marRight w:val="0"/>
      <w:marTop w:val="0"/>
      <w:marBottom w:val="0"/>
      <w:divBdr>
        <w:top w:val="none" w:sz="0" w:space="0" w:color="auto"/>
        <w:left w:val="none" w:sz="0" w:space="0" w:color="auto"/>
        <w:bottom w:val="none" w:sz="0" w:space="0" w:color="auto"/>
        <w:right w:val="none" w:sz="0" w:space="0" w:color="auto"/>
      </w:divBdr>
    </w:div>
    <w:div w:id="1283465319">
      <w:bodyDiv w:val="1"/>
      <w:marLeft w:val="0"/>
      <w:marRight w:val="0"/>
      <w:marTop w:val="0"/>
      <w:marBottom w:val="0"/>
      <w:divBdr>
        <w:top w:val="none" w:sz="0" w:space="0" w:color="auto"/>
        <w:left w:val="none" w:sz="0" w:space="0" w:color="auto"/>
        <w:bottom w:val="none" w:sz="0" w:space="0" w:color="auto"/>
        <w:right w:val="none" w:sz="0" w:space="0" w:color="auto"/>
      </w:divBdr>
    </w:div>
    <w:div w:id="1304967036">
      <w:bodyDiv w:val="1"/>
      <w:marLeft w:val="0"/>
      <w:marRight w:val="0"/>
      <w:marTop w:val="0"/>
      <w:marBottom w:val="0"/>
      <w:divBdr>
        <w:top w:val="none" w:sz="0" w:space="0" w:color="auto"/>
        <w:left w:val="none" w:sz="0" w:space="0" w:color="auto"/>
        <w:bottom w:val="none" w:sz="0" w:space="0" w:color="auto"/>
        <w:right w:val="none" w:sz="0" w:space="0" w:color="auto"/>
      </w:divBdr>
    </w:div>
    <w:div w:id="1338997111">
      <w:bodyDiv w:val="1"/>
      <w:marLeft w:val="0"/>
      <w:marRight w:val="0"/>
      <w:marTop w:val="0"/>
      <w:marBottom w:val="0"/>
      <w:divBdr>
        <w:top w:val="none" w:sz="0" w:space="0" w:color="auto"/>
        <w:left w:val="none" w:sz="0" w:space="0" w:color="auto"/>
        <w:bottom w:val="none" w:sz="0" w:space="0" w:color="auto"/>
        <w:right w:val="none" w:sz="0" w:space="0" w:color="auto"/>
      </w:divBdr>
    </w:div>
    <w:div w:id="1376269602">
      <w:bodyDiv w:val="1"/>
      <w:marLeft w:val="0"/>
      <w:marRight w:val="0"/>
      <w:marTop w:val="0"/>
      <w:marBottom w:val="0"/>
      <w:divBdr>
        <w:top w:val="none" w:sz="0" w:space="0" w:color="auto"/>
        <w:left w:val="none" w:sz="0" w:space="0" w:color="auto"/>
        <w:bottom w:val="none" w:sz="0" w:space="0" w:color="auto"/>
        <w:right w:val="none" w:sz="0" w:space="0" w:color="auto"/>
      </w:divBdr>
      <w:divsChild>
        <w:div w:id="1006598188">
          <w:marLeft w:val="0"/>
          <w:marRight w:val="0"/>
          <w:marTop w:val="0"/>
          <w:marBottom w:val="0"/>
          <w:divBdr>
            <w:top w:val="none" w:sz="0" w:space="0" w:color="auto"/>
            <w:left w:val="none" w:sz="0" w:space="0" w:color="auto"/>
            <w:bottom w:val="none" w:sz="0" w:space="0" w:color="auto"/>
            <w:right w:val="none" w:sz="0" w:space="0" w:color="auto"/>
          </w:divBdr>
          <w:divsChild>
            <w:div w:id="1144395439">
              <w:marLeft w:val="0"/>
              <w:marRight w:val="0"/>
              <w:marTop w:val="0"/>
              <w:marBottom w:val="0"/>
              <w:divBdr>
                <w:top w:val="none" w:sz="0" w:space="0" w:color="auto"/>
                <w:left w:val="none" w:sz="0" w:space="0" w:color="auto"/>
                <w:bottom w:val="none" w:sz="0" w:space="0" w:color="auto"/>
                <w:right w:val="none" w:sz="0" w:space="0" w:color="auto"/>
              </w:divBdr>
              <w:divsChild>
                <w:div w:id="60268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768453">
      <w:bodyDiv w:val="1"/>
      <w:marLeft w:val="0"/>
      <w:marRight w:val="0"/>
      <w:marTop w:val="0"/>
      <w:marBottom w:val="0"/>
      <w:divBdr>
        <w:top w:val="none" w:sz="0" w:space="0" w:color="auto"/>
        <w:left w:val="none" w:sz="0" w:space="0" w:color="auto"/>
        <w:bottom w:val="none" w:sz="0" w:space="0" w:color="auto"/>
        <w:right w:val="none" w:sz="0" w:space="0" w:color="auto"/>
      </w:divBdr>
    </w:div>
    <w:div w:id="1489595826">
      <w:bodyDiv w:val="1"/>
      <w:marLeft w:val="0"/>
      <w:marRight w:val="0"/>
      <w:marTop w:val="0"/>
      <w:marBottom w:val="0"/>
      <w:divBdr>
        <w:top w:val="none" w:sz="0" w:space="0" w:color="auto"/>
        <w:left w:val="none" w:sz="0" w:space="0" w:color="auto"/>
        <w:bottom w:val="none" w:sz="0" w:space="0" w:color="auto"/>
        <w:right w:val="none" w:sz="0" w:space="0" w:color="auto"/>
      </w:divBdr>
      <w:divsChild>
        <w:div w:id="130465531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sChild>
                <w:div w:id="29048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941915">
      <w:bodyDiv w:val="1"/>
      <w:marLeft w:val="0"/>
      <w:marRight w:val="0"/>
      <w:marTop w:val="0"/>
      <w:marBottom w:val="0"/>
      <w:divBdr>
        <w:top w:val="none" w:sz="0" w:space="0" w:color="auto"/>
        <w:left w:val="none" w:sz="0" w:space="0" w:color="auto"/>
        <w:bottom w:val="none" w:sz="0" w:space="0" w:color="auto"/>
        <w:right w:val="none" w:sz="0" w:space="0" w:color="auto"/>
      </w:divBdr>
    </w:div>
    <w:div w:id="1502697593">
      <w:bodyDiv w:val="1"/>
      <w:marLeft w:val="0"/>
      <w:marRight w:val="0"/>
      <w:marTop w:val="0"/>
      <w:marBottom w:val="0"/>
      <w:divBdr>
        <w:top w:val="none" w:sz="0" w:space="0" w:color="auto"/>
        <w:left w:val="none" w:sz="0" w:space="0" w:color="auto"/>
        <w:bottom w:val="none" w:sz="0" w:space="0" w:color="auto"/>
        <w:right w:val="none" w:sz="0" w:space="0" w:color="auto"/>
      </w:divBdr>
    </w:div>
    <w:div w:id="1598249373">
      <w:bodyDiv w:val="1"/>
      <w:marLeft w:val="0"/>
      <w:marRight w:val="0"/>
      <w:marTop w:val="0"/>
      <w:marBottom w:val="0"/>
      <w:divBdr>
        <w:top w:val="none" w:sz="0" w:space="0" w:color="auto"/>
        <w:left w:val="none" w:sz="0" w:space="0" w:color="auto"/>
        <w:bottom w:val="none" w:sz="0" w:space="0" w:color="auto"/>
        <w:right w:val="none" w:sz="0" w:space="0" w:color="auto"/>
      </w:divBdr>
    </w:div>
    <w:div w:id="1688288013">
      <w:bodyDiv w:val="1"/>
      <w:marLeft w:val="0"/>
      <w:marRight w:val="0"/>
      <w:marTop w:val="0"/>
      <w:marBottom w:val="0"/>
      <w:divBdr>
        <w:top w:val="none" w:sz="0" w:space="0" w:color="auto"/>
        <w:left w:val="none" w:sz="0" w:space="0" w:color="auto"/>
        <w:bottom w:val="none" w:sz="0" w:space="0" w:color="auto"/>
        <w:right w:val="none" w:sz="0" w:space="0" w:color="auto"/>
      </w:divBdr>
    </w:div>
    <w:div w:id="1734741457">
      <w:bodyDiv w:val="1"/>
      <w:marLeft w:val="0"/>
      <w:marRight w:val="0"/>
      <w:marTop w:val="0"/>
      <w:marBottom w:val="0"/>
      <w:divBdr>
        <w:top w:val="none" w:sz="0" w:space="0" w:color="auto"/>
        <w:left w:val="none" w:sz="0" w:space="0" w:color="auto"/>
        <w:bottom w:val="none" w:sz="0" w:space="0" w:color="auto"/>
        <w:right w:val="none" w:sz="0" w:space="0" w:color="auto"/>
      </w:divBdr>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 w:id="1858692406">
      <w:bodyDiv w:val="1"/>
      <w:marLeft w:val="0"/>
      <w:marRight w:val="0"/>
      <w:marTop w:val="0"/>
      <w:marBottom w:val="0"/>
      <w:divBdr>
        <w:top w:val="none" w:sz="0" w:space="0" w:color="auto"/>
        <w:left w:val="none" w:sz="0" w:space="0" w:color="auto"/>
        <w:bottom w:val="none" w:sz="0" w:space="0" w:color="auto"/>
        <w:right w:val="none" w:sz="0" w:space="0" w:color="auto"/>
      </w:divBdr>
    </w:div>
    <w:div w:id="1879388225">
      <w:bodyDiv w:val="1"/>
      <w:marLeft w:val="0"/>
      <w:marRight w:val="0"/>
      <w:marTop w:val="0"/>
      <w:marBottom w:val="0"/>
      <w:divBdr>
        <w:top w:val="none" w:sz="0" w:space="0" w:color="auto"/>
        <w:left w:val="none" w:sz="0" w:space="0" w:color="auto"/>
        <w:bottom w:val="none" w:sz="0" w:space="0" w:color="auto"/>
        <w:right w:val="none" w:sz="0" w:space="0" w:color="auto"/>
      </w:divBdr>
    </w:div>
    <w:div w:id="1892770067">
      <w:bodyDiv w:val="1"/>
      <w:marLeft w:val="0"/>
      <w:marRight w:val="0"/>
      <w:marTop w:val="0"/>
      <w:marBottom w:val="0"/>
      <w:divBdr>
        <w:top w:val="none" w:sz="0" w:space="0" w:color="auto"/>
        <w:left w:val="none" w:sz="0" w:space="0" w:color="auto"/>
        <w:bottom w:val="none" w:sz="0" w:space="0" w:color="auto"/>
        <w:right w:val="none" w:sz="0" w:space="0" w:color="auto"/>
      </w:divBdr>
    </w:div>
    <w:div w:id="2028558141">
      <w:bodyDiv w:val="1"/>
      <w:marLeft w:val="0"/>
      <w:marRight w:val="0"/>
      <w:marTop w:val="0"/>
      <w:marBottom w:val="0"/>
      <w:divBdr>
        <w:top w:val="none" w:sz="0" w:space="0" w:color="auto"/>
        <w:left w:val="none" w:sz="0" w:space="0" w:color="auto"/>
        <w:bottom w:val="none" w:sz="0" w:space="0" w:color="auto"/>
        <w:right w:val="none" w:sz="0" w:space="0" w:color="auto"/>
      </w:divBdr>
    </w:div>
    <w:div w:id="2032340204">
      <w:bodyDiv w:val="1"/>
      <w:marLeft w:val="0"/>
      <w:marRight w:val="0"/>
      <w:marTop w:val="0"/>
      <w:marBottom w:val="0"/>
      <w:divBdr>
        <w:top w:val="none" w:sz="0" w:space="0" w:color="auto"/>
        <w:left w:val="none" w:sz="0" w:space="0" w:color="auto"/>
        <w:bottom w:val="none" w:sz="0" w:space="0" w:color="auto"/>
        <w:right w:val="none" w:sz="0" w:space="0" w:color="auto"/>
      </w:divBdr>
    </w:div>
    <w:div w:id="21110034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www.oas.org/es/cidh/ppl/informes/pdfs/Informe-PP-2013-es.pdf" TargetMode="External"/><Relationship Id="rId2" Type="http://schemas.openxmlformats.org/officeDocument/2006/relationships/hyperlink" Target="http://www.oas.org/es/cidh/ppl/informes/pdfs/Informe-PP-2013-es.pdf" TargetMode="External"/><Relationship Id="rId1" Type="http://schemas.openxmlformats.org/officeDocument/2006/relationships/hyperlink" Target="http://www.oas.org/es/cidh/ppl/informes/pdfs/Informe-PP-2013-es.pdf" TargetMode="External"/><Relationship Id="rId4" Type="http://schemas.openxmlformats.org/officeDocument/2006/relationships/hyperlink" Target="http://www.oas.org/es/cidh/ppl/informes/pdfs/Informe-PP-2013-e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f2a89a-f9c3-4229-b04b-1f4abb2786a1">
      <Terms xmlns="http://schemas.microsoft.com/office/infopath/2007/PartnerControls"/>
    </lcf76f155ced4ddcb4097134ff3c332f>
    <TaxCatchAll xmlns="730f74aa-8393-4aa5-b2f8-3c7aae566a6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8" ma:contentTypeDescription="Create a new document." ma:contentTypeScope="" ma:versionID="b011329b4c056286b3de6a941ee5e92f">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b6f789f3e518669cab2ff4c7c2990819"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2B596-EA48-41F8-82AE-22426B8C24CE}">
  <ds:schemaRefs>
    <ds:schemaRef ds:uri="http://schemas.microsoft.com/office/2006/metadata/properties"/>
    <ds:schemaRef ds:uri="http://schemas.microsoft.com/office/infopath/2007/PartnerControls"/>
    <ds:schemaRef ds:uri="7ff2a89a-f9c3-4229-b04b-1f4abb2786a1"/>
    <ds:schemaRef ds:uri="730f74aa-8393-4aa5-b2f8-3c7aae566a68"/>
  </ds:schemaRefs>
</ds:datastoreItem>
</file>

<file path=customXml/itemProps2.xml><?xml version="1.0" encoding="utf-8"?>
<ds:datastoreItem xmlns:ds="http://schemas.openxmlformats.org/officeDocument/2006/customXml" ds:itemID="{80730F86-7339-4408-BF72-4AECD7BAB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2a89a-f9c3-4229-b04b-1f4abb2786a1"/>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B30EEB-6A1B-4C8D-8E7D-B6B0B11AE539}">
  <ds:schemaRefs>
    <ds:schemaRef ds:uri="http://schemas.microsoft.com/sharepoint/v3/contenttype/forms"/>
  </ds:schemaRefs>
</ds:datastoreItem>
</file>

<file path=customXml/itemProps4.xml><?xml version="1.0" encoding="utf-8"?>
<ds:datastoreItem xmlns:ds="http://schemas.openxmlformats.org/officeDocument/2006/customXml" ds:itemID="{0B60D554-035E-C54A-AD14-D0DB6EAC6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16918</Words>
  <Characters>96439</Characters>
  <Application>Microsoft Office Word</Application>
  <DocSecurity>0</DocSecurity>
  <Lines>803</Lines>
  <Paragraphs>226</Paragraphs>
  <ScaleCrop>false</ScaleCrop>
  <Company/>
  <LinksUpToDate>false</LinksUpToDate>
  <CharactersWithSpaces>113131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2026-01-22T15:05:00Z</dcterms:created>
  <dcterms:modified xsi:type="dcterms:W3CDTF">2026-01-22T15:06:00Z</dcterms:modified>
</cp:coreProperties>
</file>