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CC08" w14:textId="77777777" w:rsidR="009C66B4" w:rsidRPr="00A55A91" w:rsidRDefault="009C66B4" w:rsidP="009C66B4">
      <w:pPr>
        <w:spacing w:after="0" w:line="240" w:lineRule="auto"/>
        <w:jc w:val="both"/>
        <w:rPr>
          <w:rFonts w:ascii="Cambria" w:hAnsi="Cambria" w:cs="Calibri"/>
          <w:b/>
          <w:color w:val="000000"/>
          <w:sz w:val="20"/>
          <w:szCs w:val="20"/>
          <w:lang w:val="es-CO"/>
        </w:rPr>
      </w:pPr>
    </w:p>
    <w:p w14:paraId="62B00ED1" w14:textId="3F87A476" w:rsidR="009C66B4" w:rsidRPr="008C077A" w:rsidRDefault="009C66B4" w:rsidP="009C66B4">
      <w:pPr>
        <w:spacing w:after="0" w:line="240" w:lineRule="auto"/>
        <w:jc w:val="right"/>
        <w:rPr>
          <w:rFonts w:ascii="Cambria" w:hAnsi="Cambria" w:cs="Calibri"/>
          <w:b/>
          <w:color w:val="000000"/>
          <w:sz w:val="20"/>
          <w:szCs w:val="20"/>
          <w:lang w:val="pt-BR"/>
        </w:rPr>
      </w:pPr>
      <w:r w:rsidRPr="008C077A">
        <w:rPr>
          <w:rFonts w:ascii="Cambria" w:hAnsi="Cambria" w:cs="Calibri"/>
          <w:color w:val="000000"/>
          <w:sz w:val="20"/>
          <w:szCs w:val="20"/>
          <w:lang w:val="pt-BR"/>
        </w:rPr>
        <w:t xml:space="preserve">18 de </w:t>
      </w:r>
      <w:r w:rsidR="00BD79D9" w:rsidRPr="008C077A">
        <w:rPr>
          <w:rFonts w:ascii="Cambria" w:hAnsi="Cambria" w:cs="Calibri"/>
          <w:color w:val="000000"/>
          <w:sz w:val="20"/>
          <w:szCs w:val="20"/>
          <w:lang w:val="pt-BR"/>
        </w:rPr>
        <w:t>abril</w:t>
      </w:r>
      <w:r w:rsidRPr="008C077A">
        <w:rPr>
          <w:rFonts w:ascii="Cambria" w:hAnsi="Cambria" w:cs="Calibri"/>
          <w:color w:val="000000"/>
          <w:sz w:val="20"/>
          <w:szCs w:val="20"/>
          <w:lang w:val="pt-BR"/>
        </w:rPr>
        <w:t xml:space="preserve"> de 2025</w:t>
      </w:r>
    </w:p>
    <w:p w14:paraId="173565CF" w14:textId="4D3AC2D7" w:rsidR="009C66B4" w:rsidRPr="008C077A" w:rsidRDefault="009C66B4" w:rsidP="009C66B4">
      <w:pPr>
        <w:spacing w:after="0" w:line="240" w:lineRule="auto"/>
        <w:jc w:val="both"/>
        <w:rPr>
          <w:rFonts w:ascii="Cambria" w:hAnsi="Cambria" w:cs="Calibri"/>
          <w:b/>
          <w:color w:val="000000"/>
          <w:sz w:val="20"/>
          <w:szCs w:val="20"/>
          <w:lang w:val="pt-BR"/>
        </w:rPr>
      </w:pPr>
      <w:r w:rsidRPr="008C077A">
        <w:rPr>
          <w:rFonts w:ascii="Cambria" w:hAnsi="Cambria" w:cs="Calibri"/>
          <w:b/>
          <w:color w:val="000000"/>
          <w:sz w:val="20"/>
          <w:szCs w:val="20"/>
          <w:lang w:val="pt-BR"/>
        </w:rPr>
        <w:t>REF.:</w:t>
      </w:r>
      <w:bookmarkStart w:id="0" w:name="Peticion_n"/>
      <w:bookmarkEnd w:id="0"/>
      <w:r w:rsidRPr="008C077A">
        <w:rPr>
          <w:rFonts w:ascii="Cambria" w:hAnsi="Cambria" w:cs="Calibri"/>
          <w:b/>
          <w:color w:val="000000"/>
          <w:sz w:val="20"/>
          <w:szCs w:val="20"/>
          <w:lang w:val="pt-BR"/>
        </w:rPr>
        <w:tab/>
        <w:t xml:space="preserve">Caso Nº </w:t>
      </w:r>
      <w:r w:rsidRPr="008C077A">
        <w:rPr>
          <w:rFonts w:ascii="Cambria" w:hAnsi="Cambria"/>
          <w:b/>
          <w:sz w:val="20"/>
          <w:szCs w:val="20"/>
          <w:lang w:val="pt-BR"/>
        </w:rPr>
        <w:t>12.928</w:t>
      </w:r>
    </w:p>
    <w:p w14:paraId="768F6FAB" w14:textId="404FB1A3" w:rsidR="009C66B4" w:rsidRPr="00A55A91" w:rsidRDefault="009C66B4" w:rsidP="009C66B4">
      <w:pPr>
        <w:spacing w:after="0" w:line="240" w:lineRule="auto"/>
        <w:ind w:left="720"/>
        <w:jc w:val="both"/>
        <w:rPr>
          <w:rFonts w:ascii="Cambria" w:hAnsi="Cambria" w:cs="Calibri"/>
          <w:b/>
          <w:color w:val="000000"/>
          <w:sz w:val="20"/>
          <w:szCs w:val="20"/>
          <w:lang w:val="es-CO"/>
        </w:rPr>
      </w:pPr>
      <w:r w:rsidRPr="00A55A91">
        <w:rPr>
          <w:rFonts w:ascii="Cambria" w:hAnsi="Cambria"/>
          <w:b/>
          <w:sz w:val="20"/>
          <w:szCs w:val="20"/>
          <w:lang w:val="es-CO"/>
        </w:rPr>
        <w:t>Marcelo Fabián Nievas</w:t>
      </w:r>
      <w:r w:rsidR="00BD79D9">
        <w:rPr>
          <w:rFonts w:ascii="Cambria" w:hAnsi="Cambria"/>
          <w:b/>
          <w:sz w:val="20"/>
          <w:szCs w:val="20"/>
          <w:lang w:val="es-CO"/>
        </w:rPr>
        <w:t xml:space="preserve"> </w:t>
      </w:r>
    </w:p>
    <w:p w14:paraId="77BBD92C" w14:textId="77777777" w:rsidR="009C66B4" w:rsidRPr="00A55A91" w:rsidRDefault="009C66B4" w:rsidP="009C66B4">
      <w:pPr>
        <w:spacing w:after="0" w:line="240" w:lineRule="auto"/>
        <w:ind w:left="720"/>
        <w:jc w:val="both"/>
        <w:rPr>
          <w:rFonts w:ascii="Cambria" w:hAnsi="Cambria" w:cs="Calibri"/>
          <w:b/>
          <w:color w:val="000000"/>
          <w:sz w:val="20"/>
          <w:szCs w:val="20"/>
          <w:lang w:val="es-CO"/>
        </w:rPr>
      </w:pPr>
      <w:r w:rsidRPr="00A55A91">
        <w:rPr>
          <w:rFonts w:ascii="Cambria" w:hAnsi="Cambria" w:cs="Calibri"/>
          <w:b/>
          <w:color w:val="000000"/>
          <w:sz w:val="20"/>
          <w:szCs w:val="20"/>
          <w:lang w:val="es-CO"/>
        </w:rPr>
        <w:t>Argentina</w:t>
      </w:r>
    </w:p>
    <w:p w14:paraId="7C87561B" w14:textId="77777777" w:rsidR="009C66B4" w:rsidRPr="00A55A91" w:rsidRDefault="009C66B4" w:rsidP="009C66B4">
      <w:pPr>
        <w:spacing w:after="0" w:line="240" w:lineRule="auto"/>
        <w:jc w:val="both"/>
        <w:rPr>
          <w:rFonts w:ascii="Cambria" w:hAnsi="Cambria" w:cs="Calibri"/>
          <w:b/>
          <w:color w:val="000000"/>
          <w:sz w:val="20"/>
          <w:szCs w:val="20"/>
          <w:lang w:val="es-CO"/>
        </w:rPr>
      </w:pPr>
    </w:p>
    <w:p w14:paraId="6EFF4404" w14:textId="77777777" w:rsidR="009C66B4" w:rsidRPr="00A55A91" w:rsidRDefault="009C66B4" w:rsidP="009C66B4">
      <w:pPr>
        <w:spacing w:after="0" w:line="240" w:lineRule="auto"/>
        <w:jc w:val="both"/>
        <w:rPr>
          <w:rFonts w:ascii="Cambria" w:hAnsi="Cambria" w:cs="Calibri"/>
          <w:color w:val="000000"/>
          <w:sz w:val="20"/>
          <w:szCs w:val="20"/>
          <w:lang w:val="es-CO"/>
        </w:rPr>
      </w:pPr>
      <w:r w:rsidRPr="00A55A91">
        <w:rPr>
          <w:rFonts w:ascii="Cambria" w:hAnsi="Cambria" w:cs="Calibri"/>
          <w:color w:val="000000"/>
          <w:sz w:val="20"/>
          <w:szCs w:val="20"/>
          <w:lang w:val="es-CO"/>
        </w:rPr>
        <w:t>Señor Secretario:</w:t>
      </w:r>
    </w:p>
    <w:p w14:paraId="51E1312F" w14:textId="77777777" w:rsidR="009C66B4" w:rsidRPr="00A55A91" w:rsidRDefault="009C66B4" w:rsidP="009C66B4">
      <w:pPr>
        <w:spacing w:after="0" w:line="240" w:lineRule="auto"/>
        <w:jc w:val="both"/>
        <w:rPr>
          <w:rFonts w:ascii="Cambria" w:hAnsi="Cambria" w:cs="Calibri"/>
          <w:color w:val="000000"/>
          <w:sz w:val="20"/>
          <w:szCs w:val="20"/>
          <w:lang w:val="es-CO"/>
        </w:rPr>
      </w:pPr>
    </w:p>
    <w:p w14:paraId="4A420221" w14:textId="77777777" w:rsidR="00A82589"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r w:rsidRPr="00A55A91">
        <w:rPr>
          <w:rFonts w:ascii="Cambria" w:hAnsi="Cambria" w:cs="Calibri"/>
          <w:color w:val="000000"/>
          <w:sz w:val="20"/>
          <w:szCs w:val="20"/>
          <w:lang w:val="es-CO"/>
        </w:rPr>
        <w:tab/>
        <w:t xml:space="preserve">Tengo el agrado de dirigirme a usted, en nombre de la Comisión Interamericana de Derechos Humanos, con el objeto de someter a la jurisdicción de la Honorable Corte Interamericana de Derechos Humanos, el Caso 12.928 - Marcelo Fabián Nievas de la República Argentina (en adelante “el Estado”, “el Estado argentino” o “Argentina”). </w:t>
      </w:r>
      <w:r w:rsidRPr="00A55A91">
        <w:rPr>
          <w:rFonts w:ascii="Cambria" w:eastAsia="Arial Unicode MS" w:hAnsi="Cambria"/>
          <w:color w:val="000000"/>
          <w:sz w:val="20"/>
          <w:szCs w:val="20"/>
          <w:lang w:val="es-CO"/>
        </w:rPr>
        <w:t>El caso se refiere a la responsabilidad internacional de Argentina por la falta de investigación efectiva, sanción y juzgamiento de los responsables por las lesiones que provocaron la muerte de Marcelo Fabián Nievas.</w:t>
      </w:r>
    </w:p>
    <w:p w14:paraId="083044D7" w14:textId="2C656E37" w:rsidR="009C66B4"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r w:rsidRPr="00A55A91">
        <w:rPr>
          <w:rFonts w:ascii="Cambria" w:eastAsia="Arial Unicode MS" w:hAnsi="Cambria"/>
          <w:color w:val="000000"/>
          <w:sz w:val="20"/>
          <w:szCs w:val="20"/>
          <w:lang w:val="es-CO"/>
        </w:rPr>
        <w:tab/>
      </w:r>
    </w:p>
    <w:p w14:paraId="4C83AD62" w14:textId="0ACBDAA5" w:rsidR="00786DAA" w:rsidRPr="00A55A91" w:rsidRDefault="00D34AA2" w:rsidP="009C66B4">
      <w:pPr>
        <w:tabs>
          <w:tab w:val="left" w:pos="540"/>
          <w:tab w:val="left" w:pos="1440"/>
        </w:tabs>
        <w:spacing w:after="0" w:line="240" w:lineRule="auto"/>
        <w:jc w:val="both"/>
        <w:rPr>
          <w:rFonts w:ascii="Cambria" w:eastAsia="Arial Unicode MS" w:hAnsi="Cambria"/>
          <w:color w:val="000000"/>
          <w:sz w:val="20"/>
          <w:szCs w:val="20"/>
          <w:lang w:val="es-CO"/>
        </w:rPr>
      </w:pPr>
      <w:r w:rsidRPr="00A55A91">
        <w:rPr>
          <w:rFonts w:ascii="Cambria" w:eastAsia="Arial Unicode MS" w:hAnsi="Cambria"/>
          <w:color w:val="000000"/>
          <w:sz w:val="20"/>
          <w:szCs w:val="20"/>
          <w:lang w:val="es-CO"/>
        </w:rPr>
        <w:tab/>
      </w:r>
      <w:r w:rsidR="00A94F82" w:rsidRPr="00A55A91">
        <w:rPr>
          <w:rFonts w:ascii="Cambria" w:eastAsia="Arial Unicode MS" w:hAnsi="Cambria"/>
          <w:color w:val="000000"/>
          <w:sz w:val="20"/>
          <w:szCs w:val="20"/>
          <w:lang w:val="es-CO"/>
        </w:rPr>
        <w:t xml:space="preserve">El 22 de noviembre de 1981 </w:t>
      </w:r>
      <w:r w:rsidR="00206304" w:rsidRPr="00A55A91">
        <w:rPr>
          <w:rFonts w:ascii="Cambria" w:eastAsia="Arial Unicode MS" w:hAnsi="Cambria"/>
          <w:color w:val="000000"/>
          <w:sz w:val="20"/>
          <w:szCs w:val="20"/>
          <w:lang w:val="es-CO"/>
        </w:rPr>
        <w:t>Marcelo Fabián Nieva</w:t>
      </w:r>
      <w:r w:rsidR="005F7B57" w:rsidRPr="00A55A91">
        <w:rPr>
          <w:rFonts w:ascii="Cambria" w:eastAsia="Arial Unicode MS" w:hAnsi="Cambria"/>
          <w:color w:val="000000"/>
          <w:sz w:val="20"/>
          <w:szCs w:val="20"/>
          <w:lang w:val="es-CO"/>
        </w:rPr>
        <w:t>s</w:t>
      </w:r>
      <w:r w:rsidR="00A94F82" w:rsidRPr="00A55A91">
        <w:rPr>
          <w:rFonts w:ascii="Cambria" w:eastAsia="Arial Unicode MS" w:hAnsi="Cambria"/>
          <w:color w:val="000000"/>
          <w:sz w:val="20"/>
          <w:szCs w:val="20"/>
          <w:lang w:val="es-CO"/>
        </w:rPr>
        <w:t xml:space="preserve">, de </w:t>
      </w:r>
      <w:r w:rsidR="00206304" w:rsidRPr="00A55A91">
        <w:rPr>
          <w:rFonts w:ascii="Cambria" w:eastAsia="Arial Unicode MS" w:hAnsi="Cambria"/>
          <w:color w:val="000000"/>
          <w:sz w:val="20"/>
          <w:szCs w:val="20"/>
          <w:lang w:val="es-CO"/>
        </w:rPr>
        <w:t xml:space="preserve">17 años, fue encontrado herido de bala por </w:t>
      </w:r>
      <w:r w:rsidR="00C83608" w:rsidRPr="00A55A91">
        <w:rPr>
          <w:rFonts w:ascii="Cambria" w:eastAsia="Arial Unicode MS" w:hAnsi="Cambria"/>
          <w:color w:val="000000"/>
          <w:sz w:val="20"/>
          <w:szCs w:val="20"/>
          <w:lang w:val="es-CO"/>
        </w:rPr>
        <w:t xml:space="preserve">un agente de la Policía Federal </w:t>
      </w:r>
      <w:r w:rsidR="00206304" w:rsidRPr="00A55A91">
        <w:rPr>
          <w:rFonts w:ascii="Cambria" w:eastAsia="Arial Unicode MS" w:hAnsi="Cambria"/>
          <w:color w:val="000000"/>
          <w:sz w:val="20"/>
          <w:szCs w:val="20"/>
          <w:lang w:val="es-CO"/>
        </w:rPr>
        <w:t>en una calle en la ciudad de Caseros, provincia de Buenos Aires</w:t>
      </w:r>
      <w:r w:rsidR="009C66B4" w:rsidRPr="00A55A91">
        <w:rPr>
          <w:rFonts w:ascii="Cambria" w:eastAsia="Arial Unicode MS" w:hAnsi="Cambria"/>
          <w:color w:val="000000"/>
          <w:sz w:val="20"/>
          <w:szCs w:val="20"/>
          <w:lang w:val="es-CO"/>
        </w:rPr>
        <w:t xml:space="preserve">, </w:t>
      </w:r>
      <w:r w:rsidR="00330146" w:rsidRPr="00A55A91">
        <w:rPr>
          <w:rFonts w:ascii="Cambria" w:eastAsia="Arial Unicode MS" w:hAnsi="Cambria"/>
          <w:color w:val="000000"/>
          <w:sz w:val="20"/>
          <w:szCs w:val="20"/>
          <w:lang w:val="es-CO"/>
        </w:rPr>
        <w:t xml:space="preserve">a </w:t>
      </w:r>
      <w:r w:rsidR="009C66B4" w:rsidRPr="00A55A91">
        <w:rPr>
          <w:rFonts w:ascii="Cambria" w:eastAsia="Arial Unicode MS" w:hAnsi="Cambria"/>
          <w:color w:val="000000"/>
          <w:sz w:val="20"/>
          <w:szCs w:val="20"/>
          <w:lang w:val="es-CO"/>
        </w:rPr>
        <w:t xml:space="preserve">quien le manifestó que momentos antes tres individuos lo habían asaltado con arma de fuego, y a raíz de que no les había querido entregar un anillo, le efectuaron un disparo, hiriéndolo en la zona frontal. </w:t>
      </w:r>
    </w:p>
    <w:p w14:paraId="66262B04" w14:textId="77777777" w:rsidR="00786DAA" w:rsidRPr="00A55A91" w:rsidRDefault="00786DAA" w:rsidP="009C66B4">
      <w:pPr>
        <w:tabs>
          <w:tab w:val="left" w:pos="540"/>
          <w:tab w:val="left" w:pos="1440"/>
        </w:tabs>
        <w:spacing w:after="0" w:line="240" w:lineRule="auto"/>
        <w:jc w:val="both"/>
        <w:rPr>
          <w:rFonts w:ascii="Cambria" w:eastAsia="Arial Unicode MS" w:hAnsi="Cambria"/>
          <w:color w:val="000000"/>
          <w:sz w:val="20"/>
          <w:szCs w:val="20"/>
          <w:lang w:val="es-CO"/>
        </w:rPr>
      </w:pPr>
    </w:p>
    <w:p w14:paraId="0C6BC987" w14:textId="34BE5340" w:rsidR="009C66B4" w:rsidRPr="00A55A91" w:rsidRDefault="009C66B4" w:rsidP="009C66B4">
      <w:pPr>
        <w:tabs>
          <w:tab w:val="left" w:pos="540"/>
          <w:tab w:val="left" w:pos="1440"/>
        </w:tabs>
        <w:spacing w:after="0" w:line="240" w:lineRule="auto"/>
        <w:jc w:val="both"/>
        <w:rPr>
          <w:rFonts w:ascii="Cambria" w:eastAsia="Cambria" w:hAnsi="Cambria" w:cs="Cambria"/>
          <w:color w:val="000000"/>
          <w:sz w:val="20"/>
          <w:szCs w:val="20"/>
          <w:lang w:val="es-CO"/>
        </w:rPr>
      </w:pPr>
      <w:r w:rsidRPr="00A55A91">
        <w:rPr>
          <w:rFonts w:ascii="Cambria" w:eastAsia="Arial Unicode MS" w:hAnsi="Cambria"/>
          <w:color w:val="000000"/>
          <w:sz w:val="20"/>
          <w:szCs w:val="20"/>
          <w:lang w:val="es-CO"/>
        </w:rPr>
        <w:tab/>
      </w:r>
      <w:r w:rsidR="00A86A61" w:rsidRPr="00A55A91">
        <w:rPr>
          <w:rFonts w:ascii="Cambria" w:eastAsia="Arial Unicode MS" w:hAnsi="Cambria"/>
          <w:color w:val="000000"/>
          <w:sz w:val="20"/>
          <w:szCs w:val="20"/>
          <w:lang w:val="es-CO"/>
        </w:rPr>
        <w:t>E</w:t>
      </w:r>
      <w:r w:rsidRPr="00A55A91">
        <w:rPr>
          <w:rFonts w:ascii="Cambria" w:eastAsia="Arial Unicode MS" w:hAnsi="Cambria"/>
          <w:color w:val="000000"/>
          <w:sz w:val="20"/>
          <w:szCs w:val="20"/>
          <w:lang w:val="es-CO"/>
        </w:rPr>
        <w:t>l mismo día</w:t>
      </w:r>
      <w:r w:rsidR="00C0756F" w:rsidRPr="00A55A91">
        <w:rPr>
          <w:rFonts w:ascii="Cambria" w:eastAsia="Arial Unicode MS" w:hAnsi="Cambria"/>
          <w:color w:val="000000"/>
          <w:sz w:val="20"/>
          <w:szCs w:val="20"/>
          <w:lang w:val="es-CO"/>
        </w:rPr>
        <w:t xml:space="preserve"> ingresó al Hospital Nacional Alejandro Posadas y fue</w:t>
      </w:r>
      <w:r w:rsidRPr="00A55A91">
        <w:rPr>
          <w:rFonts w:ascii="Cambria" w:eastAsia="Arial Unicode MS" w:hAnsi="Cambria"/>
          <w:color w:val="000000"/>
          <w:sz w:val="20"/>
          <w:szCs w:val="20"/>
          <w:lang w:val="es-CO"/>
        </w:rPr>
        <w:t xml:space="preserve"> intervenido quirúrgicamente.</w:t>
      </w:r>
      <w:r w:rsidRPr="00A55A91">
        <w:rPr>
          <w:rFonts w:ascii="Cambria" w:eastAsia="Cambria" w:hAnsi="Cambria" w:cs="Cambria"/>
          <w:color w:val="000000"/>
          <w:sz w:val="20"/>
          <w:szCs w:val="20"/>
          <w:lang w:val="es-CO"/>
        </w:rPr>
        <w:t xml:space="preserve"> El 28 de noviembre de 1981</w:t>
      </w:r>
      <w:r w:rsidR="00F94B59" w:rsidRPr="00A55A91">
        <w:rPr>
          <w:rFonts w:ascii="Cambria" w:eastAsia="Cambria" w:hAnsi="Cambria" w:cs="Cambria"/>
          <w:color w:val="000000"/>
          <w:sz w:val="20"/>
          <w:szCs w:val="20"/>
          <w:lang w:val="es-CO"/>
        </w:rPr>
        <w:t xml:space="preserve"> </w:t>
      </w:r>
      <w:r w:rsidRPr="00A55A91">
        <w:rPr>
          <w:rFonts w:ascii="Cambria" w:eastAsia="Cambria" w:hAnsi="Cambria" w:cs="Cambria"/>
          <w:color w:val="000000"/>
          <w:sz w:val="20"/>
          <w:szCs w:val="20"/>
          <w:lang w:val="es-CO"/>
        </w:rPr>
        <w:t xml:space="preserve">la víctima comenzó a manifestar un cuadro de depresión rápida y progresiva del sensorio, taquipnea cianosis, palidez cutánea, mucosa y sudoración fría, razón por la cual fue derivado al servicio de terapia intensiva. </w:t>
      </w:r>
      <w:r w:rsidR="00C0756F" w:rsidRPr="00A55A91">
        <w:rPr>
          <w:rFonts w:ascii="Cambria" w:eastAsia="Cambria" w:hAnsi="Cambria" w:cs="Cambria"/>
          <w:color w:val="000000"/>
          <w:sz w:val="20"/>
          <w:szCs w:val="20"/>
          <w:lang w:val="es-CO"/>
        </w:rPr>
        <w:t>Según la información que consta en el expediente, l</w:t>
      </w:r>
      <w:r w:rsidRPr="00A55A91">
        <w:rPr>
          <w:rFonts w:ascii="Cambria" w:eastAsia="Cambria" w:hAnsi="Cambria" w:cs="Cambria"/>
          <w:color w:val="000000"/>
          <w:sz w:val="20"/>
          <w:szCs w:val="20"/>
          <w:lang w:val="es-CO"/>
        </w:rPr>
        <w:t>os enfermeros que lo atendieron en terapia intensiva estimaron que presentaba un cuadro de sepsis o de shock séptico por lo cual fue entubado</w:t>
      </w:r>
      <w:r w:rsidR="007B2C8F" w:rsidRPr="00A55A91">
        <w:rPr>
          <w:rFonts w:ascii="Cambria" w:eastAsia="Cambria" w:hAnsi="Cambria" w:cs="Cambria"/>
          <w:color w:val="000000"/>
          <w:sz w:val="20"/>
          <w:szCs w:val="20"/>
          <w:lang w:val="es-CO"/>
        </w:rPr>
        <w:t xml:space="preserve"> </w:t>
      </w:r>
      <w:r w:rsidRPr="00A55A91">
        <w:rPr>
          <w:rFonts w:ascii="Cambria" w:eastAsia="Cambria" w:hAnsi="Cambria" w:cs="Cambria"/>
          <w:color w:val="000000"/>
          <w:sz w:val="20"/>
          <w:szCs w:val="20"/>
          <w:lang w:val="es-CO"/>
        </w:rPr>
        <w:t>y se le trasladó al Servicio de Terapia Intensiva. A la noche del 28 de noviembre de 1981, Marcelo Nievas falleció mientras estaba en dicho servicio.</w:t>
      </w:r>
    </w:p>
    <w:p w14:paraId="1E1F074D" w14:textId="77777777" w:rsidR="009C66B4" w:rsidRPr="00A55A91" w:rsidRDefault="009C66B4" w:rsidP="009C66B4">
      <w:pPr>
        <w:tabs>
          <w:tab w:val="left" w:pos="540"/>
          <w:tab w:val="left" w:pos="1440"/>
        </w:tabs>
        <w:spacing w:after="0" w:line="240" w:lineRule="auto"/>
        <w:jc w:val="both"/>
        <w:rPr>
          <w:rFonts w:ascii="Cambria" w:eastAsia="Cambria" w:hAnsi="Cambria" w:cs="Cambria"/>
          <w:color w:val="000000"/>
          <w:sz w:val="20"/>
          <w:szCs w:val="20"/>
          <w:lang w:val="es-CO"/>
        </w:rPr>
      </w:pPr>
    </w:p>
    <w:p w14:paraId="2767E4D9" w14:textId="45FC7D0A" w:rsidR="009C66B4"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r w:rsidRPr="00A55A91">
        <w:rPr>
          <w:rFonts w:ascii="Cambria" w:eastAsia="Arial Unicode MS" w:hAnsi="Cambria"/>
          <w:color w:val="000000"/>
          <w:sz w:val="20"/>
          <w:szCs w:val="20"/>
          <w:lang w:val="es-CO"/>
        </w:rPr>
        <w:tab/>
        <w:t>En noviembre de 1981, Julio Roberto Nievas, padre de la víctima, inició el sumario caratulado “robo y lesiones”, con la intervención del Juez en lo Penal del Departamento Judicial de San Martín. Posteriormente, el padre de la víctima presentó una nueva comunicación, en la cual puso a conocimiento de las autoridades el fallecimiento de su hijo, dando cuenta de ello al tribunal de intervención</w:t>
      </w:r>
      <w:r w:rsidR="00984F5E" w:rsidRPr="00A55A91">
        <w:rPr>
          <w:rFonts w:ascii="Cambria" w:eastAsia="Arial Unicode MS" w:hAnsi="Cambria"/>
          <w:color w:val="000000"/>
          <w:sz w:val="20"/>
          <w:szCs w:val="20"/>
          <w:lang w:val="es-CO"/>
        </w:rPr>
        <w:t>.</w:t>
      </w:r>
      <w:r w:rsidRPr="00A55A91">
        <w:rPr>
          <w:rFonts w:ascii="Cambria" w:eastAsia="Arial Unicode MS" w:hAnsi="Cambria"/>
          <w:color w:val="000000"/>
          <w:sz w:val="20"/>
          <w:szCs w:val="20"/>
          <w:lang w:val="es-CO"/>
        </w:rPr>
        <w:t xml:space="preserve"> </w:t>
      </w:r>
    </w:p>
    <w:p w14:paraId="57C3246F" w14:textId="77777777" w:rsidR="009C66B4"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p>
    <w:p w14:paraId="74599ABA" w14:textId="45530A44" w:rsidR="009C66B4"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r w:rsidRPr="00A55A91">
        <w:rPr>
          <w:rFonts w:ascii="Cambria" w:eastAsia="Arial Unicode MS" w:hAnsi="Cambria"/>
          <w:color w:val="000000"/>
          <w:sz w:val="20"/>
          <w:szCs w:val="20"/>
          <w:lang w:val="es-CO"/>
        </w:rPr>
        <w:tab/>
        <w:t>El 5 de enero de 1982 el padre de la víctima presentó una denuncia por el robo con lesiones agravadas acaecido el 22 de noviembre de 1981 y el fallecimiento de Marcelo Nieva</w:t>
      </w:r>
      <w:r w:rsidR="00984F5E" w:rsidRPr="00A55A91">
        <w:rPr>
          <w:rFonts w:ascii="Cambria" w:eastAsia="Arial Unicode MS" w:hAnsi="Cambria"/>
          <w:color w:val="000000"/>
          <w:sz w:val="20"/>
          <w:szCs w:val="20"/>
          <w:lang w:val="es-CO"/>
        </w:rPr>
        <w:t>s</w:t>
      </w:r>
      <w:r w:rsidRPr="00A55A91">
        <w:rPr>
          <w:rFonts w:ascii="Cambria" w:eastAsia="Arial Unicode MS" w:hAnsi="Cambria"/>
          <w:color w:val="000000"/>
          <w:sz w:val="20"/>
          <w:szCs w:val="20"/>
          <w:lang w:val="es-CO"/>
        </w:rPr>
        <w:t xml:space="preserve"> en el Hospital Posadas por razones que atribuía a negligencia del equipo médico.  El 23 de marzo de 1982 se realizó una audiencia en el marco de dicho proceso. En la misma fecha, el Juez en lo Penal decidió sobreseer provisionalmente la causa, pues consideró que pese a haberse practicado “frondosas medidas de pruebas” tendientes a lograr el esclarecimiento sobre las agresiones sufridas por la víctima, no había surgido elementos directos atribuibles a persona alguna. Además, indicó que no se vislumbraba la posibilidad de proseguir por un camino que condujera a pruebas eficaces y ciertas concretamente dirigidas al fin de la instrucción. </w:t>
      </w:r>
    </w:p>
    <w:p w14:paraId="59A1F329" w14:textId="2929AA29" w:rsidR="003D04C4" w:rsidRPr="00A55A91" w:rsidRDefault="003D04C4" w:rsidP="009C66B4">
      <w:pPr>
        <w:tabs>
          <w:tab w:val="left" w:pos="540"/>
          <w:tab w:val="left" w:pos="1440"/>
        </w:tabs>
        <w:spacing w:after="0" w:line="240" w:lineRule="auto"/>
        <w:jc w:val="both"/>
        <w:rPr>
          <w:rFonts w:ascii="Cambria" w:eastAsia="Cambria" w:hAnsi="Cambria" w:cs="Cambria"/>
          <w:color w:val="000000"/>
          <w:sz w:val="20"/>
          <w:szCs w:val="20"/>
          <w:lang w:val="es-CO"/>
        </w:rPr>
      </w:pPr>
    </w:p>
    <w:p w14:paraId="120E1386" w14:textId="7BE152EE" w:rsidR="009C66B4" w:rsidRPr="00A55A91" w:rsidRDefault="009F2D83" w:rsidP="009C66B4">
      <w:pPr>
        <w:tabs>
          <w:tab w:val="left" w:pos="540"/>
          <w:tab w:val="left" w:pos="1440"/>
        </w:tabs>
        <w:spacing w:after="0" w:line="240" w:lineRule="auto"/>
        <w:jc w:val="both"/>
        <w:rPr>
          <w:rFonts w:ascii="Cambria" w:eastAsia="Arial Unicode MS" w:hAnsi="Cambria"/>
          <w:color w:val="000000"/>
          <w:sz w:val="20"/>
          <w:szCs w:val="20"/>
          <w:lang w:val="es-CO"/>
        </w:rPr>
      </w:pPr>
      <w:r w:rsidRPr="00A55A91">
        <w:rPr>
          <w:rFonts w:ascii="Cambria" w:eastAsia="Arial Unicode MS" w:hAnsi="Cambria"/>
          <w:color w:val="000000"/>
          <w:sz w:val="20"/>
          <w:szCs w:val="20"/>
          <w:lang w:val="es-CO"/>
        </w:rPr>
        <w:tab/>
      </w:r>
      <w:r w:rsidR="009C66B4" w:rsidRPr="00A55A91">
        <w:rPr>
          <w:rFonts w:ascii="Cambria" w:eastAsia="Arial Unicode MS" w:hAnsi="Cambria"/>
          <w:color w:val="000000"/>
          <w:sz w:val="20"/>
          <w:szCs w:val="20"/>
          <w:lang w:val="es-CO"/>
        </w:rPr>
        <w:t xml:space="preserve">La fiscalía y los padres de la víctima apelaron dicha decisión de sobreseimiento provisional. </w:t>
      </w:r>
      <w:r w:rsidR="00735A4F" w:rsidRPr="00A55A91">
        <w:rPr>
          <w:rFonts w:ascii="Cambria" w:eastAsia="Arial Unicode MS" w:hAnsi="Cambria"/>
          <w:color w:val="000000"/>
          <w:sz w:val="20"/>
          <w:szCs w:val="20"/>
          <w:lang w:val="es-CO"/>
        </w:rPr>
        <w:t>E</w:t>
      </w:r>
      <w:r w:rsidR="009C66B4" w:rsidRPr="00A55A91">
        <w:rPr>
          <w:rFonts w:ascii="Cambria" w:eastAsia="Arial Unicode MS" w:hAnsi="Cambria"/>
          <w:color w:val="000000"/>
          <w:sz w:val="20"/>
          <w:szCs w:val="20"/>
          <w:lang w:val="es-CO"/>
        </w:rPr>
        <w:t xml:space="preserve">l 23 de septiembre de 1982, el Poder Judicial constató que de la lectura del expediente surgía que se encontraban pendientes de realización diecisiete declaraciones testimoniales. Asimismo, indicó que era necesario investigar el origen del arma, realizar un peritaje a un vehículo Fiat rojo, efectuar una nueva pericia en las ropas de la víctima, indagar el estado patrimonial de todas las personas, confeccionar amplios croquis del local, realizar careos entre los declarantes, entre otras. </w:t>
      </w:r>
    </w:p>
    <w:p w14:paraId="410FC842" w14:textId="77777777" w:rsidR="009C66B4"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p>
    <w:p w14:paraId="6B546E7F" w14:textId="77777777" w:rsidR="009F2D83" w:rsidRPr="00A55A91" w:rsidRDefault="009F2D83" w:rsidP="009C66B4">
      <w:pPr>
        <w:tabs>
          <w:tab w:val="left" w:pos="540"/>
          <w:tab w:val="left" w:pos="1440"/>
        </w:tabs>
        <w:spacing w:after="0" w:line="240" w:lineRule="auto"/>
        <w:jc w:val="both"/>
        <w:rPr>
          <w:rFonts w:ascii="Cambria" w:eastAsia="Arial Unicode MS" w:hAnsi="Cambria"/>
          <w:color w:val="000000"/>
          <w:sz w:val="20"/>
          <w:szCs w:val="20"/>
          <w:lang w:val="es-CO"/>
        </w:rPr>
      </w:pPr>
    </w:p>
    <w:p w14:paraId="5EBE775B" w14:textId="77777777" w:rsidR="009F2D83" w:rsidRPr="00A55A91" w:rsidRDefault="009F2D83" w:rsidP="009C66B4">
      <w:pPr>
        <w:tabs>
          <w:tab w:val="left" w:pos="540"/>
          <w:tab w:val="left" w:pos="1440"/>
        </w:tabs>
        <w:spacing w:after="0" w:line="240" w:lineRule="auto"/>
        <w:jc w:val="both"/>
        <w:rPr>
          <w:rFonts w:ascii="Cambria" w:eastAsia="Arial Unicode MS" w:hAnsi="Cambria"/>
          <w:color w:val="000000"/>
          <w:sz w:val="20"/>
          <w:szCs w:val="20"/>
          <w:lang w:val="es-CO"/>
        </w:rPr>
      </w:pPr>
    </w:p>
    <w:p w14:paraId="7A25F878" w14:textId="77777777" w:rsidR="009F2D83" w:rsidRPr="00A55A91" w:rsidRDefault="009F2D83" w:rsidP="009F2D83">
      <w:pPr>
        <w:spacing w:after="0" w:line="240" w:lineRule="auto"/>
        <w:jc w:val="both"/>
        <w:rPr>
          <w:rFonts w:ascii="Cambria" w:hAnsi="Cambria" w:cs="Calibri"/>
          <w:color w:val="000000"/>
          <w:sz w:val="20"/>
          <w:szCs w:val="20"/>
          <w:lang w:val="es-CO"/>
        </w:rPr>
      </w:pPr>
      <w:r w:rsidRPr="00A55A91">
        <w:rPr>
          <w:rFonts w:ascii="Cambria" w:hAnsi="Cambria" w:cs="Calibri"/>
          <w:color w:val="000000"/>
          <w:sz w:val="20"/>
          <w:szCs w:val="20"/>
          <w:lang w:val="es-CO"/>
        </w:rPr>
        <w:t>Señor</w:t>
      </w:r>
    </w:p>
    <w:p w14:paraId="1DBA06D6" w14:textId="77777777" w:rsidR="009F2D83" w:rsidRPr="00A55A91" w:rsidRDefault="009F2D83" w:rsidP="009F2D83">
      <w:pPr>
        <w:spacing w:after="0" w:line="240" w:lineRule="auto"/>
        <w:jc w:val="both"/>
        <w:rPr>
          <w:rFonts w:ascii="Cambria" w:hAnsi="Cambria" w:cs="Calibri"/>
          <w:color w:val="000000"/>
          <w:sz w:val="20"/>
          <w:szCs w:val="20"/>
          <w:lang w:val="es-CO"/>
        </w:rPr>
      </w:pPr>
      <w:r w:rsidRPr="00A55A91">
        <w:rPr>
          <w:rFonts w:ascii="Cambria" w:hAnsi="Cambria" w:cs="Calibri"/>
          <w:color w:val="000000"/>
          <w:sz w:val="20"/>
          <w:szCs w:val="20"/>
          <w:lang w:val="es-CO"/>
        </w:rPr>
        <w:t>Pablo Saavedra Alessandri</w:t>
      </w:r>
    </w:p>
    <w:p w14:paraId="04A5014F" w14:textId="77777777" w:rsidR="009F2D83" w:rsidRPr="00A55A91" w:rsidRDefault="009F2D83" w:rsidP="009F2D83">
      <w:pPr>
        <w:spacing w:after="0" w:line="240" w:lineRule="auto"/>
        <w:jc w:val="both"/>
        <w:rPr>
          <w:rFonts w:ascii="Cambria" w:hAnsi="Cambria" w:cs="Calibri"/>
          <w:color w:val="000000"/>
          <w:sz w:val="20"/>
          <w:szCs w:val="20"/>
          <w:lang w:val="es-CO"/>
        </w:rPr>
      </w:pPr>
      <w:r w:rsidRPr="00A55A91">
        <w:rPr>
          <w:rFonts w:ascii="Cambria" w:hAnsi="Cambria" w:cs="Calibri"/>
          <w:color w:val="000000"/>
          <w:sz w:val="20"/>
          <w:szCs w:val="20"/>
          <w:lang w:val="es-CO"/>
        </w:rPr>
        <w:t>Secretario</w:t>
      </w:r>
    </w:p>
    <w:p w14:paraId="492FE4B4" w14:textId="77777777" w:rsidR="009F2D83" w:rsidRPr="00A55A91" w:rsidRDefault="009F2D83" w:rsidP="009F2D83">
      <w:pPr>
        <w:spacing w:after="0" w:line="240" w:lineRule="auto"/>
        <w:jc w:val="both"/>
        <w:rPr>
          <w:rFonts w:ascii="Cambria" w:hAnsi="Cambria" w:cs="Calibri"/>
          <w:color w:val="000000"/>
          <w:sz w:val="20"/>
          <w:szCs w:val="20"/>
          <w:lang w:val="es-CO"/>
        </w:rPr>
      </w:pPr>
      <w:r w:rsidRPr="00A55A91">
        <w:rPr>
          <w:rFonts w:ascii="Cambria" w:hAnsi="Cambria" w:cs="Calibri"/>
          <w:color w:val="000000"/>
          <w:sz w:val="20"/>
          <w:szCs w:val="20"/>
          <w:lang w:val="es-CO"/>
        </w:rPr>
        <w:t>Corte Interamericana de Derechos Humanos</w:t>
      </w:r>
    </w:p>
    <w:p w14:paraId="4D659F49" w14:textId="77777777" w:rsidR="009F2D83" w:rsidRPr="00A55A91" w:rsidRDefault="009F2D83" w:rsidP="009F2D83">
      <w:pPr>
        <w:spacing w:after="0" w:line="240" w:lineRule="auto"/>
        <w:jc w:val="both"/>
        <w:rPr>
          <w:rFonts w:ascii="Cambria" w:hAnsi="Cambria" w:cs="Calibri"/>
          <w:color w:val="000000"/>
          <w:sz w:val="20"/>
          <w:szCs w:val="20"/>
          <w:lang w:val="es-CO"/>
        </w:rPr>
      </w:pPr>
      <w:r w:rsidRPr="00A55A91">
        <w:rPr>
          <w:rFonts w:ascii="Cambria" w:hAnsi="Cambria" w:cs="Calibri"/>
          <w:color w:val="000000"/>
          <w:sz w:val="20"/>
          <w:szCs w:val="20"/>
          <w:lang w:val="es-CO"/>
        </w:rPr>
        <w:t>San José, Costa Rica</w:t>
      </w:r>
      <w:r w:rsidRPr="00A55A91">
        <w:rPr>
          <w:rFonts w:ascii="Cambria" w:hAnsi="Cambria"/>
          <w:sz w:val="20"/>
          <w:szCs w:val="20"/>
          <w:lang w:val="es-CO"/>
          <w14:ligatures w14:val="standardContextual"/>
        </w:rPr>
        <w:t xml:space="preserve"> </w:t>
      </w:r>
    </w:p>
    <w:p w14:paraId="4E9CA1D0" w14:textId="77777777" w:rsidR="009F2D83" w:rsidRPr="00A55A91" w:rsidRDefault="009F2D83" w:rsidP="009F2D83">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CO"/>
        </w:rPr>
      </w:pPr>
    </w:p>
    <w:p w14:paraId="5A61EF4B" w14:textId="77777777" w:rsidR="009F2D83" w:rsidRPr="00A55A91" w:rsidRDefault="009F2D83" w:rsidP="009C66B4">
      <w:pPr>
        <w:tabs>
          <w:tab w:val="left" w:pos="540"/>
          <w:tab w:val="left" w:pos="1440"/>
        </w:tabs>
        <w:spacing w:after="0" w:line="240" w:lineRule="auto"/>
        <w:jc w:val="both"/>
        <w:rPr>
          <w:rFonts w:ascii="Cambria" w:eastAsia="Arial Unicode MS" w:hAnsi="Cambria"/>
          <w:color w:val="000000"/>
          <w:sz w:val="20"/>
          <w:szCs w:val="20"/>
          <w:lang w:val="es-CO"/>
        </w:rPr>
      </w:pPr>
    </w:p>
    <w:p w14:paraId="158257E2" w14:textId="67D359BB" w:rsidR="009C66B4"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r w:rsidRPr="00A55A91">
        <w:rPr>
          <w:rFonts w:ascii="Cambria" w:eastAsia="Arial Unicode MS" w:hAnsi="Cambria"/>
          <w:color w:val="000000"/>
          <w:sz w:val="20"/>
          <w:szCs w:val="20"/>
          <w:lang w:val="es-CO"/>
        </w:rPr>
        <w:lastRenderedPageBreak/>
        <w:tab/>
        <w:t>El 4 de marzo 1993, se determinó la reapertura del sumario ante nuevas pruebas, consistente en una carta remitida a los padres de la víctima por el interno de la Unidad Carcelaria no. 1 de Olmos, Sergio Rubén Benítez, en la cual ofreció datos del caso identificándose como “testigo ocular”.</w:t>
      </w:r>
      <w:r w:rsidR="00145084" w:rsidRPr="00A55A91">
        <w:rPr>
          <w:rFonts w:ascii="Cambria" w:eastAsia="Arial Unicode MS" w:hAnsi="Cambria"/>
          <w:color w:val="000000"/>
          <w:sz w:val="20"/>
          <w:szCs w:val="20"/>
          <w:lang w:val="es-CO"/>
        </w:rPr>
        <w:t xml:space="preserve"> Debido a esto</w:t>
      </w:r>
      <w:r w:rsidRPr="00A55A91">
        <w:rPr>
          <w:rFonts w:ascii="Cambria" w:eastAsia="Arial Unicode MS" w:hAnsi="Cambria"/>
          <w:color w:val="000000"/>
          <w:sz w:val="20"/>
          <w:szCs w:val="20"/>
          <w:lang w:val="es-CO"/>
        </w:rPr>
        <w:t xml:space="preserve">, se realizaron entrevistas con dicho testigo, las cuales fueron grabadas en cintas casetes y en las que indica que Guillermo Fox les había adelantado dinero para amedrantar a un joven </w:t>
      </w:r>
      <w:r w:rsidR="00145084" w:rsidRPr="00A55A91">
        <w:rPr>
          <w:rFonts w:ascii="Cambria" w:eastAsia="Arial Unicode MS" w:hAnsi="Cambria"/>
          <w:color w:val="000000"/>
          <w:sz w:val="20"/>
          <w:szCs w:val="20"/>
          <w:lang w:val="es-CO"/>
        </w:rPr>
        <w:t xml:space="preserve">al que </w:t>
      </w:r>
      <w:r w:rsidRPr="00A55A91">
        <w:rPr>
          <w:rFonts w:ascii="Cambria" w:eastAsia="Arial Unicode MS" w:hAnsi="Cambria"/>
          <w:color w:val="000000"/>
          <w:sz w:val="20"/>
          <w:szCs w:val="20"/>
          <w:lang w:val="es-CO"/>
        </w:rPr>
        <w:t xml:space="preserve">Ricardo Abda le disparó. Señaló que, posteriormente, ambos lo vistieron y lo dejaron herido en la vía pública y que reportaron los hechos a Guillermo Fox, quien los reprendió por la violencia, pero les dijo que se encargaría de arreglar el asunto. </w:t>
      </w:r>
    </w:p>
    <w:p w14:paraId="44722CA7" w14:textId="77777777" w:rsidR="009C66B4"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p>
    <w:p w14:paraId="6B27DB4E" w14:textId="77777777" w:rsidR="009C66B4" w:rsidRPr="00A55A91" w:rsidRDefault="009C66B4" w:rsidP="009C66B4">
      <w:pPr>
        <w:tabs>
          <w:tab w:val="left" w:pos="540"/>
          <w:tab w:val="left" w:pos="1440"/>
        </w:tabs>
        <w:spacing w:after="0" w:line="240" w:lineRule="auto"/>
        <w:jc w:val="both"/>
        <w:rPr>
          <w:rFonts w:ascii="Cambria" w:eastAsia="Arial Unicode MS" w:hAnsi="Cambria"/>
          <w:color w:val="000000"/>
          <w:sz w:val="20"/>
          <w:szCs w:val="20"/>
          <w:lang w:val="es-CO"/>
        </w:rPr>
      </w:pPr>
      <w:r w:rsidRPr="00A55A91">
        <w:rPr>
          <w:rFonts w:ascii="Cambria" w:eastAsia="Arial Unicode MS" w:hAnsi="Cambria"/>
          <w:color w:val="000000"/>
          <w:sz w:val="20"/>
          <w:szCs w:val="20"/>
          <w:lang w:val="es-CO"/>
        </w:rPr>
        <w:tab/>
        <w:t xml:space="preserve">El 11 de mayo de 1993 el Poder Judicial de la Provincia de Buenos Aires resolvió sobreseer provisoriamente la causa debido a no haberse podido individualizar el autor o autores del delito de robo calificado por lesiones graves, de que resultara la muerte de la víctima. Dicha decisión se fundamentó en el carácter auto incriminante de las declaraciones del testigo Sergio Rubén Benítez y su negativa de declarar nuevamente, así como en el hecho de que el magistrado </w:t>
      </w:r>
      <w:r w:rsidRPr="00A55A91">
        <w:rPr>
          <w:rFonts w:ascii="Cambria" w:eastAsia="Arial Unicode MS" w:hAnsi="Cambria"/>
          <w:i/>
          <w:iCs/>
          <w:color w:val="000000"/>
          <w:sz w:val="20"/>
          <w:szCs w:val="20"/>
          <w:lang w:val="es-CO"/>
        </w:rPr>
        <w:t>a quo</w:t>
      </w:r>
      <w:r w:rsidRPr="00A55A91">
        <w:rPr>
          <w:rFonts w:ascii="Cambria" w:eastAsia="Arial Unicode MS" w:hAnsi="Cambria"/>
          <w:color w:val="000000"/>
          <w:sz w:val="20"/>
          <w:szCs w:val="20"/>
          <w:lang w:val="es-CO"/>
        </w:rPr>
        <w:t xml:space="preserve"> agotó todas las diligencias a su alcance para encontrar el paradero de Ricardo Abda, y en las declaraciones de Teresa Balbina Monserrat y Guillermo Fox quienes negaron las declaraciones del señor Sergio Rubén Benítez. La decisión fue apelada por el padre de la víctima, y el 15 de octubre de 1993, la Cámara de Apelaciones en lo Criminal y Correccional de San Martín confirmó el sobreseimiento provisional de la causa. </w:t>
      </w:r>
    </w:p>
    <w:p w14:paraId="73153AF7" w14:textId="77777777" w:rsidR="009C66B4" w:rsidRPr="00A55A91" w:rsidRDefault="009C66B4" w:rsidP="009C66B4">
      <w:pPr>
        <w:pStyle w:val="Default"/>
        <w:jc w:val="both"/>
        <w:rPr>
          <w:sz w:val="22"/>
          <w:szCs w:val="22"/>
          <w:lang w:val="es-CO"/>
          <w14:ligatures w14:val="standardContextual"/>
        </w:rPr>
      </w:pPr>
    </w:p>
    <w:p w14:paraId="70891631" w14:textId="77777777" w:rsidR="00F62D94" w:rsidRDefault="00F279D2" w:rsidP="00F279D2">
      <w:pPr>
        <w:pStyle w:val="Default"/>
        <w:tabs>
          <w:tab w:val="left" w:pos="540"/>
        </w:tabs>
        <w:jc w:val="both"/>
        <w:rPr>
          <w:rFonts w:cs="Verdana"/>
          <w:sz w:val="20"/>
          <w:szCs w:val="20"/>
          <w:lang w:val="es-CO"/>
        </w:rPr>
      </w:pPr>
      <w:r w:rsidRPr="00A55A91">
        <w:rPr>
          <w:rFonts w:eastAsia="Arial Unicode MS"/>
          <w:sz w:val="20"/>
          <w:szCs w:val="20"/>
          <w:lang w:val="es-CO"/>
        </w:rPr>
        <w:tab/>
      </w:r>
      <w:r w:rsidR="009C66B4" w:rsidRPr="00A55A91">
        <w:rPr>
          <w:rFonts w:eastAsia="Arial Unicode MS"/>
          <w:sz w:val="20"/>
          <w:szCs w:val="20"/>
          <w:lang w:val="es-CO"/>
        </w:rPr>
        <w:t xml:space="preserve">En su Informe de Fondo No. 336/22, </w:t>
      </w:r>
      <w:r w:rsidR="009C66B4" w:rsidRPr="00A55A91">
        <w:rPr>
          <w:sz w:val="20"/>
          <w:szCs w:val="20"/>
          <w:lang w:val="es-CO"/>
          <w14:ligatures w14:val="standardContextual"/>
        </w:rPr>
        <w:t xml:space="preserve">la Comisión consideró que </w:t>
      </w:r>
      <w:r w:rsidR="009C66B4" w:rsidRPr="00A55A91">
        <w:rPr>
          <w:rFonts w:eastAsia="Calibri" w:cs="Calibri"/>
          <w:sz w:val="20"/>
          <w:szCs w:val="20"/>
          <w:lang w:val="es-CO"/>
        </w:rPr>
        <w:t xml:space="preserve">el Estado no cumplió con su </w:t>
      </w:r>
      <w:r w:rsidR="009C66B4" w:rsidRPr="00A55A91">
        <w:rPr>
          <w:rFonts w:cs="Verdana"/>
          <w:sz w:val="20"/>
          <w:szCs w:val="20"/>
          <w:lang w:val="es-CO"/>
        </w:rPr>
        <w:t xml:space="preserve">deber de investigar con la debida diligencia y eventualmente sancionar a los </w:t>
      </w:r>
      <w:r w:rsidR="00076100">
        <w:rPr>
          <w:rFonts w:cs="Verdana"/>
          <w:sz w:val="20"/>
          <w:szCs w:val="20"/>
          <w:lang w:val="es-CO"/>
        </w:rPr>
        <w:t xml:space="preserve">responsables de </w:t>
      </w:r>
      <w:r w:rsidR="00615DF7">
        <w:rPr>
          <w:rFonts w:cs="Verdana"/>
          <w:sz w:val="20"/>
          <w:szCs w:val="20"/>
          <w:lang w:val="es-CO"/>
        </w:rPr>
        <w:t xml:space="preserve">los </w:t>
      </w:r>
      <w:r w:rsidR="009C66B4" w:rsidRPr="00A55A91">
        <w:rPr>
          <w:rFonts w:cs="Verdana"/>
          <w:sz w:val="20"/>
          <w:szCs w:val="20"/>
          <w:lang w:val="es-CO"/>
        </w:rPr>
        <w:t xml:space="preserve">hechos en los cuales fue herida la víctima y que condujeron posteriormente a su muerte. </w:t>
      </w:r>
    </w:p>
    <w:p w14:paraId="71EE0FB2" w14:textId="77777777" w:rsidR="00F62D94" w:rsidRDefault="00F62D94" w:rsidP="00F279D2">
      <w:pPr>
        <w:pStyle w:val="Default"/>
        <w:tabs>
          <w:tab w:val="left" w:pos="540"/>
        </w:tabs>
        <w:jc w:val="both"/>
        <w:rPr>
          <w:rFonts w:cs="Verdana"/>
          <w:sz w:val="20"/>
          <w:szCs w:val="20"/>
          <w:lang w:val="es-CO"/>
        </w:rPr>
      </w:pPr>
    </w:p>
    <w:p w14:paraId="10840AD9" w14:textId="0FF83797" w:rsidR="009C66B4" w:rsidRPr="00A55A91" w:rsidRDefault="00F62D94" w:rsidP="00F279D2">
      <w:pPr>
        <w:pStyle w:val="Default"/>
        <w:tabs>
          <w:tab w:val="left" w:pos="540"/>
        </w:tabs>
        <w:jc w:val="both"/>
        <w:rPr>
          <w:sz w:val="20"/>
          <w:szCs w:val="20"/>
          <w:lang w:val="es-CO"/>
        </w:rPr>
      </w:pPr>
      <w:r>
        <w:rPr>
          <w:rFonts w:cs="Verdana"/>
          <w:sz w:val="20"/>
          <w:szCs w:val="20"/>
          <w:lang w:val="es-CO"/>
        </w:rPr>
        <w:tab/>
      </w:r>
      <w:r w:rsidR="009C66B4" w:rsidRPr="00A55A91">
        <w:rPr>
          <w:rFonts w:cs="Verdana"/>
          <w:sz w:val="20"/>
          <w:szCs w:val="20"/>
          <w:lang w:val="es-CO"/>
        </w:rPr>
        <w:t>La Comisión notó que, a pesar de haber transcurrido cuarenta años desde la interposición de la denuncia, solo constaba ante la CIDH escasas diligencias que no muestran que las autoridades hayan conducido la investigación como un deber jurídico propio dirigido a la averiguación de la verdad. En particular, la Comisión advirtió que no se realizaron oportunamente diligencias básicas</w:t>
      </w:r>
      <w:r w:rsidR="009C66B4" w:rsidRPr="00A55A91">
        <w:rPr>
          <w:rFonts w:eastAsia="Calibri" w:cs="Calibri"/>
          <w:sz w:val="20"/>
          <w:szCs w:val="20"/>
          <w:lang w:val="es-CO"/>
        </w:rPr>
        <w:t xml:space="preserve"> como investigar el origen del arma que ocasionó el disparo sufrido por la víctima y/o realizar </w:t>
      </w:r>
      <w:r w:rsidR="009C66B4" w:rsidRPr="00A55A91">
        <w:rPr>
          <w:sz w:val="20"/>
          <w:szCs w:val="20"/>
          <w:lang w:val="es-CO"/>
        </w:rPr>
        <w:t>examen de balística</w:t>
      </w:r>
      <w:r w:rsidR="009C66B4" w:rsidRPr="00A55A91">
        <w:rPr>
          <w:rFonts w:eastAsia="Calibri" w:cs="Calibri"/>
          <w:sz w:val="20"/>
          <w:szCs w:val="20"/>
          <w:lang w:val="es-CO"/>
        </w:rPr>
        <w:t xml:space="preserve">, realizar un peritaje a un vehículo posiblemente implicado, efectuar una nueva pericia en las ropas de la víctima, indagar el estado patrimonial de las personas involucradas, realizar careos entre los declarantes, entre otras. </w:t>
      </w:r>
      <w:r w:rsidR="00A3121C" w:rsidRPr="00A55A91">
        <w:rPr>
          <w:rFonts w:eastAsia="Calibri" w:cs="Calibri"/>
          <w:sz w:val="20"/>
          <w:szCs w:val="20"/>
          <w:lang w:val="es-CO"/>
        </w:rPr>
        <w:t>En virtud de</w:t>
      </w:r>
      <w:r w:rsidR="009C66B4" w:rsidRPr="00A55A91">
        <w:rPr>
          <w:rFonts w:eastAsia="Calibri" w:cs="Calibri"/>
          <w:sz w:val="20"/>
          <w:szCs w:val="20"/>
          <w:lang w:val="es-CO"/>
        </w:rPr>
        <w:t xml:space="preserve"> lo anterior, la Comisión consideró que esos elementos permiten inferir que no hubo la debida diligencia en las investigaciones y que la instrucción fue finalizada sin que se realizaran todas </w:t>
      </w:r>
      <w:r w:rsidR="00736F67">
        <w:rPr>
          <w:rFonts w:eastAsia="Calibri" w:cs="Calibri"/>
          <w:sz w:val="20"/>
          <w:szCs w:val="20"/>
          <w:lang w:val="es-CO"/>
        </w:rPr>
        <w:t xml:space="preserve">las </w:t>
      </w:r>
      <w:r w:rsidR="009C66B4" w:rsidRPr="00A55A91">
        <w:rPr>
          <w:rFonts w:eastAsia="Calibri" w:cs="Calibri"/>
          <w:sz w:val="20"/>
          <w:szCs w:val="20"/>
          <w:lang w:val="es-CO"/>
        </w:rPr>
        <w:t>diligencias necesarias para aclarar los hechos vinculados al disparo y al robo en contra de la víctima.</w:t>
      </w:r>
      <w:r w:rsidR="009C66B4" w:rsidRPr="00A55A91">
        <w:rPr>
          <w:sz w:val="20"/>
          <w:szCs w:val="20"/>
          <w:lang w:val="es-CO"/>
        </w:rPr>
        <w:t xml:space="preserve"> </w:t>
      </w:r>
    </w:p>
    <w:p w14:paraId="34A0D6B6" w14:textId="77777777" w:rsidR="009C66B4" w:rsidRPr="00A55A91" w:rsidRDefault="009C66B4" w:rsidP="009C66B4">
      <w:pPr>
        <w:tabs>
          <w:tab w:val="left" w:pos="360"/>
        </w:tabs>
        <w:spacing w:after="0" w:line="240" w:lineRule="auto"/>
        <w:jc w:val="both"/>
        <w:rPr>
          <w:rFonts w:ascii="Cambria" w:hAnsi="Cambria"/>
          <w:sz w:val="20"/>
          <w:szCs w:val="20"/>
          <w:lang w:val="es-CO"/>
        </w:rPr>
      </w:pPr>
    </w:p>
    <w:p w14:paraId="56AF47B9" w14:textId="615F1F27" w:rsidR="00F7130C" w:rsidRPr="00A55A91" w:rsidRDefault="008F573C" w:rsidP="008F573C">
      <w:pPr>
        <w:tabs>
          <w:tab w:val="left" w:pos="0"/>
          <w:tab w:val="left" w:pos="540"/>
        </w:tabs>
        <w:spacing w:after="0" w:line="240" w:lineRule="auto"/>
        <w:jc w:val="both"/>
        <w:rPr>
          <w:rFonts w:ascii="Cambria" w:hAnsi="Cambria"/>
          <w:sz w:val="20"/>
          <w:szCs w:val="20"/>
          <w:lang w:val="es-CO"/>
        </w:rPr>
      </w:pPr>
      <w:r>
        <w:rPr>
          <w:rFonts w:ascii="Cambria" w:hAnsi="Cambria"/>
          <w:sz w:val="20"/>
          <w:szCs w:val="20"/>
          <w:lang w:val="es-CO"/>
        </w:rPr>
        <w:tab/>
      </w:r>
      <w:r w:rsidR="009C66B4" w:rsidRPr="00A55A91">
        <w:rPr>
          <w:rFonts w:ascii="Cambria" w:hAnsi="Cambria"/>
          <w:sz w:val="20"/>
          <w:szCs w:val="20"/>
          <w:lang w:val="es-CO"/>
        </w:rPr>
        <w:t>Asimismo, después de analizar los elementos respectivos</w:t>
      </w:r>
      <w:r w:rsidR="006E3B90" w:rsidRPr="00A55A91">
        <w:rPr>
          <w:rFonts w:ascii="Cambria" w:hAnsi="Cambria"/>
          <w:sz w:val="20"/>
          <w:szCs w:val="20"/>
          <w:lang w:val="es-CO"/>
        </w:rPr>
        <w:t xml:space="preserve"> al plazo razonable</w:t>
      </w:r>
      <w:r w:rsidR="009C66B4" w:rsidRPr="00A55A91">
        <w:rPr>
          <w:rFonts w:ascii="Cambria" w:hAnsi="Cambria"/>
          <w:sz w:val="20"/>
          <w:szCs w:val="20"/>
          <w:lang w:val="es-CO"/>
        </w:rPr>
        <w:t xml:space="preserve">, la Comisión </w:t>
      </w:r>
      <w:r w:rsidR="007F0AE9">
        <w:rPr>
          <w:rFonts w:ascii="Cambria" w:hAnsi="Cambria"/>
          <w:sz w:val="20"/>
          <w:szCs w:val="20"/>
          <w:lang w:val="es-CO"/>
        </w:rPr>
        <w:t>consideró</w:t>
      </w:r>
      <w:r w:rsidR="009C66B4" w:rsidRPr="00A55A91">
        <w:rPr>
          <w:rFonts w:ascii="Cambria" w:hAnsi="Cambria"/>
          <w:sz w:val="20"/>
          <w:szCs w:val="20"/>
          <w:lang w:val="es-CO"/>
        </w:rPr>
        <w:t xml:space="preserve"> que el haber transcurrido cuarenta años desde la denuncia sin que a la fecha haya una decisión definitiva en este caso resulta a todas luces contrario a </w:t>
      </w:r>
      <w:r w:rsidR="00F7130C" w:rsidRPr="00A55A91">
        <w:rPr>
          <w:rFonts w:ascii="Cambria" w:hAnsi="Cambria"/>
          <w:sz w:val="20"/>
          <w:szCs w:val="20"/>
          <w:lang w:val="es-CO"/>
        </w:rPr>
        <w:t xml:space="preserve">dicha garantía. </w:t>
      </w:r>
    </w:p>
    <w:p w14:paraId="72FD521C" w14:textId="77777777" w:rsidR="00F7130C" w:rsidRPr="00A55A91" w:rsidRDefault="00F7130C" w:rsidP="00F7130C">
      <w:pPr>
        <w:tabs>
          <w:tab w:val="left" w:pos="360"/>
        </w:tabs>
        <w:spacing w:after="0" w:line="240" w:lineRule="auto"/>
        <w:jc w:val="both"/>
        <w:rPr>
          <w:rFonts w:ascii="Cambria" w:hAnsi="Cambria"/>
          <w:sz w:val="20"/>
          <w:szCs w:val="20"/>
          <w:lang w:val="es-CO"/>
        </w:rPr>
      </w:pPr>
    </w:p>
    <w:p w14:paraId="0BF5E37C" w14:textId="77777777" w:rsidR="00346ECB" w:rsidRDefault="00F7130C" w:rsidP="008F573C">
      <w:pPr>
        <w:tabs>
          <w:tab w:val="left" w:pos="540"/>
        </w:tabs>
        <w:spacing w:after="0" w:line="240" w:lineRule="auto"/>
        <w:jc w:val="both"/>
        <w:rPr>
          <w:rFonts w:ascii="Cambria" w:eastAsia="Cambria" w:hAnsi="Cambria" w:cs="Cambria"/>
          <w:color w:val="000000"/>
          <w:sz w:val="20"/>
          <w:szCs w:val="20"/>
          <w:lang w:val="es-CO"/>
        </w:rPr>
      </w:pPr>
      <w:r w:rsidRPr="00A55A91">
        <w:rPr>
          <w:rFonts w:ascii="Cambria" w:hAnsi="Cambria"/>
          <w:sz w:val="20"/>
          <w:szCs w:val="20"/>
          <w:lang w:val="es-CO"/>
        </w:rPr>
        <w:tab/>
      </w:r>
      <w:r w:rsidR="009C66B4" w:rsidRPr="00A55A91">
        <w:rPr>
          <w:rFonts w:ascii="Cambria" w:hAnsi="Cambria"/>
          <w:sz w:val="20"/>
          <w:szCs w:val="20"/>
          <w:lang w:val="es-CO"/>
          <w14:ligatures w14:val="standardContextual"/>
        </w:rPr>
        <w:t>Adicionalmente, la Comisión observó que Marcelo Nievas tenía 17 años cuando se in</w:t>
      </w:r>
      <w:r w:rsidR="007F0AE9">
        <w:rPr>
          <w:rFonts w:ascii="Cambria" w:hAnsi="Cambria"/>
          <w:sz w:val="20"/>
          <w:szCs w:val="20"/>
          <w:lang w:val="es-CO"/>
          <w14:ligatures w14:val="standardContextual"/>
        </w:rPr>
        <w:t>ició</w:t>
      </w:r>
      <w:r w:rsidR="009C66B4" w:rsidRPr="00A55A91">
        <w:rPr>
          <w:rFonts w:ascii="Cambria" w:hAnsi="Cambria"/>
          <w:sz w:val="20"/>
          <w:szCs w:val="20"/>
          <w:lang w:val="es-CO"/>
          <w14:ligatures w14:val="standardContextual"/>
        </w:rPr>
        <w:t xml:space="preserve"> la investigación y el proceso penal vinculados a las lesiones y robo sufridos el 22 de noviembre de 1981. Sin embargo, el Estado argentino no aportó información fáctica ni jurídica dirigida a comprobar que a lo largo de las investigaciones y del proceso penal las autoridades a cargo hayan tenido en cuenta la condición de </w:t>
      </w:r>
      <w:r w:rsidR="00627097" w:rsidRPr="00A55A91">
        <w:rPr>
          <w:rFonts w:ascii="Cambria" w:hAnsi="Cambria"/>
          <w:sz w:val="20"/>
          <w:szCs w:val="20"/>
          <w:lang w:val="es-CO"/>
          <w14:ligatures w14:val="standardContextual"/>
        </w:rPr>
        <w:t>adolescente</w:t>
      </w:r>
      <w:r w:rsidR="009C66B4" w:rsidRPr="00A55A91">
        <w:rPr>
          <w:rFonts w:ascii="Cambria" w:hAnsi="Cambria"/>
          <w:sz w:val="20"/>
          <w:szCs w:val="20"/>
          <w:lang w:val="es-CO"/>
          <w14:ligatures w14:val="standardContextual"/>
        </w:rPr>
        <w:t xml:space="preserve"> de la víctima. </w:t>
      </w:r>
      <w:r w:rsidR="009C66B4" w:rsidRPr="00A55A91">
        <w:rPr>
          <w:rFonts w:ascii="Cambria" w:hAnsi="Cambria" w:cs="Arial"/>
          <w:sz w:val="20"/>
          <w:szCs w:val="20"/>
          <w:lang w:val="es-CO"/>
        </w:rPr>
        <w:t>En particular, no aportó los documentos comprobatorios de que el juez del proceso penal notificara al asesor de menores, tampoco se libró oficio a dicha asesoría cuando se conoció que la víctima había sido internada en un hospital público.</w:t>
      </w:r>
      <w:r w:rsidR="009C66B4" w:rsidRPr="00A55A91">
        <w:rPr>
          <w:rFonts w:ascii="Cambria" w:eastAsia="Cambria" w:hAnsi="Cambria" w:cs="Cambria"/>
          <w:color w:val="000000"/>
          <w:sz w:val="20"/>
          <w:szCs w:val="20"/>
          <w:lang w:val="es-CO"/>
        </w:rPr>
        <w:t xml:space="preserve"> </w:t>
      </w:r>
    </w:p>
    <w:p w14:paraId="646F825E" w14:textId="77777777" w:rsidR="00346ECB" w:rsidRDefault="00346ECB" w:rsidP="008D32F7">
      <w:pPr>
        <w:tabs>
          <w:tab w:val="left" w:pos="360"/>
        </w:tabs>
        <w:spacing w:after="0" w:line="240" w:lineRule="auto"/>
        <w:jc w:val="both"/>
        <w:rPr>
          <w:rFonts w:ascii="Cambria" w:eastAsia="Cambria" w:hAnsi="Cambria" w:cs="Cambria"/>
          <w:color w:val="000000"/>
          <w:sz w:val="20"/>
          <w:szCs w:val="20"/>
          <w:lang w:val="es-CO"/>
        </w:rPr>
      </w:pPr>
    </w:p>
    <w:p w14:paraId="141D88A3" w14:textId="5CF4B3BD" w:rsidR="009C66B4" w:rsidRPr="00A55A91" w:rsidRDefault="00346ECB" w:rsidP="008F573C">
      <w:pPr>
        <w:tabs>
          <w:tab w:val="left" w:pos="540"/>
        </w:tabs>
        <w:spacing w:after="0" w:line="240" w:lineRule="auto"/>
        <w:jc w:val="both"/>
        <w:rPr>
          <w:rFonts w:ascii="Cambria" w:hAnsi="Cambria"/>
          <w:sz w:val="20"/>
          <w:szCs w:val="20"/>
          <w:lang w:val="es-CO"/>
        </w:rPr>
      </w:pPr>
      <w:r>
        <w:rPr>
          <w:rFonts w:ascii="Cambria" w:eastAsia="Cambria" w:hAnsi="Cambria" w:cs="Cambria"/>
          <w:color w:val="000000"/>
          <w:sz w:val="20"/>
          <w:szCs w:val="20"/>
          <w:lang w:val="es-CO"/>
        </w:rPr>
        <w:tab/>
      </w:r>
      <w:r>
        <w:rPr>
          <w:rFonts w:ascii="Cambria" w:hAnsi="Cambria"/>
          <w:sz w:val="20"/>
          <w:szCs w:val="20"/>
          <w:lang w:val="es-CO"/>
        </w:rPr>
        <w:t>L</w:t>
      </w:r>
      <w:r w:rsidR="009C66B4" w:rsidRPr="00A55A91">
        <w:rPr>
          <w:rFonts w:ascii="Cambria" w:hAnsi="Cambria"/>
          <w:sz w:val="20"/>
          <w:szCs w:val="20"/>
          <w:lang w:val="es-CO"/>
        </w:rPr>
        <w:t xml:space="preserve">a Comisión </w:t>
      </w:r>
      <w:r>
        <w:rPr>
          <w:rFonts w:ascii="Cambria" w:hAnsi="Cambria"/>
          <w:sz w:val="20"/>
          <w:szCs w:val="20"/>
          <w:lang w:val="es-CO"/>
        </w:rPr>
        <w:t>tampoco</w:t>
      </w:r>
      <w:r w:rsidR="009C66B4" w:rsidRPr="00A55A91">
        <w:rPr>
          <w:rFonts w:ascii="Cambria" w:hAnsi="Cambria"/>
          <w:sz w:val="20"/>
          <w:szCs w:val="20"/>
          <w:lang w:val="es-CO"/>
        </w:rPr>
        <w:t xml:space="preserve"> c</w:t>
      </w:r>
      <w:r w:rsidR="00627097" w:rsidRPr="00A55A91">
        <w:rPr>
          <w:rFonts w:ascii="Cambria" w:hAnsi="Cambria"/>
          <w:sz w:val="20"/>
          <w:szCs w:val="20"/>
          <w:lang w:val="es-CO"/>
        </w:rPr>
        <w:t>o</w:t>
      </w:r>
      <w:r w:rsidR="009C66B4" w:rsidRPr="00A55A91">
        <w:rPr>
          <w:rFonts w:ascii="Cambria" w:hAnsi="Cambria"/>
          <w:sz w:val="20"/>
          <w:szCs w:val="20"/>
          <w:lang w:val="es-CO"/>
        </w:rPr>
        <w:t>nt</w:t>
      </w:r>
      <w:r w:rsidR="00627097" w:rsidRPr="00A55A91">
        <w:rPr>
          <w:rFonts w:ascii="Cambria" w:hAnsi="Cambria"/>
          <w:sz w:val="20"/>
          <w:szCs w:val="20"/>
          <w:lang w:val="es-CO"/>
        </w:rPr>
        <w:t>ó</w:t>
      </w:r>
      <w:r w:rsidR="009C66B4" w:rsidRPr="00A55A91">
        <w:rPr>
          <w:rFonts w:ascii="Cambria" w:hAnsi="Cambria"/>
          <w:sz w:val="20"/>
          <w:szCs w:val="20"/>
          <w:lang w:val="es-CO"/>
        </w:rPr>
        <w:t xml:space="preserve"> con información que indique que hubo la participación del asesor de menores en las diligencias adoptadas en las investigaciones, como en las declaraciones, peritajes o manifestaciones procesales. Además, la Comisión </w:t>
      </w:r>
      <w:r w:rsidR="0001318C">
        <w:rPr>
          <w:rFonts w:ascii="Cambria" w:hAnsi="Cambria"/>
          <w:sz w:val="20"/>
          <w:szCs w:val="20"/>
          <w:lang w:val="es-CO"/>
        </w:rPr>
        <w:t xml:space="preserve">no tuvo </w:t>
      </w:r>
      <w:r w:rsidR="009C66B4" w:rsidRPr="00A55A91">
        <w:rPr>
          <w:rFonts w:ascii="Cambria" w:hAnsi="Cambria"/>
          <w:sz w:val="20"/>
          <w:szCs w:val="20"/>
          <w:lang w:val="es-CO"/>
        </w:rPr>
        <w:t xml:space="preserve">información que indique que la decisión de sobreseimiento provisional en 1993 contó con la manifestación del asesor de menores. </w:t>
      </w:r>
      <w:r w:rsidR="009C66B4" w:rsidRPr="00A55A91">
        <w:rPr>
          <w:rFonts w:ascii="Cambria" w:eastAsia="Cambria" w:hAnsi="Cambria" w:cs="Cambria"/>
          <w:color w:val="000000"/>
          <w:sz w:val="20"/>
          <w:szCs w:val="20"/>
          <w:lang w:val="es-CO"/>
        </w:rPr>
        <w:t xml:space="preserve">En este sentido, la Comisión consideró que </w:t>
      </w:r>
      <w:r w:rsidR="009C66B4" w:rsidRPr="00A55A91">
        <w:rPr>
          <w:rFonts w:ascii="Cambria" w:hAnsi="Cambria"/>
          <w:sz w:val="20"/>
          <w:szCs w:val="20"/>
          <w:lang w:val="es-CO"/>
        </w:rPr>
        <w:t xml:space="preserve">el Estado es responsable por la violación del derecho a la protección judicial y a las garantías judiciales en perjuicio de los familiares de Marcelo Fabián Nievas. </w:t>
      </w:r>
      <w:r w:rsidR="006F58C6" w:rsidRPr="00A55A91">
        <w:rPr>
          <w:rFonts w:ascii="Cambria" w:hAnsi="Cambria"/>
          <w:sz w:val="20"/>
          <w:szCs w:val="20"/>
          <w:lang w:val="es-CO"/>
        </w:rPr>
        <w:t>De igual forma, t</w:t>
      </w:r>
      <w:r w:rsidR="009C66B4" w:rsidRPr="00A55A91">
        <w:rPr>
          <w:rFonts w:ascii="Cambria" w:hAnsi="Cambria"/>
          <w:sz w:val="20"/>
          <w:szCs w:val="20"/>
          <w:lang w:val="es-CO"/>
        </w:rPr>
        <w:t>eniendo en cuenta que no se han investigado diligentemente las circunstancias específicas en que se produjo el disparo de arma de fuego en contra de un adolescente en los términos antes señalados, la Comisión consideró que el Estado es responsable por la violación del</w:t>
      </w:r>
      <w:r w:rsidR="00CF5261" w:rsidRPr="00A55A91">
        <w:rPr>
          <w:rFonts w:ascii="Cambria" w:hAnsi="Cambria"/>
          <w:sz w:val="20"/>
          <w:szCs w:val="20"/>
          <w:lang w:val="es-CO"/>
        </w:rPr>
        <w:t xml:space="preserve"> derecho de niñez</w:t>
      </w:r>
      <w:r w:rsidR="009C66B4" w:rsidRPr="00A55A91">
        <w:rPr>
          <w:rFonts w:ascii="Cambria" w:hAnsi="Cambria"/>
          <w:sz w:val="20"/>
          <w:szCs w:val="20"/>
          <w:lang w:val="es-CO"/>
        </w:rPr>
        <w:t>.</w:t>
      </w:r>
    </w:p>
    <w:p w14:paraId="4C0F828C" w14:textId="77777777" w:rsidR="009C66B4" w:rsidRPr="00A55A91" w:rsidRDefault="009C66B4" w:rsidP="009C66B4">
      <w:pPr>
        <w:tabs>
          <w:tab w:val="left" w:pos="360"/>
        </w:tabs>
        <w:autoSpaceDE w:val="0"/>
        <w:autoSpaceDN w:val="0"/>
        <w:adjustRightInd w:val="0"/>
        <w:spacing w:after="0" w:line="240" w:lineRule="auto"/>
        <w:jc w:val="both"/>
        <w:rPr>
          <w:rFonts w:ascii="Cambria" w:hAnsi="Cambria"/>
          <w:sz w:val="20"/>
          <w:szCs w:val="20"/>
          <w:lang w:val="es-CO"/>
          <w14:ligatures w14:val="standardContextual"/>
        </w:rPr>
      </w:pPr>
    </w:p>
    <w:p w14:paraId="0A100A95" w14:textId="08695B47" w:rsidR="009C66B4" w:rsidRPr="00A55A91" w:rsidRDefault="009C66B4" w:rsidP="008F573C">
      <w:pPr>
        <w:tabs>
          <w:tab w:val="left" w:pos="540"/>
        </w:tabs>
        <w:autoSpaceDE w:val="0"/>
        <w:autoSpaceDN w:val="0"/>
        <w:adjustRightInd w:val="0"/>
        <w:spacing w:after="0" w:line="240" w:lineRule="auto"/>
        <w:jc w:val="both"/>
        <w:rPr>
          <w:rFonts w:ascii="Cambria" w:hAnsi="Cambria"/>
          <w:sz w:val="20"/>
          <w:szCs w:val="20"/>
          <w:lang w:val="es-CO"/>
        </w:rPr>
      </w:pPr>
      <w:r w:rsidRPr="00A55A91">
        <w:rPr>
          <w:rFonts w:ascii="Cambria" w:hAnsi="Cambria"/>
          <w:sz w:val="20"/>
          <w:szCs w:val="20"/>
          <w:lang w:val="es-CO"/>
          <w14:ligatures w14:val="standardContextual"/>
        </w:rPr>
        <w:tab/>
        <w:t xml:space="preserve">Finalmente, la Comisión consideró que </w:t>
      </w:r>
      <w:r w:rsidRPr="00A55A91">
        <w:rPr>
          <w:rFonts w:ascii="Cambria" w:hAnsi="Cambria"/>
          <w:color w:val="000000" w:themeColor="text1"/>
          <w:sz w:val="20"/>
          <w:szCs w:val="20"/>
          <w:lang w:val="es-CO"/>
        </w:rPr>
        <w:t xml:space="preserve">el Estado vulneró el derecho a la integridad psíquica y moral de los padres debido al sufrimiento e impotencia dado que tras más de cuarenta años no tienen certeza de </w:t>
      </w:r>
      <w:r w:rsidRPr="00A55A91">
        <w:rPr>
          <w:rFonts w:ascii="Cambria" w:hAnsi="Cambria"/>
          <w:color w:val="000000" w:themeColor="text1"/>
          <w:sz w:val="20"/>
          <w:szCs w:val="20"/>
          <w:lang w:val="es-CO"/>
        </w:rPr>
        <w:lastRenderedPageBreak/>
        <w:t xml:space="preserve">la causa del disparo de arma de fuego que sufrió, lo cual llevó a su internación en el Hospital Posadas y </w:t>
      </w:r>
      <w:r w:rsidR="00ED4115" w:rsidRPr="00A55A91">
        <w:rPr>
          <w:rFonts w:ascii="Cambria" w:hAnsi="Cambria"/>
          <w:color w:val="000000" w:themeColor="text1"/>
          <w:sz w:val="20"/>
          <w:szCs w:val="20"/>
          <w:lang w:val="es-CO"/>
        </w:rPr>
        <w:t xml:space="preserve">posteriormente a </w:t>
      </w:r>
      <w:r w:rsidRPr="00A55A91">
        <w:rPr>
          <w:rFonts w:ascii="Cambria" w:hAnsi="Cambria"/>
          <w:color w:val="000000" w:themeColor="text1"/>
          <w:sz w:val="20"/>
          <w:szCs w:val="20"/>
          <w:lang w:val="es-CO"/>
        </w:rPr>
        <w:t xml:space="preserve">su muerte.  </w:t>
      </w:r>
    </w:p>
    <w:p w14:paraId="2472A1D0" w14:textId="77777777" w:rsidR="009C66B4" w:rsidRPr="00A55A91" w:rsidRDefault="009C66B4" w:rsidP="009C66B4">
      <w:pPr>
        <w:pStyle w:val="Default"/>
        <w:jc w:val="both"/>
        <w:rPr>
          <w:sz w:val="16"/>
          <w:szCs w:val="16"/>
          <w:lang w:val="es-CO"/>
          <w14:ligatures w14:val="standardContextual"/>
        </w:rPr>
      </w:pPr>
    </w:p>
    <w:p w14:paraId="620B7AD7" w14:textId="376BCC77" w:rsidR="009C66B4" w:rsidRPr="00A55A91" w:rsidRDefault="009C66B4" w:rsidP="008F573C">
      <w:pPr>
        <w:tabs>
          <w:tab w:val="left" w:pos="513"/>
          <w:tab w:val="left" w:pos="1440"/>
        </w:tabs>
        <w:spacing w:after="0" w:line="240" w:lineRule="auto"/>
        <w:jc w:val="both"/>
        <w:rPr>
          <w:rFonts w:ascii="Cambria" w:eastAsiaTheme="minorHAnsi" w:hAnsi="Cambria" w:cs="Cambria"/>
          <w:color w:val="000000"/>
          <w:sz w:val="20"/>
          <w:szCs w:val="20"/>
          <w:lang w:val="es-CO"/>
          <w14:ligatures w14:val="standardContextual"/>
        </w:rPr>
      </w:pPr>
      <w:r w:rsidRPr="00A55A91">
        <w:rPr>
          <w:rFonts w:ascii="Cambria" w:eastAsiaTheme="minorHAnsi" w:hAnsi="Cambria" w:cs="Cambria"/>
          <w:color w:val="000000"/>
          <w:sz w:val="20"/>
          <w:szCs w:val="20"/>
          <w:lang w:val="es-CO"/>
          <w14:ligatures w14:val="standardContextual"/>
        </w:rPr>
        <w:tab/>
        <w:t>Con base en las determinaciones de hecho y de derecho, la Comisión concluyó que el Estado es responsable por la violación de los derechos del niño, a la protección judicial y a las garantía judicial, así como al derecho a la integridad personal, establecidos en el artículo VII de la Declaración Americana y en los artículos 5.1 (integridad personal), 8.1 (garantías judiciales), 19 (derecho del niño) y 25.1 (protección judicial) de la Convención Americana, en relación con las obligaciones establecidas en el artículo 1.1 del mismo instrumento, en perjuicio de Marcelo Fabián Nievas, Julio Roberto Nievas y Rosalía González de Nievas.</w:t>
      </w:r>
    </w:p>
    <w:p w14:paraId="31439829" w14:textId="77777777" w:rsidR="00ED4115" w:rsidRPr="00A55A91" w:rsidRDefault="00ED4115" w:rsidP="009C66B4">
      <w:pPr>
        <w:tabs>
          <w:tab w:val="left" w:pos="567"/>
          <w:tab w:val="left" w:pos="1440"/>
        </w:tabs>
        <w:spacing w:after="0" w:line="240" w:lineRule="auto"/>
        <w:jc w:val="both"/>
        <w:rPr>
          <w:rFonts w:ascii="Cambria" w:hAnsi="Cambria"/>
          <w:sz w:val="20"/>
          <w:szCs w:val="20"/>
          <w:lang w:val="es-CO"/>
        </w:rPr>
      </w:pPr>
    </w:p>
    <w:p w14:paraId="6D7486B5" w14:textId="20DD9648" w:rsidR="009C66B4" w:rsidRPr="00A55A91" w:rsidRDefault="008F573C" w:rsidP="008F573C">
      <w:pPr>
        <w:tabs>
          <w:tab w:val="left" w:pos="540"/>
        </w:tabs>
        <w:spacing w:after="0" w:line="240" w:lineRule="auto"/>
        <w:jc w:val="both"/>
        <w:rPr>
          <w:rFonts w:ascii="Cambria" w:hAnsi="Cambria"/>
          <w:sz w:val="20"/>
          <w:szCs w:val="20"/>
          <w:lang w:val="es-CO"/>
        </w:rPr>
      </w:pPr>
      <w:r>
        <w:rPr>
          <w:rFonts w:ascii="Cambria" w:hAnsi="Cambria"/>
          <w:sz w:val="20"/>
          <w:szCs w:val="20"/>
          <w:lang w:val="es-CO"/>
        </w:rPr>
        <w:tab/>
      </w:r>
      <w:r w:rsidR="009C66B4" w:rsidRPr="00A55A91">
        <w:rPr>
          <w:rFonts w:ascii="Cambria" w:hAnsi="Cambria"/>
          <w:sz w:val="20"/>
          <w:szCs w:val="20"/>
          <w:lang w:val="es-CO"/>
        </w:rPr>
        <w:t>El Estado argentino depositó el instrumento de ratificación de la Convención Americana sobre Derechos Humanos y aceptó la competencia contenciosa de la Corte Interamericana el 5 de septiembre de 1984.</w:t>
      </w:r>
    </w:p>
    <w:p w14:paraId="2A60D095" w14:textId="77777777" w:rsidR="009C66B4" w:rsidRPr="00A55A91" w:rsidRDefault="009C66B4" w:rsidP="009C66B4">
      <w:pPr>
        <w:pStyle w:val="parrafos"/>
        <w:tabs>
          <w:tab w:val="left" w:pos="360"/>
        </w:tabs>
        <w:rPr>
          <w:rFonts w:cs="Calibri"/>
          <w:lang w:val="es-CO"/>
        </w:rPr>
      </w:pPr>
    </w:p>
    <w:p w14:paraId="5F2E9D4C" w14:textId="31EA5403" w:rsidR="009C66B4" w:rsidRPr="00A55A91" w:rsidRDefault="009C66B4" w:rsidP="008F573C">
      <w:pPr>
        <w:pStyle w:val="parrafos"/>
        <w:tabs>
          <w:tab w:val="left" w:pos="540"/>
        </w:tabs>
        <w:rPr>
          <w:lang w:val="es-CO"/>
        </w:rPr>
      </w:pPr>
      <w:r w:rsidRPr="00A55A91">
        <w:rPr>
          <w:rFonts w:cs="Calibri"/>
          <w:lang w:val="es-CO"/>
        </w:rPr>
        <w:tab/>
        <w:t xml:space="preserve">La Comisión ha designado al Comisionado Stuardo Ralón </w:t>
      </w:r>
      <w:r w:rsidRPr="00A55A91">
        <w:rPr>
          <w:lang w:val="es-CO"/>
        </w:rPr>
        <w:t>y a la Secretaria Ejecutiva, Tania Reneaum Panszi, como su delegado y delegada. Asimismo, Jorge Meza Flores, Secretario Ejecutivo Adjunto</w:t>
      </w:r>
      <w:r w:rsidR="000623CF" w:rsidRPr="00A55A91">
        <w:rPr>
          <w:lang w:val="es-CO"/>
        </w:rPr>
        <w:t xml:space="preserve"> y María del Pilar Gutierrez</w:t>
      </w:r>
      <w:r w:rsidRPr="00A55A91">
        <w:rPr>
          <w:lang w:val="es-CO"/>
        </w:rPr>
        <w:t xml:space="preserve"> </w:t>
      </w:r>
      <w:r w:rsidR="00714A84">
        <w:rPr>
          <w:lang w:val="es-CO"/>
        </w:rPr>
        <w:t xml:space="preserve">coordinadora de la </w:t>
      </w:r>
      <w:r w:rsidR="00714A84" w:rsidRPr="00714A84">
        <w:rPr>
          <w:lang w:val="es-ES"/>
        </w:rPr>
        <w:t>sección</w:t>
      </w:r>
      <w:r w:rsidR="00714A84">
        <w:rPr>
          <w:lang w:val="es-CO"/>
        </w:rPr>
        <w:t xml:space="preserve"> de casos </w:t>
      </w:r>
      <w:r w:rsidRPr="00A55A91">
        <w:rPr>
          <w:lang w:val="es-CO"/>
        </w:rPr>
        <w:t>de la Secretaría Ejecutiva de la CIDH, actuarán como asesores legales.</w:t>
      </w:r>
    </w:p>
    <w:p w14:paraId="1A555D27" w14:textId="77777777" w:rsidR="009C66B4" w:rsidRPr="00A55A91" w:rsidRDefault="009C66B4" w:rsidP="009C66B4">
      <w:pPr>
        <w:pStyle w:val="parrafos"/>
        <w:tabs>
          <w:tab w:val="left" w:pos="360"/>
        </w:tabs>
        <w:rPr>
          <w:lang w:val="es-CO"/>
        </w:rPr>
      </w:pPr>
    </w:p>
    <w:p w14:paraId="4BF0190A" w14:textId="7341C500" w:rsidR="009C66B4" w:rsidRPr="00A55A91" w:rsidRDefault="009C66B4" w:rsidP="008F573C">
      <w:pPr>
        <w:tabs>
          <w:tab w:val="left" w:pos="540"/>
        </w:tabs>
        <w:spacing w:after="0" w:line="240" w:lineRule="auto"/>
        <w:jc w:val="both"/>
        <w:rPr>
          <w:rFonts w:ascii="Cambria" w:hAnsi="Cambria" w:cs="Calibri"/>
          <w:color w:val="000000"/>
          <w:sz w:val="20"/>
          <w:szCs w:val="20"/>
          <w:lang w:val="es-CO"/>
        </w:rPr>
      </w:pPr>
      <w:r w:rsidRPr="00A55A91">
        <w:rPr>
          <w:rFonts w:ascii="Cambria" w:hAnsi="Cambria" w:cs="Calibri"/>
          <w:color w:val="000000"/>
          <w:sz w:val="20"/>
          <w:szCs w:val="20"/>
          <w:lang w:val="es-CO"/>
        </w:rPr>
        <w:tab/>
        <w:t>De conformidad con el artículo 35 del Reglamento de la Corte Interamericana, la Comisión adjunta copia del Informe de</w:t>
      </w:r>
      <w:r w:rsidR="00A82589" w:rsidRPr="00A55A91">
        <w:rPr>
          <w:rFonts w:ascii="Cambria" w:hAnsi="Cambria" w:cs="Calibri"/>
          <w:color w:val="000000"/>
          <w:sz w:val="20"/>
          <w:szCs w:val="20"/>
          <w:lang w:val="es-CO"/>
        </w:rPr>
        <w:t xml:space="preserve"> </w:t>
      </w:r>
      <w:r w:rsidRPr="00A55A91">
        <w:rPr>
          <w:rFonts w:ascii="Cambria" w:hAnsi="Cambria" w:cs="Calibri"/>
          <w:color w:val="000000"/>
          <w:sz w:val="20"/>
          <w:szCs w:val="20"/>
          <w:lang w:val="es-CO"/>
        </w:rPr>
        <w:t xml:space="preserve">Fondo No. </w:t>
      </w:r>
      <w:r w:rsidR="00A82589" w:rsidRPr="00A55A91">
        <w:rPr>
          <w:rFonts w:eastAsia="Arial Unicode MS"/>
          <w:sz w:val="20"/>
          <w:szCs w:val="20"/>
          <w:lang w:val="es-CO"/>
        </w:rPr>
        <w:t xml:space="preserve">336/22 </w:t>
      </w:r>
      <w:r w:rsidRPr="00A55A91">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A82589" w:rsidRPr="00A55A91">
        <w:rPr>
          <w:rFonts w:eastAsia="Arial Unicode MS"/>
          <w:sz w:val="20"/>
          <w:szCs w:val="20"/>
          <w:lang w:val="es-CO"/>
        </w:rPr>
        <w:t>336/22</w:t>
      </w:r>
      <w:r w:rsidR="00A82589" w:rsidRPr="00A55A91">
        <w:rPr>
          <w:rFonts w:ascii="Cambria" w:hAnsi="Cambria" w:cs="Calibri"/>
          <w:color w:val="000000"/>
          <w:sz w:val="20"/>
          <w:szCs w:val="20"/>
          <w:lang w:val="es-CO"/>
        </w:rPr>
        <w:t xml:space="preserve"> </w:t>
      </w:r>
      <w:r w:rsidRPr="00A55A91">
        <w:rPr>
          <w:rFonts w:ascii="Cambria" w:hAnsi="Cambria" w:cs="Calibri"/>
          <w:color w:val="000000"/>
          <w:sz w:val="20"/>
          <w:szCs w:val="20"/>
          <w:lang w:val="es-CO"/>
        </w:rPr>
        <w:t xml:space="preserve">(Anexos). </w:t>
      </w:r>
    </w:p>
    <w:p w14:paraId="32545512" w14:textId="77777777" w:rsidR="00AB0097" w:rsidRPr="00A55A91" w:rsidRDefault="00AB0097" w:rsidP="009C66B4">
      <w:pPr>
        <w:tabs>
          <w:tab w:val="left" w:pos="360"/>
        </w:tabs>
        <w:spacing w:after="0" w:line="240" w:lineRule="auto"/>
        <w:jc w:val="both"/>
        <w:rPr>
          <w:rFonts w:ascii="Cambria" w:hAnsi="Cambria" w:cs="Calibri"/>
          <w:color w:val="000000"/>
          <w:sz w:val="20"/>
          <w:szCs w:val="20"/>
          <w:lang w:val="es-CO"/>
        </w:rPr>
      </w:pPr>
    </w:p>
    <w:p w14:paraId="178A0065" w14:textId="37DA473A" w:rsidR="009C66B4" w:rsidRPr="00A55A91" w:rsidRDefault="009C66B4" w:rsidP="008F573C">
      <w:pPr>
        <w:pStyle w:val="NormalWeb"/>
        <w:spacing w:before="0" w:beforeAutospacing="0" w:after="0" w:afterAutospacing="0"/>
        <w:ind w:firstLine="540"/>
        <w:jc w:val="both"/>
        <w:rPr>
          <w:rFonts w:ascii="Cambria" w:eastAsia="Times New Roman" w:hAnsi="Cambria"/>
          <w:sz w:val="20"/>
          <w:szCs w:val="20"/>
          <w:lang w:val="es-CO" w:eastAsia="ko-KR"/>
        </w:rPr>
      </w:pPr>
      <w:r w:rsidRPr="00A55A91">
        <w:rPr>
          <w:rFonts w:ascii="Cambria" w:hAnsi="Cambria"/>
          <w:sz w:val="20"/>
          <w:szCs w:val="20"/>
          <w:lang w:val="es-CO"/>
        </w:rPr>
        <w:t xml:space="preserve">Dicho Informe de Fondo fue notificado al Estado el </w:t>
      </w:r>
      <w:r w:rsidR="006557D1" w:rsidRPr="00A55A91">
        <w:rPr>
          <w:rFonts w:ascii="Cambria" w:hAnsi="Cambria" w:cs="Cambria"/>
          <w:sz w:val="20"/>
          <w:szCs w:val="20"/>
          <w:lang w:val="es-CO" w:eastAsia="zh-CN"/>
        </w:rPr>
        <w:t>18 septiembre de 2023</w:t>
      </w:r>
      <w:r w:rsidRPr="00A55A91">
        <w:rPr>
          <w:rFonts w:ascii="Cambria" w:hAnsi="Cambria"/>
          <w:sz w:val="20"/>
          <w:szCs w:val="20"/>
          <w:lang w:val="es-CO"/>
        </w:rPr>
        <w:t xml:space="preserve">, otorgándole un plazo de dos meses para informar sobre el cumplimiento de las recomendaciones realizadas por la Comisión. </w:t>
      </w:r>
      <w:r w:rsidRPr="00A55A91">
        <w:rPr>
          <w:rFonts w:ascii="Cambria" w:hAnsi="Cambria" w:cs="Calibri"/>
          <w:color w:val="000000"/>
          <w:sz w:val="20"/>
          <w:szCs w:val="20"/>
          <w:lang w:val="es-CO"/>
        </w:rPr>
        <w:t xml:space="preserve">Tras el otorgamiento de </w:t>
      </w:r>
      <w:r w:rsidR="00714A84">
        <w:rPr>
          <w:rFonts w:ascii="Cambria" w:hAnsi="Cambria" w:cs="Calibri"/>
          <w:color w:val="000000"/>
          <w:sz w:val="20"/>
          <w:szCs w:val="20"/>
          <w:lang w:val="es-CO"/>
        </w:rPr>
        <w:t>siete</w:t>
      </w:r>
      <w:r w:rsidRPr="00A55A91">
        <w:rPr>
          <w:rFonts w:ascii="Cambria" w:hAnsi="Cambria" w:cs="Calibri"/>
          <w:color w:val="000000"/>
          <w:sz w:val="20"/>
          <w:szCs w:val="20"/>
          <w:lang w:val="es-CO"/>
        </w:rPr>
        <w:t xml:space="preserve"> prórrogas, la Comisión notó que el Estado no brindó información sobre avances sustantivos en el cumplimiento de las recomendaciones</w:t>
      </w:r>
      <w:r w:rsidR="008C077A">
        <w:rPr>
          <w:rFonts w:ascii="Cambria" w:hAnsi="Cambria" w:cs="Calibri"/>
          <w:color w:val="000000"/>
          <w:sz w:val="20"/>
          <w:szCs w:val="20"/>
          <w:lang w:val="es-CO"/>
        </w:rPr>
        <w:t xml:space="preserve">, </w:t>
      </w:r>
      <w:r w:rsidRPr="00A55A91">
        <w:rPr>
          <w:rFonts w:ascii="Cambria" w:hAnsi="Cambria" w:cs="Calibri"/>
          <w:color w:val="000000"/>
          <w:sz w:val="20"/>
          <w:szCs w:val="20"/>
          <w:lang w:val="es-CO"/>
        </w:rPr>
        <w:t>que las partes no han llegado a un acuerdo de cumplimiento de tal forma que la</w:t>
      </w:r>
      <w:r w:rsidR="004F2FCC">
        <w:rPr>
          <w:rFonts w:ascii="Cambria" w:hAnsi="Cambria" w:cs="Calibri"/>
          <w:color w:val="000000"/>
          <w:sz w:val="20"/>
          <w:szCs w:val="20"/>
          <w:lang w:val="es-CO"/>
        </w:rPr>
        <w:t>s</w:t>
      </w:r>
      <w:r w:rsidRPr="00A55A91">
        <w:rPr>
          <w:rFonts w:ascii="Cambria" w:hAnsi="Cambria" w:cs="Calibri"/>
          <w:color w:val="000000"/>
          <w:sz w:val="20"/>
          <w:szCs w:val="20"/>
          <w:lang w:val="es-CO"/>
        </w:rPr>
        <w:t xml:space="preserve"> víctima</w:t>
      </w:r>
      <w:r w:rsidR="004F2FCC">
        <w:rPr>
          <w:rFonts w:ascii="Cambria" w:hAnsi="Cambria" w:cs="Calibri"/>
          <w:color w:val="000000"/>
          <w:sz w:val="20"/>
          <w:szCs w:val="20"/>
          <w:lang w:val="es-CO"/>
        </w:rPr>
        <w:t>s</w:t>
      </w:r>
      <w:r w:rsidRPr="00A55A91">
        <w:rPr>
          <w:rFonts w:ascii="Cambria" w:hAnsi="Cambria" w:cs="Calibri"/>
          <w:color w:val="000000"/>
          <w:sz w:val="20"/>
          <w:szCs w:val="20"/>
          <w:lang w:val="es-CO"/>
        </w:rPr>
        <w:t xml:space="preserve"> </w:t>
      </w:r>
      <w:r w:rsidR="002A4817">
        <w:rPr>
          <w:rFonts w:ascii="Cambria" w:hAnsi="Cambria" w:cs="Calibri"/>
          <w:color w:val="000000"/>
          <w:sz w:val="20"/>
          <w:szCs w:val="20"/>
          <w:lang w:val="es-CO"/>
        </w:rPr>
        <w:t xml:space="preserve">recibieran </w:t>
      </w:r>
      <w:r w:rsidR="00D8230C">
        <w:rPr>
          <w:rFonts w:ascii="Cambria" w:hAnsi="Cambria" w:cs="Calibri"/>
          <w:color w:val="000000"/>
          <w:sz w:val="20"/>
          <w:szCs w:val="20"/>
          <w:lang w:val="es-CO"/>
        </w:rPr>
        <w:t>una</w:t>
      </w:r>
      <w:r w:rsidRPr="00A55A91">
        <w:rPr>
          <w:rFonts w:ascii="Cambria" w:hAnsi="Cambria" w:cs="Calibri"/>
          <w:color w:val="000000"/>
          <w:sz w:val="20"/>
          <w:szCs w:val="20"/>
          <w:lang w:val="es-CO"/>
        </w:rPr>
        <w:t xml:space="preserve"> reparación</w:t>
      </w:r>
      <w:r w:rsidR="008C077A">
        <w:rPr>
          <w:rFonts w:ascii="Cambria" w:hAnsi="Cambria" w:cs="Calibri"/>
          <w:color w:val="000000"/>
          <w:sz w:val="20"/>
          <w:szCs w:val="20"/>
          <w:lang w:val="es-CO"/>
        </w:rPr>
        <w:t>, y que no resultaban cumplidos los requisitos establecidos en el artículo 46 del Reglamento para otorgar una nueva prórroga</w:t>
      </w:r>
      <w:r w:rsidRPr="00A55A91">
        <w:rPr>
          <w:rFonts w:ascii="Cambria" w:hAnsi="Cambria" w:cs="Calibri"/>
          <w:color w:val="000000"/>
          <w:sz w:val="20"/>
          <w:szCs w:val="20"/>
          <w:lang w:val="es-CO"/>
        </w:rPr>
        <w:t>. En consecuencia, ante la necesidad de justicia y reparación integral, la Comisión decidió enviar el caso a la jurisdicción de la Corte Interamericana.</w:t>
      </w:r>
      <w:r w:rsidRPr="00A55A91">
        <w:rPr>
          <w:rFonts w:ascii="Cambria" w:hAnsi="Cambria"/>
          <w:sz w:val="20"/>
          <w:szCs w:val="20"/>
          <w:lang w:val="es-CO"/>
        </w:rPr>
        <w:t xml:space="preserve"> </w:t>
      </w:r>
      <w:r w:rsidRPr="00714A84">
        <w:rPr>
          <w:rFonts w:ascii="Cambria" w:hAnsi="Cambria"/>
          <w:sz w:val="20"/>
          <w:szCs w:val="20"/>
          <w:lang w:val="es-CO"/>
        </w:rPr>
        <w:t>E</w:t>
      </w:r>
      <w:r w:rsidRPr="00714A84">
        <w:rPr>
          <w:rFonts w:ascii="Cambria" w:eastAsia="Times New Roman" w:hAnsi="Cambria"/>
          <w:sz w:val="20"/>
          <w:szCs w:val="20"/>
          <w:lang w:val="es-CO" w:eastAsia="ko-KR"/>
        </w:rPr>
        <w:t xml:space="preserve">n particular, la Comisión somete a la Honorable Corte los hechos que se encuentran en el marco temporal del caso a partir del </w:t>
      </w:r>
      <w:r w:rsidRPr="00714A84">
        <w:rPr>
          <w:rFonts w:ascii="Cambria" w:hAnsi="Cambria"/>
          <w:sz w:val="20"/>
          <w:szCs w:val="20"/>
          <w:lang w:val="es-CO"/>
        </w:rPr>
        <w:t>5 de septiembre de 1984</w:t>
      </w:r>
      <w:r w:rsidRPr="00714A84">
        <w:rPr>
          <w:rFonts w:ascii="Cambria" w:eastAsia="Times New Roman" w:hAnsi="Cambria"/>
          <w:sz w:val="20"/>
          <w:szCs w:val="20"/>
          <w:lang w:val="es-CO" w:eastAsia="ko-KR"/>
        </w:rPr>
        <w:t>, fecha en que el Estado aceptó su competencia contenciosa.</w:t>
      </w:r>
      <w:r w:rsidRPr="00A55A91">
        <w:rPr>
          <w:rFonts w:ascii="Cambria" w:eastAsia="Times New Roman" w:hAnsi="Cambria"/>
          <w:sz w:val="20"/>
          <w:szCs w:val="20"/>
          <w:lang w:val="es-CO" w:eastAsia="ko-KR"/>
        </w:rPr>
        <w:t xml:space="preserve"> </w:t>
      </w:r>
    </w:p>
    <w:p w14:paraId="3D165421" w14:textId="77777777" w:rsidR="00AB0097" w:rsidRPr="00417EF5" w:rsidRDefault="00AB0097" w:rsidP="00417EF5">
      <w:pPr>
        <w:pStyle w:val="NormalWeb"/>
        <w:spacing w:before="0" w:beforeAutospacing="0" w:after="0" w:afterAutospacing="0"/>
        <w:jc w:val="both"/>
        <w:rPr>
          <w:rFonts w:ascii="Cambria" w:eastAsia="Times New Roman" w:hAnsi="Cambria"/>
          <w:sz w:val="20"/>
          <w:szCs w:val="20"/>
          <w:lang w:val="es-CO" w:eastAsia="ko-KR"/>
        </w:rPr>
      </w:pPr>
    </w:p>
    <w:p w14:paraId="243DD21F" w14:textId="4AE37CDE" w:rsidR="009C66B4" w:rsidRPr="00A55A91" w:rsidRDefault="008F573C" w:rsidP="008F573C">
      <w:pPr>
        <w:tabs>
          <w:tab w:val="left" w:pos="540"/>
          <w:tab w:val="left" w:pos="1440"/>
        </w:tabs>
        <w:spacing w:after="0" w:line="240" w:lineRule="auto"/>
        <w:jc w:val="both"/>
        <w:rPr>
          <w:rFonts w:ascii="Cambria" w:hAnsi="Cambria"/>
          <w:sz w:val="20"/>
          <w:szCs w:val="20"/>
          <w:lang w:val="es-CO"/>
        </w:rPr>
      </w:pPr>
      <w:r>
        <w:rPr>
          <w:rFonts w:ascii="Cambria" w:eastAsiaTheme="minorHAnsi" w:hAnsi="Cambria"/>
          <w:sz w:val="20"/>
          <w:szCs w:val="20"/>
          <w:lang w:val="es-CO"/>
        </w:rPr>
        <w:tab/>
      </w:r>
      <w:r w:rsidR="009C66B4" w:rsidRPr="00A55A91">
        <w:rPr>
          <w:rFonts w:ascii="Cambria" w:eastAsiaTheme="minorHAnsi" w:hAnsi="Cambria"/>
          <w:sz w:val="20"/>
          <w:szCs w:val="20"/>
          <w:lang w:val="es-CO"/>
        </w:rPr>
        <w:t xml:space="preserve">En ese sentido, la Comisión solicita a la Honorable Corte que concluya y declare que </w:t>
      </w:r>
      <w:r w:rsidR="009C66B4" w:rsidRPr="00A55A91">
        <w:rPr>
          <w:rFonts w:ascii="Cambria" w:hAnsi="Cambria"/>
          <w:sz w:val="20"/>
          <w:szCs w:val="20"/>
          <w:lang w:val="es-CO"/>
        </w:rPr>
        <w:t xml:space="preserve">el Estado argentino </w:t>
      </w:r>
      <w:r w:rsidR="005B5678" w:rsidRPr="00A55A91">
        <w:rPr>
          <w:rFonts w:ascii="Cambria" w:eastAsiaTheme="minorHAnsi" w:hAnsi="Cambria" w:cs="Cambria"/>
          <w:color w:val="000000"/>
          <w:sz w:val="20"/>
          <w:szCs w:val="20"/>
          <w:lang w:val="es-CO"/>
          <w14:ligatures w14:val="standardContextual"/>
        </w:rPr>
        <w:t xml:space="preserve">que el Estado es responsable por la violación de los derechos </w:t>
      </w:r>
      <w:r w:rsidR="00411036" w:rsidRPr="00A55A91">
        <w:rPr>
          <w:rFonts w:ascii="Cambria" w:eastAsiaTheme="minorHAnsi" w:hAnsi="Cambria" w:cs="Cambria"/>
          <w:color w:val="000000"/>
          <w:sz w:val="20"/>
          <w:szCs w:val="20"/>
          <w:lang w:val="es-CO"/>
          <w14:ligatures w14:val="standardContextual"/>
        </w:rPr>
        <w:t xml:space="preserve">a la integridad personal, derechos </w:t>
      </w:r>
      <w:r w:rsidR="005B5678" w:rsidRPr="00A55A91">
        <w:rPr>
          <w:rFonts w:ascii="Cambria" w:eastAsiaTheme="minorHAnsi" w:hAnsi="Cambria" w:cs="Cambria"/>
          <w:color w:val="000000"/>
          <w:sz w:val="20"/>
          <w:szCs w:val="20"/>
          <w:lang w:val="es-CO"/>
          <w14:ligatures w14:val="standardContextual"/>
        </w:rPr>
        <w:t>del niño, a las garantía judicial</w:t>
      </w:r>
      <w:r w:rsidR="00411036" w:rsidRPr="00A55A91">
        <w:rPr>
          <w:rFonts w:ascii="Cambria" w:eastAsiaTheme="minorHAnsi" w:hAnsi="Cambria" w:cs="Cambria"/>
          <w:color w:val="000000"/>
          <w:sz w:val="20"/>
          <w:szCs w:val="20"/>
          <w:lang w:val="es-CO"/>
          <w14:ligatures w14:val="standardContextual"/>
        </w:rPr>
        <w:t xml:space="preserve"> y a la protección judicial</w:t>
      </w:r>
      <w:r w:rsidR="00CB02B3" w:rsidRPr="00A55A91">
        <w:rPr>
          <w:rFonts w:ascii="Cambria" w:eastAsiaTheme="minorHAnsi" w:hAnsi="Cambria" w:cs="Cambria"/>
          <w:color w:val="000000"/>
          <w:sz w:val="20"/>
          <w:szCs w:val="20"/>
          <w:lang w:val="es-CO"/>
          <w14:ligatures w14:val="standardContextual"/>
        </w:rPr>
        <w:t xml:space="preserve"> </w:t>
      </w:r>
      <w:r w:rsidR="005B5678" w:rsidRPr="00A55A91">
        <w:rPr>
          <w:rFonts w:ascii="Cambria" w:eastAsiaTheme="minorHAnsi" w:hAnsi="Cambria" w:cs="Cambria"/>
          <w:color w:val="000000"/>
          <w:sz w:val="20"/>
          <w:szCs w:val="20"/>
          <w:lang w:val="es-CO"/>
          <w14:ligatures w14:val="standardContextual"/>
        </w:rPr>
        <w:t xml:space="preserve">establecidos </w:t>
      </w:r>
      <w:r w:rsidR="004E6183" w:rsidRPr="00A55A91">
        <w:rPr>
          <w:rFonts w:ascii="Cambria" w:eastAsiaTheme="minorHAnsi" w:hAnsi="Cambria" w:cs="Cambria"/>
          <w:color w:val="000000"/>
          <w:sz w:val="20"/>
          <w:szCs w:val="20"/>
          <w:lang w:val="es-CO"/>
          <w14:ligatures w14:val="standardContextual"/>
        </w:rPr>
        <w:t xml:space="preserve">en los artículos 5.1 </w:t>
      </w:r>
      <w:r w:rsidR="00D15BB8" w:rsidRPr="00A55A91">
        <w:rPr>
          <w:rFonts w:ascii="Cambria" w:eastAsiaTheme="minorHAnsi" w:hAnsi="Cambria" w:cs="Cambria"/>
          <w:color w:val="000000"/>
          <w:sz w:val="20"/>
          <w:szCs w:val="20"/>
          <w:lang w:val="es-CO"/>
          <w14:ligatures w14:val="standardContextual"/>
        </w:rPr>
        <w:t>19, 8.1</w:t>
      </w:r>
      <w:r w:rsidR="004E6183" w:rsidRPr="00A55A91">
        <w:rPr>
          <w:rFonts w:ascii="Cambria" w:eastAsiaTheme="minorHAnsi" w:hAnsi="Cambria" w:cs="Cambria"/>
          <w:color w:val="000000"/>
          <w:sz w:val="20"/>
          <w:szCs w:val="20"/>
          <w:lang w:val="es-CO"/>
          <w14:ligatures w14:val="standardContextual"/>
        </w:rPr>
        <w:t xml:space="preserve"> y</w:t>
      </w:r>
      <w:r w:rsidR="00D15BB8" w:rsidRPr="00A55A91">
        <w:rPr>
          <w:rFonts w:ascii="Cambria" w:eastAsiaTheme="minorHAnsi" w:hAnsi="Cambria" w:cs="Cambria"/>
          <w:color w:val="000000"/>
          <w:sz w:val="20"/>
          <w:szCs w:val="20"/>
          <w:lang w:val="es-CO"/>
          <w14:ligatures w14:val="standardContextual"/>
        </w:rPr>
        <w:t xml:space="preserve"> 25.1</w:t>
      </w:r>
      <w:r w:rsidR="004E6183" w:rsidRPr="00A55A91">
        <w:rPr>
          <w:rFonts w:ascii="Cambria" w:eastAsiaTheme="minorHAnsi" w:hAnsi="Cambria" w:cs="Cambria"/>
          <w:color w:val="000000"/>
          <w:sz w:val="20"/>
          <w:szCs w:val="20"/>
          <w:lang w:val="es-CO"/>
          <w14:ligatures w14:val="standardContextual"/>
        </w:rPr>
        <w:t xml:space="preserve"> </w:t>
      </w:r>
      <w:r w:rsidR="005B5678" w:rsidRPr="00A55A91">
        <w:rPr>
          <w:rFonts w:ascii="Cambria" w:eastAsiaTheme="minorHAnsi" w:hAnsi="Cambria" w:cs="Cambria"/>
          <w:color w:val="000000"/>
          <w:sz w:val="20"/>
          <w:szCs w:val="20"/>
          <w:lang w:val="es-CO"/>
          <w14:ligatures w14:val="standardContextual"/>
        </w:rPr>
        <w:t>de la Convención Americana, en relación con las obligaciones establecidas en el artículo 1.1 del mismo instrumento, en perjuicio de Marcelo Fabián Nievas, Julio Roberto Nievas y Rosalía González de Nievas</w:t>
      </w:r>
      <w:r w:rsidR="009C66B4" w:rsidRPr="00A55A91">
        <w:rPr>
          <w:rFonts w:ascii="Cambria" w:hAnsi="Cambria"/>
          <w:sz w:val="20"/>
          <w:szCs w:val="20"/>
          <w:lang w:val="es-CO"/>
        </w:rPr>
        <w:t>.</w:t>
      </w:r>
    </w:p>
    <w:p w14:paraId="72B2C846" w14:textId="77777777" w:rsidR="009C66B4" w:rsidRPr="00A55A91" w:rsidRDefault="009C66B4" w:rsidP="009C66B4">
      <w:pPr>
        <w:tabs>
          <w:tab w:val="left" w:pos="360"/>
        </w:tabs>
        <w:autoSpaceDE w:val="0"/>
        <w:autoSpaceDN w:val="0"/>
        <w:adjustRightInd w:val="0"/>
        <w:spacing w:after="0" w:line="240" w:lineRule="auto"/>
        <w:jc w:val="both"/>
        <w:rPr>
          <w:rFonts w:ascii="Cambria" w:eastAsiaTheme="minorHAnsi" w:hAnsi="Cambria"/>
          <w:sz w:val="16"/>
          <w:szCs w:val="16"/>
          <w:lang w:val="es-CO"/>
        </w:rPr>
      </w:pPr>
    </w:p>
    <w:p w14:paraId="4FBA1D8A" w14:textId="067FD66B" w:rsidR="009C66B4" w:rsidRPr="00A55A91" w:rsidRDefault="008F573C" w:rsidP="008F573C">
      <w:pPr>
        <w:tabs>
          <w:tab w:val="left" w:pos="540"/>
        </w:tabs>
        <w:autoSpaceDE w:val="0"/>
        <w:autoSpaceDN w:val="0"/>
        <w:adjustRightInd w:val="0"/>
        <w:spacing w:after="0" w:line="240" w:lineRule="auto"/>
        <w:jc w:val="both"/>
        <w:rPr>
          <w:rFonts w:ascii="Cambria" w:eastAsiaTheme="minorHAnsi" w:hAnsi="Cambria"/>
          <w:sz w:val="20"/>
          <w:szCs w:val="20"/>
          <w:lang w:val="es-CO"/>
        </w:rPr>
      </w:pPr>
      <w:r>
        <w:rPr>
          <w:rFonts w:ascii="Cambria" w:eastAsiaTheme="minorHAnsi" w:hAnsi="Cambria"/>
          <w:sz w:val="20"/>
          <w:szCs w:val="20"/>
          <w:lang w:val="es-CO"/>
        </w:rPr>
        <w:tab/>
      </w:r>
      <w:r w:rsidR="009C66B4" w:rsidRPr="00A55A91">
        <w:rPr>
          <w:rFonts w:ascii="Cambria" w:eastAsiaTheme="minorHAnsi" w:hAnsi="Cambria"/>
          <w:sz w:val="20"/>
          <w:szCs w:val="20"/>
          <w:lang w:val="es-CO"/>
        </w:rPr>
        <w:t>En consecuencia, la Comisión solicita a la Corte Interamericana que establezca las siguientes medidas de reparación:</w:t>
      </w:r>
    </w:p>
    <w:p w14:paraId="320C1791" w14:textId="77777777" w:rsidR="009C66B4" w:rsidRPr="00A55A91" w:rsidRDefault="009C66B4" w:rsidP="009C66B4">
      <w:pPr>
        <w:pBdr>
          <w:top w:val="nil"/>
          <w:left w:val="nil"/>
          <w:bottom w:val="nil"/>
          <w:right w:val="nil"/>
          <w:between w:val="nil"/>
          <w:bar w:val="nil"/>
        </w:pBdr>
        <w:spacing w:after="0" w:line="240" w:lineRule="auto"/>
        <w:ind w:right="20"/>
        <w:jc w:val="both"/>
        <w:rPr>
          <w:rFonts w:ascii="Cambria" w:hAnsi="Cambria"/>
          <w:sz w:val="20"/>
          <w:szCs w:val="20"/>
          <w:lang w:val="es-CO"/>
        </w:rPr>
      </w:pPr>
    </w:p>
    <w:p w14:paraId="78D11BC1" w14:textId="5298B383" w:rsidR="009C66B4" w:rsidRPr="00A55A91" w:rsidRDefault="00F60810" w:rsidP="00FE051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sz w:val="20"/>
          <w:szCs w:val="20"/>
          <w:lang w:val="es-CO"/>
        </w:rPr>
      </w:pPr>
      <w:r w:rsidRPr="00A55A91">
        <w:rPr>
          <w:rFonts w:ascii="Cambria" w:hAnsi="Cambria"/>
          <w:sz w:val="20"/>
          <w:szCs w:val="20"/>
          <w:lang w:val="es-CO"/>
        </w:rPr>
        <w:t>Reparar integralmente las violaciones de derechos humanos declaradas en el presente informe tanto en el aspecto material como inmaterial. El Estado deberá adoptar las medidas de compensación económica y satisfacción a favor de los familiares de la víctima, identificados en el presente informe.</w:t>
      </w:r>
    </w:p>
    <w:p w14:paraId="0F83E945" w14:textId="77777777" w:rsidR="00F60810" w:rsidRPr="00A55A91" w:rsidRDefault="00F60810" w:rsidP="00FE051E">
      <w:pPr>
        <w:pStyle w:val="ListParagraph"/>
        <w:pBdr>
          <w:top w:val="nil"/>
          <w:left w:val="nil"/>
          <w:bottom w:val="nil"/>
          <w:right w:val="nil"/>
          <w:between w:val="nil"/>
          <w:bar w:val="nil"/>
        </w:pBdr>
        <w:spacing w:after="0" w:line="240" w:lineRule="auto"/>
        <w:ind w:right="20"/>
        <w:contextualSpacing w:val="0"/>
        <w:jc w:val="both"/>
        <w:rPr>
          <w:rFonts w:ascii="Cambria" w:hAnsi="Cambria"/>
          <w:sz w:val="20"/>
          <w:szCs w:val="20"/>
          <w:lang w:val="es-CO"/>
        </w:rPr>
      </w:pPr>
    </w:p>
    <w:p w14:paraId="1719EAC0" w14:textId="584F7501" w:rsidR="00FE051E" w:rsidRPr="00A55A91" w:rsidRDefault="00F60810" w:rsidP="00FE051E">
      <w:pPr>
        <w:pStyle w:val="ListParagraph"/>
        <w:numPr>
          <w:ilvl w:val="0"/>
          <w:numId w:val="1"/>
        </w:numPr>
        <w:spacing w:after="0" w:line="240" w:lineRule="auto"/>
        <w:contextualSpacing w:val="0"/>
        <w:jc w:val="both"/>
        <w:rPr>
          <w:rFonts w:ascii="Cambria" w:hAnsi="Cambria"/>
          <w:sz w:val="20"/>
          <w:szCs w:val="20"/>
          <w:lang w:val="es-CO"/>
        </w:rPr>
      </w:pPr>
      <w:r w:rsidRPr="00A55A91">
        <w:rPr>
          <w:rFonts w:ascii="Cambria" w:hAnsi="Cambria"/>
          <w:sz w:val="20"/>
          <w:szCs w:val="20"/>
          <w:lang w:val="es-CO"/>
        </w:rPr>
        <w:t>Disponer las medidas de atención en salud mental que Julio Roberto Nievas y Rosalía González de Nievas requieran, de ser su voluntad y de manera concertada.</w:t>
      </w:r>
    </w:p>
    <w:p w14:paraId="7B489C79" w14:textId="77777777" w:rsidR="00FE051E" w:rsidRPr="00A55A91" w:rsidRDefault="00FE051E" w:rsidP="00FE051E">
      <w:pPr>
        <w:pStyle w:val="ListParagraph"/>
        <w:spacing w:after="0" w:line="240" w:lineRule="auto"/>
        <w:contextualSpacing w:val="0"/>
        <w:jc w:val="both"/>
        <w:rPr>
          <w:rFonts w:ascii="Cambria" w:hAnsi="Cambria"/>
          <w:sz w:val="20"/>
          <w:szCs w:val="20"/>
          <w:lang w:val="es-CO"/>
        </w:rPr>
      </w:pPr>
    </w:p>
    <w:p w14:paraId="694A0E27" w14:textId="336D2148" w:rsidR="009C66B4" w:rsidRPr="00A55A91" w:rsidRDefault="00FE051E" w:rsidP="00FE051E">
      <w:pPr>
        <w:pStyle w:val="ListParagraph"/>
        <w:numPr>
          <w:ilvl w:val="0"/>
          <w:numId w:val="1"/>
        </w:numPr>
        <w:spacing w:after="0" w:line="240" w:lineRule="auto"/>
        <w:contextualSpacing w:val="0"/>
        <w:jc w:val="both"/>
        <w:rPr>
          <w:rFonts w:ascii="Cambria" w:hAnsi="Cambria"/>
          <w:sz w:val="20"/>
          <w:szCs w:val="20"/>
          <w:lang w:val="es-CO"/>
        </w:rPr>
      </w:pPr>
      <w:r w:rsidRPr="00A55A91">
        <w:rPr>
          <w:rFonts w:ascii="Cambria" w:hAnsi="Cambria"/>
          <w:sz w:val="20"/>
          <w:szCs w:val="20"/>
          <w:lang w:val="es-CO"/>
        </w:rPr>
        <w:t xml:space="preserve">Disponer las medidas de necesarias para investigar los hechos vinculados al disparo de arma de fuego y al robo sufridos por la presunta víctima, y de ser el caso, sancionar a los responsables materiales e intelectuales. </w:t>
      </w:r>
    </w:p>
    <w:p w14:paraId="6666E53D" w14:textId="77777777" w:rsidR="00670E74" w:rsidRDefault="00670E74" w:rsidP="00670E74">
      <w:pPr>
        <w:spacing w:after="0" w:line="240" w:lineRule="auto"/>
        <w:jc w:val="both"/>
        <w:rPr>
          <w:rFonts w:ascii="Cambria" w:hAnsi="Cambria"/>
          <w:sz w:val="20"/>
          <w:szCs w:val="20"/>
          <w:lang w:val="es-CO"/>
        </w:rPr>
      </w:pPr>
    </w:p>
    <w:p w14:paraId="5AF38837" w14:textId="77777777" w:rsidR="00417EF5" w:rsidRDefault="00417EF5" w:rsidP="00670E74">
      <w:pPr>
        <w:spacing w:after="0" w:line="240" w:lineRule="auto"/>
        <w:jc w:val="both"/>
        <w:rPr>
          <w:rFonts w:ascii="Cambria" w:hAnsi="Cambria"/>
          <w:sz w:val="20"/>
          <w:szCs w:val="20"/>
          <w:lang w:val="es-CO"/>
        </w:rPr>
      </w:pPr>
    </w:p>
    <w:p w14:paraId="434465C6" w14:textId="77777777" w:rsidR="00417EF5" w:rsidRPr="00A55A91" w:rsidRDefault="00417EF5" w:rsidP="00670E74">
      <w:pPr>
        <w:spacing w:after="0" w:line="240" w:lineRule="auto"/>
        <w:jc w:val="both"/>
        <w:rPr>
          <w:rFonts w:ascii="Cambria" w:hAnsi="Cambria"/>
          <w:sz w:val="20"/>
          <w:szCs w:val="20"/>
          <w:lang w:val="es-CO"/>
        </w:rPr>
      </w:pPr>
    </w:p>
    <w:p w14:paraId="6CE909B5" w14:textId="60507D2A" w:rsidR="00CB7750" w:rsidRPr="008F573C" w:rsidRDefault="008F573C" w:rsidP="008F573C">
      <w:pPr>
        <w:pStyle w:val="Default"/>
        <w:tabs>
          <w:tab w:val="left" w:pos="540"/>
        </w:tabs>
        <w:jc w:val="both"/>
        <w:rPr>
          <w:sz w:val="20"/>
          <w:szCs w:val="20"/>
          <w:lang w:val="es-CO"/>
        </w:rPr>
      </w:pPr>
      <w:r w:rsidRPr="008F573C">
        <w:rPr>
          <w:sz w:val="20"/>
          <w:szCs w:val="20"/>
          <w:lang w:val="es-CO"/>
        </w:rPr>
        <w:tab/>
      </w:r>
      <w:r w:rsidR="009C66B4" w:rsidRPr="008F573C">
        <w:rPr>
          <w:sz w:val="20"/>
          <w:szCs w:val="20"/>
          <w:lang w:val="es-CO"/>
        </w:rPr>
        <w:t xml:space="preserve">Además de la necesidad de obtención de justicia y reparación integral, la Comisión considera que el caso presenta cuestiones de orden público interamericano. El mismo permitirá a la Honorable Corte continuar profundizando </w:t>
      </w:r>
      <w:r w:rsidR="009C66B4" w:rsidRPr="008F573C">
        <w:rPr>
          <w:rFonts w:eastAsia="Cambria"/>
          <w:sz w:val="20"/>
          <w:szCs w:val="20"/>
          <w:lang w:val="es-CO"/>
        </w:rPr>
        <w:t xml:space="preserve">su jurisprudencia </w:t>
      </w:r>
      <w:r w:rsidR="00CB7750" w:rsidRPr="008F573C">
        <w:rPr>
          <w:sz w:val="20"/>
          <w:szCs w:val="20"/>
          <w:lang w:val="es-CO"/>
        </w:rPr>
        <w:t>sobre la obligación de los Estados de</w:t>
      </w:r>
      <w:r w:rsidR="005620B0" w:rsidRPr="008F573C">
        <w:rPr>
          <w:sz w:val="20"/>
          <w:szCs w:val="20"/>
          <w:lang w:val="es-CO"/>
        </w:rPr>
        <w:t xml:space="preserve"> investigar y sancionar toda violación de los derechos reconocidos por la Convención,</w:t>
      </w:r>
      <w:r w:rsidR="00CB7750" w:rsidRPr="008F573C">
        <w:rPr>
          <w:sz w:val="20"/>
          <w:szCs w:val="20"/>
          <w:lang w:val="es-CO"/>
        </w:rPr>
        <w:t xml:space="preserve"> facilita</w:t>
      </w:r>
      <w:r w:rsidR="005620B0" w:rsidRPr="008F573C">
        <w:rPr>
          <w:sz w:val="20"/>
          <w:szCs w:val="20"/>
          <w:lang w:val="es-CO"/>
        </w:rPr>
        <w:t xml:space="preserve">ndo </w:t>
      </w:r>
      <w:r w:rsidR="00CB7750" w:rsidRPr="008F573C">
        <w:rPr>
          <w:sz w:val="20"/>
          <w:szCs w:val="20"/>
          <w:lang w:val="es-CO"/>
        </w:rPr>
        <w:t>el acceso a recursos judiciales idóneos y efectivos.</w:t>
      </w:r>
      <w:r w:rsidR="00541A67" w:rsidRPr="008F573C">
        <w:rPr>
          <w:sz w:val="20"/>
          <w:szCs w:val="20"/>
          <w:lang w:val="es-CO"/>
        </w:rPr>
        <w:t xml:space="preserve"> En particular, </w:t>
      </w:r>
      <w:r w:rsidR="00CB7750" w:rsidRPr="008F573C">
        <w:rPr>
          <w:sz w:val="20"/>
          <w:szCs w:val="20"/>
          <w:lang w:val="es-CO"/>
          <w14:ligatures w14:val="standardContextual"/>
        </w:rPr>
        <w:t>la Corte podrá referirse a l</w:t>
      </w:r>
      <w:r w:rsidR="00541A67" w:rsidRPr="008F573C">
        <w:rPr>
          <w:sz w:val="20"/>
          <w:szCs w:val="20"/>
          <w:lang w:val="es-CO"/>
          <w14:ligatures w14:val="standardContextual"/>
        </w:rPr>
        <w:t>a</w:t>
      </w:r>
      <w:r w:rsidR="00CB7750" w:rsidRPr="008F573C">
        <w:rPr>
          <w:sz w:val="20"/>
          <w:szCs w:val="20"/>
          <w:lang w:val="es-CO"/>
          <w14:ligatures w14:val="standardContextual"/>
        </w:rPr>
        <w:t xml:space="preserve">s </w:t>
      </w:r>
      <w:r w:rsidR="00541A67" w:rsidRPr="008F573C">
        <w:rPr>
          <w:sz w:val="20"/>
          <w:szCs w:val="20"/>
          <w:lang w:val="es-CO"/>
          <w14:ligatures w14:val="standardContextual"/>
        </w:rPr>
        <w:t xml:space="preserve">medidas que deben tomar los Estados para </w:t>
      </w:r>
      <w:r w:rsidR="00462A04" w:rsidRPr="008F573C">
        <w:rPr>
          <w:sz w:val="20"/>
          <w:szCs w:val="20"/>
          <w:lang w:val="es-CO"/>
          <w14:ligatures w14:val="standardContextual"/>
        </w:rPr>
        <w:t>para garantizar el acceso</w:t>
      </w:r>
      <w:r w:rsidR="008E4AB6" w:rsidRPr="008F573C">
        <w:rPr>
          <w:sz w:val="20"/>
          <w:szCs w:val="20"/>
          <w:lang w:val="es-CO"/>
          <w14:ligatures w14:val="standardContextual"/>
        </w:rPr>
        <w:t xml:space="preserve"> a la justicia y los derechos procesales ante violaciones cometidas contra niños, niñas y adolescentes teniendo en </w:t>
      </w:r>
      <w:r w:rsidR="004A302D" w:rsidRPr="008F573C">
        <w:rPr>
          <w:sz w:val="20"/>
          <w:szCs w:val="20"/>
          <w:lang w:val="es-CO"/>
          <w14:ligatures w14:val="standardContextual"/>
        </w:rPr>
        <w:t>consideración su condición de vulnerabilidad.</w:t>
      </w:r>
    </w:p>
    <w:p w14:paraId="0373873C" w14:textId="77777777" w:rsidR="009C66B4" w:rsidRPr="008F573C" w:rsidRDefault="009C66B4" w:rsidP="009C66B4">
      <w:pPr>
        <w:autoSpaceDE w:val="0"/>
        <w:autoSpaceDN w:val="0"/>
        <w:adjustRightInd w:val="0"/>
        <w:spacing w:after="0" w:line="240" w:lineRule="auto"/>
        <w:jc w:val="both"/>
        <w:rPr>
          <w:rFonts w:ascii="Cambria" w:eastAsiaTheme="minorHAnsi" w:hAnsi="Cambria"/>
          <w:sz w:val="20"/>
          <w:szCs w:val="20"/>
          <w:lang w:val="es-CO"/>
        </w:rPr>
      </w:pPr>
    </w:p>
    <w:p w14:paraId="0217C019" w14:textId="4335F5E2" w:rsidR="009C66B4" w:rsidRPr="008F573C" w:rsidRDefault="009C66B4" w:rsidP="008F573C">
      <w:pPr>
        <w:tabs>
          <w:tab w:val="left" w:pos="540"/>
        </w:tabs>
        <w:autoSpaceDE w:val="0"/>
        <w:autoSpaceDN w:val="0"/>
        <w:adjustRightInd w:val="0"/>
        <w:spacing w:after="0" w:line="240" w:lineRule="auto"/>
        <w:jc w:val="both"/>
        <w:rPr>
          <w:rFonts w:ascii="Cambria" w:eastAsiaTheme="minorHAnsi" w:hAnsi="Cambria"/>
          <w:sz w:val="20"/>
          <w:szCs w:val="20"/>
          <w:lang w:val="es-CO"/>
        </w:rPr>
      </w:pPr>
      <w:r w:rsidRPr="008F573C">
        <w:rPr>
          <w:rFonts w:ascii="Cambria" w:eastAsiaTheme="minorHAnsi" w:hAnsi="Cambria"/>
          <w:sz w:val="20"/>
          <w:szCs w:val="20"/>
          <w:lang w:val="es-CO"/>
        </w:rPr>
        <w:tab/>
        <w:t>La Comisión pone en conocimiento de la Honorable Corte la siguiente información de quien</w:t>
      </w:r>
      <w:r w:rsidR="008F573C">
        <w:rPr>
          <w:rFonts w:ascii="Cambria" w:eastAsiaTheme="minorHAnsi" w:hAnsi="Cambria"/>
          <w:sz w:val="20"/>
          <w:szCs w:val="20"/>
          <w:lang w:val="es-CO"/>
        </w:rPr>
        <w:t>es</w:t>
      </w:r>
      <w:r w:rsidRPr="008F573C">
        <w:rPr>
          <w:rFonts w:ascii="Cambria" w:eastAsiaTheme="minorHAnsi" w:hAnsi="Cambria"/>
          <w:sz w:val="20"/>
          <w:szCs w:val="20"/>
          <w:lang w:val="es-CO"/>
        </w:rPr>
        <w:t xml:space="preserve"> actúa</w:t>
      </w:r>
      <w:r w:rsidR="008F573C">
        <w:rPr>
          <w:rFonts w:ascii="Cambria" w:eastAsiaTheme="minorHAnsi" w:hAnsi="Cambria"/>
          <w:sz w:val="20"/>
          <w:szCs w:val="20"/>
          <w:lang w:val="es-CO"/>
        </w:rPr>
        <w:t>n</w:t>
      </w:r>
      <w:r w:rsidRPr="008F573C">
        <w:rPr>
          <w:rFonts w:ascii="Cambria" w:eastAsiaTheme="minorHAnsi" w:hAnsi="Cambria"/>
          <w:sz w:val="20"/>
          <w:szCs w:val="20"/>
          <w:lang w:val="es-CO"/>
        </w:rPr>
        <w:t xml:space="preserve"> como parte peticionaria en el trámite ante la CIDH conforme a la información más reciente:</w:t>
      </w:r>
    </w:p>
    <w:p w14:paraId="3B21C135" w14:textId="77777777" w:rsidR="009C66B4" w:rsidRPr="008F573C" w:rsidRDefault="009C66B4" w:rsidP="009C66B4">
      <w:pPr>
        <w:autoSpaceDE w:val="0"/>
        <w:autoSpaceDN w:val="0"/>
        <w:adjustRightInd w:val="0"/>
        <w:spacing w:after="0" w:line="240" w:lineRule="auto"/>
        <w:jc w:val="both"/>
        <w:rPr>
          <w:rFonts w:ascii="Cambria" w:eastAsiaTheme="minorHAnsi" w:hAnsi="Cambria"/>
          <w:sz w:val="10"/>
          <w:szCs w:val="10"/>
          <w:lang w:val="es-CO"/>
        </w:rPr>
      </w:pPr>
    </w:p>
    <w:p w14:paraId="0ED211B4" w14:textId="77777777" w:rsidR="008F573C" w:rsidRPr="008F573C" w:rsidRDefault="008F573C" w:rsidP="008F573C">
      <w:pPr>
        <w:tabs>
          <w:tab w:val="left" w:pos="3926"/>
        </w:tabs>
        <w:spacing w:after="0" w:line="240" w:lineRule="auto"/>
        <w:jc w:val="center"/>
        <w:rPr>
          <w:rFonts w:ascii="Cambria" w:hAnsi="Cambria"/>
          <w:sz w:val="20"/>
          <w:szCs w:val="20"/>
          <w:lang w:val="es-US"/>
        </w:rPr>
      </w:pPr>
      <w:r w:rsidRPr="008F573C">
        <w:rPr>
          <w:rFonts w:ascii="Cambria" w:hAnsi="Cambria"/>
          <w:sz w:val="20"/>
          <w:szCs w:val="20"/>
          <w:lang w:val="es-US"/>
        </w:rPr>
        <w:t>Hugo Adolfo Prieto, Julio Roberto Nievas y</w:t>
      </w:r>
    </w:p>
    <w:p w14:paraId="2BFDE0D6" w14:textId="77777777" w:rsidR="008F573C" w:rsidRPr="008F573C" w:rsidRDefault="008F573C" w:rsidP="008F573C">
      <w:pPr>
        <w:tabs>
          <w:tab w:val="left" w:pos="3926"/>
        </w:tabs>
        <w:spacing w:after="0" w:line="240" w:lineRule="auto"/>
        <w:jc w:val="center"/>
        <w:rPr>
          <w:rFonts w:ascii="Cambria" w:hAnsi="Cambria"/>
          <w:sz w:val="20"/>
          <w:szCs w:val="20"/>
          <w:lang w:val="es-US"/>
        </w:rPr>
      </w:pPr>
      <w:r w:rsidRPr="008F573C">
        <w:rPr>
          <w:rFonts w:ascii="Cambria" w:hAnsi="Cambria"/>
          <w:sz w:val="20"/>
          <w:szCs w:val="20"/>
          <w:lang w:val="es-US"/>
        </w:rPr>
        <w:t>Rosalía González de Nievas</w:t>
      </w:r>
    </w:p>
    <w:p w14:paraId="1DD07516" w14:textId="285E1398" w:rsidR="008F573C" w:rsidRPr="00082CE4" w:rsidRDefault="00082CE4" w:rsidP="008F573C">
      <w:pPr>
        <w:tabs>
          <w:tab w:val="left" w:pos="513"/>
        </w:tabs>
        <w:autoSpaceDE w:val="0"/>
        <w:autoSpaceDN w:val="0"/>
        <w:adjustRightInd w:val="0"/>
        <w:spacing w:after="0" w:line="240" w:lineRule="auto"/>
        <w:jc w:val="center"/>
        <w:rPr>
          <w:rFonts w:ascii="Cambria" w:eastAsiaTheme="minorHAnsi" w:hAnsi="Cambria"/>
          <w:sz w:val="20"/>
          <w:szCs w:val="20"/>
          <w:highlight w:val="black"/>
          <w:lang w:val="es-US"/>
        </w:rPr>
      </w:pPr>
      <w:r w:rsidRPr="00082CE4">
        <w:rPr>
          <w:rFonts w:ascii="Cambria" w:eastAsiaTheme="minorHAnsi" w:hAnsi="Cambria"/>
          <w:sz w:val="20"/>
          <w:szCs w:val="20"/>
          <w:highlight w:val="black"/>
          <w:lang w:val="es-US"/>
        </w:rPr>
        <w:t>XXXXXXXXXXXXXXXXXXXXXX</w:t>
      </w:r>
    </w:p>
    <w:p w14:paraId="0D522016" w14:textId="77777777" w:rsidR="008F573C" w:rsidRPr="008F573C" w:rsidRDefault="008F573C" w:rsidP="008F573C">
      <w:pPr>
        <w:tabs>
          <w:tab w:val="left" w:pos="513"/>
        </w:tabs>
        <w:autoSpaceDE w:val="0"/>
        <w:autoSpaceDN w:val="0"/>
        <w:adjustRightInd w:val="0"/>
        <w:spacing w:after="0" w:line="240" w:lineRule="auto"/>
        <w:rPr>
          <w:rFonts w:ascii="Cambria" w:eastAsiaTheme="minorHAnsi" w:hAnsi="Cambria"/>
          <w:sz w:val="20"/>
          <w:szCs w:val="20"/>
          <w:lang w:val="es-CO"/>
        </w:rPr>
      </w:pPr>
    </w:p>
    <w:p w14:paraId="18FDF283" w14:textId="76EDD9FB" w:rsidR="009C66B4" w:rsidRPr="008F573C" w:rsidRDefault="009C66B4" w:rsidP="008F573C">
      <w:pPr>
        <w:tabs>
          <w:tab w:val="left" w:pos="513"/>
        </w:tabs>
        <w:autoSpaceDE w:val="0"/>
        <w:autoSpaceDN w:val="0"/>
        <w:adjustRightInd w:val="0"/>
        <w:spacing w:after="0" w:line="240" w:lineRule="auto"/>
        <w:rPr>
          <w:rFonts w:ascii="Cambria" w:eastAsiaTheme="minorHAnsi" w:hAnsi="Cambria"/>
          <w:sz w:val="20"/>
          <w:szCs w:val="20"/>
          <w:lang w:val="es-CO"/>
        </w:rPr>
      </w:pPr>
      <w:r w:rsidRPr="008F573C">
        <w:rPr>
          <w:rFonts w:ascii="Cambria" w:eastAsiaTheme="minorHAnsi" w:hAnsi="Cambria"/>
          <w:sz w:val="20"/>
          <w:szCs w:val="20"/>
          <w:lang w:val="es-CO"/>
        </w:rPr>
        <w:tab/>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2E9FF4B8" w14:textId="77777777" w:rsidR="00417EF5" w:rsidRPr="009469F5" w:rsidRDefault="00417EF5" w:rsidP="00417EF5">
      <w:pPr>
        <w:tabs>
          <w:tab w:val="left" w:pos="3926"/>
        </w:tabs>
        <w:spacing w:after="0" w:line="240" w:lineRule="auto"/>
        <w:rPr>
          <w:rFonts w:ascii="Cambria" w:hAnsi="Cambria"/>
          <w:sz w:val="20"/>
          <w:szCs w:val="20"/>
          <w:lang w:val="es-CO"/>
        </w:rPr>
      </w:pPr>
      <w:bookmarkStart w:id="11" w:name="_Hlk194568905"/>
    </w:p>
    <w:p w14:paraId="3AA2BE60" w14:textId="58FB73FA" w:rsidR="008F573C" w:rsidRPr="009469F5" w:rsidRDefault="008F573C" w:rsidP="00417EF5">
      <w:pPr>
        <w:tabs>
          <w:tab w:val="left" w:pos="3926"/>
        </w:tabs>
        <w:spacing w:after="0" w:line="240" w:lineRule="auto"/>
        <w:rPr>
          <w:rFonts w:ascii="Cambria" w:hAnsi="Cambria"/>
          <w:sz w:val="20"/>
          <w:szCs w:val="20"/>
          <w:lang w:val="es-CO"/>
        </w:rPr>
      </w:pPr>
    </w:p>
    <w:p w14:paraId="106E2CC3" w14:textId="77777777" w:rsidR="008F573C" w:rsidRPr="009469F5" w:rsidRDefault="008F573C" w:rsidP="008F573C">
      <w:pPr>
        <w:tabs>
          <w:tab w:val="center" w:pos="5040"/>
        </w:tabs>
        <w:spacing w:after="0" w:line="240" w:lineRule="auto"/>
        <w:jc w:val="center"/>
        <w:rPr>
          <w:rFonts w:ascii="Cambria" w:hAnsi="Cambria"/>
          <w:sz w:val="20"/>
          <w:szCs w:val="20"/>
          <w:lang w:val="es-CO"/>
        </w:rPr>
      </w:pPr>
    </w:p>
    <w:p w14:paraId="76DE524B" w14:textId="77777777" w:rsidR="00417EF5" w:rsidRPr="009469F5" w:rsidRDefault="00417EF5" w:rsidP="008F573C">
      <w:pPr>
        <w:tabs>
          <w:tab w:val="center" w:pos="5040"/>
        </w:tabs>
        <w:spacing w:after="0" w:line="240" w:lineRule="auto"/>
        <w:jc w:val="center"/>
        <w:rPr>
          <w:rFonts w:ascii="Cambria" w:hAnsi="Cambria"/>
          <w:sz w:val="20"/>
          <w:szCs w:val="20"/>
          <w:lang w:val="es-CO"/>
        </w:rPr>
      </w:pPr>
    </w:p>
    <w:p w14:paraId="1F37C78E" w14:textId="77777777" w:rsidR="00417EF5" w:rsidRPr="009469F5" w:rsidRDefault="00417EF5" w:rsidP="008F573C">
      <w:pPr>
        <w:tabs>
          <w:tab w:val="center" w:pos="5040"/>
        </w:tabs>
        <w:spacing w:after="0" w:line="240" w:lineRule="auto"/>
        <w:jc w:val="center"/>
        <w:rPr>
          <w:rFonts w:ascii="Cambria" w:hAnsi="Cambria"/>
          <w:sz w:val="20"/>
          <w:szCs w:val="20"/>
          <w:lang w:val="es-CO"/>
        </w:rPr>
      </w:pPr>
    </w:p>
    <w:p w14:paraId="6DB7FE0B" w14:textId="77777777" w:rsidR="008F573C" w:rsidRPr="008F573C" w:rsidRDefault="008F573C" w:rsidP="008F573C">
      <w:pPr>
        <w:spacing w:after="0" w:line="240" w:lineRule="auto"/>
        <w:jc w:val="center"/>
        <w:rPr>
          <w:rFonts w:ascii="Cambria" w:hAnsi="Cambria"/>
          <w:sz w:val="20"/>
          <w:szCs w:val="20"/>
          <w:lang w:val="pt-BR"/>
        </w:rPr>
      </w:pPr>
      <w:r w:rsidRPr="008F573C">
        <w:rPr>
          <w:rFonts w:ascii="Cambria" w:hAnsi="Cambria"/>
          <w:sz w:val="20"/>
          <w:szCs w:val="20"/>
          <w:lang w:val="pt-BR"/>
        </w:rPr>
        <w:t>Jorge Meza Flores</w:t>
      </w:r>
    </w:p>
    <w:p w14:paraId="4699D798" w14:textId="77777777" w:rsidR="008F573C" w:rsidRPr="008F573C" w:rsidRDefault="008F573C" w:rsidP="008F573C">
      <w:pPr>
        <w:spacing w:after="0" w:line="240" w:lineRule="auto"/>
        <w:jc w:val="center"/>
        <w:rPr>
          <w:rFonts w:ascii="Cambria" w:hAnsi="Cambria"/>
          <w:sz w:val="20"/>
          <w:szCs w:val="20"/>
          <w:lang w:val="pt-BR"/>
        </w:rPr>
      </w:pPr>
      <w:r w:rsidRPr="008F573C">
        <w:rPr>
          <w:rFonts w:ascii="Cambria" w:hAnsi="Cambria"/>
          <w:sz w:val="20"/>
          <w:szCs w:val="20"/>
          <w:lang w:val="pt-BR"/>
        </w:rPr>
        <w:t>Secretario Ejecutivo Adjunto</w:t>
      </w:r>
    </w:p>
    <w:p w14:paraId="16F0B5C4" w14:textId="77777777" w:rsidR="008F573C" w:rsidRPr="008F573C" w:rsidRDefault="008F573C" w:rsidP="008F573C">
      <w:pPr>
        <w:spacing w:after="0" w:line="240" w:lineRule="auto"/>
        <w:rPr>
          <w:rFonts w:ascii="Cambria" w:hAnsi="Cambria"/>
          <w:sz w:val="20"/>
          <w:szCs w:val="20"/>
          <w:lang w:val="pt-BR"/>
        </w:rPr>
      </w:pPr>
    </w:p>
    <w:p w14:paraId="2B79E7FC" w14:textId="77777777" w:rsidR="008F573C" w:rsidRPr="008F573C" w:rsidRDefault="008F573C" w:rsidP="008F573C">
      <w:pPr>
        <w:spacing w:after="0" w:line="240" w:lineRule="auto"/>
        <w:rPr>
          <w:rFonts w:ascii="Cambria" w:hAnsi="Cambria"/>
          <w:sz w:val="20"/>
          <w:szCs w:val="20"/>
          <w:lang w:val="pt-BR"/>
        </w:rPr>
      </w:pPr>
    </w:p>
    <w:bookmarkEnd w:id="11"/>
    <w:p w14:paraId="1D1B0279" w14:textId="4F7DE966" w:rsidR="007E7905" w:rsidRPr="00A55A91" w:rsidRDefault="009C66B4" w:rsidP="008F573C">
      <w:pPr>
        <w:spacing w:after="0" w:line="240" w:lineRule="auto"/>
        <w:jc w:val="both"/>
        <w:rPr>
          <w:lang w:val="es-CO"/>
        </w:rPr>
      </w:pPr>
      <w:r w:rsidRPr="008F573C">
        <w:rPr>
          <w:rFonts w:ascii="Cambria" w:hAnsi="Cambria" w:cs="Calibri"/>
          <w:sz w:val="20"/>
          <w:szCs w:val="20"/>
          <w:lang w:val="es-CO"/>
        </w:rPr>
        <w:t>Anexo</w:t>
      </w:r>
      <w:bookmarkEnd w:id="1"/>
      <w:bookmarkEnd w:id="2"/>
      <w:bookmarkEnd w:id="3"/>
      <w:bookmarkEnd w:id="4"/>
      <w:bookmarkEnd w:id="5"/>
      <w:bookmarkEnd w:id="6"/>
      <w:bookmarkEnd w:id="7"/>
      <w:bookmarkEnd w:id="8"/>
      <w:bookmarkEnd w:id="9"/>
      <w:bookmarkEnd w:id="10"/>
    </w:p>
    <w:sectPr w:rsidR="007E7905" w:rsidRPr="00A55A91" w:rsidSect="009C66B4">
      <w:headerReference w:type="default" r:id="rId8"/>
      <w:footerReference w:type="even" r:id="rId9"/>
      <w:footerReference w:type="default" r:id="rId10"/>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E270" w14:textId="77777777" w:rsidR="002B1026" w:rsidRDefault="002B1026">
      <w:pPr>
        <w:spacing w:after="0" w:line="240" w:lineRule="auto"/>
      </w:pPr>
      <w:r>
        <w:separator/>
      </w:r>
    </w:p>
  </w:endnote>
  <w:endnote w:type="continuationSeparator" w:id="0">
    <w:p w14:paraId="4A66E05C" w14:textId="77777777" w:rsidR="002B1026" w:rsidRDefault="002B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3DF33AD8" w14:textId="77777777" w:rsidR="00734119" w:rsidRDefault="00187130"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54151" w14:textId="77777777" w:rsidR="00734119" w:rsidRDefault="0073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74E79505" w14:textId="77777777" w:rsidR="00734119" w:rsidRPr="00E15987" w:rsidRDefault="00187130">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734CCECF" w14:textId="77777777" w:rsidR="00734119" w:rsidRDefault="00734119"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37B1" w14:textId="77777777" w:rsidR="002B1026" w:rsidRDefault="002B1026">
      <w:pPr>
        <w:spacing w:after="0" w:line="240" w:lineRule="auto"/>
      </w:pPr>
      <w:r>
        <w:separator/>
      </w:r>
    </w:p>
  </w:footnote>
  <w:footnote w:type="continuationSeparator" w:id="0">
    <w:p w14:paraId="34FEB5C8" w14:textId="77777777" w:rsidR="002B1026" w:rsidRDefault="002B1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98C9" w14:textId="77777777" w:rsidR="00734119" w:rsidRDefault="00187130" w:rsidP="005122C2">
    <w:pPr>
      <w:pStyle w:val="Header"/>
    </w:pPr>
    <w:r w:rsidRPr="008A5CB5">
      <w:rPr>
        <w:noProof/>
      </w:rPr>
      <w:drawing>
        <wp:inline distT="0" distB="0" distL="0" distR="0" wp14:anchorId="6E366771" wp14:editId="382B474C">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6F5B0227" wp14:editId="116E8051">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47AD3162" w14:textId="77777777" w:rsidR="00734119" w:rsidRDefault="00187130">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A74B8"/>
    <w:multiLevelType w:val="hybridMultilevel"/>
    <w:tmpl w:val="651C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26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B4"/>
    <w:rsid w:val="0001318C"/>
    <w:rsid w:val="000556EF"/>
    <w:rsid w:val="000623CF"/>
    <w:rsid w:val="00076100"/>
    <w:rsid w:val="00082CE4"/>
    <w:rsid w:val="00145084"/>
    <w:rsid w:val="00187130"/>
    <w:rsid w:val="001A242E"/>
    <w:rsid w:val="00206304"/>
    <w:rsid w:val="00236544"/>
    <w:rsid w:val="00236718"/>
    <w:rsid w:val="00250197"/>
    <w:rsid w:val="002A4817"/>
    <w:rsid w:val="002B1026"/>
    <w:rsid w:val="002B4719"/>
    <w:rsid w:val="00330146"/>
    <w:rsid w:val="00331340"/>
    <w:rsid w:val="00346ECB"/>
    <w:rsid w:val="003D04C4"/>
    <w:rsid w:val="00411036"/>
    <w:rsid w:val="00417EF5"/>
    <w:rsid w:val="0043737B"/>
    <w:rsid w:val="00462A04"/>
    <w:rsid w:val="004A302D"/>
    <w:rsid w:val="004E392B"/>
    <w:rsid w:val="004E6183"/>
    <w:rsid w:val="004F2FCC"/>
    <w:rsid w:val="00523215"/>
    <w:rsid w:val="00532F7D"/>
    <w:rsid w:val="00535582"/>
    <w:rsid w:val="00541A67"/>
    <w:rsid w:val="00546672"/>
    <w:rsid w:val="005620B0"/>
    <w:rsid w:val="00593533"/>
    <w:rsid w:val="005B5678"/>
    <w:rsid w:val="005F7B57"/>
    <w:rsid w:val="00615DF7"/>
    <w:rsid w:val="00627097"/>
    <w:rsid w:val="006557D1"/>
    <w:rsid w:val="00670E74"/>
    <w:rsid w:val="0069264D"/>
    <w:rsid w:val="006A567D"/>
    <w:rsid w:val="006E3B90"/>
    <w:rsid w:val="006F58C6"/>
    <w:rsid w:val="00714A84"/>
    <w:rsid w:val="00731909"/>
    <w:rsid w:val="00734119"/>
    <w:rsid w:val="00735A4F"/>
    <w:rsid w:val="00736F67"/>
    <w:rsid w:val="00786DAA"/>
    <w:rsid w:val="007B2A57"/>
    <w:rsid w:val="007B2C8F"/>
    <w:rsid w:val="007C4CE7"/>
    <w:rsid w:val="007E7905"/>
    <w:rsid w:val="007F0AE9"/>
    <w:rsid w:val="008C077A"/>
    <w:rsid w:val="008C1E15"/>
    <w:rsid w:val="008D32F7"/>
    <w:rsid w:val="008E4AB6"/>
    <w:rsid w:val="008F573C"/>
    <w:rsid w:val="009469F5"/>
    <w:rsid w:val="00984F5E"/>
    <w:rsid w:val="009C66B4"/>
    <w:rsid w:val="009F2D83"/>
    <w:rsid w:val="00A3121C"/>
    <w:rsid w:val="00A55A91"/>
    <w:rsid w:val="00A82589"/>
    <w:rsid w:val="00A86A61"/>
    <w:rsid w:val="00A94F82"/>
    <w:rsid w:val="00AB0097"/>
    <w:rsid w:val="00AB6563"/>
    <w:rsid w:val="00B2258C"/>
    <w:rsid w:val="00BD79D9"/>
    <w:rsid w:val="00C0756F"/>
    <w:rsid w:val="00C83608"/>
    <w:rsid w:val="00CB02B3"/>
    <w:rsid w:val="00CB7750"/>
    <w:rsid w:val="00CC1642"/>
    <w:rsid w:val="00CF16F1"/>
    <w:rsid w:val="00CF5261"/>
    <w:rsid w:val="00D15BB8"/>
    <w:rsid w:val="00D34AA2"/>
    <w:rsid w:val="00D52DA6"/>
    <w:rsid w:val="00D66D67"/>
    <w:rsid w:val="00D66DE4"/>
    <w:rsid w:val="00D8230C"/>
    <w:rsid w:val="00E52E6C"/>
    <w:rsid w:val="00E84919"/>
    <w:rsid w:val="00EB765D"/>
    <w:rsid w:val="00ED4115"/>
    <w:rsid w:val="00EF3689"/>
    <w:rsid w:val="00F13434"/>
    <w:rsid w:val="00F17F5A"/>
    <w:rsid w:val="00F279D2"/>
    <w:rsid w:val="00F51613"/>
    <w:rsid w:val="00F60810"/>
    <w:rsid w:val="00F62D94"/>
    <w:rsid w:val="00F7130C"/>
    <w:rsid w:val="00F94B59"/>
    <w:rsid w:val="00FD1EEC"/>
    <w:rsid w:val="00FE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A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B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C6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B4"/>
    <w:rPr>
      <w:rFonts w:eastAsiaTheme="majorEastAsia" w:cstheme="majorBidi"/>
      <w:color w:val="272727" w:themeColor="text1" w:themeTint="D8"/>
    </w:rPr>
  </w:style>
  <w:style w:type="paragraph" w:styleId="Title">
    <w:name w:val="Title"/>
    <w:basedOn w:val="Normal"/>
    <w:next w:val="Normal"/>
    <w:link w:val="TitleChar"/>
    <w:uiPriority w:val="10"/>
    <w:qFormat/>
    <w:rsid w:val="009C6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B4"/>
    <w:pPr>
      <w:spacing w:before="160"/>
      <w:jc w:val="center"/>
    </w:pPr>
    <w:rPr>
      <w:i/>
      <w:iCs/>
      <w:color w:val="404040" w:themeColor="text1" w:themeTint="BF"/>
    </w:rPr>
  </w:style>
  <w:style w:type="character" w:customStyle="1" w:styleId="QuoteChar">
    <w:name w:val="Quote Char"/>
    <w:basedOn w:val="DefaultParagraphFont"/>
    <w:link w:val="Quote"/>
    <w:uiPriority w:val="29"/>
    <w:rsid w:val="009C66B4"/>
    <w:rPr>
      <w:i/>
      <w:iCs/>
      <w:color w:val="404040" w:themeColor="text1" w:themeTint="BF"/>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9C66B4"/>
    <w:pPr>
      <w:ind w:left="720"/>
      <w:contextualSpacing/>
    </w:pPr>
  </w:style>
  <w:style w:type="character" w:styleId="IntenseEmphasis">
    <w:name w:val="Intense Emphasis"/>
    <w:basedOn w:val="DefaultParagraphFont"/>
    <w:uiPriority w:val="21"/>
    <w:qFormat/>
    <w:rsid w:val="009C66B4"/>
    <w:rPr>
      <w:i/>
      <w:iCs/>
      <w:color w:val="0F4761" w:themeColor="accent1" w:themeShade="BF"/>
    </w:rPr>
  </w:style>
  <w:style w:type="paragraph" w:styleId="IntenseQuote">
    <w:name w:val="Intense Quote"/>
    <w:basedOn w:val="Normal"/>
    <w:next w:val="Normal"/>
    <w:link w:val="IntenseQuoteChar"/>
    <w:uiPriority w:val="30"/>
    <w:qFormat/>
    <w:rsid w:val="009C6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B4"/>
    <w:rPr>
      <w:i/>
      <w:iCs/>
      <w:color w:val="0F4761" w:themeColor="accent1" w:themeShade="BF"/>
    </w:rPr>
  </w:style>
  <w:style w:type="character" w:styleId="IntenseReference">
    <w:name w:val="Intense Reference"/>
    <w:basedOn w:val="DefaultParagraphFont"/>
    <w:uiPriority w:val="32"/>
    <w:qFormat/>
    <w:rsid w:val="009C66B4"/>
    <w:rPr>
      <w:b/>
      <w:bCs/>
      <w:smallCaps/>
      <w:color w:val="0F4761" w:themeColor="accent1" w:themeShade="BF"/>
      <w:spacing w:val="5"/>
    </w:rPr>
  </w:style>
  <w:style w:type="paragraph" w:styleId="Header">
    <w:name w:val="header"/>
    <w:aliases w:val="encabezado"/>
    <w:basedOn w:val="Normal"/>
    <w:link w:val="HeaderChar"/>
    <w:unhideWhenUsed/>
    <w:rsid w:val="009C66B4"/>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9C66B4"/>
    <w:rPr>
      <w:kern w:val="0"/>
      <w:sz w:val="24"/>
      <w:szCs w:val="24"/>
      <w14:ligatures w14:val="none"/>
    </w:rPr>
  </w:style>
  <w:style w:type="paragraph" w:styleId="Footer">
    <w:name w:val="footer"/>
    <w:basedOn w:val="Normal"/>
    <w:link w:val="FooterChar"/>
    <w:uiPriority w:val="99"/>
    <w:unhideWhenUsed/>
    <w:rsid w:val="009C66B4"/>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9C66B4"/>
    <w:rPr>
      <w:kern w:val="0"/>
      <w:sz w:val="24"/>
      <w:szCs w:val="24"/>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9C66B4"/>
  </w:style>
  <w:style w:type="paragraph" w:customStyle="1" w:styleId="parrafos">
    <w:name w:val="parrafos"/>
    <w:basedOn w:val="Normal"/>
    <w:link w:val="parrafosChar"/>
    <w:qFormat/>
    <w:rsid w:val="009C66B4"/>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9C66B4"/>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9C66B4"/>
  </w:style>
  <w:style w:type="paragraph" w:customStyle="1" w:styleId="Default">
    <w:name w:val="Default"/>
    <w:rsid w:val="009C66B4"/>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unhideWhenUsed/>
    <w:rsid w:val="009C66B4"/>
    <w:rPr>
      <w:color w:val="0000FF"/>
      <w:u w:val="single"/>
    </w:rPr>
  </w:style>
  <w:style w:type="paragraph" w:styleId="NormalWeb">
    <w:name w:val="Normal (Web)"/>
    <w:basedOn w:val="Normal"/>
    <w:uiPriority w:val="99"/>
    <w:unhideWhenUsed/>
    <w:rsid w:val="009C66B4"/>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8F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8F06-361D-9842-B069-A40A73A8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2047</Words>
  <Characters>11673</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2025-04-23T14:31:00Z</dcterms:created>
  <dcterms:modified xsi:type="dcterms:W3CDTF">2025-04-23T14:31:00Z</dcterms:modified>
</cp:coreProperties>
</file>