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D6583" w14:textId="77777777" w:rsidR="0021280B" w:rsidRPr="001843F3" w:rsidRDefault="0021280B" w:rsidP="0021280B">
      <w:pPr>
        <w:suppressAutoHyphens/>
        <w:spacing w:after="0" w:line="240" w:lineRule="auto"/>
        <w:ind w:right="270"/>
        <w:rPr>
          <w:rFonts w:ascii="Cambria" w:hAnsi="Cambria" w:cs="Calibri"/>
          <w:sz w:val="20"/>
          <w:szCs w:val="20"/>
          <w:lang w:val="es-CO"/>
        </w:rPr>
      </w:pPr>
    </w:p>
    <w:p w14:paraId="0FEC1FD8" w14:textId="77777777" w:rsidR="0021280B" w:rsidRPr="001843F3" w:rsidRDefault="0021280B" w:rsidP="0021280B">
      <w:pPr>
        <w:suppressAutoHyphens/>
        <w:spacing w:after="0" w:line="240" w:lineRule="auto"/>
        <w:ind w:right="270"/>
        <w:rPr>
          <w:rFonts w:ascii="Cambria" w:hAnsi="Cambria" w:cs="Calibri"/>
          <w:sz w:val="20"/>
          <w:szCs w:val="20"/>
          <w:lang w:val="es-CO"/>
        </w:rPr>
      </w:pPr>
    </w:p>
    <w:p w14:paraId="451567C2" w14:textId="2B18ED28" w:rsidR="0021280B" w:rsidRPr="001843F3" w:rsidRDefault="0021280B" w:rsidP="0021280B">
      <w:pPr>
        <w:suppressAutoHyphens/>
        <w:spacing w:after="0" w:line="240" w:lineRule="auto"/>
        <w:ind w:left="90" w:right="270"/>
        <w:jc w:val="right"/>
        <w:rPr>
          <w:rFonts w:ascii="Cambria" w:hAnsi="Cambria" w:cs="Calibri"/>
          <w:sz w:val="20"/>
          <w:szCs w:val="20"/>
          <w:lang w:val="es-CO"/>
        </w:rPr>
      </w:pPr>
      <w:r w:rsidRPr="001843F3">
        <w:rPr>
          <w:rFonts w:ascii="Cambria" w:hAnsi="Cambria" w:cs="Calibri"/>
          <w:sz w:val="20"/>
          <w:szCs w:val="20"/>
          <w:lang w:val="es-CO"/>
        </w:rPr>
        <w:t>6 de octubre de 2025</w:t>
      </w:r>
    </w:p>
    <w:p w14:paraId="3F92458D" w14:textId="77777777" w:rsidR="0021280B" w:rsidRPr="001843F3" w:rsidRDefault="0021280B" w:rsidP="0021280B">
      <w:pPr>
        <w:suppressAutoHyphens/>
        <w:spacing w:after="0" w:line="240" w:lineRule="auto"/>
        <w:ind w:left="90" w:right="270"/>
        <w:jc w:val="right"/>
        <w:rPr>
          <w:rFonts w:ascii="Cambria" w:hAnsi="Cambria" w:cs="Calibri"/>
          <w:sz w:val="20"/>
          <w:szCs w:val="20"/>
          <w:lang w:val="es-CO"/>
        </w:rPr>
      </w:pPr>
    </w:p>
    <w:p w14:paraId="6A2538C8" w14:textId="77777777" w:rsidR="006865B0" w:rsidRPr="001843F3" w:rsidRDefault="0021280B" w:rsidP="0021280B">
      <w:pPr>
        <w:tabs>
          <w:tab w:val="left" w:pos="720"/>
          <w:tab w:val="center" w:pos="6480"/>
        </w:tabs>
        <w:spacing w:after="0" w:line="240" w:lineRule="auto"/>
        <w:ind w:left="90" w:right="270"/>
        <w:jc w:val="both"/>
        <w:rPr>
          <w:rFonts w:ascii="Cambria" w:hAnsi="Cambria"/>
          <w:b/>
          <w:sz w:val="20"/>
          <w:szCs w:val="20"/>
          <w:lang w:val="es-CO"/>
        </w:rPr>
      </w:pPr>
      <w:r w:rsidRPr="001843F3">
        <w:rPr>
          <w:rFonts w:ascii="Cambria" w:hAnsi="Cambria" w:cs="Calibri"/>
          <w:b/>
          <w:sz w:val="20"/>
          <w:szCs w:val="20"/>
          <w:lang w:val="es-CO"/>
        </w:rPr>
        <w:t>REF.:</w:t>
      </w:r>
      <w:bookmarkStart w:id="0" w:name="Peticion_n"/>
      <w:bookmarkEnd w:id="0"/>
      <w:r w:rsidRPr="001843F3">
        <w:rPr>
          <w:rFonts w:ascii="Cambria" w:hAnsi="Cambria" w:cs="Calibri"/>
          <w:b/>
          <w:sz w:val="20"/>
          <w:szCs w:val="20"/>
          <w:lang w:val="es-CO"/>
        </w:rPr>
        <w:tab/>
        <w:t xml:space="preserve">Caso Nº </w:t>
      </w:r>
      <w:r w:rsidR="006865B0" w:rsidRPr="001843F3">
        <w:rPr>
          <w:rFonts w:ascii="Cambria" w:hAnsi="Cambria"/>
          <w:b/>
          <w:sz w:val="20"/>
          <w:szCs w:val="20"/>
          <w:lang w:val="es-CO"/>
        </w:rPr>
        <w:t>12.787</w:t>
      </w:r>
    </w:p>
    <w:p w14:paraId="17906074" w14:textId="68D0E3FD" w:rsidR="0021280B" w:rsidRPr="001843F3" w:rsidRDefault="0021280B" w:rsidP="0021280B">
      <w:pPr>
        <w:tabs>
          <w:tab w:val="left" w:pos="720"/>
          <w:tab w:val="center" w:pos="6480"/>
        </w:tabs>
        <w:spacing w:after="0" w:line="240" w:lineRule="auto"/>
        <w:ind w:left="90" w:right="270"/>
        <w:jc w:val="both"/>
        <w:rPr>
          <w:rFonts w:ascii="Cambria" w:hAnsi="Cambria"/>
          <w:b/>
          <w:sz w:val="20"/>
          <w:szCs w:val="20"/>
          <w:lang w:val="es-CO"/>
        </w:rPr>
      </w:pPr>
      <w:r w:rsidRPr="001843F3">
        <w:rPr>
          <w:rFonts w:ascii="Cambria" w:hAnsi="Cambria" w:cs="Calibri"/>
          <w:b/>
          <w:sz w:val="20"/>
          <w:szCs w:val="20"/>
          <w:lang w:val="es-CO"/>
        </w:rPr>
        <w:tab/>
      </w:r>
      <w:r w:rsidR="006865B0" w:rsidRPr="001843F3">
        <w:rPr>
          <w:rFonts w:ascii="Cambria" w:hAnsi="Cambria"/>
          <w:b/>
          <w:sz w:val="20"/>
          <w:szCs w:val="20"/>
          <w:lang w:val="es-CO"/>
        </w:rPr>
        <w:t>Natividad de Jesús Ramírez y familia</w:t>
      </w:r>
    </w:p>
    <w:p w14:paraId="18D0F53F" w14:textId="77777777" w:rsidR="0021280B" w:rsidRPr="001843F3" w:rsidRDefault="0021280B" w:rsidP="0021280B">
      <w:pPr>
        <w:tabs>
          <w:tab w:val="left" w:pos="720"/>
          <w:tab w:val="center" w:pos="6480"/>
        </w:tabs>
        <w:spacing w:after="0" w:line="240" w:lineRule="auto"/>
        <w:ind w:left="90" w:right="270"/>
        <w:jc w:val="both"/>
        <w:rPr>
          <w:rFonts w:ascii="Cambria" w:hAnsi="Cambria" w:cs="Calibri"/>
          <w:b/>
          <w:sz w:val="20"/>
          <w:szCs w:val="20"/>
          <w:lang w:val="es-CO"/>
        </w:rPr>
      </w:pPr>
      <w:r w:rsidRPr="001843F3">
        <w:rPr>
          <w:rFonts w:ascii="Cambria" w:hAnsi="Cambria" w:cs="Calibri"/>
          <w:b/>
          <w:sz w:val="20"/>
          <w:szCs w:val="20"/>
          <w:lang w:val="es-CO"/>
        </w:rPr>
        <w:tab/>
        <w:t xml:space="preserve">El Salvador </w:t>
      </w:r>
    </w:p>
    <w:p w14:paraId="46BCFA7A" w14:textId="77777777" w:rsidR="0021280B" w:rsidRPr="001843F3" w:rsidRDefault="0021280B" w:rsidP="0021280B">
      <w:pPr>
        <w:tabs>
          <w:tab w:val="left" w:pos="720"/>
          <w:tab w:val="center" w:pos="6480"/>
        </w:tabs>
        <w:spacing w:after="0" w:line="240" w:lineRule="auto"/>
        <w:ind w:right="270"/>
        <w:jc w:val="both"/>
        <w:rPr>
          <w:rFonts w:ascii="Cambria" w:hAnsi="Cambria" w:cs="Calibri"/>
          <w:sz w:val="20"/>
          <w:szCs w:val="20"/>
          <w:lang w:val="es-CO"/>
        </w:rPr>
      </w:pPr>
    </w:p>
    <w:p w14:paraId="5AE1E6AC" w14:textId="77777777" w:rsidR="0021280B" w:rsidRPr="001843F3" w:rsidRDefault="0021280B" w:rsidP="0021280B">
      <w:pPr>
        <w:tabs>
          <w:tab w:val="left" w:pos="720"/>
          <w:tab w:val="center" w:pos="6480"/>
        </w:tabs>
        <w:spacing w:after="0" w:line="240" w:lineRule="auto"/>
        <w:ind w:left="90" w:right="270"/>
        <w:jc w:val="both"/>
        <w:rPr>
          <w:rFonts w:ascii="Cambria" w:hAnsi="Cambria" w:cs="Calibri"/>
          <w:sz w:val="20"/>
          <w:szCs w:val="20"/>
          <w:lang w:val="es-CO"/>
        </w:rPr>
      </w:pPr>
      <w:r w:rsidRPr="001843F3">
        <w:rPr>
          <w:rFonts w:ascii="Cambria" w:hAnsi="Cambria" w:cs="Calibri"/>
          <w:sz w:val="20"/>
          <w:szCs w:val="20"/>
          <w:lang w:val="es-CO"/>
        </w:rPr>
        <w:t>Señor Secretario:</w:t>
      </w:r>
    </w:p>
    <w:p w14:paraId="275B31D9" w14:textId="77777777" w:rsidR="0021280B" w:rsidRPr="001843F3" w:rsidRDefault="0021280B" w:rsidP="0021280B">
      <w:pPr>
        <w:spacing w:after="0" w:line="240" w:lineRule="auto"/>
        <w:ind w:left="90" w:right="270"/>
        <w:rPr>
          <w:rFonts w:ascii="Cambria" w:hAnsi="Cambria" w:cs="Calibri"/>
          <w:sz w:val="20"/>
          <w:szCs w:val="20"/>
          <w:lang w:val="es-CO"/>
        </w:rPr>
      </w:pPr>
    </w:p>
    <w:p w14:paraId="176D3613" w14:textId="50093950" w:rsidR="0021280B" w:rsidRPr="001843F3" w:rsidRDefault="0021280B" w:rsidP="0021280B">
      <w:pPr>
        <w:tabs>
          <w:tab w:val="left" w:pos="360"/>
          <w:tab w:val="left" w:pos="2880"/>
        </w:tabs>
        <w:spacing w:after="0" w:line="240" w:lineRule="auto"/>
        <w:jc w:val="both"/>
        <w:rPr>
          <w:rFonts w:ascii="Cambria" w:eastAsia="Cambria" w:hAnsi="Cambria" w:cs="Cambria"/>
          <w:sz w:val="20"/>
          <w:szCs w:val="20"/>
          <w:lang w:val="es-CO"/>
        </w:rPr>
      </w:pPr>
      <w:r w:rsidRPr="001843F3">
        <w:rPr>
          <w:rFonts w:ascii="Cambria" w:hAnsi="Cambria" w:cs="Calibri"/>
          <w:sz w:val="20"/>
          <w:szCs w:val="20"/>
          <w:lang w:val="es-CO"/>
        </w:rPr>
        <w:tab/>
        <w:t xml:space="preserve">Tengo el agrado de dirigirme a usted, en nombre de la Comisión Interamericana de Derechos Humanos, con el objeto de someter a la jurisdicción de la Honorable Corte Interamericana de Derechos Humanos, el Caso Nº </w:t>
      </w:r>
      <w:r w:rsidR="006865B0" w:rsidRPr="001843F3">
        <w:rPr>
          <w:rFonts w:ascii="Cambria" w:hAnsi="Cambria" w:cs="Calibri"/>
          <w:sz w:val="20"/>
          <w:szCs w:val="20"/>
          <w:lang w:val="es-CO"/>
        </w:rPr>
        <w:t>12.787</w:t>
      </w:r>
      <w:r w:rsidR="00947700" w:rsidRPr="001843F3">
        <w:rPr>
          <w:rFonts w:ascii="Cambria" w:hAnsi="Cambria" w:cs="Calibri"/>
          <w:sz w:val="20"/>
          <w:szCs w:val="20"/>
          <w:lang w:val="es-CO"/>
        </w:rPr>
        <w:t xml:space="preserve"> -</w:t>
      </w:r>
      <w:r w:rsidRPr="001843F3">
        <w:rPr>
          <w:rFonts w:ascii="Cambria" w:hAnsi="Cambria" w:cs="Calibri"/>
          <w:sz w:val="20"/>
          <w:szCs w:val="20"/>
          <w:lang w:val="es-CO"/>
        </w:rPr>
        <w:t xml:space="preserve"> </w:t>
      </w:r>
      <w:r w:rsidR="006865B0" w:rsidRPr="001843F3">
        <w:rPr>
          <w:rFonts w:ascii="Cambria" w:hAnsi="Cambria" w:cs="Calibri"/>
          <w:sz w:val="20"/>
          <w:szCs w:val="20"/>
          <w:lang w:val="es-CO"/>
        </w:rPr>
        <w:t xml:space="preserve">Natividad de Jesús Ramírez y familia </w:t>
      </w:r>
      <w:r w:rsidRPr="001843F3">
        <w:rPr>
          <w:rFonts w:ascii="Cambria" w:hAnsi="Cambria" w:cs="Calibri"/>
          <w:sz w:val="20"/>
          <w:szCs w:val="20"/>
          <w:lang w:val="es-CO"/>
        </w:rPr>
        <w:t xml:space="preserve">respecto de la República de El Salvador (en adelante “el Estado”, “el Estado salvadoreño” o “El Salvador”). </w:t>
      </w:r>
      <w:r w:rsidRPr="001843F3">
        <w:rPr>
          <w:rFonts w:ascii="Cambria" w:eastAsia="Arial Unicode MS" w:hAnsi="Cambria"/>
          <w:color w:val="000000"/>
          <w:sz w:val="20"/>
          <w:szCs w:val="20"/>
          <w:lang w:val="es-CO"/>
        </w:rPr>
        <w:t xml:space="preserve">El caso se refiere a la responsabilidad internacional de El Salvador </w:t>
      </w:r>
      <w:r w:rsidRPr="001843F3">
        <w:rPr>
          <w:rFonts w:ascii="Cambria" w:eastAsia="Cambria" w:hAnsi="Cambria" w:cs="Cambria"/>
          <w:sz w:val="20"/>
          <w:szCs w:val="20"/>
          <w:lang w:val="es-CO"/>
        </w:rPr>
        <w:t xml:space="preserve">por las ejecuciones extrajudiciales y desapariciones forzadas de miembros de la familia Ramírez por parte de agentes públicos en 1982, así como la situación de impunidad en la que permanecen los hechos. </w:t>
      </w:r>
    </w:p>
    <w:p w14:paraId="53C0237C" w14:textId="77777777" w:rsidR="0021280B" w:rsidRPr="001843F3" w:rsidRDefault="0021280B" w:rsidP="0021280B">
      <w:pPr>
        <w:tabs>
          <w:tab w:val="left" w:pos="360"/>
          <w:tab w:val="left" w:pos="2880"/>
        </w:tabs>
        <w:spacing w:after="0" w:line="240" w:lineRule="auto"/>
        <w:jc w:val="both"/>
        <w:rPr>
          <w:rFonts w:ascii="Cambria" w:eastAsia="Cambria" w:hAnsi="Cambria" w:cs="Cambria"/>
          <w:sz w:val="20"/>
          <w:szCs w:val="20"/>
          <w:lang w:val="es-CO"/>
        </w:rPr>
      </w:pPr>
    </w:p>
    <w:p w14:paraId="0D1E28D0" w14:textId="0B832D11" w:rsidR="0021280B" w:rsidRPr="001843F3" w:rsidRDefault="006865B0" w:rsidP="0021280B">
      <w:pPr>
        <w:tabs>
          <w:tab w:val="left" w:pos="360"/>
          <w:tab w:val="left" w:pos="2880"/>
        </w:tabs>
        <w:spacing w:after="0" w:line="240" w:lineRule="auto"/>
        <w:jc w:val="both"/>
        <w:rPr>
          <w:rFonts w:ascii="Cambria" w:eastAsia="Cambria" w:hAnsi="Cambria" w:cs="Cambria"/>
          <w:sz w:val="20"/>
          <w:szCs w:val="20"/>
          <w:lang w:val="es-CO"/>
        </w:rPr>
      </w:pPr>
      <w:r w:rsidRPr="001843F3">
        <w:rPr>
          <w:rFonts w:ascii="Cambria" w:eastAsia="Cambria" w:hAnsi="Cambria" w:cs="Cambria"/>
          <w:sz w:val="20"/>
          <w:szCs w:val="20"/>
          <w:lang w:val="es-CO"/>
        </w:rPr>
        <w:tab/>
      </w:r>
      <w:r w:rsidR="0021280B" w:rsidRPr="001843F3">
        <w:rPr>
          <w:rFonts w:ascii="Cambria" w:eastAsia="Cambria" w:hAnsi="Cambria" w:cs="Cambria"/>
          <w:sz w:val="20"/>
          <w:szCs w:val="20"/>
          <w:lang w:val="es-CO"/>
        </w:rPr>
        <w:t xml:space="preserve">Los hechos del presente caso ocurrieron en el marco del conflicto armado interno en El Salvador, instaurado desde 1980 hasta 1991, periodo en el que, en el curso de operaciones contrainsurgentes, miembros de la Fuerza Armada ejecutaron a campesinos, hombres, mujeres y niños simplemente por considerarlos colaboradores de los guerrilleros. De acuerdo con la Comisión de la Verdad estas muertes se inscriben dentro de un patrón de conducta de una estrategia deliberada de eliminar o aterrorizar a la población campesina de las zonas de actividad de los guerrilleros, a fin de privar a éstos de fuente de abastecimientos y de información, así como de la posibilidad de ocultarse o disimularse entre ella. </w:t>
      </w:r>
      <w:r w:rsidR="00D52E71" w:rsidRPr="001843F3">
        <w:rPr>
          <w:rFonts w:ascii="Cambria" w:eastAsia="Cambria" w:hAnsi="Cambria" w:cs="Cambria"/>
          <w:sz w:val="20"/>
          <w:szCs w:val="20"/>
          <w:lang w:val="es-CO"/>
        </w:rPr>
        <w:t xml:space="preserve">La CIDH ha identificado que </w:t>
      </w:r>
      <w:r w:rsidR="0021280B" w:rsidRPr="001843F3">
        <w:rPr>
          <w:rFonts w:ascii="Cambria" w:eastAsia="Cambria" w:hAnsi="Cambria" w:cs="Cambria"/>
          <w:sz w:val="20"/>
          <w:szCs w:val="20"/>
          <w:lang w:val="es-CO"/>
        </w:rPr>
        <w:t xml:space="preserve">uno de los grupos de personas consideradas como enemigos por parte del entonces gobierno eran personas que formaban parte o apoyaban actividades de la iglesia católica. </w:t>
      </w:r>
    </w:p>
    <w:p w14:paraId="59106217" w14:textId="77777777" w:rsidR="0021280B" w:rsidRPr="001843F3" w:rsidRDefault="0021280B" w:rsidP="0021280B">
      <w:pPr>
        <w:tabs>
          <w:tab w:val="left" w:pos="360"/>
          <w:tab w:val="left" w:pos="2880"/>
        </w:tabs>
        <w:spacing w:after="0" w:line="240" w:lineRule="auto"/>
        <w:jc w:val="both"/>
        <w:rPr>
          <w:rFonts w:ascii="Cambria" w:eastAsia="Cambria" w:hAnsi="Cambria" w:cs="Cambria"/>
          <w:sz w:val="20"/>
          <w:szCs w:val="20"/>
          <w:lang w:val="es-CO"/>
        </w:rPr>
      </w:pPr>
    </w:p>
    <w:p w14:paraId="649004D7" w14:textId="2DAA6ADF" w:rsidR="0021280B" w:rsidRPr="001843F3" w:rsidRDefault="006865B0" w:rsidP="0021280B">
      <w:pPr>
        <w:tabs>
          <w:tab w:val="left" w:pos="360"/>
          <w:tab w:val="left" w:pos="2880"/>
        </w:tabs>
        <w:spacing w:after="0" w:line="240" w:lineRule="auto"/>
        <w:jc w:val="both"/>
        <w:rPr>
          <w:rFonts w:ascii="Cambria" w:eastAsia="Cambria" w:hAnsi="Cambria" w:cs="Cambria"/>
          <w:sz w:val="20"/>
          <w:szCs w:val="20"/>
          <w:lang w:val="es-CO"/>
        </w:rPr>
      </w:pPr>
      <w:r w:rsidRPr="001843F3">
        <w:rPr>
          <w:rFonts w:ascii="Cambria" w:eastAsia="Cambria" w:hAnsi="Cambria" w:cs="Cambria"/>
          <w:sz w:val="20"/>
          <w:szCs w:val="20"/>
          <w:lang w:val="es-CO"/>
        </w:rPr>
        <w:tab/>
      </w:r>
      <w:r w:rsidR="0021280B" w:rsidRPr="001843F3">
        <w:rPr>
          <w:rFonts w:ascii="Cambria" w:eastAsia="Cambria" w:hAnsi="Cambria" w:cs="Cambria"/>
          <w:sz w:val="20"/>
          <w:szCs w:val="20"/>
          <w:lang w:val="es-CO"/>
        </w:rPr>
        <w:t>L</w:t>
      </w:r>
      <w:r w:rsidR="00327CD0" w:rsidRPr="001843F3">
        <w:rPr>
          <w:rFonts w:ascii="Cambria" w:eastAsia="Cambria" w:hAnsi="Cambria" w:cs="Cambria"/>
          <w:sz w:val="20"/>
          <w:szCs w:val="20"/>
          <w:lang w:val="es-CO"/>
        </w:rPr>
        <w:t>a</w:t>
      </w:r>
      <w:r w:rsidR="0021280B" w:rsidRPr="001843F3">
        <w:rPr>
          <w:rFonts w:ascii="Cambria" w:eastAsia="Cambria" w:hAnsi="Cambria" w:cs="Cambria"/>
          <w:sz w:val="20"/>
          <w:szCs w:val="20"/>
          <w:lang w:val="es-CO"/>
        </w:rPr>
        <w:t xml:space="preserve"> familia Ramírez</w:t>
      </w:r>
      <w:r w:rsidR="00327CD0" w:rsidRPr="001843F3">
        <w:rPr>
          <w:rFonts w:ascii="Cambria" w:eastAsia="Cambria" w:hAnsi="Cambria" w:cs="Cambria"/>
          <w:sz w:val="20"/>
          <w:szCs w:val="20"/>
          <w:lang w:val="es-CO"/>
        </w:rPr>
        <w:t xml:space="preserve"> estaba </w:t>
      </w:r>
      <w:r w:rsidR="0021280B" w:rsidRPr="001843F3">
        <w:rPr>
          <w:rFonts w:ascii="Cambria" w:eastAsia="Cambria" w:hAnsi="Cambria" w:cs="Cambria"/>
          <w:sz w:val="20"/>
          <w:szCs w:val="20"/>
          <w:lang w:val="es-CO"/>
        </w:rPr>
        <w:t>compuesta por dos núcleos que vivían en casas aledañas en el Cantón “El Progreso”, Nueva San Salvador, La Libertad</w:t>
      </w:r>
      <w:r w:rsidR="00A933C0" w:rsidRPr="001843F3">
        <w:rPr>
          <w:rFonts w:ascii="Cambria" w:eastAsia="Cambria" w:hAnsi="Cambria" w:cs="Cambria"/>
          <w:sz w:val="20"/>
          <w:szCs w:val="20"/>
          <w:lang w:val="es-CO"/>
        </w:rPr>
        <w:t xml:space="preserve">. Según lo informado por la parte peticionaria y no controvertido por el Estado, los miembros de la familia </w:t>
      </w:r>
      <w:r w:rsidR="0021280B" w:rsidRPr="001843F3">
        <w:rPr>
          <w:rFonts w:ascii="Cambria" w:eastAsia="Cambria" w:hAnsi="Cambria" w:cs="Cambria"/>
          <w:sz w:val="20"/>
          <w:szCs w:val="20"/>
          <w:lang w:val="es-CO"/>
        </w:rPr>
        <w:t xml:space="preserve">participaban en diversas actividades de la iglesia católica, </w:t>
      </w:r>
      <w:r w:rsidR="00D743AD" w:rsidRPr="001843F3">
        <w:rPr>
          <w:rFonts w:ascii="Cambria" w:eastAsia="Cambria" w:hAnsi="Cambria" w:cs="Cambria"/>
          <w:sz w:val="20"/>
          <w:szCs w:val="20"/>
          <w:lang w:val="es-CO"/>
        </w:rPr>
        <w:t xml:space="preserve">debido a lo cual </w:t>
      </w:r>
      <w:r w:rsidR="0021280B" w:rsidRPr="001843F3">
        <w:rPr>
          <w:rFonts w:ascii="Cambria" w:eastAsia="Cambria" w:hAnsi="Cambria" w:cs="Cambria"/>
          <w:sz w:val="20"/>
          <w:szCs w:val="20"/>
          <w:lang w:val="es-CO"/>
        </w:rPr>
        <w:t>fue</w:t>
      </w:r>
      <w:r w:rsidR="00CD5E6D" w:rsidRPr="001843F3">
        <w:rPr>
          <w:rFonts w:ascii="Cambria" w:eastAsia="Cambria" w:hAnsi="Cambria" w:cs="Cambria"/>
          <w:sz w:val="20"/>
          <w:szCs w:val="20"/>
          <w:lang w:val="es-CO"/>
        </w:rPr>
        <w:t>ron</w:t>
      </w:r>
      <w:r w:rsidR="0021280B" w:rsidRPr="001843F3">
        <w:rPr>
          <w:rFonts w:ascii="Cambria" w:eastAsia="Cambria" w:hAnsi="Cambria" w:cs="Cambria"/>
          <w:sz w:val="20"/>
          <w:szCs w:val="20"/>
          <w:lang w:val="es-CO"/>
        </w:rPr>
        <w:t xml:space="preserve"> catalogad</w:t>
      </w:r>
      <w:r w:rsidR="00CD5E6D" w:rsidRPr="001843F3">
        <w:rPr>
          <w:rFonts w:ascii="Cambria" w:eastAsia="Cambria" w:hAnsi="Cambria" w:cs="Cambria"/>
          <w:sz w:val="20"/>
          <w:szCs w:val="20"/>
          <w:lang w:val="es-CO"/>
        </w:rPr>
        <w:t>os</w:t>
      </w:r>
      <w:r w:rsidR="0021280B" w:rsidRPr="001843F3">
        <w:rPr>
          <w:rFonts w:ascii="Cambria" w:eastAsia="Cambria" w:hAnsi="Cambria" w:cs="Cambria"/>
          <w:sz w:val="20"/>
          <w:szCs w:val="20"/>
          <w:lang w:val="es-CO"/>
        </w:rPr>
        <w:t xml:space="preserve"> por el Estado como opositores políticos del gobierno y considerados </w:t>
      </w:r>
      <w:r w:rsidR="00D743AD" w:rsidRPr="001843F3">
        <w:rPr>
          <w:rFonts w:ascii="Cambria" w:eastAsia="Cambria" w:hAnsi="Cambria" w:cs="Cambria"/>
          <w:sz w:val="20"/>
          <w:szCs w:val="20"/>
          <w:lang w:val="es-CO"/>
        </w:rPr>
        <w:t>“</w:t>
      </w:r>
      <w:r w:rsidR="0021280B" w:rsidRPr="001843F3">
        <w:rPr>
          <w:rFonts w:ascii="Cambria" w:eastAsia="Cambria" w:hAnsi="Cambria" w:cs="Cambria"/>
          <w:sz w:val="20"/>
          <w:szCs w:val="20"/>
          <w:lang w:val="es-CO"/>
        </w:rPr>
        <w:t>enemigos subversivos</w:t>
      </w:r>
      <w:r w:rsidR="00D743AD" w:rsidRPr="001843F3">
        <w:rPr>
          <w:rFonts w:ascii="Cambria" w:eastAsia="Cambria" w:hAnsi="Cambria" w:cs="Cambria"/>
          <w:sz w:val="20"/>
          <w:szCs w:val="20"/>
          <w:lang w:val="es-CO"/>
        </w:rPr>
        <w:t>”.</w:t>
      </w:r>
      <w:r w:rsidR="0021280B" w:rsidRPr="001843F3">
        <w:rPr>
          <w:rFonts w:ascii="Cambria" w:eastAsia="Cambria" w:hAnsi="Cambria" w:cs="Cambria"/>
          <w:sz w:val="20"/>
          <w:szCs w:val="20"/>
          <w:lang w:val="es-CO"/>
        </w:rPr>
        <w:t xml:space="preserve"> </w:t>
      </w:r>
      <w:r w:rsidR="00D743AD" w:rsidRPr="001843F3">
        <w:rPr>
          <w:rFonts w:ascii="Cambria" w:eastAsia="Cambria" w:hAnsi="Cambria" w:cs="Cambria"/>
          <w:sz w:val="20"/>
          <w:szCs w:val="20"/>
          <w:lang w:val="es-CO"/>
        </w:rPr>
        <w:t>E</w:t>
      </w:r>
      <w:r w:rsidR="0021280B" w:rsidRPr="001843F3">
        <w:rPr>
          <w:rFonts w:ascii="Cambria" w:eastAsia="Cambria" w:hAnsi="Cambria" w:cs="Cambria"/>
          <w:sz w:val="20"/>
          <w:szCs w:val="20"/>
          <w:lang w:val="es-CO"/>
        </w:rPr>
        <w:t xml:space="preserve">ntre 1981 y 1982 sufrieron allanamientos, detenciones, amenazas y agresiones cometidas por agentes estatales en su contra. </w:t>
      </w:r>
    </w:p>
    <w:p w14:paraId="041688F2" w14:textId="77777777" w:rsidR="0021280B" w:rsidRPr="001843F3" w:rsidRDefault="0021280B" w:rsidP="0021280B">
      <w:pPr>
        <w:tabs>
          <w:tab w:val="left" w:pos="360"/>
          <w:tab w:val="left" w:pos="2880"/>
        </w:tabs>
        <w:spacing w:after="0" w:line="240" w:lineRule="auto"/>
        <w:jc w:val="both"/>
        <w:rPr>
          <w:rFonts w:ascii="Cambria" w:eastAsia="Cambria" w:hAnsi="Cambria" w:cs="Cambria"/>
          <w:sz w:val="16"/>
          <w:szCs w:val="16"/>
          <w:lang w:val="es-CO"/>
        </w:rPr>
      </w:pPr>
    </w:p>
    <w:p w14:paraId="10F5ED83" w14:textId="7C11DD70" w:rsidR="0021280B" w:rsidRPr="001843F3" w:rsidRDefault="00D743AD" w:rsidP="0021280B">
      <w:pPr>
        <w:tabs>
          <w:tab w:val="left" w:pos="360"/>
          <w:tab w:val="left" w:pos="2880"/>
        </w:tabs>
        <w:spacing w:after="0" w:line="240" w:lineRule="auto"/>
        <w:jc w:val="both"/>
        <w:rPr>
          <w:rFonts w:ascii="Cambria" w:eastAsia="Cambria" w:hAnsi="Cambria" w:cs="Cambria"/>
          <w:sz w:val="20"/>
          <w:szCs w:val="20"/>
          <w:lang w:val="es-CO"/>
        </w:rPr>
      </w:pPr>
      <w:r w:rsidRPr="001843F3">
        <w:rPr>
          <w:rFonts w:ascii="Cambria" w:eastAsia="Cambria" w:hAnsi="Cambria" w:cs="Cambria"/>
          <w:sz w:val="20"/>
          <w:szCs w:val="20"/>
          <w:lang w:val="es-CO"/>
        </w:rPr>
        <w:tab/>
      </w:r>
      <w:r w:rsidR="00907673" w:rsidRPr="001843F3">
        <w:rPr>
          <w:rFonts w:ascii="Cambria" w:eastAsia="Cambria" w:hAnsi="Cambria" w:cs="Cambria"/>
          <w:sz w:val="20"/>
          <w:szCs w:val="20"/>
          <w:lang w:val="es-CO"/>
        </w:rPr>
        <w:t>De acuerdo con lo declarado por Carlota Ramírez, e</w:t>
      </w:r>
      <w:r w:rsidR="0021280B" w:rsidRPr="001843F3">
        <w:rPr>
          <w:rFonts w:ascii="Cambria" w:eastAsia="Cambria" w:hAnsi="Cambria" w:cs="Cambria"/>
          <w:sz w:val="20"/>
          <w:szCs w:val="20"/>
          <w:lang w:val="es-CO"/>
        </w:rPr>
        <w:t xml:space="preserve">l 10 de mayo de 1982, individuos vestidos de deportistas armados con fusiles capturaron y mataron a Rufino y Teresa Ramírez, y procedieron a detener a Natividad de Jesús Ramírez, Guadalupe Robles, </w:t>
      </w:r>
      <w:r w:rsidR="009E401E" w:rsidRPr="001843F3">
        <w:rPr>
          <w:rFonts w:ascii="Cambria" w:eastAsia="Cambria" w:hAnsi="Cambria" w:cs="Cambria"/>
          <w:sz w:val="20"/>
          <w:szCs w:val="20"/>
          <w:lang w:val="es-CO"/>
        </w:rPr>
        <w:t xml:space="preserve">José Elías Ramírez Cuchilla </w:t>
      </w:r>
      <w:r w:rsidR="00F87A1A" w:rsidRPr="001843F3">
        <w:rPr>
          <w:rFonts w:ascii="Cambria" w:eastAsia="Cambria" w:hAnsi="Cambria" w:cs="Cambria"/>
          <w:sz w:val="20"/>
          <w:szCs w:val="20"/>
          <w:lang w:val="es-CO"/>
        </w:rPr>
        <w:t>y Jorge</w:t>
      </w:r>
      <w:r w:rsidR="0021280B" w:rsidRPr="001843F3">
        <w:rPr>
          <w:rFonts w:ascii="Cambria" w:eastAsia="Cambria" w:hAnsi="Cambria" w:cs="Cambria"/>
          <w:sz w:val="20"/>
          <w:szCs w:val="20"/>
          <w:lang w:val="es-CO"/>
        </w:rPr>
        <w:t xml:space="preserve"> Ramírez Cuchilla, de quienes a la fecha, se desconoce su paradero. Asimismo,</w:t>
      </w:r>
      <w:r w:rsidR="005F773B" w:rsidRPr="001843F3">
        <w:rPr>
          <w:rFonts w:ascii="Cambria" w:eastAsia="Cambria" w:hAnsi="Cambria" w:cs="Cambria"/>
          <w:sz w:val="20"/>
          <w:szCs w:val="20"/>
          <w:lang w:val="es-CO"/>
        </w:rPr>
        <w:t xml:space="preserve"> </w:t>
      </w:r>
      <w:r w:rsidR="00907673" w:rsidRPr="001843F3">
        <w:rPr>
          <w:rFonts w:ascii="Cambria" w:eastAsia="Cambria" w:hAnsi="Cambria" w:cs="Cambria"/>
          <w:sz w:val="20"/>
          <w:szCs w:val="20"/>
          <w:lang w:val="es-CO"/>
        </w:rPr>
        <w:t>señaló que</w:t>
      </w:r>
      <w:r w:rsidR="0021280B" w:rsidRPr="001843F3">
        <w:rPr>
          <w:rFonts w:ascii="Cambria" w:eastAsia="Cambria" w:hAnsi="Cambria" w:cs="Cambria"/>
          <w:sz w:val="20"/>
          <w:szCs w:val="20"/>
          <w:lang w:val="es-CO"/>
        </w:rPr>
        <w:t xml:space="preserve"> soldados comandados por un sargento acudieron al domicilio de la familia Ramírez y detuvieron a </w:t>
      </w:r>
      <w:r w:rsidR="00F87A1A" w:rsidRPr="001843F3">
        <w:rPr>
          <w:rFonts w:ascii="Cambria" w:eastAsia="Cambria" w:hAnsi="Cambria" w:cs="Cambria"/>
          <w:sz w:val="20"/>
          <w:szCs w:val="20"/>
          <w:lang w:val="es-CO"/>
        </w:rPr>
        <w:t xml:space="preserve">su hermano </w:t>
      </w:r>
      <w:r w:rsidR="0021280B" w:rsidRPr="001843F3">
        <w:rPr>
          <w:rFonts w:ascii="Cambria" w:eastAsia="Cambria" w:hAnsi="Cambria" w:cs="Cambria"/>
          <w:sz w:val="20"/>
          <w:szCs w:val="20"/>
          <w:lang w:val="es-CO"/>
        </w:rPr>
        <w:t xml:space="preserve">Alejandro, argumentando que se había robado una grabadora; posteriormente registraron la casa, pero no encontraron el cuarto donde se encontraban escondidos el resto de la familia. Alejandro logró escapar en medio de disparos y después se escuchó una descarga de ametralladoras en la dirección de la casa del señor Natividad de Jesús Ramírez, padre de la peticionaria. </w:t>
      </w:r>
    </w:p>
    <w:p w14:paraId="5A39F3AE" w14:textId="77777777" w:rsidR="00D44E5A" w:rsidRPr="001843F3" w:rsidRDefault="00D44E5A" w:rsidP="0021280B">
      <w:pPr>
        <w:tabs>
          <w:tab w:val="left" w:pos="360"/>
          <w:tab w:val="left" w:pos="2880"/>
        </w:tabs>
        <w:spacing w:after="0" w:line="240" w:lineRule="auto"/>
        <w:jc w:val="both"/>
        <w:rPr>
          <w:rFonts w:ascii="Cambria" w:eastAsia="Cambria" w:hAnsi="Cambria" w:cs="Cambria"/>
          <w:sz w:val="20"/>
          <w:szCs w:val="20"/>
          <w:lang w:val="es-CO"/>
        </w:rPr>
      </w:pPr>
    </w:p>
    <w:p w14:paraId="6B508C31" w14:textId="203296B2" w:rsidR="0021280B" w:rsidRPr="001843F3" w:rsidRDefault="005B15FF" w:rsidP="0021280B">
      <w:pPr>
        <w:tabs>
          <w:tab w:val="left" w:pos="360"/>
          <w:tab w:val="left" w:pos="2880"/>
        </w:tabs>
        <w:spacing w:after="0" w:line="240" w:lineRule="auto"/>
        <w:jc w:val="both"/>
        <w:rPr>
          <w:rFonts w:ascii="Cambria" w:eastAsia="Cambria" w:hAnsi="Cambria" w:cs="Cambria"/>
          <w:sz w:val="20"/>
          <w:szCs w:val="20"/>
          <w:lang w:val="es-CO"/>
        </w:rPr>
      </w:pPr>
      <w:r w:rsidRPr="001843F3">
        <w:rPr>
          <w:rFonts w:ascii="Cambria" w:eastAsia="Cambria" w:hAnsi="Cambria" w:cs="Cambria"/>
          <w:sz w:val="20"/>
          <w:szCs w:val="20"/>
          <w:lang w:val="es-CO"/>
        </w:rPr>
        <w:tab/>
      </w:r>
      <w:r w:rsidR="00D44E5A" w:rsidRPr="001843F3">
        <w:rPr>
          <w:rFonts w:ascii="Cambria" w:eastAsia="Cambria" w:hAnsi="Cambria" w:cs="Cambria"/>
          <w:sz w:val="20"/>
          <w:szCs w:val="20"/>
          <w:lang w:val="es-CO"/>
        </w:rPr>
        <w:t>La parte peticionaria también informó que e</w:t>
      </w:r>
      <w:r w:rsidR="00D75D7C" w:rsidRPr="001843F3">
        <w:rPr>
          <w:rFonts w:ascii="Cambria" w:eastAsia="Cambria" w:hAnsi="Cambria" w:cs="Cambria"/>
          <w:sz w:val="20"/>
          <w:szCs w:val="20"/>
          <w:lang w:val="es-CO"/>
        </w:rPr>
        <w:t>l 8 de agosto de 1982 Salvador Ramírez fue capturado por</w:t>
      </w:r>
      <w:r w:rsidR="00D44E5A" w:rsidRPr="001843F3">
        <w:rPr>
          <w:rFonts w:ascii="Cambria" w:eastAsia="Cambria" w:hAnsi="Cambria" w:cs="Cambria"/>
          <w:sz w:val="20"/>
          <w:szCs w:val="20"/>
          <w:lang w:val="es-CO"/>
        </w:rPr>
        <w:t xml:space="preserve"> </w:t>
      </w:r>
      <w:r w:rsidR="00D75D7C" w:rsidRPr="001843F3">
        <w:rPr>
          <w:rFonts w:ascii="Cambria" w:eastAsia="Cambria" w:hAnsi="Cambria" w:cs="Cambria"/>
          <w:sz w:val="20"/>
          <w:szCs w:val="20"/>
          <w:lang w:val="es-CO"/>
        </w:rPr>
        <w:t>varios hombres vestidos de civil que conducían un camión del ejército y que fue llevado a un sitio denominado</w:t>
      </w:r>
      <w:r w:rsidR="00D44E5A" w:rsidRPr="001843F3">
        <w:rPr>
          <w:rFonts w:ascii="Cambria" w:eastAsia="Cambria" w:hAnsi="Cambria" w:cs="Cambria"/>
          <w:sz w:val="20"/>
          <w:szCs w:val="20"/>
          <w:lang w:val="es-CO"/>
        </w:rPr>
        <w:t xml:space="preserve"> </w:t>
      </w:r>
      <w:r w:rsidR="00D75D7C" w:rsidRPr="001843F3">
        <w:rPr>
          <w:rFonts w:ascii="Cambria" w:eastAsia="Cambria" w:hAnsi="Cambria" w:cs="Cambria"/>
          <w:sz w:val="20"/>
          <w:szCs w:val="20"/>
          <w:lang w:val="es-CO"/>
        </w:rPr>
        <w:t>‘‘La Periquera’’, desconociendo su paradero hasta la actualidad. La señora Ramírez manifestó que existieron</w:t>
      </w:r>
      <w:r w:rsidR="00D44E5A" w:rsidRPr="001843F3">
        <w:rPr>
          <w:rFonts w:ascii="Cambria" w:eastAsia="Cambria" w:hAnsi="Cambria" w:cs="Cambria"/>
          <w:sz w:val="20"/>
          <w:szCs w:val="20"/>
          <w:lang w:val="es-CO"/>
        </w:rPr>
        <w:t xml:space="preserve"> </w:t>
      </w:r>
      <w:r w:rsidR="00D75D7C" w:rsidRPr="001843F3">
        <w:rPr>
          <w:rFonts w:ascii="Cambria" w:eastAsia="Cambria" w:hAnsi="Cambria" w:cs="Cambria"/>
          <w:sz w:val="20"/>
          <w:szCs w:val="20"/>
          <w:lang w:val="es-CO"/>
        </w:rPr>
        <w:t xml:space="preserve">diversos testigos que vieron lo que le pasó al señor </w:t>
      </w:r>
      <w:r w:rsidR="00B71C94">
        <w:rPr>
          <w:rFonts w:ascii="Cambria" w:eastAsia="Cambria" w:hAnsi="Cambria" w:cs="Cambria"/>
          <w:sz w:val="20"/>
          <w:szCs w:val="20"/>
          <w:lang w:val="es-CO"/>
        </w:rPr>
        <w:t xml:space="preserve">Salvador </w:t>
      </w:r>
      <w:r w:rsidR="00D75D7C" w:rsidRPr="001843F3">
        <w:rPr>
          <w:rFonts w:ascii="Cambria" w:eastAsia="Cambria" w:hAnsi="Cambria" w:cs="Cambria"/>
          <w:sz w:val="20"/>
          <w:szCs w:val="20"/>
          <w:lang w:val="es-CO"/>
        </w:rPr>
        <w:t>Ramírez. Sostuvo que tomó conocimiento de que había sid</w:t>
      </w:r>
      <w:r w:rsidR="00D44E5A" w:rsidRPr="001843F3">
        <w:rPr>
          <w:rFonts w:ascii="Cambria" w:eastAsia="Cambria" w:hAnsi="Cambria" w:cs="Cambria"/>
          <w:sz w:val="20"/>
          <w:szCs w:val="20"/>
          <w:lang w:val="es-CO"/>
        </w:rPr>
        <w:t xml:space="preserve">o </w:t>
      </w:r>
      <w:r w:rsidR="00D75D7C" w:rsidRPr="001843F3">
        <w:rPr>
          <w:rFonts w:ascii="Cambria" w:eastAsia="Cambria" w:hAnsi="Cambria" w:cs="Cambria"/>
          <w:sz w:val="20"/>
          <w:szCs w:val="20"/>
          <w:lang w:val="es-CO"/>
        </w:rPr>
        <w:t>ejecutado pero que no tenía conocimiento exacto de su paradero.</w:t>
      </w:r>
      <w:r w:rsidR="00D44E5A" w:rsidRPr="001843F3">
        <w:rPr>
          <w:rFonts w:ascii="Cambria" w:eastAsia="Cambria" w:hAnsi="Cambria" w:cs="Cambria"/>
          <w:sz w:val="20"/>
          <w:szCs w:val="20"/>
          <w:lang w:val="es-CO"/>
        </w:rPr>
        <w:t xml:space="preserve"> </w:t>
      </w:r>
    </w:p>
    <w:p w14:paraId="03FCCBBF" w14:textId="77777777" w:rsidR="0021280B" w:rsidRPr="001843F3" w:rsidRDefault="0021280B" w:rsidP="0021280B">
      <w:pPr>
        <w:tabs>
          <w:tab w:val="left" w:pos="360"/>
          <w:tab w:val="left" w:pos="2880"/>
        </w:tabs>
        <w:spacing w:after="0" w:line="240" w:lineRule="auto"/>
        <w:jc w:val="both"/>
        <w:rPr>
          <w:rFonts w:ascii="Cambria" w:eastAsia="Cambria" w:hAnsi="Cambria" w:cs="Cambria"/>
          <w:sz w:val="20"/>
          <w:szCs w:val="20"/>
          <w:lang w:val="es-CO"/>
        </w:rPr>
      </w:pPr>
    </w:p>
    <w:p w14:paraId="52CB6790" w14:textId="77777777" w:rsidR="0021280B" w:rsidRPr="001843F3" w:rsidRDefault="0021280B" w:rsidP="0021280B">
      <w:pPr>
        <w:tabs>
          <w:tab w:val="left" w:pos="360"/>
          <w:tab w:val="left" w:pos="2880"/>
        </w:tabs>
        <w:spacing w:after="0" w:line="240" w:lineRule="auto"/>
        <w:jc w:val="both"/>
        <w:rPr>
          <w:rFonts w:ascii="Cambria" w:eastAsia="Cambria" w:hAnsi="Cambria" w:cs="Cambria"/>
          <w:sz w:val="20"/>
          <w:szCs w:val="20"/>
          <w:lang w:val="es-CO"/>
        </w:rPr>
      </w:pPr>
    </w:p>
    <w:p w14:paraId="51EF3A17" w14:textId="77777777" w:rsidR="0021280B" w:rsidRPr="001843F3" w:rsidRDefault="0021280B" w:rsidP="0021280B">
      <w:pPr>
        <w:spacing w:after="0" w:line="240" w:lineRule="auto"/>
        <w:ind w:right="270"/>
        <w:jc w:val="both"/>
        <w:rPr>
          <w:rFonts w:ascii="Cambria" w:hAnsi="Cambria" w:cs="Calibri"/>
          <w:snapToGrid w:val="0"/>
          <w:sz w:val="20"/>
          <w:szCs w:val="20"/>
          <w:lang w:val="es-CO"/>
        </w:rPr>
      </w:pPr>
      <w:r w:rsidRPr="001843F3">
        <w:rPr>
          <w:rFonts w:ascii="Cambria" w:hAnsi="Cambria" w:cs="Calibri"/>
          <w:snapToGrid w:val="0"/>
          <w:sz w:val="20"/>
          <w:szCs w:val="20"/>
          <w:lang w:val="es-CO"/>
        </w:rPr>
        <w:t>Señor</w:t>
      </w:r>
    </w:p>
    <w:p w14:paraId="619455E0" w14:textId="77777777" w:rsidR="0021280B" w:rsidRPr="001843F3" w:rsidRDefault="0021280B" w:rsidP="0021280B">
      <w:pPr>
        <w:suppressAutoHyphens/>
        <w:spacing w:after="0" w:line="240" w:lineRule="auto"/>
        <w:ind w:right="270"/>
        <w:rPr>
          <w:rFonts w:ascii="Cambria" w:hAnsi="Cambria" w:cs="Calibri"/>
          <w:snapToGrid w:val="0"/>
          <w:sz w:val="20"/>
          <w:szCs w:val="20"/>
          <w:lang w:val="es-CO"/>
        </w:rPr>
      </w:pPr>
      <w:r w:rsidRPr="001843F3">
        <w:rPr>
          <w:rFonts w:ascii="Cambria" w:hAnsi="Cambria" w:cs="Calibri"/>
          <w:snapToGrid w:val="0"/>
          <w:sz w:val="20"/>
          <w:szCs w:val="20"/>
          <w:lang w:val="es-CO"/>
        </w:rPr>
        <w:t>Pablo Saavedra Alessandri</w:t>
      </w:r>
    </w:p>
    <w:p w14:paraId="12AF6432" w14:textId="77777777" w:rsidR="0021280B" w:rsidRPr="001843F3" w:rsidRDefault="0021280B" w:rsidP="0021280B">
      <w:pPr>
        <w:suppressAutoHyphens/>
        <w:spacing w:after="0" w:line="240" w:lineRule="auto"/>
        <w:ind w:right="270"/>
        <w:rPr>
          <w:rFonts w:ascii="Cambria" w:hAnsi="Cambria" w:cs="Calibri"/>
          <w:snapToGrid w:val="0"/>
          <w:sz w:val="20"/>
          <w:szCs w:val="20"/>
          <w:lang w:val="es-CO"/>
        </w:rPr>
      </w:pPr>
      <w:r w:rsidRPr="001843F3">
        <w:rPr>
          <w:rFonts w:ascii="Cambria" w:hAnsi="Cambria" w:cs="Calibri"/>
          <w:snapToGrid w:val="0"/>
          <w:sz w:val="20"/>
          <w:szCs w:val="20"/>
          <w:lang w:val="es-CO"/>
        </w:rPr>
        <w:t>Secretario</w:t>
      </w:r>
    </w:p>
    <w:p w14:paraId="6DA38244" w14:textId="77777777" w:rsidR="0021280B" w:rsidRPr="001843F3" w:rsidRDefault="0021280B" w:rsidP="0021280B">
      <w:pPr>
        <w:suppressAutoHyphens/>
        <w:spacing w:after="0" w:line="240" w:lineRule="auto"/>
        <w:ind w:right="270"/>
        <w:rPr>
          <w:rFonts w:ascii="Cambria" w:hAnsi="Cambria" w:cs="Calibri"/>
          <w:snapToGrid w:val="0"/>
          <w:sz w:val="20"/>
          <w:szCs w:val="20"/>
          <w:lang w:val="es-CO"/>
        </w:rPr>
      </w:pPr>
      <w:r w:rsidRPr="001843F3">
        <w:rPr>
          <w:rFonts w:ascii="Cambria" w:hAnsi="Cambria" w:cs="Calibri"/>
          <w:snapToGrid w:val="0"/>
          <w:sz w:val="20"/>
          <w:szCs w:val="20"/>
          <w:lang w:val="es-CO"/>
        </w:rPr>
        <w:t>Corte Interamericana de Derechos Humanos</w:t>
      </w:r>
    </w:p>
    <w:p w14:paraId="05A97B63" w14:textId="201ED2DE" w:rsidR="0021280B" w:rsidRPr="001843F3" w:rsidRDefault="0021280B" w:rsidP="0021280B">
      <w:pPr>
        <w:suppressAutoHyphens/>
        <w:spacing w:after="0" w:line="240" w:lineRule="auto"/>
        <w:ind w:right="270"/>
        <w:rPr>
          <w:rFonts w:ascii="Cambria" w:hAnsi="Cambria" w:cs="Calibri"/>
          <w:snapToGrid w:val="0"/>
          <w:sz w:val="20"/>
          <w:szCs w:val="20"/>
          <w:lang w:val="es-CO"/>
        </w:rPr>
      </w:pPr>
      <w:r w:rsidRPr="001843F3">
        <w:rPr>
          <w:rFonts w:ascii="Cambria" w:hAnsi="Cambria" w:cs="Calibri"/>
          <w:snapToGrid w:val="0"/>
          <w:sz w:val="20"/>
          <w:szCs w:val="20"/>
          <w:lang w:val="es-CO"/>
        </w:rPr>
        <w:t>San José, Costa Rica</w:t>
      </w:r>
    </w:p>
    <w:p w14:paraId="78BCCA29" w14:textId="77777777" w:rsidR="0021280B" w:rsidRPr="001843F3" w:rsidRDefault="0021280B" w:rsidP="0021280B">
      <w:pPr>
        <w:suppressAutoHyphens/>
        <w:spacing w:after="0" w:line="240" w:lineRule="auto"/>
        <w:ind w:left="90" w:right="270"/>
        <w:rPr>
          <w:rFonts w:ascii="Cambria" w:hAnsi="Cambria" w:cs="Calibri"/>
          <w:snapToGrid w:val="0"/>
          <w:sz w:val="20"/>
          <w:szCs w:val="20"/>
          <w:lang w:val="es-CO"/>
        </w:rPr>
      </w:pPr>
    </w:p>
    <w:p w14:paraId="34B2BBA3" w14:textId="591CBBD9" w:rsidR="00D44E5A" w:rsidRPr="001843F3" w:rsidRDefault="005B15FF" w:rsidP="00D44E5A">
      <w:pPr>
        <w:tabs>
          <w:tab w:val="left" w:pos="360"/>
          <w:tab w:val="left" w:pos="2880"/>
        </w:tabs>
        <w:spacing w:after="0" w:line="240" w:lineRule="auto"/>
        <w:jc w:val="both"/>
        <w:rPr>
          <w:rFonts w:ascii="Cambria" w:eastAsia="Cambria" w:hAnsi="Cambria" w:cs="Cambria"/>
          <w:sz w:val="20"/>
          <w:szCs w:val="20"/>
          <w:lang w:val="es-CO"/>
        </w:rPr>
      </w:pPr>
      <w:r w:rsidRPr="001843F3">
        <w:rPr>
          <w:rFonts w:ascii="Cambria" w:eastAsia="Cambria" w:hAnsi="Cambria" w:cs="Cambria"/>
          <w:sz w:val="20"/>
          <w:szCs w:val="20"/>
          <w:lang w:val="es-CO"/>
        </w:rPr>
        <w:lastRenderedPageBreak/>
        <w:tab/>
      </w:r>
      <w:r w:rsidR="00D44E5A" w:rsidRPr="001843F3">
        <w:rPr>
          <w:rFonts w:ascii="Cambria" w:eastAsia="Cambria" w:hAnsi="Cambria" w:cs="Cambria"/>
          <w:sz w:val="20"/>
          <w:szCs w:val="20"/>
          <w:lang w:val="es-CO"/>
        </w:rPr>
        <w:t xml:space="preserve">Después de ocurridos los hechos, la familia intentó realizar las denuncias correspondientes ante autoridades estatales pero sus solicitudes no fueron atendidas. </w:t>
      </w:r>
      <w:r w:rsidR="00BF4466" w:rsidRPr="001843F3">
        <w:rPr>
          <w:rFonts w:ascii="Cambria" w:eastAsia="Cambria" w:hAnsi="Cambria" w:cs="Cambria"/>
          <w:sz w:val="20"/>
          <w:szCs w:val="20"/>
          <w:lang w:val="es-CO"/>
        </w:rPr>
        <w:t>E</w:t>
      </w:r>
      <w:r w:rsidR="00D44E5A" w:rsidRPr="001843F3">
        <w:rPr>
          <w:rFonts w:ascii="Cambria" w:eastAsia="Cambria" w:hAnsi="Cambria" w:cs="Cambria"/>
          <w:sz w:val="20"/>
          <w:szCs w:val="20"/>
          <w:lang w:val="es-CO"/>
        </w:rPr>
        <w:t>l 30 de marzo de 2003 Carlota Ramírez denunció ante la Fiscalía General de la República las desapariciones y asesinatos referidos</w:t>
      </w:r>
      <w:r w:rsidR="00D96D94" w:rsidRPr="001843F3">
        <w:rPr>
          <w:rFonts w:ascii="Cambria" w:eastAsia="Cambria" w:hAnsi="Cambria" w:cs="Cambria"/>
          <w:sz w:val="20"/>
          <w:szCs w:val="20"/>
          <w:lang w:val="es-CO"/>
        </w:rPr>
        <w:t xml:space="preserve"> previamente</w:t>
      </w:r>
      <w:r w:rsidR="00D44E5A" w:rsidRPr="001843F3">
        <w:rPr>
          <w:rFonts w:ascii="Cambria" w:eastAsia="Cambria" w:hAnsi="Cambria" w:cs="Cambria"/>
          <w:sz w:val="20"/>
          <w:szCs w:val="20"/>
          <w:lang w:val="es-CO"/>
        </w:rPr>
        <w:t>.</w:t>
      </w:r>
      <w:r w:rsidR="0035575D" w:rsidRPr="001843F3">
        <w:rPr>
          <w:rFonts w:ascii="Cambria" w:eastAsia="Cambria" w:hAnsi="Cambria" w:cs="Cambria"/>
          <w:sz w:val="20"/>
          <w:szCs w:val="20"/>
          <w:lang w:val="es-CO"/>
        </w:rPr>
        <w:t xml:space="preserve"> El Estado informó que la Fiscalía General de la República realizó una serie de diligencias</w:t>
      </w:r>
      <w:r w:rsidR="00157E9D" w:rsidRPr="001843F3">
        <w:rPr>
          <w:rFonts w:ascii="Cambria" w:eastAsia="Cambria" w:hAnsi="Cambria" w:cs="Cambria"/>
          <w:sz w:val="20"/>
          <w:szCs w:val="20"/>
          <w:lang w:val="es-CO"/>
        </w:rPr>
        <w:t xml:space="preserve">, incluyendo entrevistas a testigos e informes del Ministerio de Defensa Nacional. </w:t>
      </w:r>
      <w:r w:rsidR="00D44E5A" w:rsidRPr="001843F3">
        <w:rPr>
          <w:rFonts w:ascii="Cambria" w:eastAsia="Cambria" w:hAnsi="Cambria" w:cs="Cambria"/>
          <w:sz w:val="20"/>
          <w:szCs w:val="20"/>
          <w:lang w:val="es-CO"/>
        </w:rPr>
        <w:t xml:space="preserve"> </w:t>
      </w:r>
    </w:p>
    <w:p w14:paraId="18E217AB" w14:textId="77777777" w:rsidR="00D44E5A" w:rsidRPr="001843F3" w:rsidRDefault="00D44E5A" w:rsidP="0021280B">
      <w:pPr>
        <w:tabs>
          <w:tab w:val="left" w:pos="360"/>
          <w:tab w:val="left" w:pos="2880"/>
        </w:tabs>
        <w:spacing w:after="0" w:line="240" w:lineRule="auto"/>
        <w:jc w:val="both"/>
        <w:rPr>
          <w:rFonts w:ascii="Cambria" w:eastAsia="Cambria" w:hAnsi="Cambria" w:cs="Cambria"/>
          <w:sz w:val="20"/>
          <w:szCs w:val="20"/>
          <w:lang w:val="es-CO"/>
        </w:rPr>
      </w:pPr>
    </w:p>
    <w:p w14:paraId="1F359480" w14:textId="605C89BB" w:rsidR="0021280B" w:rsidRPr="001843F3" w:rsidRDefault="005B15FF" w:rsidP="00536536">
      <w:pPr>
        <w:tabs>
          <w:tab w:val="left" w:pos="360"/>
          <w:tab w:val="left" w:pos="2880"/>
        </w:tabs>
        <w:spacing w:after="0" w:line="240" w:lineRule="auto"/>
        <w:jc w:val="both"/>
        <w:rPr>
          <w:rFonts w:ascii="Cambria" w:eastAsia="Cambria" w:hAnsi="Cambria" w:cs="Cambria"/>
          <w:sz w:val="20"/>
          <w:szCs w:val="20"/>
          <w:lang w:val="es-CO"/>
        </w:rPr>
      </w:pPr>
      <w:r w:rsidRPr="001843F3">
        <w:rPr>
          <w:rFonts w:ascii="Cambria" w:eastAsia="Cambria" w:hAnsi="Cambria" w:cs="Cambria"/>
          <w:sz w:val="20"/>
          <w:szCs w:val="20"/>
          <w:lang w:val="es-CO"/>
        </w:rPr>
        <w:tab/>
      </w:r>
      <w:r w:rsidR="0021280B" w:rsidRPr="001843F3">
        <w:rPr>
          <w:rFonts w:ascii="Cambria" w:eastAsia="Cambria" w:hAnsi="Cambria" w:cs="Cambria"/>
          <w:sz w:val="20"/>
          <w:szCs w:val="20"/>
          <w:lang w:val="es-CO"/>
        </w:rPr>
        <w:t xml:space="preserve">En 2004 miembros de la familia Ramírez solicitaron a la Fiscalía información sobre el estado del proceso, sin que se brindara respuesta a dicha petición. </w:t>
      </w:r>
      <w:r w:rsidR="00536536" w:rsidRPr="001843F3">
        <w:rPr>
          <w:rFonts w:ascii="Cambria" w:eastAsia="Cambria" w:hAnsi="Cambria" w:cs="Cambria"/>
          <w:sz w:val="20"/>
          <w:szCs w:val="20"/>
          <w:lang w:val="es-CO"/>
        </w:rPr>
        <w:t xml:space="preserve">Las partes no presentaron información sobre la realización y resultados de diligencias u otras actuaciones procesales entre los años 2004 y 2013. </w:t>
      </w:r>
      <w:r w:rsidR="0021280B" w:rsidRPr="001843F3">
        <w:rPr>
          <w:rFonts w:ascii="Cambria" w:eastAsia="Cambria" w:hAnsi="Cambria" w:cs="Cambria"/>
          <w:sz w:val="20"/>
          <w:szCs w:val="20"/>
          <w:lang w:val="es-CO"/>
        </w:rPr>
        <w:t>El Estado informó que en 2013 la investigación fue archivada</w:t>
      </w:r>
      <w:r w:rsidR="007C0624" w:rsidRPr="001843F3">
        <w:rPr>
          <w:rFonts w:ascii="Cambria" w:eastAsia="Cambria" w:hAnsi="Cambria" w:cs="Cambria"/>
          <w:sz w:val="20"/>
          <w:szCs w:val="20"/>
          <w:lang w:val="es-CO"/>
        </w:rPr>
        <w:t xml:space="preserve"> y que se reabrió años después. E</w:t>
      </w:r>
      <w:r w:rsidR="0021280B" w:rsidRPr="001843F3">
        <w:rPr>
          <w:rFonts w:ascii="Cambria" w:eastAsia="Cambria" w:hAnsi="Cambria" w:cs="Cambria"/>
          <w:sz w:val="20"/>
          <w:szCs w:val="20"/>
          <w:lang w:val="es-CO"/>
        </w:rPr>
        <w:t xml:space="preserve">l 24 de septiembre de 2018 el Instituto de Derechos Humanos de la Universidad Centroamericana José Simeón Cañas emitió un comunicado en el que indicó que el proceso continúa abierto, sin que se hayan realizado mayores diligencias y sin que se hayan esclarecido los hechos ni identificado a los responsables. </w:t>
      </w:r>
    </w:p>
    <w:p w14:paraId="658EA633" w14:textId="77777777" w:rsidR="0021280B" w:rsidRPr="001843F3" w:rsidRDefault="0021280B" w:rsidP="0021280B">
      <w:pPr>
        <w:tabs>
          <w:tab w:val="left" w:pos="360"/>
          <w:tab w:val="left" w:pos="2880"/>
        </w:tabs>
        <w:spacing w:after="0" w:line="240" w:lineRule="auto"/>
        <w:jc w:val="both"/>
        <w:rPr>
          <w:rFonts w:ascii="Cambria" w:eastAsia="Cambria" w:hAnsi="Cambria" w:cs="Cambria"/>
          <w:sz w:val="20"/>
          <w:szCs w:val="20"/>
          <w:lang w:val="es-CO"/>
        </w:rPr>
      </w:pPr>
    </w:p>
    <w:p w14:paraId="2C8AD91B" w14:textId="0DD85A05" w:rsidR="0021280B" w:rsidRPr="001843F3" w:rsidRDefault="005B15FF" w:rsidP="00FC6B7F">
      <w:pPr>
        <w:tabs>
          <w:tab w:val="left" w:pos="360"/>
          <w:tab w:val="left" w:pos="2880"/>
        </w:tabs>
        <w:spacing w:after="0" w:line="240" w:lineRule="auto"/>
        <w:jc w:val="both"/>
        <w:rPr>
          <w:rFonts w:ascii="Cambria" w:eastAsia="Cambria" w:hAnsi="Cambria" w:cs="Cambria"/>
          <w:sz w:val="20"/>
          <w:szCs w:val="20"/>
          <w:lang w:val="es-CO"/>
        </w:rPr>
      </w:pPr>
      <w:r w:rsidRPr="001843F3">
        <w:rPr>
          <w:rFonts w:ascii="Cambria" w:eastAsia="Cambria" w:hAnsi="Cambria" w:cs="Cambria"/>
          <w:sz w:val="20"/>
          <w:szCs w:val="20"/>
          <w:lang w:val="es-CO"/>
        </w:rPr>
        <w:tab/>
      </w:r>
      <w:r w:rsidR="0021280B" w:rsidRPr="001843F3">
        <w:rPr>
          <w:rFonts w:ascii="Cambria" w:eastAsia="Cambria" w:hAnsi="Cambria" w:cs="Cambria"/>
          <w:sz w:val="20"/>
          <w:szCs w:val="20"/>
          <w:lang w:val="es-CO"/>
        </w:rPr>
        <w:t xml:space="preserve">En su Informe de Fondo </w:t>
      </w:r>
      <w:r w:rsidR="00C70BEE" w:rsidRPr="001843F3">
        <w:rPr>
          <w:rFonts w:ascii="Cambria" w:eastAsia="Cambria" w:hAnsi="Cambria" w:cs="Cambria"/>
          <w:sz w:val="20"/>
          <w:szCs w:val="20"/>
          <w:lang w:val="es-CO"/>
        </w:rPr>
        <w:t xml:space="preserve">No. </w:t>
      </w:r>
      <w:r w:rsidR="0021280B" w:rsidRPr="001843F3">
        <w:rPr>
          <w:rFonts w:ascii="Cambria" w:eastAsia="Cambria" w:hAnsi="Cambria" w:cs="Cambria"/>
          <w:sz w:val="20"/>
          <w:szCs w:val="20"/>
          <w:lang w:val="es-CO"/>
        </w:rPr>
        <w:t xml:space="preserve">150/23, la Comisión Interamericana </w:t>
      </w:r>
      <w:r w:rsidR="00642B42" w:rsidRPr="001843F3">
        <w:rPr>
          <w:rFonts w:ascii="Cambria" w:eastAsia="Cambria" w:hAnsi="Cambria" w:cs="Cambria"/>
          <w:sz w:val="20"/>
          <w:szCs w:val="20"/>
          <w:lang w:val="es-CO"/>
        </w:rPr>
        <w:t xml:space="preserve">consideró </w:t>
      </w:r>
      <w:r w:rsidR="0021280B" w:rsidRPr="001843F3">
        <w:rPr>
          <w:rFonts w:ascii="Cambria" w:eastAsia="Cambria" w:hAnsi="Cambria" w:cs="Cambria"/>
          <w:sz w:val="20"/>
          <w:szCs w:val="20"/>
          <w:lang w:val="es-CO"/>
        </w:rPr>
        <w:t>que</w:t>
      </w:r>
      <w:r w:rsidR="004236E1" w:rsidRPr="001843F3">
        <w:rPr>
          <w:rFonts w:ascii="Cambria" w:eastAsia="Cambria" w:hAnsi="Cambria" w:cs="Cambria"/>
          <w:sz w:val="20"/>
          <w:szCs w:val="20"/>
          <w:lang w:val="es-CO"/>
        </w:rPr>
        <w:t>, en relación con las ejecuciones extrajudiciales,</w:t>
      </w:r>
      <w:r w:rsidR="0021280B" w:rsidRPr="001843F3">
        <w:rPr>
          <w:rFonts w:ascii="Cambria" w:eastAsia="Cambria" w:hAnsi="Cambria" w:cs="Cambria"/>
          <w:sz w:val="20"/>
          <w:szCs w:val="20"/>
          <w:lang w:val="es-CO"/>
        </w:rPr>
        <w:t xml:space="preserve"> </w:t>
      </w:r>
      <w:r w:rsidR="00FC6B7F" w:rsidRPr="001843F3">
        <w:rPr>
          <w:rFonts w:ascii="Cambria" w:eastAsia="Cambria" w:hAnsi="Cambria" w:cs="Cambria"/>
          <w:sz w:val="20"/>
          <w:szCs w:val="20"/>
          <w:lang w:val="es-CO"/>
        </w:rPr>
        <w:t>quedó claramente demostrado que el uso de la fuerza letal empleado por agentes del Estado fue un actuar injustificado, desproporcional y carente de fin legítimo</w:t>
      </w:r>
      <w:r w:rsidR="00E30D41" w:rsidRPr="001843F3">
        <w:rPr>
          <w:rFonts w:ascii="Cambria" w:eastAsia="Cambria" w:hAnsi="Cambria" w:cs="Cambria"/>
          <w:sz w:val="20"/>
          <w:szCs w:val="20"/>
          <w:lang w:val="es-CO"/>
        </w:rPr>
        <w:t xml:space="preserve">, a lo cual se suma </w:t>
      </w:r>
      <w:r w:rsidR="00FC6B7F" w:rsidRPr="001843F3">
        <w:rPr>
          <w:rFonts w:ascii="Cambria" w:eastAsia="Cambria" w:hAnsi="Cambria" w:cs="Cambria"/>
          <w:sz w:val="20"/>
          <w:szCs w:val="20"/>
          <w:lang w:val="es-CO"/>
        </w:rPr>
        <w:t>que el presente caso se enmarca en el contexto de graves violaciones de</w:t>
      </w:r>
      <w:r w:rsidR="00E30D41" w:rsidRPr="001843F3">
        <w:rPr>
          <w:rFonts w:ascii="Cambria" w:eastAsia="Cambria" w:hAnsi="Cambria" w:cs="Cambria"/>
          <w:sz w:val="20"/>
          <w:szCs w:val="20"/>
          <w:lang w:val="es-CO"/>
        </w:rPr>
        <w:t xml:space="preserve"> </w:t>
      </w:r>
      <w:r w:rsidR="00FC6B7F" w:rsidRPr="001843F3">
        <w:rPr>
          <w:rFonts w:ascii="Cambria" w:eastAsia="Cambria" w:hAnsi="Cambria" w:cs="Cambria"/>
          <w:sz w:val="20"/>
          <w:szCs w:val="20"/>
          <w:lang w:val="es-CO"/>
        </w:rPr>
        <w:t>derechos humanos, incluyendo ejecuciones extrajudiciales en perjuicio de personas civiles identificadas como</w:t>
      </w:r>
      <w:r w:rsidR="00E30D41" w:rsidRPr="001843F3">
        <w:rPr>
          <w:rFonts w:ascii="Cambria" w:eastAsia="Cambria" w:hAnsi="Cambria" w:cs="Cambria"/>
          <w:sz w:val="20"/>
          <w:szCs w:val="20"/>
          <w:lang w:val="es-CO"/>
        </w:rPr>
        <w:t xml:space="preserve"> </w:t>
      </w:r>
      <w:r w:rsidR="00FC6B7F" w:rsidRPr="001843F3">
        <w:rPr>
          <w:rFonts w:ascii="Cambria" w:eastAsia="Cambria" w:hAnsi="Cambria" w:cs="Cambria"/>
          <w:sz w:val="20"/>
          <w:szCs w:val="20"/>
          <w:lang w:val="es-CO"/>
        </w:rPr>
        <w:t>enemigas por parte del gobierno durante el conflicto armado. En consecuencia, la Comisión concluy</w:t>
      </w:r>
      <w:r w:rsidR="00E30D41" w:rsidRPr="001843F3">
        <w:rPr>
          <w:rFonts w:ascii="Cambria" w:eastAsia="Cambria" w:hAnsi="Cambria" w:cs="Cambria"/>
          <w:sz w:val="20"/>
          <w:szCs w:val="20"/>
          <w:lang w:val="es-CO"/>
        </w:rPr>
        <w:t xml:space="preserve">ó </w:t>
      </w:r>
      <w:r w:rsidR="00FC6B7F" w:rsidRPr="001843F3">
        <w:rPr>
          <w:rFonts w:ascii="Cambria" w:eastAsia="Cambria" w:hAnsi="Cambria" w:cs="Cambria"/>
          <w:sz w:val="20"/>
          <w:szCs w:val="20"/>
          <w:lang w:val="es-CO"/>
        </w:rPr>
        <w:t>que el</w:t>
      </w:r>
      <w:r w:rsidR="00E30D41" w:rsidRPr="001843F3">
        <w:rPr>
          <w:rFonts w:ascii="Cambria" w:eastAsia="Cambria" w:hAnsi="Cambria" w:cs="Cambria"/>
          <w:sz w:val="20"/>
          <w:szCs w:val="20"/>
          <w:lang w:val="es-CO"/>
        </w:rPr>
        <w:t xml:space="preserve"> E</w:t>
      </w:r>
      <w:r w:rsidR="00FC6B7F" w:rsidRPr="001843F3">
        <w:rPr>
          <w:rFonts w:ascii="Cambria" w:eastAsia="Cambria" w:hAnsi="Cambria" w:cs="Cambria"/>
          <w:sz w:val="20"/>
          <w:szCs w:val="20"/>
          <w:lang w:val="es-CO"/>
        </w:rPr>
        <w:t xml:space="preserve">stado violó el derecho a la vida </w:t>
      </w:r>
      <w:r w:rsidR="00E30D41" w:rsidRPr="001843F3">
        <w:rPr>
          <w:rFonts w:ascii="Cambria" w:eastAsia="Cambria" w:hAnsi="Cambria" w:cs="Cambria"/>
          <w:sz w:val="20"/>
          <w:szCs w:val="20"/>
          <w:lang w:val="es-CO"/>
        </w:rPr>
        <w:t xml:space="preserve">en </w:t>
      </w:r>
      <w:r w:rsidR="00FC6B7F" w:rsidRPr="001843F3">
        <w:rPr>
          <w:rFonts w:ascii="Cambria" w:eastAsia="Cambria" w:hAnsi="Cambria" w:cs="Cambria"/>
          <w:sz w:val="20"/>
          <w:szCs w:val="20"/>
          <w:lang w:val="es-CO"/>
        </w:rPr>
        <w:t>perjuicio de Rufino Ramírez y Teresa de Jesús Ramírez.</w:t>
      </w:r>
    </w:p>
    <w:p w14:paraId="65B7ADD5" w14:textId="77777777" w:rsidR="0021280B" w:rsidRPr="001843F3" w:rsidRDefault="0021280B" w:rsidP="0021280B">
      <w:pPr>
        <w:tabs>
          <w:tab w:val="left" w:pos="360"/>
          <w:tab w:val="left" w:pos="2880"/>
        </w:tabs>
        <w:spacing w:after="0" w:line="240" w:lineRule="auto"/>
        <w:jc w:val="both"/>
        <w:rPr>
          <w:rFonts w:ascii="Cambria" w:eastAsia="Cambria" w:hAnsi="Cambria" w:cs="Cambria"/>
          <w:sz w:val="20"/>
          <w:szCs w:val="20"/>
          <w:lang w:val="es-CO"/>
        </w:rPr>
      </w:pPr>
    </w:p>
    <w:p w14:paraId="5294BA17" w14:textId="0E9AAC32" w:rsidR="0021280B" w:rsidRPr="001843F3" w:rsidRDefault="005B15FF" w:rsidP="0021280B">
      <w:pPr>
        <w:tabs>
          <w:tab w:val="left" w:pos="360"/>
          <w:tab w:val="left" w:pos="2880"/>
        </w:tabs>
        <w:spacing w:after="0" w:line="240" w:lineRule="auto"/>
        <w:jc w:val="both"/>
        <w:rPr>
          <w:rFonts w:ascii="Cambria" w:eastAsia="Cambria" w:hAnsi="Cambria" w:cs="Cambria"/>
          <w:sz w:val="20"/>
          <w:szCs w:val="20"/>
          <w:lang w:val="es-CO"/>
        </w:rPr>
      </w:pPr>
      <w:r w:rsidRPr="001843F3">
        <w:rPr>
          <w:rFonts w:ascii="Cambria" w:eastAsia="Cambria" w:hAnsi="Cambria" w:cs="Cambria"/>
          <w:sz w:val="20"/>
          <w:szCs w:val="20"/>
          <w:lang w:val="es-CO"/>
        </w:rPr>
        <w:tab/>
      </w:r>
      <w:r w:rsidR="000608E0" w:rsidRPr="001843F3">
        <w:rPr>
          <w:rFonts w:ascii="Cambria" w:eastAsia="Cambria" w:hAnsi="Cambria" w:cs="Cambria"/>
          <w:sz w:val="20"/>
          <w:szCs w:val="20"/>
          <w:lang w:val="es-CO"/>
        </w:rPr>
        <w:t>Respecto de</w:t>
      </w:r>
      <w:r w:rsidR="0021280B" w:rsidRPr="001843F3">
        <w:rPr>
          <w:rFonts w:ascii="Cambria" w:eastAsia="Cambria" w:hAnsi="Cambria" w:cs="Cambria"/>
          <w:sz w:val="20"/>
          <w:szCs w:val="20"/>
          <w:lang w:val="es-CO"/>
        </w:rPr>
        <w:t xml:space="preserve"> las desapariciones forzadas, la Comisión </w:t>
      </w:r>
      <w:r w:rsidR="00037A6D" w:rsidRPr="001843F3">
        <w:rPr>
          <w:rFonts w:ascii="Cambria" w:eastAsia="Cambria" w:hAnsi="Cambria" w:cs="Cambria"/>
          <w:sz w:val="20"/>
          <w:szCs w:val="20"/>
          <w:lang w:val="es-CO"/>
        </w:rPr>
        <w:t>tomó nota de</w:t>
      </w:r>
      <w:r w:rsidR="0021280B" w:rsidRPr="001843F3">
        <w:rPr>
          <w:rFonts w:ascii="Cambria" w:eastAsia="Cambria" w:hAnsi="Cambria" w:cs="Cambria"/>
          <w:sz w:val="20"/>
          <w:szCs w:val="20"/>
          <w:lang w:val="es-CO"/>
        </w:rPr>
        <w:t xml:space="preserve"> la información sobre la privación de libertad sufrida por cinco personas integrantes de la familia Ramírez.</w:t>
      </w:r>
      <w:r w:rsidR="00037A6D" w:rsidRPr="001843F3">
        <w:rPr>
          <w:rFonts w:ascii="Cambria" w:eastAsia="Cambria" w:hAnsi="Cambria" w:cs="Cambria"/>
          <w:sz w:val="20"/>
          <w:szCs w:val="20"/>
          <w:lang w:val="es-CO"/>
        </w:rPr>
        <w:t xml:space="preserve"> Asimismo, </w:t>
      </w:r>
      <w:r w:rsidR="0021280B" w:rsidRPr="001843F3">
        <w:rPr>
          <w:rFonts w:ascii="Cambria" w:eastAsia="Cambria" w:hAnsi="Cambria" w:cs="Cambria"/>
          <w:sz w:val="20"/>
          <w:szCs w:val="20"/>
          <w:lang w:val="es-CO"/>
        </w:rPr>
        <w:t xml:space="preserve">la Comisión acreditó la participación directa de agentes públicos, quienes ingresaron a domicilios, detuvieron a cinco personas y se las llevaron a un rumbo desconocido. </w:t>
      </w:r>
      <w:r w:rsidR="00037A6D" w:rsidRPr="001843F3">
        <w:rPr>
          <w:rFonts w:ascii="Cambria" w:eastAsia="Cambria" w:hAnsi="Cambria" w:cs="Cambria"/>
          <w:sz w:val="20"/>
          <w:szCs w:val="20"/>
          <w:lang w:val="es-CO"/>
        </w:rPr>
        <w:t>L</w:t>
      </w:r>
      <w:r w:rsidR="0021280B" w:rsidRPr="001843F3">
        <w:rPr>
          <w:rFonts w:ascii="Cambria" w:eastAsia="Cambria" w:hAnsi="Cambria" w:cs="Cambria"/>
          <w:sz w:val="20"/>
          <w:szCs w:val="20"/>
          <w:lang w:val="es-CO"/>
        </w:rPr>
        <w:t xml:space="preserve">a Comisión </w:t>
      </w:r>
      <w:r w:rsidR="00037A6D" w:rsidRPr="001843F3">
        <w:rPr>
          <w:rFonts w:ascii="Cambria" w:eastAsia="Cambria" w:hAnsi="Cambria" w:cs="Cambria"/>
          <w:sz w:val="20"/>
          <w:szCs w:val="20"/>
          <w:lang w:val="es-CO"/>
        </w:rPr>
        <w:t xml:space="preserve">también </w:t>
      </w:r>
      <w:r w:rsidR="0021280B" w:rsidRPr="001843F3">
        <w:rPr>
          <w:rFonts w:ascii="Cambria" w:eastAsia="Cambria" w:hAnsi="Cambria" w:cs="Cambria"/>
          <w:sz w:val="20"/>
          <w:szCs w:val="20"/>
          <w:lang w:val="es-CO"/>
        </w:rPr>
        <w:t>consideró la información sobre la negativa del Estado de revelar el paradero de las cinco personas, por lo que determinó que se configuraron los tres elementos concurrentes para determinar la desaparición forzada de cinco víctimas. En consecuencia, la Comisión concluyó que el Estado es responsable por la desaparición forzada de Natividad de Jesús Ramírez, Salvador Ramírez, José Elías Ramírez, Jorge Alberto Ramírez y Guadalupe Roble</w:t>
      </w:r>
      <w:r w:rsidR="003574CE" w:rsidRPr="001843F3">
        <w:rPr>
          <w:rFonts w:ascii="Cambria" w:eastAsia="Cambria" w:hAnsi="Cambria" w:cs="Cambria"/>
          <w:sz w:val="20"/>
          <w:szCs w:val="20"/>
          <w:lang w:val="es-CO"/>
        </w:rPr>
        <w:t xml:space="preserve">, </w:t>
      </w:r>
      <w:r w:rsidR="00FF2034" w:rsidRPr="001843F3">
        <w:rPr>
          <w:rFonts w:ascii="Cambria" w:eastAsia="Cambria" w:hAnsi="Cambria" w:cs="Cambria"/>
          <w:sz w:val="20"/>
          <w:szCs w:val="20"/>
          <w:lang w:val="es-CO"/>
        </w:rPr>
        <w:t>violando los derecho</w:t>
      </w:r>
      <w:r w:rsidR="0008492D" w:rsidRPr="001843F3">
        <w:rPr>
          <w:rFonts w:ascii="Cambria" w:eastAsia="Cambria" w:hAnsi="Cambria" w:cs="Cambria"/>
          <w:sz w:val="20"/>
          <w:szCs w:val="20"/>
          <w:lang w:val="es-CO"/>
        </w:rPr>
        <w:t xml:space="preserve">s a la personalidad jurídica, a la vida, a la integridad personal y a la libertad personal, </w:t>
      </w:r>
      <w:r w:rsidR="003574CE" w:rsidRPr="001843F3">
        <w:rPr>
          <w:rFonts w:ascii="Cambria" w:eastAsia="Cambria" w:hAnsi="Cambria" w:cs="Cambria"/>
          <w:sz w:val="20"/>
          <w:szCs w:val="20"/>
          <w:lang w:val="es-CO"/>
        </w:rPr>
        <w:t xml:space="preserve">así como que, </w:t>
      </w:r>
      <w:r w:rsidR="0021280B" w:rsidRPr="001843F3">
        <w:rPr>
          <w:rFonts w:ascii="Cambria" w:eastAsia="Cambria" w:hAnsi="Cambria" w:cs="Cambria"/>
          <w:sz w:val="20"/>
          <w:szCs w:val="20"/>
          <w:lang w:val="es-CO"/>
        </w:rPr>
        <w:t xml:space="preserve">debido a que José Elías tenía 13 años y Jorge Alberto 14 años, el Estado vulneró sus deberes de especial protección de la niñez. </w:t>
      </w:r>
    </w:p>
    <w:p w14:paraId="2EB3EBE8" w14:textId="77777777" w:rsidR="0021280B" w:rsidRPr="001843F3" w:rsidRDefault="0021280B" w:rsidP="0021280B">
      <w:pPr>
        <w:tabs>
          <w:tab w:val="left" w:pos="360"/>
          <w:tab w:val="left" w:pos="2880"/>
        </w:tabs>
        <w:spacing w:after="0" w:line="240" w:lineRule="auto"/>
        <w:jc w:val="both"/>
        <w:rPr>
          <w:rFonts w:ascii="Cambria" w:eastAsia="Cambria" w:hAnsi="Cambria" w:cs="Cambria"/>
          <w:sz w:val="20"/>
          <w:szCs w:val="20"/>
          <w:lang w:val="es-CO"/>
        </w:rPr>
      </w:pPr>
    </w:p>
    <w:p w14:paraId="476DFE2B" w14:textId="0379A1EC" w:rsidR="0021280B" w:rsidRPr="001843F3" w:rsidRDefault="005B15FF" w:rsidP="0021280B">
      <w:pPr>
        <w:tabs>
          <w:tab w:val="left" w:pos="360"/>
          <w:tab w:val="left" w:pos="2880"/>
        </w:tabs>
        <w:spacing w:after="0" w:line="240" w:lineRule="auto"/>
        <w:jc w:val="both"/>
        <w:rPr>
          <w:rFonts w:ascii="Cambria" w:eastAsia="Cambria" w:hAnsi="Cambria" w:cs="Cambria"/>
          <w:sz w:val="20"/>
          <w:szCs w:val="20"/>
          <w:lang w:val="es-CO"/>
        </w:rPr>
      </w:pPr>
      <w:r w:rsidRPr="001843F3">
        <w:rPr>
          <w:rFonts w:ascii="Cambria" w:eastAsia="Cambria" w:hAnsi="Cambria" w:cs="Cambria"/>
          <w:sz w:val="20"/>
          <w:szCs w:val="20"/>
          <w:lang w:val="es-CO"/>
        </w:rPr>
        <w:tab/>
      </w:r>
      <w:r w:rsidR="003574CE" w:rsidRPr="001843F3">
        <w:rPr>
          <w:rFonts w:ascii="Cambria" w:eastAsia="Cambria" w:hAnsi="Cambria" w:cs="Cambria"/>
          <w:sz w:val="20"/>
          <w:szCs w:val="20"/>
          <w:lang w:val="es-CO"/>
        </w:rPr>
        <w:t xml:space="preserve">En relación con la investigación, </w:t>
      </w:r>
      <w:r w:rsidR="0021280B" w:rsidRPr="001843F3">
        <w:rPr>
          <w:rFonts w:ascii="Cambria" w:eastAsia="Cambria" w:hAnsi="Cambria" w:cs="Cambria"/>
          <w:sz w:val="20"/>
          <w:szCs w:val="20"/>
          <w:lang w:val="es-CO"/>
        </w:rPr>
        <w:t xml:space="preserve">la Comisión observó una serie de omisiones en el deber de investigación luego de ocurridos los hechos. En relación con las muertes de Rufino </w:t>
      </w:r>
      <w:r w:rsidRPr="001843F3">
        <w:rPr>
          <w:rFonts w:ascii="Cambria" w:eastAsia="Cambria" w:hAnsi="Cambria" w:cs="Cambria"/>
          <w:sz w:val="20"/>
          <w:szCs w:val="20"/>
          <w:lang w:val="es-CO"/>
        </w:rPr>
        <w:t>Ramírez</w:t>
      </w:r>
      <w:r w:rsidR="0021280B" w:rsidRPr="001843F3">
        <w:rPr>
          <w:rFonts w:ascii="Cambria" w:eastAsia="Cambria" w:hAnsi="Cambria" w:cs="Cambria"/>
          <w:sz w:val="20"/>
          <w:szCs w:val="20"/>
          <w:lang w:val="es-CO"/>
        </w:rPr>
        <w:t xml:space="preserve"> y Teresa de Jesús Ramírez, la Comisión notó que los miembros de la Fuerza Pública no preservaron la escena del crimen ni existe documentación que acredite que realizó la autopsia correspondiente. Tampoco consta información que acredite que las autoridades llevaron a cabo la búsqueda después de la retención y desaparición de las víctimas cuyo paradero actualmente se desconoce. </w:t>
      </w:r>
    </w:p>
    <w:p w14:paraId="61BC9E1F" w14:textId="77777777" w:rsidR="0021280B" w:rsidRPr="001843F3" w:rsidRDefault="0021280B" w:rsidP="0021280B">
      <w:pPr>
        <w:tabs>
          <w:tab w:val="left" w:pos="360"/>
          <w:tab w:val="left" w:pos="2880"/>
        </w:tabs>
        <w:spacing w:after="0" w:line="240" w:lineRule="auto"/>
        <w:jc w:val="both"/>
        <w:rPr>
          <w:rFonts w:ascii="Cambria" w:eastAsia="Cambria" w:hAnsi="Cambria" w:cs="Cambria"/>
          <w:sz w:val="20"/>
          <w:szCs w:val="20"/>
          <w:lang w:val="es-CO"/>
        </w:rPr>
      </w:pPr>
    </w:p>
    <w:p w14:paraId="1C0AF7AF" w14:textId="08D28636" w:rsidR="0021280B" w:rsidRPr="001843F3" w:rsidRDefault="005B15FF" w:rsidP="0021280B">
      <w:pPr>
        <w:tabs>
          <w:tab w:val="left" w:pos="360"/>
          <w:tab w:val="left" w:pos="2880"/>
        </w:tabs>
        <w:spacing w:after="0" w:line="240" w:lineRule="auto"/>
        <w:jc w:val="both"/>
        <w:rPr>
          <w:rFonts w:ascii="Cambria" w:eastAsia="Cambria" w:hAnsi="Cambria" w:cs="Cambria"/>
          <w:sz w:val="20"/>
          <w:szCs w:val="20"/>
          <w:lang w:val="es-CO"/>
        </w:rPr>
      </w:pPr>
      <w:r w:rsidRPr="001843F3">
        <w:rPr>
          <w:rFonts w:ascii="Cambria" w:eastAsia="Cambria" w:hAnsi="Cambria" w:cs="Cambria"/>
          <w:sz w:val="20"/>
          <w:szCs w:val="20"/>
          <w:lang w:val="es-CO"/>
        </w:rPr>
        <w:tab/>
      </w:r>
      <w:r w:rsidR="0021280B" w:rsidRPr="001843F3">
        <w:rPr>
          <w:rFonts w:ascii="Cambria" w:eastAsia="Cambria" w:hAnsi="Cambria" w:cs="Cambria"/>
          <w:sz w:val="20"/>
          <w:szCs w:val="20"/>
          <w:lang w:val="es-CO"/>
        </w:rPr>
        <w:t>La Comisión notó que la investigación se</w:t>
      </w:r>
      <w:r w:rsidR="00C43E44" w:rsidRPr="001843F3">
        <w:rPr>
          <w:rFonts w:ascii="Cambria" w:eastAsia="Cambria" w:hAnsi="Cambria" w:cs="Cambria"/>
          <w:sz w:val="20"/>
          <w:szCs w:val="20"/>
          <w:lang w:val="es-CO"/>
        </w:rPr>
        <w:t xml:space="preserve"> abrió</w:t>
      </w:r>
      <w:r w:rsidR="0021280B" w:rsidRPr="001843F3">
        <w:rPr>
          <w:rFonts w:ascii="Cambria" w:eastAsia="Cambria" w:hAnsi="Cambria" w:cs="Cambria"/>
          <w:sz w:val="20"/>
          <w:szCs w:val="20"/>
          <w:lang w:val="es-CO"/>
        </w:rPr>
        <w:t xml:space="preserve"> en 2003, aproximadamente dos décadas después de ocurridos los hechos, y</w:t>
      </w:r>
      <w:r w:rsidR="00C43E44" w:rsidRPr="001843F3">
        <w:rPr>
          <w:rFonts w:ascii="Cambria" w:eastAsia="Cambria" w:hAnsi="Cambria" w:cs="Cambria"/>
          <w:sz w:val="20"/>
          <w:szCs w:val="20"/>
          <w:lang w:val="es-CO"/>
        </w:rPr>
        <w:t xml:space="preserve"> que</w:t>
      </w:r>
      <w:r w:rsidR="0021280B" w:rsidRPr="001843F3">
        <w:rPr>
          <w:rFonts w:ascii="Cambria" w:eastAsia="Cambria" w:hAnsi="Cambria" w:cs="Cambria"/>
          <w:sz w:val="20"/>
          <w:szCs w:val="20"/>
          <w:lang w:val="es-CO"/>
        </w:rPr>
        <w:t xml:space="preserve"> el Estado no presentó ningún tipo de documentación que acreditara los resultados de las diligencias que indicó </w:t>
      </w:r>
      <w:r w:rsidR="00B95FB2" w:rsidRPr="001843F3">
        <w:rPr>
          <w:rFonts w:ascii="Cambria" w:eastAsia="Cambria" w:hAnsi="Cambria" w:cs="Cambria"/>
          <w:sz w:val="20"/>
          <w:szCs w:val="20"/>
          <w:lang w:val="es-CO"/>
        </w:rPr>
        <w:t xml:space="preserve">haber </w:t>
      </w:r>
      <w:r w:rsidR="0021280B" w:rsidRPr="001843F3">
        <w:rPr>
          <w:rFonts w:ascii="Cambria" w:eastAsia="Cambria" w:hAnsi="Cambria" w:cs="Cambria"/>
          <w:sz w:val="20"/>
          <w:szCs w:val="20"/>
          <w:lang w:val="es-CO"/>
        </w:rPr>
        <w:t>realiz</w:t>
      </w:r>
      <w:r w:rsidR="00B95FB2" w:rsidRPr="001843F3">
        <w:rPr>
          <w:rFonts w:ascii="Cambria" w:eastAsia="Cambria" w:hAnsi="Cambria" w:cs="Cambria"/>
          <w:sz w:val="20"/>
          <w:szCs w:val="20"/>
          <w:lang w:val="es-CO"/>
        </w:rPr>
        <w:t>ado</w:t>
      </w:r>
      <w:r w:rsidR="0021280B" w:rsidRPr="001843F3">
        <w:rPr>
          <w:rFonts w:ascii="Cambria" w:eastAsia="Cambria" w:hAnsi="Cambria" w:cs="Cambria"/>
          <w:sz w:val="20"/>
          <w:szCs w:val="20"/>
          <w:lang w:val="es-CO"/>
        </w:rPr>
        <w:t xml:space="preserve"> respecto de la investigación. </w:t>
      </w:r>
      <w:r w:rsidR="00B95FB2" w:rsidRPr="001843F3">
        <w:rPr>
          <w:rFonts w:ascii="Cambria" w:eastAsia="Cambria" w:hAnsi="Cambria" w:cs="Cambria"/>
          <w:sz w:val="20"/>
          <w:szCs w:val="20"/>
          <w:lang w:val="es-CO"/>
        </w:rPr>
        <w:t>De igual forma</w:t>
      </w:r>
      <w:r w:rsidR="0021280B" w:rsidRPr="001843F3">
        <w:rPr>
          <w:rFonts w:ascii="Cambria" w:eastAsia="Cambria" w:hAnsi="Cambria" w:cs="Cambria"/>
          <w:sz w:val="20"/>
          <w:szCs w:val="20"/>
          <w:lang w:val="es-CO"/>
        </w:rPr>
        <w:t xml:space="preserve">, el Estado no presentó información relativa a las acciones de búsqueda para determinar el paradero de las víctimas desaparecidas, ni razón alguna para acreditar el archivo sobre las diligencias que habría realizado luego de la reapertura de la investigación. Adicionalmente la Comisión indicó que el Estado tampoco presentó documentación que acredite la realización de una investigación con perspectiva de género, en particular por la ejecución extrajudicial de Teresa de Jesús Ramírez. </w:t>
      </w:r>
    </w:p>
    <w:p w14:paraId="6BCCC80B" w14:textId="77777777" w:rsidR="0021280B" w:rsidRPr="001843F3" w:rsidRDefault="0021280B" w:rsidP="0021280B">
      <w:pPr>
        <w:tabs>
          <w:tab w:val="left" w:pos="360"/>
          <w:tab w:val="left" w:pos="2880"/>
        </w:tabs>
        <w:spacing w:after="0" w:line="240" w:lineRule="auto"/>
        <w:jc w:val="both"/>
        <w:rPr>
          <w:rFonts w:ascii="Cambria" w:eastAsia="Cambria" w:hAnsi="Cambria" w:cs="Cambria"/>
          <w:sz w:val="20"/>
          <w:szCs w:val="20"/>
          <w:lang w:val="es-CO"/>
        </w:rPr>
      </w:pPr>
    </w:p>
    <w:p w14:paraId="17D173F3" w14:textId="1CC691C2" w:rsidR="004C0935" w:rsidRPr="001843F3" w:rsidRDefault="005B15FF" w:rsidP="004C0935">
      <w:pPr>
        <w:tabs>
          <w:tab w:val="left" w:pos="360"/>
          <w:tab w:val="left" w:pos="2880"/>
        </w:tabs>
        <w:spacing w:after="0" w:line="240" w:lineRule="auto"/>
        <w:jc w:val="both"/>
        <w:rPr>
          <w:rFonts w:ascii="Cambria" w:eastAsia="Cambria" w:hAnsi="Cambria" w:cs="Cambria"/>
          <w:sz w:val="20"/>
          <w:szCs w:val="20"/>
          <w:lang w:val="es-CO"/>
        </w:rPr>
      </w:pPr>
      <w:r w:rsidRPr="001843F3">
        <w:rPr>
          <w:rFonts w:ascii="Cambria" w:eastAsia="Cambria" w:hAnsi="Cambria" w:cs="Cambria"/>
          <w:sz w:val="20"/>
          <w:szCs w:val="20"/>
          <w:lang w:val="es-CO"/>
        </w:rPr>
        <w:tab/>
      </w:r>
      <w:r w:rsidR="0021280B" w:rsidRPr="001843F3">
        <w:rPr>
          <w:rFonts w:ascii="Cambria" w:eastAsia="Cambria" w:hAnsi="Cambria" w:cs="Cambria"/>
          <w:sz w:val="20"/>
          <w:szCs w:val="20"/>
          <w:lang w:val="es-CO"/>
        </w:rPr>
        <w:t>Por lo anterior, la Comisión</w:t>
      </w:r>
      <w:r w:rsidR="00C02E4F" w:rsidRPr="001843F3">
        <w:rPr>
          <w:rFonts w:ascii="Cambria" w:eastAsia="Cambria" w:hAnsi="Cambria" w:cs="Cambria"/>
          <w:sz w:val="20"/>
          <w:szCs w:val="20"/>
          <w:lang w:val="es-CO"/>
        </w:rPr>
        <w:t xml:space="preserve"> consideró que a la fecha se mantiene una situación de impunidad por los hechos del caso y que el Estado ha incumplido su deber de garantizar una adecuada investigación a efectos de identificar y en su caso, sancionar a todas las personas responsables de la desaparición forzada de</w:t>
      </w:r>
      <w:r w:rsidR="004C0935" w:rsidRPr="001843F3">
        <w:rPr>
          <w:rFonts w:ascii="Cambria" w:eastAsia="Cambria" w:hAnsi="Cambria" w:cs="Cambria"/>
          <w:sz w:val="20"/>
          <w:szCs w:val="20"/>
          <w:lang w:val="es-CO"/>
        </w:rPr>
        <w:t xml:space="preserve"> </w:t>
      </w:r>
      <w:r w:rsidR="00C02E4F" w:rsidRPr="001843F3">
        <w:rPr>
          <w:rFonts w:ascii="Cambria" w:eastAsia="Cambria" w:hAnsi="Cambria" w:cs="Cambria"/>
          <w:sz w:val="20"/>
          <w:szCs w:val="20"/>
          <w:lang w:val="es-CO"/>
        </w:rPr>
        <w:t>Natividad de Jesús Ramírez, Salvador Ramírez, José Elías Ramírez, Jorge Alberto Ramírez y Guadalupe Roble; y</w:t>
      </w:r>
      <w:r w:rsidR="004C0935" w:rsidRPr="001843F3">
        <w:rPr>
          <w:rFonts w:ascii="Cambria" w:eastAsia="Cambria" w:hAnsi="Cambria" w:cs="Cambria"/>
          <w:sz w:val="20"/>
          <w:szCs w:val="20"/>
          <w:lang w:val="es-CO"/>
        </w:rPr>
        <w:t xml:space="preserve"> </w:t>
      </w:r>
      <w:r w:rsidR="00C02E4F" w:rsidRPr="001843F3">
        <w:rPr>
          <w:rFonts w:ascii="Cambria" w:eastAsia="Cambria" w:hAnsi="Cambria" w:cs="Cambria"/>
          <w:sz w:val="20"/>
          <w:szCs w:val="20"/>
          <w:lang w:val="es-CO"/>
        </w:rPr>
        <w:t>las ejecuciones extrajudiciales de Rufino Ramírez y Teresa de Jesús Ramírez. En consecuencia, la CIDH concluy</w:t>
      </w:r>
      <w:r w:rsidR="004C0935" w:rsidRPr="001843F3">
        <w:rPr>
          <w:rFonts w:ascii="Cambria" w:eastAsia="Cambria" w:hAnsi="Cambria" w:cs="Cambria"/>
          <w:sz w:val="20"/>
          <w:szCs w:val="20"/>
          <w:lang w:val="es-CO"/>
        </w:rPr>
        <w:t xml:space="preserve">ó </w:t>
      </w:r>
      <w:r w:rsidR="00C02E4F" w:rsidRPr="001843F3">
        <w:rPr>
          <w:rFonts w:ascii="Cambria" w:eastAsia="Cambria" w:hAnsi="Cambria" w:cs="Cambria"/>
          <w:sz w:val="20"/>
          <w:szCs w:val="20"/>
          <w:lang w:val="es-CO"/>
        </w:rPr>
        <w:t>que el Estado vulneró los derechos a las garantías judiciales y protección judicia</w:t>
      </w:r>
      <w:r w:rsidR="004C0935" w:rsidRPr="001843F3">
        <w:rPr>
          <w:rFonts w:ascii="Cambria" w:eastAsia="Cambria" w:hAnsi="Cambria" w:cs="Cambria"/>
          <w:sz w:val="20"/>
          <w:szCs w:val="20"/>
          <w:lang w:val="es-CO"/>
        </w:rPr>
        <w:t xml:space="preserve">l. </w:t>
      </w:r>
    </w:p>
    <w:p w14:paraId="2A23352D" w14:textId="3CAD0D20" w:rsidR="0021280B" w:rsidRPr="001843F3" w:rsidRDefault="0021280B" w:rsidP="00C02E4F">
      <w:pPr>
        <w:tabs>
          <w:tab w:val="left" w:pos="360"/>
          <w:tab w:val="left" w:pos="2880"/>
        </w:tabs>
        <w:spacing w:after="0" w:line="240" w:lineRule="auto"/>
        <w:jc w:val="both"/>
        <w:rPr>
          <w:rFonts w:ascii="Cambria" w:eastAsia="Cambria" w:hAnsi="Cambria" w:cs="Cambria"/>
          <w:sz w:val="20"/>
          <w:szCs w:val="20"/>
          <w:lang w:val="es-CO"/>
        </w:rPr>
      </w:pPr>
      <w:r w:rsidRPr="001843F3">
        <w:rPr>
          <w:rFonts w:ascii="Cambria" w:eastAsia="Cambria" w:hAnsi="Cambria" w:cs="Cambria"/>
          <w:sz w:val="20"/>
          <w:szCs w:val="20"/>
          <w:lang w:val="es-CO"/>
        </w:rPr>
        <w:t xml:space="preserve">. </w:t>
      </w:r>
    </w:p>
    <w:p w14:paraId="23BBB779" w14:textId="77777777" w:rsidR="0021280B" w:rsidRPr="00900C2D" w:rsidRDefault="0021280B" w:rsidP="0021280B">
      <w:pPr>
        <w:tabs>
          <w:tab w:val="left" w:pos="360"/>
          <w:tab w:val="left" w:pos="2880"/>
        </w:tabs>
        <w:spacing w:after="0" w:line="240" w:lineRule="auto"/>
        <w:jc w:val="both"/>
        <w:rPr>
          <w:rFonts w:ascii="Cambria" w:eastAsia="Cambria" w:hAnsi="Cambria" w:cs="Cambria"/>
          <w:sz w:val="20"/>
          <w:szCs w:val="20"/>
          <w:lang w:val="es-CO"/>
        </w:rPr>
      </w:pPr>
    </w:p>
    <w:p w14:paraId="737A524E" w14:textId="43227A9C" w:rsidR="0021280B" w:rsidRPr="001843F3" w:rsidRDefault="005B15FF" w:rsidP="0021280B">
      <w:pPr>
        <w:tabs>
          <w:tab w:val="left" w:pos="360"/>
          <w:tab w:val="left" w:pos="2880"/>
        </w:tabs>
        <w:spacing w:after="0" w:line="240" w:lineRule="auto"/>
        <w:jc w:val="both"/>
        <w:rPr>
          <w:rFonts w:ascii="Cambria" w:eastAsia="Cambria" w:hAnsi="Cambria" w:cs="Cambria"/>
          <w:sz w:val="20"/>
          <w:szCs w:val="20"/>
          <w:lang w:val="es-CO"/>
        </w:rPr>
      </w:pPr>
      <w:r w:rsidRPr="001843F3">
        <w:rPr>
          <w:rFonts w:ascii="Cambria" w:eastAsia="Cambria" w:hAnsi="Cambria" w:cs="Cambria"/>
          <w:sz w:val="20"/>
          <w:szCs w:val="20"/>
          <w:lang w:val="es-CO"/>
        </w:rPr>
        <w:tab/>
      </w:r>
      <w:r w:rsidR="004C0935" w:rsidRPr="001843F3">
        <w:rPr>
          <w:rFonts w:ascii="Cambria" w:eastAsia="Cambria" w:hAnsi="Cambria" w:cs="Cambria"/>
          <w:sz w:val="20"/>
          <w:szCs w:val="20"/>
          <w:lang w:val="es-CO"/>
        </w:rPr>
        <w:t>Finalmente</w:t>
      </w:r>
      <w:r w:rsidR="0021280B" w:rsidRPr="001843F3">
        <w:rPr>
          <w:rFonts w:ascii="Cambria" w:eastAsia="Cambria" w:hAnsi="Cambria" w:cs="Cambria"/>
          <w:sz w:val="20"/>
          <w:szCs w:val="20"/>
          <w:lang w:val="es-CO"/>
        </w:rPr>
        <w:t xml:space="preserve">, la Comisión consideró que la muerte de dos personas y la desaparición forzada de cinco personas, así como la ausencia de investigación completa y efectiva que a su vez ocasionó sufrimiento y angustia de no conocer la verdad, constituye en sí misma una afectación a la integridad psíquica y moral de los miembros de la familia Ramírez, a </w:t>
      </w:r>
      <w:r w:rsidR="00177015" w:rsidRPr="001843F3">
        <w:rPr>
          <w:rFonts w:ascii="Cambria" w:eastAsia="Cambria" w:hAnsi="Cambria" w:cs="Cambria"/>
          <w:sz w:val="20"/>
          <w:szCs w:val="20"/>
          <w:lang w:val="es-CO"/>
        </w:rPr>
        <w:t>lo cual</w:t>
      </w:r>
      <w:r w:rsidR="0021280B" w:rsidRPr="001843F3">
        <w:rPr>
          <w:rFonts w:ascii="Cambria" w:eastAsia="Cambria" w:hAnsi="Cambria" w:cs="Cambria"/>
          <w:sz w:val="20"/>
          <w:szCs w:val="20"/>
          <w:lang w:val="es-CO"/>
        </w:rPr>
        <w:t>, se le suma que algunos de los familiares presenciaron de manera directa los hechos ocurridos. Asimismo, la Comisión resaltó el impacto desproporcionado de la violencia en mujeres y niñas en el marco de un conflicto armado. Por ello, la Comisión concluyó que el Estado violó el derecho a la integridad personal y protección de la familia en perjuicio de los familiares de las víctimas identificadas en el Informe.</w:t>
      </w:r>
    </w:p>
    <w:p w14:paraId="36B460C4" w14:textId="77777777" w:rsidR="0021280B" w:rsidRPr="00900C2D" w:rsidRDefault="0021280B" w:rsidP="0021280B">
      <w:pPr>
        <w:tabs>
          <w:tab w:val="left" w:pos="360"/>
          <w:tab w:val="left" w:pos="2880"/>
        </w:tabs>
        <w:spacing w:after="0" w:line="240" w:lineRule="auto"/>
        <w:jc w:val="both"/>
        <w:rPr>
          <w:rFonts w:ascii="Cambria" w:eastAsia="Cambria" w:hAnsi="Cambria" w:cs="Cambria"/>
          <w:sz w:val="20"/>
          <w:szCs w:val="20"/>
          <w:lang w:val="es-CO"/>
        </w:rPr>
      </w:pPr>
    </w:p>
    <w:p w14:paraId="7F32F56F" w14:textId="6CF24559" w:rsidR="0021280B" w:rsidRPr="001843F3" w:rsidRDefault="005B15FF" w:rsidP="0021280B">
      <w:pPr>
        <w:tabs>
          <w:tab w:val="left" w:pos="360"/>
          <w:tab w:val="left" w:pos="2880"/>
        </w:tabs>
        <w:spacing w:after="0" w:line="240" w:lineRule="auto"/>
        <w:jc w:val="both"/>
        <w:rPr>
          <w:rFonts w:ascii="Cambria" w:eastAsia="Cambria" w:hAnsi="Cambria" w:cs="Cambria"/>
          <w:sz w:val="20"/>
          <w:szCs w:val="20"/>
          <w:lang w:val="es-CO"/>
        </w:rPr>
      </w:pPr>
      <w:r w:rsidRPr="001843F3">
        <w:rPr>
          <w:rFonts w:ascii="Cambria" w:eastAsia="Cambria" w:hAnsi="Cambria" w:cs="Cambria"/>
          <w:sz w:val="20"/>
          <w:szCs w:val="20"/>
          <w:lang w:val="es-CO"/>
        </w:rPr>
        <w:tab/>
      </w:r>
      <w:r w:rsidR="0021280B" w:rsidRPr="001843F3">
        <w:rPr>
          <w:rFonts w:ascii="Cambria" w:eastAsia="Cambria" w:hAnsi="Cambria" w:cs="Cambria"/>
          <w:sz w:val="20"/>
          <w:szCs w:val="20"/>
          <w:lang w:val="es-CO"/>
        </w:rPr>
        <w:t xml:space="preserve">Con base en </w:t>
      </w:r>
      <w:r w:rsidRPr="001843F3">
        <w:rPr>
          <w:rFonts w:ascii="Cambria" w:eastAsia="Cambria" w:hAnsi="Cambria" w:cs="Cambria"/>
          <w:sz w:val="20"/>
          <w:szCs w:val="20"/>
          <w:lang w:val="es-CO"/>
        </w:rPr>
        <w:t>dichas</w:t>
      </w:r>
      <w:r w:rsidR="0021280B" w:rsidRPr="001843F3">
        <w:rPr>
          <w:rFonts w:ascii="Cambria" w:eastAsia="Cambria" w:hAnsi="Cambria" w:cs="Cambria"/>
          <w:sz w:val="20"/>
          <w:szCs w:val="20"/>
          <w:lang w:val="es-CO"/>
        </w:rPr>
        <w:t xml:space="preserve"> determinaciones de hecho y de derecho, la Comisión Interamericana concluy</w:t>
      </w:r>
      <w:r w:rsidRPr="001843F3">
        <w:rPr>
          <w:rFonts w:ascii="Cambria" w:eastAsia="Cambria" w:hAnsi="Cambria" w:cs="Cambria"/>
          <w:sz w:val="20"/>
          <w:szCs w:val="20"/>
          <w:lang w:val="es-CO"/>
        </w:rPr>
        <w:t xml:space="preserve">ó </w:t>
      </w:r>
      <w:r w:rsidR="0021280B" w:rsidRPr="001843F3">
        <w:rPr>
          <w:rFonts w:ascii="Cambria" w:eastAsia="Cambria" w:hAnsi="Cambria" w:cs="Cambria"/>
          <w:sz w:val="20"/>
          <w:szCs w:val="20"/>
          <w:lang w:val="es-CO"/>
        </w:rPr>
        <w:t>que el Estado es responsable por la violación de los derechos al reconocimiento de la personalidad jurídica, vida, integridad personal, libertad personal, garantías judiciales, protección de la familia</w:t>
      </w:r>
      <w:r w:rsidR="00722E8E" w:rsidRPr="001843F3">
        <w:rPr>
          <w:rFonts w:ascii="Cambria" w:eastAsia="Cambria" w:hAnsi="Cambria" w:cs="Cambria"/>
          <w:sz w:val="20"/>
          <w:szCs w:val="20"/>
          <w:lang w:val="es-CO"/>
        </w:rPr>
        <w:t xml:space="preserve">, derechos de niñez </w:t>
      </w:r>
      <w:r w:rsidR="0021280B" w:rsidRPr="001843F3">
        <w:rPr>
          <w:rFonts w:ascii="Cambria" w:eastAsia="Cambria" w:hAnsi="Cambria" w:cs="Cambria"/>
          <w:sz w:val="20"/>
          <w:szCs w:val="20"/>
          <w:lang w:val="es-CO"/>
        </w:rPr>
        <w:t>y protección judicial, establecidos en los artículos 3, 4.1, 5.1</w:t>
      </w:r>
      <w:r w:rsidR="002E4A40" w:rsidRPr="001843F3">
        <w:rPr>
          <w:rFonts w:ascii="Cambria" w:eastAsia="Cambria" w:hAnsi="Cambria" w:cs="Cambria"/>
          <w:sz w:val="20"/>
          <w:szCs w:val="20"/>
          <w:lang w:val="es-CO"/>
        </w:rPr>
        <w:t xml:space="preserve">, </w:t>
      </w:r>
      <w:r w:rsidR="0021280B" w:rsidRPr="001843F3">
        <w:rPr>
          <w:rFonts w:ascii="Cambria" w:eastAsia="Cambria" w:hAnsi="Cambria" w:cs="Cambria"/>
          <w:sz w:val="20"/>
          <w:szCs w:val="20"/>
          <w:lang w:val="es-CO"/>
        </w:rPr>
        <w:t>7.1, 8.1, 17, 19 y 25.1 Convención Americana sobre Derechos Humanos, en relación con el artículo 1.1 del mismo instrumento, en perjuicio de las personas identificadas en las diversas secciones del informe.</w:t>
      </w:r>
    </w:p>
    <w:p w14:paraId="20E0CAD5" w14:textId="77777777" w:rsidR="0021280B" w:rsidRPr="00900C2D" w:rsidRDefault="0021280B" w:rsidP="0021280B">
      <w:pPr>
        <w:tabs>
          <w:tab w:val="left" w:pos="360"/>
          <w:tab w:val="left" w:pos="540"/>
          <w:tab w:val="left" w:pos="1440"/>
        </w:tabs>
        <w:spacing w:after="0" w:line="240" w:lineRule="auto"/>
        <w:ind w:left="90" w:right="270"/>
        <w:jc w:val="both"/>
        <w:rPr>
          <w:rFonts w:ascii="Cambria" w:eastAsia="Cambria" w:hAnsi="Cambria" w:cs="Cambria"/>
          <w:color w:val="000000"/>
          <w:sz w:val="20"/>
          <w:szCs w:val="20"/>
          <w:lang w:val="es-CO"/>
        </w:rPr>
      </w:pPr>
    </w:p>
    <w:p w14:paraId="6AD2087F" w14:textId="77777777" w:rsidR="0021280B" w:rsidRPr="001843F3" w:rsidRDefault="0021280B" w:rsidP="00637797">
      <w:pPr>
        <w:tabs>
          <w:tab w:val="left" w:pos="360"/>
          <w:tab w:val="left" w:pos="540"/>
          <w:tab w:val="left" w:pos="1440"/>
        </w:tabs>
        <w:spacing w:after="0" w:line="240" w:lineRule="auto"/>
        <w:jc w:val="both"/>
        <w:rPr>
          <w:rFonts w:ascii="Cambria" w:eastAsia="Cambria" w:hAnsi="Cambria" w:cs="Cambria"/>
          <w:color w:val="000000"/>
          <w:sz w:val="20"/>
          <w:szCs w:val="20"/>
          <w:lang w:val="es-CO"/>
        </w:rPr>
      </w:pPr>
      <w:r w:rsidRPr="001843F3">
        <w:rPr>
          <w:rFonts w:ascii="Cambria" w:eastAsia="Cambria" w:hAnsi="Cambria" w:cs="Cambria"/>
          <w:color w:val="000000"/>
          <w:sz w:val="20"/>
          <w:szCs w:val="20"/>
          <w:lang w:val="es-CO"/>
        </w:rPr>
        <w:tab/>
      </w:r>
      <w:r w:rsidRPr="001843F3">
        <w:rPr>
          <w:rFonts w:ascii="Cambria" w:hAnsi="Cambria" w:cs="Calibri"/>
          <w:sz w:val="20"/>
          <w:szCs w:val="20"/>
          <w:lang w:val="es-CO"/>
        </w:rPr>
        <w:t xml:space="preserve">El Estado depositó el instrumento de ratificación de la Convención Americana sobre Derechos Humanos el 23 de junio de 1978 y aceptó la competencia contenciosa de la Corte el 6 de junio de 1995. </w:t>
      </w:r>
    </w:p>
    <w:p w14:paraId="169CD60B" w14:textId="77777777" w:rsidR="0021280B" w:rsidRPr="00900C2D" w:rsidRDefault="0021280B" w:rsidP="00637797">
      <w:pPr>
        <w:widowControl w:val="0"/>
        <w:autoSpaceDE w:val="0"/>
        <w:autoSpaceDN w:val="0"/>
        <w:adjustRightInd w:val="0"/>
        <w:spacing w:after="0" w:line="240" w:lineRule="auto"/>
        <w:jc w:val="both"/>
        <w:rPr>
          <w:rFonts w:ascii="Cambria" w:hAnsi="Cambria" w:cs="Calibri"/>
          <w:sz w:val="20"/>
          <w:szCs w:val="20"/>
          <w:lang w:val="es-CO"/>
        </w:rPr>
      </w:pPr>
    </w:p>
    <w:p w14:paraId="19CC18AC" w14:textId="1F3451BC" w:rsidR="0021280B" w:rsidRPr="001843F3" w:rsidRDefault="0021280B" w:rsidP="00637797">
      <w:pPr>
        <w:tabs>
          <w:tab w:val="left" w:pos="360"/>
        </w:tabs>
        <w:spacing w:after="0" w:line="240" w:lineRule="auto"/>
        <w:jc w:val="both"/>
        <w:rPr>
          <w:rFonts w:ascii="Cambria" w:hAnsi="Cambria" w:cs="Calibri"/>
          <w:color w:val="000000"/>
          <w:sz w:val="20"/>
          <w:szCs w:val="20"/>
          <w:lang w:val="es-CO"/>
        </w:rPr>
      </w:pPr>
      <w:r w:rsidRPr="001843F3">
        <w:rPr>
          <w:rFonts w:ascii="Cambria" w:hAnsi="Cambria" w:cs="Calibri"/>
          <w:sz w:val="20"/>
          <w:szCs w:val="20"/>
          <w:lang w:val="es-CO"/>
        </w:rPr>
        <w:tab/>
        <w:t xml:space="preserve">La Comisión ha designado al Comisionado Carlos Bernal y a la Secretaria Ejecutiva Tania Reneaum Panszi como su delegado y delegada. </w:t>
      </w:r>
      <w:r w:rsidRPr="001843F3">
        <w:rPr>
          <w:rFonts w:ascii="Cambria" w:hAnsi="Cambria" w:cs="Calibri"/>
          <w:color w:val="000000"/>
          <w:sz w:val="20"/>
          <w:szCs w:val="20"/>
          <w:lang w:val="es-CO"/>
        </w:rPr>
        <w:t>Asimismo, ha designado a Jorge Humberto Meza Flores, Secretario Ejecutivo Adjunto, y a</w:t>
      </w:r>
      <w:r w:rsidR="00B47822" w:rsidRPr="001843F3">
        <w:rPr>
          <w:rFonts w:ascii="Cambria" w:hAnsi="Cambria" w:cs="Calibri"/>
          <w:color w:val="000000"/>
          <w:sz w:val="20"/>
          <w:szCs w:val="20"/>
          <w:lang w:val="es-CO"/>
        </w:rPr>
        <w:t xml:space="preserve"> Erick Acuña</w:t>
      </w:r>
      <w:r w:rsidRPr="001843F3">
        <w:rPr>
          <w:rFonts w:ascii="Cambria" w:hAnsi="Cambria" w:cs="Calibri"/>
          <w:color w:val="000000"/>
          <w:sz w:val="20"/>
          <w:szCs w:val="20"/>
          <w:lang w:val="es-CO"/>
        </w:rPr>
        <w:t>, Coordinador de la Sección de Casos de la Secretaría Ejecutiva de la CIDH, quienes actuarán como asesor</w:t>
      </w:r>
      <w:r w:rsidR="00B47822" w:rsidRPr="001843F3">
        <w:rPr>
          <w:rFonts w:ascii="Cambria" w:hAnsi="Cambria" w:cs="Calibri"/>
          <w:color w:val="000000"/>
          <w:sz w:val="20"/>
          <w:szCs w:val="20"/>
          <w:lang w:val="es-CO"/>
        </w:rPr>
        <w:t xml:space="preserve">es </w:t>
      </w:r>
      <w:r w:rsidRPr="001843F3">
        <w:rPr>
          <w:rFonts w:ascii="Cambria" w:hAnsi="Cambria" w:cs="Calibri"/>
          <w:color w:val="000000"/>
          <w:sz w:val="20"/>
          <w:szCs w:val="20"/>
          <w:lang w:val="es-CO"/>
        </w:rPr>
        <w:t>legales</w:t>
      </w:r>
      <w:r w:rsidRPr="001843F3">
        <w:rPr>
          <w:rFonts w:ascii="Cambria" w:hAnsi="Cambria" w:cs="Calibri"/>
          <w:sz w:val="20"/>
          <w:szCs w:val="20"/>
          <w:lang w:val="es-CO"/>
        </w:rPr>
        <w:t>.</w:t>
      </w:r>
    </w:p>
    <w:p w14:paraId="45DB4C8F" w14:textId="77777777" w:rsidR="0021280B" w:rsidRPr="00900C2D" w:rsidRDefault="0021280B" w:rsidP="00637797">
      <w:pPr>
        <w:autoSpaceDE w:val="0"/>
        <w:autoSpaceDN w:val="0"/>
        <w:adjustRightInd w:val="0"/>
        <w:spacing w:after="0" w:line="240" w:lineRule="auto"/>
        <w:jc w:val="both"/>
        <w:rPr>
          <w:rFonts w:ascii="Cambria" w:hAnsi="Cambria" w:cs="Calibri"/>
          <w:b/>
          <w:sz w:val="20"/>
          <w:szCs w:val="20"/>
          <w:lang w:val="es-CO"/>
        </w:rPr>
      </w:pPr>
    </w:p>
    <w:p w14:paraId="0914EE22" w14:textId="69E50175" w:rsidR="0021280B" w:rsidRPr="001843F3" w:rsidRDefault="0021280B" w:rsidP="00637797">
      <w:pPr>
        <w:widowControl w:val="0"/>
        <w:tabs>
          <w:tab w:val="left" w:pos="360"/>
        </w:tabs>
        <w:autoSpaceDE w:val="0"/>
        <w:autoSpaceDN w:val="0"/>
        <w:adjustRightInd w:val="0"/>
        <w:spacing w:after="0" w:line="240" w:lineRule="auto"/>
        <w:jc w:val="both"/>
        <w:rPr>
          <w:rFonts w:ascii="Cambria" w:hAnsi="Cambria" w:cs="Calibri"/>
          <w:sz w:val="20"/>
          <w:szCs w:val="20"/>
          <w:lang w:val="es-CO"/>
        </w:rPr>
      </w:pPr>
      <w:r w:rsidRPr="001843F3">
        <w:rPr>
          <w:rFonts w:ascii="Cambria" w:hAnsi="Cambria" w:cs="Calibri"/>
          <w:sz w:val="20"/>
          <w:szCs w:val="20"/>
          <w:lang w:val="es-CO"/>
        </w:rPr>
        <w:tab/>
        <w:t xml:space="preserve">De conformidad con el artículo 35 del Reglamento de la Corte Interamericana, la Comisión adjunta copia del Informe de Fondo Nº </w:t>
      </w:r>
      <w:r w:rsidR="00B47822" w:rsidRPr="001843F3">
        <w:rPr>
          <w:rFonts w:ascii="Cambria" w:hAnsi="Cambria" w:cs="Calibri"/>
          <w:sz w:val="20"/>
          <w:szCs w:val="20"/>
          <w:lang w:val="es-CO"/>
        </w:rPr>
        <w:t xml:space="preserve">150/23 </w:t>
      </w:r>
      <w:r w:rsidRPr="001843F3">
        <w:rPr>
          <w:rFonts w:ascii="Cambria" w:hAnsi="Cambria" w:cs="Calibri"/>
          <w:sz w:val="20"/>
          <w:szCs w:val="20"/>
          <w:lang w:val="es-CO"/>
        </w:rPr>
        <w:t xml:space="preserve">elaborado en observancia del artículo 50 de la Convención, así como copia de la totalidad del expediente ante la Comisión Interamericana (Apéndice I) y los anexos utilizados en la elaboración del Informe de Fondo Nº </w:t>
      </w:r>
      <w:r w:rsidR="00B47822" w:rsidRPr="001843F3">
        <w:rPr>
          <w:rFonts w:ascii="Cambria" w:hAnsi="Cambria" w:cs="Calibri"/>
          <w:sz w:val="20"/>
          <w:szCs w:val="20"/>
          <w:lang w:val="es-CO"/>
        </w:rPr>
        <w:t xml:space="preserve">150/23 </w:t>
      </w:r>
      <w:r w:rsidRPr="001843F3">
        <w:rPr>
          <w:rFonts w:ascii="Cambria" w:hAnsi="Cambria" w:cs="Calibri"/>
          <w:sz w:val="20"/>
          <w:szCs w:val="20"/>
          <w:lang w:val="es-CO"/>
        </w:rPr>
        <w:t xml:space="preserve">(Anexos). </w:t>
      </w:r>
    </w:p>
    <w:p w14:paraId="03003C36" w14:textId="77777777" w:rsidR="0021280B" w:rsidRPr="00900C2D" w:rsidRDefault="0021280B" w:rsidP="00900C2D">
      <w:pPr>
        <w:widowControl w:val="0"/>
        <w:autoSpaceDE w:val="0"/>
        <w:autoSpaceDN w:val="0"/>
        <w:adjustRightInd w:val="0"/>
        <w:spacing w:after="0" w:line="240" w:lineRule="auto"/>
        <w:jc w:val="both"/>
        <w:rPr>
          <w:rFonts w:ascii="Cambria" w:hAnsi="Cambria" w:cs="Calibri"/>
          <w:sz w:val="20"/>
          <w:szCs w:val="20"/>
          <w:lang w:val="es-CO"/>
        </w:rPr>
      </w:pPr>
    </w:p>
    <w:p w14:paraId="3B129D63" w14:textId="57B4CB55" w:rsidR="0021280B" w:rsidRPr="001843F3" w:rsidRDefault="0021280B" w:rsidP="00637797">
      <w:pPr>
        <w:tabs>
          <w:tab w:val="left" w:pos="360"/>
          <w:tab w:val="left" w:pos="810"/>
        </w:tabs>
        <w:spacing w:after="0" w:line="240" w:lineRule="auto"/>
        <w:jc w:val="both"/>
        <w:rPr>
          <w:rFonts w:ascii="Cambria" w:eastAsia="Times New Roman" w:hAnsi="Cambria" w:cs="Cambria"/>
          <w:sz w:val="20"/>
          <w:szCs w:val="20"/>
          <w:lang w:val="es-CO"/>
        </w:rPr>
      </w:pPr>
      <w:r w:rsidRPr="001843F3">
        <w:rPr>
          <w:rFonts w:ascii="Cambria" w:hAnsi="Cambria" w:cs="Calibri"/>
          <w:sz w:val="20"/>
          <w:szCs w:val="20"/>
          <w:lang w:val="es-CO"/>
        </w:rPr>
        <w:tab/>
        <w:t xml:space="preserve">Dicho Informe de Fondo fue notificado al Estado de El Salvador el </w:t>
      </w:r>
      <w:r w:rsidR="00B47822" w:rsidRPr="001843F3">
        <w:rPr>
          <w:rFonts w:ascii="Cambria" w:hAnsi="Cambria" w:cs="Calibri"/>
          <w:sz w:val="20"/>
          <w:szCs w:val="20"/>
          <w:lang w:val="es-CO"/>
        </w:rPr>
        <w:t>6</w:t>
      </w:r>
      <w:r w:rsidRPr="001843F3">
        <w:rPr>
          <w:rFonts w:ascii="Cambria" w:hAnsi="Cambria" w:cs="Calibri"/>
          <w:sz w:val="20"/>
          <w:szCs w:val="20"/>
          <w:lang w:val="es-CO"/>
        </w:rPr>
        <w:t xml:space="preserve"> de </w:t>
      </w:r>
      <w:r w:rsidR="00B47822" w:rsidRPr="001843F3">
        <w:rPr>
          <w:rFonts w:ascii="Cambria" w:hAnsi="Cambria" w:cs="Calibri"/>
          <w:sz w:val="20"/>
          <w:szCs w:val="20"/>
          <w:lang w:val="es-CO"/>
        </w:rPr>
        <w:t>enero</w:t>
      </w:r>
      <w:r w:rsidRPr="001843F3">
        <w:rPr>
          <w:rFonts w:ascii="Cambria" w:hAnsi="Cambria" w:cs="Calibri"/>
          <w:sz w:val="20"/>
          <w:szCs w:val="20"/>
          <w:lang w:val="es-CO"/>
        </w:rPr>
        <w:t xml:space="preserve"> de 202</w:t>
      </w:r>
      <w:r w:rsidR="00B47822" w:rsidRPr="001843F3">
        <w:rPr>
          <w:rFonts w:ascii="Cambria" w:hAnsi="Cambria" w:cs="Calibri"/>
          <w:sz w:val="20"/>
          <w:szCs w:val="20"/>
          <w:lang w:val="es-CO"/>
        </w:rPr>
        <w:t>5</w:t>
      </w:r>
      <w:r w:rsidRPr="001843F3">
        <w:rPr>
          <w:rFonts w:ascii="Cambria" w:hAnsi="Cambria" w:cs="Calibri"/>
          <w:sz w:val="20"/>
          <w:szCs w:val="20"/>
          <w:lang w:val="es-CO"/>
        </w:rPr>
        <w:t xml:space="preserve">, otorgándole un plazo de dos meses para informar sobre el cumplimiento de las recomendaciones. </w:t>
      </w:r>
      <w:r w:rsidRPr="001843F3">
        <w:rPr>
          <w:rFonts w:ascii="Cambria" w:hAnsi="Cambria" w:cs="Calibri"/>
          <w:color w:val="000000"/>
          <w:sz w:val="20"/>
          <w:szCs w:val="20"/>
          <w:lang w:val="es-CO"/>
        </w:rPr>
        <w:t xml:space="preserve">Tras el otorgamiento de </w:t>
      </w:r>
      <w:r w:rsidR="00B47822" w:rsidRPr="001843F3">
        <w:rPr>
          <w:rFonts w:ascii="Cambria" w:hAnsi="Cambria" w:cs="Calibri"/>
          <w:color w:val="000000"/>
          <w:sz w:val="20"/>
          <w:szCs w:val="20"/>
          <w:lang w:val="es-CO"/>
        </w:rPr>
        <w:t>dos</w:t>
      </w:r>
      <w:r w:rsidRPr="001843F3">
        <w:rPr>
          <w:rFonts w:ascii="Cambria" w:hAnsi="Cambria" w:cs="Calibri"/>
          <w:color w:val="000000"/>
          <w:sz w:val="20"/>
          <w:szCs w:val="20"/>
          <w:lang w:val="es-CO"/>
        </w:rPr>
        <w:t xml:space="preserve"> prórrogas, si bien la Comisión tomó nota de las gestiones realizadas que motivaron el otorgamiento de las anteriores prórrogas, observó que</w:t>
      </w:r>
      <w:r w:rsidR="00B47822" w:rsidRPr="001843F3">
        <w:rPr>
          <w:rFonts w:ascii="Cambria" w:hAnsi="Cambria" w:cs="Calibri"/>
          <w:color w:val="000000"/>
          <w:sz w:val="20"/>
          <w:szCs w:val="20"/>
          <w:lang w:val="es-CO"/>
        </w:rPr>
        <w:t xml:space="preserve"> </w:t>
      </w:r>
      <w:r w:rsidRPr="001843F3">
        <w:rPr>
          <w:rFonts w:ascii="Cambria" w:hAnsi="Cambria" w:cs="Calibri"/>
          <w:color w:val="000000"/>
          <w:sz w:val="20"/>
          <w:szCs w:val="20"/>
          <w:lang w:val="es-CO"/>
        </w:rPr>
        <w:t>las partes no han llegado a un acuerdo para avanzar con el cumplimiento y las víctimas no han obtenido una reparación por las violaciones establecidas en el informe, así como que la parte peticionaria solicitó el sometimiento del caso a la Corte</w:t>
      </w:r>
      <w:r w:rsidRPr="001843F3">
        <w:rPr>
          <w:rFonts w:ascii="Cambria" w:eastAsia="Times New Roman" w:hAnsi="Cambria" w:cs="Cambria"/>
          <w:sz w:val="20"/>
          <w:szCs w:val="20"/>
          <w:lang w:val="es-CO"/>
        </w:rPr>
        <w:t>. En consecuencia,</w:t>
      </w:r>
      <w:r w:rsidRPr="001843F3">
        <w:rPr>
          <w:rFonts w:ascii="Cambria" w:hAnsi="Cambria"/>
          <w:sz w:val="20"/>
          <w:szCs w:val="20"/>
          <w:lang w:val="es-CO"/>
        </w:rPr>
        <w:t xml:space="preserve"> teniendo en cuenta la necesidad de justicia y reparación para las víctimas y la voluntad expresada por la parte peticionaria</w:t>
      </w:r>
      <w:r w:rsidRPr="001843F3">
        <w:rPr>
          <w:rFonts w:ascii="Cambria" w:eastAsia="Times New Roman" w:hAnsi="Cambria" w:cs="Cambria"/>
          <w:sz w:val="20"/>
          <w:szCs w:val="20"/>
          <w:lang w:val="es-CO"/>
        </w:rPr>
        <w:t>, la Comisión decidió someter el caso a la jurisdicción de la Corte Interamericana. En particular, la Comisión somete a la Honorable Corte los hechos que se encuentran en el marco temporal del caso a partir del 6 de junio de 1995, fecha en que el Estado aceptó su competencia contenciosa.</w:t>
      </w:r>
    </w:p>
    <w:p w14:paraId="542CBA87" w14:textId="77777777" w:rsidR="0021280B" w:rsidRPr="00900C2D" w:rsidRDefault="0021280B" w:rsidP="00637797">
      <w:pPr>
        <w:widowControl w:val="0"/>
        <w:autoSpaceDE w:val="0"/>
        <w:autoSpaceDN w:val="0"/>
        <w:adjustRightInd w:val="0"/>
        <w:spacing w:after="0" w:line="240" w:lineRule="auto"/>
        <w:jc w:val="both"/>
        <w:rPr>
          <w:rFonts w:ascii="Cambria" w:hAnsi="Cambria" w:cs="Calibri"/>
          <w:sz w:val="20"/>
          <w:szCs w:val="20"/>
          <w:lang w:val="es-CO"/>
        </w:rPr>
      </w:pPr>
    </w:p>
    <w:p w14:paraId="4118D1C0" w14:textId="316736F9" w:rsidR="006865B0" w:rsidRPr="001843F3" w:rsidRDefault="0021280B" w:rsidP="006865B0">
      <w:pPr>
        <w:tabs>
          <w:tab w:val="left" w:pos="360"/>
          <w:tab w:val="left" w:pos="2880"/>
        </w:tabs>
        <w:spacing w:after="0" w:line="240" w:lineRule="auto"/>
        <w:jc w:val="both"/>
        <w:rPr>
          <w:rFonts w:ascii="Cambria" w:eastAsia="Cambria" w:hAnsi="Cambria" w:cs="Cambria"/>
          <w:sz w:val="20"/>
          <w:szCs w:val="20"/>
          <w:lang w:val="es-CO"/>
        </w:rPr>
      </w:pPr>
      <w:r w:rsidRPr="001843F3">
        <w:rPr>
          <w:rFonts w:ascii="Cambria" w:hAnsi="Cambria" w:cs="Calibri"/>
          <w:sz w:val="20"/>
          <w:szCs w:val="20"/>
          <w:lang w:val="es-CO"/>
        </w:rPr>
        <w:tab/>
        <w:t xml:space="preserve">En ese sentido, la Comisión solicita a la Honorable Corte que concluya y declare la responsabilidad internacional del Estado de El Salvador </w:t>
      </w:r>
      <w:r w:rsidR="006865B0" w:rsidRPr="001843F3">
        <w:rPr>
          <w:rFonts w:ascii="Cambria" w:eastAsia="Cambria" w:hAnsi="Cambria" w:cs="Cambria"/>
          <w:sz w:val="20"/>
          <w:szCs w:val="20"/>
          <w:lang w:val="es-CO"/>
        </w:rPr>
        <w:t>por la violación de los derechos al reconocimiento de la personalidad jurídica, vida, integridad personal, libertad personal, garantías judiciales, protección de la familia</w:t>
      </w:r>
      <w:r w:rsidR="00722E8E" w:rsidRPr="001843F3">
        <w:rPr>
          <w:rFonts w:ascii="Cambria" w:eastAsia="Cambria" w:hAnsi="Cambria" w:cs="Cambria"/>
          <w:sz w:val="20"/>
          <w:szCs w:val="20"/>
          <w:lang w:val="es-CO"/>
        </w:rPr>
        <w:t xml:space="preserve">, derecho de niñez </w:t>
      </w:r>
      <w:r w:rsidR="006865B0" w:rsidRPr="001843F3">
        <w:rPr>
          <w:rFonts w:ascii="Cambria" w:eastAsia="Cambria" w:hAnsi="Cambria" w:cs="Cambria"/>
          <w:sz w:val="20"/>
          <w:szCs w:val="20"/>
          <w:lang w:val="es-CO"/>
        </w:rPr>
        <w:t>y protección judicial, establecidos en los artículos 3, 4.1, 5.1 7.1, 8.1, 17, 19 y 25.1 Convención Americana sobre Derechos Humanos, en relación con el artículo 1.1 del mismo instrumento, en perjuicio de las personas identificadas en las diversas secciones del informe.</w:t>
      </w:r>
    </w:p>
    <w:p w14:paraId="44D9B866" w14:textId="23A2C7EF" w:rsidR="0021280B" w:rsidRPr="00900C2D" w:rsidRDefault="0021280B" w:rsidP="006865B0">
      <w:pPr>
        <w:widowControl w:val="0"/>
        <w:tabs>
          <w:tab w:val="left" w:pos="360"/>
        </w:tabs>
        <w:autoSpaceDE w:val="0"/>
        <w:autoSpaceDN w:val="0"/>
        <w:adjustRightInd w:val="0"/>
        <w:spacing w:after="0" w:line="240" w:lineRule="auto"/>
        <w:ind w:right="270"/>
        <w:jc w:val="both"/>
        <w:rPr>
          <w:rFonts w:ascii="Cambria" w:hAnsi="Cambria" w:cs="Calibri"/>
          <w:sz w:val="20"/>
          <w:szCs w:val="20"/>
          <w:lang w:val="es-CO"/>
        </w:rPr>
      </w:pPr>
    </w:p>
    <w:p w14:paraId="6F83F8B8" w14:textId="5FB4BB1B" w:rsidR="0021280B" w:rsidRPr="001843F3" w:rsidRDefault="00CE7B9C" w:rsidP="00CE7B9C">
      <w:pPr>
        <w:tabs>
          <w:tab w:val="left" w:pos="360"/>
        </w:tabs>
        <w:autoSpaceDE w:val="0"/>
        <w:autoSpaceDN w:val="0"/>
        <w:adjustRightInd w:val="0"/>
        <w:spacing w:after="0" w:line="240" w:lineRule="auto"/>
        <w:ind w:right="270"/>
        <w:jc w:val="both"/>
        <w:rPr>
          <w:rFonts w:ascii="Cambria" w:hAnsi="Cambria" w:cs="Calibri"/>
          <w:sz w:val="20"/>
          <w:szCs w:val="20"/>
          <w:lang w:val="es-CO"/>
        </w:rPr>
      </w:pPr>
      <w:r w:rsidRPr="001843F3">
        <w:rPr>
          <w:rFonts w:ascii="Cambria" w:hAnsi="Cambria" w:cs="Calibri"/>
          <w:sz w:val="20"/>
          <w:szCs w:val="20"/>
          <w:lang w:val="es-CO"/>
        </w:rPr>
        <w:tab/>
      </w:r>
      <w:r w:rsidR="0021280B" w:rsidRPr="001843F3">
        <w:rPr>
          <w:rFonts w:ascii="Cambria" w:hAnsi="Cambria" w:cs="Calibri"/>
          <w:sz w:val="20"/>
          <w:szCs w:val="20"/>
          <w:lang w:val="es-CO"/>
        </w:rPr>
        <w:t>Asimismo, la Comisión solicita a la Hon</w:t>
      </w:r>
      <w:r w:rsidR="001D709E">
        <w:rPr>
          <w:rFonts w:ascii="Cambria" w:hAnsi="Cambria" w:cs="Calibri"/>
          <w:sz w:val="20"/>
          <w:szCs w:val="20"/>
          <w:lang w:val="es-CO"/>
        </w:rPr>
        <w:t>o</w:t>
      </w:r>
      <w:r w:rsidR="0021280B" w:rsidRPr="001843F3">
        <w:rPr>
          <w:rFonts w:ascii="Cambria" w:hAnsi="Cambria" w:cs="Calibri"/>
          <w:sz w:val="20"/>
          <w:szCs w:val="20"/>
          <w:lang w:val="es-CO"/>
        </w:rPr>
        <w:t>rable Corte que establezca las siguientes medidas de reparación:</w:t>
      </w:r>
    </w:p>
    <w:p w14:paraId="34E9989D" w14:textId="77777777" w:rsidR="0021280B" w:rsidRPr="00900C2D" w:rsidRDefault="0021280B" w:rsidP="0021280B">
      <w:pPr>
        <w:autoSpaceDE w:val="0"/>
        <w:autoSpaceDN w:val="0"/>
        <w:adjustRightInd w:val="0"/>
        <w:spacing w:after="0" w:line="240" w:lineRule="auto"/>
        <w:ind w:left="90" w:right="270"/>
        <w:jc w:val="both"/>
        <w:rPr>
          <w:rFonts w:ascii="Cambria" w:hAnsi="Cambria" w:cs="Calibri"/>
          <w:sz w:val="16"/>
          <w:szCs w:val="16"/>
          <w:lang w:val="es-CO"/>
        </w:rPr>
      </w:pPr>
    </w:p>
    <w:p w14:paraId="241ED816" w14:textId="77777777" w:rsidR="006865B0" w:rsidRPr="001843F3" w:rsidRDefault="006865B0" w:rsidP="006865B0">
      <w:pPr>
        <w:pStyle w:val="ListParagraph"/>
        <w:numPr>
          <w:ilvl w:val="0"/>
          <w:numId w:val="1"/>
        </w:numPr>
        <w:pBdr>
          <w:top w:val="nil"/>
          <w:left w:val="nil"/>
          <w:bottom w:val="nil"/>
          <w:right w:val="nil"/>
          <w:between w:val="nil"/>
          <w:bar w:val="nil"/>
        </w:pBdr>
        <w:tabs>
          <w:tab w:val="left" w:pos="567"/>
        </w:tabs>
        <w:spacing w:after="0" w:line="240" w:lineRule="auto"/>
        <w:ind w:right="270"/>
        <w:jc w:val="both"/>
        <w:rPr>
          <w:rFonts w:ascii="Cambria" w:hAnsi="Cambria"/>
          <w:sz w:val="20"/>
          <w:szCs w:val="20"/>
          <w:lang w:val="es-CO"/>
        </w:rPr>
      </w:pPr>
      <w:r w:rsidRPr="001843F3">
        <w:rPr>
          <w:rFonts w:ascii="Cambria" w:hAnsi="Cambria"/>
          <w:sz w:val="20"/>
          <w:szCs w:val="20"/>
          <w:lang w:val="es-CO"/>
        </w:rPr>
        <w:t>Reparar integralmente las violaciones de derechos humanos declaradas en el presente informe tanto en el aspecto material como inmaterial. El Estado deberá adoptar las medidas de compensación económica y satisfacción.</w:t>
      </w:r>
    </w:p>
    <w:p w14:paraId="79D23807" w14:textId="77777777" w:rsidR="006865B0" w:rsidRPr="00900C2D" w:rsidRDefault="006865B0" w:rsidP="006865B0">
      <w:pPr>
        <w:pStyle w:val="ListParagraph"/>
        <w:pBdr>
          <w:top w:val="nil"/>
          <w:left w:val="nil"/>
          <w:bottom w:val="nil"/>
          <w:right w:val="nil"/>
          <w:between w:val="nil"/>
          <w:bar w:val="nil"/>
        </w:pBdr>
        <w:tabs>
          <w:tab w:val="left" w:pos="567"/>
        </w:tabs>
        <w:spacing w:after="0" w:line="240" w:lineRule="auto"/>
        <w:ind w:left="1080" w:right="270"/>
        <w:jc w:val="both"/>
        <w:rPr>
          <w:rFonts w:ascii="Cambria" w:hAnsi="Cambria"/>
          <w:sz w:val="16"/>
          <w:szCs w:val="16"/>
          <w:lang w:val="es-CO"/>
        </w:rPr>
      </w:pPr>
    </w:p>
    <w:p w14:paraId="0424FD54" w14:textId="77777777" w:rsidR="006865B0" w:rsidRPr="001843F3" w:rsidRDefault="006865B0" w:rsidP="006865B0">
      <w:pPr>
        <w:pStyle w:val="ListParagraph"/>
        <w:numPr>
          <w:ilvl w:val="0"/>
          <w:numId w:val="1"/>
        </w:numPr>
        <w:pBdr>
          <w:top w:val="nil"/>
          <w:left w:val="nil"/>
          <w:bottom w:val="nil"/>
          <w:right w:val="nil"/>
          <w:between w:val="nil"/>
          <w:bar w:val="nil"/>
        </w:pBdr>
        <w:tabs>
          <w:tab w:val="left" w:pos="567"/>
        </w:tabs>
        <w:spacing w:after="0" w:line="240" w:lineRule="auto"/>
        <w:ind w:right="270"/>
        <w:jc w:val="both"/>
        <w:rPr>
          <w:rFonts w:ascii="Cambria" w:hAnsi="Cambria"/>
          <w:sz w:val="20"/>
          <w:szCs w:val="20"/>
          <w:lang w:val="es-CO"/>
        </w:rPr>
      </w:pPr>
      <w:r w:rsidRPr="001843F3">
        <w:rPr>
          <w:rFonts w:ascii="Cambria" w:hAnsi="Cambria"/>
          <w:sz w:val="20"/>
          <w:szCs w:val="20"/>
          <w:lang w:val="es-CO"/>
        </w:rPr>
        <w:t>Investigar el destino o paradero de Natividad de Jesús Ramírez, Salvador Ramírez, José Elías Ramírez, Jorge Alberto Ramírez y Guadalupe Roble y, de ser el caso, adoptar las medidas necesarias para identificar y entregar a sus familiares los restos mortales. Para ello deberá realizarse un plan de búsqueda de las víctimas que debe ser concertado previamente con los familiares.</w:t>
      </w:r>
    </w:p>
    <w:p w14:paraId="282C7138" w14:textId="77777777" w:rsidR="006865B0" w:rsidRPr="00900C2D" w:rsidRDefault="006865B0" w:rsidP="006865B0">
      <w:pPr>
        <w:pBdr>
          <w:top w:val="nil"/>
          <w:left w:val="nil"/>
          <w:bottom w:val="nil"/>
          <w:right w:val="nil"/>
          <w:between w:val="nil"/>
          <w:bar w:val="nil"/>
        </w:pBdr>
        <w:tabs>
          <w:tab w:val="left" w:pos="567"/>
        </w:tabs>
        <w:spacing w:after="0" w:line="240" w:lineRule="auto"/>
        <w:ind w:right="270"/>
        <w:jc w:val="both"/>
        <w:rPr>
          <w:rFonts w:ascii="Cambria" w:hAnsi="Cambria"/>
          <w:sz w:val="16"/>
          <w:szCs w:val="16"/>
          <w:lang w:val="es-CO"/>
        </w:rPr>
      </w:pPr>
    </w:p>
    <w:p w14:paraId="12F9B53A" w14:textId="77777777" w:rsidR="006865B0" w:rsidRPr="001843F3" w:rsidRDefault="006865B0" w:rsidP="006865B0">
      <w:pPr>
        <w:pStyle w:val="ListParagraph"/>
        <w:numPr>
          <w:ilvl w:val="0"/>
          <w:numId w:val="1"/>
        </w:numPr>
        <w:pBdr>
          <w:top w:val="nil"/>
          <w:left w:val="nil"/>
          <w:bottom w:val="nil"/>
          <w:right w:val="nil"/>
          <w:between w:val="nil"/>
          <w:bar w:val="nil"/>
        </w:pBdr>
        <w:tabs>
          <w:tab w:val="left" w:pos="567"/>
        </w:tabs>
        <w:spacing w:after="0" w:line="240" w:lineRule="auto"/>
        <w:ind w:right="270"/>
        <w:jc w:val="both"/>
        <w:rPr>
          <w:rFonts w:ascii="Cambria" w:hAnsi="Cambria"/>
          <w:sz w:val="20"/>
          <w:szCs w:val="20"/>
          <w:lang w:val="es-CO"/>
        </w:rPr>
      </w:pPr>
      <w:r w:rsidRPr="001843F3">
        <w:rPr>
          <w:rFonts w:ascii="Cambria" w:hAnsi="Cambria"/>
          <w:sz w:val="20"/>
          <w:szCs w:val="20"/>
          <w:lang w:val="es-CO"/>
        </w:rPr>
        <w:t>Disponer las medidas de atención en salud física y mental necesarias para la rehabilitación de los familiares de las víctimas del presente caso, de ser su voluntad y de manera concertada. En particular, dichas medidas de atención deberán ser concertadas con los hijos e hijas de las víctimas teniendo en cuenta el especial impacto que tuvieron las ejecuciones extrajudiciales o desaparición forzada.</w:t>
      </w:r>
    </w:p>
    <w:p w14:paraId="1212FF2E" w14:textId="77777777" w:rsidR="00E16CA5" w:rsidRPr="00900C2D" w:rsidRDefault="00E16CA5" w:rsidP="00E16CA5">
      <w:pPr>
        <w:pBdr>
          <w:top w:val="nil"/>
          <w:left w:val="nil"/>
          <w:bottom w:val="nil"/>
          <w:right w:val="nil"/>
          <w:between w:val="nil"/>
          <w:bar w:val="nil"/>
        </w:pBdr>
        <w:tabs>
          <w:tab w:val="left" w:pos="567"/>
        </w:tabs>
        <w:spacing w:after="0" w:line="240" w:lineRule="auto"/>
        <w:ind w:right="270"/>
        <w:jc w:val="both"/>
        <w:rPr>
          <w:rFonts w:ascii="Cambria" w:hAnsi="Cambria"/>
          <w:sz w:val="16"/>
          <w:szCs w:val="16"/>
          <w:lang w:val="es-CO"/>
        </w:rPr>
      </w:pPr>
    </w:p>
    <w:p w14:paraId="46E8859F" w14:textId="77777777" w:rsidR="006865B0" w:rsidRPr="001843F3" w:rsidRDefault="006865B0" w:rsidP="006865B0">
      <w:pPr>
        <w:pStyle w:val="ListParagraph"/>
        <w:numPr>
          <w:ilvl w:val="0"/>
          <w:numId w:val="1"/>
        </w:numPr>
        <w:pBdr>
          <w:top w:val="nil"/>
          <w:left w:val="nil"/>
          <w:bottom w:val="nil"/>
          <w:right w:val="nil"/>
          <w:between w:val="nil"/>
          <w:bar w:val="nil"/>
        </w:pBdr>
        <w:tabs>
          <w:tab w:val="left" w:pos="567"/>
        </w:tabs>
        <w:spacing w:after="0" w:line="240" w:lineRule="auto"/>
        <w:ind w:right="270"/>
        <w:jc w:val="both"/>
        <w:rPr>
          <w:rFonts w:ascii="Cambria" w:hAnsi="Cambria"/>
          <w:sz w:val="20"/>
          <w:szCs w:val="20"/>
          <w:lang w:val="es-CO"/>
        </w:rPr>
      </w:pPr>
      <w:r w:rsidRPr="001843F3">
        <w:rPr>
          <w:rFonts w:ascii="Cambria" w:hAnsi="Cambria"/>
          <w:sz w:val="20"/>
          <w:szCs w:val="20"/>
          <w:lang w:val="es-CO"/>
        </w:rPr>
        <w:t>Continuar la investigación penal por las ejecuciones extrajudiciales y desaparición forzada de manera diligente, efectiva y dentro de un plazo razonable con el objeto de esclarecer los hechos en forma completa, identificar todas las posibles responsabilidades e imponer las sanciones que correspondan respecto de las violaciones de derechos humanos declaradas en el presente informe. Dicha investigación deberá incluir la línea de investigación relacionada con la participación de agentes estatales en los hechos y la persecución contra las personas que realizaban actividades relacionadas con la iglesia católica en el conflicto armado. Asimismo, la investigación deberá abordar un posible contexto que describa las posibles violencias a las que pudieron ser sometidas las mujeres en el marco del conflicto armado y adoptar una perspectiva de género en la investigación de los hechos respecto de Guadalupe Robles.</w:t>
      </w:r>
    </w:p>
    <w:p w14:paraId="1F0CE842" w14:textId="77777777" w:rsidR="006865B0" w:rsidRPr="00900C2D" w:rsidRDefault="006865B0" w:rsidP="00900C2D">
      <w:pPr>
        <w:pBdr>
          <w:top w:val="nil"/>
          <w:left w:val="nil"/>
          <w:bottom w:val="nil"/>
          <w:right w:val="nil"/>
          <w:between w:val="nil"/>
          <w:bar w:val="nil"/>
        </w:pBdr>
        <w:tabs>
          <w:tab w:val="left" w:pos="567"/>
        </w:tabs>
        <w:spacing w:after="0" w:line="240" w:lineRule="auto"/>
        <w:ind w:right="270"/>
        <w:jc w:val="both"/>
        <w:rPr>
          <w:rFonts w:ascii="Cambria" w:hAnsi="Cambria"/>
          <w:sz w:val="16"/>
          <w:szCs w:val="16"/>
          <w:lang w:val="es-CO"/>
        </w:rPr>
      </w:pPr>
    </w:p>
    <w:p w14:paraId="7D66219A" w14:textId="38704A8B" w:rsidR="0021280B" w:rsidRPr="001843F3" w:rsidRDefault="006865B0" w:rsidP="006865B0">
      <w:pPr>
        <w:pStyle w:val="ListParagraph"/>
        <w:numPr>
          <w:ilvl w:val="0"/>
          <w:numId w:val="1"/>
        </w:numPr>
        <w:pBdr>
          <w:top w:val="nil"/>
          <w:left w:val="nil"/>
          <w:bottom w:val="nil"/>
          <w:right w:val="nil"/>
          <w:between w:val="nil"/>
          <w:bar w:val="nil"/>
        </w:pBdr>
        <w:tabs>
          <w:tab w:val="left" w:pos="567"/>
        </w:tabs>
        <w:spacing w:after="0" w:line="240" w:lineRule="auto"/>
        <w:ind w:right="270"/>
        <w:jc w:val="both"/>
        <w:rPr>
          <w:rFonts w:ascii="Cambria" w:hAnsi="Cambria"/>
          <w:sz w:val="20"/>
          <w:szCs w:val="20"/>
          <w:lang w:val="es-CO"/>
        </w:rPr>
      </w:pPr>
      <w:r w:rsidRPr="001843F3">
        <w:rPr>
          <w:rFonts w:ascii="Cambria" w:hAnsi="Cambria"/>
          <w:sz w:val="20"/>
          <w:szCs w:val="20"/>
          <w:lang w:val="es-CO"/>
        </w:rPr>
        <w:t>Adopte las medidas necesarias para evitar la repetición de los hechos del presente caso, en particular para i) desarrollar una política de reparación integral a las víctimas del conflicto armado; ii) regular, entre varios aspectos, la búsqueda de personas víctimas de desaparición forzada, la creación de banco genético, procesos de exhumación, así como los derechos de los familiares relacionados a la ausencia de las víctimas desaparecidas; y iii) realizar las gestiones pertinentes para ser parte de la Convención Interamericana sobre Desaparición Forzada de Personas.</w:t>
      </w:r>
    </w:p>
    <w:p w14:paraId="3788CF20" w14:textId="77777777" w:rsidR="006865B0" w:rsidRPr="00900C2D" w:rsidRDefault="006865B0" w:rsidP="006865B0">
      <w:pPr>
        <w:widowControl w:val="0"/>
        <w:autoSpaceDE w:val="0"/>
        <w:autoSpaceDN w:val="0"/>
        <w:adjustRightInd w:val="0"/>
        <w:spacing w:after="0" w:line="240" w:lineRule="auto"/>
        <w:ind w:left="90" w:right="270"/>
        <w:jc w:val="both"/>
        <w:rPr>
          <w:rFonts w:ascii="Cambria" w:hAnsi="Cambria"/>
          <w:sz w:val="16"/>
          <w:szCs w:val="16"/>
          <w:lang w:val="es-CO"/>
        </w:rPr>
      </w:pPr>
    </w:p>
    <w:p w14:paraId="5224048F" w14:textId="40229490" w:rsidR="0021280B" w:rsidRPr="001843F3" w:rsidRDefault="0021280B" w:rsidP="00B47822">
      <w:pPr>
        <w:pStyle w:val="parrafos"/>
        <w:ind w:left="90" w:right="270"/>
        <w:rPr>
          <w:rFonts w:eastAsia="Times New Roman" w:cs="Calibri"/>
          <w:u w:color="000000"/>
          <w:lang w:val="es-CO" w:eastAsia="es-ES"/>
        </w:rPr>
      </w:pPr>
      <w:r w:rsidRPr="001843F3">
        <w:rPr>
          <w:rFonts w:eastAsia="Times New Roman" w:cs="Calibri"/>
          <w:u w:color="000000"/>
          <w:lang w:val="es-CO" w:eastAsia="es-ES"/>
        </w:rPr>
        <w:tab/>
        <w:t>Además de la necesidad de obtener justicia debido al incumplimiento de las recomendaciones del informe de fondo, la Comisión considera que el caso plantea cuestiones de orden público interamericano. En particular, el caso permitirá a la Honorable Corte referirse a l</w:t>
      </w:r>
      <w:r w:rsidR="006865B0" w:rsidRPr="001843F3">
        <w:rPr>
          <w:rFonts w:eastAsia="Times New Roman" w:cs="Calibri"/>
          <w:u w:color="000000"/>
          <w:lang w:val="es-CO" w:eastAsia="es-ES"/>
        </w:rPr>
        <w:t>a obligación de los Estado</w:t>
      </w:r>
      <w:r w:rsidR="001E1E01" w:rsidRPr="001843F3">
        <w:rPr>
          <w:rFonts w:eastAsia="Times New Roman" w:cs="Calibri"/>
          <w:u w:color="000000"/>
          <w:lang w:val="es-CO" w:eastAsia="es-ES"/>
        </w:rPr>
        <w:t>s</w:t>
      </w:r>
      <w:r w:rsidR="006865B0" w:rsidRPr="001843F3">
        <w:rPr>
          <w:rFonts w:eastAsia="Times New Roman" w:cs="Calibri"/>
          <w:u w:color="000000"/>
          <w:lang w:val="es-CO" w:eastAsia="es-ES"/>
        </w:rPr>
        <w:t xml:space="preserve"> de investigar de forma diligente, efectiva y dentro de un plazo razonable los hechos de ejecuciones extrajudiciales y desaparición forzada </w:t>
      </w:r>
      <w:r w:rsidRPr="001843F3">
        <w:rPr>
          <w:rFonts w:eastAsia="Times New Roman" w:cs="Calibri"/>
          <w:u w:color="000000"/>
          <w:lang w:val="es-CO" w:eastAsia="es-ES"/>
        </w:rPr>
        <w:t>en el marco de conflictos armados internos. Asimismo, la Corte podrá continuar desarrollando su jurisprudencia con respecto a</w:t>
      </w:r>
      <w:r w:rsidR="00B47822" w:rsidRPr="001843F3">
        <w:rPr>
          <w:rFonts w:eastAsia="Times New Roman" w:cs="Calibri"/>
          <w:u w:color="000000"/>
          <w:lang w:val="es-CO" w:eastAsia="es-ES"/>
        </w:rPr>
        <w:t xml:space="preserve"> los estándares aplicables a la búsqueda de personas desaparecidas, incluyendo las medidas que debe adoptar el Estado para asegurar los derechos de la posible víctima hasta dar con su paradero, conocer la verdad de los hechos o descartar que aquella se encuentra desaparecida. </w:t>
      </w:r>
    </w:p>
    <w:p w14:paraId="4ACFC647" w14:textId="77777777" w:rsidR="0021280B" w:rsidRPr="00900C2D" w:rsidRDefault="0021280B" w:rsidP="0021280B">
      <w:pPr>
        <w:widowControl w:val="0"/>
        <w:autoSpaceDE w:val="0"/>
        <w:autoSpaceDN w:val="0"/>
        <w:adjustRightInd w:val="0"/>
        <w:spacing w:after="0" w:line="240" w:lineRule="auto"/>
        <w:ind w:right="270"/>
        <w:jc w:val="both"/>
        <w:rPr>
          <w:rFonts w:ascii="Cambria" w:hAnsi="Cambria" w:cs="Calibri"/>
          <w:sz w:val="16"/>
          <w:szCs w:val="16"/>
          <w:lang w:val="es-CO"/>
        </w:rPr>
      </w:pPr>
    </w:p>
    <w:p w14:paraId="1FF673F4" w14:textId="77777777" w:rsidR="0021280B" w:rsidRPr="001843F3" w:rsidRDefault="0021280B" w:rsidP="00555989">
      <w:pPr>
        <w:widowControl w:val="0"/>
        <w:tabs>
          <w:tab w:val="left" w:pos="360"/>
        </w:tabs>
        <w:autoSpaceDE w:val="0"/>
        <w:autoSpaceDN w:val="0"/>
        <w:adjustRightInd w:val="0"/>
        <w:spacing w:after="0" w:line="240" w:lineRule="auto"/>
        <w:ind w:left="90" w:right="270"/>
        <w:jc w:val="both"/>
        <w:rPr>
          <w:rFonts w:ascii="Cambria" w:hAnsi="Cambria" w:cs="Calibri"/>
          <w:sz w:val="20"/>
          <w:szCs w:val="20"/>
          <w:lang w:val="es-CO"/>
        </w:rPr>
      </w:pPr>
      <w:r w:rsidRPr="001843F3">
        <w:rPr>
          <w:rFonts w:ascii="Cambria" w:hAnsi="Cambria" w:cs="Calibri"/>
          <w:sz w:val="20"/>
          <w:szCs w:val="20"/>
          <w:lang w:val="es-CO"/>
        </w:rPr>
        <w:tab/>
        <w:t>La Comisión pone en conocimiento de la Corte la siguiente información de quienes actúan como parte peticionaria en el trámite ante la CIDH conforme a la información más reciente:</w:t>
      </w:r>
    </w:p>
    <w:p w14:paraId="412D3399" w14:textId="77777777" w:rsidR="00900C2D" w:rsidRPr="00900C2D" w:rsidRDefault="00900C2D" w:rsidP="00900C2D">
      <w:pPr>
        <w:spacing w:after="0" w:line="240" w:lineRule="auto"/>
        <w:rPr>
          <w:rFonts w:ascii="Cambria" w:eastAsia="Times New Roman" w:hAnsi="Cambria" w:cs="Calibri"/>
          <w:sz w:val="16"/>
          <w:szCs w:val="16"/>
          <w:lang w:val="es-US"/>
        </w:rPr>
      </w:pPr>
    </w:p>
    <w:p w14:paraId="5FB64482" w14:textId="64F25ED6" w:rsidR="00900C2D" w:rsidRPr="002D6CA4" w:rsidRDefault="00900C2D" w:rsidP="00900C2D">
      <w:pPr>
        <w:spacing w:after="0" w:line="240" w:lineRule="auto"/>
        <w:jc w:val="center"/>
        <w:rPr>
          <w:rFonts w:ascii="Cambria" w:eastAsia="Times New Roman" w:hAnsi="Cambria" w:cs="Calibri"/>
          <w:sz w:val="20"/>
          <w:szCs w:val="20"/>
          <w:lang w:val="es-US"/>
        </w:rPr>
      </w:pPr>
      <w:r w:rsidRPr="002D6CA4">
        <w:rPr>
          <w:rFonts w:ascii="Cambria" w:eastAsia="Times New Roman" w:hAnsi="Cambria" w:cs="Calibri"/>
          <w:sz w:val="20"/>
          <w:szCs w:val="20"/>
          <w:lang w:val="es-US"/>
        </w:rPr>
        <w:t>Instituto de Derechos Humanos de la UCA - IDHUCA</w:t>
      </w:r>
    </w:p>
    <w:p w14:paraId="6E6F0A7D" w14:textId="61D7FD12" w:rsidR="00900C2D" w:rsidRPr="001D6AEA" w:rsidRDefault="001D6AEA" w:rsidP="00900C2D">
      <w:pPr>
        <w:spacing w:after="0" w:line="240" w:lineRule="auto"/>
        <w:jc w:val="center"/>
        <w:rPr>
          <w:rFonts w:ascii="Cambria" w:eastAsia="Times New Roman" w:hAnsi="Cambria"/>
          <w:sz w:val="20"/>
          <w:szCs w:val="20"/>
          <w:highlight w:val="black"/>
          <w:lang w:val="es-US"/>
        </w:rPr>
      </w:pPr>
      <w:r w:rsidRPr="001D6AEA">
        <w:rPr>
          <w:rFonts w:ascii="Cambria" w:eastAsia="Times New Roman" w:hAnsi="Cambria"/>
          <w:sz w:val="20"/>
          <w:szCs w:val="20"/>
          <w:highlight w:val="black"/>
          <w:lang w:val="es-US"/>
        </w:rPr>
        <w:t>XXXXXXXXXXXXXXXXXXXXXXXXXXXXXXXXXXXXXXXXXXXXXXXXXX</w:t>
      </w:r>
    </w:p>
    <w:p w14:paraId="4C9D1438" w14:textId="4DAE2438" w:rsidR="00900C2D" w:rsidRPr="00900C2D" w:rsidRDefault="00900C2D" w:rsidP="00900C2D">
      <w:pPr>
        <w:spacing w:after="0" w:line="240" w:lineRule="auto"/>
        <w:jc w:val="center"/>
        <w:rPr>
          <w:rFonts w:ascii="Cambria" w:hAnsi="Cambria"/>
          <w:sz w:val="20"/>
          <w:szCs w:val="20"/>
          <w:lang w:val="es-US"/>
        </w:rPr>
      </w:pPr>
      <w:r w:rsidRPr="00900C2D">
        <w:rPr>
          <w:rFonts w:ascii="Cambria" w:hAnsi="Cambria"/>
          <w:sz w:val="20"/>
          <w:szCs w:val="20"/>
          <w:lang w:val="es-US"/>
        </w:rPr>
        <w:t>Marina Estela Cubías Alemán</w:t>
      </w:r>
    </w:p>
    <w:p w14:paraId="411D84A8" w14:textId="4B80098C" w:rsidR="00900C2D" w:rsidRPr="001D6AEA" w:rsidRDefault="001D6AEA" w:rsidP="00900C2D">
      <w:pPr>
        <w:spacing w:after="0" w:line="240" w:lineRule="auto"/>
        <w:jc w:val="center"/>
        <w:rPr>
          <w:rFonts w:ascii="Cambria" w:eastAsia="Times New Roman" w:hAnsi="Cambria"/>
          <w:sz w:val="20"/>
          <w:szCs w:val="20"/>
          <w:highlight w:val="black"/>
          <w:u w:val="single"/>
          <w:lang w:val="es-US"/>
        </w:rPr>
      </w:pPr>
      <w:r w:rsidRPr="001D6AEA">
        <w:rPr>
          <w:rFonts w:ascii="Cambria" w:eastAsia="Times New Roman" w:hAnsi="Cambria"/>
          <w:sz w:val="20"/>
          <w:szCs w:val="20"/>
          <w:highlight w:val="black"/>
          <w:u w:val="single"/>
          <w:lang w:val="es-US"/>
        </w:rPr>
        <w:t>XXXXXXXXXXXXXXXXXXXX</w:t>
      </w:r>
    </w:p>
    <w:p w14:paraId="02411D2C" w14:textId="77777777" w:rsidR="00900C2D" w:rsidRPr="00900C2D" w:rsidRDefault="00900C2D" w:rsidP="00900C2D">
      <w:pPr>
        <w:spacing w:after="0" w:line="240" w:lineRule="auto"/>
        <w:jc w:val="center"/>
        <w:rPr>
          <w:rFonts w:ascii="Cambria" w:hAnsi="Cambria"/>
          <w:sz w:val="20"/>
          <w:szCs w:val="20"/>
          <w:lang w:val="es-US"/>
        </w:rPr>
      </w:pPr>
      <w:r w:rsidRPr="00900C2D">
        <w:rPr>
          <w:rFonts w:ascii="Cambria" w:hAnsi="Cambria"/>
          <w:sz w:val="20"/>
          <w:szCs w:val="20"/>
          <w:lang w:val="es-US"/>
        </w:rPr>
        <w:t>Ana Gabriela Santos Guardado</w:t>
      </w:r>
    </w:p>
    <w:p w14:paraId="1708D536" w14:textId="7F8ECB49" w:rsidR="00900C2D" w:rsidRPr="001D6AEA" w:rsidRDefault="001D6AEA" w:rsidP="00900C2D">
      <w:pPr>
        <w:spacing w:after="0" w:line="240" w:lineRule="auto"/>
        <w:jc w:val="center"/>
        <w:rPr>
          <w:rFonts w:ascii="Cambria" w:eastAsia="Times New Roman" w:hAnsi="Cambria"/>
          <w:sz w:val="20"/>
          <w:szCs w:val="20"/>
          <w:highlight w:val="black"/>
          <w:lang w:val="es-US"/>
        </w:rPr>
      </w:pPr>
      <w:r w:rsidRPr="001D6AEA">
        <w:rPr>
          <w:rFonts w:ascii="Cambria" w:eastAsia="Times New Roman" w:hAnsi="Cambria"/>
          <w:sz w:val="20"/>
          <w:szCs w:val="20"/>
          <w:highlight w:val="black"/>
          <w:lang w:val="es-US"/>
        </w:rPr>
        <w:t>XXXXXXXXXXXXXXXXXXX</w:t>
      </w:r>
    </w:p>
    <w:p w14:paraId="1168B56F" w14:textId="77777777" w:rsidR="00900C2D" w:rsidRPr="002D6CA4" w:rsidRDefault="00900C2D" w:rsidP="00900C2D">
      <w:pPr>
        <w:spacing w:after="0" w:line="240" w:lineRule="auto"/>
        <w:jc w:val="center"/>
        <w:rPr>
          <w:rFonts w:ascii="Cambria" w:eastAsia="Times New Roman" w:hAnsi="Cambria"/>
          <w:sz w:val="20"/>
          <w:szCs w:val="20"/>
          <w:lang w:val="es-US"/>
        </w:rPr>
      </w:pPr>
      <w:r w:rsidRPr="002D6CA4">
        <w:rPr>
          <w:rFonts w:ascii="Cambria" w:eastAsia="Times New Roman" w:hAnsi="Cambria"/>
          <w:sz w:val="20"/>
          <w:szCs w:val="20"/>
          <w:lang w:val="es-US"/>
        </w:rPr>
        <w:t>Ana María Mata Parducci</w:t>
      </w:r>
    </w:p>
    <w:p w14:paraId="79052C3A" w14:textId="0626F899" w:rsidR="00900C2D" w:rsidRPr="001D6AEA" w:rsidRDefault="001D6AEA" w:rsidP="00900C2D">
      <w:pPr>
        <w:spacing w:after="0" w:line="240" w:lineRule="auto"/>
        <w:jc w:val="center"/>
        <w:rPr>
          <w:rFonts w:ascii="Cambria" w:hAnsi="Cambria"/>
          <w:sz w:val="20"/>
          <w:szCs w:val="20"/>
          <w:highlight w:val="black"/>
          <w:lang w:val="es-US"/>
        </w:rPr>
      </w:pPr>
      <w:r w:rsidRPr="001D6AEA">
        <w:rPr>
          <w:rFonts w:ascii="Cambria" w:hAnsi="Cambria"/>
          <w:sz w:val="20"/>
          <w:szCs w:val="20"/>
          <w:highlight w:val="black"/>
          <w:lang w:val="es-US"/>
        </w:rPr>
        <w:t>XXXXXXXXXXXXXXXXX</w:t>
      </w:r>
    </w:p>
    <w:p w14:paraId="5346198F" w14:textId="77777777" w:rsidR="00900C2D" w:rsidRPr="00D13632" w:rsidRDefault="00900C2D" w:rsidP="00900C2D">
      <w:pPr>
        <w:spacing w:after="0" w:line="240" w:lineRule="auto"/>
        <w:jc w:val="center"/>
        <w:rPr>
          <w:rFonts w:ascii="Cambria" w:hAnsi="Cambria"/>
          <w:sz w:val="20"/>
          <w:szCs w:val="20"/>
          <w:lang w:val="es-US"/>
        </w:rPr>
      </w:pPr>
      <w:r w:rsidRPr="00D13632">
        <w:rPr>
          <w:rFonts w:ascii="Cambria" w:hAnsi="Cambria"/>
          <w:sz w:val="20"/>
          <w:szCs w:val="20"/>
          <w:lang w:val="es-US"/>
        </w:rPr>
        <w:t>Danilo Ernesto Flores López</w:t>
      </w:r>
    </w:p>
    <w:p w14:paraId="434F6F98" w14:textId="644F1255" w:rsidR="00900C2D" w:rsidRPr="001D6AEA" w:rsidRDefault="001D6AEA" w:rsidP="00900C2D">
      <w:pPr>
        <w:spacing w:after="0" w:line="240" w:lineRule="auto"/>
        <w:jc w:val="center"/>
        <w:rPr>
          <w:rFonts w:ascii="Cambria" w:hAnsi="Cambria"/>
          <w:sz w:val="20"/>
          <w:szCs w:val="20"/>
          <w:highlight w:val="black"/>
          <w:lang w:val="es-US"/>
        </w:rPr>
      </w:pPr>
      <w:r w:rsidRPr="001D6AEA">
        <w:rPr>
          <w:rFonts w:ascii="Cambria" w:hAnsi="Cambria"/>
          <w:sz w:val="20"/>
          <w:szCs w:val="20"/>
          <w:highlight w:val="black"/>
          <w:lang w:val="es-US"/>
        </w:rPr>
        <w:t>XXXXXXXXXXXXXXXXXXXX</w:t>
      </w:r>
    </w:p>
    <w:p w14:paraId="4CCB092B" w14:textId="77777777" w:rsidR="0021280B" w:rsidRPr="00900C2D" w:rsidRDefault="0021280B" w:rsidP="00900C2D">
      <w:pPr>
        <w:widowControl w:val="0"/>
        <w:tabs>
          <w:tab w:val="left" w:pos="360"/>
          <w:tab w:val="left" w:pos="540"/>
        </w:tabs>
        <w:autoSpaceDE w:val="0"/>
        <w:autoSpaceDN w:val="0"/>
        <w:adjustRightInd w:val="0"/>
        <w:spacing w:after="0" w:line="240" w:lineRule="auto"/>
        <w:ind w:left="90" w:right="270"/>
        <w:jc w:val="center"/>
        <w:rPr>
          <w:rFonts w:ascii="Cambria" w:hAnsi="Cambria" w:cs="Calibri"/>
          <w:sz w:val="20"/>
          <w:szCs w:val="20"/>
          <w:lang w:val="es-CO"/>
        </w:rPr>
      </w:pPr>
    </w:p>
    <w:p w14:paraId="63807C35" w14:textId="77777777" w:rsidR="0021280B" w:rsidRPr="00900C2D" w:rsidRDefault="0021280B" w:rsidP="0021280B">
      <w:pPr>
        <w:tabs>
          <w:tab w:val="left" w:pos="0"/>
          <w:tab w:val="left" w:pos="360"/>
        </w:tabs>
        <w:spacing w:after="0" w:line="240" w:lineRule="auto"/>
        <w:ind w:right="270"/>
        <w:jc w:val="both"/>
        <w:rPr>
          <w:rFonts w:ascii="Cambria" w:hAnsi="Cambria" w:cs="Calibri"/>
          <w:sz w:val="20"/>
          <w:szCs w:val="20"/>
          <w:lang w:val="es-CO"/>
        </w:rPr>
      </w:pPr>
      <w:r w:rsidRPr="00900C2D">
        <w:rPr>
          <w:rFonts w:ascii="Cambria" w:hAnsi="Cambria" w:cs="Calibri"/>
          <w:sz w:val="20"/>
          <w:szCs w:val="20"/>
          <w:lang w:val="es-CO"/>
        </w:rPr>
        <w:tab/>
        <w:t>Aprovecho la oportunidad para saludar a usted muy atentamente,</w:t>
      </w:r>
    </w:p>
    <w:p w14:paraId="15AEAD9A" w14:textId="668221CD" w:rsidR="00900C2D" w:rsidRDefault="00900C2D" w:rsidP="00900C2D">
      <w:pPr>
        <w:tabs>
          <w:tab w:val="left" w:pos="3926"/>
        </w:tabs>
        <w:spacing w:after="0" w:line="240" w:lineRule="auto"/>
        <w:rPr>
          <w:rFonts w:ascii="Cambria" w:hAnsi="Cambria"/>
          <w:noProof/>
          <w:sz w:val="20"/>
          <w:szCs w:val="20"/>
        </w:rPr>
      </w:pPr>
    </w:p>
    <w:p w14:paraId="2368F077" w14:textId="77777777" w:rsidR="00D13632" w:rsidRDefault="00D13632" w:rsidP="00900C2D">
      <w:pPr>
        <w:tabs>
          <w:tab w:val="left" w:pos="3926"/>
        </w:tabs>
        <w:spacing w:after="0" w:line="240" w:lineRule="auto"/>
        <w:rPr>
          <w:rFonts w:ascii="Cambria" w:hAnsi="Cambria"/>
          <w:noProof/>
          <w:sz w:val="20"/>
          <w:szCs w:val="20"/>
        </w:rPr>
      </w:pPr>
    </w:p>
    <w:p w14:paraId="3C4301E8" w14:textId="77777777" w:rsidR="00D13632" w:rsidRPr="00900C2D" w:rsidRDefault="00D13632" w:rsidP="00900C2D">
      <w:pPr>
        <w:tabs>
          <w:tab w:val="left" w:pos="3926"/>
        </w:tabs>
        <w:spacing w:after="0" w:line="240" w:lineRule="auto"/>
        <w:rPr>
          <w:rFonts w:ascii="Cambria" w:hAnsi="Cambria"/>
          <w:sz w:val="20"/>
          <w:szCs w:val="20"/>
          <w:lang w:val="es-US"/>
        </w:rPr>
      </w:pPr>
    </w:p>
    <w:p w14:paraId="69F8A63E" w14:textId="046FF807" w:rsidR="00900C2D" w:rsidRPr="00900C2D" w:rsidRDefault="00900C2D" w:rsidP="00900C2D">
      <w:pPr>
        <w:spacing w:after="0" w:line="240" w:lineRule="auto"/>
        <w:rPr>
          <w:rFonts w:ascii="Cambria" w:hAnsi="Cambria"/>
          <w:sz w:val="20"/>
          <w:szCs w:val="20"/>
          <w:lang w:val="pt-BR"/>
        </w:rPr>
      </w:pPr>
      <w:r w:rsidRPr="00900C2D">
        <w:rPr>
          <w:rFonts w:ascii="Cambria" w:hAnsi="Cambria"/>
          <w:sz w:val="20"/>
          <w:szCs w:val="20"/>
          <w:lang w:val="pt-BR"/>
        </w:rPr>
        <w:t>Anexo</w:t>
      </w:r>
    </w:p>
    <w:sectPr w:rsidR="00900C2D" w:rsidRPr="00900C2D" w:rsidSect="0021280B">
      <w:headerReference w:type="default" r:id="rId7"/>
      <w:footerReference w:type="default" r:id="rId8"/>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49913" w14:textId="77777777" w:rsidR="005F52C0" w:rsidRDefault="005F52C0">
      <w:pPr>
        <w:spacing w:after="0" w:line="240" w:lineRule="auto"/>
      </w:pPr>
      <w:r>
        <w:separator/>
      </w:r>
    </w:p>
  </w:endnote>
  <w:endnote w:type="continuationSeparator" w:id="0">
    <w:p w14:paraId="7850AD15" w14:textId="77777777" w:rsidR="005F52C0" w:rsidRDefault="005F52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5425841"/>
      <w:docPartObj>
        <w:docPartGallery w:val="Page Numbers (Bottom of Page)"/>
        <w:docPartUnique/>
      </w:docPartObj>
    </w:sdtPr>
    <w:sdtEndPr>
      <w:rPr>
        <w:rFonts w:ascii="Cambria" w:hAnsi="Cambria"/>
        <w:noProof/>
        <w:sz w:val="20"/>
        <w:szCs w:val="20"/>
      </w:rPr>
    </w:sdtEndPr>
    <w:sdtContent>
      <w:p w14:paraId="4BE9F9B0" w14:textId="77777777" w:rsidR="00527274" w:rsidRPr="00C82DC3" w:rsidRDefault="00527274">
        <w:pPr>
          <w:pStyle w:val="Footer"/>
          <w:jc w:val="center"/>
          <w:rPr>
            <w:rFonts w:ascii="Cambria" w:hAnsi="Cambria"/>
            <w:sz w:val="20"/>
            <w:szCs w:val="20"/>
          </w:rPr>
        </w:pPr>
        <w:r w:rsidRPr="00C82DC3">
          <w:rPr>
            <w:rFonts w:ascii="Cambria" w:hAnsi="Cambria"/>
            <w:sz w:val="20"/>
            <w:szCs w:val="20"/>
          </w:rPr>
          <w:fldChar w:fldCharType="begin"/>
        </w:r>
        <w:r w:rsidRPr="00C82DC3">
          <w:rPr>
            <w:rFonts w:ascii="Cambria" w:hAnsi="Cambria"/>
            <w:sz w:val="20"/>
            <w:szCs w:val="20"/>
          </w:rPr>
          <w:instrText xml:space="preserve"> PAGE   \* MERGEFORMAT </w:instrText>
        </w:r>
        <w:r w:rsidRPr="00C82DC3">
          <w:rPr>
            <w:rFonts w:ascii="Cambria" w:hAnsi="Cambria"/>
            <w:sz w:val="20"/>
            <w:szCs w:val="20"/>
          </w:rPr>
          <w:fldChar w:fldCharType="separate"/>
        </w:r>
        <w:r w:rsidRPr="00C82DC3">
          <w:rPr>
            <w:rFonts w:ascii="Cambria" w:hAnsi="Cambria"/>
            <w:noProof/>
            <w:sz w:val="20"/>
            <w:szCs w:val="20"/>
          </w:rPr>
          <w:t>2</w:t>
        </w:r>
        <w:r w:rsidRPr="00C82DC3">
          <w:rPr>
            <w:rFonts w:ascii="Cambria" w:hAnsi="Cambria"/>
            <w:noProof/>
            <w:sz w:val="20"/>
            <w:szCs w:val="20"/>
          </w:rPr>
          <w:fldChar w:fldCharType="end"/>
        </w:r>
      </w:p>
    </w:sdtContent>
  </w:sdt>
  <w:p w14:paraId="6A1CAF26" w14:textId="77777777" w:rsidR="00527274" w:rsidRDefault="00527274" w:rsidP="0062724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35801" w14:textId="77777777" w:rsidR="005F52C0" w:rsidRDefault="005F52C0">
      <w:pPr>
        <w:spacing w:after="0" w:line="240" w:lineRule="auto"/>
      </w:pPr>
      <w:r>
        <w:separator/>
      </w:r>
    </w:p>
  </w:footnote>
  <w:footnote w:type="continuationSeparator" w:id="0">
    <w:p w14:paraId="0A74F1B9" w14:textId="77777777" w:rsidR="005F52C0" w:rsidRDefault="005F52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DA4D" w14:textId="77777777" w:rsidR="00527274" w:rsidRDefault="00527274" w:rsidP="0062724F">
    <w:pPr>
      <w:pStyle w:val="Header"/>
    </w:pPr>
    <w:r w:rsidRPr="008A5CB5">
      <w:rPr>
        <w:noProof/>
      </w:rPr>
      <w:drawing>
        <wp:inline distT="0" distB="0" distL="0" distR="0" wp14:anchorId="443BC393" wp14:editId="43CAAE80">
          <wp:extent cx="2352675" cy="457200"/>
          <wp:effectExtent l="0" t="0" r="9525" b="0"/>
          <wp:docPr id="1126285707" name="Picture 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457200"/>
                  </a:xfrm>
                  <a:prstGeom prst="rect">
                    <a:avLst/>
                  </a:prstGeom>
                  <a:noFill/>
                  <a:ln>
                    <a:noFill/>
                  </a:ln>
                </pic:spPr>
              </pic:pic>
            </a:graphicData>
          </a:graphic>
        </wp:inline>
      </w:drawing>
    </w:r>
    <w:r>
      <w:tab/>
      <w:t xml:space="preserve">                                                              </w:t>
    </w:r>
    <w:r w:rsidRPr="008A5CB5">
      <w:rPr>
        <w:noProof/>
      </w:rPr>
      <w:drawing>
        <wp:inline distT="0" distB="0" distL="0" distR="0" wp14:anchorId="51954502" wp14:editId="668535C4">
          <wp:extent cx="1647825" cy="476250"/>
          <wp:effectExtent l="0" t="0" r="9525" b="0"/>
          <wp:docPr id="1130505069" name="Picture 1" descr="C:\Users\mfontana\Documents\Eva Fontana\GRAFICA CIDH\cartas\logos\oea-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fontana\Documents\Eva Fontana\GRAFICA CIDH\cartas\logos\oea-e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7825" cy="476250"/>
                  </a:xfrm>
                  <a:prstGeom prst="rect">
                    <a:avLst/>
                  </a:prstGeom>
                  <a:noFill/>
                  <a:ln>
                    <a:noFill/>
                  </a:ln>
                </pic:spPr>
              </pic:pic>
            </a:graphicData>
          </a:graphic>
        </wp:inline>
      </w:drawing>
    </w:r>
    <w:r>
      <w:t xml:space="preserve">                      </w:t>
    </w:r>
  </w:p>
  <w:p w14:paraId="0BC89837" w14:textId="77777777" w:rsidR="00527274" w:rsidRDefault="001D6AEA" w:rsidP="0062724F">
    <w:pPr>
      <w:pStyle w:val="Header"/>
    </w:pPr>
    <w:r>
      <w:pict w14:anchorId="3817028E">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33D70"/>
    <w:multiLevelType w:val="hybridMultilevel"/>
    <w:tmpl w:val="7166D5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60259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80B"/>
    <w:rsid w:val="00036EB7"/>
    <w:rsid w:val="00037A6D"/>
    <w:rsid w:val="000608E0"/>
    <w:rsid w:val="0008492D"/>
    <w:rsid w:val="000937AC"/>
    <w:rsid w:val="000F7295"/>
    <w:rsid w:val="00157E9D"/>
    <w:rsid w:val="00177015"/>
    <w:rsid w:val="001843F3"/>
    <w:rsid w:val="001D6AEA"/>
    <w:rsid w:val="001D709E"/>
    <w:rsid w:val="001E1E01"/>
    <w:rsid w:val="00211D57"/>
    <w:rsid w:val="0021280B"/>
    <w:rsid w:val="002831AD"/>
    <w:rsid w:val="002D72B4"/>
    <w:rsid w:val="002E4A40"/>
    <w:rsid w:val="00327CD0"/>
    <w:rsid w:val="0035575D"/>
    <w:rsid w:val="003574CE"/>
    <w:rsid w:val="00382EC9"/>
    <w:rsid w:val="004236E1"/>
    <w:rsid w:val="004A6365"/>
    <w:rsid w:val="004C0935"/>
    <w:rsid w:val="004F017B"/>
    <w:rsid w:val="00527274"/>
    <w:rsid w:val="00536536"/>
    <w:rsid w:val="00555989"/>
    <w:rsid w:val="005B15FF"/>
    <w:rsid w:val="005F52C0"/>
    <w:rsid w:val="005F773B"/>
    <w:rsid w:val="00612BCB"/>
    <w:rsid w:val="00637797"/>
    <w:rsid w:val="00642B42"/>
    <w:rsid w:val="006865B0"/>
    <w:rsid w:val="00722E8E"/>
    <w:rsid w:val="007B2527"/>
    <w:rsid w:val="007C0624"/>
    <w:rsid w:val="00815879"/>
    <w:rsid w:val="00861FEE"/>
    <w:rsid w:val="00900C2D"/>
    <w:rsid w:val="00907673"/>
    <w:rsid w:val="00947700"/>
    <w:rsid w:val="009E401E"/>
    <w:rsid w:val="00A933C0"/>
    <w:rsid w:val="00B47822"/>
    <w:rsid w:val="00B71C94"/>
    <w:rsid w:val="00B95FB2"/>
    <w:rsid w:val="00BF4466"/>
    <w:rsid w:val="00C02E4F"/>
    <w:rsid w:val="00C43E44"/>
    <w:rsid w:val="00C70BEE"/>
    <w:rsid w:val="00CC3E4A"/>
    <w:rsid w:val="00CD5E6D"/>
    <w:rsid w:val="00CE7B9C"/>
    <w:rsid w:val="00D13632"/>
    <w:rsid w:val="00D35BA8"/>
    <w:rsid w:val="00D44E5A"/>
    <w:rsid w:val="00D52E71"/>
    <w:rsid w:val="00D743AD"/>
    <w:rsid w:val="00D75D7C"/>
    <w:rsid w:val="00D96D94"/>
    <w:rsid w:val="00E16CA5"/>
    <w:rsid w:val="00E30D41"/>
    <w:rsid w:val="00E85116"/>
    <w:rsid w:val="00F87A1A"/>
    <w:rsid w:val="00FC6B7F"/>
    <w:rsid w:val="00FF2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E6C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80B"/>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2128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28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28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28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28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28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28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28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28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8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28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28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28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28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28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28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28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280B"/>
    <w:rPr>
      <w:rFonts w:eastAsiaTheme="majorEastAsia" w:cstheme="majorBidi"/>
      <w:color w:val="272727" w:themeColor="text1" w:themeTint="D8"/>
    </w:rPr>
  </w:style>
  <w:style w:type="paragraph" w:styleId="Title">
    <w:name w:val="Title"/>
    <w:basedOn w:val="Normal"/>
    <w:next w:val="Normal"/>
    <w:link w:val="TitleChar"/>
    <w:uiPriority w:val="10"/>
    <w:qFormat/>
    <w:rsid w:val="002128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28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28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28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280B"/>
    <w:pPr>
      <w:spacing w:before="160"/>
      <w:jc w:val="center"/>
    </w:pPr>
    <w:rPr>
      <w:i/>
      <w:iCs/>
      <w:color w:val="404040" w:themeColor="text1" w:themeTint="BF"/>
    </w:rPr>
  </w:style>
  <w:style w:type="character" w:customStyle="1" w:styleId="QuoteChar">
    <w:name w:val="Quote Char"/>
    <w:basedOn w:val="DefaultParagraphFont"/>
    <w:link w:val="Quote"/>
    <w:uiPriority w:val="29"/>
    <w:rsid w:val="0021280B"/>
    <w:rPr>
      <w:i/>
      <w:iCs/>
      <w:color w:val="404040" w:themeColor="text1" w:themeTint="BF"/>
    </w:rPr>
  </w:style>
  <w:style w:type="paragraph" w:styleId="ListParagraph">
    <w:name w:val="List Paragraph"/>
    <w:aliases w:val="Párrafo de lista1,List Paragraph1,Colorful List - Accent 11,List Paragraph11,List Paragraph2,Lista vistosa - Énfasis 11,Subtle Emphasis1,Footnote1,Parragrap,Superíndice,Dot pt,No Spacing1,List Paragraph Char Char Char,Indicator Text"/>
    <w:basedOn w:val="Normal"/>
    <w:link w:val="ListParagraphChar"/>
    <w:uiPriority w:val="34"/>
    <w:qFormat/>
    <w:rsid w:val="0021280B"/>
    <w:pPr>
      <w:ind w:left="720"/>
      <w:contextualSpacing/>
    </w:pPr>
  </w:style>
  <w:style w:type="character" w:styleId="IntenseEmphasis">
    <w:name w:val="Intense Emphasis"/>
    <w:basedOn w:val="DefaultParagraphFont"/>
    <w:uiPriority w:val="21"/>
    <w:qFormat/>
    <w:rsid w:val="0021280B"/>
    <w:rPr>
      <w:i/>
      <w:iCs/>
      <w:color w:val="0F4761" w:themeColor="accent1" w:themeShade="BF"/>
    </w:rPr>
  </w:style>
  <w:style w:type="paragraph" w:styleId="IntenseQuote">
    <w:name w:val="Intense Quote"/>
    <w:basedOn w:val="Normal"/>
    <w:next w:val="Normal"/>
    <w:link w:val="IntenseQuoteChar"/>
    <w:uiPriority w:val="30"/>
    <w:qFormat/>
    <w:rsid w:val="002128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280B"/>
    <w:rPr>
      <w:i/>
      <w:iCs/>
      <w:color w:val="0F4761" w:themeColor="accent1" w:themeShade="BF"/>
    </w:rPr>
  </w:style>
  <w:style w:type="character" w:styleId="IntenseReference">
    <w:name w:val="Intense Reference"/>
    <w:basedOn w:val="DefaultParagraphFont"/>
    <w:uiPriority w:val="32"/>
    <w:qFormat/>
    <w:rsid w:val="0021280B"/>
    <w:rPr>
      <w:b/>
      <w:bCs/>
      <w:smallCaps/>
      <w:color w:val="0F4761" w:themeColor="accent1" w:themeShade="BF"/>
      <w:spacing w:val="5"/>
    </w:rPr>
  </w:style>
  <w:style w:type="paragraph" w:styleId="Header">
    <w:name w:val="header"/>
    <w:basedOn w:val="Normal"/>
    <w:link w:val="HeaderChar"/>
    <w:uiPriority w:val="99"/>
    <w:unhideWhenUsed/>
    <w:rsid w:val="0021280B"/>
    <w:pPr>
      <w:tabs>
        <w:tab w:val="center" w:pos="4680"/>
        <w:tab w:val="right" w:pos="9360"/>
      </w:tabs>
      <w:spacing w:after="0" w:line="240" w:lineRule="auto"/>
    </w:pPr>
    <w:rPr>
      <w:rFonts w:eastAsia="Batang"/>
    </w:rPr>
  </w:style>
  <w:style w:type="character" w:customStyle="1" w:styleId="HeaderChar">
    <w:name w:val="Header Char"/>
    <w:basedOn w:val="DefaultParagraphFont"/>
    <w:link w:val="Header"/>
    <w:uiPriority w:val="99"/>
    <w:rsid w:val="0021280B"/>
    <w:rPr>
      <w:rFonts w:ascii="Calibri" w:eastAsia="Batang" w:hAnsi="Calibri" w:cs="Times New Roman"/>
      <w:kern w:val="0"/>
      <w:sz w:val="22"/>
      <w:szCs w:val="22"/>
      <w14:ligatures w14:val="none"/>
    </w:rPr>
  </w:style>
  <w:style w:type="paragraph" w:styleId="Footer">
    <w:name w:val="footer"/>
    <w:basedOn w:val="Normal"/>
    <w:link w:val="FooterChar"/>
    <w:uiPriority w:val="99"/>
    <w:rsid w:val="0021280B"/>
    <w:pPr>
      <w:tabs>
        <w:tab w:val="center" w:pos="4320"/>
        <w:tab w:val="right" w:pos="8640"/>
      </w:tabs>
      <w:spacing w:after="0" w:line="240" w:lineRule="auto"/>
    </w:pPr>
    <w:rPr>
      <w:rFonts w:ascii="Times New Roman" w:eastAsia="Times New Roman" w:hAnsi="Times New Roman"/>
      <w:sz w:val="24"/>
      <w:szCs w:val="24"/>
      <w:lang w:val="es-ES" w:eastAsia="es-ES"/>
    </w:rPr>
  </w:style>
  <w:style w:type="character" w:customStyle="1" w:styleId="FooterChar">
    <w:name w:val="Footer Char"/>
    <w:basedOn w:val="DefaultParagraphFont"/>
    <w:link w:val="Footer"/>
    <w:uiPriority w:val="99"/>
    <w:rsid w:val="0021280B"/>
    <w:rPr>
      <w:rFonts w:ascii="Times New Roman" w:eastAsia="Times New Roman" w:hAnsi="Times New Roman" w:cs="Times New Roman"/>
      <w:kern w:val="0"/>
      <w:lang w:val="es-ES" w:eastAsia="es-ES"/>
      <w14:ligatures w14:val="none"/>
    </w:rPr>
  </w:style>
  <w:style w:type="paragraph" w:customStyle="1" w:styleId="parrafos">
    <w:name w:val="parrafos"/>
    <w:basedOn w:val="Normal"/>
    <w:link w:val="parrafosChar"/>
    <w:qFormat/>
    <w:rsid w:val="0021280B"/>
    <w:pPr>
      <w:tabs>
        <w:tab w:val="left" w:pos="360"/>
      </w:tabs>
      <w:spacing w:after="0" w:line="240" w:lineRule="auto"/>
      <w:jc w:val="both"/>
    </w:pPr>
    <w:rPr>
      <w:rFonts w:ascii="Cambria" w:eastAsia="Arial Unicode MS" w:hAnsi="Cambria"/>
      <w:color w:val="000000"/>
      <w:sz w:val="20"/>
      <w:szCs w:val="20"/>
      <w:bdr w:val="nil"/>
      <w:lang w:val="es-VE"/>
    </w:rPr>
  </w:style>
  <w:style w:type="character" w:customStyle="1" w:styleId="parrafosChar">
    <w:name w:val="parrafos Char"/>
    <w:link w:val="parrafos"/>
    <w:rsid w:val="0021280B"/>
    <w:rPr>
      <w:rFonts w:ascii="Cambria" w:eastAsia="Arial Unicode MS" w:hAnsi="Cambria" w:cs="Times New Roman"/>
      <w:color w:val="000000"/>
      <w:kern w:val="0"/>
      <w:sz w:val="20"/>
      <w:szCs w:val="20"/>
      <w:bdr w:val="nil"/>
      <w:lang w:val="es-VE"/>
      <w14:ligatures w14:val="none"/>
    </w:rPr>
  </w:style>
  <w:style w:type="character" w:customStyle="1" w:styleId="ListParagraphChar">
    <w:name w:val="List Paragraph Char"/>
    <w:aliases w:val="Párrafo de lista1 Char,List Paragraph1 Char,Colorful List - Accent 11 Char,List Paragraph11 Char,List Paragraph2 Char,Lista vistosa - Énfasis 11 Char,Subtle Emphasis1 Char,Footnote1 Char,Parragrap Char,Superíndice Char,Dot pt Char"/>
    <w:link w:val="ListParagraph"/>
    <w:uiPriority w:val="34"/>
    <w:locked/>
    <w:rsid w:val="0021280B"/>
  </w:style>
  <w:style w:type="character" w:styleId="Hyperlink">
    <w:name w:val="Hyperlink"/>
    <w:basedOn w:val="DefaultParagraphFont"/>
    <w:uiPriority w:val="99"/>
    <w:unhideWhenUsed/>
    <w:rsid w:val="002128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2460</Words>
  <Characters>14022</Characters>
  <Application>Microsoft Office Word</Application>
  <DocSecurity>0</DocSecurity>
  <Lines>116</Lines>
  <Paragraphs>32</Paragraphs>
  <ScaleCrop>false</ScaleCrop>
  <Company/>
  <LinksUpToDate>false</LinksUpToDate>
  <CharactersWithSpaces>16450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2025-10-07T16:17:00Z</dcterms:created>
  <dcterms:modified xsi:type="dcterms:W3CDTF">2025-10-07T16:17:00Z</dcterms:modified>
</cp:coreProperties>
</file>