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1847" w14:textId="77777777" w:rsidR="00AD0BF7" w:rsidRDefault="00AD0BF7" w:rsidP="00AD0BF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0D88468" wp14:editId="7D5C4678">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58086EBD" wp14:editId="568D4052">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3E966B4" wp14:editId="2C15C3DC">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E2F56" w14:textId="77777777" w:rsidR="00AD0BF7" w:rsidRPr="00411A74" w:rsidRDefault="00AD0BF7" w:rsidP="00AD0BF7">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4BAE464" w14:textId="77777777" w:rsidR="00AD0BF7" w:rsidRDefault="00AD0BF7" w:rsidP="00AD0BF7">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04E676FC" w14:textId="77777777" w:rsidR="004003B4" w:rsidRDefault="004003B4" w:rsidP="005570E1">
      <w:pPr>
        <w:spacing w:after="0" w:line="240" w:lineRule="auto"/>
        <w:jc w:val="center"/>
        <w:rPr>
          <w:rFonts w:ascii="Calibri Light" w:hAnsi="Calibri Light"/>
          <w:sz w:val="16"/>
          <w:szCs w:val="16"/>
          <w:lang w:val="es-PE"/>
        </w:rPr>
      </w:pPr>
    </w:p>
    <w:tbl>
      <w:tblPr>
        <w:tblStyle w:val="Tabladelista2-nfasis11"/>
        <w:tblW w:w="0" w:type="auto"/>
        <w:tblInd w:w="0" w:type="dxa"/>
        <w:tblLook w:val="04A0" w:firstRow="1" w:lastRow="0" w:firstColumn="1" w:lastColumn="0" w:noHBand="0" w:noVBand="1"/>
      </w:tblPr>
      <w:tblGrid>
        <w:gridCol w:w="3677"/>
        <w:gridCol w:w="2400"/>
        <w:gridCol w:w="2643"/>
      </w:tblGrid>
      <w:tr w:rsidR="00BD328B" w14:paraId="590579C0" w14:textId="77777777" w:rsidTr="005570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0BA877B8" w14:textId="77777777" w:rsidR="00BD328B" w:rsidRPr="005570E1" w:rsidRDefault="00BD328B" w:rsidP="005570E1">
            <w:pPr>
              <w:pStyle w:val="ListParagraph"/>
              <w:numPr>
                <w:ilvl w:val="0"/>
                <w:numId w:val="1"/>
              </w:numPr>
              <w:spacing w:after="0" w:line="240" w:lineRule="auto"/>
              <w:jc w:val="center"/>
              <w:rPr>
                <w:rFonts w:ascii="Calibri Light" w:hAnsi="Calibri Light"/>
              </w:rPr>
            </w:pPr>
            <w:r>
              <w:rPr>
                <w:rFonts w:ascii="Calibri Light" w:hAnsi="Calibri Light"/>
              </w:rPr>
              <w:t>Datos generales</w:t>
            </w:r>
          </w:p>
        </w:tc>
      </w:tr>
      <w:tr w:rsidR="00BD328B" w14:paraId="01CB2DBA" w14:textId="77777777" w:rsidTr="00BD328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421CA586" w14:textId="77777777" w:rsidR="00BD328B" w:rsidRDefault="00BD328B" w:rsidP="0074049B">
            <w:pPr>
              <w:pStyle w:val="ListParagraph"/>
              <w:numPr>
                <w:ilvl w:val="0"/>
                <w:numId w:val="2"/>
              </w:numPr>
              <w:spacing w:after="0" w:line="240" w:lineRule="auto"/>
              <w:rPr>
                <w:rFonts w:ascii="Calibri Light" w:hAnsi="Calibri Light"/>
              </w:rPr>
            </w:pPr>
            <w:r>
              <w:rPr>
                <w:rFonts w:ascii="Calibri Light" w:hAnsi="Calibri Light"/>
              </w:rPr>
              <w:t>Nombre del caso</w:t>
            </w:r>
          </w:p>
        </w:tc>
        <w:tc>
          <w:tcPr>
            <w:tcW w:w="5043" w:type="dxa"/>
            <w:gridSpan w:val="2"/>
            <w:tcBorders>
              <w:top w:val="single" w:sz="4" w:space="0" w:color="9CC2E5" w:themeColor="accent1" w:themeTint="99"/>
              <w:left w:val="nil"/>
              <w:bottom w:val="single" w:sz="4" w:space="0" w:color="9CC2E5" w:themeColor="accent1" w:themeTint="99"/>
              <w:right w:val="nil"/>
            </w:tcBorders>
            <w:hideMark/>
          </w:tcPr>
          <w:p w14:paraId="6006D94C" w14:textId="77777777" w:rsidR="00BD328B" w:rsidRDefault="00BD328B" w:rsidP="007404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Carlos Escaleras Mejía y familia c. Honduras</w:t>
            </w:r>
          </w:p>
        </w:tc>
      </w:tr>
      <w:tr w:rsidR="00BD328B" w14:paraId="0B8F5646" w14:textId="77777777" w:rsidTr="00BD328B">
        <w:trPr>
          <w:trHeight w:val="263"/>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6AA5E85F" w14:textId="77777777" w:rsidR="00BD328B" w:rsidRDefault="005570E1" w:rsidP="0074049B">
            <w:pPr>
              <w:pStyle w:val="ListParagraph"/>
              <w:numPr>
                <w:ilvl w:val="0"/>
                <w:numId w:val="2"/>
              </w:numPr>
              <w:spacing w:after="0" w:line="240" w:lineRule="auto"/>
              <w:rPr>
                <w:rFonts w:ascii="Calibri Light" w:hAnsi="Calibri Light"/>
              </w:rPr>
            </w:pPr>
            <w:r>
              <w:rPr>
                <w:rFonts w:ascii="Calibri Light" w:hAnsi="Calibri Light"/>
              </w:rPr>
              <w:t>Parte peticionaria</w:t>
            </w:r>
          </w:p>
        </w:tc>
        <w:tc>
          <w:tcPr>
            <w:tcW w:w="5043" w:type="dxa"/>
            <w:gridSpan w:val="2"/>
            <w:tcBorders>
              <w:top w:val="single" w:sz="4" w:space="0" w:color="9CC2E5" w:themeColor="accent1" w:themeTint="99"/>
              <w:left w:val="nil"/>
              <w:bottom w:val="single" w:sz="4" w:space="0" w:color="9CC2E5" w:themeColor="accent1" w:themeTint="99"/>
              <w:right w:val="nil"/>
            </w:tcBorders>
            <w:hideMark/>
          </w:tcPr>
          <w:p w14:paraId="79D0805E" w14:textId="77777777" w:rsidR="00BD328B" w:rsidRDefault="00BD328B" w:rsidP="0074049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Equipo de Reflexión, Investigación y Comunicación (ERIC)</w:t>
            </w:r>
          </w:p>
          <w:p w14:paraId="4ED990A8" w14:textId="77777777" w:rsidR="00BD328B" w:rsidRDefault="00BD328B" w:rsidP="0074049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por la Justicia y el Derecho Internacional (CEJIL)</w:t>
            </w:r>
          </w:p>
        </w:tc>
      </w:tr>
      <w:tr w:rsidR="00BD328B" w14:paraId="7F42A454" w14:textId="77777777" w:rsidTr="00BD328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14ED7BB9" w14:textId="77777777" w:rsidR="00BD328B" w:rsidRDefault="00BD328B" w:rsidP="0074049B">
            <w:pPr>
              <w:pStyle w:val="ListParagraph"/>
              <w:numPr>
                <w:ilvl w:val="0"/>
                <w:numId w:val="2"/>
              </w:numPr>
              <w:spacing w:after="0" w:line="240" w:lineRule="auto"/>
              <w:rPr>
                <w:rFonts w:ascii="Calibri Light" w:hAnsi="Calibri Light"/>
              </w:rPr>
            </w:pPr>
            <w:r>
              <w:rPr>
                <w:rFonts w:ascii="Calibri Light" w:hAnsi="Calibri Light"/>
              </w:rPr>
              <w:t xml:space="preserve">Número de Informe </w:t>
            </w:r>
          </w:p>
        </w:tc>
        <w:tc>
          <w:tcPr>
            <w:tcW w:w="5043" w:type="dxa"/>
            <w:gridSpan w:val="2"/>
            <w:tcBorders>
              <w:top w:val="single" w:sz="4" w:space="0" w:color="9CC2E5" w:themeColor="accent1" w:themeTint="99"/>
              <w:left w:val="nil"/>
              <w:bottom w:val="single" w:sz="4" w:space="0" w:color="9CC2E5" w:themeColor="accent1" w:themeTint="99"/>
              <w:right w:val="nil"/>
            </w:tcBorders>
            <w:hideMark/>
          </w:tcPr>
          <w:p w14:paraId="75B015D6" w14:textId="77777777" w:rsidR="00BD328B" w:rsidRPr="005570E1" w:rsidRDefault="00B926B0" w:rsidP="007404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0000FF"/>
              </w:rPr>
            </w:pPr>
            <w:hyperlink r:id="rId12" w:history="1">
              <w:r w:rsidR="00BD328B" w:rsidRPr="005570E1">
                <w:rPr>
                  <w:rStyle w:val="Hyperlink"/>
                  <w:rFonts w:ascii="Calibri Light" w:hAnsi="Calibri Light"/>
                  <w:color w:val="0000FF"/>
                </w:rPr>
                <w:t>Informe No. 43/14</w:t>
              </w:r>
            </w:hyperlink>
          </w:p>
        </w:tc>
      </w:tr>
      <w:tr w:rsidR="00BD328B" w14:paraId="409F92A9" w14:textId="77777777" w:rsidTr="00BD328B">
        <w:trPr>
          <w:trHeight w:val="212"/>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3AA738CE" w14:textId="77777777" w:rsidR="00BD328B" w:rsidRDefault="00BD328B" w:rsidP="0074049B">
            <w:pPr>
              <w:pStyle w:val="ListParagraph"/>
              <w:numPr>
                <w:ilvl w:val="0"/>
                <w:numId w:val="2"/>
              </w:numPr>
              <w:spacing w:after="0" w:line="240" w:lineRule="auto"/>
            </w:pPr>
            <w:r>
              <w:rPr>
                <w:rFonts w:ascii="Calibri Light" w:hAnsi="Calibri Light"/>
              </w:rPr>
              <w:t xml:space="preserve">Tipo de informe </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3C3B0E47" w14:textId="77777777" w:rsidR="00BD328B" w:rsidRDefault="00BD328B" w:rsidP="0074049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Fondo (Caso en la Corte IDH)</w:t>
            </w:r>
          </w:p>
        </w:tc>
      </w:tr>
      <w:tr w:rsidR="00BD328B" w14:paraId="60479B20" w14:textId="77777777" w:rsidTr="00E132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44CA2134" w14:textId="77777777" w:rsidR="00BD328B" w:rsidRDefault="00BD328B" w:rsidP="0074049B">
            <w:pPr>
              <w:pStyle w:val="ListParagraph"/>
              <w:numPr>
                <w:ilvl w:val="0"/>
                <w:numId w:val="2"/>
              </w:numPr>
              <w:spacing w:after="0" w:line="240" w:lineRule="auto"/>
              <w:rPr>
                <w:rFonts w:ascii="Calibri Light" w:hAnsi="Calibri Light"/>
              </w:rPr>
            </w:pPr>
            <w:r>
              <w:rPr>
                <w:rFonts w:ascii="Calibri Light" w:hAnsi="Calibri Light"/>
              </w:rPr>
              <w:t xml:space="preserve">Fecha </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1968B07E" w14:textId="77777777" w:rsidR="00BD328B" w:rsidRDefault="00BD328B" w:rsidP="007404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17 de julio de 2014</w:t>
            </w:r>
          </w:p>
        </w:tc>
      </w:tr>
      <w:tr w:rsidR="00BD328B" w14:paraId="2E78510F" w14:textId="77777777" w:rsidTr="00E132EA">
        <w:trPr>
          <w:trHeight w:val="510"/>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36171429" w14:textId="77777777" w:rsidR="00BD328B" w:rsidRDefault="00BD328B" w:rsidP="0074049B">
            <w:pPr>
              <w:pStyle w:val="ListParagraph"/>
              <w:numPr>
                <w:ilvl w:val="0"/>
                <w:numId w:val="2"/>
              </w:numPr>
              <w:spacing w:after="0" w:line="240" w:lineRule="auto"/>
              <w:rPr>
                <w:rFonts w:ascii="Calibri Light" w:hAnsi="Calibri Light"/>
              </w:rPr>
            </w:pPr>
            <w:r>
              <w:rPr>
                <w:rFonts w:ascii="Calibri Light" w:hAnsi="Calibri Light"/>
              </w:rPr>
              <w:t>Decisiones de la CIDH y/o la Corte IDH, relacionadas</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0E242D6F" w14:textId="77777777" w:rsidR="00BD328B" w:rsidRDefault="00BD328B" w:rsidP="0074049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15/05 (</w:t>
            </w:r>
            <w:hyperlink r:id="rId13" w:history="1">
              <w:r w:rsidRPr="005570E1">
                <w:rPr>
                  <w:rStyle w:val="Hyperlink"/>
                  <w:rFonts w:ascii="Calibri Light" w:hAnsi="Calibri Light"/>
                  <w:color w:val="0000FF"/>
                </w:rPr>
                <w:t>Admisibilidad</w:t>
              </w:r>
            </w:hyperlink>
            <w:r>
              <w:rPr>
                <w:rFonts w:ascii="Calibri Light" w:hAnsi="Calibri Light"/>
              </w:rPr>
              <w:t>)</w:t>
            </w:r>
          </w:p>
          <w:p w14:paraId="2E6D3433" w14:textId="2D606D38" w:rsidR="00E10C03" w:rsidRDefault="00E10C03" w:rsidP="0074049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Escaleras Mejía y otros vs. Honduras (</w:t>
            </w:r>
            <w:hyperlink r:id="rId14" w:history="1">
              <w:r w:rsidRPr="00E10C03">
                <w:rPr>
                  <w:rStyle w:val="Hyperlink"/>
                  <w:rFonts w:ascii="Calibri Light" w:hAnsi="Calibri Light"/>
                  <w:color w:val="0000FF"/>
                </w:rPr>
                <w:t>Sentencia de 26 de septiembre de 2018</w:t>
              </w:r>
            </w:hyperlink>
            <w:r>
              <w:rPr>
                <w:rFonts w:ascii="Calibri Light" w:hAnsi="Calibri Light"/>
              </w:rPr>
              <w:t>)</w:t>
            </w:r>
          </w:p>
        </w:tc>
      </w:tr>
      <w:tr w:rsidR="00BD328B" w14:paraId="4CFE3899" w14:textId="77777777" w:rsidTr="005570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8" w:type="dxa"/>
            <w:vMerge w:val="restart"/>
            <w:tcBorders>
              <w:top w:val="single" w:sz="4" w:space="0" w:color="9CC2E5" w:themeColor="accent1" w:themeTint="99"/>
              <w:left w:val="nil"/>
              <w:bottom w:val="single" w:sz="4" w:space="0" w:color="9CC2E5" w:themeColor="accent1" w:themeTint="99"/>
              <w:right w:val="nil"/>
            </w:tcBorders>
            <w:hideMark/>
          </w:tcPr>
          <w:p w14:paraId="58CA7FB2" w14:textId="77777777" w:rsidR="00BD328B" w:rsidRDefault="00BD328B" w:rsidP="0074049B">
            <w:pPr>
              <w:pStyle w:val="ListParagraph"/>
              <w:numPr>
                <w:ilvl w:val="0"/>
                <w:numId w:val="2"/>
              </w:numPr>
              <w:spacing w:after="0" w:line="240" w:lineRule="auto"/>
              <w:jc w:val="both"/>
              <w:rPr>
                <w:rFonts w:ascii="Calibri Light" w:hAnsi="Calibri Light"/>
              </w:rPr>
            </w:pPr>
            <w:r>
              <w:rPr>
                <w:rFonts w:ascii="Calibri Light" w:hAnsi="Calibri Light"/>
              </w:rPr>
              <w:t xml:space="preserve">Artículos analizados </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6B91A1EF" w14:textId="77777777" w:rsidR="00BD328B" w:rsidRDefault="00BD328B" w:rsidP="007404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BD328B" w14:paraId="55528815" w14:textId="77777777" w:rsidTr="00BD328B">
        <w:trPr>
          <w:trHeight w:val="61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4FCE1947" w14:textId="77777777" w:rsidR="00BD328B" w:rsidRDefault="00BD328B" w:rsidP="0074049B">
            <w:pPr>
              <w:spacing w:after="0" w:line="240" w:lineRule="auto"/>
              <w:rPr>
                <w:rFonts w:ascii="Calibri Light" w:hAnsi="Calibri Light"/>
              </w:rPr>
            </w:pPr>
          </w:p>
        </w:tc>
        <w:tc>
          <w:tcPr>
            <w:tcW w:w="2400" w:type="dxa"/>
            <w:tcBorders>
              <w:top w:val="single" w:sz="4" w:space="0" w:color="9CC2E5" w:themeColor="accent1" w:themeTint="99"/>
              <w:left w:val="nil"/>
              <w:bottom w:val="single" w:sz="4" w:space="0" w:color="9CC2E5" w:themeColor="accent1" w:themeTint="99"/>
              <w:right w:val="nil"/>
            </w:tcBorders>
            <w:vAlign w:val="center"/>
            <w:hideMark/>
          </w:tcPr>
          <w:p w14:paraId="30AC8E83" w14:textId="77777777" w:rsidR="00BD328B" w:rsidRDefault="00BD328B" w:rsidP="0074049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643" w:type="dxa"/>
            <w:tcBorders>
              <w:top w:val="single" w:sz="4" w:space="0" w:color="9CC2E5" w:themeColor="accent1" w:themeTint="99"/>
              <w:left w:val="nil"/>
              <w:bottom w:val="single" w:sz="4" w:space="0" w:color="9CC2E5" w:themeColor="accent1" w:themeTint="99"/>
              <w:right w:val="nil"/>
            </w:tcBorders>
            <w:vAlign w:val="center"/>
            <w:hideMark/>
          </w:tcPr>
          <w:p w14:paraId="66E409A2" w14:textId="77777777" w:rsidR="00BD328B" w:rsidRDefault="00BD328B" w:rsidP="0074049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BD328B" w14:paraId="7885B191" w14:textId="77777777" w:rsidTr="00F237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5A3B6D9C" w14:textId="77777777" w:rsidR="00BD328B" w:rsidRDefault="00BD328B" w:rsidP="0074049B">
            <w:pPr>
              <w:spacing w:after="0" w:line="240" w:lineRule="auto"/>
              <w:rPr>
                <w:rFonts w:ascii="Calibri Light" w:hAnsi="Calibri Light"/>
              </w:rPr>
            </w:pPr>
          </w:p>
        </w:tc>
        <w:tc>
          <w:tcPr>
            <w:tcW w:w="2400" w:type="dxa"/>
            <w:tcBorders>
              <w:top w:val="single" w:sz="4" w:space="0" w:color="9CC2E5" w:themeColor="accent1" w:themeTint="99"/>
              <w:left w:val="nil"/>
              <w:bottom w:val="single" w:sz="4" w:space="0" w:color="9CC2E5" w:themeColor="accent1" w:themeTint="99"/>
              <w:right w:val="nil"/>
            </w:tcBorders>
            <w:vAlign w:val="center"/>
            <w:hideMark/>
          </w:tcPr>
          <w:p w14:paraId="34E8EDA9" w14:textId="77777777" w:rsidR="00BD328B" w:rsidRDefault="00BD328B" w:rsidP="00F2376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Art. 1, art. 4, art. 5, art. 8, art. 16, art. 23, art. 25</w:t>
            </w:r>
          </w:p>
        </w:tc>
        <w:tc>
          <w:tcPr>
            <w:tcW w:w="2643" w:type="dxa"/>
            <w:tcBorders>
              <w:top w:val="single" w:sz="4" w:space="0" w:color="9CC2E5" w:themeColor="accent1" w:themeTint="99"/>
              <w:left w:val="nil"/>
              <w:bottom w:val="single" w:sz="4" w:space="0" w:color="9CC2E5" w:themeColor="accent1" w:themeTint="99"/>
              <w:right w:val="nil"/>
            </w:tcBorders>
            <w:hideMark/>
          </w:tcPr>
          <w:p w14:paraId="66F24D20" w14:textId="7401D21C" w:rsidR="00BD328B" w:rsidRDefault="00BD328B" w:rsidP="00740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 13</w:t>
            </w:r>
            <w:r w:rsidR="004003B4">
              <w:rPr>
                <w:rFonts w:ascii="Calibri Light" w:hAnsi="Calibri Light"/>
              </w:rPr>
              <w:t xml:space="preserve"> </w:t>
            </w:r>
          </w:p>
        </w:tc>
      </w:tr>
      <w:tr w:rsidR="00BD328B" w14:paraId="02A84D81" w14:textId="77777777" w:rsidTr="005570E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3BFA0BED" w14:textId="77777777" w:rsidR="00BD328B" w:rsidRPr="005570E1" w:rsidRDefault="00B22518" w:rsidP="005570E1">
            <w:pPr>
              <w:pStyle w:val="ListParagraph"/>
              <w:numPr>
                <w:ilvl w:val="0"/>
                <w:numId w:val="1"/>
              </w:numPr>
              <w:spacing w:after="0" w:line="240" w:lineRule="auto"/>
              <w:jc w:val="center"/>
              <w:rPr>
                <w:rFonts w:ascii="Calibri Light" w:hAnsi="Calibri Light"/>
              </w:rPr>
            </w:pPr>
            <w:r>
              <w:rPr>
                <w:rFonts w:ascii="Calibri Light" w:hAnsi="Calibri Light"/>
              </w:rPr>
              <w:t>Sumilla</w:t>
            </w:r>
          </w:p>
        </w:tc>
      </w:tr>
      <w:tr w:rsidR="00BD328B" w14:paraId="4D31E8EC" w14:textId="77777777" w:rsidTr="00BD32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0DB20F81" w14:textId="77777777" w:rsidR="00BD328B" w:rsidRDefault="00BD328B" w:rsidP="0074049B">
            <w:pPr>
              <w:spacing w:after="0" w:line="240" w:lineRule="auto"/>
              <w:jc w:val="both"/>
              <w:rPr>
                <w:rFonts w:ascii="Calibri Light" w:hAnsi="Calibri Light"/>
                <w:b w:val="0"/>
              </w:rPr>
            </w:pPr>
          </w:p>
          <w:p w14:paraId="03097FD7" w14:textId="56071B0A" w:rsidR="00AF23B7" w:rsidRDefault="003530EE" w:rsidP="006F0365">
            <w:pPr>
              <w:spacing w:after="0" w:line="240" w:lineRule="auto"/>
              <w:jc w:val="both"/>
              <w:rPr>
                <w:rFonts w:ascii="Calibri Light" w:hAnsi="Calibri Light"/>
                <w:b w:val="0"/>
              </w:rPr>
            </w:pPr>
            <w:r>
              <w:rPr>
                <w:rFonts w:ascii="Calibri Light" w:hAnsi="Calibri Light"/>
                <w:b w:val="0"/>
              </w:rPr>
              <w:t xml:space="preserve">El caso </w:t>
            </w:r>
            <w:r w:rsidR="0034259B">
              <w:rPr>
                <w:rFonts w:ascii="Calibri Light" w:hAnsi="Calibri Light"/>
                <w:b w:val="0"/>
              </w:rPr>
              <w:t>trata sobre el asesinato</w:t>
            </w:r>
            <w:r>
              <w:rPr>
                <w:rFonts w:ascii="Calibri Light" w:hAnsi="Calibri Light"/>
                <w:b w:val="0"/>
              </w:rPr>
              <w:t xml:space="preserve"> de Carlos Escaleras, defensor del medioambiente hondureño</w:t>
            </w:r>
            <w:r w:rsidR="0034259B">
              <w:rPr>
                <w:rFonts w:ascii="Calibri Light" w:hAnsi="Calibri Light"/>
                <w:b w:val="0"/>
              </w:rPr>
              <w:t xml:space="preserve"> y candidato a la alcaldía del Municipio de Tocoa, luego de ser </w:t>
            </w:r>
            <w:r>
              <w:rPr>
                <w:rFonts w:ascii="Calibri Light" w:hAnsi="Calibri Light"/>
                <w:b w:val="0"/>
              </w:rPr>
              <w:t xml:space="preserve">amenazado y presionado para desistir </w:t>
            </w:r>
            <w:r w:rsidR="0034259B">
              <w:rPr>
                <w:rFonts w:ascii="Calibri Light" w:hAnsi="Calibri Light"/>
                <w:b w:val="0"/>
              </w:rPr>
              <w:t>en sus labores</w:t>
            </w:r>
            <w:r>
              <w:rPr>
                <w:rFonts w:ascii="Calibri Light" w:hAnsi="Calibri Light"/>
                <w:b w:val="0"/>
              </w:rPr>
              <w:t xml:space="preserve">. Aunque sus familiares impulsaron de forma constante el proceso seguido por su muerte, las fallas </w:t>
            </w:r>
            <w:r w:rsidR="006B4004">
              <w:rPr>
                <w:rFonts w:ascii="Calibri Light" w:hAnsi="Calibri Light"/>
                <w:b w:val="0"/>
              </w:rPr>
              <w:t xml:space="preserve">en el seguimiento de las líneas </w:t>
            </w:r>
            <w:r w:rsidR="0058002A">
              <w:rPr>
                <w:rFonts w:ascii="Calibri Light" w:hAnsi="Calibri Light"/>
                <w:b w:val="0"/>
              </w:rPr>
              <w:t xml:space="preserve">lógicas </w:t>
            </w:r>
            <w:r w:rsidR="006B4004">
              <w:rPr>
                <w:rFonts w:ascii="Calibri Light" w:hAnsi="Calibri Light"/>
                <w:b w:val="0"/>
              </w:rPr>
              <w:t xml:space="preserve">de investigación, </w:t>
            </w:r>
            <w:r w:rsidR="0034259B">
              <w:rPr>
                <w:rFonts w:ascii="Calibri Light" w:hAnsi="Calibri Light"/>
                <w:b w:val="0"/>
              </w:rPr>
              <w:t xml:space="preserve">los </w:t>
            </w:r>
            <w:r w:rsidR="000B4E69">
              <w:rPr>
                <w:rFonts w:ascii="Calibri Light" w:hAnsi="Calibri Light"/>
                <w:b w:val="0"/>
              </w:rPr>
              <w:t>constantes cambios de los fiscales a cargo del caso, entre otros problemas en el</w:t>
            </w:r>
            <w:r w:rsidR="00DC7063">
              <w:rPr>
                <w:rFonts w:ascii="Calibri Light" w:hAnsi="Calibri Light"/>
                <w:b w:val="0"/>
              </w:rPr>
              <w:t xml:space="preserve"> proceso, generaron que solo dos</w:t>
            </w:r>
            <w:r w:rsidR="000B4E69">
              <w:rPr>
                <w:rFonts w:ascii="Calibri Light" w:hAnsi="Calibri Light"/>
                <w:b w:val="0"/>
              </w:rPr>
              <w:t xml:space="preserve"> de los autores materiales fu</w:t>
            </w:r>
            <w:r w:rsidR="00C7055B">
              <w:rPr>
                <w:rFonts w:ascii="Calibri Light" w:hAnsi="Calibri Light"/>
                <w:b w:val="0"/>
              </w:rPr>
              <w:t>era</w:t>
            </w:r>
            <w:r w:rsidR="00DC7063">
              <w:rPr>
                <w:rFonts w:ascii="Calibri Light" w:hAnsi="Calibri Light"/>
                <w:b w:val="0"/>
              </w:rPr>
              <w:t>n</w:t>
            </w:r>
            <w:r w:rsidR="00C7055B">
              <w:rPr>
                <w:rFonts w:ascii="Calibri Light" w:hAnsi="Calibri Light"/>
                <w:b w:val="0"/>
              </w:rPr>
              <w:t xml:space="preserve"> sentenciado</w:t>
            </w:r>
            <w:r w:rsidR="00DC7063">
              <w:rPr>
                <w:rFonts w:ascii="Calibri Light" w:hAnsi="Calibri Light"/>
                <w:b w:val="0"/>
              </w:rPr>
              <w:t>s</w:t>
            </w:r>
            <w:r w:rsidR="00C7055B">
              <w:rPr>
                <w:rFonts w:ascii="Calibri Light" w:hAnsi="Calibri Light"/>
                <w:b w:val="0"/>
              </w:rPr>
              <w:t>, mientras que aún se</w:t>
            </w:r>
            <w:r w:rsidR="000B4E69">
              <w:rPr>
                <w:rFonts w:ascii="Calibri Light" w:hAnsi="Calibri Light"/>
                <w:b w:val="0"/>
              </w:rPr>
              <w:t xml:space="preserve"> desconoce la identidad de los otros y los motivos tras su asesinato.</w:t>
            </w:r>
          </w:p>
          <w:p w14:paraId="1E7A1986" w14:textId="77777777" w:rsidR="00BD328B" w:rsidRDefault="00BD328B" w:rsidP="0074049B">
            <w:pPr>
              <w:spacing w:after="0" w:line="240" w:lineRule="auto"/>
              <w:jc w:val="both"/>
              <w:rPr>
                <w:rFonts w:ascii="Calibri Light" w:hAnsi="Calibri Light"/>
                <w:b w:val="0"/>
              </w:rPr>
            </w:pPr>
            <w:r>
              <w:rPr>
                <w:rFonts w:ascii="Calibri Light" w:hAnsi="Calibri Light"/>
                <w:b w:val="0"/>
              </w:rPr>
              <w:t xml:space="preserve"> </w:t>
            </w:r>
          </w:p>
        </w:tc>
      </w:tr>
      <w:tr w:rsidR="00BD328B" w14:paraId="2FBB226A" w14:textId="77777777" w:rsidTr="005570E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0EC17BE8" w14:textId="77777777" w:rsidR="00BD328B" w:rsidRPr="005570E1" w:rsidRDefault="00BD328B" w:rsidP="005570E1">
            <w:pPr>
              <w:pStyle w:val="ListParagraph"/>
              <w:numPr>
                <w:ilvl w:val="0"/>
                <w:numId w:val="1"/>
              </w:numPr>
              <w:spacing w:after="0" w:line="240" w:lineRule="auto"/>
              <w:jc w:val="center"/>
              <w:rPr>
                <w:rFonts w:ascii="Calibri Light" w:hAnsi="Calibri Light"/>
              </w:rPr>
            </w:pPr>
            <w:r>
              <w:rPr>
                <w:rFonts w:ascii="Calibri Light" w:hAnsi="Calibri Light"/>
              </w:rPr>
              <w:t>Palabras clave</w:t>
            </w:r>
          </w:p>
        </w:tc>
      </w:tr>
      <w:tr w:rsidR="00BD328B" w14:paraId="4D8635AE" w14:textId="77777777" w:rsidTr="00BD328B">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3923F9A6" w14:textId="77777777" w:rsidR="00BD328B" w:rsidRPr="00A76C04" w:rsidRDefault="00BD328B" w:rsidP="006F0365">
            <w:pPr>
              <w:spacing w:after="0" w:line="240" w:lineRule="auto"/>
              <w:jc w:val="both"/>
              <w:rPr>
                <w:rFonts w:ascii="Calibri Light" w:hAnsi="Calibri Light" w:cs="Calibri Light"/>
                <w:b w:val="0"/>
              </w:rPr>
            </w:pPr>
          </w:p>
          <w:p w14:paraId="342D3789" w14:textId="77777777" w:rsidR="00BD328B" w:rsidRPr="00A76C04" w:rsidRDefault="00BD328B" w:rsidP="006F0365">
            <w:pPr>
              <w:spacing w:after="0" w:line="240" w:lineRule="auto"/>
              <w:jc w:val="both"/>
              <w:rPr>
                <w:rFonts w:ascii="Calibri Light" w:hAnsi="Calibri Light" w:cs="Calibri Light"/>
                <w:b w:val="0"/>
                <w:bCs w:val="0"/>
                <w:lang w:val="es-PE"/>
              </w:rPr>
            </w:pPr>
            <w:r w:rsidRPr="00A76C04">
              <w:rPr>
                <w:rFonts w:ascii="Calibri Light" w:hAnsi="Calibri Light" w:cs="Calibri Light"/>
                <w:b w:val="0"/>
                <w:bCs w:val="0"/>
                <w:lang w:val="es-PE"/>
              </w:rPr>
              <w:t>Defensores de DDHH, Derechos políticos, Libertad de asociación, Protección judicial y garantías judiciales, Vida</w:t>
            </w:r>
          </w:p>
          <w:p w14:paraId="45B861A1" w14:textId="77777777" w:rsidR="00BD328B" w:rsidRDefault="00BD328B" w:rsidP="0074049B">
            <w:pPr>
              <w:spacing w:after="0" w:line="240" w:lineRule="auto"/>
              <w:jc w:val="both"/>
              <w:rPr>
                <w:rFonts w:ascii="Calibri Light" w:hAnsi="Calibri Light"/>
                <w:b w:val="0"/>
              </w:rPr>
            </w:pPr>
          </w:p>
        </w:tc>
      </w:tr>
      <w:tr w:rsidR="00BD328B" w14:paraId="3CADE83C" w14:textId="77777777" w:rsidTr="005570E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30C62609" w14:textId="77777777" w:rsidR="00BD328B" w:rsidRPr="005570E1" w:rsidRDefault="00C50476" w:rsidP="005570E1">
            <w:pPr>
              <w:pStyle w:val="ListParagraph"/>
              <w:numPr>
                <w:ilvl w:val="0"/>
                <w:numId w:val="1"/>
              </w:numPr>
              <w:spacing w:after="0" w:line="240" w:lineRule="auto"/>
              <w:jc w:val="center"/>
              <w:rPr>
                <w:rFonts w:ascii="Calibri Light" w:hAnsi="Calibri Light"/>
              </w:rPr>
            </w:pPr>
            <w:r>
              <w:rPr>
                <w:rFonts w:ascii="Calibri Light" w:hAnsi="Calibri Light"/>
              </w:rPr>
              <w:t>Hechos</w:t>
            </w:r>
          </w:p>
        </w:tc>
      </w:tr>
      <w:tr w:rsidR="00BD328B" w14:paraId="7C282536" w14:textId="77777777" w:rsidTr="00BD328B">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76B30BC7" w14:textId="77777777" w:rsidR="00BD328B" w:rsidRPr="006F0365" w:rsidRDefault="00BD328B" w:rsidP="006F0365">
            <w:pPr>
              <w:spacing w:after="0" w:line="240" w:lineRule="auto"/>
              <w:jc w:val="both"/>
              <w:rPr>
                <w:rFonts w:ascii="Calibri Light" w:hAnsi="Calibri Light"/>
                <w:b w:val="0"/>
              </w:rPr>
            </w:pPr>
          </w:p>
          <w:p w14:paraId="65C10BEB" w14:textId="1B52D921" w:rsidR="001034F1" w:rsidRPr="006F0365" w:rsidRDefault="00A36DFA" w:rsidP="006F0365">
            <w:pPr>
              <w:spacing w:after="0" w:line="240" w:lineRule="auto"/>
              <w:jc w:val="both"/>
              <w:rPr>
                <w:rFonts w:ascii="Calibri Light" w:hAnsi="Calibri Light"/>
                <w:b w:val="0"/>
              </w:rPr>
            </w:pPr>
            <w:r w:rsidRPr="006F0365">
              <w:rPr>
                <w:rFonts w:ascii="Calibri Light" w:hAnsi="Calibri Light"/>
                <w:b w:val="0"/>
              </w:rPr>
              <w:t xml:space="preserve">Desde inicios de la década de los noventa, se </w:t>
            </w:r>
            <w:r w:rsidR="00477D42" w:rsidRPr="006F0365">
              <w:rPr>
                <w:rFonts w:ascii="Calibri Light" w:hAnsi="Calibri Light"/>
                <w:b w:val="0"/>
              </w:rPr>
              <w:t xml:space="preserve">inició el desarrollo de </w:t>
            </w:r>
            <w:r w:rsidRPr="006F0365">
              <w:rPr>
                <w:rFonts w:ascii="Calibri Light" w:hAnsi="Calibri Light"/>
                <w:b w:val="0"/>
              </w:rPr>
              <w:t>iniciativas en defensa del abundante patrimonio ambiental y diversidad biológica en Honduras</w:t>
            </w:r>
            <w:r w:rsidR="00EE6B4D" w:rsidRPr="006F0365">
              <w:rPr>
                <w:rFonts w:ascii="Calibri Light" w:hAnsi="Calibri Light"/>
                <w:b w:val="0"/>
              </w:rPr>
              <w:t xml:space="preserve">. La notoriedad adquirida por </w:t>
            </w:r>
            <w:r w:rsidR="003958F1" w:rsidRPr="006F0365">
              <w:rPr>
                <w:rFonts w:ascii="Calibri Light" w:hAnsi="Calibri Light"/>
                <w:b w:val="0"/>
              </w:rPr>
              <w:t>las y los defensore</w:t>
            </w:r>
            <w:r w:rsidR="00EB3BA5" w:rsidRPr="006F0365">
              <w:rPr>
                <w:rFonts w:ascii="Calibri Light" w:hAnsi="Calibri Light"/>
                <w:b w:val="0"/>
              </w:rPr>
              <w:t xml:space="preserve">s ambientalistas </w:t>
            </w:r>
            <w:r w:rsidR="00EE6B4D" w:rsidRPr="006F0365">
              <w:rPr>
                <w:rFonts w:ascii="Calibri Light" w:hAnsi="Calibri Light"/>
                <w:b w:val="0"/>
              </w:rPr>
              <w:t>los</w:t>
            </w:r>
            <w:r w:rsidR="00EB3BA5" w:rsidRPr="006F0365">
              <w:rPr>
                <w:rFonts w:ascii="Calibri Light" w:hAnsi="Calibri Light"/>
                <w:b w:val="0"/>
              </w:rPr>
              <w:t xml:space="preserve"> convirtieron </w:t>
            </w:r>
            <w:r w:rsidR="00EE6B4D" w:rsidRPr="006F0365">
              <w:rPr>
                <w:rFonts w:ascii="Calibri Light" w:hAnsi="Calibri Light"/>
                <w:b w:val="0"/>
              </w:rPr>
              <w:t xml:space="preserve">rápidamente </w:t>
            </w:r>
            <w:r w:rsidR="00EB3BA5" w:rsidRPr="006F0365">
              <w:rPr>
                <w:rFonts w:ascii="Calibri Light" w:hAnsi="Calibri Light"/>
                <w:b w:val="0"/>
              </w:rPr>
              <w:t>en víctimas de actos de hostigamiento, amenazas, persecu</w:t>
            </w:r>
            <w:r w:rsidR="004003B4">
              <w:rPr>
                <w:rFonts w:ascii="Calibri Light" w:hAnsi="Calibri Light"/>
                <w:b w:val="0"/>
              </w:rPr>
              <w:t>ciones, agresiones y asesinatos</w:t>
            </w:r>
            <w:r w:rsidR="00183144" w:rsidRPr="006F0365">
              <w:rPr>
                <w:rFonts w:ascii="Calibri Light" w:hAnsi="Calibri Light"/>
                <w:b w:val="0"/>
              </w:rPr>
              <w:t>.</w:t>
            </w:r>
            <w:r w:rsidR="004003B4">
              <w:rPr>
                <w:rFonts w:ascii="Calibri Light" w:hAnsi="Calibri Light"/>
                <w:b w:val="0"/>
              </w:rPr>
              <w:t xml:space="preserve"> Uno de esos defensores de derechos humanos, especialmente reconocido en </w:t>
            </w:r>
            <w:r w:rsidR="004003B4" w:rsidRPr="006F0365">
              <w:rPr>
                <w:rFonts w:ascii="Calibri Light" w:hAnsi="Calibri Light"/>
                <w:b w:val="0"/>
              </w:rPr>
              <w:t>la región del valle del Aguán Hondureño</w:t>
            </w:r>
            <w:r w:rsidR="004003B4">
              <w:rPr>
                <w:rFonts w:ascii="Calibri Light" w:hAnsi="Calibri Light"/>
                <w:b w:val="0"/>
              </w:rPr>
              <w:t xml:space="preserve">, fue </w:t>
            </w:r>
            <w:r w:rsidR="004003B4">
              <w:rPr>
                <w:rFonts w:ascii="Calibri Light" w:hAnsi="Calibri Light"/>
                <w:b w:val="0"/>
              </w:rPr>
              <w:lastRenderedPageBreak/>
              <w:t xml:space="preserve">el Carlos Escaleras Mejía, quien además era </w:t>
            </w:r>
            <w:r w:rsidR="001034F1" w:rsidRPr="006F0365">
              <w:rPr>
                <w:rFonts w:ascii="Calibri Light" w:hAnsi="Calibri Light"/>
                <w:b w:val="0"/>
              </w:rPr>
              <w:t xml:space="preserve">dirigente de diversas organizaciones y sindicatos. Para 1997, </w:t>
            </w:r>
            <w:r w:rsidR="004003B4">
              <w:rPr>
                <w:rFonts w:ascii="Calibri Light" w:hAnsi="Calibri Light"/>
                <w:b w:val="0"/>
              </w:rPr>
              <w:t>este</w:t>
            </w:r>
            <w:r w:rsidR="001034F1" w:rsidRPr="006F0365">
              <w:rPr>
                <w:rFonts w:ascii="Calibri Light" w:hAnsi="Calibri Light"/>
                <w:b w:val="0"/>
              </w:rPr>
              <w:t xml:space="preserve"> se desemp</w:t>
            </w:r>
            <w:r w:rsidR="00B82E59">
              <w:rPr>
                <w:rFonts w:ascii="Calibri Light" w:hAnsi="Calibri Light"/>
                <w:b w:val="0"/>
              </w:rPr>
              <w:t>e</w:t>
            </w:r>
            <w:r w:rsidR="001034F1" w:rsidRPr="006F0365">
              <w:rPr>
                <w:rFonts w:ascii="Calibri Light" w:hAnsi="Calibri Light"/>
                <w:b w:val="0"/>
              </w:rPr>
              <w:t>ñaba como presidente de la Coordinadora de Organizaciones Populares del Agu</w:t>
            </w:r>
            <w:r w:rsidR="00093B97" w:rsidRPr="006F0365">
              <w:rPr>
                <w:rFonts w:ascii="Calibri Light" w:hAnsi="Calibri Light"/>
                <w:b w:val="0"/>
              </w:rPr>
              <w:t xml:space="preserve">án (COPA), </w:t>
            </w:r>
            <w:r w:rsidR="005909E8" w:rsidRPr="006F0365">
              <w:rPr>
                <w:rFonts w:ascii="Calibri Light" w:hAnsi="Calibri Light"/>
                <w:b w:val="0"/>
              </w:rPr>
              <w:t>organización que</w:t>
            </w:r>
            <w:r w:rsidR="00093B97" w:rsidRPr="006F0365">
              <w:rPr>
                <w:rFonts w:ascii="Calibri Light" w:hAnsi="Calibri Light"/>
                <w:b w:val="0"/>
              </w:rPr>
              <w:t xml:space="preserve"> </w:t>
            </w:r>
            <w:r w:rsidR="005909E8" w:rsidRPr="006F0365">
              <w:rPr>
                <w:rFonts w:ascii="Calibri Light" w:hAnsi="Calibri Light"/>
                <w:b w:val="0"/>
              </w:rPr>
              <w:t xml:space="preserve">había </w:t>
            </w:r>
            <w:r w:rsidR="00093B97" w:rsidRPr="006F0365">
              <w:rPr>
                <w:rFonts w:ascii="Calibri Light" w:hAnsi="Calibri Light"/>
                <w:b w:val="0"/>
              </w:rPr>
              <w:t>fund</w:t>
            </w:r>
            <w:r w:rsidR="005909E8" w:rsidRPr="006F0365">
              <w:rPr>
                <w:rFonts w:ascii="Calibri Light" w:hAnsi="Calibri Light"/>
                <w:b w:val="0"/>
              </w:rPr>
              <w:t>ado</w:t>
            </w:r>
            <w:r w:rsidR="00093B97" w:rsidRPr="006F0365">
              <w:rPr>
                <w:rFonts w:ascii="Calibri Light" w:hAnsi="Calibri Light"/>
                <w:b w:val="0"/>
              </w:rPr>
              <w:t>;</w:t>
            </w:r>
            <w:r w:rsidR="001034F1" w:rsidRPr="006F0365">
              <w:rPr>
                <w:rFonts w:ascii="Calibri Light" w:hAnsi="Calibri Light"/>
                <w:b w:val="0"/>
              </w:rPr>
              <w:t xml:space="preserve"> </w:t>
            </w:r>
            <w:r w:rsidR="004003B4">
              <w:rPr>
                <w:rFonts w:ascii="Calibri Light" w:hAnsi="Calibri Light"/>
                <w:b w:val="0"/>
              </w:rPr>
              <w:t>y era</w:t>
            </w:r>
            <w:r w:rsidR="001034F1" w:rsidRPr="006F0365">
              <w:rPr>
                <w:rFonts w:ascii="Calibri Light" w:hAnsi="Calibri Light"/>
                <w:b w:val="0"/>
              </w:rPr>
              <w:t xml:space="preserve"> candidato </w:t>
            </w:r>
            <w:r w:rsidR="00600F26" w:rsidRPr="006F0365">
              <w:rPr>
                <w:rFonts w:ascii="Calibri Light" w:hAnsi="Calibri Light"/>
                <w:b w:val="0"/>
              </w:rPr>
              <w:t>d</w:t>
            </w:r>
            <w:r w:rsidR="001034F1" w:rsidRPr="006F0365">
              <w:rPr>
                <w:rFonts w:ascii="Calibri Light" w:hAnsi="Calibri Light"/>
                <w:b w:val="0"/>
              </w:rPr>
              <w:t xml:space="preserve">el </w:t>
            </w:r>
            <w:r w:rsidR="00600F26" w:rsidRPr="006F0365">
              <w:rPr>
                <w:rFonts w:ascii="Calibri Light" w:hAnsi="Calibri Light"/>
                <w:b w:val="0"/>
              </w:rPr>
              <w:t>partido Unificación Democrática para el cargo de alcalde del municipio de Tocoa.</w:t>
            </w:r>
          </w:p>
          <w:p w14:paraId="39F330E1" w14:textId="77777777" w:rsidR="0037321D" w:rsidRPr="006F0365" w:rsidRDefault="0037321D" w:rsidP="006F0365">
            <w:pPr>
              <w:spacing w:after="0" w:line="240" w:lineRule="auto"/>
              <w:jc w:val="both"/>
              <w:rPr>
                <w:rFonts w:ascii="Calibri Light" w:hAnsi="Calibri Light"/>
                <w:b w:val="0"/>
              </w:rPr>
            </w:pPr>
          </w:p>
          <w:p w14:paraId="38CD2085" w14:textId="77777777" w:rsidR="004003B4" w:rsidRDefault="002936AD" w:rsidP="006F0365">
            <w:pPr>
              <w:spacing w:after="0" w:line="240" w:lineRule="auto"/>
              <w:jc w:val="both"/>
              <w:rPr>
                <w:rFonts w:ascii="Calibri Light" w:hAnsi="Calibri Light"/>
                <w:b w:val="0"/>
              </w:rPr>
            </w:pPr>
            <w:r w:rsidRPr="006F0365">
              <w:rPr>
                <w:rFonts w:ascii="Calibri Light" w:hAnsi="Calibri Light"/>
                <w:b w:val="0"/>
              </w:rPr>
              <w:t>En el ejercicio de su l</w:t>
            </w:r>
            <w:r w:rsidR="00600F26" w:rsidRPr="006F0365">
              <w:rPr>
                <w:rFonts w:ascii="Calibri Light" w:hAnsi="Calibri Light"/>
                <w:b w:val="0"/>
              </w:rPr>
              <w:t xml:space="preserve">abor como dirigente, </w:t>
            </w:r>
            <w:r w:rsidR="00B25A93" w:rsidRPr="006F0365">
              <w:rPr>
                <w:rFonts w:ascii="Calibri Light" w:hAnsi="Calibri Light"/>
                <w:b w:val="0"/>
              </w:rPr>
              <w:t xml:space="preserve">denunció y se opuso a las actividades de ciertas empresas que causaban daños al medioambiente, </w:t>
            </w:r>
            <w:r w:rsidR="005909E8" w:rsidRPr="006F0365">
              <w:rPr>
                <w:rFonts w:ascii="Calibri Light" w:hAnsi="Calibri Light"/>
                <w:b w:val="0"/>
              </w:rPr>
              <w:t>como</w:t>
            </w:r>
            <w:r w:rsidR="00B25A93" w:rsidRPr="006F0365">
              <w:rPr>
                <w:rFonts w:ascii="Calibri Light" w:hAnsi="Calibri Light"/>
                <w:b w:val="0"/>
              </w:rPr>
              <w:t xml:space="preserve"> la instalación de una planta extractora de aceite de palma africana en la </w:t>
            </w:r>
            <w:r w:rsidR="000B0169" w:rsidRPr="006F0365">
              <w:rPr>
                <w:rFonts w:ascii="Calibri Light" w:hAnsi="Calibri Light"/>
                <w:b w:val="0"/>
              </w:rPr>
              <w:t>ribera</w:t>
            </w:r>
            <w:r w:rsidR="00B25A93" w:rsidRPr="006F0365">
              <w:rPr>
                <w:rFonts w:ascii="Calibri Light" w:hAnsi="Calibri Light"/>
                <w:b w:val="0"/>
              </w:rPr>
              <w:t xml:space="preserve"> del río Tocoa, que sería gestionada por el empresario Miguel Facussé. Las protestas en las que participó el señor Escaleras influyeron en la cancelación de un gran préstamo del Banco Mundial a la empresa Cressida del señor Facussé.</w:t>
            </w:r>
            <w:r w:rsidR="005909E8" w:rsidRPr="006F0365" w:rsidDel="005909E8">
              <w:rPr>
                <w:rFonts w:ascii="Calibri Light" w:hAnsi="Calibri Light"/>
                <w:b w:val="0"/>
              </w:rPr>
              <w:t xml:space="preserve"> </w:t>
            </w:r>
            <w:r w:rsidR="00576ADC" w:rsidRPr="006F0365">
              <w:rPr>
                <w:rFonts w:ascii="Calibri Light" w:hAnsi="Calibri Light"/>
                <w:b w:val="0"/>
              </w:rPr>
              <w:t>Asimismo, encabezó protestas contra el coronel Aldo Augusto Aldana, comandante del XV Batallón de Infantería, por la decisión de construir instalaciones militares cerca de una cuenca de agua que beneficiaba a centenares de familias.</w:t>
            </w:r>
            <w:r w:rsidR="00BB4313" w:rsidRPr="006F0365">
              <w:rPr>
                <w:rFonts w:ascii="Calibri Light" w:hAnsi="Calibri Light"/>
                <w:b w:val="0"/>
              </w:rPr>
              <w:t xml:space="preserve"> Los hechos citados habrían generado que se convirti</w:t>
            </w:r>
            <w:r w:rsidR="00D6257B" w:rsidRPr="006F0365">
              <w:rPr>
                <w:rFonts w:ascii="Calibri Light" w:hAnsi="Calibri Light"/>
                <w:b w:val="0"/>
              </w:rPr>
              <w:t>era en víctima de amenazas y presiones para desistir de sus actividades como defensor del medioambiente</w:t>
            </w:r>
            <w:r w:rsidR="007F062C" w:rsidRPr="006F0365">
              <w:rPr>
                <w:rFonts w:ascii="Calibri Light" w:hAnsi="Calibri Light"/>
                <w:b w:val="0"/>
              </w:rPr>
              <w:t>.</w:t>
            </w:r>
            <w:r w:rsidR="004003B4">
              <w:rPr>
                <w:rFonts w:ascii="Calibri Light" w:hAnsi="Calibri Light"/>
                <w:b w:val="0"/>
              </w:rPr>
              <w:t xml:space="preserve"> </w:t>
            </w:r>
          </w:p>
          <w:p w14:paraId="3CEC5D1E" w14:textId="77777777" w:rsidR="004003B4" w:rsidRDefault="004003B4" w:rsidP="006F0365">
            <w:pPr>
              <w:spacing w:after="0" w:line="240" w:lineRule="auto"/>
              <w:jc w:val="both"/>
              <w:rPr>
                <w:rFonts w:ascii="Calibri Light" w:hAnsi="Calibri Light"/>
                <w:b w:val="0"/>
              </w:rPr>
            </w:pPr>
          </w:p>
          <w:p w14:paraId="5F11550F" w14:textId="3D2B9CAD" w:rsidR="00EB3BA5" w:rsidRPr="006F0365" w:rsidRDefault="00D6257B" w:rsidP="006F0365">
            <w:pPr>
              <w:spacing w:after="0" w:line="240" w:lineRule="auto"/>
              <w:jc w:val="both"/>
              <w:rPr>
                <w:rFonts w:ascii="Calibri Light" w:hAnsi="Calibri Light"/>
                <w:b w:val="0"/>
              </w:rPr>
            </w:pPr>
            <w:r w:rsidRPr="006F0365">
              <w:rPr>
                <w:rFonts w:ascii="Calibri Light" w:hAnsi="Calibri Light"/>
                <w:b w:val="0"/>
              </w:rPr>
              <w:t>Por otro lado, en relación con su papel como político</w:t>
            </w:r>
            <w:r w:rsidR="009811E0" w:rsidRPr="006F0365">
              <w:rPr>
                <w:rFonts w:ascii="Calibri Light" w:hAnsi="Calibri Light"/>
                <w:b w:val="0"/>
              </w:rPr>
              <w:t>,</w:t>
            </w:r>
            <w:r w:rsidR="00274D5D" w:rsidRPr="006F0365">
              <w:rPr>
                <w:rFonts w:ascii="Calibri Light" w:hAnsi="Calibri Light"/>
                <w:b w:val="0"/>
              </w:rPr>
              <w:t xml:space="preserve"> el señor Escaleras fue víctima de diversos tipos de </w:t>
            </w:r>
            <w:r w:rsidR="00B6665B" w:rsidRPr="006F0365">
              <w:rPr>
                <w:rFonts w:ascii="Calibri Light" w:hAnsi="Calibri Light"/>
                <w:b w:val="0"/>
              </w:rPr>
              <w:t xml:space="preserve">presiones, </w:t>
            </w:r>
            <w:r w:rsidRPr="006F0365">
              <w:rPr>
                <w:rFonts w:ascii="Calibri Light" w:hAnsi="Calibri Light"/>
                <w:b w:val="0"/>
              </w:rPr>
              <w:t>hostigamiento</w:t>
            </w:r>
            <w:r w:rsidR="00274D5D" w:rsidRPr="006F0365">
              <w:rPr>
                <w:rFonts w:ascii="Calibri Light" w:hAnsi="Calibri Light"/>
                <w:b w:val="0"/>
              </w:rPr>
              <w:t xml:space="preserve">, </w:t>
            </w:r>
            <w:r w:rsidR="00B6665B" w:rsidRPr="006F0365">
              <w:rPr>
                <w:rFonts w:ascii="Calibri Light" w:hAnsi="Calibri Light"/>
                <w:b w:val="0"/>
              </w:rPr>
              <w:t xml:space="preserve">y hasta ofrecimiento de dinero, </w:t>
            </w:r>
            <w:r w:rsidR="008C0445" w:rsidRPr="006F0365">
              <w:rPr>
                <w:rFonts w:ascii="Calibri Light" w:hAnsi="Calibri Light"/>
                <w:b w:val="0"/>
              </w:rPr>
              <w:t xml:space="preserve">para que desistiera </w:t>
            </w:r>
            <w:r w:rsidR="00C964F0" w:rsidRPr="006F0365">
              <w:rPr>
                <w:rFonts w:ascii="Calibri Light" w:hAnsi="Calibri Light"/>
                <w:b w:val="0"/>
              </w:rPr>
              <w:t>de</w:t>
            </w:r>
            <w:r w:rsidR="00B6665B" w:rsidRPr="006F0365">
              <w:rPr>
                <w:rFonts w:ascii="Calibri Light" w:hAnsi="Calibri Light"/>
                <w:b w:val="0"/>
              </w:rPr>
              <w:t xml:space="preserve"> su candidatura a la alcaldía de</w:t>
            </w:r>
            <w:r w:rsidR="007D3861" w:rsidRPr="006F0365">
              <w:rPr>
                <w:rFonts w:ascii="Calibri Light" w:hAnsi="Calibri Light"/>
                <w:b w:val="0"/>
              </w:rPr>
              <w:t xml:space="preserve"> Tocoa cuando se perfilaba como </w:t>
            </w:r>
            <w:r w:rsidR="004C4F51" w:rsidRPr="006F0365">
              <w:rPr>
                <w:rFonts w:ascii="Calibri Light" w:hAnsi="Calibri Light"/>
                <w:b w:val="0"/>
              </w:rPr>
              <w:t>el favorito</w:t>
            </w:r>
            <w:r w:rsidR="00B6665B" w:rsidRPr="006F0365">
              <w:rPr>
                <w:rFonts w:ascii="Calibri Light" w:hAnsi="Calibri Light"/>
                <w:b w:val="0"/>
              </w:rPr>
              <w:t xml:space="preserve">. </w:t>
            </w:r>
            <w:r w:rsidR="005909E8" w:rsidRPr="006F0365">
              <w:rPr>
                <w:rFonts w:ascii="Calibri Light" w:hAnsi="Calibri Light"/>
                <w:b w:val="0"/>
              </w:rPr>
              <w:t>L</w:t>
            </w:r>
            <w:r w:rsidR="004C4F51" w:rsidRPr="006F0365">
              <w:rPr>
                <w:rFonts w:ascii="Calibri Light" w:hAnsi="Calibri Light"/>
                <w:b w:val="0"/>
              </w:rPr>
              <w:t>os autores de</w:t>
            </w:r>
            <w:r w:rsidR="005909E8" w:rsidRPr="006F0365">
              <w:rPr>
                <w:rFonts w:ascii="Calibri Light" w:hAnsi="Calibri Light"/>
                <w:b w:val="0"/>
              </w:rPr>
              <w:t xml:space="preserve"> dicho</w:t>
            </w:r>
            <w:r w:rsidR="004C4F51" w:rsidRPr="006F0365">
              <w:rPr>
                <w:rFonts w:ascii="Calibri Light" w:hAnsi="Calibri Light"/>
                <w:b w:val="0"/>
              </w:rPr>
              <w:t xml:space="preserve"> hostigamiento </w:t>
            </w:r>
            <w:r w:rsidR="005909E8" w:rsidRPr="006F0365">
              <w:rPr>
                <w:rFonts w:ascii="Calibri Light" w:hAnsi="Calibri Light"/>
                <w:b w:val="0"/>
              </w:rPr>
              <w:t>habrían sido</w:t>
            </w:r>
            <w:r w:rsidR="004C4F51" w:rsidRPr="006F0365">
              <w:rPr>
                <w:rFonts w:ascii="Calibri Light" w:hAnsi="Calibri Light"/>
                <w:b w:val="0"/>
              </w:rPr>
              <w:t xml:space="preserve"> Hernán Banegas, candidato por el Partido Liberal a la alcaldía de Tocoa; Salomón Martínez, diputado del Partido Liberal; Miguel Facussé; y </w:t>
            </w:r>
            <w:r w:rsidR="00A55B95" w:rsidRPr="006F0365">
              <w:rPr>
                <w:rFonts w:ascii="Calibri Light" w:hAnsi="Calibri Light"/>
                <w:b w:val="0"/>
              </w:rPr>
              <w:t xml:space="preserve">el coronel </w:t>
            </w:r>
            <w:r w:rsidR="004C4F51" w:rsidRPr="006F0365">
              <w:rPr>
                <w:rFonts w:ascii="Calibri Light" w:hAnsi="Calibri Light"/>
                <w:b w:val="0"/>
              </w:rPr>
              <w:t>Aldo Aldana.</w:t>
            </w:r>
            <w:r w:rsidR="00B82E59">
              <w:rPr>
                <w:rFonts w:ascii="Calibri Light" w:hAnsi="Calibri Light"/>
                <w:b w:val="0"/>
              </w:rPr>
              <w:t xml:space="preserve"> A pesar de ello, no se reportó que presentara denuncias sobre la ocurrencia de las mismas.</w:t>
            </w:r>
          </w:p>
          <w:p w14:paraId="36F911AB" w14:textId="77777777" w:rsidR="00B266DA" w:rsidRPr="006F0365" w:rsidRDefault="00B266DA" w:rsidP="006F0365">
            <w:pPr>
              <w:spacing w:after="0" w:line="240" w:lineRule="auto"/>
              <w:jc w:val="both"/>
              <w:rPr>
                <w:rFonts w:ascii="Calibri Light" w:hAnsi="Calibri Light"/>
                <w:b w:val="0"/>
              </w:rPr>
            </w:pPr>
          </w:p>
          <w:p w14:paraId="39D72FC2" w14:textId="77777777" w:rsidR="004003B4" w:rsidRDefault="00FE5631" w:rsidP="006F0365">
            <w:pPr>
              <w:spacing w:after="0" w:line="240" w:lineRule="auto"/>
              <w:jc w:val="both"/>
              <w:rPr>
                <w:rFonts w:ascii="Calibri Light" w:hAnsi="Calibri Light"/>
                <w:b w:val="0"/>
              </w:rPr>
            </w:pPr>
            <w:r w:rsidRPr="006F0365">
              <w:rPr>
                <w:rFonts w:ascii="Calibri Light" w:hAnsi="Calibri Light"/>
                <w:b w:val="0"/>
              </w:rPr>
              <w:t>En ese contexto, el 18 de octubre de 1997, e</w:t>
            </w:r>
            <w:r w:rsidR="002B7923" w:rsidRPr="006F0365">
              <w:rPr>
                <w:rFonts w:ascii="Calibri Light" w:hAnsi="Calibri Light"/>
                <w:b w:val="0"/>
              </w:rPr>
              <w:t>l señor Escaleras</w:t>
            </w:r>
            <w:r w:rsidR="002F3702" w:rsidRPr="006F0365">
              <w:rPr>
                <w:rFonts w:ascii="Calibri Light" w:hAnsi="Calibri Light"/>
                <w:b w:val="0"/>
              </w:rPr>
              <w:t xml:space="preserve"> fue víctima de un ataque con</w:t>
            </w:r>
            <w:r w:rsidR="002B7923" w:rsidRPr="006F0365">
              <w:rPr>
                <w:rFonts w:ascii="Calibri Light" w:hAnsi="Calibri Light"/>
                <w:b w:val="0"/>
              </w:rPr>
              <w:t xml:space="preserve"> arma</w:t>
            </w:r>
            <w:r w:rsidR="002F3702" w:rsidRPr="006F0365">
              <w:rPr>
                <w:rFonts w:ascii="Calibri Light" w:hAnsi="Calibri Light"/>
                <w:b w:val="0"/>
              </w:rPr>
              <w:t>s</w:t>
            </w:r>
            <w:r w:rsidR="002B7923" w:rsidRPr="006F0365">
              <w:rPr>
                <w:rFonts w:ascii="Calibri Light" w:hAnsi="Calibri Light"/>
                <w:b w:val="0"/>
              </w:rPr>
              <w:t xml:space="preserve"> de fuego</w:t>
            </w:r>
            <w:r w:rsidR="00B266DA" w:rsidRPr="006F0365">
              <w:rPr>
                <w:rFonts w:ascii="Calibri Light" w:hAnsi="Calibri Light"/>
                <w:b w:val="0"/>
              </w:rPr>
              <w:t xml:space="preserve"> en el establecimiento de su negocio familiar po</w:t>
            </w:r>
            <w:r w:rsidR="008F724A" w:rsidRPr="006F0365">
              <w:rPr>
                <w:rFonts w:ascii="Calibri Light" w:hAnsi="Calibri Light"/>
                <w:b w:val="0"/>
              </w:rPr>
              <w:t>r dos personas que presuntamente</w:t>
            </w:r>
            <w:r w:rsidR="00B266DA" w:rsidRPr="006F0365">
              <w:rPr>
                <w:rFonts w:ascii="Calibri Light" w:hAnsi="Calibri Light"/>
                <w:b w:val="0"/>
              </w:rPr>
              <w:t xml:space="preserve"> lo habrían estado vigilando días previos. </w:t>
            </w:r>
            <w:r w:rsidR="002B7923" w:rsidRPr="006F0365">
              <w:rPr>
                <w:rFonts w:ascii="Calibri Light" w:hAnsi="Calibri Light"/>
                <w:b w:val="0"/>
              </w:rPr>
              <w:t xml:space="preserve">Aunque fue trasladado al hospital de forma </w:t>
            </w:r>
            <w:r w:rsidR="005D46CE" w:rsidRPr="006F0365">
              <w:rPr>
                <w:rFonts w:ascii="Calibri Light" w:hAnsi="Calibri Light"/>
                <w:b w:val="0"/>
              </w:rPr>
              <w:t>inmediata, falleció horas después.</w:t>
            </w:r>
            <w:r w:rsidRPr="006F0365" w:rsidDel="00FE5631">
              <w:rPr>
                <w:rFonts w:ascii="Calibri Light" w:hAnsi="Calibri Light"/>
                <w:b w:val="0"/>
              </w:rPr>
              <w:t xml:space="preserve"> </w:t>
            </w:r>
            <w:r w:rsidR="005D46CE" w:rsidRPr="006F0365">
              <w:rPr>
                <w:rFonts w:ascii="Calibri Light" w:hAnsi="Calibri Light"/>
                <w:b w:val="0"/>
              </w:rPr>
              <w:t>Ese mismo día, f</w:t>
            </w:r>
            <w:r w:rsidR="00DC3A26" w:rsidRPr="006F0365">
              <w:rPr>
                <w:rFonts w:ascii="Calibri Light" w:hAnsi="Calibri Light"/>
                <w:b w:val="0"/>
              </w:rPr>
              <w:t xml:space="preserve">ueron detenidos </w:t>
            </w:r>
            <w:r w:rsidRPr="006F0365">
              <w:rPr>
                <w:rFonts w:ascii="Calibri Light" w:hAnsi="Calibri Light"/>
                <w:b w:val="0"/>
              </w:rPr>
              <w:t xml:space="preserve">y acusados como presuntos responsables </w:t>
            </w:r>
            <w:r w:rsidR="00DC3A26" w:rsidRPr="006F0365">
              <w:rPr>
                <w:rFonts w:ascii="Calibri Light" w:hAnsi="Calibri Light"/>
                <w:b w:val="0"/>
              </w:rPr>
              <w:t>José Irah</w:t>
            </w:r>
            <w:r w:rsidR="00F70DAF" w:rsidRPr="006F0365">
              <w:rPr>
                <w:rFonts w:ascii="Calibri Light" w:hAnsi="Calibri Light"/>
                <w:b w:val="0"/>
              </w:rPr>
              <w:t xml:space="preserve">eta Pineda, </w:t>
            </w:r>
            <w:r w:rsidR="00DC3A26" w:rsidRPr="006F0365">
              <w:rPr>
                <w:rFonts w:ascii="Calibri Light" w:hAnsi="Calibri Light"/>
                <w:b w:val="0"/>
              </w:rPr>
              <w:t xml:space="preserve">Roberto Iraheta Pineda, </w:t>
            </w:r>
            <w:r w:rsidR="00B776AC" w:rsidRPr="006F0365">
              <w:rPr>
                <w:rFonts w:ascii="Calibri Light" w:hAnsi="Calibri Light"/>
                <w:b w:val="0"/>
              </w:rPr>
              <w:t>Rigoberto Iraheta Hernández y Marvin Zavala Pacheco</w:t>
            </w:r>
            <w:r w:rsidR="00FD6107" w:rsidRPr="006F0365">
              <w:rPr>
                <w:rFonts w:ascii="Calibri Light" w:hAnsi="Calibri Light"/>
                <w:b w:val="0"/>
              </w:rPr>
              <w:t xml:space="preserve">. Aunque se </w:t>
            </w:r>
            <w:r w:rsidR="004003B4">
              <w:rPr>
                <w:rFonts w:ascii="Calibri Light" w:hAnsi="Calibri Light"/>
                <w:b w:val="0"/>
              </w:rPr>
              <w:t>decretó</w:t>
            </w:r>
            <w:r w:rsidR="00FD6107" w:rsidRPr="006F0365">
              <w:rPr>
                <w:rFonts w:ascii="Calibri Light" w:hAnsi="Calibri Light"/>
                <w:b w:val="0"/>
              </w:rPr>
              <w:t xml:space="preserve"> prisión contra los dos primeros en un inicio, en 1998 se revocó tal decisión ya que no encajaban con la descripción física de quienes asesinaron al señor Escaleras y diversos testimonios los ubicaban en un lugar distinto al negocio d</w:t>
            </w:r>
            <w:r w:rsidR="00C125B8" w:rsidRPr="006F0365">
              <w:rPr>
                <w:rFonts w:ascii="Calibri Light" w:hAnsi="Calibri Light"/>
                <w:b w:val="0"/>
              </w:rPr>
              <w:t>e la familia Escaleras</w:t>
            </w:r>
            <w:r w:rsidR="00421161" w:rsidRPr="006F0365">
              <w:rPr>
                <w:rFonts w:ascii="Calibri Light" w:hAnsi="Calibri Light"/>
                <w:b w:val="0"/>
              </w:rPr>
              <w:t>.</w:t>
            </w:r>
            <w:r w:rsidR="004003B4">
              <w:rPr>
                <w:rFonts w:ascii="Calibri Light" w:hAnsi="Calibri Light"/>
                <w:b w:val="0"/>
              </w:rPr>
              <w:t xml:space="preserve"> </w:t>
            </w:r>
          </w:p>
          <w:p w14:paraId="09E32509" w14:textId="77777777" w:rsidR="004003B4" w:rsidRDefault="004003B4" w:rsidP="006F0365">
            <w:pPr>
              <w:spacing w:after="0" w:line="240" w:lineRule="auto"/>
              <w:jc w:val="both"/>
              <w:rPr>
                <w:rFonts w:ascii="Calibri Light" w:hAnsi="Calibri Light"/>
                <w:b w:val="0"/>
              </w:rPr>
            </w:pPr>
          </w:p>
          <w:p w14:paraId="321C17B3" w14:textId="786664C7" w:rsidR="004003B4" w:rsidRDefault="00C125B8" w:rsidP="006F0365">
            <w:pPr>
              <w:spacing w:after="0" w:line="240" w:lineRule="auto"/>
              <w:jc w:val="both"/>
              <w:rPr>
                <w:rFonts w:ascii="Calibri Light" w:hAnsi="Calibri Light"/>
                <w:b w:val="0"/>
              </w:rPr>
            </w:pPr>
            <w:r w:rsidRPr="006F0365">
              <w:rPr>
                <w:rFonts w:ascii="Calibri Light" w:hAnsi="Calibri Light"/>
                <w:b w:val="0"/>
              </w:rPr>
              <w:t>Otro acusado de haber participado en el crimen</w:t>
            </w:r>
            <w:r w:rsidR="00FE5631" w:rsidRPr="006F0365">
              <w:rPr>
                <w:rFonts w:ascii="Calibri Light" w:hAnsi="Calibri Light"/>
                <w:b w:val="0"/>
              </w:rPr>
              <w:t xml:space="preserve"> fue</w:t>
            </w:r>
            <w:r w:rsidRPr="006F0365">
              <w:rPr>
                <w:rFonts w:ascii="Calibri Light" w:hAnsi="Calibri Light"/>
                <w:b w:val="0"/>
              </w:rPr>
              <w:t xml:space="preserve"> Oscar Sosa, </w:t>
            </w:r>
            <w:r w:rsidR="00361FBC">
              <w:rPr>
                <w:rFonts w:ascii="Calibri Light" w:hAnsi="Calibri Light"/>
                <w:b w:val="0"/>
              </w:rPr>
              <w:t xml:space="preserve">quien fue señalado como </w:t>
            </w:r>
            <w:r w:rsidR="00CC15B9">
              <w:rPr>
                <w:rFonts w:ascii="Calibri Light" w:hAnsi="Calibri Light"/>
                <w:b w:val="0"/>
              </w:rPr>
              <w:t xml:space="preserve">autor intelectual </w:t>
            </w:r>
            <w:r w:rsidR="00361FBC">
              <w:rPr>
                <w:rFonts w:ascii="Calibri Light" w:hAnsi="Calibri Light"/>
                <w:b w:val="0"/>
              </w:rPr>
              <w:t xml:space="preserve">del asesinato por un testigo del caso y habría estado vinculado con el señor Facussé. </w:t>
            </w:r>
            <w:r w:rsidR="004003B4">
              <w:rPr>
                <w:rFonts w:ascii="Calibri Light" w:hAnsi="Calibri Light"/>
                <w:b w:val="0"/>
              </w:rPr>
              <w:t>Este m</w:t>
            </w:r>
            <w:r w:rsidRPr="006F0365">
              <w:rPr>
                <w:rFonts w:ascii="Calibri Light" w:hAnsi="Calibri Light"/>
                <w:b w:val="0"/>
              </w:rPr>
              <w:t>anifestó en una de sus declaraciones que</w:t>
            </w:r>
            <w:r w:rsidR="004B78EF" w:rsidRPr="006F0365">
              <w:rPr>
                <w:rFonts w:ascii="Calibri Light" w:hAnsi="Calibri Light"/>
                <w:b w:val="0"/>
              </w:rPr>
              <w:t>,</w:t>
            </w:r>
            <w:r w:rsidRPr="006F0365">
              <w:rPr>
                <w:rFonts w:ascii="Calibri Light" w:hAnsi="Calibri Light"/>
                <w:b w:val="0"/>
              </w:rPr>
              <w:t xml:space="preserve"> aunque él no había participado en el asesinato, había escuchado hasta tres versiones distintas sobre su posible muerte: una que vinculaba a políticos del partido opositor al del señor Escaleras en las elecciones del municipio de Tocoa, otra que involucraba al señor Facussé y a altos cargos de su empresa, y, finalmente, una que vinculaba al coronel Aldo Aldana.</w:t>
            </w:r>
            <w:r w:rsidR="004003B4">
              <w:rPr>
                <w:rFonts w:ascii="Calibri Light" w:hAnsi="Calibri Light"/>
                <w:b w:val="0"/>
              </w:rPr>
              <w:t xml:space="preserve"> </w:t>
            </w:r>
            <w:r w:rsidR="004F2301" w:rsidRPr="006F0365">
              <w:rPr>
                <w:rFonts w:ascii="Calibri Light" w:hAnsi="Calibri Light"/>
                <w:b w:val="0"/>
              </w:rPr>
              <w:t>La acusación contra Os</w:t>
            </w:r>
            <w:r w:rsidR="00AB4A52" w:rsidRPr="006F0365">
              <w:rPr>
                <w:rFonts w:ascii="Calibri Light" w:hAnsi="Calibri Light"/>
                <w:b w:val="0"/>
              </w:rPr>
              <w:t>car Sosa fue descartada</w:t>
            </w:r>
            <w:r w:rsidR="004F2301" w:rsidRPr="006F0365">
              <w:rPr>
                <w:rFonts w:ascii="Calibri Light" w:hAnsi="Calibri Light"/>
                <w:b w:val="0"/>
              </w:rPr>
              <w:t>, y en 1999 el Juzgado ordenó la captura de Lucas García y Leodán Machado como presuntos responsables de la muerte del señor Escaleras. En 1999, el primero de ellos fue aprisionado por considerarlo responsable del delito. El mismo día de su detención se realizó un allanamiento a la casa de Oscar Sosa, en la cual se encontró una libreta que contenía los nombres de personas que habrían participado de la muerte del señor Escaleras, más dicha prueba no fue considerada en el proceso.</w:t>
            </w:r>
            <w:r w:rsidR="004003B4">
              <w:rPr>
                <w:rFonts w:ascii="Calibri Light" w:hAnsi="Calibri Light"/>
                <w:b w:val="0"/>
              </w:rPr>
              <w:t xml:space="preserve"> </w:t>
            </w:r>
          </w:p>
          <w:p w14:paraId="1B2595F1" w14:textId="77777777" w:rsidR="004003B4" w:rsidRDefault="004003B4" w:rsidP="006F0365">
            <w:pPr>
              <w:spacing w:after="0" w:line="240" w:lineRule="auto"/>
              <w:jc w:val="both"/>
              <w:rPr>
                <w:rFonts w:ascii="Calibri Light" w:hAnsi="Calibri Light"/>
                <w:b w:val="0"/>
              </w:rPr>
            </w:pPr>
          </w:p>
          <w:p w14:paraId="00DBAF24" w14:textId="7765B919" w:rsidR="004F2301" w:rsidRPr="006F0365" w:rsidRDefault="004F2301" w:rsidP="006F0365">
            <w:pPr>
              <w:spacing w:after="0" w:line="240" w:lineRule="auto"/>
              <w:jc w:val="both"/>
              <w:rPr>
                <w:rFonts w:ascii="Calibri Light" w:hAnsi="Calibri Light"/>
                <w:b w:val="0"/>
              </w:rPr>
            </w:pPr>
            <w:r w:rsidRPr="006F0365">
              <w:rPr>
                <w:rFonts w:ascii="Calibri Light" w:hAnsi="Calibri Light"/>
                <w:b w:val="0"/>
              </w:rPr>
              <w:t xml:space="preserve">En el 2000, </w:t>
            </w:r>
            <w:r w:rsidR="00BE2707" w:rsidRPr="006F0365">
              <w:rPr>
                <w:rFonts w:ascii="Calibri Light" w:hAnsi="Calibri Light"/>
                <w:b w:val="0"/>
              </w:rPr>
              <w:t>se presentó</w:t>
            </w:r>
            <w:r w:rsidR="00935AFA" w:rsidRPr="006F0365">
              <w:rPr>
                <w:rFonts w:ascii="Calibri Light" w:hAnsi="Calibri Light"/>
                <w:b w:val="0"/>
              </w:rPr>
              <w:t xml:space="preserve"> una acusación </w:t>
            </w:r>
            <w:r w:rsidR="00453CA1" w:rsidRPr="006F0365">
              <w:rPr>
                <w:rFonts w:ascii="Calibri Light" w:hAnsi="Calibri Light"/>
                <w:b w:val="0"/>
              </w:rPr>
              <w:t xml:space="preserve">por el asesinato del señor Escaleras </w:t>
            </w:r>
            <w:r w:rsidR="00935AFA" w:rsidRPr="006F0365">
              <w:rPr>
                <w:rFonts w:ascii="Calibri Light" w:hAnsi="Calibri Light"/>
                <w:b w:val="0"/>
              </w:rPr>
              <w:t>contra Miguel Facussé,</w:t>
            </w:r>
            <w:r w:rsidR="00D86439">
              <w:rPr>
                <w:rFonts w:ascii="Calibri Light" w:hAnsi="Calibri Light"/>
                <w:b w:val="0"/>
              </w:rPr>
              <w:t xml:space="preserve"> Oscar Sosa y</w:t>
            </w:r>
            <w:r w:rsidR="00935AFA" w:rsidRPr="006F0365">
              <w:rPr>
                <w:rFonts w:ascii="Calibri Light" w:hAnsi="Calibri Light"/>
                <w:b w:val="0"/>
              </w:rPr>
              <w:t xml:space="preserve"> Orlando Martínez</w:t>
            </w:r>
            <w:r w:rsidR="00D131A3">
              <w:rPr>
                <w:rFonts w:ascii="Calibri Light" w:hAnsi="Calibri Light"/>
                <w:b w:val="0"/>
              </w:rPr>
              <w:t xml:space="preserve">, </w:t>
            </w:r>
            <w:r w:rsidR="00402A07">
              <w:rPr>
                <w:rFonts w:ascii="Calibri Light" w:hAnsi="Calibri Light"/>
                <w:b w:val="0"/>
              </w:rPr>
              <w:t xml:space="preserve">quien </w:t>
            </w:r>
            <w:r w:rsidR="00D131A3">
              <w:rPr>
                <w:rFonts w:ascii="Calibri Light" w:hAnsi="Calibri Light"/>
                <w:b w:val="0"/>
              </w:rPr>
              <w:t xml:space="preserve">habría sido </w:t>
            </w:r>
            <w:r w:rsidR="00D86439">
              <w:rPr>
                <w:rFonts w:ascii="Calibri Light" w:hAnsi="Calibri Light"/>
                <w:b w:val="0"/>
              </w:rPr>
              <w:t xml:space="preserve">contratado por </w:t>
            </w:r>
            <w:r w:rsidR="00453CA1">
              <w:rPr>
                <w:rFonts w:ascii="Calibri Light" w:hAnsi="Calibri Light"/>
                <w:b w:val="0"/>
              </w:rPr>
              <w:t>el segundo</w:t>
            </w:r>
            <w:r w:rsidR="00186CAA" w:rsidRPr="006F0365">
              <w:rPr>
                <w:rFonts w:ascii="Calibri Light" w:hAnsi="Calibri Light"/>
                <w:b w:val="0"/>
              </w:rPr>
              <w:t>. Al respecto,</w:t>
            </w:r>
            <w:r w:rsidR="00935AFA" w:rsidRPr="006F0365">
              <w:rPr>
                <w:rFonts w:ascii="Calibri Light" w:hAnsi="Calibri Light"/>
                <w:b w:val="0"/>
              </w:rPr>
              <w:t xml:space="preserve"> </w:t>
            </w:r>
            <w:r w:rsidR="00B2092B" w:rsidRPr="006F0365">
              <w:rPr>
                <w:rFonts w:ascii="Calibri Light" w:hAnsi="Calibri Light"/>
                <w:b w:val="0"/>
              </w:rPr>
              <w:t xml:space="preserve">se encontraron </w:t>
            </w:r>
            <w:r w:rsidR="00453CA1">
              <w:rPr>
                <w:rFonts w:ascii="Calibri Light" w:hAnsi="Calibri Light"/>
                <w:b w:val="0"/>
              </w:rPr>
              <w:t xml:space="preserve">como pruebas la </w:t>
            </w:r>
            <w:r w:rsidR="00B2092B" w:rsidRPr="006F0365">
              <w:rPr>
                <w:rFonts w:ascii="Calibri Light" w:hAnsi="Calibri Light"/>
                <w:b w:val="0"/>
              </w:rPr>
              <w:t>copia</w:t>
            </w:r>
            <w:r w:rsidR="00453CA1">
              <w:rPr>
                <w:rFonts w:ascii="Calibri Light" w:hAnsi="Calibri Light"/>
                <w:b w:val="0"/>
              </w:rPr>
              <w:t xml:space="preserve"> de </w:t>
            </w:r>
            <w:r w:rsidR="00B2092B" w:rsidRPr="006F0365">
              <w:rPr>
                <w:rFonts w:ascii="Calibri Light" w:hAnsi="Calibri Light"/>
                <w:b w:val="0"/>
              </w:rPr>
              <w:t>un cheque librado por 250</w:t>
            </w:r>
            <w:r w:rsidR="00453CA1">
              <w:rPr>
                <w:rFonts w:ascii="Calibri Light" w:hAnsi="Calibri Light"/>
                <w:b w:val="0"/>
              </w:rPr>
              <w:t>,</w:t>
            </w:r>
            <w:r w:rsidR="00B2092B" w:rsidRPr="006F0365">
              <w:rPr>
                <w:rFonts w:ascii="Calibri Light" w:hAnsi="Calibri Light"/>
                <w:b w:val="0"/>
              </w:rPr>
              <w:t xml:space="preserve">000 lempiras en septiembre de 1997 (fecha cercana a la muerte del señor Escaleras), </w:t>
            </w:r>
            <w:r w:rsidR="00273FE6" w:rsidRPr="006F0365">
              <w:rPr>
                <w:rFonts w:ascii="Calibri Light" w:hAnsi="Calibri Light"/>
                <w:b w:val="0"/>
              </w:rPr>
              <w:t xml:space="preserve">y Lucas García declaró que </w:t>
            </w:r>
            <w:r w:rsidR="00273FE6" w:rsidRPr="006F0365">
              <w:rPr>
                <w:rFonts w:ascii="Calibri Light" w:hAnsi="Calibri Light"/>
                <w:b w:val="0"/>
              </w:rPr>
              <w:lastRenderedPageBreak/>
              <w:t>las tres personas señaladas habían participado c</w:t>
            </w:r>
            <w:r w:rsidR="0025532E" w:rsidRPr="006F0365">
              <w:rPr>
                <w:rFonts w:ascii="Calibri Light" w:hAnsi="Calibri Light"/>
                <w:b w:val="0"/>
              </w:rPr>
              <w:t>omo au</w:t>
            </w:r>
            <w:r w:rsidR="00186CAA" w:rsidRPr="006F0365">
              <w:rPr>
                <w:rFonts w:ascii="Calibri Light" w:hAnsi="Calibri Light"/>
                <w:b w:val="0"/>
              </w:rPr>
              <w:t>tores mediatos del crimen.</w:t>
            </w:r>
            <w:r w:rsidR="00141CE9" w:rsidRPr="006F0365">
              <w:rPr>
                <w:rFonts w:ascii="Calibri Light" w:hAnsi="Calibri Light"/>
                <w:b w:val="0"/>
              </w:rPr>
              <w:t xml:space="preserve"> </w:t>
            </w:r>
            <w:r w:rsidR="00A82DE0" w:rsidRPr="006F0365">
              <w:rPr>
                <w:rFonts w:ascii="Calibri Light" w:hAnsi="Calibri Light"/>
                <w:b w:val="0"/>
              </w:rPr>
              <w:t>En 2001, se amplió la acusación por la muerte del señor Escaleras en contra de Oscar Escobar y José Manueles como autores materiales, y Juan Ramón Salgado e Irene Castro</w:t>
            </w:r>
            <w:r w:rsidR="003639FC">
              <w:rPr>
                <w:rFonts w:ascii="Calibri Light" w:hAnsi="Calibri Light"/>
                <w:b w:val="0"/>
              </w:rPr>
              <w:t>, abogado de la empres</w:t>
            </w:r>
            <w:r w:rsidR="0076370B">
              <w:rPr>
                <w:rFonts w:ascii="Calibri Light" w:hAnsi="Calibri Light"/>
                <w:b w:val="0"/>
              </w:rPr>
              <w:t>a de Miguel Facussé,</w:t>
            </w:r>
            <w:r w:rsidR="00A82DE0" w:rsidRPr="006F0365">
              <w:rPr>
                <w:rFonts w:ascii="Calibri Light" w:hAnsi="Calibri Light"/>
                <w:b w:val="0"/>
              </w:rPr>
              <w:t xml:space="preserve"> como presuntos autores intelectuales.</w:t>
            </w:r>
            <w:r w:rsidR="00453CA1">
              <w:rPr>
                <w:rFonts w:ascii="Calibri Light" w:hAnsi="Calibri Light"/>
                <w:b w:val="0"/>
              </w:rPr>
              <w:t xml:space="preserve"> </w:t>
            </w:r>
            <w:r w:rsidR="00984B50" w:rsidRPr="006F0365">
              <w:rPr>
                <w:rFonts w:ascii="Calibri Light" w:hAnsi="Calibri Light"/>
                <w:b w:val="0"/>
              </w:rPr>
              <w:t>Ese mismo año</w:t>
            </w:r>
            <w:r w:rsidR="00141CE9" w:rsidRPr="006F0365">
              <w:rPr>
                <w:rFonts w:ascii="Calibri Light" w:hAnsi="Calibri Light"/>
                <w:b w:val="0"/>
              </w:rPr>
              <w:t xml:space="preserve"> se hizo la inspección judicial de los libros contables de la empresa del señor Facussé para comprobar la existencia</w:t>
            </w:r>
            <w:r w:rsidR="00984B50" w:rsidRPr="006F0365">
              <w:rPr>
                <w:rFonts w:ascii="Calibri Light" w:hAnsi="Calibri Light"/>
                <w:b w:val="0"/>
              </w:rPr>
              <w:t xml:space="preserve"> del cheque, más no se encontró. El juez del caso, Francisco Sánchez, </w:t>
            </w:r>
            <w:r w:rsidR="004B3328" w:rsidRPr="006F0365">
              <w:rPr>
                <w:rFonts w:ascii="Calibri Light" w:hAnsi="Calibri Light"/>
                <w:b w:val="0"/>
              </w:rPr>
              <w:t>declaró ante una radio que ello demostraba que no había pruebas para incriminar a otro involucrado, Salomón Martínez</w:t>
            </w:r>
            <w:r w:rsidR="006A4884">
              <w:rPr>
                <w:rFonts w:ascii="Calibri Light" w:hAnsi="Calibri Light"/>
                <w:b w:val="0"/>
              </w:rPr>
              <w:t>, diputado del partido político contra el cual competía el señor Escaleras en las elecciones por la alcaldía del municipio de Tocoa</w:t>
            </w:r>
            <w:r w:rsidR="004B3328" w:rsidRPr="006F0365">
              <w:rPr>
                <w:rFonts w:ascii="Calibri Light" w:hAnsi="Calibri Light"/>
                <w:b w:val="0"/>
              </w:rPr>
              <w:t>. Familiares del señor Escaleras y su defensa denunciaron que tales declaraciones demostrarían la parcialidad del juez.</w:t>
            </w:r>
          </w:p>
          <w:p w14:paraId="06DAAB1C" w14:textId="77777777" w:rsidR="004B3328" w:rsidRPr="006F0365" w:rsidRDefault="004B3328" w:rsidP="006F0365">
            <w:pPr>
              <w:spacing w:after="0" w:line="240" w:lineRule="auto"/>
              <w:jc w:val="both"/>
              <w:rPr>
                <w:rFonts w:ascii="Calibri Light" w:hAnsi="Calibri Light"/>
                <w:b w:val="0"/>
              </w:rPr>
            </w:pPr>
          </w:p>
          <w:p w14:paraId="60997444" w14:textId="0CE5D2BA" w:rsidR="00FB7ADE" w:rsidRPr="006F0365" w:rsidRDefault="00453CA1" w:rsidP="006F0365">
            <w:pPr>
              <w:spacing w:after="0" w:line="240" w:lineRule="auto"/>
              <w:jc w:val="both"/>
              <w:rPr>
                <w:rFonts w:ascii="Calibri Light" w:hAnsi="Calibri Light"/>
                <w:b w:val="0"/>
              </w:rPr>
            </w:pPr>
            <w:r>
              <w:rPr>
                <w:rFonts w:ascii="Calibri Light" w:hAnsi="Calibri Light"/>
                <w:b w:val="0"/>
              </w:rPr>
              <w:t>Posteriormente</w:t>
            </w:r>
            <w:r w:rsidR="00A52372" w:rsidRPr="006F0365">
              <w:rPr>
                <w:rFonts w:ascii="Calibri Light" w:hAnsi="Calibri Light"/>
                <w:b w:val="0"/>
              </w:rPr>
              <w:t xml:space="preserve">, en agosto, el Juzgado emitió una resolución de sobreseimiento a favor del señor Facussé y el señor Castro de forma </w:t>
            </w:r>
            <w:r w:rsidR="00EB3B74" w:rsidRPr="006F0365">
              <w:rPr>
                <w:rFonts w:ascii="Calibri Light" w:hAnsi="Calibri Light"/>
                <w:b w:val="0"/>
              </w:rPr>
              <w:t>expedita</w:t>
            </w:r>
            <w:r w:rsidR="00A52372" w:rsidRPr="006F0365">
              <w:rPr>
                <w:rFonts w:ascii="Calibri Light" w:hAnsi="Calibri Light"/>
                <w:b w:val="0"/>
              </w:rPr>
              <w:t xml:space="preserve"> tras la recepción de sus declaraciones negando su responsabilidad. Aunque en noviembre se declaró nula tal resolución, el Juzgado volvió a emitir una resolución de sobreseimiento en 2003.</w:t>
            </w:r>
            <w:r w:rsidR="00647E6B" w:rsidRPr="006F0365">
              <w:rPr>
                <w:rFonts w:ascii="Calibri Light" w:hAnsi="Calibri Light"/>
                <w:b w:val="0"/>
              </w:rPr>
              <w:t xml:space="preserve"> Asimismo, se rechazó una acusación contra Oscar Sosa como presunto autor intelectual del asesinato.</w:t>
            </w:r>
            <w:r w:rsidR="00EB3B74" w:rsidRPr="006F0365" w:rsidDel="00EB3B74">
              <w:rPr>
                <w:rFonts w:ascii="Calibri Light" w:hAnsi="Calibri Light"/>
                <w:b w:val="0"/>
              </w:rPr>
              <w:t xml:space="preserve"> </w:t>
            </w:r>
            <w:r w:rsidR="00A52372" w:rsidRPr="006F0365">
              <w:rPr>
                <w:rFonts w:ascii="Calibri Light" w:hAnsi="Calibri Light"/>
                <w:b w:val="0"/>
              </w:rPr>
              <w:t>En 2002, se emitió la sentencia condenatoria contra Lucas García por el asesinato del señor Escaleras. Varios años después, en 2011, se dictó la sentencia condenatoria contra Leodán Machado por ser cómplice del asesinato.</w:t>
            </w:r>
            <w:r>
              <w:rPr>
                <w:rFonts w:ascii="Calibri Light" w:hAnsi="Calibri Light"/>
                <w:b w:val="0"/>
              </w:rPr>
              <w:t xml:space="preserve"> Cabe señalar que </w:t>
            </w:r>
            <w:r w:rsidR="00FB7ADE">
              <w:rPr>
                <w:rFonts w:ascii="Calibri Light" w:hAnsi="Calibri Light"/>
                <w:b w:val="0"/>
              </w:rPr>
              <w:t xml:space="preserve">Mientras duró el proceso, se presentaron más de diez cambios de los fiscales del caso, además de la separación del fiscal </w:t>
            </w:r>
            <w:r w:rsidR="00FB7ADE" w:rsidRPr="00453CA1">
              <w:rPr>
                <w:rFonts w:ascii="Calibri Light" w:hAnsi="Calibri Light"/>
                <w:b w:val="0"/>
                <w:i/>
              </w:rPr>
              <w:t>ad hoc</w:t>
            </w:r>
            <w:r w:rsidR="00FB7ADE">
              <w:rPr>
                <w:rFonts w:ascii="Calibri Light" w:hAnsi="Calibri Light"/>
                <w:b w:val="0"/>
              </w:rPr>
              <w:t xml:space="preserve"> nombrado especialmente para el esclarecimiento de los hechos sobre la muerte del señor Escaleras.</w:t>
            </w:r>
          </w:p>
          <w:p w14:paraId="5778A586" w14:textId="77777777" w:rsidR="00647E6B" w:rsidRPr="006F0365" w:rsidRDefault="00647E6B" w:rsidP="006F0365">
            <w:pPr>
              <w:spacing w:after="0" w:line="240" w:lineRule="auto"/>
              <w:jc w:val="both"/>
              <w:rPr>
                <w:rFonts w:ascii="Calibri Light" w:hAnsi="Calibri Light"/>
                <w:b w:val="0"/>
              </w:rPr>
            </w:pPr>
          </w:p>
          <w:p w14:paraId="4A72E04E" w14:textId="77777777" w:rsidR="00977C01" w:rsidRPr="006F0365" w:rsidRDefault="004B1596" w:rsidP="006F0365">
            <w:pPr>
              <w:spacing w:after="0" w:line="240" w:lineRule="auto"/>
              <w:jc w:val="both"/>
              <w:rPr>
                <w:rFonts w:ascii="Calibri Light" w:hAnsi="Calibri Light"/>
                <w:b w:val="0"/>
              </w:rPr>
            </w:pPr>
            <w:r w:rsidRPr="006F0365">
              <w:rPr>
                <w:rFonts w:ascii="Calibri Light" w:hAnsi="Calibri Light"/>
                <w:b w:val="0"/>
              </w:rPr>
              <w:t>Frente a tales hechos, el Equipo de Reflexión, Investigación y Comunicación (ERIC) y el Centro por la Justicia y el Derecho Internacional (CEJIL) presentaron una petición ante la CIDH, denunc</w:t>
            </w:r>
            <w:r w:rsidR="00F76B25" w:rsidRPr="006F0365">
              <w:rPr>
                <w:rFonts w:ascii="Calibri Light" w:hAnsi="Calibri Light"/>
                <w:b w:val="0"/>
              </w:rPr>
              <w:t>iando que el Estado de Honduras</w:t>
            </w:r>
            <w:r w:rsidRPr="006F0365">
              <w:rPr>
                <w:rFonts w:ascii="Calibri Light" w:hAnsi="Calibri Light"/>
                <w:b w:val="0"/>
              </w:rPr>
              <w:t xml:space="preserve"> había vulnerado los derechos </w:t>
            </w:r>
            <w:r w:rsidR="00F76B25" w:rsidRPr="006F0365">
              <w:rPr>
                <w:rFonts w:ascii="Calibri Light" w:hAnsi="Calibri Light"/>
                <w:b w:val="0"/>
              </w:rPr>
              <w:t>a la vida, a la integridad personal, a las garantías judiciales y protección judicial, a la libertad de asociación, a la libertad de expresión y los derechos políticos del señor Carlos Escaleras y familia</w:t>
            </w:r>
            <w:r w:rsidRPr="006F0365">
              <w:rPr>
                <w:rFonts w:ascii="Calibri Light" w:hAnsi="Calibri Light"/>
                <w:b w:val="0"/>
              </w:rPr>
              <w:t>, reconocidos en la Convención Americana sobre Derechos Humanos (en adelante, CADH).</w:t>
            </w:r>
          </w:p>
          <w:p w14:paraId="3413F198" w14:textId="77777777" w:rsidR="00977C01" w:rsidRPr="006F0365" w:rsidRDefault="00977C01" w:rsidP="006F0365">
            <w:pPr>
              <w:spacing w:after="0" w:line="240" w:lineRule="auto"/>
              <w:jc w:val="both"/>
              <w:rPr>
                <w:rFonts w:ascii="Calibri Light" w:hAnsi="Calibri Light"/>
                <w:b w:val="0"/>
              </w:rPr>
            </w:pPr>
          </w:p>
        </w:tc>
      </w:tr>
      <w:tr w:rsidR="00BD328B" w14:paraId="4F1DFA8D" w14:textId="77777777" w:rsidTr="005570E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2B289662" w14:textId="77777777" w:rsidR="00BD328B" w:rsidRPr="005570E1" w:rsidRDefault="0074049B" w:rsidP="005570E1">
            <w:pPr>
              <w:pStyle w:val="ListParagraph"/>
              <w:numPr>
                <w:ilvl w:val="0"/>
                <w:numId w:val="1"/>
              </w:numPr>
              <w:spacing w:after="0" w:line="240" w:lineRule="auto"/>
              <w:jc w:val="center"/>
              <w:rPr>
                <w:rFonts w:ascii="Calibri Light" w:hAnsi="Calibri Light"/>
              </w:rPr>
            </w:pPr>
            <w:r>
              <w:rPr>
                <w:rFonts w:ascii="Calibri Light" w:hAnsi="Calibri Light"/>
              </w:rPr>
              <w:lastRenderedPageBreak/>
              <w:t>Análisis jurídico</w:t>
            </w:r>
          </w:p>
        </w:tc>
      </w:tr>
      <w:tr w:rsidR="00BD328B" w14:paraId="2312D510" w14:textId="77777777" w:rsidTr="00BD328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33F220A7" w14:textId="77777777" w:rsidR="00A81AC5" w:rsidRDefault="00A81AC5" w:rsidP="005570E1">
            <w:pPr>
              <w:spacing w:after="0" w:line="240" w:lineRule="auto"/>
              <w:jc w:val="both"/>
              <w:rPr>
                <w:rFonts w:ascii="Calibri Light" w:hAnsi="Calibri Light"/>
              </w:rPr>
            </w:pPr>
          </w:p>
          <w:p w14:paraId="4C21E1F7" w14:textId="77777777" w:rsidR="006E41F7" w:rsidRPr="005570E1" w:rsidRDefault="006E41F7" w:rsidP="005570E1">
            <w:pPr>
              <w:spacing w:after="0" w:line="240" w:lineRule="auto"/>
              <w:jc w:val="both"/>
              <w:rPr>
                <w:rFonts w:ascii="Calibri Light" w:hAnsi="Calibri Light"/>
              </w:rPr>
            </w:pPr>
            <w:r w:rsidRPr="005570E1">
              <w:rPr>
                <w:rFonts w:ascii="Calibri Light" w:hAnsi="Calibri Light"/>
              </w:rPr>
              <w:t>Derecho a las garantías judiciales y a la protección judicial (artículos 8 y 25 de la CADH)</w:t>
            </w:r>
          </w:p>
          <w:p w14:paraId="4AE6AC67" w14:textId="77777777" w:rsidR="009577BC" w:rsidRDefault="009577BC" w:rsidP="0074049B">
            <w:pPr>
              <w:spacing w:after="0" w:line="240" w:lineRule="auto"/>
              <w:jc w:val="both"/>
              <w:rPr>
                <w:rFonts w:ascii="Calibri Light" w:hAnsi="Calibri Light"/>
              </w:rPr>
            </w:pPr>
          </w:p>
          <w:p w14:paraId="44B8E0B6" w14:textId="56A474F6" w:rsidR="009577BC" w:rsidRDefault="008F7278" w:rsidP="0074049B">
            <w:pPr>
              <w:spacing w:after="0" w:line="240" w:lineRule="auto"/>
              <w:jc w:val="both"/>
              <w:rPr>
                <w:rFonts w:ascii="Calibri Light" w:hAnsi="Calibri Light"/>
                <w:b w:val="0"/>
              </w:rPr>
            </w:pPr>
            <w:r>
              <w:rPr>
                <w:rFonts w:ascii="Calibri Light" w:hAnsi="Calibri Light"/>
                <w:b w:val="0"/>
              </w:rPr>
              <w:t xml:space="preserve">Los derechos a las garantías judiciales y la protección judicial implican que toda persona que haya sufrido una violación de derechos humanos tenga acceso a obtener el esclarecimiento de los hechos y la determinación y sanción de los responsables, para lo cual deberá también tener un recurso </w:t>
            </w:r>
            <w:r w:rsidR="007D6DD8">
              <w:rPr>
                <w:rFonts w:ascii="Calibri Light" w:hAnsi="Calibri Light"/>
                <w:b w:val="0"/>
              </w:rPr>
              <w:t>rápido y sencillo a su disposición. De ello</w:t>
            </w:r>
            <w:r w:rsidR="00EB3B74">
              <w:rPr>
                <w:rFonts w:ascii="Calibri Light" w:hAnsi="Calibri Light"/>
                <w:b w:val="0"/>
              </w:rPr>
              <w:t>,</w:t>
            </w:r>
            <w:r w:rsidR="007D6DD8">
              <w:rPr>
                <w:rFonts w:ascii="Calibri Light" w:hAnsi="Calibri Light"/>
                <w:b w:val="0"/>
              </w:rPr>
              <w:t xml:space="preserve"> se desprende el deber de investigar </w:t>
            </w:r>
            <w:r w:rsidR="004D1B0B">
              <w:rPr>
                <w:rFonts w:ascii="Calibri Light" w:hAnsi="Calibri Light"/>
                <w:b w:val="0"/>
              </w:rPr>
              <w:t xml:space="preserve">y sancionar </w:t>
            </w:r>
            <w:r w:rsidR="007D6DD8">
              <w:rPr>
                <w:rFonts w:ascii="Calibri Light" w:hAnsi="Calibri Light"/>
                <w:b w:val="0"/>
              </w:rPr>
              <w:t>del Estado, el cual debe estar abocado a la determinación de la verdad y la investigación, persecución, captura, enjuiciamiento, y, en su caso, sanción de los responsables.</w:t>
            </w:r>
            <w:r w:rsidR="00BA5C26">
              <w:rPr>
                <w:rFonts w:ascii="Calibri Light" w:hAnsi="Calibri Light"/>
                <w:b w:val="0"/>
              </w:rPr>
              <w:t xml:space="preserve"> </w:t>
            </w:r>
            <w:r w:rsidR="00EB3B74">
              <w:rPr>
                <w:rFonts w:ascii="Calibri Light" w:hAnsi="Calibri Light"/>
                <w:b w:val="0"/>
              </w:rPr>
              <w:t>Además</w:t>
            </w:r>
            <w:r w:rsidR="004D1B0B">
              <w:rPr>
                <w:rFonts w:ascii="Calibri Light" w:hAnsi="Calibri Light"/>
                <w:b w:val="0"/>
              </w:rPr>
              <w:t xml:space="preserve">, </w:t>
            </w:r>
            <w:r w:rsidR="00EB3B74">
              <w:rPr>
                <w:rFonts w:ascii="Calibri Light" w:hAnsi="Calibri Light"/>
                <w:b w:val="0"/>
              </w:rPr>
              <w:t xml:space="preserve">en </w:t>
            </w:r>
            <w:r w:rsidR="004D1B0B">
              <w:rPr>
                <w:rFonts w:ascii="Calibri Light" w:hAnsi="Calibri Light"/>
                <w:b w:val="0"/>
              </w:rPr>
              <w:t xml:space="preserve">base </w:t>
            </w:r>
            <w:r w:rsidR="00EB3B74">
              <w:rPr>
                <w:rFonts w:ascii="Calibri Light" w:hAnsi="Calibri Light"/>
                <w:b w:val="0"/>
              </w:rPr>
              <w:t>a</w:t>
            </w:r>
            <w:r w:rsidR="004D1B0B">
              <w:rPr>
                <w:rFonts w:ascii="Calibri Light" w:hAnsi="Calibri Light"/>
                <w:b w:val="0"/>
              </w:rPr>
              <w:t xml:space="preserve">l derecho a la verdad de los familiares, dicho deber no solo ha de enfocarse en la sanción de los autores materiales de la violación de derechos humanos, sino también en los autores intelectuales y cómplices. </w:t>
            </w:r>
            <w:r w:rsidR="00EB3B74">
              <w:rPr>
                <w:rFonts w:ascii="Calibri Light" w:hAnsi="Calibri Light"/>
                <w:b w:val="0"/>
              </w:rPr>
              <w:t>Este</w:t>
            </w:r>
            <w:r w:rsidR="00B842F5">
              <w:rPr>
                <w:rFonts w:ascii="Calibri Light" w:hAnsi="Calibri Light"/>
                <w:b w:val="0"/>
              </w:rPr>
              <w:t xml:space="preserve"> deber se </w:t>
            </w:r>
            <w:r w:rsidR="00EB3B74">
              <w:rPr>
                <w:rFonts w:ascii="Calibri Light" w:hAnsi="Calibri Light"/>
                <w:b w:val="0"/>
              </w:rPr>
              <w:t xml:space="preserve">encuentra </w:t>
            </w:r>
            <w:r w:rsidR="00B842F5">
              <w:rPr>
                <w:rFonts w:ascii="Calibri Light" w:hAnsi="Calibri Light"/>
                <w:b w:val="0"/>
              </w:rPr>
              <w:t>ref</w:t>
            </w:r>
            <w:r w:rsidR="00EB3B74">
              <w:rPr>
                <w:rFonts w:ascii="Calibri Light" w:hAnsi="Calibri Light"/>
                <w:b w:val="0"/>
              </w:rPr>
              <w:t>orzado</w:t>
            </w:r>
            <w:r w:rsidR="00B842F5">
              <w:rPr>
                <w:rFonts w:ascii="Calibri Light" w:hAnsi="Calibri Light"/>
                <w:b w:val="0"/>
              </w:rPr>
              <w:t xml:space="preserve"> cuando se trata de la muerte de un defensor o defensora de derechos humanos, en cuyo caso deberá tomarse en cuenta su rol y los intereses a los que resultaba</w:t>
            </w:r>
            <w:r w:rsidR="00EB3B74">
              <w:rPr>
                <w:rFonts w:ascii="Calibri Light" w:hAnsi="Calibri Light"/>
                <w:b w:val="0"/>
              </w:rPr>
              <w:t>n</w:t>
            </w:r>
            <w:r w:rsidR="00B842F5">
              <w:rPr>
                <w:rFonts w:ascii="Calibri Light" w:hAnsi="Calibri Light"/>
                <w:b w:val="0"/>
              </w:rPr>
              <w:t xml:space="preserve"> favorable</w:t>
            </w:r>
            <w:r w:rsidR="00EB3B74">
              <w:rPr>
                <w:rFonts w:ascii="Calibri Light" w:hAnsi="Calibri Light"/>
                <w:b w:val="0"/>
              </w:rPr>
              <w:t>s</w:t>
            </w:r>
            <w:r w:rsidR="00B842F5">
              <w:rPr>
                <w:rFonts w:ascii="Calibri Light" w:hAnsi="Calibri Light"/>
                <w:b w:val="0"/>
              </w:rPr>
              <w:t xml:space="preserve"> que sus actividades ces</w:t>
            </w:r>
            <w:r w:rsidR="00453CA1">
              <w:rPr>
                <w:rFonts w:ascii="Calibri Light" w:hAnsi="Calibri Light"/>
                <w:b w:val="0"/>
              </w:rPr>
              <w:t>e</w:t>
            </w:r>
            <w:r w:rsidR="00B842F5">
              <w:rPr>
                <w:rFonts w:ascii="Calibri Light" w:hAnsi="Calibri Light"/>
                <w:b w:val="0"/>
              </w:rPr>
              <w:t>n.</w:t>
            </w:r>
          </w:p>
          <w:p w14:paraId="039177B8" w14:textId="77777777" w:rsidR="00B842F5" w:rsidRDefault="00B842F5" w:rsidP="0074049B">
            <w:pPr>
              <w:spacing w:after="0" w:line="240" w:lineRule="auto"/>
              <w:jc w:val="both"/>
              <w:rPr>
                <w:rFonts w:ascii="Calibri Light" w:hAnsi="Calibri Light"/>
                <w:b w:val="0"/>
              </w:rPr>
            </w:pPr>
          </w:p>
          <w:p w14:paraId="7EAA79E6" w14:textId="71066E2F" w:rsidR="00B842F5" w:rsidRPr="00453CA1" w:rsidRDefault="00B842F5" w:rsidP="00453CA1">
            <w:pPr>
              <w:pStyle w:val="ListParagraph"/>
              <w:numPr>
                <w:ilvl w:val="0"/>
                <w:numId w:val="13"/>
              </w:numPr>
              <w:spacing w:after="0" w:line="240" w:lineRule="auto"/>
              <w:jc w:val="both"/>
              <w:rPr>
                <w:rFonts w:ascii="Calibri Light" w:hAnsi="Calibri Light"/>
              </w:rPr>
            </w:pPr>
            <w:r w:rsidRPr="00453CA1">
              <w:rPr>
                <w:rFonts w:ascii="Calibri Light" w:hAnsi="Calibri Light"/>
              </w:rPr>
              <w:t>Debida diligencia en la investigación y esclarecimiento de los hechos</w:t>
            </w:r>
          </w:p>
          <w:p w14:paraId="6D136543" w14:textId="77777777" w:rsidR="00B842F5" w:rsidRDefault="00B842F5" w:rsidP="0074049B">
            <w:pPr>
              <w:spacing w:after="0" w:line="240" w:lineRule="auto"/>
              <w:jc w:val="both"/>
              <w:rPr>
                <w:rFonts w:ascii="Calibri Light" w:hAnsi="Calibri Light"/>
              </w:rPr>
            </w:pPr>
          </w:p>
          <w:p w14:paraId="1C20AD29" w14:textId="72C06C54" w:rsidR="00B842F5" w:rsidRDefault="00EB679D" w:rsidP="0074049B">
            <w:pPr>
              <w:spacing w:after="0" w:line="240" w:lineRule="auto"/>
              <w:jc w:val="both"/>
              <w:rPr>
                <w:rFonts w:ascii="Calibri Light" w:hAnsi="Calibri Light"/>
                <w:b w:val="0"/>
              </w:rPr>
            </w:pPr>
            <w:r>
              <w:rPr>
                <w:rFonts w:ascii="Calibri Light" w:hAnsi="Calibri Light"/>
                <w:b w:val="0"/>
              </w:rPr>
              <w:t>La CIDH analiz</w:t>
            </w:r>
            <w:r w:rsidR="007C7C38">
              <w:rPr>
                <w:rFonts w:ascii="Calibri Light" w:hAnsi="Calibri Light"/>
                <w:b w:val="0"/>
              </w:rPr>
              <w:t>ó</w:t>
            </w:r>
            <w:r>
              <w:rPr>
                <w:rFonts w:ascii="Calibri Light" w:hAnsi="Calibri Light"/>
                <w:b w:val="0"/>
              </w:rPr>
              <w:t xml:space="preserve"> la debida diligencia en la investigación desde las actuaciones iniciales y las actuaciones posteriores. </w:t>
            </w:r>
            <w:r w:rsidR="007C7C38">
              <w:rPr>
                <w:rFonts w:ascii="Calibri Light" w:hAnsi="Calibri Light"/>
                <w:b w:val="0"/>
              </w:rPr>
              <w:t>Sobre</w:t>
            </w:r>
            <w:r>
              <w:rPr>
                <w:rFonts w:ascii="Calibri Light" w:hAnsi="Calibri Light"/>
                <w:b w:val="0"/>
              </w:rPr>
              <w:t xml:space="preserve"> las primeras, resalt</w:t>
            </w:r>
            <w:r w:rsidR="007C7C38">
              <w:rPr>
                <w:rFonts w:ascii="Calibri Light" w:hAnsi="Calibri Light"/>
                <w:b w:val="0"/>
              </w:rPr>
              <w:t>ó</w:t>
            </w:r>
            <w:r>
              <w:rPr>
                <w:rFonts w:ascii="Calibri Light" w:hAnsi="Calibri Light"/>
                <w:b w:val="0"/>
              </w:rPr>
              <w:t xml:space="preserve"> que los Estados están obligados a actuar de forma diligente desde el inicio de las investigaciones; de lo contrario, podrían perderse pruebas </w:t>
            </w:r>
            <w:r>
              <w:rPr>
                <w:rFonts w:ascii="Calibri Light" w:hAnsi="Calibri Light"/>
                <w:b w:val="0"/>
              </w:rPr>
              <w:lastRenderedPageBreak/>
              <w:t xml:space="preserve">fundamentales para el esclarecimiento de los hechos y la determinación de responsabilidades, lo cual conllevaría </w:t>
            </w:r>
            <w:r w:rsidR="00453CA1">
              <w:rPr>
                <w:rFonts w:ascii="Calibri Light" w:hAnsi="Calibri Light"/>
                <w:b w:val="0"/>
              </w:rPr>
              <w:t>a</w:t>
            </w:r>
            <w:r>
              <w:rPr>
                <w:rFonts w:ascii="Calibri Light" w:hAnsi="Calibri Light"/>
                <w:b w:val="0"/>
              </w:rPr>
              <w:t xml:space="preserve"> un proceso judicial ineficiente y sin efectividad.</w:t>
            </w:r>
          </w:p>
          <w:p w14:paraId="2C9FAE13" w14:textId="77777777" w:rsidR="00EB679D" w:rsidRDefault="00EB679D" w:rsidP="0074049B">
            <w:pPr>
              <w:spacing w:after="0" w:line="240" w:lineRule="auto"/>
              <w:jc w:val="both"/>
              <w:rPr>
                <w:rFonts w:ascii="Calibri Light" w:hAnsi="Calibri Light"/>
                <w:b w:val="0"/>
              </w:rPr>
            </w:pPr>
          </w:p>
          <w:p w14:paraId="04E5E0E1" w14:textId="7BB87156" w:rsidR="001F14C0" w:rsidRDefault="00EB679D" w:rsidP="0074049B">
            <w:pPr>
              <w:spacing w:after="0" w:line="240" w:lineRule="auto"/>
              <w:jc w:val="both"/>
              <w:rPr>
                <w:rFonts w:ascii="Calibri Light" w:hAnsi="Calibri Light"/>
                <w:b w:val="0"/>
              </w:rPr>
            </w:pPr>
            <w:r>
              <w:rPr>
                <w:rFonts w:ascii="Calibri Light" w:hAnsi="Calibri Light"/>
                <w:b w:val="0"/>
              </w:rPr>
              <w:t xml:space="preserve">Por tratarse el caso de una muerte violenta, </w:t>
            </w:r>
            <w:r w:rsidR="007C7C38">
              <w:rPr>
                <w:rFonts w:ascii="Calibri Light" w:hAnsi="Calibri Light"/>
                <w:b w:val="0"/>
              </w:rPr>
              <w:t>era preciso tomar en cuenta</w:t>
            </w:r>
            <w:r w:rsidR="00453CA1">
              <w:rPr>
                <w:rFonts w:ascii="Calibri Light" w:hAnsi="Calibri Light"/>
                <w:b w:val="0"/>
              </w:rPr>
              <w:t xml:space="preserve"> las directrices del </w:t>
            </w:r>
            <w:r w:rsidR="001F14C0" w:rsidRPr="00453CA1">
              <w:rPr>
                <w:rFonts w:ascii="Calibri Light" w:hAnsi="Calibri Light"/>
                <w:b w:val="0"/>
                <w:i/>
              </w:rPr>
              <w:t>Manual sobre la Prevención e Investigación Eficaces de las Ejecuciones Extralegales, Arbitrarias o Sumarias</w:t>
            </w:r>
            <w:r w:rsidR="001F14C0">
              <w:rPr>
                <w:rFonts w:ascii="Calibri Light" w:hAnsi="Calibri Light"/>
                <w:b w:val="0"/>
              </w:rPr>
              <w:t xml:space="preserve">, </w:t>
            </w:r>
            <w:r w:rsidR="007C7C38">
              <w:rPr>
                <w:rFonts w:ascii="Calibri Light" w:hAnsi="Calibri Light"/>
                <w:b w:val="0"/>
              </w:rPr>
              <w:t>utilizado tanto por la CIDH como por la Corte IDH</w:t>
            </w:r>
            <w:r w:rsidR="00747A37">
              <w:rPr>
                <w:rFonts w:ascii="Calibri Light" w:hAnsi="Calibri Light"/>
                <w:b w:val="0"/>
              </w:rPr>
              <w:t>. Este</w:t>
            </w:r>
            <w:r w:rsidR="007C7C38">
              <w:rPr>
                <w:rFonts w:ascii="Calibri Light" w:hAnsi="Calibri Light"/>
                <w:b w:val="0"/>
              </w:rPr>
              <w:t xml:space="preserve"> </w:t>
            </w:r>
            <w:r w:rsidR="001F14C0">
              <w:rPr>
                <w:rFonts w:ascii="Calibri Light" w:hAnsi="Calibri Light"/>
                <w:b w:val="0"/>
              </w:rPr>
              <w:t xml:space="preserve">establece </w:t>
            </w:r>
            <w:r w:rsidR="007C7C38">
              <w:rPr>
                <w:rFonts w:ascii="Calibri Light" w:hAnsi="Calibri Light"/>
                <w:b w:val="0"/>
              </w:rPr>
              <w:t>las siguientes</w:t>
            </w:r>
            <w:r w:rsidR="001F14C0">
              <w:rPr>
                <w:rFonts w:ascii="Calibri Light" w:hAnsi="Calibri Light"/>
                <w:b w:val="0"/>
              </w:rPr>
              <w:t xml:space="preserve"> diligencias </w:t>
            </w:r>
            <w:r w:rsidR="007C7C38">
              <w:rPr>
                <w:rFonts w:ascii="Calibri Light" w:hAnsi="Calibri Light"/>
                <w:b w:val="0"/>
              </w:rPr>
              <w:t xml:space="preserve">como fundamentales: i) </w:t>
            </w:r>
            <w:r w:rsidR="001F14C0">
              <w:rPr>
                <w:rFonts w:ascii="Calibri Light" w:hAnsi="Calibri Light"/>
                <w:b w:val="0"/>
              </w:rPr>
              <w:t>la identificación de la víctima</w:t>
            </w:r>
            <w:r w:rsidR="007C7C38">
              <w:rPr>
                <w:rFonts w:ascii="Calibri Light" w:hAnsi="Calibri Light"/>
                <w:b w:val="0"/>
              </w:rPr>
              <w:t>;</w:t>
            </w:r>
            <w:r w:rsidR="001F14C0">
              <w:rPr>
                <w:rFonts w:ascii="Calibri Light" w:hAnsi="Calibri Light"/>
                <w:b w:val="0"/>
              </w:rPr>
              <w:t xml:space="preserve"> </w:t>
            </w:r>
            <w:r w:rsidR="007C7C38">
              <w:rPr>
                <w:rFonts w:ascii="Calibri Light" w:hAnsi="Calibri Light"/>
                <w:b w:val="0"/>
              </w:rPr>
              <w:t xml:space="preserve">ii) </w:t>
            </w:r>
            <w:r w:rsidR="001F14C0">
              <w:rPr>
                <w:rFonts w:ascii="Calibri Light" w:hAnsi="Calibri Light"/>
                <w:b w:val="0"/>
              </w:rPr>
              <w:t>la recuperación y preservación del material probatorio del caso</w:t>
            </w:r>
            <w:r w:rsidR="007C7C38">
              <w:rPr>
                <w:rFonts w:ascii="Calibri Light" w:hAnsi="Calibri Light"/>
                <w:b w:val="0"/>
              </w:rPr>
              <w:t>; iii)</w:t>
            </w:r>
            <w:r w:rsidR="001F14C0">
              <w:rPr>
                <w:rFonts w:ascii="Calibri Light" w:hAnsi="Calibri Light"/>
                <w:b w:val="0"/>
              </w:rPr>
              <w:t xml:space="preserve"> identificación de testigos y la obtención de sus declaraciones</w:t>
            </w:r>
            <w:r w:rsidR="007C7C38">
              <w:rPr>
                <w:rFonts w:ascii="Calibri Light" w:hAnsi="Calibri Light"/>
                <w:b w:val="0"/>
              </w:rPr>
              <w:t xml:space="preserve">; iv) </w:t>
            </w:r>
            <w:r w:rsidR="001F14C0">
              <w:rPr>
                <w:rFonts w:ascii="Calibri Light" w:hAnsi="Calibri Light"/>
                <w:b w:val="0"/>
              </w:rPr>
              <w:t xml:space="preserve"> la determinación de los motivos y hechos relativos a la muerte</w:t>
            </w:r>
            <w:r w:rsidR="007C7C38">
              <w:rPr>
                <w:rFonts w:ascii="Calibri Light" w:hAnsi="Calibri Light"/>
                <w:b w:val="0"/>
              </w:rPr>
              <w:t>.</w:t>
            </w:r>
            <w:r w:rsidR="001F14C0">
              <w:rPr>
                <w:rFonts w:ascii="Calibri Light" w:hAnsi="Calibri Light"/>
                <w:b w:val="0"/>
              </w:rPr>
              <w:t xml:space="preserve"> </w:t>
            </w:r>
            <w:r w:rsidR="006E7AC6" w:rsidDel="006E7AC6">
              <w:rPr>
                <w:rFonts w:ascii="Calibri Light" w:hAnsi="Calibri Light"/>
                <w:b w:val="0"/>
              </w:rPr>
              <w:t xml:space="preserve"> </w:t>
            </w:r>
            <w:r w:rsidR="007C7C38">
              <w:rPr>
                <w:rFonts w:ascii="Calibri Light" w:hAnsi="Calibri Light"/>
                <w:b w:val="0"/>
              </w:rPr>
              <w:t>De acuerdo a la</w:t>
            </w:r>
            <w:r w:rsidR="001F14C0">
              <w:rPr>
                <w:rFonts w:ascii="Calibri Light" w:hAnsi="Calibri Light"/>
                <w:b w:val="0"/>
              </w:rPr>
              <w:t xml:space="preserve"> CIDH</w:t>
            </w:r>
            <w:r w:rsidR="007C7C38">
              <w:rPr>
                <w:rFonts w:ascii="Calibri Light" w:hAnsi="Calibri Light"/>
                <w:b w:val="0"/>
              </w:rPr>
              <w:t xml:space="preserve">, ninguna de estas diligencias </w:t>
            </w:r>
            <w:r w:rsidR="00747A37">
              <w:rPr>
                <w:rFonts w:ascii="Calibri Light" w:hAnsi="Calibri Light"/>
                <w:b w:val="0"/>
              </w:rPr>
              <w:t>fue realizada</w:t>
            </w:r>
            <w:r w:rsidR="001F14C0">
              <w:rPr>
                <w:rFonts w:ascii="Calibri Light" w:hAnsi="Calibri Light"/>
                <w:b w:val="0"/>
              </w:rPr>
              <w:t xml:space="preserve">. </w:t>
            </w:r>
            <w:r w:rsidR="00260EC6">
              <w:rPr>
                <w:rFonts w:ascii="Calibri Light" w:hAnsi="Calibri Light"/>
                <w:b w:val="0"/>
              </w:rPr>
              <w:t>En particular,</w:t>
            </w:r>
            <w:r w:rsidR="006E7AC6">
              <w:rPr>
                <w:rFonts w:ascii="Calibri Light" w:hAnsi="Calibri Light"/>
                <w:b w:val="0"/>
              </w:rPr>
              <w:t xml:space="preserve"> r</w:t>
            </w:r>
            <w:r w:rsidR="001F14C0">
              <w:rPr>
                <w:rFonts w:ascii="Calibri Light" w:hAnsi="Calibri Light"/>
                <w:b w:val="0"/>
              </w:rPr>
              <w:t>esalt</w:t>
            </w:r>
            <w:r w:rsidR="006E7AC6">
              <w:rPr>
                <w:rFonts w:ascii="Calibri Light" w:hAnsi="Calibri Light"/>
                <w:b w:val="0"/>
              </w:rPr>
              <w:t>ó</w:t>
            </w:r>
            <w:r w:rsidR="001F14C0">
              <w:rPr>
                <w:rFonts w:ascii="Calibri Light" w:hAnsi="Calibri Light"/>
                <w:b w:val="0"/>
              </w:rPr>
              <w:t xml:space="preserve"> la gravedad de la falta de cuidado sobre la escena del crimen y la cadena de custodia, así como la demora en la inspección judicial del lugar en que se produjeron los hechos. </w:t>
            </w:r>
            <w:r w:rsidR="005854AE">
              <w:rPr>
                <w:rFonts w:ascii="Calibri Light" w:hAnsi="Calibri Light"/>
                <w:b w:val="0"/>
              </w:rPr>
              <w:t>En ese sentido, estim</w:t>
            </w:r>
            <w:r w:rsidR="006E7AC6">
              <w:rPr>
                <w:rFonts w:ascii="Calibri Light" w:hAnsi="Calibri Light"/>
                <w:b w:val="0"/>
              </w:rPr>
              <w:t>ó</w:t>
            </w:r>
            <w:r w:rsidR="005854AE">
              <w:rPr>
                <w:rFonts w:ascii="Calibri Light" w:hAnsi="Calibri Light"/>
                <w:b w:val="0"/>
              </w:rPr>
              <w:t xml:space="preserve"> que las autoridades concernidas no adoptaron las diligencias iniciales mínimas conforme a los estándares señalados, lo cual tuvo un impacto directo sobre la situación de impunidad parcial del caso.</w:t>
            </w:r>
          </w:p>
          <w:p w14:paraId="01F0C047" w14:textId="77777777" w:rsidR="005854AE" w:rsidRDefault="005854AE" w:rsidP="0074049B">
            <w:pPr>
              <w:spacing w:after="0" w:line="240" w:lineRule="auto"/>
              <w:jc w:val="both"/>
              <w:rPr>
                <w:rFonts w:ascii="Calibri Light" w:hAnsi="Calibri Light"/>
                <w:b w:val="0"/>
              </w:rPr>
            </w:pPr>
          </w:p>
          <w:p w14:paraId="0C0D218A" w14:textId="317FBA25" w:rsidR="003504A7" w:rsidRDefault="005854AE" w:rsidP="006E7AC6">
            <w:pPr>
              <w:spacing w:after="0" w:line="240" w:lineRule="auto"/>
              <w:jc w:val="both"/>
              <w:rPr>
                <w:rFonts w:ascii="Calibri Light" w:hAnsi="Calibri Light"/>
                <w:b w:val="0"/>
              </w:rPr>
            </w:pPr>
            <w:r>
              <w:rPr>
                <w:rFonts w:ascii="Calibri Light" w:hAnsi="Calibri Light"/>
                <w:b w:val="0"/>
              </w:rPr>
              <w:t xml:space="preserve">Sobre las acciones posteriores, </w:t>
            </w:r>
            <w:r w:rsidR="003504A7">
              <w:rPr>
                <w:rFonts w:ascii="Calibri Light" w:hAnsi="Calibri Light"/>
                <w:b w:val="0"/>
              </w:rPr>
              <w:t>la CIDH abord</w:t>
            </w:r>
            <w:r w:rsidR="006E7AC6">
              <w:rPr>
                <w:rFonts w:ascii="Calibri Light" w:hAnsi="Calibri Light"/>
                <w:b w:val="0"/>
              </w:rPr>
              <w:t>ó</w:t>
            </w:r>
            <w:r w:rsidR="003504A7">
              <w:rPr>
                <w:rFonts w:ascii="Calibri Light" w:hAnsi="Calibri Light"/>
                <w:b w:val="0"/>
              </w:rPr>
              <w:t xml:space="preserve"> dos </w:t>
            </w:r>
            <w:r w:rsidR="00747A37">
              <w:rPr>
                <w:rFonts w:ascii="Calibri Light" w:hAnsi="Calibri Light"/>
                <w:b w:val="0"/>
              </w:rPr>
              <w:t>aspectos</w:t>
            </w:r>
            <w:r w:rsidR="003504A7">
              <w:rPr>
                <w:rFonts w:ascii="Calibri Light" w:hAnsi="Calibri Light"/>
                <w:b w:val="0"/>
              </w:rPr>
              <w:t xml:space="preserve">: </w:t>
            </w:r>
            <w:r w:rsidR="006E7AC6">
              <w:rPr>
                <w:rFonts w:ascii="Calibri Light" w:hAnsi="Calibri Light"/>
                <w:b w:val="0"/>
              </w:rPr>
              <w:t>i</w:t>
            </w:r>
            <w:r w:rsidR="003504A7">
              <w:rPr>
                <w:rFonts w:ascii="Calibri Light" w:hAnsi="Calibri Light"/>
                <w:b w:val="0"/>
              </w:rPr>
              <w:t xml:space="preserve">) la falta de líneas lógicas y oportunas de investigación sobre la posible participación directa de agentes estatales, y </w:t>
            </w:r>
            <w:r w:rsidR="006E7AC6">
              <w:rPr>
                <w:rFonts w:ascii="Calibri Light" w:hAnsi="Calibri Light"/>
                <w:b w:val="0"/>
              </w:rPr>
              <w:t>ii</w:t>
            </w:r>
            <w:r w:rsidR="003504A7">
              <w:rPr>
                <w:rFonts w:ascii="Calibri Light" w:hAnsi="Calibri Light"/>
                <w:b w:val="0"/>
              </w:rPr>
              <w:t>) la falta de diligencia y obstáculos en las investigaciones.</w:t>
            </w:r>
            <w:r w:rsidR="006E7AC6">
              <w:rPr>
                <w:rFonts w:ascii="Calibri Light" w:hAnsi="Calibri Light"/>
                <w:b w:val="0"/>
              </w:rPr>
              <w:t xml:space="preserve"> En relación al primer punto, </w:t>
            </w:r>
            <w:r w:rsidR="00D70388">
              <w:rPr>
                <w:rFonts w:ascii="Calibri Light" w:hAnsi="Calibri Light"/>
                <w:b w:val="0"/>
              </w:rPr>
              <w:t xml:space="preserve">la CIDH </w:t>
            </w:r>
            <w:r w:rsidR="000C1B45">
              <w:rPr>
                <w:rFonts w:ascii="Calibri Light" w:hAnsi="Calibri Light"/>
                <w:b w:val="0"/>
              </w:rPr>
              <w:t>recordó</w:t>
            </w:r>
            <w:r w:rsidR="00D70388">
              <w:rPr>
                <w:rFonts w:ascii="Calibri Light" w:hAnsi="Calibri Light"/>
                <w:b w:val="0"/>
              </w:rPr>
              <w:t xml:space="preserve"> que </w:t>
            </w:r>
            <w:r w:rsidR="00C73A67">
              <w:rPr>
                <w:rFonts w:ascii="Calibri Light" w:hAnsi="Calibri Light"/>
                <w:b w:val="0"/>
              </w:rPr>
              <w:t xml:space="preserve">el deber de investigar no se restringe al conocimiento de la escena y circunstancias que rodearon los hechos, sino que resulta necesario conocer las estructuras de poder que avalaron el suceso, así como los grupos o personas que podrían beneficiarse de forma directa de lo acontecido, sobre todo en casos </w:t>
            </w:r>
            <w:r w:rsidR="006E7AC6">
              <w:rPr>
                <w:rFonts w:ascii="Calibri Light" w:hAnsi="Calibri Light"/>
                <w:b w:val="0"/>
              </w:rPr>
              <w:t xml:space="preserve">de defensores de derechos humanos, </w:t>
            </w:r>
            <w:r w:rsidR="00C73A67">
              <w:rPr>
                <w:rFonts w:ascii="Calibri Light" w:hAnsi="Calibri Light"/>
                <w:b w:val="0"/>
              </w:rPr>
              <w:t>como el señor Escaleras.</w:t>
            </w:r>
          </w:p>
          <w:p w14:paraId="6ECC5205" w14:textId="77777777" w:rsidR="00C73A67" w:rsidRDefault="00C73A67" w:rsidP="0074049B">
            <w:pPr>
              <w:spacing w:after="0" w:line="240" w:lineRule="auto"/>
              <w:jc w:val="both"/>
              <w:rPr>
                <w:rFonts w:ascii="Calibri Light" w:hAnsi="Calibri Light"/>
                <w:b w:val="0"/>
              </w:rPr>
            </w:pPr>
          </w:p>
          <w:p w14:paraId="2F738511" w14:textId="77777777" w:rsidR="00C73A67" w:rsidRDefault="00C73A67" w:rsidP="0074049B">
            <w:pPr>
              <w:spacing w:after="0" w:line="240" w:lineRule="auto"/>
              <w:jc w:val="both"/>
              <w:rPr>
                <w:rFonts w:ascii="Calibri Light" w:hAnsi="Calibri Light"/>
                <w:b w:val="0"/>
              </w:rPr>
            </w:pPr>
            <w:r>
              <w:rPr>
                <w:rFonts w:ascii="Calibri Light" w:hAnsi="Calibri Light"/>
                <w:b w:val="0"/>
              </w:rPr>
              <w:t>Así, aunque las declaraciones iniciales señalaron a varios políticos, a un importante empresario e incluso a un agente estatal como personas vinculadas a la muerte del señor Escaleras, en el desarrollo de las investigaciones todos ellos fueron descartados como posibles autores intelectuales del delito, desechando las causas en su contra o sencillamente sin llevar a cabo ninguna diligencia para determinar su responsabilidad penal.</w:t>
            </w:r>
          </w:p>
          <w:p w14:paraId="7DC4A015" w14:textId="77777777" w:rsidR="00C73A67" w:rsidRDefault="00C73A67" w:rsidP="0074049B">
            <w:pPr>
              <w:spacing w:after="0" w:line="240" w:lineRule="auto"/>
              <w:jc w:val="both"/>
              <w:rPr>
                <w:rFonts w:ascii="Calibri Light" w:hAnsi="Calibri Light"/>
                <w:b w:val="0"/>
              </w:rPr>
            </w:pPr>
          </w:p>
          <w:p w14:paraId="111410B6" w14:textId="3013EC0B" w:rsidR="005D3A59" w:rsidRDefault="00FE3134" w:rsidP="0074049B">
            <w:pPr>
              <w:spacing w:after="0" w:line="240" w:lineRule="auto"/>
              <w:jc w:val="both"/>
              <w:rPr>
                <w:rFonts w:ascii="Calibri Light" w:hAnsi="Calibri Light"/>
                <w:b w:val="0"/>
              </w:rPr>
            </w:pPr>
            <w:r>
              <w:rPr>
                <w:rFonts w:ascii="Calibri Light" w:hAnsi="Calibri Light"/>
                <w:b w:val="0"/>
              </w:rPr>
              <w:t xml:space="preserve">Respecto al </w:t>
            </w:r>
            <w:r w:rsidR="006E7AC6">
              <w:rPr>
                <w:rFonts w:ascii="Calibri Light" w:hAnsi="Calibri Light"/>
                <w:b w:val="0"/>
              </w:rPr>
              <w:t>segundo punto</w:t>
            </w:r>
            <w:r>
              <w:rPr>
                <w:rFonts w:ascii="Calibri Light" w:hAnsi="Calibri Light"/>
                <w:b w:val="0"/>
              </w:rPr>
              <w:t>, la CIDH incid</w:t>
            </w:r>
            <w:r w:rsidR="006E7AC6">
              <w:rPr>
                <w:rFonts w:ascii="Calibri Light" w:hAnsi="Calibri Light"/>
                <w:b w:val="0"/>
              </w:rPr>
              <w:t>ió</w:t>
            </w:r>
            <w:r>
              <w:rPr>
                <w:rFonts w:ascii="Calibri Light" w:hAnsi="Calibri Light"/>
                <w:b w:val="0"/>
              </w:rPr>
              <w:t xml:space="preserve"> sobre al menos tres elementos no analizados en la investigación: </w:t>
            </w:r>
            <w:r w:rsidR="006E7AC6">
              <w:rPr>
                <w:rFonts w:ascii="Calibri Light" w:hAnsi="Calibri Light"/>
                <w:b w:val="0"/>
              </w:rPr>
              <w:t xml:space="preserve">i) </w:t>
            </w:r>
            <w:r>
              <w:rPr>
                <w:rFonts w:ascii="Calibri Light" w:hAnsi="Calibri Light"/>
                <w:b w:val="0"/>
              </w:rPr>
              <w:t>las declaraciones que señalaban a Miguel Facussé</w:t>
            </w:r>
            <w:r w:rsidR="006B2FB6">
              <w:rPr>
                <w:rFonts w:ascii="Calibri Light" w:hAnsi="Calibri Light"/>
                <w:b w:val="0"/>
              </w:rPr>
              <w:t xml:space="preserve"> como autor intelectual del caso</w:t>
            </w:r>
            <w:r w:rsidR="006E7AC6">
              <w:rPr>
                <w:rFonts w:ascii="Calibri Light" w:hAnsi="Calibri Light"/>
                <w:b w:val="0"/>
              </w:rPr>
              <w:t>; ii)</w:t>
            </w:r>
            <w:r>
              <w:rPr>
                <w:rFonts w:ascii="Calibri Light" w:hAnsi="Calibri Light"/>
                <w:b w:val="0"/>
              </w:rPr>
              <w:t xml:space="preserve"> </w:t>
            </w:r>
            <w:r w:rsidR="006B2FB6">
              <w:rPr>
                <w:rFonts w:ascii="Calibri Light" w:hAnsi="Calibri Light"/>
                <w:b w:val="0"/>
              </w:rPr>
              <w:t>la libreta decomisada de la casa de Oscar Sosa en la que se haría referencia al planeamiento de la muerte del señor Escaleras</w:t>
            </w:r>
            <w:r w:rsidR="006E7AC6">
              <w:rPr>
                <w:rFonts w:ascii="Calibri Light" w:hAnsi="Calibri Light"/>
                <w:b w:val="0"/>
              </w:rPr>
              <w:t>;</w:t>
            </w:r>
            <w:r w:rsidR="006B2FB6">
              <w:rPr>
                <w:rFonts w:ascii="Calibri Light" w:hAnsi="Calibri Light"/>
                <w:b w:val="0"/>
              </w:rPr>
              <w:t xml:space="preserve"> </w:t>
            </w:r>
            <w:r w:rsidR="005D3A59">
              <w:rPr>
                <w:rFonts w:ascii="Calibri Light" w:hAnsi="Calibri Light"/>
                <w:b w:val="0"/>
              </w:rPr>
              <w:t xml:space="preserve">y </w:t>
            </w:r>
            <w:r w:rsidR="006E7AC6">
              <w:rPr>
                <w:rFonts w:ascii="Calibri Light" w:hAnsi="Calibri Light"/>
                <w:b w:val="0"/>
              </w:rPr>
              <w:t xml:space="preserve">iii) </w:t>
            </w:r>
            <w:r w:rsidR="005D3A59">
              <w:rPr>
                <w:rFonts w:ascii="Calibri Light" w:hAnsi="Calibri Light"/>
                <w:b w:val="0"/>
              </w:rPr>
              <w:t xml:space="preserve">la declaración de una persona que habría confesado su participación en el asesinato. </w:t>
            </w:r>
            <w:r w:rsidR="00747A37">
              <w:rPr>
                <w:rFonts w:ascii="Calibri Light" w:hAnsi="Calibri Light"/>
                <w:b w:val="0"/>
              </w:rPr>
              <w:t>El no considerar</w:t>
            </w:r>
            <w:r w:rsidR="005D3A59">
              <w:rPr>
                <w:rFonts w:ascii="Calibri Light" w:hAnsi="Calibri Light"/>
                <w:b w:val="0"/>
              </w:rPr>
              <w:t xml:space="preserve"> estos elementos llevó a la falta de exploración de líneas lógicas de investigación</w:t>
            </w:r>
            <w:r w:rsidR="00747A37">
              <w:rPr>
                <w:rFonts w:ascii="Calibri Light" w:hAnsi="Calibri Light"/>
                <w:b w:val="0"/>
              </w:rPr>
              <w:t>,</w:t>
            </w:r>
            <w:r w:rsidR="005D3A59">
              <w:rPr>
                <w:rFonts w:ascii="Calibri Light" w:hAnsi="Calibri Light"/>
                <w:b w:val="0"/>
              </w:rPr>
              <w:t xml:space="preserve"> que no fueron adecuadamente descartadas.</w:t>
            </w:r>
            <w:r w:rsidR="00D91A05">
              <w:rPr>
                <w:rFonts w:ascii="Calibri Light" w:hAnsi="Calibri Light"/>
                <w:b w:val="0"/>
              </w:rPr>
              <w:t xml:space="preserve"> </w:t>
            </w:r>
            <w:r w:rsidR="0074049B">
              <w:rPr>
                <w:rFonts w:ascii="Calibri Light" w:hAnsi="Calibri Light"/>
                <w:b w:val="0"/>
              </w:rPr>
              <w:t xml:space="preserve">Asimismo, el constante cambio de fiscales del caso, la destitución del fiscal </w:t>
            </w:r>
            <w:r w:rsidR="0074049B" w:rsidRPr="00747A37">
              <w:rPr>
                <w:rFonts w:ascii="Calibri Light" w:hAnsi="Calibri Light"/>
                <w:b w:val="0"/>
                <w:i/>
              </w:rPr>
              <w:t>ad hoc</w:t>
            </w:r>
            <w:r w:rsidR="0074049B">
              <w:rPr>
                <w:rFonts w:ascii="Calibri Light" w:hAnsi="Calibri Light"/>
                <w:b w:val="0"/>
              </w:rPr>
              <w:t xml:space="preserve"> designado, la falta de cuidado sobre la seguridad de las personas que participaron del proceso, las amenazas a testigos, y el propio reconocimiento realizado por el Estado sobre las fallas en la investigación, </w:t>
            </w:r>
            <w:r w:rsidR="00BA3BDA">
              <w:rPr>
                <w:rFonts w:ascii="Calibri Light" w:hAnsi="Calibri Light"/>
                <w:b w:val="0"/>
              </w:rPr>
              <w:t>lleva</w:t>
            </w:r>
            <w:r w:rsidR="00747A37">
              <w:rPr>
                <w:rFonts w:ascii="Calibri Light" w:hAnsi="Calibri Light"/>
                <w:b w:val="0"/>
              </w:rPr>
              <w:t>ro</w:t>
            </w:r>
            <w:r w:rsidR="00BA3BDA">
              <w:rPr>
                <w:rFonts w:ascii="Calibri Light" w:hAnsi="Calibri Light"/>
                <w:b w:val="0"/>
              </w:rPr>
              <w:t>n a concluir que el Estado incumplió con su deber de esclarecer lo ocurrido.</w:t>
            </w:r>
          </w:p>
          <w:p w14:paraId="49D1C5EC" w14:textId="77777777" w:rsidR="00BA3BDA" w:rsidRDefault="00BA3BDA" w:rsidP="0074049B">
            <w:pPr>
              <w:spacing w:after="0" w:line="240" w:lineRule="auto"/>
              <w:jc w:val="both"/>
              <w:rPr>
                <w:rFonts w:ascii="Calibri Light" w:hAnsi="Calibri Light"/>
                <w:b w:val="0"/>
              </w:rPr>
            </w:pPr>
          </w:p>
          <w:p w14:paraId="0FA2C43B" w14:textId="11A20BB3" w:rsidR="00BA3BDA" w:rsidRPr="00747A37" w:rsidRDefault="00BA3BDA" w:rsidP="00747A37">
            <w:pPr>
              <w:pStyle w:val="ListParagraph"/>
              <w:numPr>
                <w:ilvl w:val="0"/>
                <w:numId w:val="13"/>
              </w:numPr>
              <w:spacing w:after="0" w:line="240" w:lineRule="auto"/>
              <w:jc w:val="both"/>
              <w:rPr>
                <w:rFonts w:ascii="Calibri Light" w:hAnsi="Calibri Light"/>
              </w:rPr>
            </w:pPr>
            <w:r w:rsidRPr="00747A37">
              <w:rPr>
                <w:rFonts w:ascii="Calibri Light" w:hAnsi="Calibri Light"/>
              </w:rPr>
              <w:t>Plazo razonable</w:t>
            </w:r>
          </w:p>
          <w:p w14:paraId="724EC893" w14:textId="77777777" w:rsidR="00BA3BDA" w:rsidRDefault="00BA3BDA" w:rsidP="0074049B">
            <w:pPr>
              <w:spacing w:after="0" w:line="240" w:lineRule="auto"/>
              <w:jc w:val="both"/>
              <w:rPr>
                <w:rFonts w:ascii="Calibri Light" w:hAnsi="Calibri Light"/>
                <w:b w:val="0"/>
              </w:rPr>
            </w:pPr>
          </w:p>
          <w:p w14:paraId="537191A2" w14:textId="260DAC9E" w:rsidR="00062356" w:rsidRDefault="00CF34C4" w:rsidP="0074049B">
            <w:pPr>
              <w:spacing w:after="0" w:line="240" w:lineRule="auto"/>
              <w:jc w:val="both"/>
              <w:rPr>
                <w:rFonts w:ascii="Calibri Light" w:hAnsi="Calibri Light"/>
                <w:b w:val="0"/>
              </w:rPr>
            </w:pPr>
            <w:r>
              <w:rPr>
                <w:rFonts w:ascii="Calibri Light" w:hAnsi="Calibri Light"/>
                <w:b w:val="0"/>
              </w:rPr>
              <w:t xml:space="preserve">La CIDH </w:t>
            </w:r>
            <w:r w:rsidR="006E7AC6">
              <w:rPr>
                <w:rFonts w:ascii="Calibri Light" w:hAnsi="Calibri Light"/>
                <w:b w:val="0"/>
              </w:rPr>
              <w:t xml:space="preserve">reiteró los </w:t>
            </w:r>
            <w:r>
              <w:rPr>
                <w:rFonts w:ascii="Calibri Light" w:hAnsi="Calibri Light"/>
                <w:b w:val="0"/>
              </w:rPr>
              <w:t>cuatro elementos para evaluar la razonabi</w:t>
            </w:r>
            <w:r w:rsidR="00747A37">
              <w:rPr>
                <w:rFonts w:ascii="Calibri Light" w:hAnsi="Calibri Light"/>
                <w:b w:val="0"/>
              </w:rPr>
              <w:t>lidad del plazo de un proceso: i) la complejidad del asunto, ii</w:t>
            </w:r>
            <w:r>
              <w:rPr>
                <w:rFonts w:ascii="Calibri Light" w:hAnsi="Calibri Light"/>
                <w:b w:val="0"/>
              </w:rPr>
              <w:t>) la acti</w:t>
            </w:r>
            <w:r w:rsidR="00747A37">
              <w:rPr>
                <w:rFonts w:ascii="Calibri Light" w:hAnsi="Calibri Light"/>
                <w:b w:val="0"/>
              </w:rPr>
              <w:t>vidad procesal del interesado, iii</w:t>
            </w:r>
            <w:r>
              <w:rPr>
                <w:rFonts w:ascii="Calibri Light" w:hAnsi="Calibri Light"/>
                <w:b w:val="0"/>
              </w:rPr>
              <w:t>) la conducta de las autoridades judiciales,</w:t>
            </w:r>
            <w:r w:rsidR="00747A37">
              <w:rPr>
                <w:rFonts w:ascii="Calibri Light" w:hAnsi="Calibri Light"/>
                <w:b w:val="0"/>
              </w:rPr>
              <w:t xml:space="preserve"> y iv</w:t>
            </w:r>
            <w:r>
              <w:rPr>
                <w:rFonts w:ascii="Calibri Light" w:hAnsi="Calibri Light"/>
                <w:b w:val="0"/>
              </w:rPr>
              <w:t>) la afectación generada en la situación jurídica de la persona involucrada en el proceso.</w:t>
            </w:r>
            <w:r w:rsidR="006E7AC6" w:rsidDel="006E7AC6">
              <w:rPr>
                <w:rFonts w:ascii="Calibri Light" w:hAnsi="Calibri Light"/>
                <w:b w:val="0"/>
              </w:rPr>
              <w:t xml:space="preserve"> </w:t>
            </w:r>
            <w:r w:rsidR="006E7AC6">
              <w:rPr>
                <w:rFonts w:ascii="Calibri Light" w:hAnsi="Calibri Light"/>
                <w:b w:val="0"/>
              </w:rPr>
              <w:t xml:space="preserve"> </w:t>
            </w:r>
            <w:r w:rsidR="00062356">
              <w:rPr>
                <w:rFonts w:ascii="Calibri Light" w:hAnsi="Calibri Light"/>
                <w:b w:val="0"/>
              </w:rPr>
              <w:t>Respecto a</w:t>
            </w:r>
            <w:r w:rsidR="00782355">
              <w:rPr>
                <w:rFonts w:ascii="Calibri Light" w:hAnsi="Calibri Light"/>
                <w:b w:val="0"/>
              </w:rPr>
              <w:t>l primer elemento</w:t>
            </w:r>
            <w:r w:rsidR="00062356">
              <w:rPr>
                <w:rFonts w:ascii="Calibri Light" w:hAnsi="Calibri Light"/>
                <w:b w:val="0"/>
              </w:rPr>
              <w:t>, la CIDH señaló que el retardo en el desarrollo de la investigación no puede justificarse cuando hay individualización de posibles autores, c</w:t>
            </w:r>
            <w:r w:rsidR="00747A37">
              <w:rPr>
                <w:rFonts w:ascii="Calibri Light" w:hAnsi="Calibri Light"/>
                <w:b w:val="0"/>
              </w:rPr>
              <w:t>onsta la existencia de testigos</w:t>
            </w:r>
            <w:r w:rsidR="00062356">
              <w:rPr>
                <w:rFonts w:ascii="Calibri Light" w:hAnsi="Calibri Light"/>
                <w:b w:val="0"/>
              </w:rPr>
              <w:t xml:space="preserve"> y existen posibles líneas de investigación</w:t>
            </w:r>
            <w:r w:rsidR="006E7AC6">
              <w:rPr>
                <w:rFonts w:ascii="Calibri Light" w:hAnsi="Calibri Light"/>
                <w:b w:val="0"/>
              </w:rPr>
              <w:t>.</w:t>
            </w:r>
            <w:r w:rsidR="00062356">
              <w:rPr>
                <w:rFonts w:ascii="Calibri Light" w:hAnsi="Calibri Light"/>
                <w:b w:val="0"/>
              </w:rPr>
              <w:t xml:space="preserve"> </w:t>
            </w:r>
            <w:r w:rsidR="006E7AC6">
              <w:rPr>
                <w:rFonts w:ascii="Calibri Light" w:hAnsi="Calibri Light"/>
                <w:b w:val="0"/>
              </w:rPr>
              <w:t>A</w:t>
            </w:r>
            <w:r w:rsidR="00062356">
              <w:rPr>
                <w:rFonts w:ascii="Calibri Light" w:hAnsi="Calibri Light"/>
                <w:b w:val="0"/>
              </w:rPr>
              <w:t>sí, descart</w:t>
            </w:r>
            <w:r w:rsidR="006E7AC6">
              <w:rPr>
                <w:rFonts w:ascii="Calibri Light" w:hAnsi="Calibri Light"/>
                <w:b w:val="0"/>
              </w:rPr>
              <w:t>ó</w:t>
            </w:r>
            <w:r w:rsidR="00062356">
              <w:rPr>
                <w:rFonts w:ascii="Calibri Light" w:hAnsi="Calibri Light"/>
                <w:b w:val="0"/>
              </w:rPr>
              <w:t xml:space="preserve"> la alegación del Estado sobre este primer elemento. Respecto</w:t>
            </w:r>
            <w:r w:rsidR="00782355">
              <w:rPr>
                <w:rFonts w:ascii="Calibri Light" w:hAnsi="Calibri Light"/>
                <w:b w:val="0"/>
              </w:rPr>
              <w:t xml:space="preserve"> al segundo elemento</w:t>
            </w:r>
            <w:r w:rsidR="00062356">
              <w:rPr>
                <w:rFonts w:ascii="Calibri Light" w:hAnsi="Calibri Light"/>
                <w:b w:val="0"/>
              </w:rPr>
              <w:t xml:space="preserve">, notó que tanto los familiares como sus representantes contribuyeron al desarrollo del proceso de forma </w:t>
            </w:r>
            <w:r w:rsidR="00062356">
              <w:rPr>
                <w:rFonts w:ascii="Calibri Light" w:hAnsi="Calibri Light"/>
                <w:b w:val="0"/>
              </w:rPr>
              <w:lastRenderedPageBreak/>
              <w:t>continua.</w:t>
            </w:r>
          </w:p>
          <w:p w14:paraId="46ECD2C9" w14:textId="77777777" w:rsidR="00062356" w:rsidRDefault="00062356" w:rsidP="0074049B">
            <w:pPr>
              <w:spacing w:after="0" w:line="240" w:lineRule="auto"/>
              <w:jc w:val="both"/>
              <w:rPr>
                <w:rFonts w:ascii="Calibri Light" w:hAnsi="Calibri Light"/>
                <w:b w:val="0"/>
              </w:rPr>
            </w:pPr>
          </w:p>
          <w:p w14:paraId="6EA7D5D8" w14:textId="0A2E4801" w:rsidR="006E41F7" w:rsidRDefault="00062356" w:rsidP="0074049B">
            <w:pPr>
              <w:spacing w:after="0" w:line="240" w:lineRule="auto"/>
              <w:jc w:val="both"/>
              <w:rPr>
                <w:rFonts w:ascii="Calibri Light" w:hAnsi="Calibri Light"/>
              </w:rPr>
            </w:pPr>
            <w:r>
              <w:rPr>
                <w:rFonts w:ascii="Calibri Light" w:hAnsi="Calibri Light"/>
                <w:b w:val="0"/>
              </w:rPr>
              <w:t xml:space="preserve">Sobre el tercer elemento, </w:t>
            </w:r>
            <w:r w:rsidR="006E7AC6">
              <w:rPr>
                <w:rFonts w:ascii="Calibri Light" w:hAnsi="Calibri Light"/>
                <w:b w:val="0"/>
              </w:rPr>
              <w:t>tomó</w:t>
            </w:r>
            <w:r>
              <w:rPr>
                <w:rFonts w:ascii="Calibri Light" w:hAnsi="Calibri Light"/>
                <w:b w:val="0"/>
              </w:rPr>
              <w:t xml:space="preserve"> nota </w:t>
            </w:r>
            <w:r w:rsidR="00B327A4">
              <w:rPr>
                <w:rFonts w:ascii="Calibri Light" w:hAnsi="Calibri Light"/>
                <w:b w:val="0"/>
              </w:rPr>
              <w:t xml:space="preserve">de los retrasos, deficiencias, irregularidades y obstaculizaciones </w:t>
            </w:r>
            <w:r w:rsidR="00AE1433">
              <w:rPr>
                <w:rFonts w:ascii="Calibri Light" w:hAnsi="Calibri Light"/>
                <w:b w:val="0"/>
              </w:rPr>
              <w:t>por parte de las autoridades encargadas del caso</w:t>
            </w:r>
            <w:r w:rsidR="00747A37">
              <w:rPr>
                <w:rFonts w:ascii="Calibri Light" w:hAnsi="Calibri Light"/>
                <w:b w:val="0"/>
              </w:rPr>
              <w:t xml:space="preserve">. En ese sentido, evidenció </w:t>
            </w:r>
            <w:r w:rsidR="0013769B">
              <w:rPr>
                <w:rFonts w:ascii="Calibri Light" w:hAnsi="Calibri Light"/>
                <w:b w:val="0"/>
              </w:rPr>
              <w:t xml:space="preserve"> </w:t>
            </w:r>
            <w:r w:rsidR="00747A37">
              <w:rPr>
                <w:rFonts w:ascii="Calibri Light" w:hAnsi="Calibri Light"/>
                <w:b w:val="0"/>
              </w:rPr>
              <w:t xml:space="preserve">que la investigación estuvo detenida por </w:t>
            </w:r>
            <w:r w:rsidR="002800FE">
              <w:rPr>
                <w:rFonts w:ascii="Calibri Light" w:hAnsi="Calibri Light"/>
                <w:b w:val="0"/>
              </w:rPr>
              <w:t>varios años la investigación</w:t>
            </w:r>
            <w:r w:rsidR="00AE1433">
              <w:rPr>
                <w:rFonts w:ascii="Calibri Light" w:hAnsi="Calibri Light"/>
                <w:b w:val="0"/>
              </w:rPr>
              <w:t>. Finalmente, r</w:t>
            </w:r>
            <w:r w:rsidR="002800FE">
              <w:rPr>
                <w:rFonts w:ascii="Calibri Light" w:hAnsi="Calibri Light"/>
                <w:b w:val="0"/>
              </w:rPr>
              <w:t>especto al cuarto elemento</w:t>
            </w:r>
            <w:r w:rsidR="00AE1433">
              <w:rPr>
                <w:rFonts w:ascii="Calibri Light" w:hAnsi="Calibri Light"/>
                <w:b w:val="0"/>
              </w:rPr>
              <w:t>, la CIDH consider</w:t>
            </w:r>
            <w:r w:rsidR="006E7AC6">
              <w:rPr>
                <w:rFonts w:ascii="Calibri Light" w:hAnsi="Calibri Light"/>
                <w:b w:val="0"/>
              </w:rPr>
              <w:t>ó</w:t>
            </w:r>
            <w:r w:rsidR="00AE1433">
              <w:rPr>
                <w:rFonts w:ascii="Calibri Light" w:hAnsi="Calibri Light"/>
                <w:b w:val="0"/>
              </w:rPr>
              <w:t xml:space="preserve"> que la situación de impunidad ha</w:t>
            </w:r>
            <w:r w:rsidR="006E7AC6">
              <w:rPr>
                <w:rFonts w:ascii="Calibri Light" w:hAnsi="Calibri Light"/>
                <w:b w:val="0"/>
              </w:rPr>
              <w:t>bía</w:t>
            </w:r>
            <w:r w:rsidR="00E67535">
              <w:rPr>
                <w:rFonts w:ascii="Calibri Light" w:hAnsi="Calibri Light"/>
                <w:b w:val="0"/>
              </w:rPr>
              <w:t xml:space="preserve"> generado daños en los f</w:t>
            </w:r>
            <w:r w:rsidR="00791DA2">
              <w:rPr>
                <w:rFonts w:ascii="Calibri Light" w:hAnsi="Calibri Light"/>
                <w:b w:val="0"/>
              </w:rPr>
              <w:t xml:space="preserve">amiliares del señor Escaleras por la falta de esclarecimiento de los hechos, </w:t>
            </w:r>
            <w:r w:rsidR="00AE1433">
              <w:rPr>
                <w:rFonts w:ascii="Calibri Light" w:hAnsi="Calibri Light"/>
                <w:b w:val="0"/>
              </w:rPr>
              <w:t xml:space="preserve"> así como un efecto amedrentador sobre otros defensores y defensoras de derechos humanos. </w:t>
            </w:r>
            <w:r w:rsidR="006E7AC6">
              <w:rPr>
                <w:rFonts w:ascii="Calibri Light" w:hAnsi="Calibri Light"/>
                <w:b w:val="0"/>
              </w:rPr>
              <w:t>En base a estas consideraciones</w:t>
            </w:r>
            <w:r w:rsidR="00AE1433">
              <w:rPr>
                <w:rFonts w:ascii="Calibri Light" w:hAnsi="Calibri Light"/>
                <w:b w:val="0"/>
              </w:rPr>
              <w:t xml:space="preserve">, </w:t>
            </w:r>
            <w:r w:rsidR="006E7AC6">
              <w:rPr>
                <w:rFonts w:ascii="Calibri Light" w:hAnsi="Calibri Light"/>
                <w:b w:val="0"/>
              </w:rPr>
              <w:t xml:space="preserve">señaló que </w:t>
            </w:r>
            <w:r w:rsidR="00AE1433">
              <w:rPr>
                <w:rFonts w:ascii="Calibri Light" w:hAnsi="Calibri Light"/>
                <w:b w:val="0"/>
              </w:rPr>
              <w:t xml:space="preserve">el lapso de 17 años de duración del proceso no </w:t>
            </w:r>
            <w:r w:rsidR="006E7AC6">
              <w:rPr>
                <w:rFonts w:ascii="Calibri Light" w:hAnsi="Calibri Light"/>
                <w:b w:val="0"/>
              </w:rPr>
              <w:t xml:space="preserve">era </w:t>
            </w:r>
            <w:r w:rsidR="00AE1433">
              <w:rPr>
                <w:rFonts w:ascii="Calibri Light" w:hAnsi="Calibri Light"/>
                <w:b w:val="0"/>
              </w:rPr>
              <w:t>razonable</w:t>
            </w:r>
            <w:r w:rsidR="00EF13ED">
              <w:rPr>
                <w:rFonts w:ascii="Calibri Light" w:hAnsi="Calibri Light"/>
                <w:b w:val="0"/>
              </w:rPr>
              <w:t xml:space="preserve"> y, a su vez, constituye una denegación de justicia para los familiares</w:t>
            </w:r>
            <w:r w:rsidR="00AE1433">
              <w:rPr>
                <w:rFonts w:ascii="Calibri Light" w:hAnsi="Calibri Light"/>
                <w:b w:val="0"/>
              </w:rPr>
              <w:t>.</w:t>
            </w:r>
            <w:r w:rsidR="00747A37">
              <w:rPr>
                <w:rFonts w:ascii="Calibri Light" w:hAnsi="Calibri Light"/>
                <w:b w:val="0"/>
              </w:rPr>
              <w:t xml:space="preserve"> </w:t>
            </w:r>
            <w:r w:rsidR="00AE1433">
              <w:rPr>
                <w:rFonts w:ascii="Calibri Light" w:hAnsi="Calibri Light"/>
                <w:b w:val="0"/>
              </w:rPr>
              <w:t>Por lo expuesto, la CIDH declar</w:t>
            </w:r>
            <w:r w:rsidR="006E7AC6">
              <w:rPr>
                <w:rFonts w:ascii="Calibri Light" w:hAnsi="Calibri Light"/>
                <w:b w:val="0"/>
              </w:rPr>
              <w:t>ó</w:t>
            </w:r>
            <w:r w:rsidR="00AE1433">
              <w:rPr>
                <w:rFonts w:ascii="Calibri Light" w:hAnsi="Calibri Light"/>
                <w:b w:val="0"/>
              </w:rPr>
              <w:t xml:space="preserve"> la violación por parte del Estado de Honduras de los artículos 8.1 y 25.1 de la CADH, en relación con el artículo 1.1, en perjuicio de los familiares del señor Escaleras.</w:t>
            </w:r>
          </w:p>
          <w:p w14:paraId="37C3A84B" w14:textId="77777777" w:rsidR="006E41F7" w:rsidRDefault="006E41F7" w:rsidP="0074049B">
            <w:pPr>
              <w:spacing w:after="0" w:line="240" w:lineRule="auto"/>
              <w:jc w:val="both"/>
              <w:rPr>
                <w:rFonts w:ascii="Calibri Light" w:hAnsi="Calibri Light"/>
              </w:rPr>
            </w:pPr>
          </w:p>
          <w:p w14:paraId="681C2394" w14:textId="77777777" w:rsidR="006E41F7" w:rsidRPr="005570E1" w:rsidRDefault="006E41F7" w:rsidP="005570E1">
            <w:pPr>
              <w:spacing w:after="0" w:line="240" w:lineRule="auto"/>
              <w:jc w:val="both"/>
              <w:rPr>
                <w:rFonts w:ascii="Calibri Light" w:hAnsi="Calibri Light"/>
              </w:rPr>
            </w:pPr>
            <w:r w:rsidRPr="005570E1">
              <w:rPr>
                <w:rFonts w:ascii="Calibri Light" w:hAnsi="Calibri Light"/>
              </w:rPr>
              <w:t>Derecho a la vida (artículo 4 de la CADH)</w:t>
            </w:r>
          </w:p>
          <w:p w14:paraId="1A8DD8E8" w14:textId="77777777" w:rsidR="006E41F7" w:rsidRDefault="006E41F7" w:rsidP="0074049B">
            <w:pPr>
              <w:spacing w:after="0" w:line="240" w:lineRule="auto"/>
              <w:jc w:val="both"/>
              <w:rPr>
                <w:rFonts w:ascii="Calibri Light" w:hAnsi="Calibri Light"/>
              </w:rPr>
            </w:pPr>
          </w:p>
          <w:p w14:paraId="4EC70496" w14:textId="45C550D9" w:rsidR="00792141" w:rsidRDefault="006B59D9" w:rsidP="0074049B">
            <w:pPr>
              <w:spacing w:after="0" w:line="240" w:lineRule="auto"/>
              <w:jc w:val="both"/>
              <w:rPr>
                <w:rFonts w:ascii="Calibri Light" w:hAnsi="Calibri Light"/>
                <w:b w:val="0"/>
              </w:rPr>
            </w:pPr>
            <w:r>
              <w:rPr>
                <w:rFonts w:ascii="Calibri Light" w:hAnsi="Calibri Light"/>
                <w:b w:val="0"/>
              </w:rPr>
              <w:t>La Corte IDH ha establecido</w:t>
            </w:r>
            <w:r w:rsidR="006A0A64">
              <w:rPr>
                <w:rFonts w:ascii="Calibri Light" w:hAnsi="Calibri Light"/>
                <w:b w:val="0"/>
              </w:rPr>
              <w:t xml:space="preserve"> que el</w:t>
            </w:r>
            <w:r>
              <w:rPr>
                <w:rFonts w:ascii="Calibri Light" w:hAnsi="Calibri Light"/>
                <w:b w:val="0"/>
              </w:rPr>
              <w:t xml:space="preserve"> derecho a la vida resulta esencial para la realización de </w:t>
            </w:r>
            <w:r w:rsidR="006A0A64">
              <w:rPr>
                <w:rFonts w:ascii="Calibri Light" w:hAnsi="Calibri Light"/>
                <w:b w:val="0"/>
              </w:rPr>
              <w:t xml:space="preserve">otros </w:t>
            </w:r>
            <w:r>
              <w:rPr>
                <w:rFonts w:ascii="Calibri Light" w:hAnsi="Calibri Light"/>
                <w:b w:val="0"/>
              </w:rPr>
              <w:t xml:space="preserve"> derechos. Su garantía y protección no implica solo no privar a las personas de su vida arbitrariamente, sino además toma</w:t>
            </w:r>
            <w:r w:rsidR="002D2CD2">
              <w:rPr>
                <w:rFonts w:ascii="Calibri Light" w:hAnsi="Calibri Light"/>
                <w:b w:val="0"/>
              </w:rPr>
              <w:t>r</w:t>
            </w:r>
            <w:r>
              <w:rPr>
                <w:rFonts w:ascii="Calibri Light" w:hAnsi="Calibri Light"/>
                <w:b w:val="0"/>
              </w:rPr>
              <w:t xml:space="preserve"> medidas para proteger y preservar </w:t>
            </w:r>
            <w:r w:rsidR="006A0A64">
              <w:rPr>
                <w:rFonts w:ascii="Calibri Light" w:hAnsi="Calibri Light"/>
                <w:b w:val="0"/>
              </w:rPr>
              <w:t xml:space="preserve">este derecho. </w:t>
            </w:r>
          </w:p>
          <w:p w14:paraId="4407D332" w14:textId="77777777" w:rsidR="00CD1CE6" w:rsidRDefault="00CD1CE6" w:rsidP="0074049B">
            <w:pPr>
              <w:spacing w:after="0" w:line="240" w:lineRule="auto"/>
              <w:jc w:val="both"/>
              <w:rPr>
                <w:rFonts w:ascii="Calibri Light" w:hAnsi="Calibri Light"/>
                <w:b w:val="0"/>
              </w:rPr>
            </w:pPr>
          </w:p>
          <w:p w14:paraId="7B3E03CC" w14:textId="0AF7F073" w:rsidR="00CD1CE6" w:rsidRPr="006A0A64" w:rsidRDefault="00CD1CE6" w:rsidP="006A0A64">
            <w:pPr>
              <w:pStyle w:val="ListParagraph"/>
              <w:numPr>
                <w:ilvl w:val="0"/>
                <w:numId w:val="14"/>
              </w:numPr>
              <w:spacing w:after="0" w:line="240" w:lineRule="auto"/>
              <w:jc w:val="both"/>
              <w:rPr>
                <w:rFonts w:ascii="Calibri Light" w:hAnsi="Calibri Light"/>
              </w:rPr>
            </w:pPr>
            <w:r w:rsidRPr="006A0A64">
              <w:rPr>
                <w:rFonts w:ascii="Calibri Light" w:hAnsi="Calibri Light"/>
              </w:rPr>
              <w:t>El deber de prevención del Estado</w:t>
            </w:r>
          </w:p>
          <w:p w14:paraId="152492C3" w14:textId="77777777" w:rsidR="00CD1CE6" w:rsidRDefault="00CD1CE6" w:rsidP="0074049B">
            <w:pPr>
              <w:spacing w:after="0" w:line="240" w:lineRule="auto"/>
              <w:jc w:val="both"/>
              <w:rPr>
                <w:rFonts w:ascii="Calibri Light" w:hAnsi="Calibri Light"/>
              </w:rPr>
            </w:pPr>
          </w:p>
          <w:p w14:paraId="2E0877F8" w14:textId="0E7CC2D1" w:rsidR="00CD1CE6" w:rsidRDefault="008838EF" w:rsidP="0074049B">
            <w:pPr>
              <w:spacing w:after="0" w:line="240" w:lineRule="auto"/>
              <w:jc w:val="both"/>
              <w:rPr>
                <w:rFonts w:ascii="Calibri Light" w:hAnsi="Calibri Light"/>
                <w:b w:val="0"/>
              </w:rPr>
            </w:pPr>
            <w:r>
              <w:rPr>
                <w:rFonts w:ascii="Calibri Light" w:hAnsi="Calibri Light"/>
                <w:b w:val="0"/>
              </w:rPr>
              <w:t>La</w:t>
            </w:r>
            <w:r w:rsidR="00B3622F">
              <w:rPr>
                <w:rFonts w:ascii="Calibri Light" w:hAnsi="Calibri Light"/>
                <w:b w:val="0"/>
              </w:rPr>
              <w:t xml:space="preserve"> Corte IDH </w:t>
            </w:r>
            <w:r w:rsidR="002D2CD2">
              <w:rPr>
                <w:rFonts w:ascii="Calibri Light" w:hAnsi="Calibri Light"/>
                <w:b w:val="0"/>
              </w:rPr>
              <w:t xml:space="preserve">ha reconocido </w:t>
            </w:r>
            <w:r w:rsidR="00B3622F">
              <w:rPr>
                <w:rFonts w:ascii="Calibri Light" w:hAnsi="Calibri Light"/>
                <w:b w:val="0"/>
              </w:rPr>
              <w:t xml:space="preserve">que </w:t>
            </w:r>
            <w:r w:rsidR="006A0A64">
              <w:rPr>
                <w:rFonts w:ascii="Calibri Light" w:hAnsi="Calibri Light"/>
                <w:b w:val="0"/>
              </w:rPr>
              <w:t>el esta obligación</w:t>
            </w:r>
            <w:r w:rsidR="00B3622F">
              <w:rPr>
                <w:rFonts w:ascii="Calibri Light" w:hAnsi="Calibri Light"/>
                <w:b w:val="0"/>
              </w:rPr>
              <w:t xml:space="preserve"> no implica una carga ilimitada para los Estados</w:t>
            </w:r>
            <w:r>
              <w:rPr>
                <w:rFonts w:ascii="Calibri Light" w:hAnsi="Calibri Light"/>
                <w:b w:val="0"/>
              </w:rPr>
              <w:t xml:space="preserve"> frente a cualquier acto o hecho de particulares</w:t>
            </w:r>
            <w:r w:rsidR="00B3622F">
              <w:rPr>
                <w:rFonts w:ascii="Calibri Light" w:hAnsi="Calibri Light"/>
                <w:b w:val="0"/>
              </w:rPr>
              <w:t xml:space="preserve">, </w:t>
            </w:r>
            <w:r>
              <w:rPr>
                <w:rFonts w:ascii="Calibri Light" w:hAnsi="Calibri Light"/>
                <w:b w:val="0"/>
              </w:rPr>
              <w:t>por lo que sus deberes de adoptar medidas de prevención y protección de los particulares en sus relaciones entre sí se encuentran condicionados al cono</w:t>
            </w:r>
            <w:r w:rsidR="006D61F1">
              <w:rPr>
                <w:rFonts w:ascii="Calibri Light" w:hAnsi="Calibri Light"/>
                <w:b w:val="0"/>
              </w:rPr>
              <w:t xml:space="preserve">cimiento de una situación de </w:t>
            </w:r>
            <w:r w:rsidR="006D61F1" w:rsidRPr="006A0A64">
              <w:rPr>
                <w:rFonts w:ascii="Calibri Light" w:hAnsi="Calibri Light"/>
                <w:b w:val="0"/>
              </w:rPr>
              <w:t>riesgo real e inmediato</w:t>
            </w:r>
            <w:r w:rsidR="006D61F1">
              <w:rPr>
                <w:rFonts w:ascii="Calibri Light" w:hAnsi="Calibri Light"/>
                <w:b w:val="0"/>
              </w:rPr>
              <w:t xml:space="preserve"> para una persona o grupo de personas</w:t>
            </w:r>
            <w:r>
              <w:rPr>
                <w:rFonts w:ascii="Calibri Light" w:hAnsi="Calibri Light"/>
                <w:b w:val="0"/>
              </w:rPr>
              <w:t xml:space="preserve"> determinado y a las posibilidades razonables </w:t>
            </w:r>
            <w:r w:rsidR="006A0A64">
              <w:rPr>
                <w:rFonts w:ascii="Calibri Light" w:hAnsi="Calibri Light"/>
                <w:b w:val="0"/>
              </w:rPr>
              <w:t xml:space="preserve">del Estado </w:t>
            </w:r>
            <w:r>
              <w:rPr>
                <w:rFonts w:ascii="Calibri Light" w:hAnsi="Calibri Light"/>
                <w:b w:val="0"/>
              </w:rPr>
              <w:t>de prevenir o evitar ese riesgo</w:t>
            </w:r>
            <w:r w:rsidR="00324E7E">
              <w:rPr>
                <w:rFonts w:ascii="Calibri Light" w:hAnsi="Calibri Light"/>
                <w:b w:val="0"/>
              </w:rPr>
              <w:t>.</w:t>
            </w:r>
            <w:r w:rsidR="00436211">
              <w:rPr>
                <w:rFonts w:ascii="Calibri Light" w:hAnsi="Calibri Light"/>
                <w:b w:val="0"/>
              </w:rPr>
              <w:t xml:space="preserve"> </w:t>
            </w:r>
            <w:r w:rsidR="006D61F1">
              <w:rPr>
                <w:rFonts w:ascii="Calibri Light" w:hAnsi="Calibri Light"/>
                <w:b w:val="0"/>
              </w:rPr>
              <w:t>En el caso del señor Escaleras, la CIDH consider</w:t>
            </w:r>
            <w:r w:rsidR="002D2CD2">
              <w:rPr>
                <w:rFonts w:ascii="Calibri Light" w:hAnsi="Calibri Light"/>
                <w:b w:val="0"/>
              </w:rPr>
              <w:t>ó</w:t>
            </w:r>
            <w:r w:rsidR="006D61F1">
              <w:rPr>
                <w:rFonts w:ascii="Calibri Light" w:hAnsi="Calibri Light"/>
                <w:b w:val="0"/>
              </w:rPr>
              <w:t xml:space="preserve"> que tres elementos demostrarían una falta al d</w:t>
            </w:r>
            <w:r w:rsidR="006A0A64">
              <w:rPr>
                <w:rFonts w:ascii="Calibri Light" w:hAnsi="Calibri Light"/>
                <w:b w:val="0"/>
              </w:rPr>
              <w:t>eber de prevención del Estado: i</w:t>
            </w:r>
            <w:r w:rsidR="006D61F1">
              <w:rPr>
                <w:rFonts w:ascii="Calibri Light" w:hAnsi="Calibri Light"/>
                <w:b w:val="0"/>
              </w:rPr>
              <w:t>) la posición del señor Escaleras como defensor de derechos humano</w:t>
            </w:r>
            <w:r w:rsidR="006A0A64">
              <w:rPr>
                <w:rFonts w:ascii="Calibri Light" w:hAnsi="Calibri Light"/>
                <w:b w:val="0"/>
              </w:rPr>
              <w:t>s en su región era reconocida; ii</w:t>
            </w:r>
            <w:r w:rsidR="006D61F1">
              <w:rPr>
                <w:rFonts w:ascii="Calibri Light" w:hAnsi="Calibri Light"/>
                <w:b w:val="0"/>
              </w:rPr>
              <w:t>) al momento del asesinato del señor Escaleras, existía en Honduras un contexto general de violencia contra d</w:t>
            </w:r>
            <w:r w:rsidR="006A0A64">
              <w:rPr>
                <w:rFonts w:ascii="Calibri Light" w:hAnsi="Calibri Light"/>
                <w:b w:val="0"/>
              </w:rPr>
              <w:t>efensores del medioambiente; y iii</w:t>
            </w:r>
            <w:r w:rsidR="006D61F1">
              <w:rPr>
                <w:rFonts w:ascii="Calibri Light" w:hAnsi="Calibri Light"/>
                <w:b w:val="0"/>
              </w:rPr>
              <w:t xml:space="preserve">) las amenazas y presiones de las que fue víctima el señor Escaleras antes de su muerte. </w:t>
            </w:r>
            <w:r w:rsidR="006A0A64">
              <w:rPr>
                <w:rFonts w:ascii="Calibri Light" w:hAnsi="Calibri Light"/>
                <w:b w:val="0"/>
              </w:rPr>
              <w:t>No obstante,</w:t>
            </w:r>
            <w:r w:rsidR="000450F7">
              <w:rPr>
                <w:rFonts w:ascii="Calibri Light" w:hAnsi="Calibri Light"/>
                <w:b w:val="0"/>
              </w:rPr>
              <w:t xml:space="preserve"> dicho incumplimiento general así como la falta de denuncia de las amenazas en perjuicio del señor Escaleras ante autoridades estatales, </w:t>
            </w:r>
            <w:r w:rsidR="008617F6">
              <w:rPr>
                <w:rFonts w:ascii="Calibri Light" w:hAnsi="Calibri Light"/>
                <w:b w:val="0"/>
              </w:rPr>
              <w:t>no pueden constituir la base de atribución de responsabil</w:t>
            </w:r>
            <w:r w:rsidR="00266241">
              <w:rPr>
                <w:rFonts w:ascii="Calibri Light" w:hAnsi="Calibri Light"/>
                <w:b w:val="0"/>
              </w:rPr>
              <w:t>idad internacional al Estado</w:t>
            </w:r>
            <w:r w:rsidR="006A0A64">
              <w:rPr>
                <w:rFonts w:ascii="Calibri Light" w:hAnsi="Calibri Light"/>
                <w:b w:val="0"/>
              </w:rPr>
              <w:t xml:space="preserve"> por el incumplimiento de este deber. A</w:t>
            </w:r>
            <w:r w:rsidR="00B70C1F">
              <w:rPr>
                <w:rFonts w:ascii="Calibri Light" w:hAnsi="Calibri Light"/>
                <w:b w:val="0"/>
              </w:rPr>
              <w:t xml:space="preserve"> pesar de ello,</w:t>
            </w:r>
            <w:r w:rsidR="008617F6">
              <w:rPr>
                <w:rFonts w:ascii="Calibri Light" w:hAnsi="Calibri Light"/>
                <w:b w:val="0"/>
              </w:rPr>
              <w:t xml:space="preserve"> conden</w:t>
            </w:r>
            <w:r w:rsidR="00641324">
              <w:rPr>
                <w:rFonts w:ascii="Calibri Light" w:hAnsi="Calibri Light"/>
                <w:b w:val="0"/>
              </w:rPr>
              <w:t>ó</w:t>
            </w:r>
            <w:r w:rsidR="008617F6">
              <w:rPr>
                <w:rFonts w:ascii="Calibri Light" w:hAnsi="Calibri Light"/>
                <w:b w:val="0"/>
              </w:rPr>
              <w:t xml:space="preserve"> la falta de adopción de un esquema de prevención integral para defensores y defensoras ambientalistas en el contexto señalado.</w:t>
            </w:r>
          </w:p>
          <w:p w14:paraId="15EF2862" w14:textId="77777777" w:rsidR="008617F6" w:rsidRDefault="008617F6" w:rsidP="0074049B">
            <w:pPr>
              <w:spacing w:after="0" w:line="240" w:lineRule="auto"/>
              <w:jc w:val="both"/>
              <w:rPr>
                <w:rFonts w:ascii="Calibri Light" w:hAnsi="Calibri Light"/>
                <w:b w:val="0"/>
              </w:rPr>
            </w:pPr>
          </w:p>
          <w:p w14:paraId="12ECEF6D" w14:textId="5E0DFA7C" w:rsidR="008617F6" w:rsidRPr="006A0A64" w:rsidRDefault="008617F6" w:rsidP="006A0A64">
            <w:pPr>
              <w:pStyle w:val="ListParagraph"/>
              <w:numPr>
                <w:ilvl w:val="0"/>
                <w:numId w:val="14"/>
              </w:numPr>
              <w:spacing w:after="0" w:line="240" w:lineRule="auto"/>
              <w:jc w:val="both"/>
              <w:rPr>
                <w:rFonts w:ascii="Calibri Light" w:hAnsi="Calibri Light"/>
              </w:rPr>
            </w:pPr>
            <w:r w:rsidRPr="006A0A64">
              <w:rPr>
                <w:rFonts w:ascii="Calibri Light" w:hAnsi="Calibri Light"/>
              </w:rPr>
              <w:t>Los indicios de participación directa e indirecta de agentes estatales</w:t>
            </w:r>
          </w:p>
          <w:p w14:paraId="26A9E870" w14:textId="77777777" w:rsidR="008617F6" w:rsidRDefault="008617F6" w:rsidP="0074049B">
            <w:pPr>
              <w:spacing w:after="0" w:line="240" w:lineRule="auto"/>
              <w:jc w:val="both"/>
              <w:rPr>
                <w:rFonts w:ascii="Calibri Light" w:hAnsi="Calibri Light"/>
              </w:rPr>
            </w:pPr>
          </w:p>
          <w:p w14:paraId="5F46E13C" w14:textId="77777777" w:rsidR="008C04B6" w:rsidRDefault="0041659A" w:rsidP="0074049B">
            <w:pPr>
              <w:spacing w:after="0" w:line="240" w:lineRule="auto"/>
              <w:jc w:val="both"/>
              <w:rPr>
                <w:rFonts w:ascii="Calibri Light" w:hAnsi="Calibri Light"/>
                <w:b w:val="0"/>
              </w:rPr>
            </w:pPr>
            <w:r>
              <w:rPr>
                <w:rFonts w:ascii="Calibri Light" w:hAnsi="Calibri Light"/>
                <w:b w:val="0"/>
              </w:rPr>
              <w:t xml:space="preserve">En los casos de </w:t>
            </w:r>
            <w:r w:rsidR="00FE4F50">
              <w:rPr>
                <w:rFonts w:ascii="Calibri Light" w:hAnsi="Calibri Light"/>
                <w:b w:val="0"/>
              </w:rPr>
              <w:t>ejecuciones extrajudiciales</w:t>
            </w:r>
            <w:r w:rsidR="008D7121">
              <w:rPr>
                <w:rFonts w:ascii="Calibri Light" w:hAnsi="Calibri Light"/>
                <w:b w:val="0"/>
              </w:rPr>
              <w:t>, ilegales, arbitrarias o sumarias</w:t>
            </w:r>
            <w:r w:rsidR="00FE4F50">
              <w:rPr>
                <w:rFonts w:ascii="Calibri Light" w:hAnsi="Calibri Light"/>
                <w:b w:val="0"/>
              </w:rPr>
              <w:t>, l</w:t>
            </w:r>
            <w:r w:rsidR="00335473">
              <w:rPr>
                <w:rFonts w:ascii="Calibri Light" w:hAnsi="Calibri Light"/>
                <w:b w:val="0"/>
              </w:rPr>
              <w:t xml:space="preserve">a Corte IDH ha establecido que </w:t>
            </w:r>
            <w:r w:rsidR="00641324">
              <w:rPr>
                <w:rFonts w:ascii="Calibri Light" w:hAnsi="Calibri Light"/>
                <w:b w:val="0"/>
              </w:rPr>
              <w:t>las autoridades estatales deben</w:t>
            </w:r>
            <w:r w:rsidR="00335473">
              <w:rPr>
                <w:rFonts w:ascii="Calibri Light" w:hAnsi="Calibri Light"/>
                <w:b w:val="0"/>
              </w:rPr>
              <w:t xml:space="preserve"> investigar de forma seria, imparcial y efectiva</w:t>
            </w:r>
            <w:r>
              <w:rPr>
                <w:rFonts w:ascii="Calibri Light" w:hAnsi="Calibri Light"/>
                <w:b w:val="0"/>
              </w:rPr>
              <w:t xml:space="preserve"> </w:t>
            </w:r>
            <w:r w:rsidR="00641324">
              <w:rPr>
                <w:rFonts w:ascii="Calibri Light" w:hAnsi="Calibri Light"/>
                <w:b w:val="0"/>
              </w:rPr>
              <w:t xml:space="preserve">los hechos </w:t>
            </w:r>
            <w:r w:rsidR="00FE4F50">
              <w:rPr>
                <w:rFonts w:ascii="Calibri Light" w:hAnsi="Calibri Light"/>
                <w:b w:val="0"/>
              </w:rPr>
              <w:t>una v</w:t>
            </w:r>
            <w:r w:rsidR="00967073">
              <w:rPr>
                <w:rFonts w:ascii="Calibri Light" w:hAnsi="Calibri Light"/>
                <w:b w:val="0"/>
              </w:rPr>
              <w:t xml:space="preserve">ez tomen conocimiento </w:t>
            </w:r>
            <w:r w:rsidR="00641324">
              <w:rPr>
                <w:rFonts w:ascii="Calibri Light" w:hAnsi="Calibri Light"/>
                <w:b w:val="0"/>
              </w:rPr>
              <w:t>de ellos</w:t>
            </w:r>
            <w:r w:rsidR="00967073">
              <w:rPr>
                <w:rFonts w:ascii="Calibri Light" w:hAnsi="Calibri Light"/>
                <w:b w:val="0"/>
              </w:rPr>
              <w:t>. Dicho deber se ve reforzado cuando existen indicios de participación o aquiescencia de agentes estatales en el hecho, lo cual además brinda la facultad a las autoridades encargadas de aplicar requerimientos específicos para log</w:t>
            </w:r>
            <w:r w:rsidR="004E7938">
              <w:rPr>
                <w:rFonts w:ascii="Calibri Light" w:hAnsi="Calibri Light"/>
                <w:b w:val="0"/>
              </w:rPr>
              <w:t>rar una investigación efectiva y la determinación de las responsabilidades correspondientes.</w:t>
            </w:r>
          </w:p>
          <w:p w14:paraId="3D3B9EC0" w14:textId="77777777" w:rsidR="004E7938" w:rsidRDefault="004E7938" w:rsidP="0074049B">
            <w:pPr>
              <w:spacing w:after="0" w:line="240" w:lineRule="auto"/>
              <w:jc w:val="both"/>
              <w:rPr>
                <w:rFonts w:ascii="Calibri Light" w:hAnsi="Calibri Light"/>
                <w:b w:val="0"/>
              </w:rPr>
            </w:pPr>
          </w:p>
          <w:p w14:paraId="66638C6D" w14:textId="63E30EAB" w:rsidR="00085384" w:rsidRPr="008617F6" w:rsidRDefault="00FE21F8" w:rsidP="0074049B">
            <w:pPr>
              <w:spacing w:after="0" w:line="240" w:lineRule="auto"/>
              <w:jc w:val="both"/>
              <w:rPr>
                <w:rFonts w:ascii="Calibri Light" w:hAnsi="Calibri Light"/>
                <w:b w:val="0"/>
              </w:rPr>
            </w:pPr>
            <w:r>
              <w:rPr>
                <w:rFonts w:ascii="Calibri Light" w:hAnsi="Calibri Light"/>
                <w:b w:val="0"/>
              </w:rPr>
              <w:t xml:space="preserve">Para la CIDH, </w:t>
            </w:r>
            <w:r w:rsidR="00085384">
              <w:rPr>
                <w:rFonts w:ascii="Calibri Light" w:hAnsi="Calibri Light"/>
                <w:b w:val="0"/>
              </w:rPr>
              <w:t>recaía sobre el Estado la obligación de realizar una investigación minuciosa</w:t>
            </w:r>
            <w:r w:rsidR="00641324">
              <w:rPr>
                <w:rFonts w:ascii="Calibri Light" w:hAnsi="Calibri Light"/>
                <w:b w:val="0"/>
              </w:rPr>
              <w:t xml:space="preserve"> sobre la muerte del señor Escaleras</w:t>
            </w:r>
            <w:r w:rsidR="00085384">
              <w:rPr>
                <w:rFonts w:ascii="Calibri Light" w:hAnsi="Calibri Light"/>
                <w:b w:val="0"/>
              </w:rPr>
              <w:t xml:space="preserve">, con especial atención sobre los indicios que apuntaban a la participación o aquiescencia de agentes estatales en el caso. </w:t>
            </w:r>
            <w:r w:rsidR="000F1B48">
              <w:rPr>
                <w:rFonts w:ascii="Calibri Light" w:hAnsi="Calibri Light"/>
                <w:b w:val="0"/>
              </w:rPr>
              <w:t xml:space="preserve">Dado que no se cumplió con las diligencias mínimas para la exploración de las líneas lógicas de investigación por las fallas en el proceso, </w:t>
            </w:r>
            <w:r w:rsidR="00FF3F6D">
              <w:rPr>
                <w:rFonts w:ascii="Calibri Light" w:hAnsi="Calibri Light"/>
                <w:b w:val="0"/>
              </w:rPr>
              <w:t xml:space="preserve">es decir las omisiones, obstaculizaciones e irregularidades, </w:t>
            </w:r>
            <w:r w:rsidR="000F1B48">
              <w:rPr>
                <w:rFonts w:ascii="Calibri Light" w:hAnsi="Calibri Light"/>
                <w:b w:val="0"/>
              </w:rPr>
              <w:t>la CIDH consider</w:t>
            </w:r>
            <w:r w:rsidR="00641324">
              <w:rPr>
                <w:rFonts w:ascii="Calibri Light" w:hAnsi="Calibri Light"/>
                <w:b w:val="0"/>
              </w:rPr>
              <w:t>ó</w:t>
            </w:r>
            <w:r w:rsidR="000B1E9E">
              <w:rPr>
                <w:rFonts w:ascii="Calibri Light" w:hAnsi="Calibri Light"/>
                <w:b w:val="0"/>
              </w:rPr>
              <w:t xml:space="preserve"> que no se analizó</w:t>
            </w:r>
            <w:r w:rsidR="000F1B48">
              <w:rPr>
                <w:rFonts w:ascii="Calibri Light" w:hAnsi="Calibri Light"/>
                <w:b w:val="0"/>
              </w:rPr>
              <w:t xml:space="preserve"> con seriedad la posible participación de al menos tres autoridades estatales en el </w:t>
            </w:r>
            <w:r w:rsidR="000F1B48">
              <w:rPr>
                <w:rFonts w:ascii="Calibri Light" w:hAnsi="Calibri Light"/>
                <w:b w:val="0"/>
              </w:rPr>
              <w:lastRenderedPageBreak/>
              <w:t>asesinato del señor Escaleras.</w:t>
            </w:r>
            <w:r w:rsidR="00EE04CB">
              <w:rPr>
                <w:rFonts w:ascii="Calibri Light" w:hAnsi="Calibri Light"/>
                <w:b w:val="0"/>
              </w:rPr>
              <w:t xml:space="preserve"> </w:t>
            </w:r>
            <w:r w:rsidR="00641324">
              <w:rPr>
                <w:rFonts w:ascii="Calibri Light" w:hAnsi="Calibri Light"/>
                <w:b w:val="0"/>
              </w:rPr>
              <w:t>Siguiendo lo establecido por</w:t>
            </w:r>
            <w:r w:rsidR="00085384">
              <w:rPr>
                <w:rFonts w:ascii="Calibri Light" w:hAnsi="Calibri Light"/>
                <w:b w:val="0"/>
              </w:rPr>
              <w:t xml:space="preserve"> la Corte IDH en el caso </w:t>
            </w:r>
            <w:r w:rsidR="00085384" w:rsidRPr="00085384">
              <w:rPr>
                <w:rFonts w:ascii="Calibri Light" w:hAnsi="Calibri Light"/>
                <w:b w:val="0"/>
                <w:i/>
              </w:rPr>
              <w:t>Kawas Fernández vs. Honduras</w:t>
            </w:r>
            <w:r w:rsidR="00085384">
              <w:rPr>
                <w:rFonts w:ascii="Calibri Light" w:hAnsi="Calibri Light"/>
                <w:b w:val="0"/>
              </w:rPr>
              <w:t xml:space="preserve">, </w:t>
            </w:r>
            <w:r w:rsidR="00A049FB">
              <w:rPr>
                <w:rFonts w:ascii="Calibri Light" w:hAnsi="Calibri Light"/>
                <w:b w:val="0"/>
              </w:rPr>
              <w:t>la CIDH decid</w:t>
            </w:r>
            <w:r w:rsidR="00641324">
              <w:rPr>
                <w:rFonts w:ascii="Calibri Light" w:hAnsi="Calibri Light"/>
                <w:b w:val="0"/>
              </w:rPr>
              <w:t>ió</w:t>
            </w:r>
            <w:r w:rsidR="00A049FB">
              <w:rPr>
                <w:rFonts w:ascii="Calibri Light" w:hAnsi="Calibri Light"/>
                <w:b w:val="0"/>
              </w:rPr>
              <w:t xml:space="preserve"> que deb</w:t>
            </w:r>
            <w:r w:rsidR="00641324">
              <w:rPr>
                <w:rFonts w:ascii="Calibri Light" w:hAnsi="Calibri Light"/>
                <w:b w:val="0"/>
              </w:rPr>
              <w:t>ía</w:t>
            </w:r>
            <w:r w:rsidR="00A049FB">
              <w:rPr>
                <w:rFonts w:ascii="Calibri Light" w:hAnsi="Calibri Light"/>
                <w:b w:val="0"/>
              </w:rPr>
              <w:t xml:space="preserve"> otorgarse valor probatorio a aquellos indicios que apuntaran a la participación o aquiescencia de autoridades estatales en la muerte del señor Escaleras, sobre todo aquellos que no fueron desvirtuados por el Estado, para determinar la responsabilidad internacional</w:t>
            </w:r>
            <w:r w:rsidR="0052008E">
              <w:rPr>
                <w:rFonts w:ascii="Calibri Light" w:hAnsi="Calibri Light"/>
                <w:b w:val="0"/>
              </w:rPr>
              <w:t>.</w:t>
            </w:r>
            <w:r w:rsidR="00EE04CB">
              <w:rPr>
                <w:rFonts w:ascii="Calibri Light" w:hAnsi="Calibri Light"/>
                <w:b w:val="0"/>
              </w:rPr>
              <w:t xml:space="preserve"> </w:t>
            </w:r>
            <w:r w:rsidR="00495A0A">
              <w:rPr>
                <w:rFonts w:ascii="Calibri Light" w:hAnsi="Calibri Light"/>
                <w:b w:val="0"/>
              </w:rPr>
              <w:t>Por lo expuesto, la CIDH declar</w:t>
            </w:r>
            <w:r w:rsidR="00641324">
              <w:rPr>
                <w:rFonts w:ascii="Calibri Light" w:hAnsi="Calibri Light"/>
                <w:b w:val="0"/>
              </w:rPr>
              <w:t>ó</w:t>
            </w:r>
            <w:r w:rsidR="00495A0A">
              <w:rPr>
                <w:rFonts w:ascii="Calibri Light" w:hAnsi="Calibri Light"/>
                <w:b w:val="0"/>
              </w:rPr>
              <w:t xml:space="preserve"> la violación por parte del Estado hondureño del artículo 4.1 de la CADH, en relación con el artículo 1.1, en perjuicio de</w:t>
            </w:r>
            <w:r w:rsidR="00641324">
              <w:rPr>
                <w:rFonts w:ascii="Calibri Light" w:hAnsi="Calibri Light"/>
                <w:b w:val="0"/>
              </w:rPr>
              <w:t>l señor</w:t>
            </w:r>
            <w:r w:rsidR="00495A0A">
              <w:rPr>
                <w:rFonts w:ascii="Calibri Light" w:hAnsi="Calibri Light"/>
                <w:b w:val="0"/>
              </w:rPr>
              <w:t xml:space="preserve"> Escaleras.</w:t>
            </w:r>
          </w:p>
          <w:p w14:paraId="140F10C2" w14:textId="77777777" w:rsidR="006E41F7" w:rsidRDefault="006E41F7" w:rsidP="0074049B">
            <w:pPr>
              <w:spacing w:after="0" w:line="240" w:lineRule="auto"/>
              <w:jc w:val="both"/>
              <w:rPr>
                <w:rFonts w:ascii="Calibri Light" w:hAnsi="Calibri Light"/>
              </w:rPr>
            </w:pPr>
          </w:p>
          <w:p w14:paraId="2102B02E" w14:textId="77777777" w:rsidR="006E41F7" w:rsidRPr="005570E1" w:rsidRDefault="006E41F7" w:rsidP="005570E1">
            <w:pPr>
              <w:spacing w:after="0" w:line="240" w:lineRule="auto"/>
              <w:jc w:val="both"/>
              <w:rPr>
                <w:rFonts w:ascii="Calibri Light" w:hAnsi="Calibri Light"/>
              </w:rPr>
            </w:pPr>
            <w:r w:rsidRPr="005570E1">
              <w:rPr>
                <w:rFonts w:ascii="Calibri Light" w:hAnsi="Calibri Light"/>
              </w:rPr>
              <w:t>Derecho a la libertad de asociación y derechos políticos (artículos 16 y 23 de la CADH)</w:t>
            </w:r>
          </w:p>
          <w:p w14:paraId="7F2D960B" w14:textId="77777777" w:rsidR="00D07E91" w:rsidRDefault="00D07E91" w:rsidP="0074049B">
            <w:pPr>
              <w:spacing w:after="0" w:line="240" w:lineRule="auto"/>
              <w:jc w:val="both"/>
              <w:rPr>
                <w:rFonts w:ascii="Calibri Light" w:hAnsi="Calibri Light"/>
              </w:rPr>
            </w:pPr>
          </w:p>
          <w:p w14:paraId="462F39EC" w14:textId="7008EE59" w:rsidR="00972D23" w:rsidRDefault="00641324" w:rsidP="0074049B">
            <w:pPr>
              <w:spacing w:after="0" w:line="240" w:lineRule="auto"/>
              <w:jc w:val="both"/>
              <w:rPr>
                <w:rFonts w:ascii="Calibri Light" w:hAnsi="Calibri Light"/>
                <w:b w:val="0"/>
              </w:rPr>
            </w:pPr>
            <w:r>
              <w:rPr>
                <w:rFonts w:ascii="Calibri Light" w:hAnsi="Calibri Light"/>
                <w:b w:val="0"/>
              </w:rPr>
              <w:t>La</w:t>
            </w:r>
            <w:r w:rsidR="009D4129">
              <w:rPr>
                <w:rFonts w:ascii="Calibri Light" w:hAnsi="Calibri Light"/>
                <w:b w:val="0"/>
              </w:rPr>
              <w:t xml:space="preserve"> CIDH </w:t>
            </w:r>
            <w:r>
              <w:rPr>
                <w:rFonts w:ascii="Calibri Light" w:hAnsi="Calibri Light"/>
                <w:b w:val="0"/>
              </w:rPr>
              <w:t xml:space="preserve">recordó </w:t>
            </w:r>
            <w:r w:rsidR="009D4129">
              <w:rPr>
                <w:rFonts w:ascii="Calibri Light" w:hAnsi="Calibri Light"/>
                <w:b w:val="0"/>
              </w:rPr>
              <w:t>que</w:t>
            </w:r>
            <w:r>
              <w:rPr>
                <w:rFonts w:ascii="Calibri Light" w:hAnsi="Calibri Light"/>
                <w:b w:val="0"/>
              </w:rPr>
              <w:t xml:space="preserve"> el derecho a la libertad de asociación</w:t>
            </w:r>
            <w:r w:rsidR="00EE04CB">
              <w:rPr>
                <w:rFonts w:ascii="Calibri Light" w:hAnsi="Calibri Light"/>
                <w:b w:val="0"/>
              </w:rPr>
              <w:t xml:space="preserve"> tiene dos dimensiones: </w:t>
            </w:r>
            <w:r w:rsidR="009D4129">
              <w:rPr>
                <w:rFonts w:ascii="Calibri Light" w:hAnsi="Calibri Light"/>
                <w:b w:val="0"/>
              </w:rPr>
              <w:t>una individual, que protege la libertad de asociarse con otras personas libremente, sin la injerencia de autoridades públicas que limiten o entorpezc</w:t>
            </w:r>
            <w:r w:rsidR="00EE04CB">
              <w:rPr>
                <w:rFonts w:ascii="Calibri Light" w:hAnsi="Calibri Light"/>
                <w:b w:val="0"/>
              </w:rPr>
              <w:t>an el ejercicio de este derecho;</w:t>
            </w:r>
            <w:r w:rsidR="009D4129">
              <w:rPr>
                <w:rFonts w:ascii="Calibri Light" w:hAnsi="Calibri Light"/>
                <w:b w:val="0"/>
              </w:rPr>
              <w:t xml:space="preserve"> y una colectiva, que tutela la libertad de asociarse para alcanzar fines lícitos, sin presiones o intromisiones que puedan afectar o alterar dichos fines.</w:t>
            </w:r>
            <w:r w:rsidR="00644993">
              <w:rPr>
                <w:rFonts w:ascii="Calibri Light" w:hAnsi="Calibri Light"/>
                <w:b w:val="0"/>
              </w:rPr>
              <w:t xml:space="preserve"> </w:t>
            </w:r>
            <w:r w:rsidR="006137A9">
              <w:rPr>
                <w:rFonts w:ascii="Calibri Light" w:hAnsi="Calibri Light"/>
                <w:b w:val="0"/>
              </w:rPr>
              <w:t>La Corte IDH ha detallado que este derecho solo puede ser ejercido en un contexto en que se respeten y garanticen los derechos humanos fundamentales, sobre todo el derecho a la vida y a la seguridad de la persona.</w:t>
            </w:r>
            <w:r w:rsidR="00EE04CB">
              <w:rPr>
                <w:rFonts w:ascii="Calibri Light" w:hAnsi="Calibri Light"/>
                <w:b w:val="0"/>
              </w:rPr>
              <w:t xml:space="preserve"> </w:t>
            </w:r>
            <w:r w:rsidR="00D61744">
              <w:rPr>
                <w:rFonts w:ascii="Calibri Light" w:hAnsi="Calibri Light"/>
                <w:b w:val="0"/>
              </w:rPr>
              <w:t xml:space="preserve">Asimismo, la CIDH </w:t>
            </w:r>
            <w:r>
              <w:rPr>
                <w:rFonts w:ascii="Calibri Light" w:hAnsi="Calibri Light"/>
                <w:b w:val="0"/>
              </w:rPr>
              <w:t xml:space="preserve">reiteró </w:t>
            </w:r>
            <w:r w:rsidR="00D61744">
              <w:rPr>
                <w:rFonts w:ascii="Calibri Light" w:hAnsi="Calibri Light"/>
                <w:b w:val="0"/>
              </w:rPr>
              <w:t>que existe una conexión entre las actividades de defensa de derechos humanos y el derecho a la libertad de asociación. En ese sentido, los Estados deben facilitar los medios necesarios para que los defensores y defensoras de derechos humanos puedan desarrollar sus ac</w:t>
            </w:r>
            <w:r w:rsidR="002C44EA">
              <w:rPr>
                <w:rFonts w:ascii="Calibri Light" w:hAnsi="Calibri Light"/>
                <w:b w:val="0"/>
              </w:rPr>
              <w:t>tividades con libertad</w:t>
            </w:r>
            <w:r w:rsidR="00EE04CB">
              <w:rPr>
                <w:rFonts w:ascii="Calibri Light" w:hAnsi="Calibri Light"/>
                <w:b w:val="0"/>
              </w:rPr>
              <w:t>. Igualmente, deben</w:t>
            </w:r>
            <w:r w:rsidR="002C44EA">
              <w:rPr>
                <w:rFonts w:ascii="Calibri Light" w:hAnsi="Calibri Light"/>
                <w:b w:val="0"/>
              </w:rPr>
              <w:t xml:space="preserve"> </w:t>
            </w:r>
            <w:r w:rsidR="00172722">
              <w:rPr>
                <w:rFonts w:ascii="Calibri Light" w:hAnsi="Calibri Light"/>
                <w:b w:val="0"/>
              </w:rPr>
              <w:t xml:space="preserve">abstenerse de imponer obstáculos </w:t>
            </w:r>
            <w:r w:rsidR="00762C75">
              <w:rPr>
                <w:rFonts w:ascii="Calibri Light" w:hAnsi="Calibri Light"/>
                <w:b w:val="0"/>
              </w:rPr>
              <w:t>que dificulten la realización de su labor, e investigar seri</w:t>
            </w:r>
            <w:r w:rsidR="00A6112A">
              <w:rPr>
                <w:rFonts w:ascii="Calibri Light" w:hAnsi="Calibri Light"/>
                <w:b w:val="0"/>
              </w:rPr>
              <w:t>a</w:t>
            </w:r>
            <w:r w:rsidR="00762C75">
              <w:rPr>
                <w:rFonts w:ascii="Calibri Light" w:hAnsi="Calibri Light"/>
                <w:b w:val="0"/>
              </w:rPr>
              <w:t xml:space="preserve"> y eficazmente cualquier violación de derechos humanos cometida en su contra.</w:t>
            </w:r>
          </w:p>
          <w:p w14:paraId="1CCDDB0B" w14:textId="77777777" w:rsidR="00762C75" w:rsidRDefault="00762C75" w:rsidP="0074049B">
            <w:pPr>
              <w:spacing w:after="0" w:line="240" w:lineRule="auto"/>
              <w:jc w:val="both"/>
              <w:rPr>
                <w:rFonts w:ascii="Calibri Light" w:hAnsi="Calibri Light"/>
                <w:b w:val="0"/>
              </w:rPr>
            </w:pPr>
          </w:p>
          <w:p w14:paraId="2058F357" w14:textId="76F38526" w:rsidR="00762C75" w:rsidRDefault="00D904E9" w:rsidP="0074049B">
            <w:pPr>
              <w:spacing w:after="0" w:line="240" w:lineRule="auto"/>
              <w:jc w:val="both"/>
              <w:rPr>
                <w:rFonts w:ascii="Calibri Light" w:hAnsi="Calibri Light"/>
                <w:b w:val="0"/>
              </w:rPr>
            </w:pPr>
            <w:r>
              <w:rPr>
                <w:rFonts w:ascii="Calibri Light" w:hAnsi="Calibri Light"/>
                <w:b w:val="0"/>
              </w:rPr>
              <w:t>En atención a estos estándares, la CIDH consider</w:t>
            </w:r>
            <w:r w:rsidR="00C10AC1">
              <w:rPr>
                <w:rFonts w:ascii="Calibri Light" w:hAnsi="Calibri Light"/>
                <w:b w:val="0"/>
              </w:rPr>
              <w:t>ó</w:t>
            </w:r>
            <w:r>
              <w:rPr>
                <w:rFonts w:ascii="Calibri Light" w:hAnsi="Calibri Light"/>
                <w:b w:val="0"/>
              </w:rPr>
              <w:t xml:space="preserve"> que al no investigar seria y eficazmente el asesinato </w:t>
            </w:r>
            <w:r w:rsidR="00C10AC1">
              <w:rPr>
                <w:rFonts w:ascii="Calibri Light" w:hAnsi="Calibri Light"/>
                <w:b w:val="0"/>
              </w:rPr>
              <w:t xml:space="preserve">del señor </w:t>
            </w:r>
            <w:r>
              <w:rPr>
                <w:rFonts w:ascii="Calibri Light" w:hAnsi="Calibri Light"/>
                <w:b w:val="0"/>
              </w:rPr>
              <w:t xml:space="preserve">Escaleras, el Estado vulneró su libertad de asociación, sobre todo tomando en cuenta </w:t>
            </w:r>
            <w:r w:rsidR="00577555">
              <w:rPr>
                <w:rFonts w:ascii="Calibri Light" w:hAnsi="Calibri Light"/>
                <w:b w:val="0"/>
              </w:rPr>
              <w:t xml:space="preserve">la debilitación </w:t>
            </w:r>
            <w:r w:rsidR="00EE04CB">
              <w:rPr>
                <w:rFonts w:ascii="Calibri Light" w:hAnsi="Calibri Light"/>
                <w:b w:val="0"/>
              </w:rPr>
              <w:t xml:space="preserve">tras su muerte </w:t>
            </w:r>
            <w:r w:rsidR="00577555">
              <w:rPr>
                <w:rFonts w:ascii="Calibri Light" w:hAnsi="Calibri Light"/>
                <w:b w:val="0"/>
              </w:rPr>
              <w:t>de la COPA, organización de la cual e</w:t>
            </w:r>
            <w:r w:rsidR="00EE04CB">
              <w:rPr>
                <w:rFonts w:ascii="Calibri Light" w:hAnsi="Calibri Light"/>
                <w:b w:val="0"/>
              </w:rPr>
              <w:t>l señor Escaleras era dirigente</w:t>
            </w:r>
            <w:r w:rsidR="00577555">
              <w:rPr>
                <w:rFonts w:ascii="Calibri Light" w:hAnsi="Calibri Light"/>
                <w:b w:val="0"/>
              </w:rPr>
              <w:t>. Por ello, declar</w:t>
            </w:r>
            <w:r w:rsidR="00C10AC1">
              <w:rPr>
                <w:rFonts w:ascii="Calibri Light" w:hAnsi="Calibri Light"/>
                <w:b w:val="0"/>
              </w:rPr>
              <w:t>ó</w:t>
            </w:r>
            <w:r w:rsidR="00577555">
              <w:rPr>
                <w:rFonts w:ascii="Calibri Light" w:hAnsi="Calibri Light"/>
                <w:b w:val="0"/>
              </w:rPr>
              <w:t xml:space="preserve"> la violación del artículo 16.1 de la CADH, en relación con el artículo 1.1, en perjuicio </w:t>
            </w:r>
            <w:r w:rsidR="00C10AC1">
              <w:rPr>
                <w:rFonts w:ascii="Calibri Light" w:hAnsi="Calibri Light"/>
                <w:b w:val="0"/>
              </w:rPr>
              <w:t>del señor</w:t>
            </w:r>
            <w:r w:rsidR="00577555">
              <w:rPr>
                <w:rFonts w:ascii="Calibri Light" w:hAnsi="Calibri Light"/>
                <w:b w:val="0"/>
              </w:rPr>
              <w:t xml:space="preserve"> Escaleras.</w:t>
            </w:r>
          </w:p>
          <w:p w14:paraId="0F7C08E1" w14:textId="77777777" w:rsidR="00577555" w:rsidRDefault="00577555" w:rsidP="0074049B">
            <w:pPr>
              <w:spacing w:after="0" w:line="240" w:lineRule="auto"/>
              <w:jc w:val="both"/>
              <w:rPr>
                <w:rFonts w:ascii="Calibri Light" w:hAnsi="Calibri Light"/>
                <w:b w:val="0"/>
              </w:rPr>
            </w:pPr>
          </w:p>
          <w:p w14:paraId="332CC4FD" w14:textId="670646AA" w:rsidR="00D642AB" w:rsidRDefault="00577555" w:rsidP="0074049B">
            <w:pPr>
              <w:spacing w:after="0" w:line="240" w:lineRule="auto"/>
              <w:jc w:val="both"/>
              <w:rPr>
                <w:rFonts w:ascii="Calibri Light" w:hAnsi="Calibri Light"/>
                <w:b w:val="0"/>
              </w:rPr>
            </w:pPr>
            <w:r>
              <w:rPr>
                <w:rFonts w:ascii="Calibri Light" w:hAnsi="Calibri Light"/>
                <w:b w:val="0"/>
              </w:rPr>
              <w:t>Por otro lad</w:t>
            </w:r>
            <w:r w:rsidR="00B66B28">
              <w:rPr>
                <w:rFonts w:ascii="Calibri Light" w:hAnsi="Calibri Light"/>
                <w:b w:val="0"/>
              </w:rPr>
              <w:t xml:space="preserve">o, sobre el derecho a ser elegido en elecciones periódicas auténticas, contenido en el artículo 23.1.b de la CADH, </w:t>
            </w:r>
            <w:r w:rsidR="00C10AC1">
              <w:rPr>
                <w:rFonts w:ascii="Calibri Light" w:hAnsi="Calibri Light"/>
                <w:b w:val="0"/>
              </w:rPr>
              <w:t xml:space="preserve">la CIDH señaló que </w:t>
            </w:r>
            <w:r w:rsidR="004F3FE5">
              <w:rPr>
                <w:rFonts w:ascii="Calibri Light" w:hAnsi="Calibri Light"/>
                <w:b w:val="0"/>
              </w:rPr>
              <w:t>este tutela</w:t>
            </w:r>
            <w:r w:rsidR="00D642AB">
              <w:rPr>
                <w:rFonts w:ascii="Calibri Light" w:hAnsi="Calibri Light"/>
                <w:b w:val="0"/>
              </w:rPr>
              <w:t xml:space="preserve"> la participaci</w:t>
            </w:r>
            <w:r w:rsidR="004F3FE5">
              <w:rPr>
                <w:rFonts w:ascii="Calibri Light" w:hAnsi="Calibri Light"/>
                <w:b w:val="0"/>
              </w:rPr>
              <w:t xml:space="preserve">ón política efectiva, </w:t>
            </w:r>
            <w:r w:rsidR="004F3FE5" w:rsidRPr="00EE04CB">
              <w:rPr>
                <w:rFonts w:asciiTheme="majorHAnsi" w:hAnsiTheme="majorHAnsi"/>
                <w:b w:val="0"/>
              </w:rPr>
              <w:t>que implica que la persona tenga no solo el</w:t>
            </w:r>
            <w:r w:rsidR="00D642AB" w:rsidRPr="00EE04CB">
              <w:rPr>
                <w:rFonts w:asciiTheme="majorHAnsi" w:hAnsiTheme="majorHAnsi"/>
                <w:b w:val="0"/>
              </w:rPr>
              <w:t xml:space="preserve"> derecho,</w:t>
            </w:r>
            <w:r w:rsidR="00D642AB">
              <w:rPr>
                <w:rFonts w:ascii="Calibri Light" w:hAnsi="Calibri Light"/>
                <w:b w:val="0"/>
              </w:rPr>
              <w:t xml:space="preserve"> sino también en la posibilidad de participar en la dirección de los asuntos públicos. El Estado es el responsable de garantizar que dichos derechos puedan ejercerse de forma plena.</w:t>
            </w:r>
            <w:r w:rsidR="00EE04CB">
              <w:rPr>
                <w:rFonts w:ascii="Calibri Light" w:hAnsi="Calibri Light"/>
                <w:b w:val="0"/>
              </w:rPr>
              <w:t xml:space="preserve"> </w:t>
            </w:r>
            <w:r w:rsidR="00DD4F59">
              <w:rPr>
                <w:rFonts w:ascii="Calibri Light" w:hAnsi="Calibri Light"/>
                <w:b w:val="0"/>
              </w:rPr>
              <w:t>De acuerdo a los hechos, el señor Escaleras fue víctima de amenazas y presiones para desistir de su candidatura a la alcaldía de Tocoa por integrantes del Partido Liberal, partido político con el que competía. Según apreci</w:t>
            </w:r>
            <w:r w:rsidR="00C10AC1">
              <w:rPr>
                <w:rFonts w:ascii="Calibri Light" w:hAnsi="Calibri Light"/>
                <w:b w:val="0"/>
              </w:rPr>
              <w:t>ó</w:t>
            </w:r>
            <w:r w:rsidR="00DD4F59">
              <w:rPr>
                <w:rFonts w:ascii="Calibri Light" w:hAnsi="Calibri Light"/>
                <w:b w:val="0"/>
              </w:rPr>
              <w:t xml:space="preserve"> la CIDH, dichas amenazas y presiones</w:t>
            </w:r>
            <w:r w:rsidR="00EE04CB">
              <w:rPr>
                <w:rFonts w:ascii="Calibri Light" w:hAnsi="Calibri Light"/>
                <w:b w:val="0"/>
              </w:rPr>
              <w:t>,</w:t>
            </w:r>
            <w:r w:rsidR="00DD4F59">
              <w:rPr>
                <w:rFonts w:ascii="Calibri Light" w:hAnsi="Calibri Light"/>
                <w:b w:val="0"/>
              </w:rPr>
              <w:t xml:space="preserve"> también relacionadas con su labor como defensor de derechos humanos</w:t>
            </w:r>
            <w:r w:rsidR="00EE04CB">
              <w:rPr>
                <w:rFonts w:ascii="Calibri Light" w:hAnsi="Calibri Light"/>
                <w:b w:val="0"/>
              </w:rPr>
              <w:t>,</w:t>
            </w:r>
            <w:r w:rsidR="00B87736">
              <w:rPr>
                <w:rFonts w:ascii="Calibri Light" w:hAnsi="Calibri Light"/>
                <w:b w:val="0"/>
              </w:rPr>
              <w:t xml:space="preserve"> resultaron en una vulneración de sus derechos políticos por parte del Estado, que luego se </w:t>
            </w:r>
            <w:r w:rsidR="00EE04CB">
              <w:rPr>
                <w:rFonts w:ascii="Calibri Light" w:hAnsi="Calibri Light"/>
                <w:b w:val="0"/>
              </w:rPr>
              <w:t>vio agravada</w:t>
            </w:r>
            <w:r w:rsidR="00B87736">
              <w:rPr>
                <w:rFonts w:ascii="Calibri Light" w:hAnsi="Calibri Light"/>
                <w:b w:val="0"/>
              </w:rPr>
              <w:t xml:space="preserve"> por</w:t>
            </w:r>
            <w:r w:rsidR="00DD4F59">
              <w:rPr>
                <w:rFonts w:ascii="Calibri Light" w:hAnsi="Calibri Light"/>
                <w:b w:val="0"/>
              </w:rPr>
              <w:t xml:space="preserve"> las fallas en el seguimiento de las líneas de investigación relacionadas con este móvil. Por ello, la CIDH declar</w:t>
            </w:r>
            <w:r w:rsidR="00C10AC1">
              <w:rPr>
                <w:rFonts w:ascii="Calibri Light" w:hAnsi="Calibri Light"/>
                <w:b w:val="0"/>
              </w:rPr>
              <w:t>ó</w:t>
            </w:r>
            <w:r w:rsidR="00DD4F59">
              <w:rPr>
                <w:rFonts w:ascii="Calibri Light" w:hAnsi="Calibri Light"/>
                <w:b w:val="0"/>
              </w:rPr>
              <w:t xml:space="preserve"> la violación del artículo 23</w:t>
            </w:r>
            <w:r w:rsidR="00EE04CB">
              <w:rPr>
                <w:rFonts w:ascii="Calibri Light" w:hAnsi="Calibri Light"/>
              </w:rPr>
              <w:t xml:space="preserve"> </w:t>
            </w:r>
            <w:r w:rsidR="00DD4F59">
              <w:rPr>
                <w:rFonts w:ascii="Calibri Light" w:hAnsi="Calibri Light"/>
                <w:b w:val="0"/>
              </w:rPr>
              <w:t>de la CADH, en relación con el artículo 1.1, en perjuicio de</w:t>
            </w:r>
            <w:r w:rsidR="00A81AC5">
              <w:rPr>
                <w:rFonts w:ascii="Calibri Light" w:hAnsi="Calibri Light"/>
                <w:b w:val="0"/>
              </w:rPr>
              <w:t xml:space="preserve">l señor </w:t>
            </w:r>
            <w:r w:rsidR="00DD4F59">
              <w:rPr>
                <w:rFonts w:ascii="Calibri Light" w:hAnsi="Calibri Light"/>
                <w:b w:val="0"/>
              </w:rPr>
              <w:t>Escaleras.</w:t>
            </w:r>
          </w:p>
          <w:p w14:paraId="578DEE75" w14:textId="77777777" w:rsidR="005867BB" w:rsidRDefault="005867BB" w:rsidP="0074049B">
            <w:pPr>
              <w:spacing w:after="0" w:line="240" w:lineRule="auto"/>
              <w:jc w:val="both"/>
              <w:rPr>
                <w:rFonts w:ascii="Calibri Light" w:hAnsi="Calibri Light"/>
                <w:b w:val="0"/>
              </w:rPr>
            </w:pPr>
          </w:p>
          <w:p w14:paraId="7B01E274" w14:textId="77777777" w:rsidR="005867BB" w:rsidRPr="00D07E91" w:rsidRDefault="00C10AC1" w:rsidP="0074049B">
            <w:pPr>
              <w:spacing w:after="0" w:line="240" w:lineRule="auto"/>
              <w:jc w:val="both"/>
              <w:rPr>
                <w:rFonts w:ascii="Calibri Light" w:hAnsi="Calibri Light"/>
                <w:b w:val="0"/>
              </w:rPr>
            </w:pPr>
            <w:r>
              <w:rPr>
                <w:rFonts w:ascii="Calibri Light" w:hAnsi="Calibri Light"/>
                <w:b w:val="0"/>
              </w:rPr>
              <w:t>Finalmente, en cuanto al derecho a la libertad de expresión, la CIDH consideró que los argumentos relativo a su violación se subsu</w:t>
            </w:r>
            <w:r w:rsidR="005570E1">
              <w:rPr>
                <w:rFonts w:ascii="Calibri Light" w:hAnsi="Calibri Light"/>
                <w:b w:val="0"/>
              </w:rPr>
              <w:t xml:space="preserve">mieron en su análisis sobre el </w:t>
            </w:r>
            <w:r w:rsidR="005867BB">
              <w:rPr>
                <w:rFonts w:ascii="Calibri Light" w:hAnsi="Calibri Light"/>
                <w:b w:val="0"/>
              </w:rPr>
              <w:t xml:space="preserve">derecho a la libertad de asociación y los derechos políticos, </w:t>
            </w:r>
            <w:r>
              <w:rPr>
                <w:rFonts w:ascii="Calibri Light" w:hAnsi="Calibri Light"/>
                <w:b w:val="0"/>
              </w:rPr>
              <w:t xml:space="preserve">por lo cual </w:t>
            </w:r>
            <w:r w:rsidR="005867BB">
              <w:rPr>
                <w:rFonts w:ascii="Calibri Light" w:hAnsi="Calibri Light"/>
                <w:b w:val="0"/>
              </w:rPr>
              <w:t>no correspond</w:t>
            </w:r>
            <w:r>
              <w:rPr>
                <w:rFonts w:ascii="Calibri Light" w:hAnsi="Calibri Light"/>
                <w:b w:val="0"/>
              </w:rPr>
              <w:t>ía</w:t>
            </w:r>
            <w:r w:rsidR="005867BB">
              <w:rPr>
                <w:rFonts w:ascii="Calibri Light" w:hAnsi="Calibri Light"/>
                <w:b w:val="0"/>
              </w:rPr>
              <w:t xml:space="preserve"> </w:t>
            </w:r>
            <w:r w:rsidR="00A15DA6">
              <w:rPr>
                <w:rFonts w:ascii="Calibri Light" w:hAnsi="Calibri Light"/>
                <w:b w:val="0"/>
              </w:rPr>
              <w:t>la declaración</w:t>
            </w:r>
            <w:r w:rsidR="00DC7063">
              <w:rPr>
                <w:rFonts w:ascii="Calibri Light" w:hAnsi="Calibri Light"/>
                <w:b w:val="0"/>
              </w:rPr>
              <w:t xml:space="preserve"> de la violación del artículo 13</w:t>
            </w:r>
            <w:r w:rsidR="00A15DA6">
              <w:rPr>
                <w:rFonts w:ascii="Calibri Light" w:hAnsi="Calibri Light"/>
                <w:b w:val="0"/>
              </w:rPr>
              <w:t xml:space="preserve"> de la CADH.</w:t>
            </w:r>
          </w:p>
          <w:p w14:paraId="1259882F" w14:textId="77777777" w:rsidR="006E41F7" w:rsidRDefault="006E41F7" w:rsidP="0074049B">
            <w:pPr>
              <w:spacing w:after="0" w:line="240" w:lineRule="auto"/>
              <w:jc w:val="both"/>
              <w:rPr>
                <w:rFonts w:ascii="Calibri Light" w:hAnsi="Calibri Light"/>
              </w:rPr>
            </w:pPr>
          </w:p>
          <w:p w14:paraId="0FCA3949" w14:textId="77777777" w:rsidR="006E41F7" w:rsidRPr="005570E1" w:rsidRDefault="006E41F7" w:rsidP="005570E1">
            <w:pPr>
              <w:spacing w:after="0" w:line="240" w:lineRule="auto"/>
              <w:jc w:val="both"/>
              <w:rPr>
                <w:rFonts w:ascii="Calibri Light" w:hAnsi="Calibri Light"/>
              </w:rPr>
            </w:pPr>
            <w:r w:rsidRPr="005570E1">
              <w:rPr>
                <w:rFonts w:ascii="Calibri Light" w:hAnsi="Calibri Light"/>
              </w:rPr>
              <w:t>Derecho a la integridad personal (artículo 5 de la CADH)</w:t>
            </w:r>
          </w:p>
          <w:p w14:paraId="5C046090" w14:textId="77777777" w:rsidR="00C21E3C" w:rsidRDefault="00C21E3C" w:rsidP="0074049B">
            <w:pPr>
              <w:spacing w:after="0" w:line="240" w:lineRule="auto"/>
              <w:jc w:val="both"/>
              <w:rPr>
                <w:rFonts w:ascii="Calibri Light" w:hAnsi="Calibri Light"/>
                <w:b w:val="0"/>
              </w:rPr>
            </w:pPr>
          </w:p>
          <w:p w14:paraId="2EF9533F" w14:textId="50C8E849" w:rsidR="005867BB" w:rsidRPr="005867BB" w:rsidRDefault="008133B2" w:rsidP="005867BB">
            <w:pPr>
              <w:spacing w:after="0" w:line="240" w:lineRule="auto"/>
              <w:jc w:val="both"/>
              <w:rPr>
                <w:rFonts w:ascii="Calibri Light" w:hAnsi="Calibri Light"/>
                <w:b w:val="0"/>
              </w:rPr>
            </w:pPr>
            <w:r>
              <w:rPr>
                <w:rFonts w:ascii="Calibri Light" w:hAnsi="Calibri Light"/>
                <w:b w:val="0"/>
              </w:rPr>
              <w:t xml:space="preserve">La Corte IDH ha indicado </w:t>
            </w:r>
            <w:r w:rsidR="00A81AC5">
              <w:rPr>
                <w:rFonts w:ascii="Calibri Light" w:hAnsi="Calibri Light"/>
                <w:b w:val="0"/>
              </w:rPr>
              <w:t>que</w:t>
            </w:r>
            <w:r w:rsidR="00E425C5">
              <w:rPr>
                <w:rFonts w:ascii="Calibri Light" w:hAnsi="Calibri Light"/>
                <w:b w:val="0"/>
              </w:rPr>
              <w:t xml:space="preserve"> </w:t>
            </w:r>
            <w:r>
              <w:rPr>
                <w:rFonts w:ascii="Calibri Light" w:hAnsi="Calibri Light"/>
                <w:b w:val="0"/>
              </w:rPr>
              <w:t xml:space="preserve">en el caso de los familiares de víctimas de violaciones de derechos humanos, estos pueden ver afectada su integridad física, psíquica y moral por las actuaciones u </w:t>
            </w:r>
            <w:r>
              <w:rPr>
                <w:rFonts w:ascii="Calibri Light" w:hAnsi="Calibri Light"/>
                <w:b w:val="0"/>
              </w:rPr>
              <w:lastRenderedPageBreak/>
              <w:t xml:space="preserve">omisiones de las autoridades internas frente a los hechos. Asimismo, pueden ver afectado su derecho a la verdad con la conducción de investigaciones incompletas o deficientes, lo que cual </w:t>
            </w:r>
            <w:r w:rsidR="00C10AC1">
              <w:rPr>
                <w:rFonts w:ascii="Calibri Light" w:hAnsi="Calibri Light"/>
                <w:b w:val="0"/>
              </w:rPr>
              <w:t xml:space="preserve">les </w:t>
            </w:r>
            <w:r>
              <w:rPr>
                <w:rFonts w:ascii="Calibri Light" w:hAnsi="Calibri Light"/>
                <w:b w:val="0"/>
              </w:rPr>
              <w:t xml:space="preserve">ocasiona muchas veces angustia y sufrimiento. </w:t>
            </w:r>
            <w:r w:rsidR="001E3BC6">
              <w:rPr>
                <w:rFonts w:ascii="Calibri Light" w:hAnsi="Calibri Light"/>
                <w:b w:val="0"/>
              </w:rPr>
              <w:t>Considerando la infructuosa búsqueda de justicia de los familiares del señor Escaleras, la CIDH declar</w:t>
            </w:r>
            <w:r w:rsidR="00C10AC1">
              <w:rPr>
                <w:rFonts w:ascii="Calibri Light" w:hAnsi="Calibri Light"/>
                <w:b w:val="0"/>
              </w:rPr>
              <w:t>ó</w:t>
            </w:r>
            <w:r w:rsidR="001E3BC6">
              <w:rPr>
                <w:rFonts w:ascii="Calibri Light" w:hAnsi="Calibri Light"/>
                <w:b w:val="0"/>
              </w:rPr>
              <w:t xml:space="preserve"> la violación </w:t>
            </w:r>
            <w:r w:rsidR="00EC0FB9">
              <w:rPr>
                <w:rFonts w:ascii="Calibri Light" w:hAnsi="Calibri Light"/>
                <w:b w:val="0"/>
              </w:rPr>
              <w:t xml:space="preserve">por parte del Estado hondureño </w:t>
            </w:r>
            <w:r w:rsidR="001E3BC6">
              <w:rPr>
                <w:rFonts w:ascii="Calibri Light" w:hAnsi="Calibri Light"/>
                <w:b w:val="0"/>
              </w:rPr>
              <w:t>del artículo 5.1 de la CADH, en relación con el artículo 1.1, en perjuicio de su esposa, hijos, y hermanos.</w:t>
            </w:r>
          </w:p>
          <w:p w14:paraId="2DFB770C" w14:textId="77777777" w:rsidR="00BD328B" w:rsidRDefault="00BD328B" w:rsidP="0074049B">
            <w:pPr>
              <w:spacing w:after="0" w:line="240" w:lineRule="auto"/>
              <w:jc w:val="both"/>
              <w:rPr>
                <w:rFonts w:ascii="Calibri Light" w:hAnsi="Calibri Light"/>
                <w:b w:val="0"/>
              </w:rPr>
            </w:pPr>
          </w:p>
        </w:tc>
      </w:tr>
      <w:tr w:rsidR="00BD328B" w14:paraId="0B6802A2" w14:textId="77777777" w:rsidTr="005570E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24848827" w14:textId="77777777" w:rsidR="00BD328B" w:rsidRPr="005570E1" w:rsidRDefault="00BD328B" w:rsidP="005570E1">
            <w:pPr>
              <w:pStyle w:val="ListParagraph"/>
              <w:numPr>
                <w:ilvl w:val="0"/>
                <w:numId w:val="1"/>
              </w:numPr>
              <w:spacing w:after="0" w:line="240" w:lineRule="auto"/>
              <w:jc w:val="center"/>
              <w:rPr>
                <w:rFonts w:ascii="Calibri Light" w:hAnsi="Calibri Light"/>
              </w:rPr>
            </w:pPr>
            <w:r w:rsidRPr="005570E1">
              <w:rPr>
                <w:rFonts w:ascii="Calibri Light" w:hAnsi="Calibri Light"/>
              </w:rPr>
              <w:lastRenderedPageBreak/>
              <w:t>Recomendaciones</w:t>
            </w:r>
            <w:r w:rsidR="005570E1">
              <w:rPr>
                <w:rFonts w:ascii="Calibri Light" w:hAnsi="Calibri Light"/>
              </w:rPr>
              <w:t xml:space="preserve"> de la CIDH al Estado</w:t>
            </w:r>
          </w:p>
        </w:tc>
      </w:tr>
      <w:tr w:rsidR="00BD328B" w14:paraId="73A161BD" w14:textId="77777777" w:rsidTr="00BD328B">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3039B8C0" w14:textId="77777777" w:rsidR="002B47F0" w:rsidRDefault="002B47F0" w:rsidP="0074049B">
            <w:pPr>
              <w:pStyle w:val="ListParagraph"/>
              <w:spacing w:after="0" w:line="240" w:lineRule="auto"/>
              <w:ind w:left="0"/>
              <w:jc w:val="both"/>
              <w:rPr>
                <w:rFonts w:ascii="Calibri Light" w:hAnsi="Calibri Light"/>
                <w:b w:val="0"/>
              </w:rPr>
            </w:pPr>
          </w:p>
          <w:p w14:paraId="3171648F" w14:textId="7B34E9A0" w:rsidR="002B47F0" w:rsidRDefault="002B47F0" w:rsidP="0074049B">
            <w:pPr>
              <w:pStyle w:val="ListParagraph"/>
              <w:numPr>
                <w:ilvl w:val="0"/>
                <w:numId w:val="7"/>
              </w:numPr>
              <w:spacing w:after="0" w:line="240" w:lineRule="auto"/>
              <w:jc w:val="both"/>
              <w:rPr>
                <w:rFonts w:ascii="Calibri Light" w:hAnsi="Calibri Light"/>
                <w:b w:val="0"/>
              </w:rPr>
            </w:pPr>
            <w:r>
              <w:rPr>
                <w:rFonts w:ascii="Calibri Light" w:hAnsi="Calibri Light"/>
                <w:b w:val="0"/>
              </w:rPr>
              <w:t xml:space="preserve">Reparar adecuadamente las violaciones de derechos humanos </w:t>
            </w:r>
            <w:r w:rsidR="000F289D">
              <w:rPr>
                <w:rFonts w:ascii="Calibri Light" w:hAnsi="Calibri Light"/>
                <w:b w:val="0"/>
              </w:rPr>
              <w:t>declaradas en el informe de fondo</w:t>
            </w:r>
            <w:r w:rsidR="00A81AC5">
              <w:rPr>
                <w:rFonts w:ascii="Calibri Light" w:hAnsi="Calibri Light"/>
                <w:b w:val="0"/>
              </w:rPr>
              <w:t xml:space="preserve"> tanto en el aspecto material como moral</w:t>
            </w:r>
            <w:r w:rsidR="000F289D">
              <w:rPr>
                <w:rFonts w:ascii="Calibri Light" w:hAnsi="Calibri Light"/>
                <w:b w:val="0"/>
              </w:rPr>
              <w:t>.</w:t>
            </w:r>
          </w:p>
          <w:p w14:paraId="4C355390" w14:textId="77777777" w:rsidR="00A81AC5" w:rsidRDefault="00A81AC5" w:rsidP="00A81AC5">
            <w:pPr>
              <w:pStyle w:val="ListParagraph"/>
              <w:spacing w:after="0" w:line="240" w:lineRule="auto"/>
              <w:ind w:left="360"/>
              <w:jc w:val="both"/>
              <w:rPr>
                <w:rFonts w:ascii="Calibri Light" w:hAnsi="Calibri Light"/>
                <w:b w:val="0"/>
              </w:rPr>
            </w:pPr>
          </w:p>
          <w:p w14:paraId="31D54676" w14:textId="36806EA6" w:rsidR="00A81AC5" w:rsidRDefault="00A81AC5" w:rsidP="0074049B">
            <w:pPr>
              <w:pStyle w:val="ListParagraph"/>
              <w:numPr>
                <w:ilvl w:val="0"/>
                <w:numId w:val="7"/>
              </w:numPr>
              <w:spacing w:after="0" w:line="240" w:lineRule="auto"/>
              <w:jc w:val="both"/>
              <w:rPr>
                <w:rFonts w:asciiTheme="majorHAnsi" w:hAnsiTheme="majorHAnsi"/>
                <w:b w:val="0"/>
              </w:rPr>
            </w:pPr>
            <w:r w:rsidRPr="00A81AC5">
              <w:rPr>
                <w:rFonts w:asciiTheme="majorHAnsi" w:hAnsiTheme="majorHAnsi"/>
                <w:b w:val="0"/>
              </w:rPr>
              <w:t xml:space="preserve">Desarrollar y completar una investigación judicial imparcial, completa y efectiva, de manera expedita, con el objeto de establecer las circunstancias en que resultó muerto el señor Escaleras, identificar a todas las personas que participaron material o intelectualmente en los diferentes niveles de decisión y ejecución, y aplicar las sanciones que correspondan. En el marco de este proceso, corresponde al Estado adoptar todas las medidas para proteger a testigos y otros actores del proceso, en caso de que sea necesario. </w:t>
            </w:r>
          </w:p>
          <w:p w14:paraId="78219FA8" w14:textId="77777777" w:rsidR="00A81AC5" w:rsidRPr="00A81AC5" w:rsidRDefault="00A81AC5" w:rsidP="00A81AC5">
            <w:pPr>
              <w:spacing w:after="0" w:line="240" w:lineRule="auto"/>
              <w:jc w:val="both"/>
              <w:rPr>
                <w:rFonts w:asciiTheme="majorHAnsi" w:hAnsiTheme="majorHAnsi"/>
              </w:rPr>
            </w:pPr>
          </w:p>
          <w:p w14:paraId="3C523FD8" w14:textId="77777777" w:rsidR="00A81AC5" w:rsidRDefault="0084280C" w:rsidP="00A81AC5">
            <w:pPr>
              <w:pStyle w:val="ListParagraph"/>
              <w:numPr>
                <w:ilvl w:val="0"/>
                <w:numId w:val="7"/>
              </w:numPr>
              <w:spacing w:after="0" w:line="240" w:lineRule="auto"/>
              <w:jc w:val="both"/>
              <w:rPr>
                <w:rFonts w:ascii="Calibri Light" w:hAnsi="Calibri Light"/>
                <w:b w:val="0"/>
              </w:rPr>
            </w:pPr>
            <w:r>
              <w:rPr>
                <w:rFonts w:ascii="Calibri Light" w:hAnsi="Calibri Light"/>
                <w:b w:val="0"/>
              </w:rPr>
              <w:t xml:space="preserve">Disponer las medidas necesarias para imponer sanciones </w:t>
            </w:r>
            <w:r w:rsidR="001C3B28">
              <w:rPr>
                <w:rFonts w:ascii="Calibri Light" w:hAnsi="Calibri Light"/>
                <w:b w:val="0"/>
              </w:rPr>
              <w:t>contra las acciones u omisiones de los funcionarios estatales que contribuyer</w:t>
            </w:r>
            <w:r w:rsidR="00A81AC5">
              <w:rPr>
                <w:rFonts w:ascii="Calibri Light" w:hAnsi="Calibri Light"/>
                <w:b w:val="0"/>
              </w:rPr>
              <w:t xml:space="preserve">on a la denegación de justicia </w:t>
            </w:r>
            <w:r w:rsidR="001C3B28">
              <w:rPr>
                <w:rFonts w:ascii="Calibri Light" w:hAnsi="Calibri Light"/>
                <w:b w:val="0"/>
              </w:rPr>
              <w:t xml:space="preserve"> impunidad</w:t>
            </w:r>
            <w:r w:rsidR="00A81AC5">
              <w:rPr>
                <w:rFonts w:ascii="Calibri Light" w:hAnsi="Calibri Light"/>
                <w:b w:val="0"/>
              </w:rPr>
              <w:t xml:space="preserve"> en la que se encuentran los hechos del caso</w:t>
            </w:r>
            <w:r w:rsidR="001C3B28">
              <w:rPr>
                <w:rFonts w:ascii="Calibri Light" w:hAnsi="Calibri Light"/>
                <w:b w:val="0"/>
              </w:rPr>
              <w:t>.</w:t>
            </w:r>
          </w:p>
          <w:p w14:paraId="44FE0D9D" w14:textId="77777777" w:rsidR="00A81AC5" w:rsidRPr="00A81AC5" w:rsidRDefault="00A81AC5" w:rsidP="00A81AC5">
            <w:pPr>
              <w:pStyle w:val="ListParagraph"/>
              <w:rPr>
                <w:rFonts w:asciiTheme="majorHAnsi" w:hAnsiTheme="majorHAnsi"/>
              </w:rPr>
            </w:pPr>
          </w:p>
          <w:p w14:paraId="056F7303" w14:textId="77777777" w:rsidR="00A81AC5" w:rsidRPr="00A81AC5" w:rsidRDefault="00A81AC5" w:rsidP="00A81AC5">
            <w:pPr>
              <w:pStyle w:val="ListParagraph"/>
              <w:numPr>
                <w:ilvl w:val="0"/>
                <w:numId w:val="7"/>
              </w:numPr>
              <w:spacing w:after="0" w:line="240" w:lineRule="auto"/>
              <w:jc w:val="both"/>
              <w:rPr>
                <w:rFonts w:ascii="Calibri Light" w:hAnsi="Calibri Light"/>
                <w:b w:val="0"/>
              </w:rPr>
            </w:pPr>
            <w:r w:rsidRPr="00A81AC5">
              <w:rPr>
                <w:rFonts w:asciiTheme="majorHAnsi" w:hAnsiTheme="majorHAnsi"/>
                <w:b w:val="0"/>
              </w:rPr>
              <w:t>Adoptar medidas de carácter legislativo, institucional y judicial orientadas a reducir la exposición al riesgo de las defensoras y defensores de derechos humanos que se encuentran en situación de vulnerabilidad. En es</w:t>
            </w:r>
            <w:r>
              <w:rPr>
                <w:rFonts w:asciiTheme="majorHAnsi" w:hAnsiTheme="majorHAnsi"/>
                <w:b w:val="0"/>
              </w:rPr>
              <w:t xml:space="preserve">e sentido, el Estado debe: </w:t>
            </w:r>
          </w:p>
          <w:p w14:paraId="182368F5" w14:textId="77777777" w:rsidR="00A81AC5" w:rsidRPr="00A81AC5" w:rsidRDefault="00A81AC5" w:rsidP="00A81AC5">
            <w:pPr>
              <w:spacing w:after="0" w:line="240" w:lineRule="auto"/>
              <w:jc w:val="both"/>
              <w:rPr>
                <w:rFonts w:ascii="Calibri Light" w:hAnsi="Calibri Light"/>
              </w:rPr>
            </w:pPr>
          </w:p>
          <w:p w14:paraId="756005E2" w14:textId="77777777" w:rsidR="00A81AC5" w:rsidRDefault="00A81AC5" w:rsidP="00A81AC5">
            <w:pPr>
              <w:pStyle w:val="ListParagraph"/>
              <w:numPr>
                <w:ilvl w:val="0"/>
                <w:numId w:val="15"/>
              </w:numPr>
              <w:spacing w:after="0" w:line="240" w:lineRule="auto"/>
              <w:jc w:val="both"/>
              <w:rPr>
                <w:rFonts w:asciiTheme="majorHAnsi" w:hAnsiTheme="majorHAnsi"/>
                <w:b w:val="0"/>
              </w:rPr>
            </w:pPr>
            <w:r w:rsidRPr="00A81AC5">
              <w:rPr>
                <w:rFonts w:asciiTheme="majorHAnsi" w:hAnsiTheme="majorHAnsi"/>
                <w:b w:val="0"/>
              </w:rPr>
              <w:t>Fortalecer la capacidad institucional para combatir el patrón de impunidad frente a casos de amenazas y muertes de defensoras y defensores, mediante la elaboración de protocolos de investigación que tengan en cuenta los riesgos inherentes a la labor de defensa de los derechos humanos, y en particular del derecho a un medio ambiente sano, que conduzcan a la sanción de los responsables y a una reparación adecuada a las víctimas. Asimismo, el Estado debe asegurar que cuando funcionarios públicos estén implicados en investigaciones de violaciones de derechos humanos, las investigaciones se realicen eficaz</w:t>
            </w:r>
            <w:r>
              <w:rPr>
                <w:rFonts w:asciiTheme="majorHAnsi" w:hAnsiTheme="majorHAnsi"/>
                <w:b w:val="0"/>
              </w:rPr>
              <w:t xml:space="preserve">mente y con independencia. </w:t>
            </w:r>
          </w:p>
          <w:p w14:paraId="44753583" w14:textId="77777777" w:rsidR="00A81AC5" w:rsidRDefault="00A81AC5" w:rsidP="00A81AC5">
            <w:pPr>
              <w:pStyle w:val="ListParagraph"/>
              <w:numPr>
                <w:ilvl w:val="0"/>
                <w:numId w:val="15"/>
              </w:numPr>
              <w:spacing w:after="0" w:line="240" w:lineRule="auto"/>
              <w:jc w:val="both"/>
              <w:rPr>
                <w:rFonts w:asciiTheme="majorHAnsi" w:hAnsiTheme="majorHAnsi"/>
                <w:b w:val="0"/>
              </w:rPr>
            </w:pPr>
            <w:r w:rsidRPr="00A81AC5">
              <w:rPr>
                <w:rFonts w:asciiTheme="majorHAnsi" w:hAnsiTheme="majorHAnsi"/>
                <w:b w:val="0"/>
              </w:rPr>
              <w:t>Fortalecer los mecanismos para proteger eficazmente a testigos, víctimas y familiares que se encuentren en riesgo como resultado de su vin</w:t>
            </w:r>
            <w:r>
              <w:rPr>
                <w:rFonts w:asciiTheme="majorHAnsi" w:hAnsiTheme="majorHAnsi"/>
                <w:b w:val="0"/>
              </w:rPr>
              <w:t>culación a las investigaciones.</w:t>
            </w:r>
          </w:p>
          <w:p w14:paraId="3E4D6E86" w14:textId="5F92C9FD" w:rsidR="00224DBD" w:rsidRPr="00A81AC5" w:rsidRDefault="00A81AC5" w:rsidP="00A81AC5">
            <w:pPr>
              <w:pStyle w:val="ListParagraph"/>
              <w:numPr>
                <w:ilvl w:val="0"/>
                <w:numId w:val="15"/>
              </w:numPr>
              <w:spacing w:after="0" w:line="240" w:lineRule="auto"/>
              <w:jc w:val="both"/>
              <w:rPr>
                <w:rFonts w:ascii="Calibri Light" w:hAnsi="Calibri Light"/>
                <w:b w:val="0"/>
              </w:rPr>
            </w:pPr>
            <w:r w:rsidRPr="00A81AC5">
              <w:rPr>
                <w:rFonts w:asciiTheme="majorHAnsi" w:hAnsiTheme="majorHAnsi"/>
                <w:b w:val="0"/>
              </w:rPr>
              <w:t>Desarrollar medidas adecuadas y expeditas de respuesta institucional que permitan proteger eficazmente a defensoras y defensores de derechos humanos en situaciones de riesgo.</w:t>
            </w:r>
          </w:p>
          <w:p w14:paraId="6D190352" w14:textId="732F3859" w:rsidR="00A81AC5" w:rsidRPr="00A81AC5" w:rsidRDefault="00A81AC5" w:rsidP="00A81AC5">
            <w:pPr>
              <w:spacing w:after="0" w:line="240" w:lineRule="auto"/>
              <w:jc w:val="both"/>
              <w:rPr>
                <w:rFonts w:ascii="Calibri Light" w:hAnsi="Calibri Light"/>
                <w:b w:val="0"/>
              </w:rPr>
            </w:pPr>
          </w:p>
        </w:tc>
      </w:tr>
      <w:tr w:rsidR="00BD328B" w14:paraId="17B5D3DA" w14:textId="77777777" w:rsidTr="0061516F">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14B8FC5A" w14:textId="2FD018CB" w:rsidR="00BD328B" w:rsidRPr="0061516F" w:rsidRDefault="00BD328B" w:rsidP="0061516F">
            <w:pPr>
              <w:pStyle w:val="ListParagraph"/>
              <w:numPr>
                <w:ilvl w:val="0"/>
                <w:numId w:val="1"/>
              </w:numPr>
              <w:spacing w:line="240" w:lineRule="auto"/>
              <w:jc w:val="center"/>
              <w:rPr>
                <w:rFonts w:ascii="Calibri Light" w:hAnsi="Calibri Light"/>
              </w:rPr>
            </w:pPr>
            <w:r>
              <w:rPr>
                <w:rFonts w:ascii="Calibri Light" w:hAnsi="Calibri Light"/>
              </w:rPr>
              <w:t>Análisis de cumplimiento de las recomendaciones</w:t>
            </w:r>
          </w:p>
        </w:tc>
      </w:tr>
      <w:tr w:rsidR="00BD328B" w14:paraId="04727B3A" w14:textId="77777777" w:rsidTr="00BD328B">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358D0CCA" w14:textId="77777777" w:rsidR="00BD328B" w:rsidRDefault="00BD328B" w:rsidP="0074049B">
            <w:pPr>
              <w:pStyle w:val="ListParagraph"/>
              <w:spacing w:after="0" w:line="240" w:lineRule="auto"/>
              <w:ind w:left="0"/>
              <w:jc w:val="center"/>
              <w:rPr>
                <w:rFonts w:ascii="Calibri Light" w:hAnsi="Calibri Light"/>
                <w:b w:val="0"/>
              </w:rPr>
            </w:pPr>
          </w:p>
          <w:p w14:paraId="7F307CDE" w14:textId="77777777" w:rsidR="00BD328B" w:rsidRDefault="00BD328B" w:rsidP="0074049B">
            <w:pPr>
              <w:pStyle w:val="ListParagraph"/>
              <w:spacing w:after="0" w:line="240" w:lineRule="auto"/>
              <w:ind w:left="0"/>
              <w:jc w:val="center"/>
              <w:rPr>
                <w:rFonts w:ascii="Calibri Light" w:hAnsi="Calibri Light"/>
                <w:b w:val="0"/>
              </w:rPr>
            </w:pPr>
            <w:r>
              <w:rPr>
                <w:rFonts w:ascii="Calibri Light" w:hAnsi="Calibri Light"/>
                <w:b w:val="0"/>
              </w:rPr>
              <w:t>-</w:t>
            </w:r>
          </w:p>
          <w:p w14:paraId="0233488A" w14:textId="77777777" w:rsidR="00BD328B" w:rsidRDefault="00BD328B" w:rsidP="0074049B">
            <w:pPr>
              <w:pStyle w:val="ListParagraph"/>
              <w:spacing w:after="0" w:line="240" w:lineRule="auto"/>
              <w:ind w:left="0"/>
              <w:jc w:val="center"/>
              <w:rPr>
                <w:rFonts w:ascii="Calibri Light" w:hAnsi="Calibri Light"/>
                <w:b w:val="0"/>
              </w:rPr>
            </w:pPr>
          </w:p>
        </w:tc>
      </w:tr>
    </w:tbl>
    <w:p w14:paraId="2DB5C101" w14:textId="77777777" w:rsidR="008B6A18" w:rsidRDefault="008B6A18"/>
    <w:sectPr w:rsidR="008B6A18">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5B5F" w14:textId="77777777" w:rsidR="00B32BB4" w:rsidRDefault="00B32BB4" w:rsidP="00453CA1">
      <w:pPr>
        <w:spacing w:after="0" w:line="240" w:lineRule="auto"/>
      </w:pPr>
      <w:r>
        <w:separator/>
      </w:r>
    </w:p>
  </w:endnote>
  <w:endnote w:type="continuationSeparator" w:id="0">
    <w:p w14:paraId="47C5A360" w14:textId="77777777" w:rsidR="00B32BB4" w:rsidRDefault="00B32BB4" w:rsidP="0045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1339236299"/>
      <w:docPartObj>
        <w:docPartGallery w:val="Page Numbers (Bottom of Page)"/>
        <w:docPartUnique/>
      </w:docPartObj>
    </w:sdtPr>
    <w:sdtEndPr/>
    <w:sdtContent>
      <w:p w14:paraId="2F9B877D" w14:textId="1056415E" w:rsidR="00453CA1" w:rsidRPr="00453CA1" w:rsidRDefault="00453CA1">
        <w:pPr>
          <w:pStyle w:val="Footer"/>
          <w:jc w:val="right"/>
          <w:rPr>
            <w:rFonts w:asciiTheme="majorHAnsi" w:hAnsiTheme="majorHAnsi"/>
          </w:rPr>
        </w:pPr>
        <w:r w:rsidRPr="00453CA1">
          <w:rPr>
            <w:rFonts w:asciiTheme="majorHAnsi" w:hAnsiTheme="majorHAnsi"/>
          </w:rPr>
          <w:fldChar w:fldCharType="begin"/>
        </w:r>
        <w:r w:rsidRPr="00453CA1">
          <w:rPr>
            <w:rFonts w:asciiTheme="majorHAnsi" w:hAnsiTheme="majorHAnsi"/>
          </w:rPr>
          <w:instrText>PAGE   \* MERGEFORMAT</w:instrText>
        </w:r>
        <w:r w:rsidRPr="00453CA1">
          <w:rPr>
            <w:rFonts w:asciiTheme="majorHAnsi" w:hAnsiTheme="majorHAnsi"/>
          </w:rPr>
          <w:fldChar w:fldCharType="separate"/>
        </w:r>
        <w:r w:rsidR="00AF4E0A" w:rsidRPr="00AF4E0A">
          <w:rPr>
            <w:rFonts w:asciiTheme="majorHAnsi" w:hAnsiTheme="majorHAnsi"/>
            <w:noProof/>
            <w:lang w:val="es-ES"/>
          </w:rPr>
          <w:t>7</w:t>
        </w:r>
        <w:r w:rsidRPr="00453CA1">
          <w:rPr>
            <w:rFonts w:asciiTheme="majorHAnsi" w:hAnsiTheme="majorHAnsi"/>
          </w:rPr>
          <w:fldChar w:fldCharType="end"/>
        </w:r>
      </w:p>
    </w:sdtContent>
  </w:sdt>
  <w:p w14:paraId="58CC8B44" w14:textId="77777777" w:rsidR="00453CA1" w:rsidRPr="00453CA1" w:rsidRDefault="00453CA1">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B775" w14:textId="77777777" w:rsidR="00B32BB4" w:rsidRDefault="00B32BB4" w:rsidP="00453CA1">
      <w:pPr>
        <w:spacing w:after="0" w:line="240" w:lineRule="auto"/>
      </w:pPr>
      <w:r>
        <w:separator/>
      </w:r>
    </w:p>
  </w:footnote>
  <w:footnote w:type="continuationSeparator" w:id="0">
    <w:p w14:paraId="6F09425C" w14:textId="77777777" w:rsidR="00B32BB4" w:rsidRDefault="00B32BB4" w:rsidP="0045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5E5"/>
    <w:multiLevelType w:val="hybridMultilevel"/>
    <w:tmpl w:val="555C349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954AED"/>
    <w:multiLevelType w:val="hybridMultilevel"/>
    <w:tmpl w:val="4E64E2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 w15:restartNumberingAfterBreak="0">
    <w:nsid w:val="117B473B"/>
    <w:multiLevelType w:val="hybridMultilevel"/>
    <w:tmpl w:val="D3AACBB0"/>
    <w:lvl w:ilvl="0" w:tplc="E13EC6DE">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EBD7A3A"/>
    <w:multiLevelType w:val="hybridMultilevel"/>
    <w:tmpl w:val="B41C4676"/>
    <w:lvl w:ilvl="0" w:tplc="18E8D0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A6463E"/>
    <w:multiLevelType w:val="hybridMultilevel"/>
    <w:tmpl w:val="7EC6EBE6"/>
    <w:lvl w:ilvl="0" w:tplc="63067A8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D81334F"/>
    <w:multiLevelType w:val="hybridMultilevel"/>
    <w:tmpl w:val="66322A9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545C0EFD"/>
    <w:multiLevelType w:val="hybridMultilevel"/>
    <w:tmpl w:val="CE6232BA"/>
    <w:lvl w:ilvl="0" w:tplc="8D36E3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EE5FDF"/>
    <w:multiLevelType w:val="hybridMultilevel"/>
    <w:tmpl w:val="573C263C"/>
    <w:lvl w:ilvl="0" w:tplc="FCEED6A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1E5676B"/>
    <w:multiLevelType w:val="hybridMultilevel"/>
    <w:tmpl w:val="6EB4748E"/>
    <w:lvl w:ilvl="0" w:tplc="809EAD0E">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64CF21B5"/>
    <w:multiLevelType w:val="hybridMultilevel"/>
    <w:tmpl w:val="097AD8A2"/>
    <w:lvl w:ilvl="0" w:tplc="B90A2C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3FE18A1"/>
    <w:multiLevelType w:val="hybridMultilevel"/>
    <w:tmpl w:val="91C84EF2"/>
    <w:lvl w:ilvl="0" w:tplc="B596B440">
      <w:start w:val="1"/>
      <w:numFmt w:val="upperRoman"/>
      <w:lvlText w:val="%1."/>
      <w:lvlJc w:val="left"/>
      <w:pPr>
        <w:ind w:left="720" w:hanging="72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2" w15:restartNumberingAfterBreak="0">
    <w:nsid w:val="766432BE"/>
    <w:multiLevelType w:val="hybridMultilevel"/>
    <w:tmpl w:val="B1B862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12"/>
  </w:num>
  <w:num w:numId="8">
    <w:abstractNumId w:val="5"/>
  </w:num>
  <w:num w:numId="9">
    <w:abstractNumId w:val="8"/>
  </w:num>
  <w:num w:numId="10">
    <w:abstractNumId w:val="9"/>
  </w:num>
  <w:num w:numId="11">
    <w:abstractNumId w:val="7"/>
  </w:num>
  <w:num w:numId="12">
    <w:abstractNumId w:val="3"/>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28B"/>
    <w:rsid w:val="00012668"/>
    <w:rsid w:val="000210B3"/>
    <w:rsid w:val="0003656B"/>
    <w:rsid w:val="000450F7"/>
    <w:rsid w:val="000456BD"/>
    <w:rsid w:val="00046E91"/>
    <w:rsid w:val="000472BC"/>
    <w:rsid w:val="00051DCC"/>
    <w:rsid w:val="00057FEB"/>
    <w:rsid w:val="00062356"/>
    <w:rsid w:val="000728D1"/>
    <w:rsid w:val="00085384"/>
    <w:rsid w:val="00093B97"/>
    <w:rsid w:val="000B0169"/>
    <w:rsid w:val="000B1E9E"/>
    <w:rsid w:val="000B4E69"/>
    <w:rsid w:val="000C0553"/>
    <w:rsid w:val="000C1B45"/>
    <w:rsid w:val="000C52ED"/>
    <w:rsid w:val="000E404F"/>
    <w:rsid w:val="000E58CD"/>
    <w:rsid w:val="000F1B48"/>
    <w:rsid w:val="000F289D"/>
    <w:rsid w:val="000F297D"/>
    <w:rsid w:val="001019BD"/>
    <w:rsid w:val="001034F1"/>
    <w:rsid w:val="001315F7"/>
    <w:rsid w:val="00136EBC"/>
    <w:rsid w:val="00137202"/>
    <w:rsid w:val="0013769B"/>
    <w:rsid w:val="00141CE9"/>
    <w:rsid w:val="00157AEE"/>
    <w:rsid w:val="00172722"/>
    <w:rsid w:val="00174ECA"/>
    <w:rsid w:val="00183144"/>
    <w:rsid w:val="00186CAA"/>
    <w:rsid w:val="001932DF"/>
    <w:rsid w:val="001A2FD1"/>
    <w:rsid w:val="001A3EFB"/>
    <w:rsid w:val="001C3B28"/>
    <w:rsid w:val="001D52C3"/>
    <w:rsid w:val="001E3BC6"/>
    <w:rsid w:val="001F14C0"/>
    <w:rsid w:val="00201869"/>
    <w:rsid w:val="00224DBD"/>
    <w:rsid w:val="0022567A"/>
    <w:rsid w:val="00237483"/>
    <w:rsid w:val="0025532E"/>
    <w:rsid w:val="00260EC6"/>
    <w:rsid w:val="00266241"/>
    <w:rsid w:val="0027330F"/>
    <w:rsid w:val="00273FE6"/>
    <w:rsid w:val="00274D5D"/>
    <w:rsid w:val="002800FE"/>
    <w:rsid w:val="002936AD"/>
    <w:rsid w:val="00294EBF"/>
    <w:rsid w:val="002B47F0"/>
    <w:rsid w:val="002B7923"/>
    <w:rsid w:val="002C0BA8"/>
    <w:rsid w:val="002C44EA"/>
    <w:rsid w:val="002C5CC7"/>
    <w:rsid w:val="002D115E"/>
    <w:rsid w:val="002D1DF0"/>
    <w:rsid w:val="002D2CD2"/>
    <w:rsid w:val="002D5AB4"/>
    <w:rsid w:val="002D7CA2"/>
    <w:rsid w:val="002E145F"/>
    <w:rsid w:val="002E45B5"/>
    <w:rsid w:val="002F3702"/>
    <w:rsid w:val="0032262F"/>
    <w:rsid w:val="00324E7E"/>
    <w:rsid w:val="00335473"/>
    <w:rsid w:val="0033651B"/>
    <w:rsid w:val="0034259B"/>
    <w:rsid w:val="003504A7"/>
    <w:rsid w:val="003530EE"/>
    <w:rsid w:val="00356CA8"/>
    <w:rsid w:val="00361FBC"/>
    <w:rsid w:val="003639FC"/>
    <w:rsid w:val="0037321D"/>
    <w:rsid w:val="00386BC3"/>
    <w:rsid w:val="003875E2"/>
    <w:rsid w:val="003958F1"/>
    <w:rsid w:val="003A5092"/>
    <w:rsid w:val="003B5D19"/>
    <w:rsid w:val="003E327D"/>
    <w:rsid w:val="004003B4"/>
    <w:rsid w:val="00402A07"/>
    <w:rsid w:val="004102B8"/>
    <w:rsid w:val="0041659A"/>
    <w:rsid w:val="00421161"/>
    <w:rsid w:val="00436211"/>
    <w:rsid w:val="00453CA1"/>
    <w:rsid w:val="00474F2C"/>
    <w:rsid w:val="00477D42"/>
    <w:rsid w:val="0048176D"/>
    <w:rsid w:val="00482042"/>
    <w:rsid w:val="00495A0A"/>
    <w:rsid w:val="004B1596"/>
    <w:rsid w:val="004B3328"/>
    <w:rsid w:val="004B3E8C"/>
    <w:rsid w:val="004B590B"/>
    <w:rsid w:val="004B78EF"/>
    <w:rsid w:val="004C4F51"/>
    <w:rsid w:val="004C6F7B"/>
    <w:rsid w:val="004D1B0B"/>
    <w:rsid w:val="004D1D66"/>
    <w:rsid w:val="004E7938"/>
    <w:rsid w:val="004F2301"/>
    <w:rsid w:val="004F3FE5"/>
    <w:rsid w:val="0052008E"/>
    <w:rsid w:val="00522D6B"/>
    <w:rsid w:val="005503B5"/>
    <w:rsid w:val="00551E65"/>
    <w:rsid w:val="005570E1"/>
    <w:rsid w:val="00561318"/>
    <w:rsid w:val="00576ADC"/>
    <w:rsid w:val="00577555"/>
    <w:rsid w:val="0058002A"/>
    <w:rsid w:val="005854AE"/>
    <w:rsid w:val="005867BB"/>
    <w:rsid w:val="00586FC5"/>
    <w:rsid w:val="005909E8"/>
    <w:rsid w:val="005B3F1D"/>
    <w:rsid w:val="005C0C50"/>
    <w:rsid w:val="005C6512"/>
    <w:rsid w:val="005D386B"/>
    <w:rsid w:val="005D3A59"/>
    <w:rsid w:val="005D46CE"/>
    <w:rsid w:val="005F39DE"/>
    <w:rsid w:val="00600F26"/>
    <w:rsid w:val="00605C0E"/>
    <w:rsid w:val="00612C29"/>
    <w:rsid w:val="006137A9"/>
    <w:rsid w:val="00614EAE"/>
    <w:rsid w:val="0061516F"/>
    <w:rsid w:val="006164F7"/>
    <w:rsid w:val="00631C12"/>
    <w:rsid w:val="00636295"/>
    <w:rsid w:val="00636FED"/>
    <w:rsid w:val="00640FFB"/>
    <w:rsid w:val="00641324"/>
    <w:rsid w:val="00644993"/>
    <w:rsid w:val="00647E6B"/>
    <w:rsid w:val="006538EA"/>
    <w:rsid w:val="00656C39"/>
    <w:rsid w:val="00693DEE"/>
    <w:rsid w:val="006A0A64"/>
    <w:rsid w:val="006A4884"/>
    <w:rsid w:val="006A4D6B"/>
    <w:rsid w:val="006B10B8"/>
    <w:rsid w:val="006B2FB6"/>
    <w:rsid w:val="006B3499"/>
    <w:rsid w:val="006B4004"/>
    <w:rsid w:val="006B59D9"/>
    <w:rsid w:val="006B6DC3"/>
    <w:rsid w:val="006D5F0D"/>
    <w:rsid w:val="006D61F1"/>
    <w:rsid w:val="006E41F7"/>
    <w:rsid w:val="006E55A6"/>
    <w:rsid w:val="006E7AC6"/>
    <w:rsid w:val="006F0365"/>
    <w:rsid w:val="00714BFA"/>
    <w:rsid w:val="0074049B"/>
    <w:rsid w:val="0074405A"/>
    <w:rsid w:val="00744FB2"/>
    <w:rsid w:val="00747A37"/>
    <w:rsid w:val="00751F9F"/>
    <w:rsid w:val="0076216B"/>
    <w:rsid w:val="00762C75"/>
    <w:rsid w:val="0076370B"/>
    <w:rsid w:val="00777004"/>
    <w:rsid w:val="007822A3"/>
    <w:rsid w:val="00782355"/>
    <w:rsid w:val="00784D66"/>
    <w:rsid w:val="00791DA2"/>
    <w:rsid w:val="00792141"/>
    <w:rsid w:val="007B3C71"/>
    <w:rsid w:val="007B3EA0"/>
    <w:rsid w:val="007C7C38"/>
    <w:rsid w:val="007D3861"/>
    <w:rsid w:val="007D6DD8"/>
    <w:rsid w:val="007F062C"/>
    <w:rsid w:val="00812F3F"/>
    <w:rsid w:val="008133B2"/>
    <w:rsid w:val="00835754"/>
    <w:rsid w:val="0084280C"/>
    <w:rsid w:val="00843A8A"/>
    <w:rsid w:val="00844038"/>
    <w:rsid w:val="00844B75"/>
    <w:rsid w:val="008500EE"/>
    <w:rsid w:val="008546D3"/>
    <w:rsid w:val="00855D52"/>
    <w:rsid w:val="008617F6"/>
    <w:rsid w:val="0087714D"/>
    <w:rsid w:val="008838EF"/>
    <w:rsid w:val="00885EFA"/>
    <w:rsid w:val="00893612"/>
    <w:rsid w:val="008B6A18"/>
    <w:rsid w:val="008B7BAF"/>
    <w:rsid w:val="008C0445"/>
    <w:rsid w:val="008C04B6"/>
    <w:rsid w:val="008C36FD"/>
    <w:rsid w:val="008D7121"/>
    <w:rsid w:val="008F46E4"/>
    <w:rsid w:val="008F724A"/>
    <w:rsid w:val="008F7278"/>
    <w:rsid w:val="009158C7"/>
    <w:rsid w:val="00932C8D"/>
    <w:rsid w:val="00935AFA"/>
    <w:rsid w:val="00943D0A"/>
    <w:rsid w:val="00950D9C"/>
    <w:rsid w:val="00956E0D"/>
    <w:rsid w:val="009577BC"/>
    <w:rsid w:val="00967073"/>
    <w:rsid w:val="00972D23"/>
    <w:rsid w:val="00977C01"/>
    <w:rsid w:val="009811E0"/>
    <w:rsid w:val="00984B50"/>
    <w:rsid w:val="009908B7"/>
    <w:rsid w:val="009A7C70"/>
    <w:rsid w:val="009B34CC"/>
    <w:rsid w:val="009B60AB"/>
    <w:rsid w:val="009C169D"/>
    <w:rsid w:val="009C6449"/>
    <w:rsid w:val="009D3AD6"/>
    <w:rsid w:val="009D4129"/>
    <w:rsid w:val="009D5367"/>
    <w:rsid w:val="009F130B"/>
    <w:rsid w:val="00A049FB"/>
    <w:rsid w:val="00A15DA6"/>
    <w:rsid w:val="00A34616"/>
    <w:rsid w:val="00A36DFA"/>
    <w:rsid w:val="00A4757E"/>
    <w:rsid w:val="00A516E3"/>
    <w:rsid w:val="00A52372"/>
    <w:rsid w:val="00A55ABE"/>
    <w:rsid w:val="00A55B95"/>
    <w:rsid w:val="00A56E68"/>
    <w:rsid w:val="00A6112A"/>
    <w:rsid w:val="00A617BE"/>
    <w:rsid w:val="00A76C04"/>
    <w:rsid w:val="00A81AC5"/>
    <w:rsid w:val="00A82DE0"/>
    <w:rsid w:val="00A82FD2"/>
    <w:rsid w:val="00AA0671"/>
    <w:rsid w:val="00AA2593"/>
    <w:rsid w:val="00AB4A52"/>
    <w:rsid w:val="00AB56EE"/>
    <w:rsid w:val="00AD0BF7"/>
    <w:rsid w:val="00AE1433"/>
    <w:rsid w:val="00AE317E"/>
    <w:rsid w:val="00AF23B7"/>
    <w:rsid w:val="00AF4E0A"/>
    <w:rsid w:val="00B2092B"/>
    <w:rsid w:val="00B21136"/>
    <w:rsid w:val="00B22518"/>
    <w:rsid w:val="00B23653"/>
    <w:rsid w:val="00B25A93"/>
    <w:rsid w:val="00B266DA"/>
    <w:rsid w:val="00B3133E"/>
    <w:rsid w:val="00B327A4"/>
    <w:rsid w:val="00B32BB4"/>
    <w:rsid w:val="00B3622F"/>
    <w:rsid w:val="00B42496"/>
    <w:rsid w:val="00B6665B"/>
    <w:rsid w:val="00B66B28"/>
    <w:rsid w:val="00B70C1F"/>
    <w:rsid w:val="00B725BB"/>
    <w:rsid w:val="00B72B2D"/>
    <w:rsid w:val="00B74ACA"/>
    <w:rsid w:val="00B776AC"/>
    <w:rsid w:val="00B82E59"/>
    <w:rsid w:val="00B842F5"/>
    <w:rsid w:val="00B87736"/>
    <w:rsid w:val="00B926B0"/>
    <w:rsid w:val="00B97653"/>
    <w:rsid w:val="00BA24AD"/>
    <w:rsid w:val="00BA3BDA"/>
    <w:rsid w:val="00BA5C26"/>
    <w:rsid w:val="00BB0368"/>
    <w:rsid w:val="00BB4313"/>
    <w:rsid w:val="00BC44B5"/>
    <w:rsid w:val="00BC7F98"/>
    <w:rsid w:val="00BD328B"/>
    <w:rsid w:val="00BD41DF"/>
    <w:rsid w:val="00BD6705"/>
    <w:rsid w:val="00BE2707"/>
    <w:rsid w:val="00BF27E8"/>
    <w:rsid w:val="00C07D5C"/>
    <w:rsid w:val="00C10AC1"/>
    <w:rsid w:val="00C125B8"/>
    <w:rsid w:val="00C21E3C"/>
    <w:rsid w:val="00C50476"/>
    <w:rsid w:val="00C7055B"/>
    <w:rsid w:val="00C73A67"/>
    <w:rsid w:val="00C83EBD"/>
    <w:rsid w:val="00C902F0"/>
    <w:rsid w:val="00C9049D"/>
    <w:rsid w:val="00C964F0"/>
    <w:rsid w:val="00CA708F"/>
    <w:rsid w:val="00CB66F6"/>
    <w:rsid w:val="00CC15B9"/>
    <w:rsid w:val="00CD1CE6"/>
    <w:rsid w:val="00CD3BBF"/>
    <w:rsid w:val="00CD7A0D"/>
    <w:rsid w:val="00CF0DC6"/>
    <w:rsid w:val="00CF34C4"/>
    <w:rsid w:val="00D07E91"/>
    <w:rsid w:val="00D131A3"/>
    <w:rsid w:val="00D261A1"/>
    <w:rsid w:val="00D40664"/>
    <w:rsid w:val="00D50494"/>
    <w:rsid w:val="00D61744"/>
    <w:rsid w:val="00D6257B"/>
    <w:rsid w:val="00D642AB"/>
    <w:rsid w:val="00D70388"/>
    <w:rsid w:val="00D83210"/>
    <w:rsid w:val="00D85016"/>
    <w:rsid w:val="00D86439"/>
    <w:rsid w:val="00D904E9"/>
    <w:rsid w:val="00D91A05"/>
    <w:rsid w:val="00D94C00"/>
    <w:rsid w:val="00DB4126"/>
    <w:rsid w:val="00DC3A26"/>
    <w:rsid w:val="00DC7063"/>
    <w:rsid w:val="00DD4F59"/>
    <w:rsid w:val="00DD5A8C"/>
    <w:rsid w:val="00DE18F5"/>
    <w:rsid w:val="00DE3F06"/>
    <w:rsid w:val="00DF20E6"/>
    <w:rsid w:val="00DF695C"/>
    <w:rsid w:val="00E10C03"/>
    <w:rsid w:val="00E132EA"/>
    <w:rsid w:val="00E250B8"/>
    <w:rsid w:val="00E425C5"/>
    <w:rsid w:val="00E52C9C"/>
    <w:rsid w:val="00E53204"/>
    <w:rsid w:val="00E67535"/>
    <w:rsid w:val="00EB3B74"/>
    <w:rsid w:val="00EB3BA5"/>
    <w:rsid w:val="00EB679D"/>
    <w:rsid w:val="00EC0FB9"/>
    <w:rsid w:val="00EE04CB"/>
    <w:rsid w:val="00EE30F2"/>
    <w:rsid w:val="00EE6B4D"/>
    <w:rsid w:val="00EF13ED"/>
    <w:rsid w:val="00F12F48"/>
    <w:rsid w:val="00F14A1E"/>
    <w:rsid w:val="00F17036"/>
    <w:rsid w:val="00F23768"/>
    <w:rsid w:val="00F25770"/>
    <w:rsid w:val="00F36A95"/>
    <w:rsid w:val="00F41590"/>
    <w:rsid w:val="00F70DAF"/>
    <w:rsid w:val="00F71B2E"/>
    <w:rsid w:val="00F73F20"/>
    <w:rsid w:val="00F7563B"/>
    <w:rsid w:val="00F76B25"/>
    <w:rsid w:val="00F85119"/>
    <w:rsid w:val="00FA3267"/>
    <w:rsid w:val="00FA42F2"/>
    <w:rsid w:val="00FB7ADE"/>
    <w:rsid w:val="00FD6107"/>
    <w:rsid w:val="00FE21F8"/>
    <w:rsid w:val="00FE3134"/>
    <w:rsid w:val="00FE4F50"/>
    <w:rsid w:val="00FE5631"/>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8B"/>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8B"/>
    <w:rPr>
      <w:color w:val="0563C1" w:themeColor="hyperlink"/>
      <w:u w:val="single"/>
    </w:rPr>
  </w:style>
  <w:style w:type="paragraph" w:styleId="Header">
    <w:name w:val="header"/>
    <w:basedOn w:val="Normal"/>
    <w:link w:val="HeaderChar"/>
    <w:uiPriority w:val="99"/>
    <w:unhideWhenUsed/>
    <w:rsid w:val="00BD328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328B"/>
    <w:rPr>
      <w:rFonts w:ascii="Calibri" w:eastAsia="Calibri" w:hAnsi="Calibri" w:cs="Times New Roman"/>
      <w:lang w:val="es-MX"/>
    </w:rPr>
  </w:style>
  <w:style w:type="paragraph" w:styleId="ListParagraph">
    <w:name w:val="List Paragraph"/>
    <w:basedOn w:val="Normal"/>
    <w:uiPriority w:val="34"/>
    <w:qFormat/>
    <w:rsid w:val="00BD328B"/>
    <w:pPr>
      <w:ind w:left="720"/>
      <w:contextualSpacing/>
    </w:pPr>
  </w:style>
  <w:style w:type="table" w:customStyle="1" w:styleId="Tabladelista2-nfasis11">
    <w:name w:val="Tabla de lista 2 - Énfasis 11"/>
    <w:basedOn w:val="TableNormal"/>
    <w:uiPriority w:val="47"/>
    <w:rsid w:val="00BD328B"/>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C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C7"/>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5909E8"/>
    <w:rPr>
      <w:sz w:val="16"/>
      <w:szCs w:val="16"/>
    </w:rPr>
  </w:style>
  <w:style w:type="paragraph" w:styleId="CommentText">
    <w:name w:val="annotation text"/>
    <w:basedOn w:val="Normal"/>
    <w:link w:val="CommentTextChar"/>
    <w:uiPriority w:val="99"/>
    <w:semiHidden/>
    <w:unhideWhenUsed/>
    <w:rsid w:val="005909E8"/>
    <w:pPr>
      <w:spacing w:line="240" w:lineRule="auto"/>
    </w:pPr>
    <w:rPr>
      <w:sz w:val="20"/>
      <w:szCs w:val="20"/>
    </w:rPr>
  </w:style>
  <w:style w:type="character" w:customStyle="1" w:styleId="CommentTextChar">
    <w:name w:val="Comment Text Char"/>
    <w:basedOn w:val="DefaultParagraphFont"/>
    <w:link w:val="CommentText"/>
    <w:uiPriority w:val="99"/>
    <w:semiHidden/>
    <w:rsid w:val="005909E8"/>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5909E8"/>
    <w:rPr>
      <w:b/>
      <w:bCs/>
    </w:rPr>
  </w:style>
  <w:style w:type="character" w:customStyle="1" w:styleId="CommentSubjectChar">
    <w:name w:val="Comment Subject Char"/>
    <w:basedOn w:val="CommentTextChar"/>
    <w:link w:val="CommentSubject"/>
    <w:uiPriority w:val="99"/>
    <w:semiHidden/>
    <w:rsid w:val="005909E8"/>
    <w:rPr>
      <w:rFonts w:ascii="Calibri" w:eastAsia="Calibri" w:hAnsi="Calibri" w:cs="Times New Roman"/>
      <w:b/>
      <w:bCs/>
      <w:sz w:val="20"/>
      <w:szCs w:val="20"/>
      <w:lang w:val="es-MX"/>
    </w:rPr>
  </w:style>
  <w:style w:type="paragraph" w:styleId="Footer">
    <w:name w:val="footer"/>
    <w:basedOn w:val="Normal"/>
    <w:link w:val="FooterChar"/>
    <w:uiPriority w:val="99"/>
    <w:unhideWhenUsed/>
    <w:rsid w:val="00453CA1"/>
    <w:pPr>
      <w:tabs>
        <w:tab w:val="center" w:pos="4419"/>
        <w:tab w:val="right" w:pos="8838"/>
      </w:tabs>
      <w:spacing w:after="0" w:line="240" w:lineRule="auto"/>
    </w:pPr>
  </w:style>
  <w:style w:type="character" w:customStyle="1" w:styleId="FooterChar">
    <w:name w:val="Footer Char"/>
    <w:basedOn w:val="DefaultParagraphFont"/>
    <w:link w:val="Footer"/>
    <w:uiPriority w:val="99"/>
    <w:rsid w:val="00453CA1"/>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9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5sp/Honduras59.03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492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61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C6E1-5068-4B15-B098-5DB2D222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3668</Words>
  <Characters>20909</Characters>
  <Application>Microsoft Office Word</Application>
  <DocSecurity>0</DocSecurity>
  <Lines>174</Lines>
  <Paragraphs>49</Paragraphs>
  <ScaleCrop>false</ScaleCrop>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2021-02-11T09:47:00Z</dcterms:created>
  <dcterms:modified xsi:type="dcterms:W3CDTF">2021-02-11T09:47:00Z</dcterms:modified>
</cp:coreProperties>
</file>