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C0024" w14:textId="77777777" w:rsidR="00702D7F" w:rsidRDefault="00702D7F" w:rsidP="00CD17CA">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2EC8E717" wp14:editId="6C5616F9">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3DBC4272" wp14:editId="7A4DF025">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1B02A864" wp14:editId="5002BC00">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4E61FD" w14:textId="77777777" w:rsidR="00702D7F" w:rsidRPr="00411A74" w:rsidRDefault="00702D7F" w:rsidP="00CD17CA">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0811D299" w14:textId="654F4DFA" w:rsidR="00702D7F" w:rsidRDefault="00702D7F" w:rsidP="00702D7F">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2E6F5C8B" w14:textId="77777777" w:rsidR="00702D7F" w:rsidRDefault="00702D7F" w:rsidP="00702D7F">
      <w:pPr>
        <w:spacing w:after="0" w:line="240" w:lineRule="auto"/>
        <w:jc w:val="center"/>
        <w:outlineLvl w:val="0"/>
        <w:rPr>
          <w:rFonts w:ascii="Calibri Light" w:hAnsi="Calibri Light"/>
          <w:b/>
          <w:i/>
          <w:lang w:val="es-PE"/>
        </w:rPr>
      </w:pPr>
    </w:p>
    <w:tbl>
      <w:tblPr>
        <w:tblStyle w:val="Tabladelista2-nfasis11"/>
        <w:tblW w:w="0" w:type="auto"/>
        <w:tblInd w:w="0" w:type="dxa"/>
        <w:tblLook w:val="04A0" w:firstRow="1" w:lastRow="0" w:firstColumn="1" w:lastColumn="0" w:noHBand="0" w:noVBand="1"/>
      </w:tblPr>
      <w:tblGrid>
        <w:gridCol w:w="3586"/>
        <w:gridCol w:w="2343"/>
        <w:gridCol w:w="2575"/>
      </w:tblGrid>
      <w:tr w:rsidR="00846B0D" w14:paraId="209E4EFB" w14:textId="77777777" w:rsidTr="00846B0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hideMark/>
          </w:tcPr>
          <w:p w14:paraId="6F04A797" w14:textId="77777777" w:rsidR="00846B0D" w:rsidRDefault="00846B0D" w:rsidP="007C6E71">
            <w:pPr>
              <w:pStyle w:val="ListParagraph"/>
              <w:numPr>
                <w:ilvl w:val="0"/>
                <w:numId w:val="1"/>
              </w:numPr>
              <w:spacing w:after="0" w:line="240" w:lineRule="auto"/>
              <w:jc w:val="center"/>
              <w:rPr>
                <w:rFonts w:ascii="Calibri Light" w:hAnsi="Calibri Light"/>
              </w:rPr>
            </w:pPr>
            <w:r>
              <w:rPr>
                <w:rFonts w:ascii="Calibri Light" w:hAnsi="Calibri Light"/>
              </w:rPr>
              <w:t>Datos generales</w:t>
            </w:r>
          </w:p>
        </w:tc>
      </w:tr>
      <w:tr w:rsidR="00846B0D" w14:paraId="663A7BBB" w14:textId="77777777" w:rsidTr="00846B0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7448C839" w14:textId="77777777" w:rsidR="00846B0D" w:rsidRDefault="00846B0D" w:rsidP="007C6E71">
            <w:pPr>
              <w:pStyle w:val="ListParagraph"/>
              <w:numPr>
                <w:ilvl w:val="0"/>
                <w:numId w:val="2"/>
              </w:numPr>
              <w:spacing w:after="0" w:line="240" w:lineRule="auto"/>
              <w:rPr>
                <w:rFonts w:ascii="Calibri Light" w:hAnsi="Calibri Light"/>
              </w:rPr>
            </w:pPr>
            <w:r>
              <w:rPr>
                <w:rFonts w:ascii="Calibri Light" w:hAnsi="Calibri Light"/>
              </w:rPr>
              <w:t>Nombre del caso</w:t>
            </w:r>
          </w:p>
        </w:tc>
        <w:tc>
          <w:tcPr>
            <w:tcW w:w="4918" w:type="dxa"/>
            <w:gridSpan w:val="2"/>
            <w:tcBorders>
              <w:top w:val="single" w:sz="4" w:space="0" w:color="9CC2E5" w:themeColor="accent1" w:themeTint="99"/>
              <w:left w:val="nil"/>
              <w:bottom w:val="single" w:sz="4" w:space="0" w:color="9CC2E5" w:themeColor="accent1" w:themeTint="99"/>
              <w:right w:val="nil"/>
            </w:tcBorders>
            <w:hideMark/>
          </w:tcPr>
          <w:p w14:paraId="27363921" w14:textId="77777777" w:rsidR="00846B0D" w:rsidRDefault="00846B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Julio César Ramón Del Valle Ambrosio y Carlos Eduardo Domínguez Linares, Argentina</w:t>
            </w:r>
          </w:p>
        </w:tc>
      </w:tr>
      <w:tr w:rsidR="00846B0D" w14:paraId="486E1207" w14:textId="77777777" w:rsidTr="00846B0D">
        <w:trPr>
          <w:trHeight w:val="263"/>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6CA99F7B" w14:textId="77777777" w:rsidR="00846B0D" w:rsidRDefault="00242BF6" w:rsidP="007C6E71">
            <w:pPr>
              <w:pStyle w:val="ListParagraph"/>
              <w:numPr>
                <w:ilvl w:val="0"/>
                <w:numId w:val="2"/>
              </w:numPr>
              <w:spacing w:after="0" w:line="240" w:lineRule="auto"/>
              <w:rPr>
                <w:rFonts w:ascii="Calibri Light" w:hAnsi="Calibri Light"/>
              </w:rPr>
            </w:pPr>
            <w:r>
              <w:rPr>
                <w:rFonts w:ascii="Calibri Light" w:hAnsi="Calibri Light"/>
              </w:rPr>
              <w:t>P</w:t>
            </w:r>
            <w:r w:rsidR="00846B0D">
              <w:rPr>
                <w:rFonts w:ascii="Calibri Light" w:hAnsi="Calibri Light"/>
              </w:rPr>
              <w:t>arte peticionaria</w:t>
            </w:r>
          </w:p>
        </w:tc>
        <w:tc>
          <w:tcPr>
            <w:tcW w:w="4918" w:type="dxa"/>
            <w:gridSpan w:val="2"/>
            <w:tcBorders>
              <w:top w:val="single" w:sz="4" w:space="0" w:color="9CC2E5" w:themeColor="accent1" w:themeTint="99"/>
              <w:left w:val="nil"/>
              <w:bottom w:val="single" w:sz="4" w:space="0" w:color="9CC2E5" w:themeColor="accent1" w:themeTint="99"/>
              <w:right w:val="nil"/>
            </w:tcBorders>
            <w:hideMark/>
          </w:tcPr>
          <w:p w14:paraId="425816C3" w14:textId="77777777" w:rsidR="00846B0D" w:rsidRDefault="00846B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Ramiro Hernán Rúa</w:t>
            </w:r>
          </w:p>
        </w:tc>
      </w:tr>
      <w:tr w:rsidR="00846B0D" w14:paraId="602322A6" w14:textId="77777777" w:rsidTr="00846B0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41B6728E" w14:textId="77777777" w:rsidR="00846B0D" w:rsidRDefault="00846B0D" w:rsidP="007C6E71">
            <w:pPr>
              <w:pStyle w:val="ListParagraph"/>
              <w:numPr>
                <w:ilvl w:val="0"/>
                <w:numId w:val="2"/>
              </w:numPr>
              <w:spacing w:after="0" w:line="240" w:lineRule="auto"/>
              <w:rPr>
                <w:rFonts w:ascii="Calibri Light" w:hAnsi="Calibri Light"/>
              </w:rPr>
            </w:pPr>
            <w:r>
              <w:rPr>
                <w:rFonts w:ascii="Calibri Light" w:hAnsi="Calibri Light"/>
              </w:rPr>
              <w:t xml:space="preserve">Número de Informe </w:t>
            </w:r>
          </w:p>
        </w:tc>
        <w:tc>
          <w:tcPr>
            <w:tcW w:w="4918" w:type="dxa"/>
            <w:gridSpan w:val="2"/>
            <w:tcBorders>
              <w:top w:val="single" w:sz="4" w:space="0" w:color="9CC2E5" w:themeColor="accent1" w:themeTint="99"/>
              <w:left w:val="nil"/>
              <w:bottom w:val="single" w:sz="4" w:space="0" w:color="9CC2E5" w:themeColor="accent1" w:themeTint="99"/>
              <w:right w:val="nil"/>
            </w:tcBorders>
            <w:hideMark/>
          </w:tcPr>
          <w:p w14:paraId="0F558D87" w14:textId="77777777" w:rsidR="00846B0D" w:rsidRPr="0017283F" w:rsidRDefault="00CE5D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0000FF"/>
              </w:rPr>
            </w:pPr>
            <w:hyperlink r:id="rId12" w:history="1">
              <w:r w:rsidR="00846B0D" w:rsidRPr="0017283F">
                <w:rPr>
                  <w:rStyle w:val="Hyperlink"/>
                  <w:rFonts w:ascii="Calibri Light" w:hAnsi="Calibri Light"/>
                  <w:color w:val="0000FF"/>
                </w:rPr>
                <w:t>Informe No. 97/17</w:t>
              </w:r>
            </w:hyperlink>
          </w:p>
        </w:tc>
      </w:tr>
      <w:tr w:rsidR="00846B0D" w14:paraId="25FB8C05" w14:textId="77777777" w:rsidTr="00846B0D">
        <w:trPr>
          <w:trHeight w:val="212"/>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3EF51365" w14:textId="77777777" w:rsidR="00846B0D" w:rsidRDefault="00846B0D" w:rsidP="007C6E71">
            <w:pPr>
              <w:pStyle w:val="ListParagraph"/>
              <w:numPr>
                <w:ilvl w:val="0"/>
                <w:numId w:val="2"/>
              </w:numPr>
              <w:spacing w:after="0" w:line="240" w:lineRule="auto"/>
            </w:pPr>
            <w:r>
              <w:rPr>
                <w:rFonts w:ascii="Calibri Light" w:hAnsi="Calibri Light"/>
              </w:rPr>
              <w:t xml:space="preserve">Tipo de informe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5AF5E268" w14:textId="77777777" w:rsidR="00846B0D" w:rsidRDefault="00846B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Fondo (Caso en la Corte IDH)</w:t>
            </w:r>
          </w:p>
        </w:tc>
      </w:tr>
      <w:tr w:rsidR="00846B0D" w14:paraId="63322A31" w14:textId="77777777" w:rsidTr="00846B0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3E37664C" w14:textId="77777777" w:rsidR="00846B0D" w:rsidRDefault="00846B0D" w:rsidP="007C6E71">
            <w:pPr>
              <w:pStyle w:val="ListParagraph"/>
              <w:numPr>
                <w:ilvl w:val="0"/>
                <w:numId w:val="2"/>
              </w:numPr>
              <w:spacing w:after="0" w:line="240" w:lineRule="auto"/>
              <w:rPr>
                <w:rFonts w:ascii="Calibri Light" w:hAnsi="Calibri Light"/>
              </w:rPr>
            </w:pPr>
            <w:r>
              <w:rPr>
                <w:rFonts w:ascii="Calibri Light" w:hAnsi="Calibri Light"/>
              </w:rPr>
              <w:t xml:space="preserve">Fecha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6E5C3A36" w14:textId="77777777" w:rsidR="00846B0D" w:rsidRDefault="00846B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5 de septiembre de 2017</w:t>
            </w:r>
          </w:p>
        </w:tc>
      </w:tr>
      <w:tr w:rsidR="00846B0D" w14:paraId="5767ADB7" w14:textId="77777777" w:rsidTr="00846B0D">
        <w:trPr>
          <w:trHeight w:val="567"/>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16898E51" w14:textId="77777777" w:rsidR="00846B0D" w:rsidRDefault="00846B0D" w:rsidP="007C6E71">
            <w:pPr>
              <w:pStyle w:val="ListParagraph"/>
              <w:numPr>
                <w:ilvl w:val="0"/>
                <w:numId w:val="2"/>
              </w:numPr>
              <w:spacing w:after="0" w:line="240" w:lineRule="auto"/>
              <w:rPr>
                <w:rFonts w:ascii="Calibri Light" w:hAnsi="Calibri Light"/>
              </w:rPr>
            </w:pPr>
            <w:r>
              <w:rPr>
                <w:rFonts w:ascii="Calibri Light" w:hAnsi="Calibri Light"/>
              </w:rPr>
              <w:t>Decisiones de la CIDH y/o la Corte IDH, relacionadas</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43FE6403" w14:textId="77777777" w:rsidR="00846B0D" w:rsidRDefault="00846B0D" w:rsidP="00846B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No. 35/13 (</w:t>
            </w:r>
            <w:hyperlink r:id="rId13" w:history="1">
              <w:r w:rsidRPr="0017283F">
                <w:rPr>
                  <w:rStyle w:val="Hyperlink"/>
                  <w:rFonts w:ascii="Calibri Light" w:hAnsi="Calibri Light"/>
                  <w:color w:val="0000FF"/>
                </w:rPr>
                <w:t>Admisibilidad</w:t>
              </w:r>
            </w:hyperlink>
            <w:r>
              <w:rPr>
                <w:rFonts w:ascii="Calibri Light" w:hAnsi="Calibri Light"/>
              </w:rPr>
              <w:t>)</w:t>
            </w:r>
          </w:p>
          <w:p w14:paraId="36257E36" w14:textId="5C86CF7A" w:rsidR="00702D7F" w:rsidRDefault="00702D7F" w:rsidP="00846B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Valle Ambrosio y otro vs. Argentina (</w:t>
            </w:r>
            <w:hyperlink r:id="rId14" w:history="1">
              <w:r w:rsidRPr="00702D7F">
                <w:rPr>
                  <w:rStyle w:val="Hyperlink"/>
                  <w:rFonts w:ascii="Calibri Light" w:hAnsi="Calibri Light"/>
                  <w:color w:val="0432FF"/>
                </w:rPr>
                <w:t>Sentencia de 20 de julio de 2020</w:t>
              </w:r>
            </w:hyperlink>
            <w:r>
              <w:rPr>
                <w:rFonts w:ascii="Calibri Light" w:hAnsi="Calibri Light"/>
              </w:rPr>
              <w:t>)</w:t>
            </w:r>
          </w:p>
        </w:tc>
      </w:tr>
      <w:tr w:rsidR="00846B0D" w14:paraId="17357E87" w14:textId="77777777" w:rsidTr="00846B0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6" w:type="dxa"/>
            <w:vMerge w:val="restart"/>
            <w:tcBorders>
              <w:top w:val="single" w:sz="4" w:space="0" w:color="9CC2E5" w:themeColor="accent1" w:themeTint="99"/>
              <w:left w:val="nil"/>
              <w:bottom w:val="single" w:sz="4" w:space="0" w:color="9CC2E5" w:themeColor="accent1" w:themeTint="99"/>
              <w:right w:val="nil"/>
            </w:tcBorders>
            <w:hideMark/>
          </w:tcPr>
          <w:p w14:paraId="3F8025FD" w14:textId="77777777" w:rsidR="00846B0D" w:rsidRDefault="00846B0D" w:rsidP="007C6E71">
            <w:pPr>
              <w:pStyle w:val="ListParagraph"/>
              <w:numPr>
                <w:ilvl w:val="0"/>
                <w:numId w:val="2"/>
              </w:numPr>
              <w:spacing w:after="0" w:line="240" w:lineRule="auto"/>
              <w:rPr>
                <w:rFonts w:ascii="Calibri Light" w:hAnsi="Calibri Light"/>
              </w:rPr>
            </w:pPr>
            <w:r>
              <w:rPr>
                <w:rFonts w:ascii="Calibri Light" w:hAnsi="Calibri Light"/>
              </w:rPr>
              <w:t xml:space="preserve">Artículos analizados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323E32F4" w14:textId="77777777" w:rsidR="00846B0D" w:rsidRDefault="00846B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Convención Americana sobre Derechos Humanos</w:t>
            </w:r>
          </w:p>
        </w:tc>
      </w:tr>
      <w:tr w:rsidR="00846B0D" w14:paraId="60998500" w14:textId="77777777" w:rsidTr="00846B0D">
        <w:trPr>
          <w:trHeight w:val="51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1" w:themeTint="99"/>
              <w:left w:val="nil"/>
              <w:bottom w:val="single" w:sz="4" w:space="0" w:color="9CC2E5" w:themeColor="accent1" w:themeTint="99"/>
              <w:right w:val="nil"/>
            </w:tcBorders>
            <w:vAlign w:val="center"/>
            <w:hideMark/>
          </w:tcPr>
          <w:p w14:paraId="7A43CA3F" w14:textId="77777777" w:rsidR="00846B0D" w:rsidRDefault="00846B0D">
            <w:pPr>
              <w:spacing w:after="0" w:line="240" w:lineRule="auto"/>
              <w:rPr>
                <w:rFonts w:ascii="Calibri Light" w:hAnsi="Calibri Light"/>
              </w:rPr>
            </w:pPr>
          </w:p>
        </w:tc>
        <w:tc>
          <w:tcPr>
            <w:tcW w:w="2343" w:type="dxa"/>
            <w:tcBorders>
              <w:top w:val="single" w:sz="4" w:space="0" w:color="9CC2E5" w:themeColor="accent1" w:themeTint="99"/>
              <w:left w:val="nil"/>
              <w:bottom w:val="single" w:sz="4" w:space="0" w:color="9CC2E5" w:themeColor="accent1" w:themeTint="99"/>
              <w:right w:val="nil"/>
            </w:tcBorders>
            <w:vAlign w:val="center"/>
            <w:hideMark/>
          </w:tcPr>
          <w:p w14:paraId="15B2BE7D" w14:textId="77777777" w:rsidR="00846B0D" w:rsidRDefault="00846B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declarados violados</w:t>
            </w:r>
          </w:p>
        </w:tc>
        <w:tc>
          <w:tcPr>
            <w:tcW w:w="2575" w:type="dxa"/>
            <w:tcBorders>
              <w:top w:val="single" w:sz="4" w:space="0" w:color="9CC2E5" w:themeColor="accent1" w:themeTint="99"/>
              <w:left w:val="nil"/>
              <w:bottom w:val="single" w:sz="4" w:space="0" w:color="9CC2E5" w:themeColor="accent1" w:themeTint="99"/>
              <w:right w:val="nil"/>
            </w:tcBorders>
            <w:vAlign w:val="center"/>
            <w:hideMark/>
          </w:tcPr>
          <w:p w14:paraId="05426E99" w14:textId="77777777" w:rsidR="00846B0D" w:rsidRDefault="00846B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no declarados violados</w:t>
            </w:r>
          </w:p>
        </w:tc>
      </w:tr>
      <w:tr w:rsidR="00846B0D" w14:paraId="5D74EB04" w14:textId="77777777" w:rsidTr="00846B0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1" w:themeTint="99"/>
              <w:left w:val="nil"/>
              <w:bottom w:val="single" w:sz="4" w:space="0" w:color="9CC2E5" w:themeColor="accent1" w:themeTint="99"/>
              <w:right w:val="nil"/>
            </w:tcBorders>
            <w:vAlign w:val="center"/>
            <w:hideMark/>
          </w:tcPr>
          <w:p w14:paraId="7C902B49" w14:textId="77777777" w:rsidR="00846B0D" w:rsidRDefault="00846B0D">
            <w:pPr>
              <w:spacing w:after="0" w:line="240" w:lineRule="auto"/>
              <w:rPr>
                <w:rFonts w:ascii="Calibri Light" w:hAnsi="Calibri Light"/>
              </w:rPr>
            </w:pPr>
          </w:p>
        </w:tc>
        <w:tc>
          <w:tcPr>
            <w:tcW w:w="2343" w:type="dxa"/>
            <w:tcBorders>
              <w:top w:val="single" w:sz="4" w:space="0" w:color="9CC2E5" w:themeColor="accent1" w:themeTint="99"/>
              <w:left w:val="nil"/>
              <w:bottom w:val="single" w:sz="4" w:space="0" w:color="9CC2E5" w:themeColor="accent1" w:themeTint="99"/>
              <w:right w:val="nil"/>
            </w:tcBorders>
            <w:vAlign w:val="center"/>
          </w:tcPr>
          <w:p w14:paraId="41D98B00" w14:textId="77777777" w:rsidR="00846B0D" w:rsidRDefault="00856408" w:rsidP="0085640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Pr>
                <w:rFonts w:ascii="Calibri Light" w:hAnsi="Calibri Light"/>
                <w:lang w:val="en-US"/>
              </w:rPr>
              <w:t>Art. 1, a</w:t>
            </w:r>
            <w:r w:rsidR="009A6D7A">
              <w:rPr>
                <w:rFonts w:ascii="Calibri Light" w:hAnsi="Calibri Light"/>
                <w:lang w:val="en-US"/>
              </w:rPr>
              <w:t>rt. 2, a</w:t>
            </w:r>
            <w:r w:rsidR="00157F31">
              <w:rPr>
                <w:rFonts w:ascii="Calibri Light" w:hAnsi="Calibri Light"/>
                <w:lang w:val="en-US"/>
              </w:rPr>
              <w:t>rt. 8, art. 25</w:t>
            </w:r>
          </w:p>
        </w:tc>
        <w:tc>
          <w:tcPr>
            <w:tcW w:w="2575" w:type="dxa"/>
            <w:tcBorders>
              <w:top w:val="single" w:sz="4" w:space="0" w:color="9CC2E5" w:themeColor="accent1" w:themeTint="99"/>
              <w:left w:val="nil"/>
              <w:bottom w:val="single" w:sz="4" w:space="0" w:color="9CC2E5" w:themeColor="accent1" w:themeTint="99"/>
              <w:right w:val="nil"/>
            </w:tcBorders>
            <w:vAlign w:val="center"/>
          </w:tcPr>
          <w:p w14:paraId="51B66607" w14:textId="77777777" w:rsidR="00846B0D" w:rsidRDefault="0085640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w:t>
            </w:r>
          </w:p>
        </w:tc>
      </w:tr>
      <w:tr w:rsidR="00846B0D" w14:paraId="75D1137C" w14:textId="77777777" w:rsidTr="00846B0D">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hideMark/>
          </w:tcPr>
          <w:p w14:paraId="6968D570" w14:textId="77777777" w:rsidR="00846B0D" w:rsidRDefault="00846B0D" w:rsidP="007C6E71">
            <w:pPr>
              <w:pStyle w:val="ListParagraph"/>
              <w:numPr>
                <w:ilvl w:val="0"/>
                <w:numId w:val="1"/>
              </w:numPr>
              <w:spacing w:after="0" w:line="240" w:lineRule="auto"/>
              <w:jc w:val="center"/>
              <w:rPr>
                <w:rFonts w:ascii="Calibri Light" w:hAnsi="Calibri Light"/>
              </w:rPr>
            </w:pPr>
            <w:r>
              <w:rPr>
                <w:rFonts w:ascii="Calibri Light" w:hAnsi="Calibri Light"/>
              </w:rPr>
              <w:t>Sumilla</w:t>
            </w:r>
          </w:p>
        </w:tc>
      </w:tr>
      <w:tr w:rsidR="00846B0D" w14:paraId="5B6E18E6" w14:textId="77777777" w:rsidTr="00846B0D">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70E5682A" w14:textId="77777777" w:rsidR="00846B0D" w:rsidRDefault="00846B0D">
            <w:pPr>
              <w:spacing w:after="0" w:line="240" w:lineRule="auto"/>
              <w:jc w:val="both"/>
              <w:rPr>
                <w:rFonts w:ascii="Calibri Light" w:hAnsi="Calibri Light"/>
                <w:b w:val="0"/>
              </w:rPr>
            </w:pPr>
          </w:p>
          <w:p w14:paraId="36DFFC45" w14:textId="13632E3F" w:rsidR="007D2C14" w:rsidRDefault="0017283F">
            <w:pPr>
              <w:spacing w:after="0" w:line="240" w:lineRule="auto"/>
              <w:jc w:val="both"/>
              <w:rPr>
                <w:rFonts w:ascii="Calibri Light" w:hAnsi="Calibri Light"/>
                <w:b w:val="0"/>
              </w:rPr>
            </w:pPr>
            <w:r>
              <w:rPr>
                <w:rFonts w:ascii="Calibri Light" w:hAnsi="Calibri Light"/>
                <w:b w:val="0"/>
              </w:rPr>
              <w:t>El caso trata sobre la ausencia de un recurso efectivo que permitiera a Julio Del Valle Ambrosio y Carlos Domínguez Linares la revisi</w:t>
            </w:r>
            <w:r w:rsidR="00BC0B60">
              <w:rPr>
                <w:rFonts w:ascii="Calibri Light" w:hAnsi="Calibri Light"/>
                <w:b w:val="0"/>
              </w:rPr>
              <w:t xml:space="preserve">ón </w:t>
            </w:r>
            <w:r w:rsidR="00C4108D">
              <w:rPr>
                <w:rFonts w:ascii="Calibri Light" w:hAnsi="Calibri Light"/>
                <w:b w:val="0"/>
              </w:rPr>
              <w:t xml:space="preserve">por un tribunal superior </w:t>
            </w:r>
            <w:r w:rsidR="00BC0B60">
              <w:rPr>
                <w:rFonts w:ascii="Calibri Light" w:hAnsi="Calibri Light"/>
                <w:b w:val="0"/>
              </w:rPr>
              <w:t>del fallo que los condenó</w:t>
            </w:r>
            <w:r w:rsidR="00C4108D">
              <w:rPr>
                <w:rFonts w:ascii="Calibri Light" w:hAnsi="Calibri Light"/>
                <w:b w:val="0"/>
              </w:rPr>
              <w:t>.</w:t>
            </w:r>
            <w:r w:rsidR="00997BC0">
              <w:rPr>
                <w:rFonts w:ascii="Calibri Light" w:hAnsi="Calibri Light"/>
                <w:b w:val="0"/>
              </w:rPr>
              <w:t xml:space="preserve"> </w:t>
            </w:r>
            <w:r w:rsidR="00C4108D">
              <w:rPr>
                <w:rFonts w:ascii="Calibri Light" w:hAnsi="Calibri Light"/>
                <w:b w:val="0"/>
              </w:rPr>
              <w:t xml:space="preserve">Esto </w:t>
            </w:r>
            <w:r w:rsidR="00997BC0">
              <w:rPr>
                <w:rFonts w:ascii="Calibri Light" w:hAnsi="Calibri Light"/>
                <w:b w:val="0"/>
              </w:rPr>
              <w:t xml:space="preserve">debido a que el recurso </w:t>
            </w:r>
            <w:r w:rsidR="00C4108D">
              <w:rPr>
                <w:rFonts w:ascii="Calibri Light" w:hAnsi="Calibri Light"/>
                <w:b w:val="0"/>
              </w:rPr>
              <w:t xml:space="preserve">de casación, </w:t>
            </w:r>
            <w:r w:rsidR="00997BC0">
              <w:rPr>
                <w:rFonts w:ascii="Calibri Light" w:hAnsi="Calibri Light"/>
                <w:b w:val="0"/>
              </w:rPr>
              <w:t>previsto para ello</w:t>
            </w:r>
            <w:r w:rsidR="00C4108D">
              <w:rPr>
                <w:rFonts w:ascii="Calibri Light" w:hAnsi="Calibri Light"/>
                <w:b w:val="0"/>
              </w:rPr>
              <w:t>,</w:t>
            </w:r>
            <w:r w:rsidR="00997BC0">
              <w:rPr>
                <w:rFonts w:ascii="Calibri Light" w:hAnsi="Calibri Light"/>
                <w:b w:val="0"/>
              </w:rPr>
              <w:t xml:space="preserve"> se limitaba al análisis de una posible inobservancia o errónea aplicación de la ley, m</w:t>
            </w:r>
            <w:r w:rsidR="00C4108D">
              <w:rPr>
                <w:rFonts w:ascii="Calibri Light" w:hAnsi="Calibri Light"/>
                <w:b w:val="0"/>
              </w:rPr>
              <w:t>a</w:t>
            </w:r>
            <w:r w:rsidR="00997BC0">
              <w:rPr>
                <w:rFonts w:ascii="Calibri Light" w:hAnsi="Calibri Light"/>
                <w:b w:val="0"/>
              </w:rPr>
              <w:t>s no pe</w:t>
            </w:r>
            <w:r w:rsidR="00F80331">
              <w:rPr>
                <w:rFonts w:ascii="Calibri Light" w:hAnsi="Calibri Light"/>
                <w:b w:val="0"/>
              </w:rPr>
              <w:t>rmitía el análisis de problemas vinculados con los</w:t>
            </w:r>
            <w:r w:rsidR="00997BC0">
              <w:rPr>
                <w:rFonts w:ascii="Calibri Light" w:hAnsi="Calibri Light"/>
                <w:b w:val="0"/>
              </w:rPr>
              <w:t xml:space="preserve"> hecho</w:t>
            </w:r>
            <w:r w:rsidR="00F80331">
              <w:rPr>
                <w:rFonts w:ascii="Calibri Light" w:hAnsi="Calibri Light"/>
                <w:b w:val="0"/>
              </w:rPr>
              <w:t>s o la</w:t>
            </w:r>
            <w:r w:rsidR="00997BC0">
              <w:rPr>
                <w:rFonts w:ascii="Calibri Light" w:hAnsi="Calibri Light"/>
                <w:b w:val="0"/>
              </w:rPr>
              <w:t xml:space="preserve"> valoración probatoria.</w:t>
            </w:r>
            <w:r w:rsidR="000869C2">
              <w:rPr>
                <w:rFonts w:ascii="Calibri Light" w:hAnsi="Calibri Light"/>
                <w:b w:val="0"/>
              </w:rPr>
              <w:t xml:space="preserve"> </w:t>
            </w:r>
          </w:p>
          <w:p w14:paraId="49DDC226" w14:textId="77777777" w:rsidR="00846B0D" w:rsidRDefault="00846B0D" w:rsidP="00846B0D">
            <w:pPr>
              <w:spacing w:after="0" w:line="240" w:lineRule="auto"/>
              <w:jc w:val="both"/>
              <w:rPr>
                <w:rFonts w:ascii="Calibri Light" w:hAnsi="Calibri Light"/>
                <w:b w:val="0"/>
              </w:rPr>
            </w:pPr>
          </w:p>
        </w:tc>
      </w:tr>
      <w:tr w:rsidR="00846B0D" w14:paraId="7D2D1A52" w14:textId="77777777" w:rsidTr="00846B0D">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hideMark/>
          </w:tcPr>
          <w:p w14:paraId="29BE1B61" w14:textId="77777777" w:rsidR="00846B0D" w:rsidRDefault="00846B0D" w:rsidP="007C6E71">
            <w:pPr>
              <w:pStyle w:val="ListParagraph"/>
              <w:numPr>
                <w:ilvl w:val="0"/>
                <w:numId w:val="1"/>
              </w:numPr>
              <w:spacing w:after="0" w:line="240" w:lineRule="auto"/>
              <w:jc w:val="center"/>
              <w:rPr>
                <w:rFonts w:ascii="Calibri Light" w:hAnsi="Calibri Light"/>
              </w:rPr>
            </w:pPr>
            <w:r>
              <w:rPr>
                <w:rFonts w:ascii="Calibri Light" w:hAnsi="Calibri Light"/>
              </w:rPr>
              <w:t>Palabras clave</w:t>
            </w:r>
          </w:p>
        </w:tc>
      </w:tr>
      <w:tr w:rsidR="00846B0D" w14:paraId="30048350" w14:textId="77777777" w:rsidTr="001A658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4657C3EF" w14:textId="77777777" w:rsidR="003441F2" w:rsidRDefault="003441F2" w:rsidP="003441F2">
            <w:pPr>
              <w:spacing w:after="0" w:line="240" w:lineRule="auto"/>
              <w:rPr>
                <w:rFonts w:ascii="Calibri Light" w:hAnsi="Calibri Light"/>
                <w:b w:val="0"/>
              </w:rPr>
            </w:pPr>
            <w:r w:rsidRPr="003441F2">
              <w:rPr>
                <w:rFonts w:ascii="Calibri Light" w:hAnsi="Calibri Light"/>
                <w:b w:val="0"/>
              </w:rPr>
              <w:t>Protección judicial y garantías judiciales</w:t>
            </w:r>
          </w:p>
        </w:tc>
      </w:tr>
      <w:tr w:rsidR="00846B0D" w14:paraId="66FBF6F1" w14:textId="77777777" w:rsidTr="00846B0D">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hideMark/>
          </w:tcPr>
          <w:p w14:paraId="382E6596" w14:textId="77777777" w:rsidR="00846B0D" w:rsidRDefault="00846B0D" w:rsidP="007C6E71">
            <w:pPr>
              <w:pStyle w:val="ListParagraph"/>
              <w:numPr>
                <w:ilvl w:val="0"/>
                <w:numId w:val="1"/>
              </w:numPr>
              <w:spacing w:after="0" w:line="240" w:lineRule="auto"/>
              <w:jc w:val="center"/>
              <w:rPr>
                <w:rFonts w:ascii="Calibri Light" w:hAnsi="Calibri Light"/>
              </w:rPr>
            </w:pPr>
            <w:r>
              <w:rPr>
                <w:rFonts w:ascii="Calibri Light" w:hAnsi="Calibri Light"/>
              </w:rPr>
              <w:t>Hechos</w:t>
            </w:r>
          </w:p>
        </w:tc>
      </w:tr>
      <w:tr w:rsidR="00846B0D" w14:paraId="1E9A9CCC" w14:textId="77777777" w:rsidTr="00846B0D">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6B3D7861" w14:textId="77777777" w:rsidR="00845916" w:rsidRDefault="00845916">
            <w:pPr>
              <w:spacing w:after="0" w:line="240" w:lineRule="auto"/>
              <w:jc w:val="both"/>
              <w:rPr>
                <w:rFonts w:ascii="Calibri Light" w:hAnsi="Calibri Light"/>
                <w:bCs w:val="0"/>
              </w:rPr>
            </w:pPr>
          </w:p>
          <w:p w14:paraId="3040129B" w14:textId="106A4D64" w:rsidR="00500919" w:rsidRDefault="002D2CDE" w:rsidP="002D2CDE">
            <w:pPr>
              <w:spacing w:after="0" w:line="240" w:lineRule="auto"/>
              <w:jc w:val="both"/>
              <w:rPr>
                <w:rFonts w:ascii="Calibri Light" w:hAnsi="Calibri Light"/>
                <w:b w:val="0"/>
                <w:bCs w:val="0"/>
              </w:rPr>
            </w:pPr>
            <w:r>
              <w:rPr>
                <w:rFonts w:ascii="Calibri Light" w:hAnsi="Calibri Light"/>
                <w:b w:val="0"/>
                <w:bCs w:val="0"/>
              </w:rPr>
              <w:t xml:space="preserve">En </w:t>
            </w:r>
            <w:r w:rsidR="008569B9">
              <w:rPr>
                <w:rFonts w:ascii="Calibri Light" w:hAnsi="Calibri Light"/>
                <w:b w:val="0"/>
                <w:bCs w:val="0"/>
              </w:rPr>
              <w:t xml:space="preserve">diciembre de </w:t>
            </w:r>
            <w:r w:rsidR="0034218E">
              <w:rPr>
                <w:rFonts w:ascii="Calibri Light" w:hAnsi="Calibri Light"/>
                <w:b w:val="0"/>
                <w:bCs w:val="0"/>
              </w:rPr>
              <w:t>1997</w:t>
            </w:r>
            <w:r w:rsidR="00EF038D">
              <w:rPr>
                <w:rFonts w:ascii="Calibri Light" w:hAnsi="Calibri Light"/>
                <w:b w:val="0"/>
                <w:bCs w:val="0"/>
              </w:rPr>
              <w:t xml:space="preserve">, la Cámara Novena del Crimen de Córdoba </w:t>
            </w:r>
            <w:r w:rsidR="0034218E">
              <w:rPr>
                <w:rFonts w:ascii="Calibri Light" w:hAnsi="Calibri Light"/>
                <w:b w:val="0"/>
                <w:bCs w:val="0"/>
              </w:rPr>
              <w:t xml:space="preserve">condenó a tres años y seis meses de prisión a </w:t>
            </w:r>
            <w:r w:rsidR="000C4005">
              <w:rPr>
                <w:rFonts w:ascii="Calibri Light" w:hAnsi="Calibri Light"/>
                <w:b w:val="0"/>
                <w:bCs w:val="0"/>
              </w:rPr>
              <w:t>Julio D</w:t>
            </w:r>
            <w:r w:rsidR="0034218E">
              <w:rPr>
                <w:rFonts w:ascii="Calibri Light" w:hAnsi="Calibri Light"/>
                <w:b w:val="0"/>
                <w:bCs w:val="0"/>
              </w:rPr>
              <w:t xml:space="preserve">el Valle Ambrosio y Carlos Domínguez </w:t>
            </w:r>
            <w:r w:rsidR="000C4005">
              <w:rPr>
                <w:rFonts w:ascii="Calibri Light" w:hAnsi="Calibri Light"/>
                <w:b w:val="0"/>
                <w:bCs w:val="0"/>
              </w:rPr>
              <w:t>Linares como</w:t>
            </w:r>
            <w:r w:rsidR="00EF038D">
              <w:rPr>
                <w:rFonts w:ascii="Calibri Light" w:hAnsi="Calibri Light"/>
                <w:b w:val="0"/>
                <w:bCs w:val="0"/>
              </w:rPr>
              <w:t xml:space="preserve"> cómplices necesarios del delito de defraudación calificada por administración fraudulenta.</w:t>
            </w:r>
            <w:r w:rsidR="00500919">
              <w:rPr>
                <w:rFonts w:ascii="Calibri Light" w:hAnsi="Calibri Light"/>
                <w:b w:val="0"/>
                <w:bCs w:val="0"/>
              </w:rPr>
              <w:t xml:space="preserve"> </w:t>
            </w:r>
            <w:r w:rsidR="00EF038D">
              <w:rPr>
                <w:rFonts w:ascii="Calibri Light" w:hAnsi="Calibri Light"/>
                <w:b w:val="0"/>
                <w:bCs w:val="0"/>
              </w:rPr>
              <w:t xml:space="preserve">Ante ello, </w:t>
            </w:r>
            <w:r w:rsidR="0034218E">
              <w:rPr>
                <w:rFonts w:ascii="Calibri Light" w:hAnsi="Calibri Light"/>
                <w:b w:val="0"/>
                <w:bCs w:val="0"/>
              </w:rPr>
              <w:t>los abogados de los</w:t>
            </w:r>
            <w:r w:rsidR="00EF038D">
              <w:rPr>
                <w:rFonts w:ascii="Calibri Light" w:hAnsi="Calibri Light"/>
                <w:b w:val="0"/>
                <w:bCs w:val="0"/>
              </w:rPr>
              <w:t xml:space="preserve"> señor</w:t>
            </w:r>
            <w:r w:rsidR="0034218E">
              <w:rPr>
                <w:rFonts w:ascii="Calibri Light" w:hAnsi="Calibri Light"/>
                <w:b w:val="0"/>
                <w:bCs w:val="0"/>
              </w:rPr>
              <w:t>es</w:t>
            </w:r>
            <w:r w:rsidR="00EF038D">
              <w:rPr>
                <w:rFonts w:ascii="Calibri Light" w:hAnsi="Calibri Light"/>
                <w:b w:val="0"/>
                <w:bCs w:val="0"/>
              </w:rPr>
              <w:t xml:space="preserve"> Del Valle </w:t>
            </w:r>
            <w:r w:rsidR="0034218E">
              <w:rPr>
                <w:rFonts w:ascii="Calibri Light" w:hAnsi="Calibri Light"/>
                <w:b w:val="0"/>
                <w:bCs w:val="0"/>
              </w:rPr>
              <w:t>y</w:t>
            </w:r>
            <w:r w:rsidR="00EF038D">
              <w:rPr>
                <w:rFonts w:ascii="Calibri Light" w:hAnsi="Calibri Light"/>
                <w:b w:val="0"/>
                <w:bCs w:val="0"/>
              </w:rPr>
              <w:t xml:space="preserve"> Domínguez </w:t>
            </w:r>
            <w:r w:rsidR="00674FEE">
              <w:rPr>
                <w:rFonts w:ascii="Calibri Light" w:hAnsi="Calibri Light"/>
                <w:b w:val="0"/>
                <w:bCs w:val="0"/>
              </w:rPr>
              <w:t xml:space="preserve">interpusieron </w:t>
            </w:r>
            <w:r w:rsidR="00253349">
              <w:rPr>
                <w:rFonts w:ascii="Calibri Light" w:hAnsi="Calibri Light"/>
                <w:b w:val="0"/>
                <w:bCs w:val="0"/>
              </w:rPr>
              <w:t xml:space="preserve">respectivamente </w:t>
            </w:r>
            <w:r w:rsidR="00674FEE">
              <w:rPr>
                <w:rFonts w:ascii="Calibri Light" w:hAnsi="Calibri Light"/>
                <w:b w:val="0"/>
                <w:bCs w:val="0"/>
              </w:rPr>
              <w:t xml:space="preserve">recursos de casación </w:t>
            </w:r>
            <w:r w:rsidR="000D25DF">
              <w:rPr>
                <w:rFonts w:ascii="Calibri Light" w:hAnsi="Calibri Light"/>
                <w:b w:val="0"/>
                <w:bCs w:val="0"/>
              </w:rPr>
              <w:t xml:space="preserve">a través de los cuales </w:t>
            </w:r>
            <w:r w:rsidR="0034218E">
              <w:rPr>
                <w:rFonts w:ascii="Calibri Light" w:hAnsi="Calibri Light"/>
                <w:b w:val="0"/>
                <w:bCs w:val="0"/>
              </w:rPr>
              <w:t>objetaron</w:t>
            </w:r>
            <w:r w:rsidR="000D25DF">
              <w:rPr>
                <w:rFonts w:ascii="Calibri Light" w:hAnsi="Calibri Light"/>
                <w:b w:val="0"/>
                <w:bCs w:val="0"/>
              </w:rPr>
              <w:t xml:space="preserve"> cuestiones </w:t>
            </w:r>
            <w:r w:rsidR="0034218E">
              <w:rPr>
                <w:rFonts w:ascii="Calibri Light" w:hAnsi="Calibri Light"/>
                <w:b w:val="0"/>
                <w:bCs w:val="0"/>
              </w:rPr>
              <w:t>fácticas</w:t>
            </w:r>
            <w:r w:rsidR="000D25DF">
              <w:rPr>
                <w:rFonts w:ascii="Calibri Light" w:hAnsi="Calibri Light"/>
                <w:b w:val="0"/>
                <w:bCs w:val="0"/>
              </w:rPr>
              <w:t xml:space="preserve"> y probatorias</w:t>
            </w:r>
            <w:r w:rsidR="000C4005">
              <w:rPr>
                <w:rFonts w:ascii="Calibri Light" w:hAnsi="Calibri Light"/>
                <w:b w:val="0"/>
                <w:bCs w:val="0"/>
              </w:rPr>
              <w:t xml:space="preserve"> de dicha sentencia</w:t>
            </w:r>
            <w:r w:rsidR="000D25DF">
              <w:rPr>
                <w:rFonts w:ascii="Calibri Light" w:hAnsi="Calibri Light"/>
                <w:b w:val="0"/>
                <w:bCs w:val="0"/>
              </w:rPr>
              <w:t>.</w:t>
            </w:r>
          </w:p>
          <w:p w14:paraId="25169768" w14:textId="77777777" w:rsidR="00500919" w:rsidRDefault="00500919" w:rsidP="002D2CDE">
            <w:pPr>
              <w:spacing w:after="0" w:line="240" w:lineRule="auto"/>
              <w:jc w:val="both"/>
              <w:rPr>
                <w:rFonts w:ascii="Calibri Light" w:hAnsi="Calibri Light"/>
                <w:b w:val="0"/>
                <w:bCs w:val="0"/>
              </w:rPr>
            </w:pPr>
          </w:p>
          <w:p w14:paraId="6EBB351D" w14:textId="266D00E7" w:rsidR="000C4005" w:rsidRDefault="0034218E" w:rsidP="002D2CDE">
            <w:pPr>
              <w:spacing w:after="0" w:line="240" w:lineRule="auto"/>
              <w:jc w:val="both"/>
              <w:rPr>
                <w:rFonts w:ascii="Calibri Light" w:hAnsi="Calibri Light"/>
                <w:b w:val="0"/>
                <w:bCs w:val="0"/>
              </w:rPr>
            </w:pPr>
            <w:r>
              <w:rPr>
                <w:rFonts w:ascii="Calibri Light" w:hAnsi="Calibri Light"/>
                <w:b w:val="0"/>
                <w:bCs w:val="0"/>
              </w:rPr>
              <w:t>Es preciso señalar que d</w:t>
            </w:r>
            <w:r w:rsidR="00674FEE">
              <w:rPr>
                <w:rFonts w:ascii="Calibri Light" w:hAnsi="Calibri Light"/>
                <w:b w:val="0"/>
                <w:bCs w:val="0"/>
              </w:rPr>
              <w:t>e acuerdo a</w:t>
            </w:r>
            <w:r>
              <w:rPr>
                <w:rFonts w:ascii="Calibri Light" w:hAnsi="Calibri Light"/>
                <w:b w:val="0"/>
                <w:bCs w:val="0"/>
              </w:rPr>
              <w:t xml:space="preserve">l </w:t>
            </w:r>
            <w:r w:rsidR="00674FEE">
              <w:rPr>
                <w:rFonts w:ascii="Calibri Light" w:hAnsi="Calibri Light"/>
                <w:b w:val="0"/>
                <w:bCs w:val="0"/>
              </w:rPr>
              <w:t xml:space="preserve"> </w:t>
            </w:r>
            <w:r>
              <w:rPr>
                <w:rFonts w:ascii="Calibri Light" w:hAnsi="Calibri Light"/>
                <w:b w:val="0"/>
                <w:bCs w:val="0"/>
              </w:rPr>
              <w:t>artículo 474</w:t>
            </w:r>
            <w:r w:rsidR="00BD79F9">
              <w:rPr>
                <w:rFonts w:ascii="Calibri Light" w:hAnsi="Calibri Light"/>
                <w:b w:val="0"/>
                <w:bCs w:val="0"/>
              </w:rPr>
              <w:t xml:space="preserve"> </w:t>
            </w:r>
            <w:r w:rsidR="00674FEE">
              <w:rPr>
                <w:rFonts w:ascii="Calibri Light" w:hAnsi="Calibri Light"/>
                <w:b w:val="0"/>
                <w:bCs w:val="0"/>
              </w:rPr>
              <w:t xml:space="preserve">del Código Procesal Penal de la Provincia de Córdoba (en adelante, “el CPPC”), cuyo contenido en lo referente al recurso de casación es casi idéntico al del Código Procesal Penal de la Nación Argentina (en adelante, “el CPPN”), </w:t>
            </w:r>
            <w:r w:rsidR="00500919">
              <w:rPr>
                <w:rFonts w:ascii="Calibri Light" w:hAnsi="Calibri Light"/>
                <w:b w:val="0"/>
                <w:bCs w:val="0"/>
              </w:rPr>
              <w:t>e</w:t>
            </w:r>
            <w:r>
              <w:rPr>
                <w:rFonts w:ascii="Calibri Light" w:hAnsi="Calibri Light"/>
                <w:b w:val="0"/>
                <w:bCs w:val="0"/>
              </w:rPr>
              <w:t>ste</w:t>
            </w:r>
            <w:r w:rsidR="00500919">
              <w:rPr>
                <w:rFonts w:ascii="Calibri Light" w:hAnsi="Calibri Light"/>
                <w:b w:val="0"/>
                <w:bCs w:val="0"/>
              </w:rPr>
              <w:t xml:space="preserve"> recurso debe ser interpuesto ante el Tribunal que dictó la resolución, citando concretamente las disposiciones legales que se consideren violadas o erróneamente </w:t>
            </w:r>
            <w:r w:rsidR="00500919">
              <w:rPr>
                <w:rFonts w:ascii="Calibri Light" w:hAnsi="Calibri Light"/>
                <w:b w:val="0"/>
                <w:bCs w:val="0"/>
              </w:rPr>
              <w:lastRenderedPageBreak/>
              <w:t>aplicadas y e</w:t>
            </w:r>
            <w:r w:rsidR="00BD79F9">
              <w:rPr>
                <w:rFonts w:ascii="Calibri Light" w:hAnsi="Calibri Light"/>
                <w:b w:val="0"/>
                <w:bCs w:val="0"/>
              </w:rPr>
              <w:t>xpresando</w:t>
            </w:r>
            <w:r w:rsidR="00500919">
              <w:rPr>
                <w:rFonts w:ascii="Calibri Light" w:hAnsi="Calibri Light"/>
                <w:b w:val="0"/>
                <w:bCs w:val="0"/>
              </w:rPr>
              <w:t xml:space="preserve"> </w:t>
            </w:r>
            <w:r w:rsidR="0081025D">
              <w:rPr>
                <w:rFonts w:ascii="Calibri Light" w:hAnsi="Calibri Light"/>
                <w:b w:val="0"/>
                <w:bCs w:val="0"/>
              </w:rPr>
              <w:t>cuá</w:t>
            </w:r>
            <w:r w:rsidR="00500919">
              <w:rPr>
                <w:rFonts w:ascii="Calibri Light" w:hAnsi="Calibri Light"/>
                <w:b w:val="0"/>
                <w:bCs w:val="0"/>
              </w:rPr>
              <w:t xml:space="preserve">l es la aplicación que se pretende . </w:t>
            </w:r>
            <w:r w:rsidR="000C4005">
              <w:rPr>
                <w:rFonts w:ascii="Calibri Light" w:hAnsi="Calibri Light"/>
                <w:b w:val="0"/>
                <w:bCs w:val="0"/>
              </w:rPr>
              <w:t xml:space="preserve">Además, conforme al artículo 468, </w:t>
            </w:r>
            <w:r w:rsidR="00500919">
              <w:rPr>
                <w:rFonts w:ascii="Calibri Light" w:hAnsi="Calibri Light"/>
                <w:b w:val="0"/>
                <w:bCs w:val="0"/>
              </w:rPr>
              <w:t xml:space="preserve">el recurso </w:t>
            </w:r>
            <w:r w:rsidR="000C4005">
              <w:rPr>
                <w:rFonts w:ascii="Calibri Light" w:hAnsi="Calibri Light"/>
                <w:b w:val="0"/>
                <w:bCs w:val="0"/>
              </w:rPr>
              <w:t xml:space="preserve">puede </w:t>
            </w:r>
            <w:r w:rsidR="00500919">
              <w:rPr>
                <w:rFonts w:ascii="Calibri Light" w:hAnsi="Calibri Light"/>
                <w:b w:val="0"/>
                <w:bCs w:val="0"/>
              </w:rPr>
              <w:t xml:space="preserve">ser interpuesto por </w:t>
            </w:r>
            <w:r w:rsidR="000C4005">
              <w:rPr>
                <w:rFonts w:ascii="Calibri Light" w:hAnsi="Calibri Light"/>
                <w:b w:val="0"/>
                <w:bCs w:val="0"/>
              </w:rPr>
              <w:t xml:space="preserve">dos </w:t>
            </w:r>
            <w:r w:rsidR="00500919">
              <w:rPr>
                <w:rFonts w:ascii="Calibri Light" w:hAnsi="Calibri Light"/>
                <w:b w:val="0"/>
                <w:bCs w:val="0"/>
              </w:rPr>
              <w:t xml:space="preserve">siguientes motivos: </w:t>
            </w:r>
            <w:r w:rsidR="000C4005">
              <w:rPr>
                <w:rFonts w:ascii="Calibri Light" w:hAnsi="Calibri Light"/>
                <w:b w:val="0"/>
                <w:bCs w:val="0"/>
              </w:rPr>
              <w:t>i</w:t>
            </w:r>
            <w:r w:rsidR="00500919">
              <w:rPr>
                <w:rFonts w:ascii="Calibri Light" w:hAnsi="Calibri Light"/>
                <w:b w:val="0"/>
                <w:bCs w:val="0"/>
              </w:rPr>
              <w:t xml:space="preserve">) la inobservancia o errónea aplicación de la ley sustantiva, y </w:t>
            </w:r>
            <w:r w:rsidR="000C4005">
              <w:rPr>
                <w:rFonts w:ascii="Calibri Light" w:hAnsi="Calibri Light"/>
                <w:b w:val="0"/>
                <w:bCs w:val="0"/>
              </w:rPr>
              <w:t>ii</w:t>
            </w:r>
            <w:r w:rsidR="00500919">
              <w:rPr>
                <w:rFonts w:ascii="Calibri Light" w:hAnsi="Calibri Light"/>
                <w:b w:val="0"/>
                <w:bCs w:val="0"/>
              </w:rPr>
              <w:t xml:space="preserve">) la inobservancia de las normas del propio CPPC. </w:t>
            </w:r>
            <w:r w:rsidR="000C4005">
              <w:rPr>
                <w:rFonts w:ascii="Calibri Light" w:hAnsi="Calibri Light"/>
                <w:b w:val="0"/>
                <w:bCs w:val="0"/>
              </w:rPr>
              <w:t xml:space="preserve">Si </w:t>
            </w:r>
            <w:r w:rsidR="00BD79F9">
              <w:rPr>
                <w:rFonts w:ascii="Calibri Light" w:hAnsi="Calibri Light"/>
                <w:b w:val="0"/>
                <w:bCs w:val="0"/>
              </w:rPr>
              <w:t>la resolución impugnada fuera irre</w:t>
            </w:r>
            <w:r w:rsidR="00500919">
              <w:rPr>
                <w:rFonts w:ascii="Calibri Light" w:hAnsi="Calibri Light"/>
                <w:b w:val="0"/>
                <w:bCs w:val="0"/>
              </w:rPr>
              <w:t>currible</w:t>
            </w:r>
            <w:r w:rsidR="00BD79F9">
              <w:rPr>
                <w:rFonts w:ascii="Calibri Light" w:hAnsi="Calibri Light"/>
                <w:b w:val="0"/>
                <w:bCs w:val="0"/>
              </w:rPr>
              <w:t>,</w:t>
            </w:r>
            <w:r w:rsidR="00500919">
              <w:rPr>
                <w:rFonts w:ascii="Calibri Light" w:hAnsi="Calibri Light"/>
                <w:b w:val="0"/>
                <w:bCs w:val="0"/>
              </w:rPr>
              <w:t xml:space="preserve"> </w:t>
            </w:r>
            <w:r w:rsidR="000C4005">
              <w:rPr>
                <w:rFonts w:ascii="Calibri Light" w:hAnsi="Calibri Light"/>
                <w:b w:val="0"/>
                <w:bCs w:val="0"/>
              </w:rPr>
              <w:t xml:space="preserve">el recurso hubiera sido </w:t>
            </w:r>
            <w:r w:rsidR="00500919">
              <w:rPr>
                <w:rFonts w:ascii="Calibri Light" w:hAnsi="Calibri Light"/>
                <w:b w:val="0"/>
                <w:bCs w:val="0"/>
              </w:rPr>
              <w:t xml:space="preserve">interpuesto </w:t>
            </w:r>
            <w:r w:rsidR="000C4005">
              <w:rPr>
                <w:rFonts w:ascii="Calibri Light" w:hAnsi="Calibri Light"/>
                <w:b w:val="0"/>
                <w:bCs w:val="0"/>
              </w:rPr>
              <w:t xml:space="preserve">fuera de </w:t>
            </w:r>
            <w:r w:rsidR="00500919">
              <w:rPr>
                <w:rFonts w:ascii="Calibri Light" w:hAnsi="Calibri Light"/>
                <w:b w:val="0"/>
                <w:bCs w:val="0"/>
              </w:rPr>
              <w:t>tiempo o fuera manifiestamente improcedente</w:t>
            </w:r>
            <w:r w:rsidR="000C4005">
              <w:rPr>
                <w:rFonts w:ascii="Calibri Light" w:hAnsi="Calibri Light"/>
                <w:b w:val="0"/>
                <w:bCs w:val="0"/>
              </w:rPr>
              <w:t xml:space="preserve">, el Tribunal podrá rechazar o declarar inadmisible el mismo, sin </w:t>
            </w:r>
            <w:r w:rsidR="00833946">
              <w:rPr>
                <w:rFonts w:ascii="Calibri Light" w:hAnsi="Calibri Light"/>
                <w:b w:val="0"/>
                <w:bCs w:val="0"/>
              </w:rPr>
              <w:t xml:space="preserve">que pueda </w:t>
            </w:r>
            <w:r w:rsidR="000C4005">
              <w:rPr>
                <w:rFonts w:ascii="Calibri Light" w:hAnsi="Calibri Light"/>
                <w:b w:val="0"/>
                <w:bCs w:val="0"/>
              </w:rPr>
              <w:t xml:space="preserve">pronunciarse sobre el fondo. </w:t>
            </w:r>
          </w:p>
          <w:p w14:paraId="33A9D02B" w14:textId="77777777" w:rsidR="000D25DF" w:rsidRDefault="000D25DF" w:rsidP="002D2CDE">
            <w:pPr>
              <w:spacing w:after="0" w:line="240" w:lineRule="auto"/>
              <w:jc w:val="both"/>
              <w:rPr>
                <w:rFonts w:ascii="Calibri Light" w:hAnsi="Calibri Light"/>
                <w:b w:val="0"/>
                <w:bCs w:val="0"/>
              </w:rPr>
            </w:pPr>
          </w:p>
          <w:p w14:paraId="14A3DE63" w14:textId="3EC85750" w:rsidR="00500919" w:rsidRDefault="000D25DF" w:rsidP="002D2CDE">
            <w:pPr>
              <w:spacing w:after="0" w:line="240" w:lineRule="auto"/>
              <w:jc w:val="both"/>
              <w:rPr>
                <w:rFonts w:ascii="Calibri Light" w:hAnsi="Calibri Light"/>
                <w:b w:val="0"/>
                <w:bCs w:val="0"/>
              </w:rPr>
            </w:pPr>
            <w:r>
              <w:rPr>
                <w:rFonts w:ascii="Calibri Light" w:hAnsi="Calibri Light"/>
                <w:b w:val="0"/>
                <w:bCs w:val="0"/>
              </w:rPr>
              <w:t>En atención a esta regulación, la Cámara Novena del Crimen de Córdoba resolvió conceder los recursos de casación y elevarlos a la Sala Penal del Tribunal Superior de Justicia. Sin embargo, en diciembre de 1998</w:t>
            </w:r>
            <w:r w:rsidR="000C4005">
              <w:rPr>
                <w:rFonts w:ascii="Calibri Light" w:hAnsi="Calibri Light"/>
                <w:b w:val="0"/>
                <w:bCs w:val="0"/>
              </w:rPr>
              <w:t>,</w:t>
            </w:r>
            <w:r>
              <w:rPr>
                <w:rFonts w:ascii="Calibri Light" w:hAnsi="Calibri Light"/>
                <w:b w:val="0"/>
                <w:bCs w:val="0"/>
              </w:rPr>
              <w:t xml:space="preserve"> la Sala Penal del Tribunal Superior de Justicia de la Provincia de Córdoba resolvió declarar</w:t>
            </w:r>
            <w:r w:rsidR="00833946">
              <w:rPr>
                <w:rFonts w:ascii="Calibri Light" w:hAnsi="Calibri Light"/>
                <w:b w:val="0"/>
                <w:bCs w:val="0"/>
              </w:rPr>
              <w:t>los</w:t>
            </w:r>
            <w:r>
              <w:rPr>
                <w:rFonts w:ascii="Calibri Light" w:hAnsi="Calibri Light"/>
                <w:b w:val="0"/>
                <w:bCs w:val="0"/>
              </w:rPr>
              <w:t xml:space="preserve"> formalmente inadmisible</w:t>
            </w:r>
            <w:r w:rsidR="0081025D">
              <w:rPr>
                <w:rFonts w:ascii="Calibri Light" w:hAnsi="Calibri Light"/>
                <w:b w:val="0"/>
                <w:bCs w:val="0"/>
              </w:rPr>
              <w:t>s</w:t>
            </w:r>
            <w:r w:rsidR="00C14590">
              <w:rPr>
                <w:rFonts w:ascii="Calibri Light" w:hAnsi="Calibri Light"/>
                <w:b w:val="0"/>
                <w:bCs w:val="0"/>
              </w:rPr>
              <w:t>, en tanto</w:t>
            </w:r>
            <w:r w:rsidR="00833946">
              <w:rPr>
                <w:rFonts w:ascii="Calibri Light" w:hAnsi="Calibri Light"/>
                <w:b w:val="0"/>
                <w:bCs w:val="0"/>
              </w:rPr>
              <w:t xml:space="preserve"> si bien</w:t>
            </w:r>
            <w:r w:rsidR="00C14590">
              <w:rPr>
                <w:rFonts w:ascii="Calibri Light" w:hAnsi="Calibri Light"/>
                <w:b w:val="0"/>
                <w:bCs w:val="0"/>
              </w:rPr>
              <w:t xml:space="preserve"> cuestionaban el ajuste de los hechos al tipo penal, no </w:t>
            </w:r>
            <w:r w:rsidR="000C4005">
              <w:rPr>
                <w:rFonts w:ascii="Calibri Light" w:hAnsi="Calibri Light"/>
                <w:b w:val="0"/>
                <w:bCs w:val="0"/>
              </w:rPr>
              <w:t>brindaban</w:t>
            </w:r>
            <w:r w:rsidR="00C14590">
              <w:rPr>
                <w:rFonts w:ascii="Calibri Light" w:hAnsi="Calibri Light"/>
                <w:b w:val="0"/>
                <w:bCs w:val="0"/>
              </w:rPr>
              <w:t xml:space="preserve"> el sustento necesario en los términos establecidos por la jurisprudencia del Tribunal ante el cual procedía la apelación.</w:t>
            </w:r>
          </w:p>
          <w:p w14:paraId="6D972A7E" w14:textId="77777777" w:rsidR="00C14590" w:rsidRDefault="00C14590" w:rsidP="002D2CDE">
            <w:pPr>
              <w:spacing w:after="0" w:line="240" w:lineRule="auto"/>
              <w:jc w:val="both"/>
              <w:rPr>
                <w:rFonts w:ascii="Calibri Light" w:hAnsi="Calibri Light"/>
                <w:b w:val="0"/>
                <w:bCs w:val="0"/>
              </w:rPr>
            </w:pPr>
          </w:p>
          <w:p w14:paraId="5B461C42" w14:textId="61E003D2" w:rsidR="00C14590" w:rsidRDefault="00C14590" w:rsidP="002D2CDE">
            <w:pPr>
              <w:spacing w:after="0" w:line="240" w:lineRule="auto"/>
              <w:jc w:val="both"/>
              <w:rPr>
                <w:rFonts w:ascii="Calibri Light" w:hAnsi="Calibri Light"/>
                <w:b w:val="0"/>
                <w:bCs w:val="0"/>
              </w:rPr>
            </w:pPr>
            <w:r>
              <w:rPr>
                <w:rFonts w:ascii="Calibri Light" w:hAnsi="Calibri Light"/>
                <w:b w:val="0"/>
                <w:bCs w:val="0"/>
              </w:rPr>
              <w:t xml:space="preserve">Posteriormente, en febrero de 1999, </w:t>
            </w:r>
            <w:r w:rsidR="000C4005">
              <w:rPr>
                <w:rFonts w:ascii="Calibri Light" w:hAnsi="Calibri Light"/>
                <w:b w:val="0"/>
                <w:bCs w:val="0"/>
              </w:rPr>
              <w:t>los defensores</w:t>
            </w:r>
            <w:r>
              <w:rPr>
                <w:rFonts w:ascii="Calibri Light" w:hAnsi="Calibri Light"/>
                <w:b w:val="0"/>
                <w:bCs w:val="0"/>
              </w:rPr>
              <w:t xml:space="preserve"> </w:t>
            </w:r>
            <w:r w:rsidR="000C4005">
              <w:rPr>
                <w:rFonts w:ascii="Calibri Light" w:hAnsi="Calibri Light"/>
                <w:b w:val="0"/>
                <w:bCs w:val="0"/>
              </w:rPr>
              <w:t xml:space="preserve">de los señores </w:t>
            </w:r>
            <w:r w:rsidR="00721D1A">
              <w:rPr>
                <w:rFonts w:ascii="Calibri Light" w:hAnsi="Calibri Light"/>
                <w:b w:val="0"/>
                <w:bCs w:val="0"/>
              </w:rPr>
              <w:t xml:space="preserve">Del Valle y </w:t>
            </w:r>
            <w:r w:rsidR="0081025D">
              <w:rPr>
                <w:rFonts w:ascii="Calibri Light" w:hAnsi="Calibri Light"/>
                <w:b w:val="0"/>
                <w:bCs w:val="0"/>
              </w:rPr>
              <w:t xml:space="preserve">Domínguez </w:t>
            </w:r>
            <w:r w:rsidR="000C4005">
              <w:rPr>
                <w:rFonts w:ascii="Calibri Light" w:hAnsi="Calibri Light"/>
                <w:b w:val="0"/>
                <w:bCs w:val="0"/>
              </w:rPr>
              <w:t xml:space="preserve">interpusieron en su favor recursos extraordinarios </w:t>
            </w:r>
            <w:r>
              <w:rPr>
                <w:rFonts w:ascii="Calibri Light" w:hAnsi="Calibri Light"/>
                <w:b w:val="0"/>
                <w:bCs w:val="0"/>
              </w:rPr>
              <w:t>ante la Corte Suprema de Justicia de la Nación</w:t>
            </w:r>
            <w:r w:rsidR="00833946">
              <w:rPr>
                <w:rFonts w:ascii="Calibri Light" w:hAnsi="Calibri Light"/>
                <w:b w:val="0"/>
                <w:bCs w:val="0"/>
              </w:rPr>
              <w:t xml:space="preserve"> (en adelante, Corte Suprema)</w:t>
            </w:r>
            <w:r>
              <w:rPr>
                <w:rFonts w:ascii="Calibri Light" w:hAnsi="Calibri Light"/>
                <w:b w:val="0"/>
                <w:bCs w:val="0"/>
              </w:rPr>
              <w:t xml:space="preserve">. </w:t>
            </w:r>
            <w:r w:rsidR="000C4005">
              <w:rPr>
                <w:rFonts w:ascii="Calibri Light" w:hAnsi="Calibri Light"/>
                <w:b w:val="0"/>
                <w:bCs w:val="0"/>
              </w:rPr>
              <w:t>No obstante, a</w:t>
            </w:r>
            <w:r w:rsidR="00D9321B">
              <w:rPr>
                <w:rFonts w:ascii="Calibri Light" w:hAnsi="Calibri Light"/>
                <w:b w:val="0"/>
                <w:bCs w:val="0"/>
              </w:rPr>
              <w:t xml:space="preserve">mbos fueron declarados formalmente inadmisibles en junio del mismo año, sosteniendo que </w:t>
            </w:r>
            <w:r w:rsidR="00485BC7">
              <w:rPr>
                <w:rFonts w:ascii="Calibri Light" w:hAnsi="Calibri Light"/>
                <w:b w:val="0"/>
                <w:bCs w:val="0"/>
              </w:rPr>
              <w:t xml:space="preserve">el recurso extraordinario no </w:t>
            </w:r>
            <w:r w:rsidR="000C4005">
              <w:rPr>
                <w:rFonts w:ascii="Calibri Light" w:hAnsi="Calibri Light"/>
                <w:b w:val="0"/>
                <w:bCs w:val="0"/>
              </w:rPr>
              <w:t xml:space="preserve">tenía </w:t>
            </w:r>
            <w:r w:rsidR="00485BC7">
              <w:rPr>
                <w:rFonts w:ascii="Calibri Light" w:hAnsi="Calibri Light"/>
                <w:b w:val="0"/>
                <w:bCs w:val="0"/>
              </w:rPr>
              <w:t xml:space="preserve">por objeto la corrección en tercera instancia de decisiones que a criterio de los impugnantes </w:t>
            </w:r>
            <w:r w:rsidR="000C4005">
              <w:rPr>
                <w:rFonts w:ascii="Calibri Light" w:hAnsi="Calibri Light"/>
                <w:b w:val="0"/>
                <w:bCs w:val="0"/>
              </w:rPr>
              <w:t>fueran</w:t>
            </w:r>
            <w:r w:rsidR="00485BC7">
              <w:rPr>
                <w:rFonts w:ascii="Calibri Light" w:hAnsi="Calibri Light"/>
                <w:b w:val="0"/>
                <w:bCs w:val="0"/>
              </w:rPr>
              <w:t xml:space="preserve"> equivocadas, </w:t>
            </w:r>
            <w:r w:rsidR="00833946">
              <w:rPr>
                <w:rFonts w:ascii="Calibri Light" w:hAnsi="Calibri Light"/>
                <w:b w:val="0"/>
                <w:bCs w:val="0"/>
              </w:rPr>
              <w:t>y precisando que era</w:t>
            </w:r>
            <w:r w:rsidR="00485BC7">
              <w:rPr>
                <w:rFonts w:ascii="Calibri Light" w:hAnsi="Calibri Light"/>
                <w:b w:val="0"/>
                <w:bCs w:val="0"/>
              </w:rPr>
              <w:t xml:space="preserve"> una ví</w:t>
            </w:r>
            <w:r w:rsidR="00167F5A">
              <w:rPr>
                <w:rFonts w:ascii="Calibri Light" w:hAnsi="Calibri Light"/>
                <w:b w:val="0"/>
                <w:bCs w:val="0"/>
              </w:rPr>
              <w:t>a recursiva más bien restringida dada la acotada y excepcional competencia de la Corte</w:t>
            </w:r>
            <w:r w:rsidR="00833946">
              <w:rPr>
                <w:rFonts w:ascii="Calibri Light" w:hAnsi="Calibri Light"/>
                <w:b w:val="0"/>
                <w:bCs w:val="0"/>
              </w:rPr>
              <w:t xml:space="preserve"> Suprema</w:t>
            </w:r>
            <w:r w:rsidR="00167F5A">
              <w:rPr>
                <w:rFonts w:ascii="Calibri Light" w:hAnsi="Calibri Light"/>
                <w:b w:val="0"/>
                <w:bCs w:val="0"/>
              </w:rPr>
              <w:t>.</w:t>
            </w:r>
          </w:p>
          <w:p w14:paraId="2BB6ECD0" w14:textId="77777777" w:rsidR="00167F5A" w:rsidRDefault="00167F5A" w:rsidP="002D2CDE">
            <w:pPr>
              <w:spacing w:after="0" w:line="240" w:lineRule="auto"/>
              <w:jc w:val="both"/>
              <w:rPr>
                <w:rFonts w:ascii="Calibri Light" w:hAnsi="Calibri Light"/>
                <w:b w:val="0"/>
                <w:bCs w:val="0"/>
              </w:rPr>
            </w:pPr>
          </w:p>
          <w:p w14:paraId="23A7C36D" w14:textId="3CAE1063" w:rsidR="00846B0D" w:rsidRDefault="00833946" w:rsidP="002D2CDE">
            <w:pPr>
              <w:spacing w:after="0" w:line="240" w:lineRule="auto"/>
              <w:jc w:val="both"/>
              <w:rPr>
                <w:rFonts w:ascii="Calibri Light" w:hAnsi="Calibri Light"/>
                <w:b w:val="0"/>
                <w:bCs w:val="0"/>
              </w:rPr>
            </w:pPr>
            <w:r>
              <w:rPr>
                <w:rFonts w:ascii="Calibri Light" w:hAnsi="Calibri Light"/>
                <w:b w:val="0"/>
                <w:bCs w:val="0"/>
              </w:rPr>
              <w:t>Contra esta decisión, e</w:t>
            </w:r>
            <w:r w:rsidR="00167F5A">
              <w:rPr>
                <w:rFonts w:ascii="Calibri Light" w:hAnsi="Calibri Light"/>
                <w:b w:val="0"/>
                <w:bCs w:val="0"/>
              </w:rPr>
              <w:t xml:space="preserve">n julio de 1999, la defensa de los señores </w:t>
            </w:r>
            <w:r w:rsidR="00721D1A">
              <w:rPr>
                <w:rFonts w:ascii="Calibri Light" w:hAnsi="Calibri Light"/>
                <w:b w:val="0"/>
                <w:bCs w:val="0"/>
              </w:rPr>
              <w:t xml:space="preserve">Del Valle y </w:t>
            </w:r>
            <w:r w:rsidR="000C4005">
              <w:rPr>
                <w:rFonts w:ascii="Calibri Light" w:hAnsi="Calibri Light"/>
                <w:b w:val="0"/>
                <w:bCs w:val="0"/>
              </w:rPr>
              <w:t xml:space="preserve">Domínguez </w:t>
            </w:r>
            <w:r w:rsidR="00167F5A">
              <w:rPr>
                <w:rFonts w:ascii="Calibri Light" w:hAnsi="Calibri Light"/>
                <w:b w:val="0"/>
                <w:bCs w:val="0"/>
              </w:rPr>
              <w:t xml:space="preserve">interpuso un recurso de queja ante </w:t>
            </w:r>
            <w:r>
              <w:rPr>
                <w:rFonts w:ascii="Calibri Light" w:hAnsi="Calibri Light"/>
                <w:b w:val="0"/>
                <w:bCs w:val="0"/>
              </w:rPr>
              <w:t>esta misma instancia</w:t>
            </w:r>
            <w:r w:rsidR="00167F5A">
              <w:rPr>
                <w:rFonts w:ascii="Calibri Light" w:hAnsi="Calibri Light"/>
                <w:b w:val="0"/>
                <w:bCs w:val="0"/>
              </w:rPr>
              <w:t xml:space="preserve">; sin embargo, este fue denegado en marzo del 2000 por considerarse inadmisible bajo la normativa vigente. </w:t>
            </w:r>
            <w:r w:rsidR="002D2CDE">
              <w:rPr>
                <w:rFonts w:ascii="Calibri Light" w:hAnsi="Calibri Light"/>
                <w:b w:val="0"/>
                <w:bCs w:val="0"/>
              </w:rPr>
              <w:t xml:space="preserve">Frente a tales hechos, Ramón Hernán Rúa presentó dos peticiones ante la CIDH, denunciado que el Estado argentino había vulnerado los derechos a las garantías judiciales y protección judicial de los señores Del Valle y Domínguez, reconocidos en la </w:t>
            </w:r>
            <w:r w:rsidR="001822C7">
              <w:rPr>
                <w:rFonts w:ascii="Calibri Light" w:hAnsi="Calibri Light"/>
                <w:b w:val="0"/>
              </w:rPr>
              <w:t>Convención Americana sobre Derechos Humanos (en adelante, CADH)</w:t>
            </w:r>
            <w:r w:rsidR="002D2CDE">
              <w:rPr>
                <w:rFonts w:ascii="Calibri Light" w:hAnsi="Calibri Light"/>
                <w:b w:val="0"/>
                <w:bCs w:val="0"/>
              </w:rPr>
              <w:t>.</w:t>
            </w:r>
          </w:p>
          <w:p w14:paraId="3350AE93" w14:textId="4C78AAED" w:rsidR="00721D1A" w:rsidRDefault="00721D1A" w:rsidP="002D2CDE">
            <w:pPr>
              <w:spacing w:after="0" w:line="240" w:lineRule="auto"/>
              <w:jc w:val="both"/>
              <w:rPr>
                <w:rFonts w:ascii="Calibri Light" w:hAnsi="Calibri Light"/>
                <w:b w:val="0"/>
                <w:bCs w:val="0"/>
              </w:rPr>
            </w:pPr>
          </w:p>
          <w:p w14:paraId="75E33D27" w14:textId="2CB07E65" w:rsidR="002D2CDE" w:rsidRDefault="00094A10" w:rsidP="00094A10">
            <w:pPr>
              <w:spacing w:after="0" w:line="240" w:lineRule="auto"/>
              <w:jc w:val="both"/>
              <w:rPr>
                <w:rFonts w:ascii="Calibri Light" w:hAnsi="Calibri Light"/>
                <w:b w:val="0"/>
              </w:rPr>
            </w:pPr>
            <w:r>
              <w:rPr>
                <w:rFonts w:ascii="Calibri Light" w:hAnsi="Calibri Light"/>
                <w:b w:val="0"/>
              </w:rPr>
              <w:t>En el 2005, la Corte Suprema emitió la sentencia conocida como “el fallo Casal”, en la que reconoció que los jueces, y en particular la Cámara Nacional de Casación Penal, interpretaban de forma restrictiva el alcance de la materia revisable a través de recurso de casación. En esa línea, consideró que la distinción entre cuestiones de derecho</w:t>
            </w:r>
            <w:r w:rsidR="00253349">
              <w:rPr>
                <w:rFonts w:ascii="Calibri Light" w:hAnsi="Calibri Light"/>
                <w:b w:val="0"/>
              </w:rPr>
              <w:t>,</w:t>
            </w:r>
            <w:r>
              <w:rPr>
                <w:rFonts w:ascii="Calibri Light" w:hAnsi="Calibri Light"/>
                <w:b w:val="0"/>
              </w:rPr>
              <w:t xml:space="preserve"> por un lado</w:t>
            </w:r>
            <w:r w:rsidR="00253349">
              <w:rPr>
                <w:rFonts w:ascii="Calibri Light" w:hAnsi="Calibri Light"/>
                <w:b w:val="0"/>
              </w:rPr>
              <w:t>,</w:t>
            </w:r>
            <w:r>
              <w:rPr>
                <w:rFonts w:ascii="Calibri Light" w:hAnsi="Calibri Light"/>
                <w:b w:val="0"/>
              </w:rPr>
              <w:t xml:space="preserve"> y de hecho o valoración probatoria por el otro, no debe determinar el alcance de la revisión en casación. A través de este reconocimiento, efectuó una interpretación más amplia</w:t>
            </w:r>
            <w:r w:rsidR="00253349">
              <w:rPr>
                <w:rFonts w:ascii="Calibri Light" w:hAnsi="Calibri Light"/>
                <w:b w:val="0"/>
              </w:rPr>
              <w:t xml:space="preserve"> sobre el recurso</w:t>
            </w:r>
            <w:r>
              <w:rPr>
                <w:rFonts w:ascii="Calibri Light" w:hAnsi="Calibri Light"/>
                <w:b w:val="0"/>
              </w:rPr>
              <w:t>.</w:t>
            </w:r>
          </w:p>
          <w:p w14:paraId="7600FA98" w14:textId="57B27FF2" w:rsidR="00094A10" w:rsidRPr="002D2CDE" w:rsidRDefault="00094A10" w:rsidP="00094A10">
            <w:pPr>
              <w:spacing w:after="0" w:line="240" w:lineRule="auto"/>
              <w:jc w:val="both"/>
              <w:rPr>
                <w:rFonts w:ascii="Calibri Light" w:hAnsi="Calibri Light"/>
                <w:b w:val="0"/>
                <w:bCs w:val="0"/>
              </w:rPr>
            </w:pPr>
          </w:p>
        </w:tc>
      </w:tr>
      <w:tr w:rsidR="00846B0D" w14:paraId="76705BBF" w14:textId="77777777" w:rsidTr="00846B0D">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hideMark/>
          </w:tcPr>
          <w:p w14:paraId="2C7DF017" w14:textId="77777777" w:rsidR="00846B0D" w:rsidRDefault="00846B0D" w:rsidP="007C6E71">
            <w:pPr>
              <w:pStyle w:val="ListParagraph"/>
              <w:numPr>
                <w:ilvl w:val="0"/>
                <w:numId w:val="1"/>
              </w:numPr>
              <w:spacing w:after="0" w:line="240" w:lineRule="auto"/>
              <w:jc w:val="center"/>
              <w:rPr>
                <w:rFonts w:ascii="Calibri Light" w:hAnsi="Calibri Light"/>
              </w:rPr>
            </w:pPr>
            <w:r>
              <w:rPr>
                <w:rFonts w:ascii="Calibri Light" w:hAnsi="Calibri Light"/>
              </w:rPr>
              <w:lastRenderedPageBreak/>
              <w:t>Análisis jurídico</w:t>
            </w:r>
          </w:p>
        </w:tc>
      </w:tr>
      <w:tr w:rsidR="00846B0D" w14:paraId="3A6AB21C" w14:textId="77777777" w:rsidTr="00846B0D">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4F7CB3D5" w14:textId="77777777" w:rsidR="00663061" w:rsidRDefault="00663061" w:rsidP="00663061">
            <w:pPr>
              <w:spacing w:after="0" w:line="240" w:lineRule="auto"/>
              <w:jc w:val="both"/>
              <w:rPr>
                <w:rFonts w:ascii="Calibri Light" w:hAnsi="Calibri Light"/>
                <w:b w:val="0"/>
              </w:rPr>
            </w:pPr>
          </w:p>
          <w:p w14:paraId="7E0BDF8C" w14:textId="77777777" w:rsidR="00663061" w:rsidRDefault="00473381" w:rsidP="00663061">
            <w:pPr>
              <w:spacing w:after="0" w:line="240" w:lineRule="auto"/>
              <w:jc w:val="both"/>
              <w:rPr>
                <w:rFonts w:ascii="Calibri Light" w:hAnsi="Calibri Light"/>
              </w:rPr>
            </w:pPr>
            <w:r>
              <w:rPr>
                <w:rFonts w:ascii="Calibri Light" w:hAnsi="Calibri Light"/>
              </w:rPr>
              <w:t>El derecho a recurrir el fallo ante juez o tribunal superior y el derecho a la protección judicial</w:t>
            </w:r>
          </w:p>
          <w:p w14:paraId="288BF0A7" w14:textId="77777777" w:rsidR="000942C8" w:rsidRDefault="000942C8" w:rsidP="00663061">
            <w:pPr>
              <w:spacing w:after="0" w:line="240" w:lineRule="auto"/>
              <w:jc w:val="both"/>
              <w:rPr>
                <w:rFonts w:ascii="Calibri Light" w:hAnsi="Calibri Light"/>
              </w:rPr>
            </w:pPr>
          </w:p>
          <w:p w14:paraId="1B9BF4A3" w14:textId="77777777" w:rsidR="000942C8" w:rsidRPr="000942C8" w:rsidRDefault="000942C8" w:rsidP="00663061">
            <w:pPr>
              <w:spacing w:after="0" w:line="240" w:lineRule="auto"/>
              <w:jc w:val="both"/>
              <w:rPr>
                <w:rFonts w:ascii="Calibri Light" w:hAnsi="Calibri Light"/>
                <w:b w:val="0"/>
                <w:u w:val="single"/>
              </w:rPr>
            </w:pPr>
            <w:r>
              <w:rPr>
                <w:rFonts w:ascii="Calibri Light" w:hAnsi="Calibri Light"/>
                <w:b w:val="0"/>
                <w:u w:val="single"/>
              </w:rPr>
              <w:t>Parámetros generales</w:t>
            </w:r>
          </w:p>
          <w:p w14:paraId="4904CD02" w14:textId="77777777" w:rsidR="00473381" w:rsidRDefault="00473381" w:rsidP="00663061">
            <w:pPr>
              <w:spacing w:after="0" w:line="240" w:lineRule="auto"/>
              <w:jc w:val="both"/>
              <w:rPr>
                <w:rFonts w:ascii="Calibri Light" w:hAnsi="Calibri Light"/>
              </w:rPr>
            </w:pPr>
          </w:p>
          <w:p w14:paraId="58399D9E" w14:textId="7DFEE01D" w:rsidR="004A5842" w:rsidRDefault="00833946" w:rsidP="008868B9">
            <w:pPr>
              <w:spacing w:after="0" w:line="240" w:lineRule="auto"/>
              <w:jc w:val="both"/>
              <w:rPr>
                <w:rFonts w:ascii="Calibri Light" w:hAnsi="Calibri Light"/>
                <w:b w:val="0"/>
              </w:rPr>
            </w:pPr>
            <w:r>
              <w:rPr>
                <w:rFonts w:ascii="Calibri Light" w:hAnsi="Calibri Light"/>
                <w:b w:val="0"/>
              </w:rPr>
              <w:t>E</w:t>
            </w:r>
            <w:r w:rsidR="00473381">
              <w:rPr>
                <w:rFonts w:ascii="Calibri Light" w:hAnsi="Calibri Light"/>
                <w:b w:val="0"/>
              </w:rPr>
              <w:t>l derecho a recurrir el fallo ante un juez o tribunal distinto y de superior jerarquía</w:t>
            </w:r>
            <w:r w:rsidR="00680475">
              <w:rPr>
                <w:rFonts w:ascii="Calibri Light" w:hAnsi="Calibri Light"/>
                <w:b w:val="0"/>
              </w:rPr>
              <w:t>, contenido en el artículo 8.2</w:t>
            </w:r>
            <w:r w:rsidR="00CD0E7C">
              <w:rPr>
                <w:rFonts w:ascii="Calibri Light" w:hAnsi="Calibri Light"/>
                <w:b w:val="0"/>
              </w:rPr>
              <w:t>.</w:t>
            </w:r>
            <w:r w:rsidR="00680475">
              <w:rPr>
                <w:rFonts w:ascii="Calibri Light" w:hAnsi="Calibri Light"/>
                <w:b w:val="0"/>
              </w:rPr>
              <w:t xml:space="preserve">h) de la </w:t>
            </w:r>
            <w:r w:rsidR="001822C7">
              <w:rPr>
                <w:rFonts w:ascii="Calibri Light" w:hAnsi="Calibri Light"/>
                <w:b w:val="0"/>
                <w:bCs w:val="0"/>
              </w:rPr>
              <w:t>CADH</w:t>
            </w:r>
            <w:r w:rsidR="001822C7" w:rsidDel="001822C7">
              <w:rPr>
                <w:rFonts w:ascii="Calibri Light" w:hAnsi="Calibri Light"/>
                <w:b w:val="0"/>
              </w:rPr>
              <w:t xml:space="preserve"> </w:t>
            </w:r>
            <w:r w:rsidR="00473381">
              <w:rPr>
                <w:rFonts w:ascii="Calibri Light" w:hAnsi="Calibri Light"/>
                <w:b w:val="0"/>
              </w:rPr>
              <w:t>es una de las garantías p</w:t>
            </w:r>
            <w:r w:rsidR="008868B9">
              <w:rPr>
                <w:rFonts w:ascii="Calibri Light" w:hAnsi="Calibri Light"/>
                <w:b w:val="0"/>
              </w:rPr>
              <w:t>rim</w:t>
            </w:r>
            <w:r w:rsidR="00680475">
              <w:rPr>
                <w:rFonts w:ascii="Calibri Light" w:hAnsi="Calibri Light"/>
                <w:b w:val="0"/>
              </w:rPr>
              <w:t>ordiales del debido proceso. Su</w:t>
            </w:r>
            <w:r w:rsidR="008868B9">
              <w:rPr>
                <w:rFonts w:ascii="Calibri Light" w:hAnsi="Calibri Light"/>
                <w:b w:val="0"/>
              </w:rPr>
              <w:t xml:space="preserve"> objetivo, además de</w:t>
            </w:r>
            <w:r w:rsidR="00315F6F">
              <w:rPr>
                <w:rFonts w:ascii="Calibri Light" w:hAnsi="Calibri Light"/>
                <w:b w:val="0"/>
              </w:rPr>
              <w:t xml:space="preserve"> permitir que una sentencia adversa sea revisada</w:t>
            </w:r>
            <w:r w:rsidR="008868B9">
              <w:rPr>
                <w:rFonts w:ascii="Calibri Light" w:hAnsi="Calibri Light"/>
                <w:b w:val="0"/>
              </w:rPr>
              <w:t xml:space="preserve"> por un</w:t>
            </w:r>
            <w:r>
              <w:rPr>
                <w:rFonts w:ascii="Calibri Light" w:hAnsi="Calibri Light"/>
                <w:b w:val="0"/>
              </w:rPr>
              <w:t>a instancia distinta</w:t>
            </w:r>
            <w:r w:rsidR="008868B9">
              <w:rPr>
                <w:rFonts w:ascii="Calibri Light" w:hAnsi="Calibri Light"/>
                <w:b w:val="0"/>
              </w:rPr>
              <w:t>, es evitar que quede firme una decisión que fue adoptada con vicios y que contiene errores que ocasionarán un per</w:t>
            </w:r>
            <w:r w:rsidR="004A5842">
              <w:rPr>
                <w:rFonts w:ascii="Calibri Light" w:hAnsi="Calibri Light"/>
                <w:b w:val="0"/>
              </w:rPr>
              <w:t>juicio indebido al sentenciado. Además, la Corte IDH ha considerado que la doble conformidad judicial confirma el fundamento contenido en un fallo condenatorio y brinda mayor seguridad y tutela a los derechos de los condenados.</w:t>
            </w:r>
          </w:p>
          <w:p w14:paraId="356092B6" w14:textId="77777777" w:rsidR="004A5842" w:rsidRDefault="004A5842" w:rsidP="008868B9">
            <w:pPr>
              <w:spacing w:after="0" w:line="240" w:lineRule="auto"/>
              <w:jc w:val="both"/>
              <w:rPr>
                <w:rFonts w:ascii="Calibri Light" w:hAnsi="Calibri Light"/>
                <w:b w:val="0"/>
              </w:rPr>
            </w:pPr>
          </w:p>
          <w:p w14:paraId="54E92190" w14:textId="1D323F0C" w:rsidR="004A5842" w:rsidRDefault="00CD0E7C" w:rsidP="008868B9">
            <w:pPr>
              <w:spacing w:after="0" w:line="240" w:lineRule="auto"/>
              <w:jc w:val="both"/>
              <w:rPr>
                <w:rFonts w:ascii="Calibri Light" w:hAnsi="Calibri Light"/>
                <w:b w:val="0"/>
              </w:rPr>
            </w:pPr>
            <w:r>
              <w:rPr>
                <w:rFonts w:ascii="Calibri Light" w:hAnsi="Calibri Light"/>
                <w:b w:val="0"/>
              </w:rPr>
              <w:t>P</w:t>
            </w:r>
            <w:r w:rsidR="004A5842">
              <w:rPr>
                <w:rFonts w:ascii="Calibri Light" w:hAnsi="Calibri Light"/>
                <w:b w:val="0"/>
              </w:rPr>
              <w:t>ara q</w:t>
            </w:r>
            <w:r w:rsidR="00C97941">
              <w:rPr>
                <w:rFonts w:ascii="Calibri Light" w:hAnsi="Calibri Light"/>
                <w:b w:val="0"/>
              </w:rPr>
              <w:t xml:space="preserve">ue un recurso cumpla con los objetivos citados, se requiere que cumpla con tres características: i) debe ser </w:t>
            </w:r>
            <w:r w:rsidR="00C97941">
              <w:rPr>
                <w:rFonts w:ascii="Calibri Light" w:hAnsi="Calibri Light"/>
                <w:b w:val="0"/>
                <w:i/>
              </w:rPr>
              <w:t>oportuno</w:t>
            </w:r>
            <w:r w:rsidR="00C97941">
              <w:rPr>
                <w:rFonts w:ascii="Calibri Light" w:hAnsi="Calibri Light"/>
                <w:b w:val="0"/>
              </w:rPr>
              <w:t xml:space="preserve">, </w:t>
            </w:r>
            <w:r w:rsidR="007E2692">
              <w:rPr>
                <w:rFonts w:ascii="Calibri Light" w:hAnsi="Calibri Light"/>
                <w:b w:val="0"/>
              </w:rPr>
              <w:t xml:space="preserve">en tanto debe proceder antes que la sentencia adquiera calidad de cosa juzgada y debe ser resuelto en un plazo razonable; ii) debe ser </w:t>
            </w:r>
            <w:r w:rsidR="007E2692">
              <w:rPr>
                <w:rFonts w:ascii="Calibri Light" w:hAnsi="Calibri Light"/>
                <w:b w:val="0"/>
                <w:i/>
              </w:rPr>
              <w:t>eficaz</w:t>
            </w:r>
            <w:r w:rsidR="007E2692">
              <w:rPr>
                <w:rFonts w:ascii="Calibri Light" w:hAnsi="Calibri Light"/>
                <w:b w:val="0"/>
              </w:rPr>
              <w:t xml:space="preserve">, es decir, debe dar resultados o respuestas al fin para el cual fue concebido, lo cual supone que permita una revisión amplia sobre la aplicación de la ley, la determinación de los hechos y la valoración probatoria; y iii) debe ser </w:t>
            </w:r>
            <w:r w:rsidR="007E2692">
              <w:rPr>
                <w:rFonts w:ascii="Calibri Light" w:hAnsi="Calibri Light"/>
                <w:b w:val="0"/>
                <w:i/>
              </w:rPr>
              <w:t>accesible</w:t>
            </w:r>
            <w:r w:rsidR="007E2692">
              <w:rPr>
                <w:rFonts w:ascii="Calibri Light" w:hAnsi="Calibri Light"/>
                <w:b w:val="0"/>
              </w:rPr>
              <w:t xml:space="preserve">, </w:t>
            </w:r>
            <w:r>
              <w:rPr>
                <w:rFonts w:ascii="Calibri Light" w:hAnsi="Calibri Light"/>
                <w:b w:val="0"/>
              </w:rPr>
              <w:t>lo cual</w:t>
            </w:r>
            <w:r w:rsidR="007E2692">
              <w:rPr>
                <w:rFonts w:ascii="Calibri Light" w:hAnsi="Calibri Light"/>
                <w:b w:val="0"/>
              </w:rPr>
              <w:t xml:space="preserve"> implica que no debe requerir mayores formalidades que tornen ilusorio el derecho.</w:t>
            </w:r>
          </w:p>
          <w:p w14:paraId="0EB97C2A" w14:textId="77777777" w:rsidR="00DB723F" w:rsidRDefault="00DB723F" w:rsidP="008868B9">
            <w:pPr>
              <w:spacing w:after="0" w:line="240" w:lineRule="auto"/>
              <w:jc w:val="both"/>
              <w:rPr>
                <w:rFonts w:ascii="Calibri Light" w:hAnsi="Calibri Light"/>
                <w:b w:val="0"/>
              </w:rPr>
            </w:pPr>
          </w:p>
          <w:p w14:paraId="7CDD0B7B" w14:textId="3B6C0350" w:rsidR="008868B9" w:rsidRDefault="00680475" w:rsidP="0053792A">
            <w:pPr>
              <w:spacing w:after="0" w:line="240" w:lineRule="auto"/>
              <w:jc w:val="both"/>
              <w:rPr>
                <w:rFonts w:ascii="Calibri Light" w:hAnsi="Calibri Light"/>
                <w:b w:val="0"/>
              </w:rPr>
            </w:pPr>
            <w:r>
              <w:rPr>
                <w:rFonts w:ascii="Calibri Light" w:hAnsi="Calibri Light"/>
                <w:b w:val="0"/>
              </w:rPr>
              <w:t>Al respecto, t</w:t>
            </w:r>
            <w:r w:rsidR="003D4B4C">
              <w:rPr>
                <w:rFonts w:ascii="Calibri Light" w:hAnsi="Calibri Light"/>
                <w:b w:val="0"/>
              </w:rPr>
              <w:t>anto el</w:t>
            </w:r>
            <w:r w:rsidR="00177C3E">
              <w:rPr>
                <w:rFonts w:ascii="Calibri Light" w:hAnsi="Calibri Light"/>
                <w:b w:val="0"/>
              </w:rPr>
              <w:t xml:space="preserve"> Comité de Derechos Humanos de Naciones Unidas</w:t>
            </w:r>
            <w:r w:rsidR="003D4B4C">
              <w:rPr>
                <w:rFonts w:ascii="Calibri Light" w:hAnsi="Calibri Light"/>
                <w:b w:val="0"/>
              </w:rPr>
              <w:t xml:space="preserve"> como la CIDH </w:t>
            </w:r>
            <w:r>
              <w:rPr>
                <w:rFonts w:ascii="Calibri Light" w:hAnsi="Calibri Light"/>
                <w:b w:val="0"/>
              </w:rPr>
              <w:t>han precisado que el derecho a recurrir el fallo no implica necesariamente un nuevo juicio, sino la posibilidad de señalar y obtener respuesta sobre errores que hubiera podido cometer el juez o tribunal</w:t>
            </w:r>
            <w:r w:rsidR="00B714A3">
              <w:rPr>
                <w:rFonts w:ascii="Calibri Light" w:hAnsi="Calibri Light"/>
                <w:b w:val="0"/>
              </w:rPr>
              <w:t xml:space="preserve">. </w:t>
            </w:r>
            <w:r>
              <w:rPr>
                <w:rFonts w:ascii="Calibri Light" w:hAnsi="Calibri Light"/>
                <w:b w:val="0"/>
              </w:rPr>
              <w:t xml:space="preserve">Estos parámetros han sido acogidos por la Corte IDH en </w:t>
            </w:r>
            <w:r w:rsidR="004E0B37">
              <w:rPr>
                <w:rFonts w:ascii="Calibri Light" w:hAnsi="Calibri Light"/>
                <w:b w:val="0"/>
              </w:rPr>
              <w:t>los casos</w:t>
            </w:r>
            <w:r>
              <w:rPr>
                <w:rFonts w:ascii="Calibri Light" w:hAnsi="Calibri Light"/>
                <w:b w:val="0"/>
              </w:rPr>
              <w:t xml:space="preserve"> </w:t>
            </w:r>
            <w:r>
              <w:rPr>
                <w:rFonts w:ascii="Calibri Light" w:hAnsi="Calibri Light"/>
                <w:b w:val="0"/>
                <w:i/>
              </w:rPr>
              <w:t xml:space="preserve">Abella </w:t>
            </w:r>
            <w:r>
              <w:rPr>
                <w:rFonts w:ascii="Calibri Light" w:hAnsi="Calibri Light"/>
                <w:b w:val="0"/>
              </w:rPr>
              <w:t xml:space="preserve">y </w:t>
            </w:r>
            <w:r>
              <w:rPr>
                <w:rFonts w:ascii="Calibri Light" w:hAnsi="Calibri Light"/>
                <w:b w:val="0"/>
                <w:i/>
              </w:rPr>
              <w:t>Mendoza y otros vs. Argentina</w:t>
            </w:r>
            <w:r w:rsidR="0053792A">
              <w:rPr>
                <w:rFonts w:ascii="Calibri Light" w:hAnsi="Calibri Light"/>
                <w:b w:val="0"/>
              </w:rPr>
              <w:t xml:space="preserve">. Además, la CIDH ha precisado que </w:t>
            </w:r>
            <w:r w:rsidR="006B7F8B">
              <w:rPr>
                <w:rFonts w:ascii="Calibri Light" w:hAnsi="Calibri Light"/>
                <w:b w:val="0"/>
              </w:rPr>
              <w:t>el rechazo de los recursos sobre la base del incumplimiento de requisitos formales establecidos legalmente también puede resultar en una violación del derecho a recurrir el fallo.</w:t>
            </w:r>
          </w:p>
          <w:p w14:paraId="470E5EAD" w14:textId="77777777" w:rsidR="000942C8" w:rsidRDefault="000942C8" w:rsidP="0053792A">
            <w:pPr>
              <w:spacing w:after="0" w:line="240" w:lineRule="auto"/>
              <w:jc w:val="both"/>
              <w:rPr>
                <w:rFonts w:ascii="Calibri Light" w:hAnsi="Calibri Light"/>
                <w:b w:val="0"/>
              </w:rPr>
            </w:pPr>
          </w:p>
          <w:p w14:paraId="0D52E965" w14:textId="77777777" w:rsidR="000942C8" w:rsidRDefault="000942C8" w:rsidP="0053792A">
            <w:pPr>
              <w:spacing w:after="0" w:line="240" w:lineRule="auto"/>
              <w:jc w:val="both"/>
              <w:rPr>
                <w:rFonts w:ascii="Calibri Light" w:hAnsi="Calibri Light"/>
                <w:b w:val="0"/>
                <w:u w:val="single"/>
              </w:rPr>
            </w:pPr>
            <w:r>
              <w:rPr>
                <w:rFonts w:ascii="Calibri Light" w:hAnsi="Calibri Light"/>
                <w:b w:val="0"/>
                <w:u w:val="single"/>
              </w:rPr>
              <w:t>Análisis del caso concreto</w:t>
            </w:r>
          </w:p>
          <w:p w14:paraId="40D0734D" w14:textId="77777777" w:rsidR="000942C8" w:rsidRDefault="000942C8" w:rsidP="0053792A">
            <w:pPr>
              <w:spacing w:after="0" w:line="240" w:lineRule="auto"/>
              <w:jc w:val="both"/>
              <w:rPr>
                <w:rFonts w:ascii="Calibri Light" w:hAnsi="Calibri Light"/>
                <w:b w:val="0"/>
                <w:u w:val="single"/>
              </w:rPr>
            </w:pPr>
          </w:p>
          <w:p w14:paraId="17E41FE0" w14:textId="2BA96BD4" w:rsidR="00724801" w:rsidRDefault="000D0A46" w:rsidP="0053792A">
            <w:pPr>
              <w:spacing w:after="0" w:line="240" w:lineRule="auto"/>
              <w:jc w:val="both"/>
              <w:rPr>
                <w:rFonts w:ascii="Calibri Light" w:hAnsi="Calibri Light"/>
                <w:b w:val="0"/>
              </w:rPr>
            </w:pPr>
            <w:r>
              <w:rPr>
                <w:rFonts w:ascii="Calibri Light" w:hAnsi="Calibri Light"/>
                <w:b w:val="0"/>
              </w:rPr>
              <w:t xml:space="preserve">La CIDH estimó que </w:t>
            </w:r>
            <w:r w:rsidR="006E3B19">
              <w:rPr>
                <w:rFonts w:ascii="Calibri Light" w:hAnsi="Calibri Light"/>
                <w:b w:val="0"/>
              </w:rPr>
              <w:t xml:space="preserve">el recurso concebido para apelar una sentencia de primera instancia en la legislación argentina es el recurso de casación, por lo cual basó su análisis </w:t>
            </w:r>
            <w:r w:rsidR="00D02714">
              <w:rPr>
                <w:rFonts w:ascii="Calibri Light" w:hAnsi="Calibri Light"/>
                <w:b w:val="0"/>
              </w:rPr>
              <w:t xml:space="preserve">sobre su regulación </w:t>
            </w:r>
            <w:r w:rsidR="00EE4FD7">
              <w:rPr>
                <w:rFonts w:ascii="Calibri Light" w:hAnsi="Calibri Light"/>
                <w:b w:val="0"/>
              </w:rPr>
              <w:t xml:space="preserve">y cómo se lleva en la práctica. En base a los parámetros generales sobre </w:t>
            </w:r>
            <w:r w:rsidR="005B124D">
              <w:rPr>
                <w:rFonts w:ascii="Calibri Light" w:hAnsi="Calibri Light"/>
                <w:b w:val="0"/>
              </w:rPr>
              <w:t xml:space="preserve">el derecho a recurrir el fallo, consideró que: i) </w:t>
            </w:r>
            <w:r w:rsidR="001A0C3F">
              <w:rPr>
                <w:rFonts w:ascii="Calibri Light" w:hAnsi="Calibri Light"/>
                <w:b w:val="0"/>
              </w:rPr>
              <w:t>la regulación del recurso de casación a través del artículo 468 del CPPC limita el acceso al recurso a errores de derecho tanto sustantivos como procesales; y ii) la práctica judicial, que además fue reconocida por la Corte Suprema de Justicia de la Nación, ha consistido en interpretar restrictivamente el marco legal que regula el recurso de casación, de modo que se excluye la revisión de cuestiones de hecho o</w:t>
            </w:r>
            <w:r w:rsidR="00724801">
              <w:rPr>
                <w:rFonts w:ascii="Calibri Light" w:hAnsi="Calibri Light"/>
                <w:b w:val="0"/>
              </w:rPr>
              <w:t xml:space="preserve"> de valoración probatoria. </w:t>
            </w:r>
            <w:r w:rsidR="00CD0E7C">
              <w:rPr>
                <w:rFonts w:ascii="Calibri Light" w:hAnsi="Calibri Light"/>
                <w:b w:val="0"/>
              </w:rPr>
              <w:t>Todo e</w:t>
            </w:r>
            <w:r w:rsidR="00724801">
              <w:rPr>
                <w:rFonts w:ascii="Calibri Light" w:hAnsi="Calibri Light"/>
                <w:b w:val="0"/>
              </w:rPr>
              <w:t xml:space="preserve">llo implicó, a juicio de la CIDH, </w:t>
            </w:r>
            <w:r w:rsidR="00316D5D">
              <w:rPr>
                <w:rFonts w:ascii="Calibri Light" w:hAnsi="Calibri Light"/>
                <w:b w:val="0"/>
              </w:rPr>
              <w:t>una seria limitación en la ley y</w:t>
            </w:r>
            <w:r w:rsidR="00724801">
              <w:rPr>
                <w:rFonts w:ascii="Calibri Light" w:hAnsi="Calibri Light"/>
                <w:b w:val="0"/>
              </w:rPr>
              <w:t xml:space="preserve"> en la práctica en cuanto a la efectividad del</w:t>
            </w:r>
            <w:r w:rsidR="0056682E">
              <w:rPr>
                <w:rFonts w:ascii="Calibri Light" w:hAnsi="Calibri Light"/>
                <w:b w:val="0"/>
              </w:rPr>
              <w:t xml:space="preserve"> recurso para recurrir el fallo, lo cual se demuestra con la declaración de inadmisibilidad</w:t>
            </w:r>
            <w:r w:rsidR="003A07F4">
              <w:rPr>
                <w:rFonts w:ascii="Calibri Light" w:hAnsi="Calibri Light"/>
                <w:b w:val="0"/>
              </w:rPr>
              <w:t xml:space="preserve"> en lo</w:t>
            </w:r>
            <w:r w:rsidR="0056682E">
              <w:rPr>
                <w:rFonts w:ascii="Calibri Light" w:hAnsi="Calibri Light"/>
                <w:b w:val="0"/>
              </w:rPr>
              <w:t xml:space="preserve"> formal de ambos recursos de casación presentados.</w:t>
            </w:r>
          </w:p>
          <w:p w14:paraId="25A7921E" w14:textId="77777777" w:rsidR="00724801" w:rsidRDefault="00724801" w:rsidP="0053792A">
            <w:pPr>
              <w:spacing w:after="0" w:line="240" w:lineRule="auto"/>
              <w:jc w:val="both"/>
              <w:rPr>
                <w:rFonts w:ascii="Calibri Light" w:hAnsi="Calibri Light"/>
                <w:b w:val="0"/>
              </w:rPr>
            </w:pPr>
          </w:p>
          <w:p w14:paraId="289D5627" w14:textId="0FDAF21D" w:rsidR="00932E1A" w:rsidRDefault="0056682E" w:rsidP="0053792A">
            <w:pPr>
              <w:spacing w:after="0" w:line="240" w:lineRule="auto"/>
              <w:jc w:val="both"/>
              <w:rPr>
                <w:rFonts w:ascii="Calibri Light" w:hAnsi="Calibri Light"/>
                <w:b w:val="0"/>
              </w:rPr>
            </w:pPr>
            <w:r>
              <w:rPr>
                <w:rFonts w:ascii="Calibri Light" w:hAnsi="Calibri Light"/>
                <w:b w:val="0"/>
              </w:rPr>
              <w:t xml:space="preserve">Por otro lado, </w:t>
            </w:r>
            <w:r w:rsidR="00C802F0">
              <w:rPr>
                <w:rFonts w:ascii="Calibri Light" w:hAnsi="Calibri Light"/>
                <w:b w:val="0"/>
              </w:rPr>
              <w:t xml:space="preserve">en cuanto a </w:t>
            </w:r>
            <w:r>
              <w:rPr>
                <w:rFonts w:ascii="Calibri Light" w:hAnsi="Calibri Light"/>
                <w:b w:val="0"/>
              </w:rPr>
              <w:t xml:space="preserve">los recursos extraordinarios presentados por los señores Del Valle </w:t>
            </w:r>
            <w:r w:rsidR="00F13F2E">
              <w:rPr>
                <w:rFonts w:ascii="Calibri Light" w:hAnsi="Calibri Light"/>
                <w:b w:val="0"/>
              </w:rPr>
              <w:t>y Domínguez</w:t>
            </w:r>
            <w:r w:rsidR="00C802F0">
              <w:rPr>
                <w:rFonts w:ascii="Calibri Light" w:hAnsi="Calibri Light"/>
                <w:b w:val="0"/>
              </w:rPr>
              <w:t>,</w:t>
            </w:r>
            <w:r>
              <w:rPr>
                <w:rFonts w:ascii="Calibri Light" w:hAnsi="Calibri Light"/>
                <w:b w:val="0"/>
              </w:rPr>
              <w:t xml:space="preserve"> </w:t>
            </w:r>
            <w:r w:rsidR="00C802F0">
              <w:rPr>
                <w:rFonts w:ascii="Calibri Light" w:hAnsi="Calibri Light"/>
                <w:b w:val="0"/>
              </w:rPr>
              <w:t xml:space="preserve">estos </w:t>
            </w:r>
            <w:r>
              <w:rPr>
                <w:rFonts w:ascii="Calibri Light" w:hAnsi="Calibri Light"/>
                <w:b w:val="0"/>
              </w:rPr>
              <w:t>fueron declarados formalmente inadmisibles</w:t>
            </w:r>
            <w:r w:rsidR="001524D4">
              <w:rPr>
                <w:rFonts w:ascii="Calibri Light" w:hAnsi="Calibri Light"/>
                <w:b w:val="0"/>
              </w:rPr>
              <w:t xml:space="preserve">. La CIDH señaló que ello se hizo siguiendo </w:t>
            </w:r>
            <w:r w:rsidR="00B02D04">
              <w:rPr>
                <w:rFonts w:ascii="Calibri Light" w:hAnsi="Calibri Light"/>
                <w:b w:val="0"/>
              </w:rPr>
              <w:t>la d</w:t>
            </w:r>
            <w:r w:rsidR="00CE746D">
              <w:rPr>
                <w:rFonts w:ascii="Calibri Light" w:hAnsi="Calibri Light"/>
                <w:b w:val="0"/>
              </w:rPr>
              <w:t>octrina</w:t>
            </w:r>
            <w:r w:rsidR="001524D4">
              <w:rPr>
                <w:rFonts w:ascii="Calibri Light" w:hAnsi="Calibri Light"/>
                <w:b w:val="0"/>
              </w:rPr>
              <w:t xml:space="preserve"> </w:t>
            </w:r>
            <w:r w:rsidR="00B02D04">
              <w:rPr>
                <w:rFonts w:ascii="Calibri Light" w:hAnsi="Calibri Light"/>
                <w:b w:val="0"/>
              </w:rPr>
              <w:t>de la Corte Suprema de Justicia de Argentina que establecía que dicha vía recursiva no tenía por objeto la corrección en tercera instancia de decisiones que a criterio de los impugnantes se estimaran equivocadas.</w:t>
            </w:r>
            <w:r w:rsidR="00E66806">
              <w:rPr>
                <w:rFonts w:ascii="Calibri Light" w:hAnsi="Calibri Light"/>
                <w:b w:val="0"/>
              </w:rPr>
              <w:t xml:space="preserve"> </w:t>
            </w:r>
          </w:p>
          <w:p w14:paraId="36FED40F" w14:textId="77777777" w:rsidR="00932E1A" w:rsidRDefault="00932E1A" w:rsidP="0053792A">
            <w:pPr>
              <w:spacing w:after="0" w:line="240" w:lineRule="auto"/>
              <w:jc w:val="both"/>
              <w:rPr>
                <w:rFonts w:ascii="Calibri Light" w:hAnsi="Calibri Light"/>
                <w:b w:val="0"/>
              </w:rPr>
            </w:pPr>
          </w:p>
          <w:p w14:paraId="691A1EA3" w14:textId="77777777" w:rsidR="00932E1A" w:rsidRDefault="00E66806" w:rsidP="0053792A">
            <w:pPr>
              <w:spacing w:after="0" w:line="240" w:lineRule="auto"/>
              <w:jc w:val="both"/>
              <w:rPr>
                <w:rFonts w:ascii="Calibri Light" w:hAnsi="Calibri Light"/>
                <w:b w:val="0"/>
              </w:rPr>
            </w:pPr>
            <w:r>
              <w:rPr>
                <w:rFonts w:ascii="Calibri Light" w:hAnsi="Calibri Light"/>
                <w:b w:val="0"/>
              </w:rPr>
              <w:t xml:space="preserve">Por ello, la CIDH </w:t>
            </w:r>
            <w:r w:rsidR="00932E1A">
              <w:rPr>
                <w:rFonts w:ascii="Calibri Light" w:hAnsi="Calibri Light"/>
                <w:b w:val="0"/>
              </w:rPr>
              <w:t>consideró que los señores Del V</w:t>
            </w:r>
            <w:r>
              <w:rPr>
                <w:rFonts w:ascii="Calibri Light" w:hAnsi="Calibri Light"/>
                <w:b w:val="0"/>
              </w:rPr>
              <w:t xml:space="preserve">alle Ambrosio y Domínguez Linares no contaron con un recurso ante autoridad jerárquica que efectuara una revisión integral de </w:t>
            </w:r>
            <w:r w:rsidR="00932E1A">
              <w:rPr>
                <w:rFonts w:ascii="Calibri Light" w:hAnsi="Calibri Light"/>
                <w:b w:val="0"/>
              </w:rPr>
              <w:t xml:space="preserve">la condena emitida en su contra, y declaró la violación del artículo 8.2 h) de la CADH, en relación con los artículos 1.1 y 2, </w:t>
            </w:r>
            <w:r w:rsidR="009C69B9">
              <w:rPr>
                <w:rFonts w:ascii="Calibri Light" w:hAnsi="Calibri Light"/>
                <w:b w:val="0"/>
              </w:rPr>
              <w:t xml:space="preserve">por parte del Estado argentino </w:t>
            </w:r>
            <w:r w:rsidR="00932E1A">
              <w:rPr>
                <w:rFonts w:ascii="Calibri Light" w:hAnsi="Calibri Light"/>
                <w:b w:val="0"/>
              </w:rPr>
              <w:t xml:space="preserve">en perjuicio de ambos. Asimismo, la CIDH concluyó que, como consecuencia de carácter limitado del recurso de casación y el aún más limitado del recurso extraordinario, las víctimas no contaron con recursos judiciales sencillos y efectivos en el marco del proceso penal que culminó con su condena, por lo que declaró también la violación del artículo 25.1 de la CADH, en relación con los artículos 1.1 y 2, en </w:t>
            </w:r>
            <w:r w:rsidR="00004BC0">
              <w:rPr>
                <w:rFonts w:ascii="Calibri Light" w:hAnsi="Calibri Light"/>
                <w:b w:val="0"/>
              </w:rPr>
              <w:t xml:space="preserve">su </w:t>
            </w:r>
            <w:r w:rsidR="00932E1A">
              <w:rPr>
                <w:rFonts w:ascii="Calibri Light" w:hAnsi="Calibri Light"/>
                <w:b w:val="0"/>
              </w:rPr>
              <w:t>perjuicio.</w:t>
            </w:r>
          </w:p>
          <w:p w14:paraId="2A162F3A" w14:textId="77777777" w:rsidR="00932E1A" w:rsidRDefault="00932E1A" w:rsidP="0053792A">
            <w:pPr>
              <w:spacing w:after="0" w:line="240" w:lineRule="auto"/>
              <w:jc w:val="both"/>
              <w:rPr>
                <w:rFonts w:ascii="Calibri Light" w:hAnsi="Calibri Light"/>
                <w:b w:val="0"/>
              </w:rPr>
            </w:pPr>
          </w:p>
          <w:p w14:paraId="301EA002" w14:textId="77777777" w:rsidR="00932E1A" w:rsidRDefault="00932E1A" w:rsidP="0053792A">
            <w:pPr>
              <w:spacing w:after="0" w:line="240" w:lineRule="auto"/>
              <w:jc w:val="both"/>
              <w:rPr>
                <w:rFonts w:ascii="Calibri Light" w:hAnsi="Calibri Light"/>
              </w:rPr>
            </w:pPr>
            <w:r>
              <w:rPr>
                <w:rFonts w:ascii="Calibri Light" w:hAnsi="Calibri Light"/>
              </w:rPr>
              <w:t>Consideraciones en cuanto a los desarrollos posteriores sobre el derecho a recurrir el fallo</w:t>
            </w:r>
          </w:p>
          <w:p w14:paraId="21ED41B3" w14:textId="77777777" w:rsidR="00932E1A" w:rsidRDefault="00932E1A" w:rsidP="0053792A">
            <w:pPr>
              <w:spacing w:after="0" w:line="240" w:lineRule="auto"/>
              <w:jc w:val="both"/>
              <w:rPr>
                <w:rFonts w:ascii="Calibri Light" w:hAnsi="Calibri Light"/>
              </w:rPr>
            </w:pPr>
          </w:p>
          <w:p w14:paraId="7262F98C" w14:textId="4889E645" w:rsidR="002111FB" w:rsidRDefault="001B32D6" w:rsidP="001B32D6">
            <w:pPr>
              <w:spacing w:after="0" w:line="240" w:lineRule="auto"/>
              <w:jc w:val="both"/>
              <w:rPr>
                <w:rFonts w:ascii="Calibri Light" w:hAnsi="Calibri Light"/>
                <w:b w:val="0"/>
              </w:rPr>
            </w:pPr>
            <w:r>
              <w:rPr>
                <w:rFonts w:ascii="Calibri Light" w:hAnsi="Calibri Light"/>
                <w:b w:val="0"/>
              </w:rPr>
              <w:t>La CIDH rescató que</w:t>
            </w:r>
            <w:r w:rsidR="00094A10">
              <w:rPr>
                <w:rFonts w:ascii="Calibri Light" w:hAnsi="Calibri Light"/>
                <w:b w:val="0"/>
              </w:rPr>
              <w:t xml:space="preserve"> la emisión del</w:t>
            </w:r>
            <w:r>
              <w:rPr>
                <w:rFonts w:ascii="Calibri Light" w:hAnsi="Calibri Light"/>
                <w:b w:val="0"/>
              </w:rPr>
              <w:t xml:space="preserve"> “el fallo Casal”</w:t>
            </w:r>
            <w:r w:rsidR="00094A10">
              <w:rPr>
                <w:rFonts w:ascii="Calibri Light" w:hAnsi="Calibri Light"/>
                <w:b w:val="0"/>
              </w:rPr>
              <w:t xml:space="preserve"> por la Corte Suprema, en el</w:t>
            </w:r>
            <w:r>
              <w:rPr>
                <w:rFonts w:ascii="Calibri Light" w:hAnsi="Calibri Light"/>
                <w:b w:val="0"/>
              </w:rPr>
              <w:t xml:space="preserve"> que reconoció que existía una práctica extendida de interpretación restrictiva de las normas que regulan el recurso de casación en los tribunales argentinos, particularmente de la Sala de Casación </w:t>
            </w:r>
            <w:r>
              <w:rPr>
                <w:rFonts w:ascii="Calibri Light" w:hAnsi="Calibri Light"/>
                <w:b w:val="0"/>
              </w:rPr>
              <w:lastRenderedPageBreak/>
              <w:t xml:space="preserve">Penal, que perjudicaba el derecho a recurrir el fallo cuando se solicitaba una revisión de cuestiones relacionadas con los hechos o con la valoración probatoria. En atención a ello, se indicó la necesidad de cambiar dicha interpretación restrictiva por una más amplia que no limitara la revisión a cuestiones de derecho, sino que incluyera aquellas cuestiones de hecho o de valoración probatoria que fueran pertinentes. </w:t>
            </w:r>
          </w:p>
          <w:p w14:paraId="26377566" w14:textId="77777777" w:rsidR="002111FB" w:rsidRDefault="002111FB" w:rsidP="001B32D6">
            <w:pPr>
              <w:spacing w:after="0" w:line="240" w:lineRule="auto"/>
              <w:jc w:val="both"/>
              <w:rPr>
                <w:rFonts w:ascii="Calibri Light" w:hAnsi="Calibri Light"/>
                <w:b w:val="0"/>
              </w:rPr>
            </w:pPr>
          </w:p>
          <w:p w14:paraId="4E389317" w14:textId="2293A1AE" w:rsidR="006B7F8B" w:rsidRDefault="001B32D6" w:rsidP="0053792A">
            <w:pPr>
              <w:spacing w:after="0" w:line="240" w:lineRule="auto"/>
              <w:jc w:val="both"/>
              <w:rPr>
                <w:rFonts w:ascii="Calibri Light" w:hAnsi="Calibri Light"/>
                <w:b w:val="0"/>
              </w:rPr>
            </w:pPr>
            <w:r>
              <w:rPr>
                <w:rFonts w:ascii="Calibri Light" w:hAnsi="Calibri Light"/>
                <w:b w:val="0"/>
              </w:rPr>
              <w:t>Sin embargo, a la fecha de emisión del informe no se había modificado la legislación ni se registró un viraje en la práctica interpretativa</w:t>
            </w:r>
            <w:r w:rsidR="00111AC3">
              <w:rPr>
                <w:rFonts w:ascii="Calibri Light" w:hAnsi="Calibri Light"/>
                <w:b w:val="0"/>
              </w:rPr>
              <w:t xml:space="preserve"> que permitiera el planteamiento de cuestiones de hecho o de valoración probatoria</w:t>
            </w:r>
            <w:r w:rsidR="002111FB">
              <w:rPr>
                <w:rFonts w:ascii="Calibri Light" w:hAnsi="Calibri Light"/>
                <w:b w:val="0"/>
              </w:rPr>
              <w:t>, por lo que la CIDH concluyó que</w:t>
            </w:r>
            <w:r>
              <w:rPr>
                <w:rFonts w:ascii="Calibri Light" w:hAnsi="Calibri Light"/>
                <w:b w:val="0"/>
              </w:rPr>
              <w:t xml:space="preserve"> las violaciones declaradas contra los señores Del Valle y Domínguez no obedecieron a interpretaciones aisladas por un juez en sus casos, sino al contexto de una legislación y práctica que excluía la revisión de los hechos y la valoración y recepción de prueba en las apelaciones contra fall</w:t>
            </w:r>
            <w:r w:rsidR="002111FB">
              <w:rPr>
                <w:rFonts w:ascii="Calibri Light" w:hAnsi="Calibri Light"/>
                <w:b w:val="0"/>
              </w:rPr>
              <w:t>os condenatorios. En ese sentido,</w:t>
            </w:r>
            <w:r w:rsidR="00C00D1A">
              <w:rPr>
                <w:rFonts w:ascii="Calibri Light" w:hAnsi="Calibri Light"/>
                <w:b w:val="0"/>
              </w:rPr>
              <w:t xml:space="preserve"> concluyó que el Estado de Argentina incumplió la obligación de adoptar disposiciones de derecho interno contenida en el artículo 2 de la CADH.</w:t>
            </w:r>
          </w:p>
          <w:p w14:paraId="6B6FC879" w14:textId="77777777" w:rsidR="006B7F8B" w:rsidRPr="0053792A" w:rsidRDefault="006B7F8B" w:rsidP="0053792A">
            <w:pPr>
              <w:spacing w:after="0" w:line="240" w:lineRule="auto"/>
              <w:jc w:val="both"/>
              <w:rPr>
                <w:rFonts w:ascii="Calibri Light" w:hAnsi="Calibri Light"/>
                <w:b w:val="0"/>
              </w:rPr>
            </w:pPr>
          </w:p>
        </w:tc>
      </w:tr>
      <w:tr w:rsidR="00846B0D" w14:paraId="663F84E7" w14:textId="77777777" w:rsidTr="00846B0D">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hideMark/>
          </w:tcPr>
          <w:p w14:paraId="2A3FA23B" w14:textId="77777777" w:rsidR="00846B0D" w:rsidRDefault="00846B0D" w:rsidP="007C6E71">
            <w:pPr>
              <w:pStyle w:val="ListParagraph"/>
              <w:numPr>
                <w:ilvl w:val="0"/>
                <w:numId w:val="1"/>
              </w:numPr>
              <w:spacing w:after="0" w:line="240" w:lineRule="auto"/>
              <w:jc w:val="center"/>
              <w:rPr>
                <w:rFonts w:ascii="Calibri Light" w:hAnsi="Calibri Light"/>
              </w:rPr>
            </w:pPr>
            <w:r>
              <w:rPr>
                <w:rFonts w:ascii="Calibri Light" w:hAnsi="Calibri Light"/>
              </w:rPr>
              <w:lastRenderedPageBreak/>
              <w:t>Recomendaciones de la CIDH al Estado</w:t>
            </w:r>
          </w:p>
        </w:tc>
      </w:tr>
      <w:tr w:rsidR="00846B0D" w14:paraId="0EB074B3" w14:textId="77777777" w:rsidTr="00846B0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2DDA7918" w14:textId="77777777" w:rsidR="00846B0D" w:rsidRDefault="00846B0D">
            <w:pPr>
              <w:pStyle w:val="ListParagraph"/>
              <w:spacing w:after="0" w:line="240" w:lineRule="auto"/>
              <w:ind w:left="0"/>
              <w:jc w:val="both"/>
              <w:rPr>
                <w:rFonts w:ascii="Calibri Light" w:hAnsi="Calibri Light"/>
                <w:b w:val="0"/>
              </w:rPr>
            </w:pPr>
          </w:p>
          <w:p w14:paraId="31646C21" w14:textId="77777777" w:rsidR="00846B0D" w:rsidRPr="00C4108D" w:rsidRDefault="00B45211" w:rsidP="00B45211">
            <w:pPr>
              <w:pStyle w:val="ListParagraph"/>
              <w:numPr>
                <w:ilvl w:val="0"/>
                <w:numId w:val="6"/>
              </w:numPr>
              <w:spacing w:line="240" w:lineRule="auto"/>
              <w:jc w:val="both"/>
              <w:rPr>
                <w:rFonts w:ascii="Calibri Light" w:hAnsi="Calibri Light"/>
              </w:rPr>
            </w:pPr>
            <w:r>
              <w:rPr>
                <w:rFonts w:ascii="Calibri Light" w:hAnsi="Calibri Light"/>
                <w:b w:val="0"/>
              </w:rPr>
              <w:t>Disponer las medidas necesarias para que, en caso de ser su voluntad, los señores Del Valle y Domínguez puedan interponer un recurso mediante el cual obtengan una revisión de la sentencia condenatoria que se ajuste a los parámetros establecidos en el informe de fondo.</w:t>
            </w:r>
          </w:p>
          <w:p w14:paraId="15330569" w14:textId="77777777" w:rsidR="00C4108D" w:rsidRPr="00B45211" w:rsidRDefault="00C4108D" w:rsidP="00C4108D">
            <w:pPr>
              <w:pStyle w:val="ListParagraph"/>
              <w:spacing w:line="240" w:lineRule="auto"/>
              <w:ind w:left="360"/>
              <w:jc w:val="both"/>
              <w:rPr>
                <w:rFonts w:ascii="Calibri Light" w:hAnsi="Calibri Light"/>
              </w:rPr>
            </w:pPr>
          </w:p>
          <w:p w14:paraId="749502BB" w14:textId="77777777" w:rsidR="00B45211" w:rsidRPr="00C4108D" w:rsidRDefault="00B45211" w:rsidP="00B45211">
            <w:pPr>
              <w:pStyle w:val="ListParagraph"/>
              <w:numPr>
                <w:ilvl w:val="0"/>
                <w:numId w:val="6"/>
              </w:numPr>
              <w:spacing w:line="240" w:lineRule="auto"/>
              <w:jc w:val="both"/>
              <w:rPr>
                <w:rFonts w:ascii="Calibri Light" w:hAnsi="Calibri Light"/>
              </w:rPr>
            </w:pPr>
            <w:r>
              <w:rPr>
                <w:rFonts w:ascii="Calibri Light" w:hAnsi="Calibri Light"/>
                <w:b w:val="0"/>
              </w:rPr>
              <w:t>Reparar integralmente las viola</w:t>
            </w:r>
            <w:r w:rsidR="003C60D9">
              <w:rPr>
                <w:rFonts w:ascii="Calibri Light" w:hAnsi="Calibri Light"/>
                <w:b w:val="0"/>
              </w:rPr>
              <w:t>ciones declaradas en el informe, incluyendo el daño material e inmaterial.</w:t>
            </w:r>
          </w:p>
          <w:p w14:paraId="61634E08" w14:textId="77777777" w:rsidR="00C4108D" w:rsidRPr="00B45211" w:rsidRDefault="00C4108D" w:rsidP="00C4108D">
            <w:pPr>
              <w:pStyle w:val="ListParagraph"/>
              <w:spacing w:line="240" w:lineRule="auto"/>
              <w:ind w:left="360"/>
              <w:jc w:val="both"/>
              <w:rPr>
                <w:rFonts w:ascii="Calibri Light" w:hAnsi="Calibri Light"/>
              </w:rPr>
            </w:pPr>
          </w:p>
          <w:p w14:paraId="1396AA7C" w14:textId="77777777" w:rsidR="00B45211" w:rsidRPr="002F3607" w:rsidRDefault="00B45211" w:rsidP="002F3607">
            <w:pPr>
              <w:pStyle w:val="ListParagraph"/>
              <w:numPr>
                <w:ilvl w:val="0"/>
                <w:numId w:val="6"/>
              </w:numPr>
              <w:spacing w:after="0" w:line="240" w:lineRule="auto"/>
              <w:jc w:val="both"/>
              <w:rPr>
                <w:rFonts w:ascii="Calibri Light" w:hAnsi="Calibri Light"/>
              </w:rPr>
            </w:pPr>
            <w:r>
              <w:rPr>
                <w:rFonts w:ascii="Calibri Light" w:hAnsi="Calibri Light"/>
                <w:b w:val="0"/>
              </w:rPr>
              <w:t xml:space="preserve">Disponer las medidas legislativas necesarias para adecuar la legislación interna relativa al recurso de casación </w:t>
            </w:r>
            <w:r w:rsidR="002F3607">
              <w:rPr>
                <w:rFonts w:ascii="Calibri Light" w:hAnsi="Calibri Light"/>
                <w:b w:val="0"/>
              </w:rPr>
              <w:t>a los estándares establecidos en el informe. Asimismo, asegurar que las autoridades judiciales ejerzan un control de convencionalidad al momento de resolver los recursos contra sentencias condenatorias.</w:t>
            </w:r>
          </w:p>
          <w:p w14:paraId="161715EA" w14:textId="77777777" w:rsidR="002F3607" w:rsidRPr="00B45211" w:rsidRDefault="002F3607" w:rsidP="002F3607">
            <w:pPr>
              <w:pStyle w:val="ListParagraph"/>
              <w:spacing w:after="0" w:line="240" w:lineRule="auto"/>
              <w:jc w:val="both"/>
              <w:rPr>
                <w:rFonts w:ascii="Calibri Light" w:hAnsi="Calibri Light"/>
              </w:rPr>
            </w:pPr>
          </w:p>
        </w:tc>
      </w:tr>
      <w:tr w:rsidR="00846B0D" w14:paraId="2E9ABF0A" w14:textId="77777777" w:rsidTr="001B32D6">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hideMark/>
          </w:tcPr>
          <w:p w14:paraId="22799D78" w14:textId="77777777" w:rsidR="00846B0D" w:rsidRDefault="00846B0D" w:rsidP="001B32D6">
            <w:pPr>
              <w:pStyle w:val="ListParagraph"/>
              <w:numPr>
                <w:ilvl w:val="0"/>
                <w:numId w:val="1"/>
              </w:numPr>
              <w:spacing w:after="0"/>
              <w:jc w:val="center"/>
              <w:rPr>
                <w:rFonts w:ascii="Calibri Light" w:hAnsi="Calibri Light"/>
              </w:rPr>
            </w:pPr>
            <w:r>
              <w:rPr>
                <w:rFonts w:ascii="Calibri Light" w:hAnsi="Calibri Light"/>
              </w:rPr>
              <w:t>Análisis de cumplimiento de las recomendaciones</w:t>
            </w:r>
          </w:p>
        </w:tc>
      </w:tr>
      <w:tr w:rsidR="00846B0D" w14:paraId="6636D4D6" w14:textId="77777777" w:rsidTr="00846B0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hideMark/>
          </w:tcPr>
          <w:p w14:paraId="019FB030" w14:textId="77777777" w:rsidR="00846B0D" w:rsidRDefault="00846B0D">
            <w:pPr>
              <w:pStyle w:val="ListParagraph"/>
              <w:spacing w:after="0" w:line="240" w:lineRule="auto"/>
              <w:ind w:left="0"/>
              <w:jc w:val="center"/>
              <w:rPr>
                <w:rFonts w:ascii="Calibri Light" w:hAnsi="Calibri Light"/>
                <w:b w:val="0"/>
              </w:rPr>
            </w:pPr>
            <w:r>
              <w:rPr>
                <w:rFonts w:ascii="Calibri Light" w:hAnsi="Calibri Light"/>
                <w:b w:val="0"/>
              </w:rPr>
              <w:t>-</w:t>
            </w:r>
          </w:p>
        </w:tc>
      </w:tr>
    </w:tbl>
    <w:p w14:paraId="609006CF" w14:textId="77777777" w:rsidR="00615A8D" w:rsidRDefault="00615A8D"/>
    <w:sectPr w:rsidR="00615A8D">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CB0E0" w14:textId="77777777" w:rsidR="00951887" w:rsidRDefault="00951887" w:rsidP="00253349">
      <w:pPr>
        <w:spacing w:after="0" w:line="240" w:lineRule="auto"/>
      </w:pPr>
      <w:r>
        <w:separator/>
      </w:r>
    </w:p>
  </w:endnote>
  <w:endnote w:type="continuationSeparator" w:id="0">
    <w:p w14:paraId="0E66506E" w14:textId="77777777" w:rsidR="00951887" w:rsidRDefault="00951887" w:rsidP="0025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127087"/>
      <w:docPartObj>
        <w:docPartGallery w:val="Page Numbers (Bottom of Page)"/>
        <w:docPartUnique/>
      </w:docPartObj>
    </w:sdtPr>
    <w:sdtEndPr/>
    <w:sdtContent>
      <w:p w14:paraId="2BDBEEFB" w14:textId="5893A652" w:rsidR="00253349" w:rsidRDefault="00253349">
        <w:pPr>
          <w:pStyle w:val="Footer"/>
          <w:jc w:val="right"/>
        </w:pPr>
        <w:r>
          <w:fldChar w:fldCharType="begin"/>
        </w:r>
        <w:r>
          <w:instrText>PAGE   \* MERGEFORMAT</w:instrText>
        </w:r>
        <w:r>
          <w:fldChar w:fldCharType="separate"/>
        </w:r>
        <w:r w:rsidR="00904B61" w:rsidRPr="00904B61">
          <w:rPr>
            <w:noProof/>
            <w:lang w:val="es-ES"/>
          </w:rPr>
          <w:t>4</w:t>
        </w:r>
        <w:r>
          <w:fldChar w:fldCharType="end"/>
        </w:r>
      </w:p>
    </w:sdtContent>
  </w:sdt>
  <w:p w14:paraId="2DC5ECC2" w14:textId="77777777" w:rsidR="00253349" w:rsidRDefault="00253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3E36F" w14:textId="77777777" w:rsidR="00951887" w:rsidRDefault="00951887" w:rsidP="00253349">
      <w:pPr>
        <w:spacing w:after="0" w:line="240" w:lineRule="auto"/>
      </w:pPr>
      <w:r>
        <w:separator/>
      </w:r>
    </w:p>
  </w:footnote>
  <w:footnote w:type="continuationSeparator" w:id="0">
    <w:p w14:paraId="38367365" w14:textId="77777777" w:rsidR="00951887" w:rsidRDefault="00951887" w:rsidP="00253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EB50DC4A"/>
    <w:lvl w:ilvl="0" w:tplc="ABEC1556">
      <w:start w:val="1"/>
      <w:numFmt w:val="decimal"/>
      <w:lvlText w:val="%1."/>
      <w:lvlJc w:val="left"/>
      <w:pPr>
        <w:ind w:left="360" w:hanging="360"/>
      </w:pPr>
      <w:rPr>
        <w:rFonts w:ascii="Calibri Light" w:hAnsi="Calibri Light" w:hint="default"/>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 w15:restartNumberingAfterBreak="0">
    <w:nsid w:val="10E41C11"/>
    <w:multiLevelType w:val="hybridMultilevel"/>
    <w:tmpl w:val="F3AA6BC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 w15:restartNumberingAfterBreak="0">
    <w:nsid w:val="192A16B9"/>
    <w:multiLevelType w:val="hybridMultilevel"/>
    <w:tmpl w:val="D88C14E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s-MX" w:vendorID="64" w:dllVersion="6" w:nlCheck="1" w:checkStyle="0"/>
  <w:activeWritingStyle w:appName="MSWord" w:lang="es-PE" w:vendorID="64" w:dllVersion="6" w:nlCheck="1" w:checkStyle="1"/>
  <w:activeWritingStyle w:appName="MSWord" w:lang="en-US" w:vendorID="64" w:dllVersion="6" w:nlCheck="1" w:checkStyle="1"/>
  <w:activeWritingStyle w:appName="MSWord" w:lang="es-ES" w:vendorID="64" w:dllVersion="6"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B0D"/>
    <w:rsid w:val="00004BC0"/>
    <w:rsid w:val="00007E3A"/>
    <w:rsid w:val="00014379"/>
    <w:rsid w:val="000150D4"/>
    <w:rsid w:val="000152AC"/>
    <w:rsid w:val="00021D41"/>
    <w:rsid w:val="000869C2"/>
    <w:rsid w:val="00087740"/>
    <w:rsid w:val="000942C8"/>
    <w:rsid w:val="00094A10"/>
    <w:rsid w:val="000C4005"/>
    <w:rsid w:val="000D0A46"/>
    <w:rsid w:val="000D25DF"/>
    <w:rsid w:val="00111AC3"/>
    <w:rsid w:val="00130407"/>
    <w:rsid w:val="0014688E"/>
    <w:rsid w:val="001524D4"/>
    <w:rsid w:val="00157F31"/>
    <w:rsid w:val="00167F5A"/>
    <w:rsid w:val="0017283F"/>
    <w:rsid w:val="00172EBC"/>
    <w:rsid w:val="00177C3E"/>
    <w:rsid w:val="001816BD"/>
    <w:rsid w:val="001822C7"/>
    <w:rsid w:val="00191FEA"/>
    <w:rsid w:val="001A0C3F"/>
    <w:rsid w:val="001A6588"/>
    <w:rsid w:val="001B32D6"/>
    <w:rsid w:val="001C40CB"/>
    <w:rsid w:val="002111FB"/>
    <w:rsid w:val="002130DB"/>
    <w:rsid w:val="002277DE"/>
    <w:rsid w:val="0023178B"/>
    <w:rsid w:val="00242983"/>
    <w:rsid w:val="00242BF6"/>
    <w:rsid w:val="00253349"/>
    <w:rsid w:val="00256E93"/>
    <w:rsid w:val="002B6D70"/>
    <w:rsid w:val="002C3CE0"/>
    <w:rsid w:val="002D295F"/>
    <w:rsid w:val="002D2CDE"/>
    <w:rsid w:val="002D6A98"/>
    <w:rsid w:val="002F1095"/>
    <w:rsid w:val="002F3607"/>
    <w:rsid w:val="00315F6F"/>
    <w:rsid w:val="00316D5D"/>
    <w:rsid w:val="0034218E"/>
    <w:rsid w:val="003441F2"/>
    <w:rsid w:val="003906BF"/>
    <w:rsid w:val="003A07F4"/>
    <w:rsid w:val="003A50B1"/>
    <w:rsid w:val="003B68D1"/>
    <w:rsid w:val="003C2838"/>
    <w:rsid w:val="003C60D9"/>
    <w:rsid w:val="003D1C97"/>
    <w:rsid w:val="003D4B4C"/>
    <w:rsid w:val="004262CF"/>
    <w:rsid w:val="0044747D"/>
    <w:rsid w:val="00473381"/>
    <w:rsid w:val="00485BC7"/>
    <w:rsid w:val="004A5842"/>
    <w:rsid w:val="004E0B37"/>
    <w:rsid w:val="004E43D8"/>
    <w:rsid w:val="004E4E93"/>
    <w:rsid w:val="00500919"/>
    <w:rsid w:val="00532B32"/>
    <w:rsid w:val="00533DC3"/>
    <w:rsid w:val="0053792A"/>
    <w:rsid w:val="0056682E"/>
    <w:rsid w:val="0056725D"/>
    <w:rsid w:val="00593219"/>
    <w:rsid w:val="005B124D"/>
    <w:rsid w:val="005B3C01"/>
    <w:rsid w:val="006043E9"/>
    <w:rsid w:val="0061349A"/>
    <w:rsid w:val="00615A8D"/>
    <w:rsid w:val="00663061"/>
    <w:rsid w:val="00674FEE"/>
    <w:rsid w:val="0067719C"/>
    <w:rsid w:val="00680475"/>
    <w:rsid w:val="006B7F8B"/>
    <w:rsid w:val="006E3B19"/>
    <w:rsid w:val="00702D7F"/>
    <w:rsid w:val="00721D1A"/>
    <w:rsid w:val="00724801"/>
    <w:rsid w:val="0073520F"/>
    <w:rsid w:val="00780B6D"/>
    <w:rsid w:val="007D2C14"/>
    <w:rsid w:val="007E0D43"/>
    <w:rsid w:val="007E2692"/>
    <w:rsid w:val="0081025D"/>
    <w:rsid w:val="00833946"/>
    <w:rsid w:val="008364A2"/>
    <w:rsid w:val="00845916"/>
    <w:rsid w:val="00846B0D"/>
    <w:rsid w:val="00856408"/>
    <w:rsid w:val="008569B9"/>
    <w:rsid w:val="008868B9"/>
    <w:rsid w:val="008C0C8B"/>
    <w:rsid w:val="008E4B4C"/>
    <w:rsid w:val="008F6789"/>
    <w:rsid w:val="00904B61"/>
    <w:rsid w:val="00906874"/>
    <w:rsid w:val="00932E1A"/>
    <w:rsid w:val="00951887"/>
    <w:rsid w:val="00997BC0"/>
    <w:rsid w:val="009A6D7A"/>
    <w:rsid w:val="009C69B9"/>
    <w:rsid w:val="00A25985"/>
    <w:rsid w:val="00A46FAF"/>
    <w:rsid w:val="00A71E29"/>
    <w:rsid w:val="00A725DF"/>
    <w:rsid w:val="00AA7D64"/>
    <w:rsid w:val="00B01F2A"/>
    <w:rsid w:val="00B02D04"/>
    <w:rsid w:val="00B24E41"/>
    <w:rsid w:val="00B336B9"/>
    <w:rsid w:val="00B45211"/>
    <w:rsid w:val="00B6758F"/>
    <w:rsid w:val="00B714A3"/>
    <w:rsid w:val="00BC0B60"/>
    <w:rsid w:val="00BD79F9"/>
    <w:rsid w:val="00C00D1A"/>
    <w:rsid w:val="00C14590"/>
    <w:rsid w:val="00C4108D"/>
    <w:rsid w:val="00C574BC"/>
    <w:rsid w:val="00C617EC"/>
    <w:rsid w:val="00C728D3"/>
    <w:rsid w:val="00C802F0"/>
    <w:rsid w:val="00C97941"/>
    <w:rsid w:val="00CA1963"/>
    <w:rsid w:val="00CB43C2"/>
    <w:rsid w:val="00CD0E7C"/>
    <w:rsid w:val="00CD6FDF"/>
    <w:rsid w:val="00CE5D1E"/>
    <w:rsid w:val="00CE746D"/>
    <w:rsid w:val="00CF2101"/>
    <w:rsid w:val="00CF5249"/>
    <w:rsid w:val="00D02714"/>
    <w:rsid w:val="00D350C3"/>
    <w:rsid w:val="00D40DD0"/>
    <w:rsid w:val="00D471CE"/>
    <w:rsid w:val="00D6406F"/>
    <w:rsid w:val="00D855A5"/>
    <w:rsid w:val="00D9321B"/>
    <w:rsid w:val="00D933BA"/>
    <w:rsid w:val="00DB723F"/>
    <w:rsid w:val="00DD3BBE"/>
    <w:rsid w:val="00E33ED8"/>
    <w:rsid w:val="00E66806"/>
    <w:rsid w:val="00EB06F1"/>
    <w:rsid w:val="00ED0BC0"/>
    <w:rsid w:val="00EE2206"/>
    <w:rsid w:val="00EE4FD7"/>
    <w:rsid w:val="00EF038D"/>
    <w:rsid w:val="00F04726"/>
    <w:rsid w:val="00F13F2E"/>
    <w:rsid w:val="00F80331"/>
    <w:rsid w:val="00FD4F31"/>
    <w:rsid w:val="00FF30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B0D"/>
    <w:pPr>
      <w:spacing w:after="200" w:line="276" w:lineRule="auto"/>
    </w:pPr>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B0D"/>
    <w:rPr>
      <w:color w:val="0563C1" w:themeColor="hyperlink"/>
      <w:u w:val="single"/>
    </w:rPr>
  </w:style>
  <w:style w:type="paragraph" w:styleId="Header">
    <w:name w:val="header"/>
    <w:basedOn w:val="Normal"/>
    <w:link w:val="HeaderChar"/>
    <w:uiPriority w:val="99"/>
    <w:unhideWhenUsed/>
    <w:rsid w:val="00846B0D"/>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6B0D"/>
    <w:rPr>
      <w:rFonts w:ascii="Calibri" w:eastAsia="Calibri" w:hAnsi="Calibri" w:cs="Times New Roman"/>
      <w:lang w:val="es-MX"/>
    </w:rPr>
  </w:style>
  <w:style w:type="paragraph" w:styleId="ListParagraph">
    <w:name w:val="List Paragraph"/>
    <w:basedOn w:val="Normal"/>
    <w:uiPriority w:val="34"/>
    <w:qFormat/>
    <w:rsid w:val="00846B0D"/>
    <w:pPr>
      <w:ind w:left="720"/>
      <w:contextualSpacing/>
    </w:pPr>
  </w:style>
  <w:style w:type="table" w:customStyle="1" w:styleId="Tabladelista2-nfasis11">
    <w:name w:val="Tabla de lista 2 - Énfasis 11"/>
    <w:basedOn w:val="TableNormal"/>
    <w:uiPriority w:val="47"/>
    <w:rsid w:val="00846B0D"/>
    <w:pPr>
      <w:spacing w:after="0" w:line="240" w:lineRule="auto"/>
    </w:p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34218E"/>
    <w:rPr>
      <w:sz w:val="16"/>
      <w:szCs w:val="16"/>
    </w:rPr>
  </w:style>
  <w:style w:type="paragraph" w:styleId="CommentText">
    <w:name w:val="annotation text"/>
    <w:basedOn w:val="Normal"/>
    <w:link w:val="CommentTextChar"/>
    <w:uiPriority w:val="99"/>
    <w:semiHidden/>
    <w:unhideWhenUsed/>
    <w:rsid w:val="0034218E"/>
    <w:pPr>
      <w:spacing w:line="240" w:lineRule="auto"/>
    </w:pPr>
    <w:rPr>
      <w:sz w:val="20"/>
      <w:szCs w:val="20"/>
    </w:rPr>
  </w:style>
  <w:style w:type="character" w:customStyle="1" w:styleId="CommentTextChar">
    <w:name w:val="Comment Text Char"/>
    <w:basedOn w:val="DefaultParagraphFont"/>
    <w:link w:val="CommentText"/>
    <w:uiPriority w:val="99"/>
    <w:semiHidden/>
    <w:rsid w:val="0034218E"/>
    <w:rPr>
      <w:rFonts w:ascii="Calibri" w:eastAsia="Calibri" w:hAnsi="Calibri"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34218E"/>
    <w:rPr>
      <w:b/>
      <w:bCs/>
    </w:rPr>
  </w:style>
  <w:style w:type="character" w:customStyle="1" w:styleId="CommentSubjectChar">
    <w:name w:val="Comment Subject Char"/>
    <w:basedOn w:val="CommentTextChar"/>
    <w:link w:val="CommentSubject"/>
    <w:uiPriority w:val="99"/>
    <w:semiHidden/>
    <w:rsid w:val="0034218E"/>
    <w:rPr>
      <w:rFonts w:ascii="Calibri" w:eastAsia="Calibri" w:hAnsi="Calibri" w:cs="Times New Roman"/>
      <w:b/>
      <w:bCs/>
      <w:sz w:val="20"/>
      <w:szCs w:val="20"/>
      <w:lang w:val="es-MX"/>
    </w:rPr>
  </w:style>
  <w:style w:type="paragraph" w:styleId="BalloonText">
    <w:name w:val="Balloon Text"/>
    <w:basedOn w:val="Normal"/>
    <w:link w:val="BalloonTextChar"/>
    <w:uiPriority w:val="99"/>
    <w:semiHidden/>
    <w:unhideWhenUsed/>
    <w:rsid w:val="00342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18E"/>
    <w:rPr>
      <w:rFonts w:ascii="Tahoma" w:eastAsia="Calibri" w:hAnsi="Tahoma" w:cs="Tahoma"/>
      <w:sz w:val="16"/>
      <w:szCs w:val="16"/>
      <w:lang w:val="es-MX"/>
    </w:rPr>
  </w:style>
  <w:style w:type="paragraph" w:styleId="Footer">
    <w:name w:val="footer"/>
    <w:basedOn w:val="Normal"/>
    <w:link w:val="FooterChar"/>
    <w:uiPriority w:val="99"/>
    <w:unhideWhenUsed/>
    <w:rsid w:val="00253349"/>
    <w:pPr>
      <w:tabs>
        <w:tab w:val="center" w:pos="4419"/>
        <w:tab w:val="right" w:pos="8838"/>
      </w:tabs>
      <w:spacing w:after="0" w:line="240" w:lineRule="auto"/>
    </w:pPr>
  </w:style>
  <w:style w:type="character" w:customStyle="1" w:styleId="FooterChar">
    <w:name w:val="Footer Char"/>
    <w:basedOn w:val="DefaultParagraphFont"/>
    <w:link w:val="Footer"/>
    <w:uiPriority w:val="99"/>
    <w:rsid w:val="00253349"/>
    <w:rPr>
      <w:rFonts w:ascii="Calibri" w:eastAsia="Calibri" w:hAnsi="Calibri" w:cs="Times New Roman"/>
      <w:lang w:val="es-MX"/>
    </w:rPr>
  </w:style>
  <w:style w:type="character" w:styleId="UnresolvedMention">
    <w:name w:val="Unresolved Mention"/>
    <w:basedOn w:val="DefaultParagraphFont"/>
    <w:uiPriority w:val="99"/>
    <w:semiHidden/>
    <w:unhideWhenUsed/>
    <w:rsid w:val="00702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s.org/es/cidh/decisiones/2013/ARAD828-01E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8/12924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casos/articulos/seriec_408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72E5-FF81-41AD-9E76-0AEF0B3C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1740</Words>
  <Characters>9918</Characters>
  <Application>Microsoft Office Word</Application>
  <DocSecurity>0</DocSecurity>
  <Lines>82</Lines>
  <Paragraphs>23</Paragraphs>
  <ScaleCrop>false</ScaleCrop>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2021-02-11T09:49:00Z</dcterms:created>
  <dcterms:modified xsi:type="dcterms:W3CDTF">2021-02-11T09:49:00Z</dcterms:modified>
</cp:coreProperties>
</file>