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2E5F" w14:textId="77777777" w:rsidR="00C05D48" w:rsidRDefault="00C05D48" w:rsidP="00C05D48">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EE0EDD6" wp14:editId="76110B2C">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06E68E6D" wp14:editId="55F28D64">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5270C18" wp14:editId="5607DB98">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7E381" w14:textId="77777777" w:rsidR="00C05D48" w:rsidRPr="00411A74" w:rsidRDefault="00C05D48" w:rsidP="00C05D48">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4E9FADF2" w14:textId="77777777" w:rsidR="00C05D48" w:rsidRDefault="00C05D48" w:rsidP="00C05D48">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52A5E79B" w:rsidR="00F725A5" w:rsidRPr="004533E5" w:rsidRDefault="00F725A5" w:rsidP="00B56E3A">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266935"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266935" w:rsidRPr="004533E5" w:rsidRDefault="00266935"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691E1789" w:rsidR="00266935" w:rsidRPr="005A1DB6" w:rsidRDefault="00266935" w:rsidP="00802D6A">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sidRPr="00247E7F">
              <w:rPr>
                <w:rFonts w:ascii="Calibri Light" w:hAnsi="Calibri Light"/>
              </w:rPr>
              <w:t>Juan Carlos Flores Bedregal y familiares, Bolivia</w:t>
            </w:r>
          </w:p>
        </w:tc>
      </w:tr>
      <w:tr w:rsidR="00266935"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35CCDACA" w:rsidR="00266935" w:rsidRPr="00295E72" w:rsidRDefault="00266935"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578F8CF1" w:rsidR="00266935" w:rsidRPr="00295E72" w:rsidRDefault="00266935" w:rsidP="00672538">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271B8">
              <w:rPr>
                <w:rFonts w:ascii="Calibri Light" w:hAnsi="Calibri Light"/>
              </w:rPr>
              <w:t>Olga Flores</w:t>
            </w:r>
            <w:r>
              <w:rPr>
                <w:rFonts w:ascii="Calibri Light" w:hAnsi="Calibri Light"/>
              </w:rPr>
              <w:t xml:space="preserve"> </w:t>
            </w:r>
            <w:r w:rsidRPr="00D271B8">
              <w:rPr>
                <w:rFonts w:ascii="Calibri Light" w:hAnsi="Calibri Light"/>
              </w:rPr>
              <w:t>Bedregal</w:t>
            </w:r>
          </w:p>
        </w:tc>
      </w:tr>
      <w:tr w:rsidR="00266935"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266935" w:rsidRPr="004533E5" w:rsidRDefault="00266935"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6E5B781A" w:rsidR="00266935" w:rsidRPr="00295E72" w:rsidRDefault="00FE71C8"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266935" w:rsidRPr="005F0F4F">
                <w:rPr>
                  <w:rStyle w:val="Hyperlink"/>
                  <w:rFonts w:ascii="Calibri Light" w:hAnsi="Calibri Light"/>
                </w:rPr>
                <w:t xml:space="preserve">Informe No. </w:t>
              </w:r>
              <w:r w:rsidR="00266935">
                <w:rPr>
                  <w:rStyle w:val="Hyperlink"/>
                  <w:rFonts w:ascii="Calibri Light" w:hAnsi="Calibri Light"/>
                </w:rPr>
                <w:t>60/18</w:t>
              </w:r>
            </w:hyperlink>
          </w:p>
        </w:tc>
      </w:tr>
      <w:tr w:rsidR="00266935"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266935" w:rsidRPr="00F725A5" w:rsidRDefault="00266935"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531F7C4" w:rsidR="00266935" w:rsidRPr="00295E72" w:rsidRDefault="00266935" w:rsidP="00F07CF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Informe de Fondo (Caso en la Corte IDH)</w:t>
            </w:r>
          </w:p>
        </w:tc>
      </w:tr>
      <w:tr w:rsidR="00266935" w:rsidRPr="004533E5" w14:paraId="7ED5AB61" w14:textId="77777777" w:rsidTr="00397BF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0" w:type="dxa"/>
          </w:tcPr>
          <w:p w14:paraId="2F77A84C" w14:textId="77777777" w:rsidR="00266935" w:rsidRPr="004533E5" w:rsidRDefault="00266935" w:rsidP="00A65231">
            <w:pPr>
              <w:pStyle w:val="ListParagraph"/>
              <w:numPr>
                <w:ilvl w:val="0"/>
                <w:numId w:val="3"/>
              </w:numPr>
              <w:rPr>
                <w:rFonts w:ascii="Calibri Light" w:hAnsi="Calibri Light"/>
              </w:rPr>
            </w:pPr>
            <w:r>
              <w:rPr>
                <w:rFonts w:ascii="Calibri Light" w:hAnsi="Calibri Light"/>
              </w:rPr>
              <w:t>Fecha</w:t>
            </w:r>
            <w:r w:rsidRPr="004533E5">
              <w:rPr>
                <w:rFonts w:ascii="Calibri Light" w:hAnsi="Calibri Light"/>
              </w:rPr>
              <w:t xml:space="preserve"> </w:t>
            </w:r>
          </w:p>
        </w:tc>
        <w:tc>
          <w:tcPr>
            <w:tcW w:w="0" w:type="dxa"/>
            <w:gridSpan w:val="2"/>
          </w:tcPr>
          <w:p w14:paraId="1C803DF5" w14:textId="18CB3CB9" w:rsidR="00266935" w:rsidRPr="005A1DB6" w:rsidRDefault="00266935" w:rsidP="00802D6A">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8</w:t>
            </w:r>
            <w:r w:rsidRPr="00295E72">
              <w:rPr>
                <w:rFonts w:ascii="Calibri Light" w:hAnsi="Calibri Light"/>
              </w:rPr>
              <w:t xml:space="preserve"> de </w:t>
            </w:r>
            <w:r>
              <w:rPr>
                <w:rFonts w:ascii="Calibri Light" w:hAnsi="Calibri Light"/>
              </w:rPr>
              <w:t>mayo</w:t>
            </w:r>
            <w:r w:rsidRPr="00295E72">
              <w:rPr>
                <w:rFonts w:ascii="Calibri Light" w:hAnsi="Calibri Light"/>
              </w:rPr>
              <w:t xml:space="preserve"> de </w:t>
            </w:r>
            <w:r>
              <w:rPr>
                <w:rFonts w:ascii="Calibri Light" w:hAnsi="Calibri Light"/>
              </w:rPr>
              <w:t>2018</w:t>
            </w:r>
          </w:p>
        </w:tc>
      </w:tr>
      <w:tr w:rsidR="00266935"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266935" w:rsidRPr="004533E5" w:rsidRDefault="00266935" w:rsidP="00A65231">
            <w:pPr>
              <w:pStyle w:val="ListParagraph"/>
              <w:numPr>
                <w:ilvl w:val="0"/>
                <w:numId w:val="3"/>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72EA1AA4" w14:textId="3FDC01D3" w:rsidR="00266935" w:rsidRPr="00295E72" w:rsidRDefault="00266935" w:rsidP="00DC666B">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No. </w:t>
            </w:r>
            <w:r>
              <w:rPr>
                <w:rFonts w:ascii="Calibri Light" w:hAnsi="Calibri Light"/>
              </w:rPr>
              <w:t>65</w:t>
            </w:r>
            <w:r w:rsidRPr="00295E72">
              <w:rPr>
                <w:rFonts w:ascii="Calibri Light" w:hAnsi="Calibri Light"/>
              </w:rPr>
              <w:t>/</w:t>
            </w:r>
            <w:r>
              <w:rPr>
                <w:rFonts w:ascii="Calibri Light" w:hAnsi="Calibri Light"/>
              </w:rPr>
              <w:t>09</w:t>
            </w:r>
            <w:r w:rsidRPr="00295E72">
              <w:rPr>
                <w:rFonts w:ascii="Calibri Light" w:hAnsi="Calibri Light"/>
              </w:rPr>
              <w:t xml:space="preserve"> (</w:t>
            </w:r>
            <w:hyperlink r:id="rId13" w:history="1">
              <w:r w:rsidRPr="00295E72">
                <w:rPr>
                  <w:rStyle w:val="Hyperlink"/>
                  <w:rFonts w:ascii="Calibri Light" w:hAnsi="Calibri Light"/>
                </w:rPr>
                <w:t>Admisibilidad</w:t>
              </w:r>
            </w:hyperlink>
            <w:r w:rsidRPr="00295E72">
              <w:rPr>
                <w:rFonts w:ascii="Calibri Light" w:hAnsi="Calibri Light"/>
              </w:rPr>
              <w:t>)</w:t>
            </w:r>
          </w:p>
        </w:tc>
      </w:tr>
      <w:tr w:rsidR="00672538"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672538" w:rsidRDefault="00672538"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672538" w:rsidRPr="00295E72" w:rsidRDefault="00672538" w:rsidP="0042581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672538"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672538" w:rsidRDefault="00672538" w:rsidP="00A65231">
            <w:pPr>
              <w:pStyle w:val="ListParagraph"/>
              <w:numPr>
                <w:ilvl w:val="0"/>
                <w:numId w:val="3"/>
              </w:numPr>
              <w:rPr>
                <w:rFonts w:ascii="Calibri Light" w:hAnsi="Calibri Light"/>
              </w:rPr>
            </w:pPr>
          </w:p>
        </w:tc>
        <w:tc>
          <w:tcPr>
            <w:tcW w:w="2490" w:type="dxa"/>
          </w:tcPr>
          <w:p w14:paraId="04C377A5" w14:textId="03DDDCE4" w:rsidR="00672538" w:rsidRPr="00295E72" w:rsidRDefault="00672538"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672538" w:rsidRPr="00295E72" w:rsidRDefault="00672538"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672538" w:rsidRPr="00672538" w14:paraId="30E833B4" w14:textId="77777777" w:rsidTr="0067253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B135955" w14:textId="77777777" w:rsidR="00672538" w:rsidRDefault="00672538" w:rsidP="00A65231">
            <w:pPr>
              <w:pStyle w:val="ListParagraph"/>
              <w:numPr>
                <w:ilvl w:val="0"/>
                <w:numId w:val="3"/>
              </w:numPr>
              <w:rPr>
                <w:rFonts w:ascii="Calibri Light" w:hAnsi="Calibri Light"/>
              </w:rPr>
            </w:pPr>
          </w:p>
        </w:tc>
        <w:tc>
          <w:tcPr>
            <w:tcW w:w="2490" w:type="dxa"/>
          </w:tcPr>
          <w:p w14:paraId="1056E80D" w14:textId="2A8F3FB4" w:rsidR="00672538" w:rsidRPr="00672538" w:rsidRDefault="00266935"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D271B8">
              <w:rPr>
                <w:rFonts w:ascii="Calibri Light" w:hAnsi="Calibri Light"/>
                <w:lang w:val="en-US"/>
              </w:rPr>
              <w:t xml:space="preserve">Art. 1, art. 2, art. 3, art. 4, art. 5, art. 7, art. 8, art. 13, </w:t>
            </w:r>
            <w:r>
              <w:rPr>
                <w:rFonts w:ascii="Calibri Light" w:hAnsi="Calibri Light"/>
                <w:lang w:val="en-US"/>
              </w:rPr>
              <w:t>art. 16, art. 23, art. 25</w:t>
            </w:r>
          </w:p>
        </w:tc>
        <w:tc>
          <w:tcPr>
            <w:tcW w:w="2553" w:type="dxa"/>
            <w:vAlign w:val="center"/>
          </w:tcPr>
          <w:p w14:paraId="7110E9DA" w14:textId="41E7F67E" w:rsidR="00672538" w:rsidRPr="00672538" w:rsidRDefault="00672538" w:rsidP="0067253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E58DE">
              <w:rPr>
                <w:rFonts w:ascii="Calibri Light" w:hAnsi="Calibri Light"/>
                <w:lang w:val="es-PE"/>
              </w:rPr>
              <w:t>-</w:t>
            </w:r>
          </w:p>
        </w:tc>
      </w:tr>
      <w:tr w:rsidR="00672538" w:rsidRPr="00672538" w14:paraId="17192C94" w14:textId="77777777" w:rsidTr="00A438B0">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894C856" w14:textId="77777777" w:rsidR="00672538" w:rsidRPr="00672538" w:rsidRDefault="00672538" w:rsidP="00A65231">
            <w:pPr>
              <w:pStyle w:val="ListParagraph"/>
              <w:numPr>
                <w:ilvl w:val="0"/>
                <w:numId w:val="3"/>
              </w:numPr>
              <w:rPr>
                <w:rFonts w:ascii="Calibri Light" w:hAnsi="Calibri Light"/>
                <w:lang w:val="en-US"/>
              </w:rPr>
            </w:pPr>
          </w:p>
        </w:tc>
        <w:tc>
          <w:tcPr>
            <w:tcW w:w="5043" w:type="dxa"/>
            <w:gridSpan w:val="2"/>
          </w:tcPr>
          <w:p w14:paraId="1FC30164" w14:textId="4DF81293" w:rsidR="00672538" w:rsidRPr="00672538" w:rsidRDefault="00266935" w:rsidP="00266935">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266935">
              <w:rPr>
                <w:rFonts w:ascii="Calibri Light" w:hAnsi="Calibri Light"/>
              </w:rPr>
              <w:t>Convención Interamericana sobre</w:t>
            </w:r>
            <w:r>
              <w:rPr>
                <w:rFonts w:ascii="Calibri Light" w:hAnsi="Calibri Light"/>
              </w:rPr>
              <w:t xml:space="preserve"> </w:t>
            </w:r>
            <w:r w:rsidRPr="00266935">
              <w:rPr>
                <w:rFonts w:ascii="Calibri Light" w:hAnsi="Calibri Light"/>
              </w:rPr>
              <w:t>Desaparición Forzada de Personas</w:t>
            </w:r>
          </w:p>
        </w:tc>
      </w:tr>
      <w:tr w:rsidR="00672538" w:rsidRPr="00672538" w14:paraId="07EE44DB" w14:textId="77777777" w:rsidTr="00A9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495D90D" w14:textId="77777777" w:rsidR="00672538" w:rsidRPr="00672538" w:rsidRDefault="00672538" w:rsidP="00A65231">
            <w:pPr>
              <w:pStyle w:val="ListParagraph"/>
              <w:numPr>
                <w:ilvl w:val="0"/>
                <w:numId w:val="3"/>
              </w:numPr>
              <w:rPr>
                <w:rFonts w:ascii="Calibri Light" w:hAnsi="Calibri Light"/>
                <w:lang w:val="es-PE"/>
              </w:rPr>
            </w:pPr>
          </w:p>
        </w:tc>
        <w:tc>
          <w:tcPr>
            <w:tcW w:w="2490" w:type="dxa"/>
          </w:tcPr>
          <w:p w14:paraId="13B4B0B3" w14:textId="309F656B" w:rsidR="00672538" w:rsidRPr="00672538" w:rsidRDefault="0067253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15EB88DD" w14:textId="6E02889E" w:rsidR="00672538" w:rsidRPr="00672538" w:rsidRDefault="00672538"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672538" w:rsidRPr="00672538" w14:paraId="2B7909E5" w14:textId="77777777" w:rsidTr="00672538">
        <w:trPr>
          <w:trHeight w:val="254"/>
        </w:trPr>
        <w:tc>
          <w:tcPr>
            <w:cnfStyle w:val="001000000000" w:firstRow="0" w:lastRow="0" w:firstColumn="1" w:lastColumn="0" w:oddVBand="0" w:evenVBand="0" w:oddHBand="0" w:evenHBand="0" w:firstRowFirstColumn="0" w:firstRowLastColumn="0" w:lastRowFirstColumn="0" w:lastRowLastColumn="0"/>
            <w:tcW w:w="3678" w:type="dxa"/>
            <w:vMerge/>
          </w:tcPr>
          <w:p w14:paraId="1851F013" w14:textId="77777777" w:rsidR="00672538" w:rsidRPr="00672538" w:rsidRDefault="00672538" w:rsidP="00672538">
            <w:pPr>
              <w:rPr>
                <w:rFonts w:ascii="Calibri Light" w:hAnsi="Calibri Light"/>
                <w:lang w:val="es-PE"/>
              </w:rPr>
            </w:pPr>
          </w:p>
        </w:tc>
        <w:tc>
          <w:tcPr>
            <w:tcW w:w="2490" w:type="dxa"/>
          </w:tcPr>
          <w:p w14:paraId="1A73BB1B" w14:textId="22033D5D" w:rsidR="00672538" w:rsidRPr="00295E72" w:rsidRDefault="00672538" w:rsidP="0026693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538">
              <w:rPr>
                <w:rFonts w:ascii="Calibri Light" w:hAnsi="Calibri Light"/>
                <w:lang w:val="es-PE"/>
              </w:rPr>
              <w:t xml:space="preserve">Art. </w:t>
            </w:r>
            <w:r w:rsidR="00266935">
              <w:rPr>
                <w:rFonts w:ascii="Calibri Light" w:hAnsi="Calibri Light"/>
                <w:lang w:val="es-PE"/>
              </w:rPr>
              <w:t>I, art. III</w:t>
            </w:r>
          </w:p>
        </w:tc>
        <w:tc>
          <w:tcPr>
            <w:tcW w:w="2553" w:type="dxa"/>
            <w:vAlign w:val="center"/>
          </w:tcPr>
          <w:p w14:paraId="64DDC91B" w14:textId="34FC2566" w:rsidR="00672538" w:rsidRPr="00295E72" w:rsidRDefault="00672538" w:rsidP="0067253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672538" w:rsidRPr="004533E5" w14:paraId="54B7813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4FCC5F0" w14:textId="77777777" w:rsidR="00672538" w:rsidRDefault="00672538" w:rsidP="00672538">
            <w:pPr>
              <w:pStyle w:val="ListParagraph"/>
              <w:rPr>
                <w:rFonts w:ascii="Calibri Light" w:hAnsi="Calibri Light"/>
              </w:rPr>
            </w:pPr>
          </w:p>
          <w:p w14:paraId="1ECE5967" w14:textId="77777777" w:rsidR="00672538" w:rsidRDefault="00672538"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672538" w:rsidRPr="004533E5" w:rsidRDefault="00672538" w:rsidP="00AC6F31">
            <w:pPr>
              <w:pStyle w:val="ListParagraph"/>
              <w:rPr>
                <w:rFonts w:ascii="Calibri Light" w:hAnsi="Calibri Light"/>
              </w:rPr>
            </w:pPr>
          </w:p>
        </w:tc>
      </w:tr>
      <w:tr w:rsidR="00672538" w:rsidRPr="004533E5" w14:paraId="6B670455" w14:textId="77777777" w:rsidTr="00672538">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5C62C63C" w14:textId="7FC43BEB" w:rsidR="00672538" w:rsidRDefault="00672538" w:rsidP="00243C42">
            <w:pPr>
              <w:jc w:val="both"/>
              <w:rPr>
                <w:rFonts w:ascii="Calibri Light" w:hAnsi="Calibri Light"/>
                <w:b w:val="0"/>
              </w:rPr>
            </w:pPr>
          </w:p>
          <w:p w14:paraId="04DDC696" w14:textId="22FA0CA3" w:rsidR="00BF45AC" w:rsidRPr="007B2A0D" w:rsidRDefault="00BF45AC" w:rsidP="007B2A0D">
            <w:pPr>
              <w:jc w:val="both"/>
              <w:rPr>
                <w:rFonts w:ascii="Calibri Light" w:hAnsi="Calibri Light"/>
                <w:b w:val="0"/>
              </w:rPr>
            </w:pPr>
            <w:r>
              <w:rPr>
                <w:rFonts w:ascii="Calibri Light" w:hAnsi="Calibri Light"/>
                <w:b w:val="0"/>
              </w:rPr>
              <w:t>El</w:t>
            </w:r>
            <w:r w:rsidR="00FC1596">
              <w:rPr>
                <w:rFonts w:ascii="Calibri Light" w:hAnsi="Calibri Light"/>
                <w:b w:val="0"/>
              </w:rPr>
              <w:t xml:space="preserve"> caso trata </w:t>
            </w:r>
            <w:r w:rsidR="00D8123E">
              <w:rPr>
                <w:rFonts w:ascii="Calibri Light" w:hAnsi="Calibri Light"/>
                <w:b w:val="0"/>
              </w:rPr>
              <w:t>sobre la desaparición</w:t>
            </w:r>
            <w:r w:rsidR="000F47FB">
              <w:rPr>
                <w:rFonts w:ascii="Calibri Light" w:hAnsi="Calibri Light"/>
                <w:b w:val="0"/>
              </w:rPr>
              <w:t xml:space="preserve"> forzad</w:t>
            </w:r>
            <w:r w:rsidR="00AA24AA">
              <w:rPr>
                <w:rFonts w:ascii="Calibri Light" w:hAnsi="Calibri Light"/>
                <w:b w:val="0"/>
              </w:rPr>
              <w:t>a</w:t>
            </w:r>
            <w:r w:rsidR="00D8123E">
              <w:rPr>
                <w:rFonts w:ascii="Calibri Light" w:hAnsi="Calibri Light"/>
                <w:b w:val="0"/>
              </w:rPr>
              <w:t xml:space="preserve"> de</w:t>
            </w:r>
            <w:r w:rsidR="00A32DD7">
              <w:rPr>
                <w:rFonts w:ascii="Calibri Light" w:hAnsi="Calibri Light"/>
                <w:b w:val="0"/>
              </w:rPr>
              <w:t>l</w:t>
            </w:r>
            <w:r w:rsidR="00AA24AA">
              <w:rPr>
                <w:rFonts w:ascii="Calibri Light" w:hAnsi="Calibri Light"/>
                <w:b w:val="0"/>
              </w:rPr>
              <w:t xml:space="preserve"> político boliviano, </w:t>
            </w:r>
            <w:r w:rsidR="00AA24AA" w:rsidRPr="008043DA">
              <w:rPr>
                <w:rFonts w:ascii="Calibri Light" w:hAnsi="Calibri Light"/>
                <w:b w:val="0"/>
              </w:rPr>
              <w:t>Juan Carlos Flores Bedregal</w:t>
            </w:r>
            <w:r w:rsidR="00AA24AA">
              <w:rPr>
                <w:rFonts w:ascii="Calibri Light" w:hAnsi="Calibri Light"/>
                <w:b w:val="0"/>
              </w:rPr>
              <w:t xml:space="preserve">, quien fue asesinado en una reunión durante </w:t>
            </w:r>
            <w:r w:rsidR="00D9240C">
              <w:rPr>
                <w:rFonts w:ascii="Calibri Light" w:hAnsi="Calibri Light"/>
                <w:b w:val="0"/>
              </w:rPr>
              <w:t xml:space="preserve">el </w:t>
            </w:r>
            <w:r w:rsidR="00AA24AA">
              <w:rPr>
                <w:rFonts w:ascii="Calibri Light" w:hAnsi="Calibri Light"/>
                <w:b w:val="0"/>
              </w:rPr>
              <w:t xml:space="preserve">golpe de estado </w:t>
            </w:r>
            <w:r w:rsidR="00D9240C">
              <w:rPr>
                <w:rFonts w:ascii="Calibri Light" w:hAnsi="Calibri Light"/>
                <w:b w:val="0"/>
              </w:rPr>
              <w:t>dirigido po</w:t>
            </w:r>
            <w:r w:rsidR="000F47FB">
              <w:rPr>
                <w:rFonts w:ascii="Calibri Light" w:hAnsi="Calibri Light"/>
                <w:b w:val="0"/>
              </w:rPr>
              <w:t>r</w:t>
            </w:r>
            <w:r w:rsidR="00397BF6">
              <w:rPr>
                <w:rFonts w:ascii="Calibri Light" w:hAnsi="Calibri Light"/>
                <w:b w:val="0"/>
              </w:rPr>
              <w:t xml:space="preserve"> Luis García Meza</w:t>
            </w:r>
            <w:r w:rsidR="00AA24AA">
              <w:rPr>
                <w:rFonts w:ascii="Calibri Light" w:hAnsi="Calibri Light"/>
                <w:b w:val="0"/>
              </w:rPr>
              <w:t xml:space="preserve">. Su cuerpo fue llevado a una morgue de La Paz, en la que se perdió </w:t>
            </w:r>
            <w:r w:rsidR="000F47FB">
              <w:rPr>
                <w:rFonts w:ascii="Calibri Light" w:hAnsi="Calibri Light"/>
                <w:b w:val="0"/>
              </w:rPr>
              <w:t>su</w:t>
            </w:r>
            <w:r w:rsidR="00AA24AA">
              <w:rPr>
                <w:rFonts w:ascii="Calibri Light" w:hAnsi="Calibri Light"/>
                <w:b w:val="0"/>
              </w:rPr>
              <w:t xml:space="preserve"> rastro.</w:t>
            </w:r>
            <w:r w:rsidR="0037546D">
              <w:rPr>
                <w:rFonts w:ascii="Calibri Light" w:hAnsi="Calibri Light"/>
                <w:b w:val="0"/>
              </w:rPr>
              <w:t xml:space="preserve"> S</w:t>
            </w:r>
            <w:r w:rsidR="004B78B6">
              <w:rPr>
                <w:rFonts w:ascii="Calibri Light" w:hAnsi="Calibri Light"/>
                <w:b w:val="0"/>
              </w:rPr>
              <w:t>i bien fueron iniciados dos procesos al respecto, tras 38 años,</w:t>
            </w:r>
            <w:r w:rsidR="0037546D">
              <w:rPr>
                <w:rFonts w:ascii="Calibri Light" w:hAnsi="Calibri Light"/>
                <w:b w:val="0"/>
              </w:rPr>
              <w:t xml:space="preserve"> aún no </w:t>
            </w:r>
            <w:r w:rsidR="004B78B6">
              <w:rPr>
                <w:rFonts w:ascii="Calibri Light" w:hAnsi="Calibri Light"/>
                <w:b w:val="0"/>
              </w:rPr>
              <w:t xml:space="preserve">se ha aclarado </w:t>
            </w:r>
            <w:r w:rsidR="000F47FB">
              <w:rPr>
                <w:rFonts w:ascii="Calibri Light" w:hAnsi="Calibri Light"/>
                <w:b w:val="0"/>
              </w:rPr>
              <w:t xml:space="preserve">su </w:t>
            </w:r>
            <w:r w:rsidR="0037546D">
              <w:rPr>
                <w:rFonts w:ascii="Calibri Light" w:hAnsi="Calibri Light"/>
                <w:b w:val="0"/>
              </w:rPr>
              <w:t>paradero. Asimismo,</w:t>
            </w:r>
            <w:r w:rsidR="004B78B6">
              <w:rPr>
                <w:rFonts w:ascii="Calibri Light" w:hAnsi="Calibri Light"/>
                <w:b w:val="0"/>
              </w:rPr>
              <w:t xml:space="preserve"> </w:t>
            </w:r>
            <w:r w:rsidR="00397BF6">
              <w:rPr>
                <w:rFonts w:ascii="Calibri Light" w:hAnsi="Calibri Light"/>
                <w:b w:val="0"/>
              </w:rPr>
              <w:t xml:space="preserve">en el marco de su búsqueda, </w:t>
            </w:r>
            <w:r w:rsidR="004B78B6">
              <w:rPr>
                <w:rFonts w:ascii="Calibri Light" w:hAnsi="Calibri Light"/>
                <w:b w:val="0"/>
              </w:rPr>
              <w:t>sus familiares lidiaron con obstáculos para acceder a los archivos militares pertinentes.</w:t>
            </w:r>
          </w:p>
          <w:p w14:paraId="1EE5A7E7" w14:textId="69048BF9" w:rsidR="00672538" w:rsidRPr="004533E5" w:rsidRDefault="00672538" w:rsidP="007B2A0D">
            <w:pPr>
              <w:jc w:val="both"/>
              <w:rPr>
                <w:rFonts w:ascii="Calibri Light" w:hAnsi="Calibri Light"/>
                <w:b w:val="0"/>
              </w:rPr>
            </w:pPr>
          </w:p>
        </w:tc>
      </w:tr>
      <w:tr w:rsidR="00672538" w:rsidRPr="004533E5" w14:paraId="238A2196"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76D9AAF2" w14:textId="77777777" w:rsidR="00672538" w:rsidRDefault="00672538" w:rsidP="00AC6F31">
            <w:pPr>
              <w:pStyle w:val="ListParagraph"/>
              <w:rPr>
                <w:rFonts w:ascii="Calibri Light" w:hAnsi="Calibri Light"/>
              </w:rPr>
            </w:pPr>
          </w:p>
          <w:p w14:paraId="6E7AC4B8" w14:textId="77777777" w:rsidR="00672538" w:rsidRDefault="00672538"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672538" w:rsidRPr="004533E5" w:rsidRDefault="00672538" w:rsidP="00AC6F31">
            <w:pPr>
              <w:pStyle w:val="ListParagraph"/>
              <w:rPr>
                <w:rFonts w:ascii="Calibri Light" w:hAnsi="Calibri Light"/>
              </w:rPr>
            </w:pPr>
          </w:p>
        </w:tc>
      </w:tr>
      <w:tr w:rsidR="00672538" w:rsidRPr="004533E5" w14:paraId="34AE2D45" w14:textId="77777777" w:rsidTr="00672538">
        <w:trPr>
          <w:trHeight w:val="28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22670832" w14:textId="77777777" w:rsidR="00672538" w:rsidRPr="008043DA" w:rsidRDefault="00672538" w:rsidP="00C20AC7">
            <w:pPr>
              <w:jc w:val="both"/>
              <w:rPr>
                <w:rFonts w:ascii="Calibri Light" w:hAnsi="Calibri Light"/>
                <w:b w:val="0"/>
              </w:rPr>
            </w:pPr>
          </w:p>
          <w:p w14:paraId="05BA7ECC" w14:textId="192B0A53" w:rsidR="00427D07" w:rsidRPr="008043DA" w:rsidRDefault="00BE14DF" w:rsidP="00266935">
            <w:pPr>
              <w:jc w:val="both"/>
              <w:rPr>
                <w:rFonts w:ascii="Calibri Light" w:hAnsi="Calibri Light"/>
                <w:b w:val="0"/>
              </w:rPr>
            </w:pPr>
            <w:r w:rsidRPr="00BE14DF">
              <w:rPr>
                <w:rFonts w:ascii="Calibri Light" w:hAnsi="Calibri Light"/>
                <w:b w:val="0"/>
              </w:rPr>
              <w:t>CIDFP</w:t>
            </w:r>
            <w:r>
              <w:rPr>
                <w:rFonts w:ascii="Calibri Light" w:hAnsi="Calibri Light"/>
                <w:b w:val="0"/>
              </w:rPr>
              <w:t xml:space="preserve">, </w:t>
            </w:r>
            <w:r w:rsidR="00FC1596" w:rsidRPr="00FC1596">
              <w:rPr>
                <w:rFonts w:ascii="Calibri Light" w:hAnsi="Calibri Light"/>
                <w:b w:val="0"/>
              </w:rPr>
              <w:t>Derechos políticos</w:t>
            </w:r>
            <w:r w:rsidR="00FC1596">
              <w:rPr>
                <w:rFonts w:ascii="Calibri Light" w:hAnsi="Calibri Light"/>
                <w:b w:val="0"/>
              </w:rPr>
              <w:t xml:space="preserve">, </w:t>
            </w:r>
            <w:r w:rsidR="00FC1596" w:rsidRPr="00FC1596">
              <w:rPr>
                <w:rFonts w:ascii="Calibri Light" w:hAnsi="Calibri Light"/>
                <w:b w:val="0"/>
              </w:rPr>
              <w:t>Desaparición forzada</w:t>
            </w:r>
            <w:r w:rsidR="00FC1596">
              <w:rPr>
                <w:rFonts w:ascii="Calibri Light" w:hAnsi="Calibri Light"/>
                <w:b w:val="0"/>
              </w:rPr>
              <w:t xml:space="preserve">, </w:t>
            </w:r>
            <w:r w:rsidRPr="00BE14DF">
              <w:rPr>
                <w:rFonts w:ascii="Calibri Light" w:hAnsi="Calibri Light"/>
                <w:b w:val="0"/>
              </w:rPr>
              <w:t>Integridad personal</w:t>
            </w:r>
            <w:r>
              <w:rPr>
                <w:rFonts w:ascii="Calibri Light" w:hAnsi="Calibri Light"/>
                <w:b w:val="0"/>
              </w:rPr>
              <w:t xml:space="preserve">, </w:t>
            </w:r>
            <w:r w:rsidRPr="00BE14DF">
              <w:rPr>
                <w:rFonts w:ascii="Calibri Light" w:hAnsi="Calibri Light"/>
                <w:b w:val="0"/>
              </w:rPr>
              <w:t>Libertad de asociación</w:t>
            </w:r>
            <w:r>
              <w:rPr>
                <w:rFonts w:ascii="Calibri Light" w:hAnsi="Calibri Light"/>
                <w:b w:val="0"/>
              </w:rPr>
              <w:t xml:space="preserve">, </w:t>
            </w:r>
            <w:r w:rsidRPr="00BE14DF">
              <w:rPr>
                <w:rFonts w:ascii="Calibri Light" w:hAnsi="Calibri Light"/>
                <w:b w:val="0"/>
              </w:rPr>
              <w:t>Libertad personal</w:t>
            </w:r>
            <w:r w:rsidR="00FC1596">
              <w:rPr>
                <w:rFonts w:ascii="Calibri Light" w:hAnsi="Calibri Light"/>
                <w:b w:val="0"/>
              </w:rPr>
              <w:t xml:space="preserve">, </w:t>
            </w:r>
            <w:r w:rsidR="000F47FB">
              <w:rPr>
                <w:rFonts w:ascii="Calibri Light" w:hAnsi="Calibri Light"/>
                <w:b w:val="0"/>
              </w:rPr>
              <w:t xml:space="preserve">Personalidad jurídica, </w:t>
            </w:r>
            <w:r w:rsidR="00FC1596" w:rsidRPr="00FC1596">
              <w:rPr>
                <w:rFonts w:ascii="Calibri Light" w:hAnsi="Calibri Light"/>
                <w:b w:val="0"/>
              </w:rPr>
              <w:t>Protección judicial y garantías judiciales</w:t>
            </w:r>
            <w:r w:rsidR="00FC1596">
              <w:rPr>
                <w:rFonts w:ascii="Calibri Light" w:hAnsi="Calibri Light"/>
                <w:b w:val="0"/>
              </w:rPr>
              <w:t>, Vida</w:t>
            </w:r>
          </w:p>
          <w:p w14:paraId="05374712" w14:textId="53B9F24B" w:rsidR="00266935" w:rsidRPr="008043DA" w:rsidRDefault="00266935" w:rsidP="00266935">
            <w:pPr>
              <w:jc w:val="both"/>
              <w:rPr>
                <w:rFonts w:ascii="Calibri Light" w:hAnsi="Calibri Light"/>
                <w:b w:val="0"/>
              </w:rPr>
            </w:pPr>
          </w:p>
        </w:tc>
      </w:tr>
      <w:tr w:rsidR="00672538" w:rsidRPr="004533E5" w14:paraId="69044E7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23949460" w14:textId="77777777" w:rsidR="00672538" w:rsidRPr="008043DA" w:rsidRDefault="00672538" w:rsidP="00AC6F31">
            <w:pPr>
              <w:pStyle w:val="ListParagraph"/>
              <w:rPr>
                <w:rFonts w:ascii="Calibri Light" w:hAnsi="Calibri Light"/>
              </w:rPr>
            </w:pPr>
          </w:p>
          <w:p w14:paraId="177FF988" w14:textId="77777777" w:rsidR="00672538" w:rsidRPr="008043DA" w:rsidRDefault="00672538" w:rsidP="0029671B">
            <w:pPr>
              <w:pStyle w:val="ListParagraph"/>
              <w:numPr>
                <w:ilvl w:val="0"/>
                <w:numId w:val="2"/>
              </w:numPr>
              <w:jc w:val="center"/>
              <w:rPr>
                <w:rFonts w:ascii="Calibri Light" w:hAnsi="Calibri Light"/>
              </w:rPr>
            </w:pPr>
            <w:r w:rsidRPr="008043DA">
              <w:rPr>
                <w:rFonts w:ascii="Calibri Light" w:hAnsi="Calibri Light"/>
              </w:rPr>
              <w:t>Hechos</w:t>
            </w:r>
          </w:p>
          <w:p w14:paraId="190B7E98" w14:textId="77777777" w:rsidR="00672538" w:rsidRPr="008043DA" w:rsidRDefault="00672538" w:rsidP="00AC6F31">
            <w:pPr>
              <w:pStyle w:val="ListParagraph"/>
              <w:rPr>
                <w:rFonts w:ascii="Calibri Light" w:hAnsi="Calibri Light"/>
              </w:rPr>
            </w:pPr>
          </w:p>
        </w:tc>
      </w:tr>
      <w:tr w:rsidR="00672538" w:rsidRPr="004533E5" w14:paraId="6F58DE83" w14:textId="77777777" w:rsidTr="00672538">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70EC13D" w14:textId="4A7CA1F8" w:rsidR="00672538" w:rsidRPr="008043DA" w:rsidRDefault="00672538" w:rsidP="008036E7">
            <w:pPr>
              <w:jc w:val="both"/>
              <w:rPr>
                <w:rFonts w:ascii="Calibri Light" w:hAnsi="Calibri Light"/>
                <w:b w:val="0"/>
              </w:rPr>
            </w:pPr>
          </w:p>
          <w:p w14:paraId="00098904" w14:textId="2BEFAB61" w:rsidR="00875C9B" w:rsidRDefault="00DB535C" w:rsidP="005A545F">
            <w:pPr>
              <w:jc w:val="both"/>
              <w:rPr>
                <w:rFonts w:ascii="Calibri Light" w:hAnsi="Calibri Light"/>
                <w:b w:val="0"/>
              </w:rPr>
            </w:pPr>
            <w:r>
              <w:rPr>
                <w:rFonts w:ascii="Calibri Light" w:hAnsi="Calibri Light"/>
                <w:b w:val="0"/>
              </w:rPr>
              <w:t xml:space="preserve">El 17 de julio de 1980, las </w:t>
            </w:r>
            <w:r w:rsidRPr="008043DA">
              <w:rPr>
                <w:rFonts w:ascii="Calibri Light" w:hAnsi="Calibri Light"/>
                <w:b w:val="0"/>
              </w:rPr>
              <w:t>fuerzas militares y paramilitares</w:t>
            </w:r>
            <w:r>
              <w:rPr>
                <w:rFonts w:ascii="Calibri Light" w:hAnsi="Calibri Light"/>
                <w:b w:val="0"/>
              </w:rPr>
              <w:t xml:space="preserve"> perpetraron un golpe de estado, bajo el mando de Luis García Meza. </w:t>
            </w:r>
            <w:r w:rsidR="00990825">
              <w:rPr>
                <w:rFonts w:ascii="Calibri Light" w:hAnsi="Calibri Light"/>
                <w:b w:val="0"/>
              </w:rPr>
              <w:t>Una vez instaurado</w:t>
            </w:r>
            <w:r>
              <w:rPr>
                <w:rFonts w:ascii="Calibri Light" w:hAnsi="Calibri Light"/>
                <w:b w:val="0"/>
              </w:rPr>
              <w:t xml:space="preserve"> el gobierno militar, </w:t>
            </w:r>
            <w:r w:rsidR="00990825">
              <w:rPr>
                <w:rFonts w:ascii="Calibri Light" w:hAnsi="Calibri Light"/>
                <w:b w:val="0"/>
              </w:rPr>
              <w:t xml:space="preserve">existió un contexto de represión a quienes se opusieran a este y </w:t>
            </w:r>
            <w:r>
              <w:rPr>
                <w:rFonts w:ascii="Calibri Light" w:hAnsi="Calibri Light"/>
                <w:b w:val="0"/>
              </w:rPr>
              <w:t xml:space="preserve">se cometieron graves violaciones a los derechos humanos, incluyendo desapariciones forzadas. Días previos </w:t>
            </w:r>
            <w:r w:rsidR="00990825">
              <w:rPr>
                <w:rFonts w:ascii="Calibri Light" w:hAnsi="Calibri Light"/>
                <w:b w:val="0"/>
              </w:rPr>
              <w:t>a estos hechos</w:t>
            </w:r>
            <w:r w:rsidR="00D8123E">
              <w:rPr>
                <w:rFonts w:ascii="Calibri Light" w:hAnsi="Calibri Light"/>
                <w:b w:val="0"/>
              </w:rPr>
              <w:t xml:space="preserve">, </w:t>
            </w:r>
            <w:r w:rsidR="00D8123E" w:rsidRPr="008043DA">
              <w:rPr>
                <w:rFonts w:ascii="Calibri Light" w:hAnsi="Calibri Light"/>
                <w:b w:val="0"/>
              </w:rPr>
              <w:t xml:space="preserve">diferentes grupos populares </w:t>
            </w:r>
            <w:r>
              <w:rPr>
                <w:rFonts w:ascii="Calibri Light" w:hAnsi="Calibri Light"/>
                <w:b w:val="0"/>
              </w:rPr>
              <w:t>habían acordado la creación d</w:t>
            </w:r>
            <w:r w:rsidR="00D8123E" w:rsidRPr="008043DA">
              <w:rPr>
                <w:rFonts w:ascii="Calibri Light" w:hAnsi="Calibri Light"/>
                <w:b w:val="0"/>
              </w:rPr>
              <w:t>el Comité Nacional de Defensa de la Democracia (CONADE), integrado por la Central Obrera Boliviana (COB), partidos políticos</w:t>
            </w:r>
            <w:r w:rsidR="004B78B6">
              <w:rPr>
                <w:rFonts w:ascii="Calibri Light" w:hAnsi="Calibri Light"/>
                <w:b w:val="0"/>
              </w:rPr>
              <w:t xml:space="preserve"> y</w:t>
            </w:r>
            <w:r w:rsidR="00D8123E" w:rsidRPr="008043DA">
              <w:rPr>
                <w:rFonts w:ascii="Calibri Light" w:hAnsi="Calibri Light"/>
                <w:b w:val="0"/>
              </w:rPr>
              <w:t xml:space="preserve"> organizaciones </w:t>
            </w:r>
            <w:r w:rsidR="004B78B6">
              <w:rPr>
                <w:rFonts w:ascii="Calibri Light" w:hAnsi="Calibri Light"/>
                <w:b w:val="0"/>
              </w:rPr>
              <w:t>de sociedad civil</w:t>
            </w:r>
            <w:r>
              <w:rPr>
                <w:rFonts w:ascii="Calibri Light" w:hAnsi="Calibri Light"/>
                <w:b w:val="0"/>
              </w:rPr>
              <w:t>, con el o</w:t>
            </w:r>
            <w:r w:rsidR="00D8123E" w:rsidRPr="008043DA">
              <w:rPr>
                <w:rFonts w:ascii="Calibri Light" w:hAnsi="Calibri Light"/>
                <w:b w:val="0"/>
              </w:rPr>
              <w:t xml:space="preserve">bjetivo </w:t>
            </w:r>
            <w:r>
              <w:rPr>
                <w:rFonts w:ascii="Calibri Light" w:hAnsi="Calibri Light"/>
                <w:b w:val="0"/>
              </w:rPr>
              <w:t>de</w:t>
            </w:r>
            <w:r w:rsidR="00D8123E" w:rsidRPr="008043DA">
              <w:rPr>
                <w:rFonts w:ascii="Calibri Light" w:hAnsi="Calibri Light"/>
                <w:b w:val="0"/>
              </w:rPr>
              <w:t xml:space="preserve"> alertar a la ciudadanía y prepararla para una resistencia pacífica a</w:t>
            </w:r>
            <w:r w:rsidR="004B78B6">
              <w:rPr>
                <w:rFonts w:ascii="Calibri Light" w:hAnsi="Calibri Light"/>
                <w:b w:val="0"/>
              </w:rPr>
              <w:t>nt</w:t>
            </w:r>
            <w:r w:rsidR="00D8123E" w:rsidRPr="008043DA">
              <w:rPr>
                <w:rFonts w:ascii="Calibri Light" w:hAnsi="Calibri Light"/>
                <w:b w:val="0"/>
              </w:rPr>
              <w:t xml:space="preserve">e una </w:t>
            </w:r>
            <w:r w:rsidR="0047548C">
              <w:rPr>
                <w:rFonts w:ascii="Calibri Light" w:hAnsi="Calibri Light"/>
                <w:b w:val="0"/>
              </w:rPr>
              <w:t xml:space="preserve">posible </w:t>
            </w:r>
            <w:r w:rsidR="00D8123E" w:rsidRPr="008043DA">
              <w:rPr>
                <w:rFonts w:ascii="Calibri Light" w:hAnsi="Calibri Light"/>
                <w:b w:val="0"/>
              </w:rPr>
              <w:t>interrupción del orden democrático.</w:t>
            </w:r>
            <w:r w:rsidR="00D8123E">
              <w:rPr>
                <w:rFonts w:ascii="Calibri Light" w:hAnsi="Calibri Light"/>
                <w:b w:val="0"/>
              </w:rPr>
              <w:t xml:space="preserve"> </w:t>
            </w:r>
          </w:p>
          <w:p w14:paraId="2F0BBEDD" w14:textId="77777777" w:rsidR="00875C9B" w:rsidRDefault="00875C9B" w:rsidP="005A545F">
            <w:pPr>
              <w:jc w:val="both"/>
              <w:rPr>
                <w:rFonts w:ascii="Calibri Light" w:hAnsi="Calibri Light"/>
                <w:b w:val="0"/>
              </w:rPr>
            </w:pPr>
          </w:p>
          <w:p w14:paraId="09EA2F93" w14:textId="015C5B34" w:rsidR="005A545F" w:rsidRDefault="00DB535C" w:rsidP="005A545F">
            <w:pPr>
              <w:jc w:val="both"/>
              <w:rPr>
                <w:rFonts w:ascii="Calibri Light" w:hAnsi="Calibri Light"/>
                <w:b w:val="0"/>
              </w:rPr>
            </w:pPr>
            <w:r>
              <w:rPr>
                <w:rFonts w:ascii="Calibri Light" w:hAnsi="Calibri Light"/>
                <w:b w:val="0"/>
              </w:rPr>
              <w:t>El mismo día del golpe de estado</w:t>
            </w:r>
            <w:r w:rsidR="00D8123E">
              <w:rPr>
                <w:rFonts w:ascii="Calibri Light" w:hAnsi="Calibri Light"/>
                <w:b w:val="0"/>
              </w:rPr>
              <w:t xml:space="preserve">, el edificio de la COB fue asaltado de </w:t>
            </w:r>
            <w:r w:rsidR="005A545F" w:rsidRPr="008043DA">
              <w:rPr>
                <w:rFonts w:ascii="Calibri Light" w:hAnsi="Calibri Light"/>
                <w:b w:val="0"/>
              </w:rPr>
              <w:t xml:space="preserve">forma violenta, mientras se llevaba a cabo una reunión para evitar que </w:t>
            </w:r>
            <w:r>
              <w:rPr>
                <w:rFonts w:ascii="Calibri Light" w:hAnsi="Calibri Light"/>
                <w:b w:val="0"/>
              </w:rPr>
              <w:t>este</w:t>
            </w:r>
            <w:r w:rsidR="005A545F" w:rsidRPr="008043DA">
              <w:rPr>
                <w:rFonts w:ascii="Calibri Light" w:hAnsi="Calibri Light"/>
                <w:b w:val="0"/>
              </w:rPr>
              <w:t xml:space="preserve"> se consumara. </w:t>
            </w:r>
            <w:r w:rsidR="00D8123E">
              <w:rPr>
                <w:rFonts w:ascii="Calibri Light" w:hAnsi="Calibri Light"/>
                <w:b w:val="0"/>
              </w:rPr>
              <w:t xml:space="preserve">Entre las personas </w:t>
            </w:r>
            <w:r w:rsidR="0047548C">
              <w:rPr>
                <w:rFonts w:ascii="Calibri Light" w:hAnsi="Calibri Light"/>
                <w:b w:val="0"/>
              </w:rPr>
              <w:t>asistentes a la</w:t>
            </w:r>
            <w:r w:rsidR="00D8123E">
              <w:rPr>
                <w:rFonts w:ascii="Calibri Light" w:hAnsi="Calibri Light"/>
                <w:b w:val="0"/>
              </w:rPr>
              <w:t xml:space="preserve"> reunión </w:t>
            </w:r>
            <w:r w:rsidR="0047548C">
              <w:rPr>
                <w:rFonts w:ascii="Calibri Light" w:hAnsi="Calibri Light"/>
                <w:b w:val="0"/>
              </w:rPr>
              <w:t xml:space="preserve">se encontraba </w:t>
            </w:r>
            <w:r w:rsidR="00D8123E" w:rsidRPr="008043DA">
              <w:rPr>
                <w:rFonts w:ascii="Calibri Light" w:hAnsi="Calibri Light"/>
                <w:b w:val="0"/>
              </w:rPr>
              <w:t>Juan Carlos Flores Bedregal</w:t>
            </w:r>
            <w:r w:rsidR="00D8123E">
              <w:rPr>
                <w:rFonts w:ascii="Calibri Light" w:hAnsi="Calibri Light"/>
                <w:b w:val="0"/>
              </w:rPr>
              <w:t>, un político que había sido elegido como diputado suplente y también era parte del CONADE.</w:t>
            </w:r>
            <w:r w:rsidR="00AA24AA">
              <w:rPr>
                <w:rFonts w:ascii="Calibri Light" w:hAnsi="Calibri Light"/>
                <w:b w:val="0"/>
              </w:rPr>
              <w:t xml:space="preserve"> </w:t>
            </w:r>
            <w:r w:rsidR="0047548C">
              <w:rPr>
                <w:rFonts w:ascii="Calibri Light" w:hAnsi="Calibri Light"/>
                <w:b w:val="0"/>
              </w:rPr>
              <w:t>Como consecuencia</w:t>
            </w:r>
            <w:r w:rsidR="00AA24AA">
              <w:rPr>
                <w:rFonts w:ascii="Calibri Light" w:hAnsi="Calibri Light"/>
                <w:b w:val="0"/>
              </w:rPr>
              <w:t xml:space="preserve"> </w:t>
            </w:r>
            <w:r w:rsidR="0047548C">
              <w:rPr>
                <w:rFonts w:ascii="Calibri Light" w:hAnsi="Calibri Light"/>
                <w:b w:val="0"/>
              </w:rPr>
              <w:t>d</w:t>
            </w:r>
            <w:r w:rsidR="00AA24AA">
              <w:rPr>
                <w:rFonts w:ascii="Calibri Light" w:hAnsi="Calibri Light"/>
                <w:b w:val="0"/>
              </w:rPr>
              <w:t>el operativo militar, fallecieron tres personas</w:t>
            </w:r>
            <w:r w:rsidR="009635EA">
              <w:rPr>
                <w:rFonts w:ascii="Calibri Light" w:hAnsi="Calibri Light"/>
                <w:b w:val="0"/>
              </w:rPr>
              <w:t xml:space="preserve">, </w:t>
            </w:r>
            <w:r w:rsidR="00AA24AA">
              <w:rPr>
                <w:rFonts w:ascii="Calibri Light" w:hAnsi="Calibri Light"/>
                <w:b w:val="0"/>
              </w:rPr>
              <w:t>entre ellas</w:t>
            </w:r>
            <w:r w:rsidR="00397BF6">
              <w:rPr>
                <w:rFonts w:ascii="Calibri Light" w:hAnsi="Calibri Light"/>
                <w:b w:val="0"/>
              </w:rPr>
              <w:t>,</w:t>
            </w:r>
            <w:r w:rsidR="00AA24AA">
              <w:rPr>
                <w:rFonts w:ascii="Calibri Light" w:hAnsi="Calibri Light"/>
                <w:b w:val="0"/>
              </w:rPr>
              <w:t xml:space="preserve"> el señor Flores</w:t>
            </w:r>
            <w:r w:rsidR="009635EA">
              <w:rPr>
                <w:rFonts w:ascii="Calibri Light" w:hAnsi="Calibri Light"/>
                <w:b w:val="0"/>
              </w:rPr>
              <w:t>.</w:t>
            </w:r>
            <w:r w:rsidR="00AA24AA">
              <w:rPr>
                <w:rFonts w:ascii="Calibri Light" w:hAnsi="Calibri Light"/>
                <w:b w:val="0"/>
              </w:rPr>
              <w:t xml:space="preserve"> </w:t>
            </w:r>
            <w:r w:rsidR="009635EA">
              <w:rPr>
                <w:rFonts w:ascii="Calibri Light" w:hAnsi="Calibri Light"/>
                <w:b w:val="0"/>
              </w:rPr>
              <w:t>S</w:t>
            </w:r>
            <w:r w:rsidR="00AA24AA">
              <w:rPr>
                <w:rFonts w:ascii="Calibri Light" w:hAnsi="Calibri Light"/>
                <w:b w:val="0"/>
              </w:rPr>
              <w:t>us cuerpos</w:t>
            </w:r>
            <w:r w:rsidR="009635EA">
              <w:rPr>
                <w:rFonts w:ascii="Calibri Light" w:hAnsi="Calibri Light"/>
                <w:b w:val="0"/>
              </w:rPr>
              <w:t xml:space="preserve"> fueron</w:t>
            </w:r>
            <w:r w:rsidR="00AA24AA">
              <w:rPr>
                <w:rFonts w:ascii="Calibri Light" w:hAnsi="Calibri Light"/>
                <w:b w:val="0"/>
              </w:rPr>
              <w:t xml:space="preserve"> llevados a la </w:t>
            </w:r>
            <w:r w:rsidR="00AA24AA" w:rsidRPr="008043DA">
              <w:rPr>
                <w:rFonts w:ascii="Calibri Light" w:hAnsi="Calibri Light"/>
                <w:b w:val="0"/>
              </w:rPr>
              <w:t xml:space="preserve">morgue </w:t>
            </w:r>
            <w:r w:rsidR="00AA24AA">
              <w:rPr>
                <w:rFonts w:ascii="Calibri Light" w:hAnsi="Calibri Light"/>
                <w:b w:val="0"/>
              </w:rPr>
              <w:t xml:space="preserve">del Hospital de Clínicas de La Paz, </w:t>
            </w:r>
            <w:r w:rsidR="00AA24AA" w:rsidRPr="008043DA">
              <w:rPr>
                <w:rFonts w:ascii="Calibri Light" w:hAnsi="Calibri Light"/>
                <w:b w:val="0"/>
              </w:rPr>
              <w:t>de cuyo interior desaparecieron sin tener</w:t>
            </w:r>
            <w:r w:rsidR="009635EA">
              <w:rPr>
                <w:rFonts w:ascii="Calibri Light" w:hAnsi="Calibri Light"/>
                <w:b w:val="0"/>
              </w:rPr>
              <w:t>se a la fecha</w:t>
            </w:r>
            <w:r w:rsidR="00AA24AA" w:rsidRPr="008043DA">
              <w:rPr>
                <w:rFonts w:ascii="Calibri Light" w:hAnsi="Calibri Light"/>
                <w:b w:val="0"/>
              </w:rPr>
              <w:t xml:space="preserve"> información sobre el paradero exacto de sus restos</w:t>
            </w:r>
            <w:r w:rsidR="00AA24AA">
              <w:rPr>
                <w:rFonts w:ascii="Calibri Light" w:hAnsi="Calibri Light"/>
                <w:b w:val="0"/>
              </w:rPr>
              <w:t>.</w:t>
            </w:r>
          </w:p>
          <w:p w14:paraId="44C05341" w14:textId="77777777" w:rsidR="00CC56EE" w:rsidRDefault="00CC56EE" w:rsidP="005A545F">
            <w:pPr>
              <w:jc w:val="both"/>
              <w:rPr>
                <w:rFonts w:ascii="Calibri Light" w:hAnsi="Calibri Light"/>
                <w:b w:val="0"/>
              </w:rPr>
            </w:pPr>
          </w:p>
          <w:p w14:paraId="7CF096F4" w14:textId="1DA055A5" w:rsidR="009677D4" w:rsidRDefault="00CC56EE" w:rsidP="00CC56EE">
            <w:pPr>
              <w:jc w:val="both"/>
              <w:rPr>
                <w:rFonts w:ascii="Calibri Light" w:hAnsi="Calibri Light"/>
                <w:b w:val="0"/>
              </w:rPr>
            </w:pPr>
            <w:r>
              <w:rPr>
                <w:rFonts w:ascii="Calibri Light" w:hAnsi="Calibri Light"/>
                <w:b w:val="0"/>
              </w:rPr>
              <w:t xml:space="preserve">El 25 de febrero de 1986, tras el restablecimiento de la democracia y a causa de querellas penales presentadas por instituciones públicas y privadas, el Congreso Nacional </w:t>
            </w:r>
            <w:r w:rsidR="009635EA">
              <w:rPr>
                <w:rFonts w:ascii="Calibri Light" w:hAnsi="Calibri Light"/>
                <w:b w:val="0"/>
              </w:rPr>
              <w:t>acusó</w:t>
            </w:r>
            <w:r>
              <w:rPr>
                <w:rFonts w:ascii="Calibri Light" w:hAnsi="Calibri Light"/>
                <w:b w:val="0"/>
              </w:rPr>
              <w:t xml:space="preserve"> ante la Corte Suprema de Justicia </w:t>
            </w:r>
            <w:r w:rsidR="009635EA">
              <w:rPr>
                <w:rFonts w:ascii="Calibri Light" w:hAnsi="Calibri Light"/>
                <w:b w:val="0"/>
              </w:rPr>
              <w:t xml:space="preserve">a </w:t>
            </w:r>
            <w:r>
              <w:rPr>
                <w:rFonts w:ascii="Calibri Light" w:hAnsi="Calibri Light"/>
                <w:b w:val="0"/>
              </w:rPr>
              <w:t>Luis García Meza y demás personas responsable</w:t>
            </w:r>
            <w:r w:rsidR="004B78B6">
              <w:rPr>
                <w:rFonts w:ascii="Calibri Light" w:hAnsi="Calibri Light"/>
                <w:b w:val="0"/>
              </w:rPr>
              <w:t>s por el golpe militar.</w:t>
            </w:r>
            <w:r w:rsidR="00875C9B">
              <w:rPr>
                <w:rFonts w:ascii="Calibri Light" w:hAnsi="Calibri Light"/>
                <w:b w:val="0"/>
              </w:rPr>
              <w:t xml:space="preserve"> </w:t>
            </w:r>
            <w:r w:rsidR="009635EA">
              <w:rPr>
                <w:rFonts w:ascii="Calibri Light" w:hAnsi="Calibri Light"/>
                <w:b w:val="0"/>
              </w:rPr>
              <w:t>Esta</w:t>
            </w:r>
            <w:r w:rsidR="00875C9B">
              <w:rPr>
                <w:rFonts w:ascii="Calibri Light" w:hAnsi="Calibri Light"/>
                <w:b w:val="0"/>
              </w:rPr>
              <w:t xml:space="preserve"> determinó </w:t>
            </w:r>
            <w:r w:rsidR="009635EA">
              <w:rPr>
                <w:rFonts w:ascii="Calibri Light" w:hAnsi="Calibri Light"/>
                <w:b w:val="0"/>
              </w:rPr>
              <w:t xml:space="preserve">su </w:t>
            </w:r>
            <w:r w:rsidR="00875C9B">
              <w:rPr>
                <w:rFonts w:ascii="Calibri Light" w:hAnsi="Calibri Light"/>
                <w:b w:val="0"/>
              </w:rPr>
              <w:t xml:space="preserve">responsabilidad por </w:t>
            </w:r>
            <w:r w:rsidR="009635EA">
              <w:rPr>
                <w:rFonts w:ascii="Calibri Light" w:hAnsi="Calibri Light"/>
                <w:b w:val="0"/>
              </w:rPr>
              <w:t>varios</w:t>
            </w:r>
            <w:r w:rsidR="00875C9B">
              <w:rPr>
                <w:rFonts w:ascii="Calibri Light" w:hAnsi="Calibri Light"/>
                <w:b w:val="0"/>
              </w:rPr>
              <w:t xml:space="preserve"> delitos</w:t>
            </w:r>
            <w:r w:rsidR="009635EA">
              <w:rPr>
                <w:rFonts w:ascii="Calibri Light" w:hAnsi="Calibri Light"/>
                <w:b w:val="0"/>
              </w:rPr>
              <w:t>,</w:t>
            </w:r>
            <w:r w:rsidR="00875C9B">
              <w:rPr>
                <w:rFonts w:ascii="Calibri Light" w:hAnsi="Calibri Light"/>
                <w:b w:val="0"/>
              </w:rPr>
              <w:t xml:space="preserve"> sin incluir </w:t>
            </w:r>
            <w:r w:rsidR="009635EA">
              <w:rPr>
                <w:rFonts w:ascii="Calibri Light" w:hAnsi="Calibri Light"/>
                <w:b w:val="0"/>
              </w:rPr>
              <w:t xml:space="preserve">el delito de </w:t>
            </w:r>
            <w:r w:rsidR="00875C9B">
              <w:rPr>
                <w:rFonts w:ascii="Calibri Light" w:hAnsi="Calibri Light"/>
                <w:b w:val="0"/>
              </w:rPr>
              <w:t>desaparición forzada.</w:t>
            </w:r>
            <w:r w:rsidR="004B78B6">
              <w:rPr>
                <w:rFonts w:ascii="Calibri Light" w:hAnsi="Calibri Light"/>
                <w:b w:val="0"/>
              </w:rPr>
              <w:t xml:space="preserve"> Por otro lado</w:t>
            </w:r>
            <w:r w:rsidR="00875C9B">
              <w:rPr>
                <w:rFonts w:ascii="Calibri Light" w:hAnsi="Calibri Light"/>
                <w:b w:val="0"/>
              </w:rPr>
              <w:t>,</w:t>
            </w:r>
            <w:r>
              <w:rPr>
                <w:rFonts w:ascii="Calibri Light" w:hAnsi="Calibri Light"/>
                <w:b w:val="0"/>
              </w:rPr>
              <w:t xml:space="preserve"> la Cámara de Diputados </w:t>
            </w:r>
            <w:r w:rsidRPr="00CC56EE">
              <w:rPr>
                <w:rFonts w:ascii="Calibri Light" w:hAnsi="Calibri Light"/>
                <w:b w:val="0"/>
              </w:rPr>
              <w:t>realizó un requerimiento para que se dictara auto</w:t>
            </w:r>
            <w:r>
              <w:rPr>
                <w:rFonts w:ascii="Calibri Light" w:hAnsi="Calibri Light"/>
                <w:b w:val="0"/>
              </w:rPr>
              <w:t xml:space="preserve"> </w:t>
            </w:r>
            <w:r w:rsidRPr="00CC56EE">
              <w:rPr>
                <w:rFonts w:ascii="Calibri Light" w:hAnsi="Calibri Light"/>
                <w:b w:val="0"/>
              </w:rPr>
              <w:t xml:space="preserve">inicial de instrucción contra varias personas por </w:t>
            </w:r>
            <w:r w:rsidR="00F44C58">
              <w:rPr>
                <w:rFonts w:ascii="Calibri Light" w:hAnsi="Calibri Light"/>
                <w:b w:val="0"/>
              </w:rPr>
              <w:t>hechos ocurridos durante el</w:t>
            </w:r>
            <w:r w:rsidRPr="00CC56EE">
              <w:rPr>
                <w:rFonts w:ascii="Calibri Light" w:hAnsi="Calibri Light"/>
                <w:b w:val="0"/>
              </w:rPr>
              <w:t xml:space="preserve"> golpe de estado</w:t>
            </w:r>
            <w:r w:rsidR="00F44C58">
              <w:rPr>
                <w:rFonts w:ascii="Calibri Light" w:hAnsi="Calibri Light"/>
                <w:b w:val="0"/>
              </w:rPr>
              <w:t>, entre ellos la toma de la COB</w:t>
            </w:r>
            <w:r w:rsidR="00EE55FB">
              <w:rPr>
                <w:rFonts w:ascii="Calibri Light" w:hAnsi="Calibri Light"/>
                <w:b w:val="0"/>
              </w:rPr>
              <w:t>. Este</w:t>
            </w:r>
            <w:r>
              <w:rPr>
                <w:rFonts w:ascii="Calibri Light" w:hAnsi="Calibri Light"/>
                <w:b w:val="0"/>
              </w:rPr>
              <w:t xml:space="preserve"> fue emitido el 18 de febrero de 1999 por el </w:t>
            </w:r>
            <w:r w:rsidRPr="00CC56EE">
              <w:rPr>
                <w:rFonts w:ascii="Calibri Light" w:hAnsi="Calibri Light"/>
                <w:b w:val="0"/>
              </w:rPr>
              <w:t>Juez Instructor Tercero en lo Penal del Distrito de La Paz</w:t>
            </w:r>
            <w:r w:rsidR="00EE55FB">
              <w:rPr>
                <w:rFonts w:ascii="Calibri Light" w:hAnsi="Calibri Light"/>
                <w:b w:val="0"/>
              </w:rPr>
              <w:t xml:space="preserve"> y, </w:t>
            </w:r>
            <w:r w:rsidR="009635EA">
              <w:rPr>
                <w:rFonts w:ascii="Calibri Light" w:hAnsi="Calibri Light"/>
                <w:b w:val="0"/>
              </w:rPr>
              <w:t>e</w:t>
            </w:r>
            <w:r w:rsidR="0037546D">
              <w:rPr>
                <w:rFonts w:ascii="Calibri Light" w:hAnsi="Calibri Light"/>
                <w:b w:val="0"/>
              </w:rPr>
              <w:t xml:space="preserve">l 12 de diciembre de 2007, se </w:t>
            </w:r>
            <w:r w:rsidR="0047548C">
              <w:rPr>
                <w:rFonts w:ascii="Calibri Light" w:hAnsi="Calibri Light"/>
                <w:b w:val="0"/>
              </w:rPr>
              <w:t>condenó a</w:t>
            </w:r>
            <w:r w:rsidR="0037546D">
              <w:rPr>
                <w:rFonts w:ascii="Calibri Light" w:hAnsi="Calibri Light"/>
                <w:b w:val="0"/>
              </w:rPr>
              <w:t xml:space="preserve"> agentes del Estado y civiles por diferentes delitos</w:t>
            </w:r>
            <w:r w:rsidR="00EE55FB">
              <w:rPr>
                <w:rFonts w:ascii="Calibri Light" w:hAnsi="Calibri Light"/>
                <w:b w:val="0"/>
              </w:rPr>
              <w:t xml:space="preserve">. </w:t>
            </w:r>
          </w:p>
          <w:p w14:paraId="77A5980F" w14:textId="77777777" w:rsidR="009677D4" w:rsidRDefault="009677D4" w:rsidP="00CC56EE">
            <w:pPr>
              <w:jc w:val="both"/>
              <w:rPr>
                <w:rFonts w:ascii="Calibri Light" w:hAnsi="Calibri Light"/>
                <w:b w:val="0"/>
              </w:rPr>
            </w:pPr>
          </w:p>
          <w:p w14:paraId="0407D5A2" w14:textId="128170CE" w:rsidR="00875C9B" w:rsidRDefault="00EE55FB" w:rsidP="00CC56EE">
            <w:pPr>
              <w:jc w:val="both"/>
              <w:rPr>
                <w:rFonts w:ascii="Calibri Light" w:hAnsi="Calibri Light"/>
                <w:b w:val="0"/>
              </w:rPr>
            </w:pPr>
            <w:r>
              <w:rPr>
                <w:rFonts w:ascii="Calibri Light" w:hAnsi="Calibri Light"/>
                <w:b w:val="0"/>
              </w:rPr>
              <w:t>No obstante,</w:t>
            </w:r>
            <w:r w:rsidR="0037546D">
              <w:rPr>
                <w:rFonts w:ascii="Calibri Light" w:hAnsi="Calibri Light"/>
                <w:b w:val="0"/>
              </w:rPr>
              <w:t xml:space="preserve"> </w:t>
            </w:r>
            <w:r w:rsidR="00F44C58">
              <w:rPr>
                <w:rFonts w:ascii="Calibri Light" w:hAnsi="Calibri Light"/>
                <w:b w:val="0"/>
              </w:rPr>
              <w:t>se</w:t>
            </w:r>
            <w:r w:rsidR="0037546D">
              <w:rPr>
                <w:rFonts w:ascii="Calibri Light" w:hAnsi="Calibri Light"/>
                <w:b w:val="0"/>
              </w:rPr>
              <w:t xml:space="preserve"> señaló que no podía aplicarse el delito de desaparición forzada en virtud del principio de irretroactividad penal, ya que la Ley No. 3326 que lo contemplaba se incorporó al Código </w:t>
            </w:r>
            <w:r w:rsidR="00875C9B">
              <w:rPr>
                <w:rFonts w:ascii="Calibri Light" w:hAnsi="Calibri Light"/>
                <w:b w:val="0"/>
              </w:rPr>
              <w:t>P</w:t>
            </w:r>
            <w:r w:rsidR="0037546D">
              <w:rPr>
                <w:rFonts w:ascii="Calibri Light" w:hAnsi="Calibri Light"/>
                <w:b w:val="0"/>
              </w:rPr>
              <w:t xml:space="preserve">enal </w:t>
            </w:r>
            <w:r w:rsidR="005B7F2B">
              <w:rPr>
                <w:rFonts w:ascii="Calibri Light" w:hAnsi="Calibri Light"/>
                <w:b w:val="0"/>
              </w:rPr>
              <w:t xml:space="preserve">recién </w:t>
            </w:r>
            <w:r w:rsidR="0037546D">
              <w:rPr>
                <w:rFonts w:ascii="Calibri Light" w:hAnsi="Calibri Light"/>
                <w:b w:val="0"/>
              </w:rPr>
              <w:t xml:space="preserve">en 2006. </w:t>
            </w:r>
            <w:r>
              <w:rPr>
                <w:rFonts w:ascii="Calibri Light" w:hAnsi="Calibri Light"/>
                <w:b w:val="0"/>
              </w:rPr>
              <w:t xml:space="preserve">Cabe señalar que </w:t>
            </w:r>
            <w:r w:rsidR="002E29BF">
              <w:rPr>
                <w:rFonts w:ascii="Calibri Light" w:hAnsi="Calibri Light"/>
                <w:b w:val="0"/>
              </w:rPr>
              <w:t xml:space="preserve">en </w:t>
            </w:r>
            <w:r>
              <w:rPr>
                <w:rFonts w:ascii="Calibri Light" w:hAnsi="Calibri Light"/>
                <w:b w:val="0"/>
              </w:rPr>
              <w:t xml:space="preserve">dicha </w:t>
            </w:r>
            <w:r w:rsidR="002E29BF">
              <w:rPr>
                <w:rFonts w:ascii="Calibri Light" w:hAnsi="Calibri Light"/>
                <w:b w:val="0"/>
              </w:rPr>
              <w:t>sentencia evidenci</w:t>
            </w:r>
            <w:r>
              <w:rPr>
                <w:rFonts w:ascii="Calibri Light" w:hAnsi="Calibri Light"/>
                <w:b w:val="0"/>
              </w:rPr>
              <w:t xml:space="preserve">aron las </w:t>
            </w:r>
            <w:r w:rsidR="00E8729A">
              <w:rPr>
                <w:rFonts w:ascii="Calibri Light" w:hAnsi="Calibri Light"/>
                <w:b w:val="0"/>
              </w:rPr>
              <w:t xml:space="preserve">contradicciones entre </w:t>
            </w:r>
            <w:r w:rsidR="002E29BF">
              <w:rPr>
                <w:rFonts w:ascii="Calibri Light" w:hAnsi="Calibri Light"/>
                <w:b w:val="0"/>
              </w:rPr>
              <w:t xml:space="preserve">los testimonios de los funcionarios implicados. </w:t>
            </w:r>
            <w:r w:rsidR="004B78B6">
              <w:rPr>
                <w:rFonts w:ascii="Calibri Light" w:hAnsi="Calibri Light"/>
                <w:b w:val="0"/>
              </w:rPr>
              <w:t>Esta decisión fue impugnada hasta que</w:t>
            </w:r>
            <w:r w:rsidR="00875C9B">
              <w:rPr>
                <w:rFonts w:ascii="Calibri Light" w:hAnsi="Calibri Light"/>
                <w:b w:val="0"/>
              </w:rPr>
              <w:t>,</w:t>
            </w:r>
            <w:r w:rsidR="004B78B6">
              <w:rPr>
                <w:rFonts w:ascii="Calibri Light" w:hAnsi="Calibri Light"/>
                <w:b w:val="0"/>
              </w:rPr>
              <w:t xml:space="preserve"> el 17 de julio de 2009, el Ministerio Público instauró un nuevo proceso penal por el delito en específico</w:t>
            </w:r>
            <w:r w:rsidR="009635EA">
              <w:rPr>
                <w:rFonts w:ascii="Calibri Light" w:hAnsi="Calibri Light"/>
                <w:b w:val="0"/>
              </w:rPr>
              <w:t xml:space="preserve"> </w:t>
            </w:r>
            <w:r>
              <w:rPr>
                <w:rFonts w:ascii="Calibri Light" w:hAnsi="Calibri Light"/>
                <w:b w:val="0"/>
              </w:rPr>
              <w:t>de desaparición forzada</w:t>
            </w:r>
            <w:r w:rsidR="00AF53F6">
              <w:rPr>
                <w:rFonts w:ascii="Calibri Light" w:hAnsi="Calibri Light"/>
                <w:b w:val="0"/>
              </w:rPr>
              <w:t>,</w:t>
            </w:r>
            <w:r>
              <w:rPr>
                <w:rFonts w:ascii="Calibri Light" w:hAnsi="Calibri Light"/>
                <w:b w:val="0"/>
              </w:rPr>
              <w:t xml:space="preserve"> </w:t>
            </w:r>
            <w:r w:rsidR="00AF53F6">
              <w:rPr>
                <w:rFonts w:ascii="Calibri Light" w:hAnsi="Calibri Light"/>
                <w:b w:val="0"/>
              </w:rPr>
              <w:t>el cual</w:t>
            </w:r>
            <w:r w:rsidR="009635EA">
              <w:rPr>
                <w:rFonts w:ascii="Calibri Light" w:hAnsi="Calibri Light"/>
                <w:b w:val="0"/>
              </w:rPr>
              <w:t xml:space="preserve"> </w:t>
            </w:r>
            <w:r w:rsidR="004B78B6">
              <w:rPr>
                <w:rFonts w:ascii="Calibri Light" w:hAnsi="Calibri Light"/>
                <w:b w:val="0"/>
              </w:rPr>
              <w:t>aún no concluye.</w:t>
            </w:r>
            <w:r w:rsidR="00875C9B">
              <w:rPr>
                <w:rFonts w:ascii="Calibri Light" w:hAnsi="Calibri Light"/>
                <w:b w:val="0"/>
              </w:rPr>
              <w:t xml:space="preserve"> Ninguno de estos procesos </w:t>
            </w:r>
            <w:r w:rsidR="00397BF6">
              <w:rPr>
                <w:rFonts w:ascii="Calibri Light" w:hAnsi="Calibri Light"/>
                <w:b w:val="0"/>
              </w:rPr>
              <w:t xml:space="preserve">aclaró </w:t>
            </w:r>
            <w:r w:rsidR="00875C9B">
              <w:rPr>
                <w:rFonts w:ascii="Calibri Light" w:hAnsi="Calibri Light"/>
                <w:b w:val="0"/>
              </w:rPr>
              <w:t>el paradero de los restos del señor Flores.</w:t>
            </w:r>
          </w:p>
          <w:p w14:paraId="532818C1" w14:textId="77777777" w:rsidR="00875C9B" w:rsidRDefault="00875C9B" w:rsidP="00CC56EE">
            <w:pPr>
              <w:jc w:val="both"/>
              <w:rPr>
                <w:rFonts w:ascii="Calibri Light" w:hAnsi="Calibri Light"/>
                <w:b w:val="0"/>
              </w:rPr>
            </w:pPr>
          </w:p>
          <w:p w14:paraId="219E7EEF" w14:textId="12351B4B" w:rsidR="00172ED8" w:rsidRPr="008043DA" w:rsidRDefault="00875C9B" w:rsidP="00CC56EE">
            <w:pPr>
              <w:jc w:val="both"/>
              <w:rPr>
                <w:rFonts w:ascii="Calibri Light" w:hAnsi="Calibri Light"/>
                <w:b w:val="0"/>
              </w:rPr>
            </w:pPr>
            <w:r>
              <w:rPr>
                <w:rFonts w:ascii="Calibri Light" w:hAnsi="Calibri Light"/>
                <w:b w:val="0"/>
              </w:rPr>
              <w:t xml:space="preserve">Por su parte, </w:t>
            </w:r>
            <w:r w:rsidRPr="008043DA">
              <w:rPr>
                <w:rFonts w:ascii="Calibri Light" w:hAnsi="Calibri Light"/>
                <w:b w:val="0"/>
              </w:rPr>
              <w:t>los familiares de</w:t>
            </w:r>
            <w:r>
              <w:rPr>
                <w:rFonts w:ascii="Calibri Light" w:hAnsi="Calibri Light"/>
                <w:b w:val="0"/>
              </w:rPr>
              <w:t>l señor</w:t>
            </w:r>
            <w:r w:rsidRPr="008043DA">
              <w:rPr>
                <w:rFonts w:ascii="Calibri Light" w:hAnsi="Calibri Light"/>
                <w:b w:val="0"/>
              </w:rPr>
              <w:t xml:space="preserve"> Flores </w:t>
            </w:r>
            <w:r>
              <w:rPr>
                <w:rFonts w:ascii="Calibri Light" w:hAnsi="Calibri Light"/>
                <w:b w:val="0"/>
              </w:rPr>
              <w:t xml:space="preserve">realizaron varias gestiones con el propósito de conocer su paradero desde el primer día de </w:t>
            </w:r>
            <w:r w:rsidR="0047548C">
              <w:rPr>
                <w:rFonts w:ascii="Calibri Light" w:hAnsi="Calibri Light"/>
                <w:b w:val="0"/>
              </w:rPr>
              <w:t xml:space="preserve">su </w:t>
            </w:r>
            <w:r>
              <w:rPr>
                <w:rFonts w:ascii="Calibri Light" w:hAnsi="Calibri Light"/>
                <w:b w:val="0"/>
              </w:rPr>
              <w:t>desaparición</w:t>
            </w:r>
            <w:r w:rsidRPr="008043DA">
              <w:rPr>
                <w:rFonts w:ascii="Calibri Light" w:hAnsi="Calibri Light"/>
                <w:b w:val="0"/>
              </w:rPr>
              <w:t>.</w:t>
            </w:r>
            <w:r>
              <w:rPr>
                <w:rFonts w:ascii="Calibri Light" w:hAnsi="Calibri Light"/>
                <w:b w:val="0"/>
              </w:rPr>
              <w:t xml:space="preserve"> </w:t>
            </w:r>
            <w:r w:rsidR="0047548C">
              <w:rPr>
                <w:rFonts w:ascii="Calibri Light" w:hAnsi="Calibri Light"/>
                <w:b w:val="0"/>
              </w:rPr>
              <w:t>Así, e</w:t>
            </w:r>
            <w:r>
              <w:rPr>
                <w:rFonts w:ascii="Calibri Light" w:hAnsi="Calibri Light"/>
                <w:b w:val="0"/>
              </w:rPr>
              <w:t xml:space="preserve">n el proceso penal </w:t>
            </w:r>
            <w:r w:rsidR="00397BF6">
              <w:rPr>
                <w:rFonts w:ascii="Calibri Light" w:hAnsi="Calibri Light"/>
                <w:b w:val="0"/>
              </w:rPr>
              <w:t>iniciado en 1999</w:t>
            </w:r>
            <w:r>
              <w:rPr>
                <w:rFonts w:ascii="Calibri Light" w:hAnsi="Calibri Light"/>
                <w:b w:val="0"/>
              </w:rPr>
              <w:t>, se constituyeron como parte querellante y solicitaron que los acusados fuer</w:t>
            </w:r>
            <w:r w:rsidR="0047548C">
              <w:rPr>
                <w:rFonts w:ascii="Calibri Light" w:hAnsi="Calibri Light"/>
                <w:b w:val="0"/>
              </w:rPr>
              <w:t>a</w:t>
            </w:r>
            <w:r>
              <w:rPr>
                <w:rFonts w:ascii="Calibri Light" w:hAnsi="Calibri Light"/>
                <w:b w:val="0"/>
              </w:rPr>
              <w:t xml:space="preserve">n condenados, entre otros delitos, </w:t>
            </w:r>
            <w:r w:rsidR="0047548C">
              <w:rPr>
                <w:rFonts w:ascii="Calibri Light" w:hAnsi="Calibri Light"/>
                <w:b w:val="0"/>
              </w:rPr>
              <w:t xml:space="preserve">por </w:t>
            </w:r>
            <w:r>
              <w:rPr>
                <w:rFonts w:ascii="Calibri Light" w:hAnsi="Calibri Light"/>
                <w:b w:val="0"/>
              </w:rPr>
              <w:t xml:space="preserve">desaparición forzada. Asimismo, </w:t>
            </w:r>
            <w:r w:rsidR="00F157B2">
              <w:rPr>
                <w:rFonts w:ascii="Calibri Light" w:hAnsi="Calibri Light"/>
                <w:b w:val="0"/>
              </w:rPr>
              <w:t>requierieron</w:t>
            </w:r>
            <w:r>
              <w:rPr>
                <w:rFonts w:ascii="Calibri Light" w:hAnsi="Calibri Light"/>
                <w:b w:val="0"/>
              </w:rPr>
              <w:t xml:space="preserve"> en reiteradas oportunidades a las autoridades judiciales encargadas del proceso la desclasificación y acceso a la información contenida en archivos militares</w:t>
            </w:r>
            <w:r w:rsidR="0047548C">
              <w:rPr>
                <w:rFonts w:ascii="Calibri Light" w:hAnsi="Calibri Light"/>
                <w:b w:val="0"/>
              </w:rPr>
              <w:t>.</w:t>
            </w:r>
            <w:r>
              <w:rPr>
                <w:rFonts w:ascii="Calibri Light" w:hAnsi="Calibri Light"/>
                <w:b w:val="0"/>
              </w:rPr>
              <w:t xml:space="preserve"> </w:t>
            </w:r>
            <w:r w:rsidR="0047548C">
              <w:rPr>
                <w:rFonts w:ascii="Calibri Light" w:hAnsi="Calibri Light"/>
                <w:b w:val="0"/>
              </w:rPr>
              <w:t>S</w:t>
            </w:r>
            <w:r>
              <w:rPr>
                <w:rFonts w:ascii="Calibri Light" w:hAnsi="Calibri Light"/>
                <w:b w:val="0"/>
              </w:rPr>
              <w:t xml:space="preserve">in embargo, estas </w:t>
            </w:r>
            <w:r w:rsidR="005A1F7A">
              <w:rPr>
                <w:rFonts w:ascii="Calibri Light" w:hAnsi="Calibri Light"/>
                <w:b w:val="0"/>
              </w:rPr>
              <w:t>consideraron</w:t>
            </w:r>
            <w:r w:rsidR="0047548C">
              <w:rPr>
                <w:rFonts w:ascii="Calibri Light" w:hAnsi="Calibri Light"/>
                <w:b w:val="0"/>
              </w:rPr>
              <w:t xml:space="preserve"> los archivos</w:t>
            </w:r>
            <w:r>
              <w:rPr>
                <w:rFonts w:ascii="Calibri Light" w:hAnsi="Calibri Light"/>
                <w:b w:val="0"/>
              </w:rPr>
              <w:t xml:space="preserve"> </w:t>
            </w:r>
            <w:r w:rsidR="005A1F7A">
              <w:rPr>
                <w:rFonts w:ascii="Calibri Light" w:hAnsi="Calibri Light"/>
                <w:b w:val="0"/>
              </w:rPr>
              <w:t xml:space="preserve">como </w:t>
            </w:r>
            <w:r>
              <w:rPr>
                <w:rFonts w:ascii="Calibri Light" w:hAnsi="Calibri Light"/>
                <w:b w:val="0"/>
              </w:rPr>
              <w:t>clasificados</w:t>
            </w:r>
            <w:r w:rsidR="00EE55FB">
              <w:rPr>
                <w:rFonts w:ascii="Calibri Light" w:hAnsi="Calibri Light"/>
                <w:b w:val="0"/>
              </w:rPr>
              <w:t xml:space="preserve">. Además, </w:t>
            </w:r>
            <w:r w:rsidR="00CD3556">
              <w:rPr>
                <w:rFonts w:ascii="Calibri Light" w:hAnsi="Calibri Light"/>
                <w:b w:val="0"/>
              </w:rPr>
              <w:t>los familiares no tuvieron acceso a un procedimiento sencillo</w:t>
            </w:r>
            <w:r w:rsidR="00AF53F6">
              <w:rPr>
                <w:rFonts w:ascii="Calibri Light" w:hAnsi="Calibri Light"/>
                <w:b w:val="0"/>
              </w:rPr>
              <w:t>,</w:t>
            </w:r>
            <w:r w:rsidR="00CD3556">
              <w:rPr>
                <w:rFonts w:ascii="Calibri Light" w:hAnsi="Calibri Light"/>
                <w:b w:val="0"/>
              </w:rPr>
              <w:t xml:space="preserve"> le</w:t>
            </w:r>
            <w:r w:rsidR="00CD3556" w:rsidRPr="00CD3556">
              <w:rPr>
                <w:rFonts w:ascii="Calibri Light" w:hAnsi="Calibri Light"/>
                <w:b w:val="0"/>
              </w:rPr>
              <w:t xml:space="preserve">s </w:t>
            </w:r>
            <w:r w:rsidR="00F157B2">
              <w:rPr>
                <w:rFonts w:ascii="Calibri Light" w:hAnsi="Calibri Light"/>
                <w:b w:val="0"/>
              </w:rPr>
              <w:t>pidieron</w:t>
            </w:r>
            <w:r w:rsidR="00CD3556" w:rsidRPr="00CD3556">
              <w:rPr>
                <w:rFonts w:ascii="Calibri Light" w:hAnsi="Calibri Light"/>
                <w:b w:val="0"/>
              </w:rPr>
              <w:t xml:space="preserve"> datos que sustentaran su interés legítimo,</w:t>
            </w:r>
            <w:r w:rsidR="005A1F7A">
              <w:rPr>
                <w:rFonts w:ascii="Calibri Light" w:hAnsi="Calibri Light"/>
                <w:b w:val="0"/>
              </w:rPr>
              <w:t xml:space="preserve"> y emitieron órdenes judiciales tardías para la </w:t>
            </w:r>
            <w:r w:rsidR="00CD3556">
              <w:rPr>
                <w:rFonts w:ascii="Calibri Light" w:hAnsi="Calibri Light"/>
                <w:b w:val="0"/>
              </w:rPr>
              <w:t>desclas</w:t>
            </w:r>
            <w:r w:rsidR="005A1F7A">
              <w:rPr>
                <w:rFonts w:ascii="Calibri Light" w:hAnsi="Calibri Light"/>
                <w:b w:val="0"/>
              </w:rPr>
              <w:t>ificación</w:t>
            </w:r>
            <w:r w:rsidR="00CD3556">
              <w:rPr>
                <w:rFonts w:ascii="Calibri Light" w:hAnsi="Calibri Light"/>
                <w:b w:val="0"/>
              </w:rPr>
              <w:t xml:space="preserve"> de los mismos</w:t>
            </w:r>
            <w:r w:rsidR="005A1F7A">
              <w:rPr>
                <w:rFonts w:ascii="Calibri Light" w:hAnsi="Calibri Light"/>
                <w:b w:val="0"/>
              </w:rPr>
              <w:t xml:space="preserve"> pero sin garantías</w:t>
            </w:r>
            <w:r w:rsidR="00CD3556">
              <w:rPr>
                <w:rFonts w:ascii="Calibri Light" w:hAnsi="Calibri Light"/>
                <w:b w:val="0"/>
              </w:rPr>
              <w:t xml:space="preserve"> para </w:t>
            </w:r>
            <w:r w:rsidR="00EE55FB">
              <w:rPr>
                <w:rFonts w:ascii="Calibri Light" w:hAnsi="Calibri Light"/>
                <w:b w:val="0"/>
              </w:rPr>
              <w:t>su</w:t>
            </w:r>
            <w:r w:rsidR="00CD3556">
              <w:rPr>
                <w:rFonts w:ascii="Calibri Light" w:hAnsi="Calibri Light"/>
                <w:b w:val="0"/>
              </w:rPr>
              <w:t xml:space="preserve"> cumplimiento</w:t>
            </w:r>
            <w:r>
              <w:rPr>
                <w:rFonts w:ascii="Calibri Light" w:hAnsi="Calibri Light"/>
                <w:b w:val="0"/>
              </w:rPr>
              <w:t xml:space="preserve">. </w:t>
            </w:r>
            <w:r w:rsidR="002E29BF">
              <w:rPr>
                <w:rFonts w:ascii="Calibri Light" w:hAnsi="Calibri Light"/>
                <w:b w:val="0"/>
              </w:rPr>
              <w:t>Por último, cada vez que solicitaban cualquier tipo de información, los funcionarios que fueron parte del golpe evidenciaban un “pacto de silencio” para no brindar detalles.</w:t>
            </w:r>
          </w:p>
          <w:p w14:paraId="318CC8F3" w14:textId="77777777" w:rsidR="00172ED8" w:rsidRPr="008043DA" w:rsidRDefault="00172ED8" w:rsidP="009B0E72">
            <w:pPr>
              <w:jc w:val="both"/>
              <w:rPr>
                <w:rFonts w:ascii="Calibri Light" w:hAnsi="Calibri Light"/>
                <w:b w:val="0"/>
              </w:rPr>
            </w:pPr>
          </w:p>
          <w:p w14:paraId="29B2C7A8" w14:textId="4AE84741" w:rsidR="00672538" w:rsidRDefault="00672538" w:rsidP="0047548C">
            <w:pPr>
              <w:jc w:val="both"/>
              <w:rPr>
                <w:rFonts w:ascii="Calibri Light" w:hAnsi="Calibri Light"/>
                <w:b w:val="0"/>
              </w:rPr>
            </w:pPr>
            <w:r w:rsidRPr="008043DA">
              <w:rPr>
                <w:rFonts w:ascii="Calibri Light" w:hAnsi="Calibri Light"/>
                <w:b w:val="0"/>
              </w:rPr>
              <w:t xml:space="preserve">Frente a tales hechos, </w:t>
            </w:r>
            <w:r w:rsidR="00875C9B" w:rsidRPr="00875C9B">
              <w:rPr>
                <w:rFonts w:ascii="Calibri Light" w:hAnsi="Calibri Light"/>
                <w:b w:val="0"/>
              </w:rPr>
              <w:t>Olga Flores Bedregal</w:t>
            </w:r>
            <w:r w:rsidR="00875C9B">
              <w:rPr>
                <w:rFonts w:ascii="Calibri Light" w:hAnsi="Calibri Light"/>
                <w:b w:val="0"/>
              </w:rPr>
              <w:t xml:space="preserve">, hermana de la presunta víctima, </w:t>
            </w:r>
            <w:r w:rsidRPr="008043DA">
              <w:rPr>
                <w:rFonts w:ascii="Calibri Light" w:hAnsi="Calibri Light"/>
                <w:b w:val="0"/>
              </w:rPr>
              <w:t>present</w:t>
            </w:r>
            <w:r w:rsidR="00875C9B">
              <w:rPr>
                <w:rFonts w:ascii="Calibri Light" w:hAnsi="Calibri Light"/>
                <w:b w:val="0"/>
              </w:rPr>
              <w:t xml:space="preserve">ó </w:t>
            </w:r>
            <w:r w:rsidRPr="008043DA">
              <w:rPr>
                <w:rFonts w:ascii="Calibri Light" w:hAnsi="Calibri Light"/>
                <w:b w:val="0"/>
              </w:rPr>
              <w:t>una petición ante la CID</w:t>
            </w:r>
            <w:r w:rsidR="00875C9B">
              <w:rPr>
                <w:rFonts w:ascii="Calibri Light" w:hAnsi="Calibri Light"/>
                <w:b w:val="0"/>
              </w:rPr>
              <w:t xml:space="preserve">H, denunciando que el Estado </w:t>
            </w:r>
            <w:r w:rsidR="0047548C">
              <w:rPr>
                <w:rFonts w:ascii="Calibri Light" w:hAnsi="Calibri Light"/>
                <w:b w:val="0"/>
              </w:rPr>
              <w:t>de Bolivia</w:t>
            </w:r>
            <w:r w:rsidR="00875C9B">
              <w:rPr>
                <w:rFonts w:ascii="Calibri Light" w:hAnsi="Calibri Light"/>
                <w:b w:val="0"/>
              </w:rPr>
              <w:t xml:space="preserve"> </w:t>
            </w:r>
            <w:r w:rsidRPr="008043DA">
              <w:rPr>
                <w:rFonts w:ascii="Calibri Light" w:hAnsi="Calibri Light"/>
                <w:b w:val="0"/>
              </w:rPr>
              <w:t>había vulnerado los derechos a</w:t>
            </w:r>
            <w:r w:rsidR="00875C9B">
              <w:rPr>
                <w:rFonts w:ascii="Calibri Light" w:hAnsi="Calibri Light"/>
                <w:b w:val="0"/>
              </w:rPr>
              <w:t>l reconocimiento de la personalidad jurídica, a la vida, a la integridad personal, a la libertad personal, a las garantías judiciales y a la igualdad ante la ley</w:t>
            </w:r>
            <w:r w:rsidRPr="008043DA">
              <w:rPr>
                <w:rFonts w:ascii="Calibri Light" w:hAnsi="Calibri Light"/>
                <w:b w:val="0"/>
              </w:rPr>
              <w:t xml:space="preserve">, reconocidos en la </w:t>
            </w:r>
            <w:r w:rsidR="0047548C">
              <w:rPr>
                <w:rFonts w:ascii="Calibri Light" w:hAnsi="Calibri Light"/>
                <w:b w:val="0"/>
              </w:rPr>
              <w:t xml:space="preserve">Convención </w:t>
            </w:r>
            <w:r w:rsidR="0047548C">
              <w:rPr>
                <w:rFonts w:ascii="Calibri Light" w:hAnsi="Calibri Light"/>
                <w:b w:val="0"/>
              </w:rPr>
              <w:lastRenderedPageBreak/>
              <w:t xml:space="preserve">Americana sobre Derechos Humanos (en adelante, </w:t>
            </w:r>
            <w:r w:rsidRPr="008043DA">
              <w:rPr>
                <w:rFonts w:ascii="Calibri Light" w:hAnsi="Calibri Light"/>
                <w:b w:val="0"/>
              </w:rPr>
              <w:t>CADH</w:t>
            </w:r>
            <w:r w:rsidR="0047548C">
              <w:rPr>
                <w:rFonts w:ascii="Calibri Light" w:hAnsi="Calibri Light"/>
                <w:b w:val="0"/>
              </w:rPr>
              <w:t>)</w:t>
            </w:r>
            <w:r w:rsidR="00597E6D" w:rsidRPr="008043DA">
              <w:rPr>
                <w:rFonts w:ascii="Calibri Light" w:hAnsi="Calibri Light"/>
                <w:b w:val="0"/>
              </w:rPr>
              <w:t xml:space="preserve">, en perjuicio del señor </w:t>
            </w:r>
            <w:r w:rsidR="009C53B1" w:rsidRPr="008043DA">
              <w:rPr>
                <w:rFonts w:ascii="Calibri Light" w:hAnsi="Calibri Light"/>
                <w:b w:val="0"/>
              </w:rPr>
              <w:t>Flores</w:t>
            </w:r>
            <w:r w:rsidR="00597E6D" w:rsidRPr="008043DA">
              <w:rPr>
                <w:rFonts w:ascii="Calibri Light" w:hAnsi="Calibri Light"/>
                <w:b w:val="0"/>
              </w:rPr>
              <w:t xml:space="preserve">. </w:t>
            </w:r>
            <w:r w:rsidR="009C53B1">
              <w:rPr>
                <w:rFonts w:ascii="Calibri Light" w:hAnsi="Calibri Light"/>
                <w:b w:val="0"/>
              </w:rPr>
              <w:t xml:space="preserve">En virtud del principio </w:t>
            </w:r>
            <w:r w:rsidR="009C53B1" w:rsidRPr="00EE55FB">
              <w:rPr>
                <w:rFonts w:ascii="Calibri Light" w:hAnsi="Calibri Light"/>
                <w:b w:val="0"/>
                <w:i/>
              </w:rPr>
              <w:t>iura novit curia</w:t>
            </w:r>
            <w:r w:rsidR="009C53B1">
              <w:rPr>
                <w:rFonts w:ascii="Calibri Light" w:hAnsi="Calibri Light"/>
                <w:b w:val="0"/>
              </w:rPr>
              <w:t>, la CIDH contempló la posible violación de los deberes de prohibir y sancionar la desaparición forzada, así como</w:t>
            </w:r>
            <w:r w:rsidR="009C53B1" w:rsidRPr="009C53B1">
              <w:rPr>
                <w:rFonts w:ascii="Calibri Light" w:hAnsi="Calibri Light"/>
                <w:b w:val="0"/>
              </w:rPr>
              <w:t xml:space="preserve"> </w:t>
            </w:r>
            <w:r w:rsidR="00EE55FB">
              <w:rPr>
                <w:rFonts w:ascii="Calibri Light" w:hAnsi="Calibri Light"/>
                <w:b w:val="0"/>
              </w:rPr>
              <w:t xml:space="preserve">de </w:t>
            </w:r>
            <w:r w:rsidR="009C53B1" w:rsidRPr="009C53B1">
              <w:rPr>
                <w:rFonts w:ascii="Calibri Light" w:hAnsi="Calibri Light"/>
                <w:b w:val="0"/>
              </w:rPr>
              <w:t>adoptar las medidas legislativas necesarias para tipificar este delito</w:t>
            </w:r>
            <w:r w:rsidR="00597E6D" w:rsidRPr="008043DA">
              <w:rPr>
                <w:rFonts w:ascii="Calibri Light" w:hAnsi="Calibri Light"/>
                <w:b w:val="0"/>
              </w:rPr>
              <w:t>, reconocido</w:t>
            </w:r>
            <w:r w:rsidR="009C53B1">
              <w:rPr>
                <w:rFonts w:ascii="Calibri Light" w:hAnsi="Calibri Light"/>
                <w:b w:val="0"/>
              </w:rPr>
              <w:t>s</w:t>
            </w:r>
            <w:r w:rsidR="00597E6D" w:rsidRPr="008043DA">
              <w:rPr>
                <w:rFonts w:ascii="Calibri Light" w:hAnsi="Calibri Light"/>
                <w:b w:val="0"/>
              </w:rPr>
              <w:t xml:space="preserve"> en </w:t>
            </w:r>
            <w:r w:rsidR="00AC56D8" w:rsidRPr="008043DA">
              <w:rPr>
                <w:rFonts w:ascii="Calibri Light" w:hAnsi="Calibri Light"/>
                <w:b w:val="0"/>
              </w:rPr>
              <w:t xml:space="preserve">la </w:t>
            </w:r>
            <w:r w:rsidR="00875C9B" w:rsidRPr="00875C9B">
              <w:rPr>
                <w:rFonts w:ascii="Calibri Light" w:hAnsi="Calibri Light"/>
                <w:b w:val="0"/>
              </w:rPr>
              <w:t xml:space="preserve">Convención Interamericana sobre Desaparición Forzada de Personas </w:t>
            </w:r>
            <w:r w:rsidR="00AC56D8" w:rsidRPr="008043DA">
              <w:rPr>
                <w:rFonts w:ascii="Calibri Light" w:hAnsi="Calibri Light"/>
                <w:b w:val="0"/>
              </w:rPr>
              <w:t xml:space="preserve">(en adelante, </w:t>
            </w:r>
            <w:r w:rsidR="00875C9B" w:rsidRPr="00BE14DF">
              <w:rPr>
                <w:rFonts w:ascii="Calibri Light" w:hAnsi="Calibri Light"/>
                <w:b w:val="0"/>
              </w:rPr>
              <w:t>CIDFP</w:t>
            </w:r>
            <w:r w:rsidR="00AC56D8" w:rsidRPr="008043DA">
              <w:rPr>
                <w:rFonts w:ascii="Calibri Light" w:hAnsi="Calibri Light"/>
                <w:b w:val="0"/>
              </w:rPr>
              <w:t>)</w:t>
            </w:r>
            <w:r w:rsidRPr="008043DA">
              <w:rPr>
                <w:rFonts w:ascii="Calibri Light" w:hAnsi="Calibri Light"/>
                <w:b w:val="0"/>
              </w:rPr>
              <w:t>.</w:t>
            </w:r>
          </w:p>
          <w:p w14:paraId="6543A68A" w14:textId="7D0E53D3" w:rsidR="0047548C" w:rsidRPr="008043DA" w:rsidRDefault="0047548C" w:rsidP="0047548C">
            <w:pPr>
              <w:jc w:val="both"/>
              <w:rPr>
                <w:rFonts w:ascii="Calibri Light" w:hAnsi="Calibri Light"/>
                <w:b w:val="0"/>
              </w:rPr>
            </w:pPr>
          </w:p>
        </w:tc>
      </w:tr>
      <w:tr w:rsidR="00672538" w:rsidRPr="004533E5" w14:paraId="7B81A2F3"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4B448BEC" w14:textId="77777777" w:rsidR="00672538" w:rsidRPr="008043DA" w:rsidRDefault="00672538" w:rsidP="00AC6F31">
            <w:pPr>
              <w:pStyle w:val="ListParagraph"/>
              <w:rPr>
                <w:rFonts w:ascii="Calibri Light" w:hAnsi="Calibri Light"/>
              </w:rPr>
            </w:pPr>
          </w:p>
          <w:p w14:paraId="1FB8AB09" w14:textId="77777777" w:rsidR="00672538" w:rsidRPr="008043DA" w:rsidRDefault="00672538" w:rsidP="003E6AB8">
            <w:pPr>
              <w:pStyle w:val="ListParagraph"/>
              <w:numPr>
                <w:ilvl w:val="0"/>
                <w:numId w:val="2"/>
              </w:numPr>
              <w:jc w:val="center"/>
              <w:rPr>
                <w:rFonts w:ascii="Calibri Light" w:hAnsi="Calibri Light"/>
              </w:rPr>
            </w:pPr>
            <w:r w:rsidRPr="008043DA">
              <w:rPr>
                <w:rFonts w:ascii="Calibri Light" w:hAnsi="Calibri Light"/>
              </w:rPr>
              <w:t>Análisis jurídico</w:t>
            </w:r>
          </w:p>
          <w:p w14:paraId="158A739A" w14:textId="77777777" w:rsidR="00672538" w:rsidRPr="008043DA" w:rsidRDefault="00672538" w:rsidP="00AC6F31">
            <w:pPr>
              <w:pStyle w:val="ListParagraph"/>
              <w:rPr>
                <w:rFonts w:ascii="Calibri Light" w:hAnsi="Calibri Light"/>
              </w:rPr>
            </w:pPr>
          </w:p>
        </w:tc>
      </w:tr>
      <w:tr w:rsidR="00672538" w:rsidRPr="004533E5" w14:paraId="71AB3B44" w14:textId="77777777" w:rsidTr="00672538">
        <w:trPr>
          <w:trHeight w:val="708"/>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C3AFF68" w14:textId="127567B5" w:rsidR="00672538" w:rsidRPr="008043DA" w:rsidRDefault="00672538" w:rsidP="00FF34AE">
            <w:pPr>
              <w:jc w:val="both"/>
              <w:rPr>
                <w:rFonts w:ascii="Calibri Light" w:hAnsi="Calibri Light"/>
                <w:b w:val="0"/>
              </w:rPr>
            </w:pPr>
          </w:p>
          <w:p w14:paraId="69996E17" w14:textId="2E84AF09" w:rsidR="00172ED8" w:rsidRPr="008043DA" w:rsidRDefault="00172ED8" w:rsidP="005415A9">
            <w:pPr>
              <w:jc w:val="both"/>
              <w:rPr>
                <w:rFonts w:ascii="Calibri Light" w:hAnsi="Calibri Light"/>
              </w:rPr>
            </w:pPr>
            <w:r w:rsidRPr="008043DA">
              <w:rPr>
                <w:rFonts w:ascii="Calibri Light" w:hAnsi="Calibri Light"/>
              </w:rPr>
              <w:t>Derechos al reconocimiento de la personalidad jurídica, a la libertad personal, a la</w:t>
            </w:r>
            <w:r w:rsidR="005415A9">
              <w:rPr>
                <w:rFonts w:ascii="Calibri Light" w:hAnsi="Calibri Light"/>
              </w:rPr>
              <w:t xml:space="preserve"> integridad </w:t>
            </w:r>
            <w:r w:rsidRPr="008043DA">
              <w:rPr>
                <w:rFonts w:ascii="Calibri Light" w:hAnsi="Calibri Light"/>
              </w:rPr>
              <w:t>personal, a la vida, a las garantías judiciales y la protección judicial (artículos 3, 4, 5,</w:t>
            </w:r>
            <w:r w:rsidR="006C34E2" w:rsidRPr="008043DA">
              <w:rPr>
                <w:rFonts w:ascii="Calibri Light" w:hAnsi="Calibri Light"/>
              </w:rPr>
              <w:t xml:space="preserve"> </w:t>
            </w:r>
            <w:r w:rsidRPr="008043DA">
              <w:rPr>
                <w:rFonts w:ascii="Calibri Light" w:hAnsi="Calibri Light"/>
              </w:rPr>
              <w:t>7</w:t>
            </w:r>
            <w:r w:rsidR="00373D61" w:rsidRPr="008043DA">
              <w:rPr>
                <w:rFonts w:ascii="Calibri Light" w:hAnsi="Calibri Light"/>
              </w:rPr>
              <w:t>, 8 y 25 de la CADH, y artículo I de la CIDFP)</w:t>
            </w:r>
          </w:p>
          <w:p w14:paraId="2EA2AD59" w14:textId="77777777" w:rsidR="006C767A" w:rsidRPr="008043DA" w:rsidRDefault="006C767A" w:rsidP="006C767A">
            <w:pPr>
              <w:jc w:val="both"/>
              <w:rPr>
                <w:rFonts w:ascii="Calibri Light" w:hAnsi="Calibri Light"/>
                <w:b w:val="0"/>
              </w:rPr>
            </w:pPr>
          </w:p>
          <w:p w14:paraId="0608FA7B" w14:textId="3A3E9455" w:rsidR="00FE0FB7" w:rsidRPr="008043DA" w:rsidRDefault="008306D3" w:rsidP="00DF6237">
            <w:pPr>
              <w:jc w:val="both"/>
              <w:rPr>
                <w:rFonts w:ascii="Calibri Light" w:hAnsi="Calibri Light"/>
                <w:b w:val="0"/>
              </w:rPr>
            </w:pPr>
            <w:r w:rsidRPr="008043DA">
              <w:rPr>
                <w:rFonts w:ascii="Calibri Light" w:hAnsi="Calibri Light"/>
                <w:b w:val="0"/>
              </w:rPr>
              <w:t>La CIDH y la Corte IDH</w:t>
            </w:r>
            <w:r w:rsidR="00F926EA" w:rsidRPr="008043DA">
              <w:rPr>
                <w:rFonts w:ascii="Calibri Light" w:hAnsi="Calibri Light"/>
                <w:b w:val="0"/>
              </w:rPr>
              <w:t xml:space="preserve"> han señalado que la desaparición forzada constituye un hecho ilícito que genera una violación múltiple y continuada de varios </w:t>
            </w:r>
            <w:r w:rsidR="00D82302" w:rsidRPr="008043DA">
              <w:rPr>
                <w:rFonts w:ascii="Calibri Light" w:hAnsi="Calibri Light"/>
                <w:b w:val="0"/>
              </w:rPr>
              <w:t>derechos: i)</w:t>
            </w:r>
            <w:r w:rsidR="00DF6237" w:rsidRPr="008043DA">
              <w:rPr>
                <w:rFonts w:ascii="Calibri Light" w:hAnsi="Calibri Light"/>
                <w:b w:val="0"/>
              </w:rPr>
              <w:t xml:space="preserve"> </w:t>
            </w:r>
            <w:r w:rsidR="003E1555">
              <w:rPr>
                <w:rFonts w:ascii="Calibri Light" w:hAnsi="Calibri Light"/>
                <w:b w:val="0"/>
              </w:rPr>
              <w:t xml:space="preserve">los </w:t>
            </w:r>
            <w:r w:rsidR="00DF6237" w:rsidRPr="008043DA">
              <w:rPr>
                <w:rFonts w:ascii="Calibri Light" w:hAnsi="Calibri Light"/>
                <w:b w:val="0"/>
              </w:rPr>
              <w:t>derecho</w:t>
            </w:r>
            <w:r w:rsidR="003E1555">
              <w:rPr>
                <w:rFonts w:ascii="Calibri Light" w:hAnsi="Calibri Light"/>
                <w:b w:val="0"/>
              </w:rPr>
              <w:t>s</w:t>
            </w:r>
            <w:r w:rsidR="00DF6237" w:rsidRPr="008043DA">
              <w:rPr>
                <w:rFonts w:ascii="Calibri Light" w:hAnsi="Calibri Light"/>
                <w:b w:val="0"/>
              </w:rPr>
              <w:t xml:space="preserve"> a la libertad personal</w:t>
            </w:r>
            <w:r w:rsidR="00682669" w:rsidRPr="008043DA">
              <w:rPr>
                <w:rFonts w:ascii="Calibri Light" w:hAnsi="Calibri Light"/>
                <w:b w:val="0"/>
              </w:rPr>
              <w:t xml:space="preserve"> y a la integridad personal,</w:t>
            </w:r>
            <w:r w:rsidR="00B00F1C" w:rsidRPr="008043DA">
              <w:rPr>
                <w:rFonts w:ascii="Calibri Light" w:hAnsi="Calibri Light"/>
                <w:b w:val="0"/>
              </w:rPr>
              <w:t xml:space="preserve"> al haber un</w:t>
            </w:r>
            <w:r w:rsidR="00682669" w:rsidRPr="008043DA">
              <w:rPr>
                <w:rFonts w:ascii="Calibri Light" w:hAnsi="Calibri Light"/>
                <w:b w:val="0"/>
              </w:rPr>
              <w:t xml:space="preserve"> aislamiento prolongado</w:t>
            </w:r>
            <w:r w:rsidR="00B00F1C" w:rsidRPr="008043DA">
              <w:rPr>
                <w:rFonts w:ascii="Calibri Light" w:hAnsi="Calibri Light"/>
                <w:b w:val="0"/>
              </w:rPr>
              <w:t xml:space="preserve"> que</w:t>
            </w:r>
            <w:r w:rsidR="00682669" w:rsidRPr="008043DA">
              <w:rPr>
                <w:rFonts w:ascii="Calibri Light" w:hAnsi="Calibri Light"/>
                <w:b w:val="0"/>
              </w:rPr>
              <w:t xml:space="preserve"> representa un trat</w:t>
            </w:r>
            <w:r w:rsidR="00D82302" w:rsidRPr="008043DA">
              <w:rPr>
                <w:rFonts w:ascii="Calibri Light" w:hAnsi="Calibri Light"/>
                <w:b w:val="0"/>
              </w:rPr>
              <w:t>o</w:t>
            </w:r>
            <w:r w:rsidR="00682669" w:rsidRPr="008043DA">
              <w:rPr>
                <w:rFonts w:ascii="Calibri Light" w:hAnsi="Calibri Light"/>
                <w:b w:val="0"/>
              </w:rPr>
              <w:t xml:space="preserve"> cruel e inhumano</w:t>
            </w:r>
            <w:r w:rsidR="00D82302" w:rsidRPr="008043DA">
              <w:rPr>
                <w:rFonts w:ascii="Calibri Light" w:hAnsi="Calibri Light"/>
                <w:b w:val="0"/>
              </w:rPr>
              <w:t>; ii)</w:t>
            </w:r>
            <w:r w:rsidR="00682669" w:rsidRPr="008043DA">
              <w:rPr>
                <w:rFonts w:ascii="Calibri Light" w:hAnsi="Calibri Light"/>
                <w:b w:val="0"/>
              </w:rPr>
              <w:t xml:space="preserve"> </w:t>
            </w:r>
            <w:r w:rsidR="003E1555">
              <w:rPr>
                <w:rFonts w:ascii="Calibri Light" w:hAnsi="Calibri Light"/>
                <w:b w:val="0"/>
              </w:rPr>
              <w:t xml:space="preserve">el </w:t>
            </w:r>
            <w:r w:rsidR="00682669" w:rsidRPr="008043DA">
              <w:rPr>
                <w:rFonts w:ascii="Calibri Light" w:hAnsi="Calibri Light"/>
                <w:b w:val="0"/>
              </w:rPr>
              <w:t xml:space="preserve">derecho a la vida, </w:t>
            </w:r>
            <w:r w:rsidR="00B00F1C" w:rsidRPr="008043DA">
              <w:rPr>
                <w:rFonts w:ascii="Calibri Light" w:hAnsi="Calibri Light"/>
                <w:b w:val="0"/>
              </w:rPr>
              <w:t>porque</w:t>
            </w:r>
            <w:r w:rsidR="00682669" w:rsidRPr="008043DA">
              <w:rPr>
                <w:rFonts w:ascii="Calibri Light" w:hAnsi="Calibri Light"/>
                <w:b w:val="0"/>
              </w:rPr>
              <w:t xml:space="preserve"> un largo lapso de tiempo es indicio suficiente </w:t>
            </w:r>
            <w:r w:rsidR="00B00F1C" w:rsidRPr="008043DA">
              <w:rPr>
                <w:rFonts w:ascii="Calibri Light" w:hAnsi="Calibri Light"/>
                <w:b w:val="0"/>
              </w:rPr>
              <w:t>de la privación de vida;</w:t>
            </w:r>
            <w:r w:rsidR="00D82302" w:rsidRPr="008043DA">
              <w:rPr>
                <w:rFonts w:ascii="Calibri Light" w:hAnsi="Calibri Light"/>
                <w:b w:val="0"/>
              </w:rPr>
              <w:t xml:space="preserve"> iii)</w:t>
            </w:r>
            <w:r w:rsidR="00682669" w:rsidRPr="008043DA">
              <w:rPr>
                <w:rFonts w:ascii="Calibri Light" w:hAnsi="Calibri Light"/>
                <w:b w:val="0"/>
              </w:rPr>
              <w:t xml:space="preserve"> </w:t>
            </w:r>
            <w:r w:rsidR="003E1555">
              <w:rPr>
                <w:rFonts w:ascii="Calibri Light" w:hAnsi="Calibri Light"/>
                <w:b w:val="0"/>
              </w:rPr>
              <w:t xml:space="preserve">el </w:t>
            </w:r>
            <w:r w:rsidR="00682669" w:rsidRPr="008043DA">
              <w:rPr>
                <w:rFonts w:ascii="Calibri Light" w:hAnsi="Calibri Light"/>
                <w:b w:val="0"/>
              </w:rPr>
              <w:t>derecho al reconocimiento de la personalidad jurídica, ya que niega</w:t>
            </w:r>
            <w:r w:rsidR="00B00F1C" w:rsidRPr="008043DA">
              <w:rPr>
                <w:rFonts w:ascii="Calibri Light" w:hAnsi="Calibri Light"/>
                <w:b w:val="0"/>
              </w:rPr>
              <w:t xml:space="preserve"> la</w:t>
            </w:r>
            <w:r w:rsidR="00682669" w:rsidRPr="008043DA">
              <w:rPr>
                <w:rFonts w:ascii="Calibri Light" w:hAnsi="Calibri Light"/>
                <w:b w:val="0"/>
              </w:rPr>
              <w:t xml:space="preserve"> existencia </w:t>
            </w:r>
            <w:r w:rsidR="00D82302" w:rsidRPr="008043DA">
              <w:rPr>
                <w:rFonts w:ascii="Calibri Light" w:hAnsi="Calibri Light"/>
                <w:b w:val="0"/>
              </w:rPr>
              <w:t>de la persona</w:t>
            </w:r>
            <w:r w:rsidR="00682669" w:rsidRPr="008043DA">
              <w:rPr>
                <w:rFonts w:ascii="Calibri Light" w:hAnsi="Calibri Light"/>
                <w:b w:val="0"/>
              </w:rPr>
              <w:t xml:space="preserve"> y la deja en una situación de indeterminación jurídica</w:t>
            </w:r>
            <w:r w:rsidR="00D82302" w:rsidRPr="008043DA">
              <w:rPr>
                <w:rFonts w:ascii="Calibri Light" w:hAnsi="Calibri Light"/>
                <w:b w:val="0"/>
              </w:rPr>
              <w:t xml:space="preserve">; y iv) </w:t>
            </w:r>
            <w:r w:rsidR="003E1555">
              <w:rPr>
                <w:rFonts w:ascii="Calibri Light" w:hAnsi="Calibri Light"/>
                <w:b w:val="0"/>
              </w:rPr>
              <w:t xml:space="preserve">los </w:t>
            </w:r>
            <w:r w:rsidR="00682669" w:rsidRPr="008043DA">
              <w:rPr>
                <w:rFonts w:ascii="Calibri Light" w:hAnsi="Calibri Light"/>
                <w:b w:val="0"/>
              </w:rPr>
              <w:t>derechos a las garantías judiciales y protección judicial</w:t>
            </w:r>
            <w:r w:rsidR="00D82302" w:rsidRPr="008043DA">
              <w:rPr>
                <w:rFonts w:ascii="Calibri Light" w:hAnsi="Calibri Light"/>
                <w:b w:val="0"/>
              </w:rPr>
              <w:t>,</w:t>
            </w:r>
            <w:r w:rsidR="00682669" w:rsidRPr="008043DA">
              <w:rPr>
                <w:rFonts w:ascii="Calibri Light" w:hAnsi="Calibri Light"/>
                <w:b w:val="0"/>
              </w:rPr>
              <w:t xml:space="preserve"> por la falta de acciones de búsqueda del paradero. </w:t>
            </w:r>
            <w:r w:rsidR="000D0FFB" w:rsidRPr="008043DA">
              <w:rPr>
                <w:rFonts w:ascii="Calibri Light" w:hAnsi="Calibri Light"/>
                <w:b w:val="0"/>
              </w:rPr>
              <w:t>Este delito</w:t>
            </w:r>
            <w:r w:rsidR="00DF6237" w:rsidRPr="008043DA">
              <w:rPr>
                <w:rFonts w:ascii="Calibri Light" w:hAnsi="Calibri Light"/>
                <w:b w:val="0"/>
              </w:rPr>
              <w:t xml:space="preserve"> solo cesa cuando la víctima o sus restos son ubicados. </w:t>
            </w:r>
            <w:r w:rsidR="00D82302" w:rsidRPr="008043DA">
              <w:rPr>
                <w:rFonts w:ascii="Calibri Light" w:hAnsi="Calibri Light"/>
                <w:b w:val="0"/>
              </w:rPr>
              <w:t>Por último</w:t>
            </w:r>
            <w:r w:rsidR="00DF6237" w:rsidRPr="008043DA">
              <w:rPr>
                <w:rFonts w:ascii="Calibri Light" w:hAnsi="Calibri Light"/>
                <w:b w:val="0"/>
              </w:rPr>
              <w:t xml:space="preserve">, la desaparición forzada tiene los siguientes elementos concurrentes y constitutivos: i) la privación de la libertad; ii) la intervención directa de agentes estatales o la aquiescencia de </w:t>
            </w:r>
            <w:r w:rsidR="003E1555">
              <w:rPr>
                <w:rFonts w:ascii="Calibri Light" w:hAnsi="Calibri Light"/>
                <w:b w:val="0"/>
              </w:rPr>
              <w:t>e</w:t>
            </w:r>
            <w:r w:rsidR="00DF6237" w:rsidRPr="008043DA">
              <w:rPr>
                <w:rFonts w:ascii="Calibri Light" w:hAnsi="Calibri Light"/>
                <w:b w:val="0"/>
              </w:rPr>
              <w:t>stos; y iii) la negativa de reconocer la detención o revelar la suerte o paradero de la persona desaparecida.</w:t>
            </w:r>
          </w:p>
          <w:p w14:paraId="354A49D5" w14:textId="77777777" w:rsidR="008306D3" w:rsidRPr="008043DA" w:rsidRDefault="008306D3" w:rsidP="006C767A">
            <w:pPr>
              <w:jc w:val="both"/>
              <w:rPr>
                <w:rFonts w:ascii="Calibri Light" w:hAnsi="Calibri Light"/>
                <w:b w:val="0"/>
              </w:rPr>
            </w:pPr>
          </w:p>
          <w:p w14:paraId="01EF3C2A" w14:textId="33C637CB" w:rsidR="00FE0FB7" w:rsidRPr="008043DA" w:rsidRDefault="006C767A" w:rsidP="00162881">
            <w:pPr>
              <w:jc w:val="both"/>
              <w:rPr>
                <w:rFonts w:ascii="Calibri Light" w:hAnsi="Calibri Light"/>
                <w:b w:val="0"/>
              </w:rPr>
            </w:pPr>
            <w:r w:rsidRPr="008043DA">
              <w:rPr>
                <w:rFonts w:ascii="Calibri Light" w:hAnsi="Calibri Light"/>
                <w:b w:val="0"/>
              </w:rPr>
              <w:t xml:space="preserve">En el </w:t>
            </w:r>
            <w:r w:rsidR="00B00F1C" w:rsidRPr="008043DA">
              <w:rPr>
                <w:rFonts w:ascii="Calibri Light" w:hAnsi="Calibri Light"/>
                <w:b w:val="0"/>
              </w:rPr>
              <w:t xml:space="preserve">presente </w:t>
            </w:r>
            <w:r w:rsidRPr="008043DA">
              <w:rPr>
                <w:rFonts w:ascii="Calibri Light" w:hAnsi="Calibri Light"/>
                <w:b w:val="0"/>
              </w:rPr>
              <w:t>caso</w:t>
            </w:r>
            <w:r w:rsidR="00B00F1C" w:rsidRPr="008043DA">
              <w:rPr>
                <w:rFonts w:ascii="Calibri Light" w:hAnsi="Calibri Light"/>
                <w:b w:val="0"/>
              </w:rPr>
              <w:t>, la CIDH</w:t>
            </w:r>
            <w:r w:rsidR="00682669" w:rsidRPr="008043DA">
              <w:rPr>
                <w:rFonts w:ascii="Calibri Light" w:hAnsi="Calibri Light"/>
                <w:b w:val="0"/>
              </w:rPr>
              <w:t xml:space="preserve"> </w:t>
            </w:r>
            <w:r w:rsidR="00B00F1C" w:rsidRPr="008043DA">
              <w:rPr>
                <w:rFonts w:ascii="Calibri Light" w:hAnsi="Calibri Light"/>
                <w:b w:val="0"/>
              </w:rPr>
              <w:t>consideró que los dos primeros elementos constitutivos</w:t>
            </w:r>
            <w:r w:rsidR="00FE0FB7" w:rsidRPr="008043DA">
              <w:rPr>
                <w:rFonts w:ascii="Calibri Light" w:hAnsi="Calibri Light"/>
                <w:b w:val="0"/>
              </w:rPr>
              <w:t xml:space="preserve"> </w:t>
            </w:r>
            <w:r w:rsidR="006C34E2" w:rsidRPr="008043DA">
              <w:rPr>
                <w:rFonts w:ascii="Calibri Light" w:hAnsi="Calibri Light"/>
                <w:b w:val="0"/>
              </w:rPr>
              <w:t>estaban satisfechos</w:t>
            </w:r>
            <w:r w:rsidR="00B00F1C" w:rsidRPr="008043DA">
              <w:rPr>
                <w:rFonts w:ascii="Calibri Light" w:hAnsi="Calibri Light"/>
                <w:b w:val="0"/>
              </w:rPr>
              <w:t>,</w:t>
            </w:r>
            <w:r w:rsidR="000C6166" w:rsidRPr="008043DA">
              <w:rPr>
                <w:rFonts w:ascii="Calibri Light" w:hAnsi="Calibri Light"/>
                <w:b w:val="0"/>
              </w:rPr>
              <w:t xml:space="preserve"> debido a que</w:t>
            </w:r>
            <w:r w:rsidRPr="008043DA">
              <w:rPr>
                <w:rFonts w:ascii="Calibri Light" w:hAnsi="Calibri Light"/>
                <w:b w:val="0"/>
              </w:rPr>
              <w:t xml:space="preserve"> </w:t>
            </w:r>
            <w:r w:rsidR="00B00F1C" w:rsidRPr="008043DA">
              <w:rPr>
                <w:rFonts w:ascii="Calibri Light" w:hAnsi="Calibri Light"/>
                <w:b w:val="0"/>
              </w:rPr>
              <w:t xml:space="preserve">el señor Flores </w:t>
            </w:r>
            <w:r w:rsidRPr="008043DA">
              <w:rPr>
                <w:rFonts w:ascii="Calibri Light" w:hAnsi="Calibri Light"/>
                <w:b w:val="0"/>
              </w:rPr>
              <w:t xml:space="preserve">fue una de las víctimas del asalto armado a la COB y quedó bajo el control de agentes estatales. </w:t>
            </w:r>
            <w:r w:rsidR="002853AB" w:rsidRPr="008043DA">
              <w:rPr>
                <w:rFonts w:ascii="Calibri Light" w:hAnsi="Calibri Light"/>
                <w:b w:val="0"/>
              </w:rPr>
              <w:t>También consideró que el tercer elemento estaba configurado al identificar un</w:t>
            </w:r>
            <w:r w:rsidR="000C6166" w:rsidRPr="008043DA">
              <w:rPr>
                <w:rFonts w:ascii="Calibri Light" w:hAnsi="Calibri Light"/>
                <w:b w:val="0"/>
              </w:rPr>
              <w:t xml:space="preserve"> contexto </w:t>
            </w:r>
            <w:r w:rsidR="00E3729F" w:rsidRPr="008043DA">
              <w:rPr>
                <w:rFonts w:ascii="Calibri Light" w:hAnsi="Calibri Light"/>
                <w:b w:val="0"/>
              </w:rPr>
              <w:t>de</w:t>
            </w:r>
            <w:r w:rsidR="000C6166" w:rsidRPr="008043DA">
              <w:rPr>
                <w:rFonts w:ascii="Calibri Light" w:hAnsi="Calibri Light"/>
                <w:b w:val="0"/>
              </w:rPr>
              <w:t xml:space="preserve"> uso </w:t>
            </w:r>
            <w:r w:rsidR="00287C06" w:rsidRPr="008043DA">
              <w:rPr>
                <w:rFonts w:ascii="Calibri Light" w:hAnsi="Calibri Light"/>
                <w:b w:val="0"/>
              </w:rPr>
              <w:t>sistemático de la desaparición forzada como mecanismo de represión</w:t>
            </w:r>
            <w:r w:rsidR="006C34E2" w:rsidRPr="008043DA">
              <w:rPr>
                <w:rFonts w:ascii="Calibri Light" w:hAnsi="Calibri Light"/>
                <w:b w:val="0"/>
              </w:rPr>
              <w:t xml:space="preserve">, </w:t>
            </w:r>
            <w:r w:rsidR="00287C06" w:rsidRPr="008043DA">
              <w:rPr>
                <w:rFonts w:ascii="Calibri Light" w:hAnsi="Calibri Light"/>
                <w:b w:val="0"/>
              </w:rPr>
              <w:t>un aparato organizado para el encubrimiento</w:t>
            </w:r>
            <w:r w:rsidR="006C34E2" w:rsidRPr="008043DA">
              <w:rPr>
                <w:rFonts w:ascii="Calibri Light" w:hAnsi="Calibri Light"/>
                <w:b w:val="0"/>
              </w:rPr>
              <w:t>, y</w:t>
            </w:r>
            <w:r w:rsidR="002853AB" w:rsidRPr="008043DA">
              <w:rPr>
                <w:rFonts w:ascii="Calibri Light" w:hAnsi="Calibri Light"/>
                <w:b w:val="0"/>
              </w:rPr>
              <w:t xml:space="preserve"> varios</w:t>
            </w:r>
            <w:r w:rsidR="006C34E2" w:rsidRPr="008043DA">
              <w:rPr>
                <w:rFonts w:ascii="Calibri Light" w:hAnsi="Calibri Light"/>
                <w:b w:val="0"/>
              </w:rPr>
              <w:t xml:space="preserve"> obstáculos en la investigación</w:t>
            </w:r>
            <w:r w:rsidR="002853AB" w:rsidRPr="008043DA">
              <w:rPr>
                <w:rFonts w:ascii="Calibri Light" w:hAnsi="Calibri Light"/>
                <w:b w:val="0"/>
              </w:rPr>
              <w:t>, como el</w:t>
            </w:r>
            <w:r w:rsidR="00B00F1C" w:rsidRPr="008043DA">
              <w:rPr>
                <w:rFonts w:ascii="Calibri Light" w:hAnsi="Calibri Light"/>
                <w:b w:val="0"/>
              </w:rPr>
              <w:t xml:space="preserve"> </w:t>
            </w:r>
            <w:r w:rsidR="000C6166" w:rsidRPr="008043DA">
              <w:rPr>
                <w:rFonts w:ascii="Calibri Light" w:hAnsi="Calibri Light"/>
                <w:b w:val="0"/>
              </w:rPr>
              <w:t>“pacto de silencio”</w:t>
            </w:r>
            <w:r w:rsidR="00D03BA1" w:rsidRPr="008043DA">
              <w:rPr>
                <w:rFonts w:ascii="Calibri Light" w:hAnsi="Calibri Light"/>
                <w:b w:val="0"/>
              </w:rPr>
              <w:t xml:space="preserve"> y</w:t>
            </w:r>
            <w:r w:rsidR="000C6166" w:rsidRPr="008043DA">
              <w:rPr>
                <w:rFonts w:ascii="Calibri Light" w:hAnsi="Calibri Light"/>
                <w:b w:val="0"/>
              </w:rPr>
              <w:t xml:space="preserve"> </w:t>
            </w:r>
            <w:r w:rsidR="002853AB" w:rsidRPr="008043DA">
              <w:rPr>
                <w:rFonts w:ascii="Calibri Light" w:hAnsi="Calibri Light"/>
                <w:b w:val="0"/>
              </w:rPr>
              <w:t xml:space="preserve">las </w:t>
            </w:r>
            <w:r w:rsidR="000C6166" w:rsidRPr="008043DA">
              <w:rPr>
                <w:rFonts w:ascii="Calibri Light" w:hAnsi="Calibri Light"/>
                <w:b w:val="0"/>
              </w:rPr>
              <w:t xml:space="preserve">contradicciones </w:t>
            </w:r>
            <w:r w:rsidR="00B00F1C" w:rsidRPr="008043DA">
              <w:rPr>
                <w:rFonts w:ascii="Calibri Light" w:hAnsi="Calibri Light"/>
                <w:b w:val="0"/>
              </w:rPr>
              <w:t>en los testimonios de funcionarios</w:t>
            </w:r>
            <w:r w:rsidR="008306D3" w:rsidRPr="008043DA">
              <w:rPr>
                <w:rFonts w:ascii="Calibri Light" w:hAnsi="Calibri Light"/>
                <w:b w:val="0"/>
              </w:rPr>
              <w:t>.</w:t>
            </w:r>
            <w:r w:rsidR="00B00F1C" w:rsidRPr="008043DA">
              <w:rPr>
                <w:rFonts w:ascii="Calibri Light" w:hAnsi="Calibri Light"/>
                <w:b w:val="0"/>
              </w:rPr>
              <w:t xml:space="preserve"> Ante ello, determinó que hubo desaparición forzada y, por tanto, se violaron los derechos antes señalados</w:t>
            </w:r>
            <w:r w:rsidR="00AD0980" w:rsidRPr="008043DA">
              <w:rPr>
                <w:rFonts w:ascii="Calibri Light" w:hAnsi="Calibri Light"/>
                <w:b w:val="0"/>
              </w:rPr>
              <w:t xml:space="preserve">. </w:t>
            </w:r>
            <w:r w:rsidR="00D03BA1" w:rsidRPr="008043DA">
              <w:rPr>
                <w:rFonts w:ascii="Calibri Light" w:hAnsi="Calibri Light"/>
                <w:b w:val="0"/>
              </w:rPr>
              <w:t>De esta forma</w:t>
            </w:r>
            <w:r w:rsidR="00FE0FB7" w:rsidRPr="008043DA">
              <w:rPr>
                <w:rFonts w:ascii="Calibri Light" w:hAnsi="Calibri Light"/>
                <w:b w:val="0"/>
              </w:rPr>
              <w:t>, la CIDH concluyó que el Estado boliviano había</w:t>
            </w:r>
            <w:r w:rsidR="00E3729F" w:rsidRPr="008043DA">
              <w:rPr>
                <w:rFonts w:ascii="Calibri Light" w:hAnsi="Calibri Light"/>
                <w:b w:val="0"/>
              </w:rPr>
              <w:t xml:space="preserve"> </w:t>
            </w:r>
            <w:r w:rsidR="00FE0FB7" w:rsidRPr="008043DA">
              <w:rPr>
                <w:rFonts w:ascii="Calibri Light" w:hAnsi="Calibri Light"/>
                <w:b w:val="0"/>
              </w:rPr>
              <w:t xml:space="preserve">violado y continúa violando los artículos 3, 4.1, 5.1, 5.2, 7.1, 8.1 y 25.1 de la CADH, en relación con el artículo 1.1, en perjuicio del señor Flores. Asimismo, </w:t>
            </w:r>
            <w:r w:rsidR="003E1555">
              <w:rPr>
                <w:rFonts w:ascii="Calibri Light" w:hAnsi="Calibri Light"/>
                <w:b w:val="0"/>
              </w:rPr>
              <w:t xml:space="preserve">determinó que </w:t>
            </w:r>
            <w:r w:rsidR="00625CDF">
              <w:rPr>
                <w:rFonts w:ascii="Calibri Light" w:hAnsi="Calibri Light"/>
                <w:b w:val="0"/>
              </w:rPr>
              <w:t>había violado los artículos I.</w:t>
            </w:r>
            <w:r w:rsidR="00FE0FB7" w:rsidRPr="008043DA">
              <w:rPr>
                <w:rFonts w:ascii="Calibri Light" w:hAnsi="Calibri Light"/>
                <w:b w:val="0"/>
              </w:rPr>
              <w:t>a) y b) de la CIDFP, que establecen la prohibición de la desaparición forzada de personas y la obligación de sancionar a los responsables.</w:t>
            </w:r>
          </w:p>
          <w:p w14:paraId="249560D3" w14:textId="77777777" w:rsidR="00FE0FB7" w:rsidRPr="008043DA" w:rsidRDefault="00FE0FB7" w:rsidP="00162881">
            <w:pPr>
              <w:jc w:val="both"/>
              <w:rPr>
                <w:rFonts w:ascii="Calibri Light" w:hAnsi="Calibri Light"/>
                <w:b w:val="0"/>
              </w:rPr>
            </w:pPr>
          </w:p>
          <w:p w14:paraId="2C3EDC5B" w14:textId="2052D947" w:rsidR="00672538" w:rsidRPr="008043DA" w:rsidRDefault="00373D61" w:rsidP="00FF34AE">
            <w:pPr>
              <w:jc w:val="both"/>
              <w:rPr>
                <w:rFonts w:ascii="Calibri Light" w:hAnsi="Calibri Light"/>
                <w:b w:val="0"/>
                <w:highlight w:val="yellow"/>
              </w:rPr>
            </w:pPr>
            <w:r w:rsidRPr="008043DA">
              <w:rPr>
                <w:rFonts w:ascii="Calibri Light" w:hAnsi="Calibri Light"/>
              </w:rPr>
              <w:t>Derechos políticos y libertad de asociación (artículos 23 y 16 de la CADH)</w:t>
            </w:r>
          </w:p>
          <w:p w14:paraId="25664BF7" w14:textId="77777777" w:rsidR="00373D61" w:rsidRPr="008043DA" w:rsidRDefault="00373D61" w:rsidP="00266935">
            <w:pPr>
              <w:jc w:val="both"/>
              <w:rPr>
                <w:rFonts w:ascii="Calibri Light" w:hAnsi="Calibri Light"/>
                <w:b w:val="0"/>
              </w:rPr>
            </w:pPr>
          </w:p>
          <w:p w14:paraId="4D1560DD" w14:textId="66ED0BE5" w:rsidR="007F73E0" w:rsidRPr="008043DA" w:rsidRDefault="008C578D" w:rsidP="008C578D">
            <w:pPr>
              <w:jc w:val="both"/>
              <w:rPr>
                <w:rFonts w:ascii="Calibri Light" w:hAnsi="Calibri Light" w:cs="Calibri Light"/>
                <w:b w:val="0"/>
              </w:rPr>
            </w:pPr>
            <w:r w:rsidRPr="008043DA">
              <w:rPr>
                <w:rFonts w:ascii="Calibri Light" w:hAnsi="Calibri Light" w:cs="Calibri Light"/>
                <w:b w:val="0"/>
              </w:rPr>
              <w:t>La C</w:t>
            </w:r>
            <w:r w:rsidR="00EE55FB">
              <w:rPr>
                <w:rFonts w:ascii="Calibri Light" w:hAnsi="Calibri Light" w:cs="Calibri Light"/>
                <w:b w:val="0"/>
              </w:rPr>
              <w:t>I</w:t>
            </w:r>
            <w:r w:rsidRPr="008043DA">
              <w:rPr>
                <w:rFonts w:ascii="Calibri Light" w:hAnsi="Calibri Light" w:cs="Calibri Light"/>
                <w:b w:val="0"/>
              </w:rPr>
              <w:t>DH</w:t>
            </w:r>
            <w:r w:rsidR="00EE55FB">
              <w:rPr>
                <w:rFonts w:ascii="Calibri Light" w:hAnsi="Calibri Light" w:cs="Calibri Light"/>
                <w:b w:val="0"/>
              </w:rPr>
              <w:t xml:space="preserve"> y la Corte IDH</w:t>
            </w:r>
            <w:r w:rsidRPr="008043DA">
              <w:rPr>
                <w:rFonts w:ascii="Calibri Light" w:hAnsi="Calibri Light" w:cs="Calibri Light"/>
                <w:b w:val="0"/>
              </w:rPr>
              <w:t xml:space="preserve"> </w:t>
            </w:r>
            <w:r w:rsidR="006C34E2" w:rsidRPr="008043DA">
              <w:rPr>
                <w:rFonts w:ascii="Calibri Light" w:hAnsi="Calibri Light" w:cs="Calibri Light"/>
                <w:b w:val="0"/>
              </w:rPr>
              <w:t>ha</w:t>
            </w:r>
            <w:r w:rsidR="00EE55FB">
              <w:rPr>
                <w:rFonts w:ascii="Calibri Light" w:hAnsi="Calibri Light" w:cs="Calibri Light"/>
                <w:b w:val="0"/>
              </w:rPr>
              <w:t>n</w:t>
            </w:r>
            <w:r w:rsidR="006C34E2" w:rsidRPr="008043DA">
              <w:rPr>
                <w:rFonts w:ascii="Calibri Light" w:hAnsi="Calibri Light" w:cs="Calibri Light"/>
                <w:b w:val="0"/>
              </w:rPr>
              <w:t xml:space="preserve"> afirmado que e</w:t>
            </w:r>
            <w:r w:rsidRPr="008043DA">
              <w:rPr>
                <w:rFonts w:ascii="Calibri Light" w:hAnsi="Calibri Light" w:cs="Calibri Light"/>
                <w:b w:val="0"/>
              </w:rPr>
              <w:t xml:space="preserve">l Estado debe adoptar medidas para garantizar </w:t>
            </w:r>
            <w:r w:rsidR="006C34E2" w:rsidRPr="008043DA">
              <w:rPr>
                <w:rFonts w:ascii="Calibri Light" w:hAnsi="Calibri Light" w:cs="Calibri Light"/>
                <w:b w:val="0"/>
              </w:rPr>
              <w:t>el</w:t>
            </w:r>
            <w:r w:rsidRPr="008043DA">
              <w:rPr>
                <w:rFonts w:ascii="Calibri Light" w:hAnsi="Calibri Light" w:cs="Calibri Light"/>
                <w:b w:val="0"/>
              </w:rPr>
              <w:t xml:space="preserve"> ejercicio efectivo</w:t>
            </w:r>
            <w:r w:rsidR="006C34E2" w:rsidRPr="008043DA">
              <w:rPr>
                <w:rFonts w:ascii="Calibri Light" w:hAnsi="Calibri Light" w:cs="Calibri Light"/>
                <w:b w:val="0"/>
              </w:rPr>
              <w:t xml:space="preserve"> de los derechos políticos</w:t>
            </w:r>
            <w:r w:rsidRPr="008043DA">
              <w:rPr>
                <w:rFonts w:ascii="Calibri Light" w:hAnsi="Calibri Light" w:cs="Calibri Light"/>
                <w:b w:val="0"/>
              </w:rPr>
              <w:t xml:space="preserve">, tomando en cuenta la situación de debilidad de los integrantes de ciertos grupos sociales. Por otro lado, el derecho a asociarse libremente con fines ideológicos o políticos, </w:t>
            </w:r>
            <w:r w:rsidR="008043DA">
              <w:rPr>
                <w:rFonts w:ascii="Calibri Light" w:hAnsi="Calibri Light" w:cs="Calibri Light"/>
                <w:b w:val="0"/>
              </w:rPr>
              <w:t>implica obligaciones negativas</w:t>
            </w:r>
            <w:r w:rsidR="003E1555">
              <w:rPr>
                <w:rFonts w:ascii="Calibri Light" w:hAnsi="Calibri Light" w:cs="Calibri Light"/>
                <w:b w:val="0"/>
              </w:rPr>
              <w:t>, como el deber no</w:t>
            </w:r>
            <w:r w:rsidR="008043DA">
              <w:rPr>
                <w:rFonts w:ascii="Calibri Light" w:hAnsi="Calibri Light" w:cs="Calibri Light"/>
                <w:b w:val="0"/>
              </w:rPr>
              <w:t xml:space="preserve"> intervención de autoridades públicas</w:t>
            </w:r>
            <w:r w:rsidR="003E1555">
              <w:rPr>
                <w:rFonts w:ascii="Calibri Light" w:hAnsi="Calibri Light" w:cs="Calibri Light"/>
                <w:b w:val="0"/>
              </w:rPr>
              <w:t>,</w:t>
            </w:r>
            <w:r w:rsidR="008043DA">
              <w:rPr>
                <w:rFonts w:ascii="Calibri Light" w:hAnsi="Calibri Light" w:cs="Calibri Light"/>
                <w:b w:val="0"/>
              </w:rPr>
              <w:t xml:space="preserve"> y </w:t>
            </w:r>
            <w:r w:rsidRPr="008043DA">
              <w:rPr>
                <w:rFonts w:ascii="Calibri Light" w:hAnsi="Calibri Light" w:cs="Calibri Light"/>
                <w:b w:val="0"/>
              </w:rPr>
              <w:t>positivas</w:t>
            </w:r>
            <w:r w:rsidR="003E1555">
              <w:rPr>
                <w:rFonts w:ascii="Calibri Light" w:hAnsi="Calibri Light" w:cs="Calibri Light"/>
                <w:b w:val="0"/>
              </w:rPr>
              <w:t xml:space="preserve">, como la de </w:t>
            </w:r>
            <w:r w:rsidR="003E1555" w:rsidRPr="008043DA">
              <w:rPr>
                <w:rFonts w:ascii="Calibri Light" w:hAnsi="Calibri Light" w:cs="Calibri Light"/>
                <w:b w:val="0"/>
              </w:rPr>
              <w:t>preven</w:t>
            </w:r>
            <w:r w:rsidR="003E1555">
              <w:rPr>
                <w:rFonts w:ascii="Calibri Light" w:hAnsi="Calibri Light" w:cs="Calibri Light"/>
                <w:b w:val="0"/>
              </w:rPr>
              <w:t xml:space="preserve">ir </w:t>
            </w:r>
            <w:r w:rsidRPr="008043DA">
              <w:rPr>
                <w:rFonts w:ascii="Calibri Light" w:hAnsi="Calibri Light" w:cs="Calibri Light"/>
                <w:b w:val="0"/>
              </w:rPr>
              <w:t xml:space="preserve">atentados, </w:t>
            </w:r>
            <w:r w:rsidR="003E1555">
              <w:rPr>
                <w:rFonts w:ascii="Calibri Light" w:hAnsi="Calibri Light" w:cs="Calibri Light"/>
                <w:b w:val="0"/>
              </w:rPr>
              <w:t xml:space="preserve">proteger </w:t>
            </w:r>
            <w:r w:rsidRPr="008043DA">
              <w:rPr>
                <w:rFonts w:ascii="Calibri Light" w:hAnsi="Calibri Light" w:cs="Calibri Light"/>
                <w:b w:val="0"/>
              </w:rPr>
              <w:t xml:space="preserve">a quienes ejercen </w:t>
            </w:r>
            <w:r w:rsidR="002E29BF">
              <w:rPr>
                <w:rFonts w:ascii="Calibri Light" w:hAnsi="Calibri Light" w:cs="Calibri Light"/>
                <w:b w:val="0"/>
              </w:rPr>
              <w:t xml:space="preserve">este derecho </w:t>
            </w:r>
            <w:r w:rsidR="008043DA">
              <w:rPr>
                <w:rFonts w:ascii="Calibri Light" w:hAnsi="Calibri Light" w:cs="Calibri Light"/>
                <w:b w:val="0"/>
              </w:rPr>
              <w:t xml:space="preserve">e </w:t>
            </w:r>
            <w:r w:rsidR="003E1555">
              <w:rPr>
                <w:rFonts w:ascii="Calibri Light" w:hAnsi="Calibri Light" w:cs="Calibri Light"/>
                <w:b w:val="0"/>
              </w:rPr>
              <w:t xml:space="preserve">investigar </w:t>
            </w:r>
            <w:r w:rsidRPr="008043DA">
              <w:rPr>
                <w:rFonts w:ascii="Calibri Light" w:hAnsi="Calibri Light" w:cs="Calibri Light"/>
                <w:b w:val="0"/>
              </w:rPr>
              <w:t xml:space="preserve">las violaciones de dicha libertad. </w:t>
            </w:r>
            <w:r w:rsidR="00B00F1C" w:rsidRPr="008043DA">
              <w:rPr>
                <w:rFonts w:ascii="Calibri Light" w:hAnsi="Calibri Light" w:cs="Calibri Light"/>
                <w:b w:val="0"/>
              </w:rPr>
              <w:t>Este derecho</w:t>
            </w:r>
            <w:r w:rsidR="000D0FFB" w:rsidRPr="008043DA">
              <w:rPr>
                <w:rFonts w:ascii="Calibri Light" w:hAnsi="Calibri Light" w:cs="Calibri Light"/>
                <w:b w:val="0"/>
              </w:rPr>
              <w:t xml:space="preserve"> </w:t>
            </w:r>
            <w:r w:rsidRPr="008043DA">
              <w:rPr>
                <w:rFonts w:ascii="Calibri Light" w:hAnsi="Calibri Light" w:cs="Calibri Light"/>
                <w:b w:val="0"/>
              </w:rPr>
              <w:t>s</w:t>
            </w:r>
            <w:r w:rsidR="00AC251C" w:rsidRPr="008043DA">
              <w:rPr>
                <w:rFonts w:ascii="Calibri Light" w:hAnsi="Calibri Light" w:cs="Calibri Light"/>
                <w:b w:val="0"/>
              </w:rPr>
              <w:t>o</w:t>
            </w:r>
            <w:r w:rsidRPr="008043DA">
              <w:rPr>
                <w:rFonts w:ascii="Calibri Light" w:hAnsi="Calibri Light" w:cs="Calibri Light"/>
                <w:b w:val="0"/>
              </w:rPr>
              <w:t xml:space="preserve">lo puede ejercerse </w:t>
            </w:r>
            <w:r w:rsidR="000D0FFB" w:rsidRPr="008043DA">
              <w:rPr>
                <w:rFonts w:ascii="Calibri Light" w:hAnsi="Calibri Light" w:cs="Calibri Light"/>
                <w:b w:val="0"/>
              </w:rPr>
              <w:t>cuando</w:t>
            </w:r>
            <w:r w:rsidRPr="008043DA">
              <w:rPr>
                <w:rFonts w:ascii="Calibri Light" w:hAnsi="Calibri Light" w:cs="Calibri Light"/>
                <w:b w:val="0"/>
              </w:rPr>
              <w:t xml:space="preserve"> se respete y garantice plenamente los derechos humanos, en particular los relativos a la vida y a la seguridad de la persona.</w:t>
            </w:r>
          </w:p>
          <w:p w14:paraId="30D2EB89" w14:textId="77777777" w:rsidR="008C578D" w:rsidRPr="008043DA" w:rsidRDefault="008C578D" w:rsidP="008C578D">
            <w:pPr>
              <w:jc w:val="both"/>
              <w:rPr>
                <w:rFonts w:ascii="Calibri Light" w:hAnsi="Calibri Light" w:cs="Calibri Light"/>
                <w:b w:val="0"/>
              </w:rPr>
            </w:pPr>
          </w:p>
          <w:p w14:paraId="39C58C0F" w14:textId="68A3D6B6" w:rsidR="007F73E0" w:rsidRPr="008043DA" w:rsidRDefault="00C534F7" w:rsidP="00C534F7">
            <w:pPr>
              <w:jc w:val="both"/>
              <w:rPr>
                <w:rFonts w:ascii="Calibri Light" w:hAnsi="Calibri Light" w:cs="Calibri Light"/>
                <w:b w:val="0"/>
              </w:rPr>
            </w:pPr>
            <w:r w:rsidRPr="008043DA">
              <w:rPr>
                <w:rFonts w:ascii="Calibri Light" w:hAnsi="Calibri Light" w:cs="Calibri Light"/>
                <w:b w:val="0"/>
              </w:rPr>
              <w:t>En e</w:t>
            </w:r>
            <w:r w:rsidR="00625CDF">
              <w:rPr>
                <w:rFonts w:ascii="Calibri Light" w:hAnsi="Calibri Light" w:cs="Calibri Light"/>
                <w:b w:val="0"/>
              </w:rPr>
              <w:t>ste</w:t>
            </w:r>
            <w:r w:rsidR="00B00F1C" w:rsidRPr="008043DA">
              <w:rPr>
                <w:rFonts w:ascii="Calibri Light" w:hAnsi="Calibri Light" w:cs="Calibri Light"/>
                <w:b w:val="0"/>
              </w:rPr>
              <w:t xml:space="preserve"> </w:t>
            </w:r>
            <w:r w:rsidRPr="008043DA">
              <w:rPr>
                <w:rFonts w:ascii="Calibri Light" w:hAnsi="Calibri Light" w:cs="Calibri Light"/>
                <w:b w:val="0"/>
              </w:rPr>
              <w:t xml:space="preserve">caso, el señor Flores </w:t>
            </w:r>
            <w:r w:rsidR="00AD0980" w:rsidRPr="008043DA">
              <w:rPr>
                <w:rFonts w:ascii="Calibri Light" w:hAnsi="Calibri Light" w:cs="Calibri Light"/>
                <w:b w:val="0"/>
              </w:rPr>
              <w:t>era</w:t>
            </w:r>
            <w:r w:rsidRPr="008043DA">
              <w:rPr>
                <w:rFonts w:ascii="Calibri Light" w:hAnsi="Calibri Light" w:cs="Calibri Light"/>
                <w:b w:val="0"/>
              </w:rPr>
              <w:t xml:space="preserve"> </w:t>
            </w:r>
            <w:r w:rsidR="00AD0980" w:rsidRPr="008043DA">
              <w:rPr>
                <w:rFonts w:ascii="Calibri Light" w:hAnsi="Calibri Light" w:cs="Calibri Light"/>
                <w:b w:val="0"/>
              </w:rPr>
              <w:t xml:space="preserve">un </w:t>
            </w:r>
            <w:r w:rsidRPr="008043DA">
              <w:rPr>
                <w:rFonts w:ascii="Calibri Light" w:hAnsi="Calibri Light" w:cs="Calibri Light"/>
                <w:b w:val="0"/>
              </w:rPr>
              <w:t>di</w:t>
            </w:r>
            <w:r w:rsidR="00AD0980" w:rsidRPr="008043DA">
              <w:rPr>
                <w:rFonts w:ascii="Calibri Light" w:hAnsi="Calibri Light" w:cs="Calibri Light"/>
                <w:b w:val="0"/>
              </w:rPr>
              <w:t>putado suplente en el Congreso</w:t>
            </w:r>
            <w:r w:rsidR="0038064A" w:rsidRPr="008043DA">
              <w:rPr>
                <w:rFonts w:ascii="Calibri Light" w:hAnsi="Calibri Light" w:cs="Calibri Light"/>
                <w:b w:val="0"/>
              </w:rPr>
              <w:t>, que participaba</w:t>
            </w:r>
            <w:r w:rsidR="000D0FFB" w:rsidRPr="008043DA">
              <w:rPr>
                <w:rFonts w:ascii="Calibri Light" w:hAnsi="Calibri Light" w:cs="Calibri Light"/>
                <w:b w:val="0"/>
              </w:rPr>
              <w:t xml:space="preserve"> en una reunión de</w:t>
            </w:r>
            <w:r w:rsidR="0038064A" w:rsidRPr="008043DA">
              <w:rPr>
                <w:rFonts w:ascii="Calibri Light" w:hAnsi="Calibri Light" w:cs="Calibri Light"/>
                <w:b w:val="0"/>
              </w:rPr>
              <w:t>l</w:t>
            </w:r>
            <w:r w:rsidR="000D0FFB" w:rsidRPr="008043DA">
              <w:rPr>
                <w:rFonts w:ascii="Calibri Light" w:hAnsi="Calibri Light" w:cs="Calibri Light"/>
                <w:b w:val="0"/>
              </w:rPr>
              <w:t xml:space="preserve"> </w:t>
            </w:r>
            <w:r w:rsidR="00D8123E">
              <w:rPr>
                <w:rFonts w:ascii="Calibri Light" w:hAnsi="Calibri Light" w:cs="Calibri Light"/>
                <w:b w:val="0"/>
              </w:rPr>
              <w:t>CONADE</w:t>
            </w:r>
            <w:r w:rsidR="0038064A" w:rsidRPr="008043DA">
              <w:rPr>
                <w:rFonts w:ascii="Calibri Light" w:hAnsi="Calibri Light" w:cs="Calibri Light"/>
                <w:b w:val="0"/>
              </w:rPr>
              <w:t xml:space="preserve"> </w:t>
            </w:r>
            <w:r w:rsidR="000D0FFB" w:rsidRPr="008043DA">
              <w:rPr>
                <w:rFonts w:ascii="Calibri Light" w:hAnsi="Calibri Light" w:cs="Calibri Light"/>
                <w:b w:val="0"/>
              </w:rPr>
              <w:t>c</w:t>
            </w:r>
            <w:r w:rsidRPr="008043DA">
              <w:rPr>
                <w:rFonts w:ascii="Calibri Light" w:hAnsi="Calibri Light" w:cs="Calibri Light"/>
                <w:b w:val="0"/>
              </w:rPr>
              <w:t xml:space="preserve">uando se produjo el asalto armado a la COB. La CIDH contempló este </w:t>
            </w:r>
            <w:r w:rsidRPr="008043DA">
              <w:rPr>
                <w:rFonts w:ascii="Calibri Light" w:hAnsi="Calibri Light" w:cs="Calibri Light"/>
                <w:b w:val="0"/>
              </w:rPr>
              <w:lastRenderedPageBreak/>
              <w:t xml:space="preserve">hecho en el contexto </w:t>
            </w:r>
            <w:r w:rsidR="003E1555">
              <w:rPr>
                <w:rFonts w:ascii="Calibri Light" w:hAnsi="Calibri Light" w:cs="Calibri Light"/>
                <w:b w:val="0"/>
              </w:rPr>
              <w:t>de una</w:t>
            </w:r>
            <w:r w:rsidRPr="008043DA">
              <w:rPr>
                <w:rFonts w:ascii="Calibri Light" w:hAnsi="Calibri Light" w:cs="Calibri Light"/>
                <w:b w:val="0"/>
              </w:rPr>
              <w:t xml:space="preserve"> política de represión contra actor</w:t>
            </w:r>
            <w:r w:rsidR="008043DA">
              <w:rPr>
                <w:rFonts w:ascii="Calibri Light" w:hAnsi="Calibri Light" w:cs="Calibri Light"/>
                <w:b w:val="0"/>
              </w:rPr>
              <w:t>es</w:t>
            </w:r>
            <w:r w:rsidRPr="008043DA">
              <w:rPr>
                <w:rFonts w:ascii="Calibri Light" w:hAnsi="Calibri Light" w:cs="Calibri Light"/>
                <w:b w:val="0"/>
              </w:rPr>
              <w:t xml:space="preserve"> que se opusiera</w:t>
            </w:r>
            <w:r w:rsidR="003E1555">
              <w:rPr>
                <w:rFonts w:ascii="Calibri Light" w:hAnsi="Calibri Light" w:cs="Calibri Light"/>
                <w:b w:val="0"/>
              </w:rPr>
              <w:t>n</w:t>
            </w:r>
            <w:r w:rsidRPr="008043DA">
              <w:rPr>
                <w:rFonts w:ascii="Calibri Light" w:hAnsi="Calibri Light" w:cs="Calibri Light"/>
                <w:b w:val="0"/>
              </w:rPr>
              <w:t xml:space="preserve"> </w:t>
            </w:r>
            <w:r w:rsidR="000D0FFB" w:rsidRPr="008043DA">
              <w:rPr>
                <w:rFonts w:ascii="Calibri Light" w:hAnsi="Calibri Light" w:cs="Calibri Light"/>
                <w:b w:val="0"/>
              </w:rPr>
              <w:t>a</w:t>
            </w:r>
            <w:r w:rsidRPr="008043DA">
              <w:rPr>
                <w:rFonts w:ascii="Calibri Light" w:hAnsi="Calibri Light" w:cs="Calibri Light"/>
                <w:b w:val="0"/>
              </w:rPr>
              <w:t xml:space="preserve"> la Junta Militar instaurada. Así, consideró que </w:t>
            </w:r>
            <w:r w:rsidR="00B00F1C" w:rsidRPr="008043DA">
              <w:rPr>
                <w:rFonts w:ascii="Calibri Light" w:hAnsi="Calibri Light" w:cs="Calibri Light"/>
                <w:b w:val="0"/>
              </w:rPr>
              <w:t>su</w:t>
            </w:r>
            <w:r w:rsidRPr="008043DA">
              <w:rPr>
                <w:rFonts w:ascii="Calibri Light" w:hAnsi="Calibri Light" w:cs="Calibri Light"/>
                <w:b w:val="0"/>
              </w:rPr>
              <w:t xml:space="preserve"> desaparición tuvo origen en la identificación </w:t>
            </w:r>
            <w:r w:rsidR="002E29BF">
              <w:rPr>
                <w:rFonts w:ascii="Calibri Light" w:hAnsi="Calibri Light" w:cs="Calibri Light"/>
                <w:b w:val="0"/>
              </w:rPr>
              <w:t xml:space="preserve">del señor Flores </w:t>
            </w:r>
            <w:r w:rsidRPr="008043DA">
              <w:rPr>
                <w:rFonts w:ascii="Calibri Light" w:hAnsi="Calibri Light" w:cs="Calibri Light"/>
                <w:b w:val="0"/>
              </w:rPr>
              <w:t>por el gobierno de facto y los cuerpos de seguridad</w:t>
            </w:r>
            <w:r w:rsidR="008043DA">
              <w:rPr>
                <w:rFonts w:ascii="Calibri Light" w:hAnsi="Calibri Light" w:cs="Calibri Light"/>
                <w:b w:val="0"/>
              </w:rPr>
              <w:t>,</w:t>
            </w:r>
            <w:r w:rsidRPr="008043DA">
              <w:rPr>
                <w:rFonts w:ascii="Calibri Light" w:hAnsi="Calibri Light" w:cs="Calibri Light"/>
                <w:b w:val="0"/>
              </w:rPr>
              <w:t xml:space="preserve"> que actuaron para reprimir las actividades </w:t>
            </w:r>
            <w:r w:rsidR="00B00F1C" w:rsidRPr="008043DA">
              <w:rPr>
                <w:rFonts w:ascii="Calibri Light" w:hAnsi="Calibri Light" w:cs="Calibri Light"/>
                <w:b w:val="0"/>
              </w:rPr>
              <w:t>en la COB</w:t>
            </w:r>
            <w:r w:rsidR="008043DA">
              <w:rPr>
                <w:rFonts w:ascii="Calibri Light" w:hAnsi="Calibri Light" w:cs="Calibri Light"/>
                <w:b w:val="0"/>
              </w:rPr>
              <w:t>:</w:t>
            </w:r>
            <w:r w:rsidR="00B00F1C" w:rsidRPr="008043DA">
              <w:rPr>
                <w:rFonts w:ascii="Calibri Light" w:hAnsi="Calibri Light" w:cs="Calibri Light"/>
                <w:b w:val="0"/>
              </w:rPr>
              <w:t xml:space="preserve"> </w:t>
            </w:r>
            <w:r w:rsidR="005A1F7A">
              <w:rPr>
                <w:rFonts w:ascii="Calibri Light" w:hAnsi="Calibri Light" w:cs="Calibri Light"/>
                <w:b w:val="0"/>
              </w:rPr>
              <w:t xml:space="preserve">el móvil del ataque era afectar </w:t>
            </w:r>
            <w:r w:rsidR="00B00F1C" w:rsidRPr="008043DA">
              <w:rPr>
                <w:rFonts w:ascii="Calibri Light" w:hAnsi="Calibri Light" w:cs="Calibri Light"/>
                <w:b w:val="0"/>
              </w:rPr>
              <w:t>el</w:t>
            </w:r>
            <w:r w:rsidRPr="008043DA">
              <w:rPr>
                <w:rFonts w:ascii="Calibri Light" w:hAnsi="Calibri Light" w:cs="Calibri Light"/>
                <w:b w:val="0"/>
              </w:rPr>
              <w:t xml:space="preserve"> ejercicio de los derechos políticos y la libertad de asociación</w:t>
            </w:r>
            <w:r w:rsidR="005A1F7A">
              <w:rPr>
                <w:rFonts w:ascii="Calibri Light" w:hAnsi="Calibri Light" w:cs="Calibri Light"/>
                <w:b w:val="0"/>
              </w:rPr>
              <w:t>, causando represión</w:t>
            </w:r>
            <w:r w:rsidRPr="008043DA">
              <w:rPr>
                <w:rFonts w:ascii="Calibri Light" w:hAnsi="Calibri Light" w:cs="Calibri Light"/>
                <w:b w:val="0"/>
              </w:rPr>
              <w:t xml:space="preserve">. Por ello, la CIDH consideró que el Estado boliviano había violado los artículos 16 y 23 de la CADH, en relación con el artículo 1.1, en perjuicio del señor Flores. </w:t>
            </w:r>
            <w:r w:rsidR="00B601D4" w:rsidRPr="008043DA">
              <w:rPr>
                <w:rFonts w:ascii="Calibri Light" w:hAnsi="Calibri Light" w:cs="Calibri Light"/>
                <w:b w:val="0"/>
              </w:rPr>
              <w:t xml:space="preserve"> </w:t>
            </w:r>
          </w:p>
          <w:p w14:paraId="4AAC9FB1" w14:textId="24552A94" w:rsidR="007F73E0" w:rsidRPr="008043DA" w:rsidRDefault="007F73E0" w:rsidP="007F73E0">
            <w:pPr>
              <w:jc w:val="both"/>
              <w:rPr>
                <w:rFonts w:ascii="Calibri Light" w:hAnsi="Calibri Light"/>
                <w:b w:val="0"/>
                <w:highlight w:val="yellow"/>
              </w:rPr>
            </w:pPr>
          </w:p>
          <w:p w14:paraId="4DE833DE" w14:textId="7B5D0F0A" w:rsidR="00672538" w:rsidRPr="008043DA" w:rsidRDefault="00373D61" w:rsidP="00FF34AE">
            <w:pPr>
              <w:jc w:val="both"/>
              <w:rPr>
                <w:rFonts w:ascii="Calibri Light" w:hAnsi="Calibri Light"/>
              </w:rPr>
            </w:pPr>
            <w:r w:rsidRPr="008043DA">
              <w:rPr>
                <w:rFonts w:ascii="Calibri Light" w:hAnsi="Calibri Light"/>
              </w:rPr>
              <w:t>Derecho a las garantías y la protección judicial (artículos 8 y 25 de la CADH, y artículos I y III de la CIDFP)</w:t>
            </w:r>
          </w:p>
          <w:p w14:paraId="3C16FB3A" w14:textId="77777777" w:rsidR="00373D61" w:rsidRPr="008043DA" w:rsidRDefault="00373D61" w:rsidP="00FF34AE">
            <w:pPr>
              <w:jc w:val="both"/>
              <w:rPr>
                <w:rFonts w:ascii="Calibri Light" w:hAnsi="Calibri Light"/>
                <w:highlight w:val="yellow"/>
              </w:rPr>
            </w:pPr>
          </w:p>
          <w:p w14:paraId="56DCF598" w14:textId="21979AD6" w:rsidR="001A654D" w:rsidRPr="008043DA" w:rsidRDefault="00D03BA1" w:rsidP="001A654D">
            <w:pPr>
              <w:jc w:val="both"/>
              <w:rPr>
                <w:rFonts w:ascii="Calibri Light" w:hAnsi="Calibri Light"/>
                <w:b w:val="0"/>
              </w:rPr>
            </w:pPr>
            <w:r w:rsidRPr="008043DA">
              <w:rPr>
                <w:rFonts w:ascii="Calibri Light" w:hAnsi="Calibri Light"/>
                <w:b w:val="0"/>
              </w:rPr>
              <w:t xml:space="preserve">La CIDH y la Corte IDH han establecido </w:t>
            </w:r>
            <w:r w:rsidR="00AD0980" w:rsidRPr="008043DA">
              <w:rPr>
                <w:rFonts w:ascii="Calibri Light" w:hAnsi="Calibri Light"/>
                <w:b w:val="0"/>
              </w:rPr>
              <w:t xml:space="preserve">que cuando </w:t>
            </w:r>
            <w:r w:rsidR="003E1555">
              <w:rPr>
                <w:rFonts w:ascii="Calibri Light" w:hAnsi="Calibri Light"/>
                <w:b w:val="0"/>
              </w:rPr>
              <w:t>exista una</w:t>
            </w:r>
            <w:r w:rsidR="003E1555" w:rsidRPr="008043DA">
              <w:rPr>
                <w:rFonts w:ascii="Calibri Light" w:hAnsi="Calibri Light"/>
                <w:b w:val="0"/>
              </w:rPr>
              <w:t xml:space="preserve"> </w:t>
            </w:r>
            <w:r w:rsidR="00AD0980" w:rsidRPr="008043DA">
              <w:rPr>
                <w:rFonts w:ascii="Calibri Light" w:hAnsi="Calibri Light"/>
                <w:b w:val="0"/>
              </w:rPr>
              <w:t xml:space="preserve">denuncia </w:t>
            </w:r>
            <w:r w:rsidR="003E1555">
              <w:rPr>
                <w:rFonts w:ascii="Calibri Light" w:hAnsi="Calibri Light"/>
                <w:b w:val="0"/>
              </w:rPr>
              <w:t>por</w:t>
            </w:r>
            <w:r w:rsidR="003E1555" w:rsidRPr="008043DA">
              <w:rPr>
                <w:rFonts w:ascii="Calibri Light" w:hAnsi="Calibri Light"/>
                <w:b w:val="0"/>
              </w:rPr>
              <w:t xml:space="preserve"> </w:t>
            </w:r>
            <w:r w:rsidR="00AD0980" w:rsidRPr="008043DA">
              <w:rPr>
                <w:rFonts w:ascii="Calibri Light" w:hAnsi="Calibri Light"/>
                <w:b w:val="0"/>
              </w:rPr>
              <w:t xml:space="preserve">una </w:t>
            </w:r>
            <w:r w:rsidRPr="008043DA">
              <w:rPr>
                <w:rFonts w:ascii="Calibri Light" w:hAnsi="Calibri Light"/>
                <w:b w:val="0"/>
              </w:rPr>
              <w:t>desaparición</w:t>
            </w:r>
            <w:r w:rsidR="003E1555">
              <w:rPr>
                <w:rFonts w:ascii="Calibri Light" w:hAnsi="Calibri Light"/>
                <w:b w:val="0"/>
              </w:rPr>
              <w:t xml:space="preserve"> forzada</w:t>
            </w:r>
            <w:r w:rsidRPr="008043DA">
              <w:rPr>
                <w:rFonts w:ascii="Calibri Light" w:hAnsi="Calibri Light"/>
                <w:b w:val="0"/>
              </w:rPr>
              <w:t xml:space="preserve"> es </w:t>
            </w:r>
            <w:r w:rsidR="00B75062" w:rsidRPr="008043DA">
              <w:rPr>
                <w:rFonts w:ascii="Calibri Light" w:hAnsi="Calibri Light"/>
                <w:b w:val="0"/>
              </w:rPr>
              <w:t>imprescindible la actuación inmediata de las autoridades fiscales y judiciales</w:t>
            </w:r>
            <w:r w:rsidRPr="008043DA">
              <w:rPr>
                <w:rFonts w:ascii="Calibri Light" w:hAnsi="Calibri Light"/>
                <w:b w:val="0"/>
              </w:rPr>
              <w:t>,</w:t>
            </w:r>
            <w:r w:rsidR="00B75062" w:rsidRPr="008043DA">
              <w:rPr>
                <w:rFonts w:ascii="Calibri Light" w:hAnsi="Calibri Light"/>
                <w:b w:val="0"/>
              </w:rPr>
              <w:t xml:space="preserve"> ordenando medidas oportunas y necesarias dirigidas a la determinación del paradero </w:t>
            </w:r>
            <w:r w:rsidR="00AD0980" w:rsidRPr="008043DA">
              <w:rPr>
                <w:rFonts w:ascii="Calibri Light" w:hAnsi="Calibri Light"/>
                <w:b w:val="0"/>
              </w:rPr>
              <w:t>de la persona</w:t>
            </w:r>
            <w:r w:rsidR="00B75062" w:rsidRPr="008043DA">
              <w:rPr>
                <w:rFonts w:ascii="Calibri Light" w:hAnsi="Calibri Light"/>
                <w:b w:val="0"/>
              </w:rPr>
              <w:t>.</w:t>
            </w:r>
            <w:r w:rsidRPr="008043DA">
              <w:rPr>
                <w:rFonts w:ascii="Calibri Light" w:hAnsi="Calibri Light"/>
                <w:b w:val="0"/>
              </w:rPr>
              <w:t xml:space="preserve"> </w:t>
            </w:r>
            <w:r w:rsidR="00FB379C" w:rsidRPr="008043DA">
              <w:rPr>
                <w:rFonts w:ascii="Calibri Light" w:hAnsi="Calibri Light"/>
                <w:b w:val="0"/>
              </w:rPr>
              <w:t>Las</w:t>
            </w:r>
            <w:r w:rsidR="00B75062" w:rsidRPr="008043DA">
              <w:rPr>
                <w:rFonts w:ascii="Calibri Light" w:hAnsi="Calibri Light"/>
                <w:b w:val="0"/>
              </w:rPr>
              <w:t xml:space="preserve"> autoridades </w:t>
            </w:r>
            <w:r w:rsidR="00FB379C" w:rsidRPr="008043DA">
              <w:rPr>
                <w:rFonts w:ascii="Calibri Light" w:hAnsi="Calibri Light"/>
                <w:b w:val="0"/>
              </w:rPr>
              <w:t>deben iniciar</w:t>
            </w:r>
            <w:r w:rsidR="00B75062" w:rsidRPr="008043DA">
              <w:rPr>
                <w:rFonts w:ascii="Calibri Light" w:hAnsi="Calibri Light"/>
                <w:b w:val="0"/>
              </w:rPr>
              <w:t xml:space="preserve"> </w:t>
            </w:r>
            <w:r w:rsidR="00B75062" w:rsidRPr="008043DA">
              <w:rPr>
                <w:rFonts w:ascii="Calibri Light" w:hAnsi="Calibri Light"/>
                <w:b w:val="0"/>
                <w:i/>
              </w:rPr>
              <w:t>ex officio</w:t>
            </w:r>
            <w:r w:rsidR="00B75062" w:rsidRPr="008043DA">
              <w:rPr>
                <w:rFonts w:ascii="Calibri Light" w:hAnsi="Calibri Light"/>
                <w:b w:val="0"/>
              </w:rPr>
              <w:t xml:space="preserve"> y sin dilación, una investigación seria, imparcial y efectiva por </w:t>
            </w:r>
            <w:r w:rsidRPr="008043DA">
              <w:rPr>
                <w:rFonts w:ascii="Calibri Light" w:hAnsi="Calibri Light"/>
                <w:b w:val="0"/>
              </w:rPr>
              <w:t>todos los medios legales disponibles, y orientada</w:t>
            </w:r>
            <w:r w:rsidR="00B75062" w:rsidRPr="008043DA">
              <w:rPr>
                <w:rFonts w:ascii="Calibri Light" w:hAnsi="Calibri Light"/>
                <w:b w:val="0"/>
              </w:rPr>
              <w:t xml:space="preserve"> a la determinación de la verdad y al enjuiciamiento de </w:t>
            </w:r>
            <w:r w:rsidRPr="008043DA">
              <w:rPr>
                <w:rFonts w:ascii="Calibri Light" w:hAnsi="Calibri Light"/>
                <w:b w:val="0"/>
              </w:rPr>
              <w:t>los responsables.</w:t>
            </w:r>
            <w:r w:rsidR="00B75062" w:rsidRPr="008043DA">
              <w:rPr>
                <w:rFonts w:ascii="Calibri Light" w:hAnsi="Calibri Light"/>
                <w:b w:val="0"/>
              </w:rPr>
              <w:t xml:space="preserve"> Este deber es una obligación de medio y no de resultado</w:t>
            </w:r>
            <w:r w:rsidR="00E6564D">
              <w:rPr>
                <w:rFonts w:ascii="Calibri Light" w:hAnsi="Calibri Light"/>
                <w:b w:val="0"/>
              </w:rPr>
              <w:t xml:space="preserve"> que</w:t>
            </w:r>
            <w:r w:rsidR="00D82302" w:rsidRPr="008043DA">
              <w:rPr>
                <w:rFonts w:ascii="Calibri Light" w:hAnsi="Calibri Light"/>
                <w:b w:val="0"/>
              </w:rPr>
              <w:t xml:space="preserve"> debe cumplirse diligentemente para evitar la impunidad</w:t>
            </w:r>
            <w:r w:rsidR="00E3729F" w:rsidRPr="008043DA">
              <w:rPr>
                <w:rFonts w:ascii="Calibri Light" w:hAnsi="Calibri Light"/>
                <w:b w:val="0"/>
              </w:rPr>
              <w:t>.</w:t>
            </w:r>
            <w:r w:rsidR="00FB379C" w:rsidRPr="008043DA">
              <w:rPr>
                <w:rFonts w:ascii="Calibri Light" w:hAnsi="Calibri Light"/>
                <w:b w:val="0"/>
              </w:rPr>
              <w:t xml:space="preserve"> Por otro lado, l</w:t>
            </w:r>
            <w:r w:rsidR="001A654D" w:rsidRPr="008043DA">
              <w:rPr>
                <w:rFonts w:ascii="Calibri Light" w:hAnsi="Calibri Light"/>
                <w:b w:val="0"/>
              </w:rPr>
              <w:t>a CADH establece el plazo razonable como uno de los elementos del debido proceso</w:t>
            </w:r>
            <w:r w:rsidR="00FB379C" w:rsidRPr="008043DA">
              <w:rPr>
                <w:rFonts w:ascii="Calibri Light" w:hAnsi="Calibri Light"/>
                <w:b w:val="0"/>
              </w:rPr>
              <w:t>, el cual se analiza considerando</w:t>
            </w:r>
            <w:r w:rsidRPr="008043DA">
              <w:rPr>
                <w:rFonts w:ascii="Calibri Light" w:hAnsi="Calibri Light"/>
                <w:b w:val="0"/>
              </w:rPr>
              <w:t>, entre otros</w:t>
            </w:r>
            <w:r w:rsidR="00FB379C" w:rsidRPr="008043DA">
              <w:rPr>
                <w:rFonts w:ascii="Calibri Light" w:hAnsi="Calibri Light"/>
                <w:b w:val="0"/>
              </w:rPr>
              <w:t xml:space="preserve"> criterios</w:t>
            </w:r>
            <w:r w:rsidRPr="008043DA">
              <w:rPr>
                <w:rFonts w:ascii="Calibri Light" w:hAnsi="Calibri Light"/>
                <w:b w:val="0"/>
              </w:rPr>
              <w:t>,</w:t>
            </w:r>
            <w:r w:rsidR="00902182" w:rsidRPr="008043DA">
              <w:rPr>
                <w:rFonts w:ascii="Calibri Light" w:hAnsi="Calibri Light"/>
                <w:b w:val="0"/>
              </w:rPr>
              <w:t xml:space="preserve"> la complejidad del asunto. Por su parte, l</w:t>
            </w:r>
            <w:r w:rsidR="001A654D" w:rsidRPr="008043DA">
              <w:rPr>
                <w:rFonts w:ascii="Calibri Light" w:hAnsi="Calibri Light"/>
                <w:b w:val="0"/>
              </w:rPr>
              <w:t>a Corte IDH ha establecido que una demora prolongada puede constituir por sí misma una violación de las garantías judiciales</w:t>
            </w:r>
            <w:r w:rsidR="00625CDF">
              <w:rPr>
                <w:rFonts w:ascii="Calibri Light" w:hAnsi="Calibri Light"/>
                <w:b w:val="0"/>
              </w:rPr>
              <w:t>;</w:t>
            </w:r>
            <w:r w:rsidR="001A654D" w:rsidRPr="008043DA">
              <w:rPr>
                <w:rFonts w:ascii="Calibri Light" w:hAnsi="Calibri Light"/>
                <w:b w:val="0"/>
              </w:rPr>
              <w:t xml:space="preserve"> por lo cual, corresponde al Estado exponer y probar la razón por la </w:t>
            </w:r>
            <w:r w:rsidR="00FB379C" w:rsidRPr="008043DA">
              <w:rPr>
                <w:rFonts w:ascii="Calibri Light" w:hAnsi="Calibri Light"/>
                <w:b w:val="0"/>
              </w:rPr>
              <w:t>que</w:t>
            </w:r>
            <w:r w:rsidR="001A654D" w:rsidRPr="008043DA">
              <w:rPr>
                <w:rFonts w:ascii="Calibri Light" w:hAnsi="Calibri Light"/>
                <w:b w:val="0"/>
              </w:rPr>
              <w:t xml:space="preserve"> se ha requerido más tiempo del razonable para dictar sentencia definitiva en un caso particular.</w:t>
            </w:r>
          </w:p>
          <w:p w14:paraId="120C2762" w14:textId="6BABD5D5" w:rsidR="00F45EBB" w:rsidRPr="008043DA" w:rsidRDefault="00F45EBB" w:rsidP="00F45EBB">
            <w:pPr>
              <w:jc w:val="both"/>
              <w:rPr>
                <w:rFonts w:ascii="Calibri Light" w:hAnsi="Calibri Light"/>
                <w:b w:val="0"/>
              </w:rPr>
            </w:pPr>
          </w:p>
          <w:p w14:paraId="08BD0A86" w14:textId="4FB46DA0" w:rsidR="00D30D6A" w:rsidRPr="008043DA" w:rsidRDefault="00553E1A" w:rsidP="00F45EBB">
            <w:pPr>
              <w:jc w:val="both"/>
              <w:rPr>
                <w:rFonts w:ascii="Calibri Light" w:hAnsi="Calibri Light"/>
                <w:b w:val="0"/>
                <w:highlight w:val="yellow"/>
              </w:rPr>
            </w:pPr>
            <w:r w:rsidRPr="008043DA">
              <w:rPr>
                <w:rFonts w:ascii="Calibri Light" w:hAnsi="Calibri Light"/>
                <w:b w:val="0"/>
              </w:rPr>
              <w:t xml:space="preserve">En el presente caso, </w:t>
            </w:r>
            <w:r w:rsidR="00FB379C" w:rsidRPr="008043DA">
              <w:rPr>
                <w:rFonts w:ascii="Calibri Light" w:hAnsi="Calibri Light"/>
                <w:b w:val="0"/>
              </w:rPr>
              <w:t>la CIDH observó que</w:t>
            </w:r>
            <w:r w:rsidR="00B601D4" w:rsidRPr="008043DA">
              <w:rPr>
                <w:rFonts w:ascii="Calibri Light" w:hAnsi="Calibri Light"/>
                <w:b w:val="0"/>
              </w:rPr>
              <w:t xml:space="preserve"> los hechos relacionados con la desaparición forzada del señor Flores fueron investigados 19 años </w:t>
            </w:r>
            <w:r w:rsidR="0038064A" w:rsidRPr="008043DA">
              <w:rPr>
                <w:rFonts w:ascii="Calibri Light" w:hAnsi="Calibri Light"/>
                <w:b w:val="0"/>
              </w:rPr>
              <w:t>después, cuando</w:t>
            </w:r>
            <w:r w:rsidR="00B601D4" w:rsidRPr="008043DA">
              <w:rPr>
                <w:rFonts w:ascii="Calibri Light" w:hAnsi="Calibri Light"/>
                <w:b w:val="0"/>
              </w:rPr>
              <w:t xml:space="preserve"> fue iniciado </w:t>
            </w:r>
            <w:r w:rsidR="00D92777">
              <w:rPr>
                <w:rFonts w:ascii="Calibri Light" w:hAnsi="Calibri Light"/>
                <w:b w:val="0"/>
              </w:rPr>
              <w:t>el</w:t>
            </w:r>
            <w:r w:rsidR="00B601D4" w:rsidRPr="008043DA">
              <w:rPr>
                <w:rFonts w:ascii="Calibri Light" w:hAnsi="Calibri Light"/>
                <w:b w:val="0"/>
              </w:rPr>
              <w:t xml:space="preserve"> proceso penal ordinario</w:t>
            </w:r>
            <w:r w:rsidR="005A1F7A">
              <w:rPr>
                <w:rFonts w:ascii="Calibri Light" w:hAnsi="Calibri Light"/>
                <w:b w:val="0"/>
              </w:rPr>
              <w:t xml:space="preserve"> </w:t>
            </w:r>
            <w:r w:rsidR="00D92777">
              <w:rPr>
                <w:rFonts w:ascii="Calibri Light" w:hAnsi="Calibri Light"/>
                <w:b w:val="0"/>
              </w:rPr>
              <w:t>de</w:t>
            </w:r>
            <w:r w:rsidR="002E29BF">
              <w:rPr>
                <w:rFonts w:ascii="Calibri Light" w:hAnsi="Calibri Light"/>
                <w:b w:val="0"/>
              </w:rPr>
              <w:t xml:space="preserve"> 1999</w:t>
            </w:r>
            <w:r w:rsidR="00B601D4" w:rsidRPr="008043DA">
              <w:rPr>
                <w:rFonts w:ascii="Calibri Light" w:hAnsi="Calibri Light"/>
                <w:b w:val="0"/>
              </w:rPr>
              <w:t xml:space="preserve"> para establecer responsabilidades y en el </w:t>
            </w:r>
            <w:r w:rsidR="00FB379C" w:rsidRPr="008043DA">
              <w:rPr>
                <w:rFonts w:ascii="Calibri Light" w:hAnsi="Calibri Light"/>
                <w:b w:val="0"/>
              </w:rPr>
              <w:t>que no</w:t>
            </w:r>
            <w:r w:rsidR="00B601D4" w:rsidRPr="008043DA">
              <w:rPr>
                <w:rFonts w:ascii="Calibri Light" w:hAnsi="Calibri Light"/>
                <w:b w:val="0"/>
              </w:rPr>
              <w:t xml:space="preserve"> se esclareció </w:t>
            </w:r>
            <w:r w:rsidR="00B75062" w:rsidRPr="008043DA">
              <w:rPr>
                <w:rFonts w:ascii="Calibri Light" w:hAnsi="Calibri Light"/>
                <w:b w:val="0"/>
              </w:rPr>
              <w:t>las circunstancias de lo ocurrido</w:t>
            </w:r>
            <w:r w:rsidR="00B601D4" w:rsidRPr="008043DA">
              <w:rPr>
                <w:rFonts w:ascii="Calibri Light" w:hAnsi="Calibri Light"/>
                <w:b w:val="0"/>
              </w:rPr>
              <w:t xml:space="preserve">. </w:t>
            </w:r>
            <w:r w:rsidR="00FB379C" w:rsidRPr="008043DA">
              <w:rPr>
                <w:rFonts w:ascii="Calibri Light" w:hAnsi="Calibri Light"/>
                <w:b w:val="0"/>
              </w:rPr>
              <w:t>Este</w:t>
            </w:r>
            <w:r w:rsidR="00B601D4" w:rsidRPr="008043DA">
              <w:rPr>
                <w:rFonts w:ascii="Calibri Light" w:hAnsi="Calibri Light"/>
                <w:b w:val="0"/>
              </w:rPr>
              <w:t xml:space="preserve"> hecho en sí mismo implic</w:t>
            </w:r>
            <w:r w:rsidR="00F245B6">
              <w:rPr>
                <w:rFonts w:ascii="Calibri Light" w:hAnsi="Calibri Light"/>
                <w:b w:val="0"/>
              </w:rPr>
              <w:t>ó</w:t>
            </w:r>
            <w:r w:rsidR="00B601D4" w:rsidRPr="008043DA">
              <w:rPr>
                <w:rFonts w:ascii="Calibri Light" w:hAnsi="Calibri Light"/>
                <w:b w:val="0"/>
              </w:rPr>
              <w:t xml:space="preserve"> un desconocimiento del deber estatal de proveer recursos efectivos a las víctimas de violaciones de derechos humanos y sus familiares.</w:t>
            </w:r>
            <w:r w:rsidR="00FB379C" w:rsidRPr="008043DA">
              <w:rPr>
                <w:rFonts w:ascii="Calibri Light" w:hAnsi="Calibri Light"/>
                <w:b w:val="0"/>
              </w:rPr>
              <w:t xml:space="preserve"> </w:t>
            </w:r>
            <w:r w:rsidR="00E3729F" w:rsidRPr="008043DA">
              <w:rPr>
                <w:rFonts w:ascii="Calibri Light" w:hAnsi="Calibri Light"/>
                <w:b w:val="0"/>
              </w:rPr>
              <w:t>Respecto a</w:t>
            </w:r>
            <w:r w:rsidR="0057228B" w:rsidRPr="008043DA">
              <w:rPr>
                <w:rFonts w:ascii="Calibri Light" w:hAnsi="Calibri Light"/>
                <w:b w:val="0"/>
              </w:rPr>
              <w:t>l plazo razonable, el alegato del Estado se centr</w:t>
            </w:r>
            <w:r w:rsidR="001A654D" w:rsidRPr="008043DA">
              <w:rPr>
                <w:rFonts w:ascii="Calibri Light" w:hAnsi="Calibri Light"/>
                <w:b w:val="0"/>
              </w:rPr>
              <w:t xml:space="preserve">ó en </w:t>
            </w:r>
            <w:r w:rsidR="00902182" w:rsidRPr="008043DA">
              <w:rPr>
                <w:rFonts w:ascii="Calibri Light" w:hAnsi="Calibri Light"/>
                <w:b w:val="0"/>
              </w:rPr>
              <w:t xml:space="preserve">que los </w:t>
            </w:r>
            <w:r w:rsidR="001A654D" w:rsidRPr="008043DA">
              <w:rPr>
                <w:rFonts w:ascii="Calibri Light" w:hAnsi="Calibri Light"/>
                <w:b w:val="0"/>
              </w:rPr>
              <w:t>hechos</w:t>
            </w:r>
            <w:r w:rsidR="00902182" w:rsidRPr="008043DA">
              <w:rPr>
                <w:rFonts w:ascii="Calibri Light" w:hAnsi="Calibri Light"/>
                <w:b w:val="0"/>
              </w:rPr>
              <w:t xml:space="preserve"> habían ocurrido</w:t>
            </w:r>
            <w:r w:rsidR="001A654D" w:rsidRPr="008043DA">
              <w:rPr>
                <w:rFonts w:ascii="Calibri Light" w:hAnsi="Calibri Light"/>
                <w:b w:val="0"/>
              </w:rPr>
              <w:t xml:space="preserve"> en la dictadura y que por la complejidad de los proce</w:t>
            </w:r>
            <w:r w:rsidR="00FB379C" w:rsidRPr="008043DA">
              <w:rPr>
                <w:rFonts w:ascii="Calibri Light" w:hAnsi="Calibri Light"/>
                <w:b w:val="0"/>
              </w:rPr>
              <w:t>sos no tendría responsabilidad</w:t>
            </w:r>
            <w:r w:rsidR="0057228B" w:rsidRPr="008043DA">
              <w:rPr>
                <w:rFonts w:ascii="Calibri Light" w:hAnsi="Calibri Light"/>
                <w:b w:val="0"/>
              </w:rPr>
              <w:t>.</w:t>
            </w:r>
            <w:r w:rsidR="001A654D" w:rsidRPr="008043DA">
              <w:rPr>
                <w:rFonts w:ascii="Calibri Light" w:hAnsi="Calibri Light"/>
                <w:b w:val="0"/>
              </w:rPr>
              <w:t xml:space="preserve"> Sin embargo, </w:t>
            </w:r>
            <w:r w:rsidR="002853AB" w:rsidRPr="008043DA">
              <w:rPr>
                <w:rFonts w:ascii="Calibri Light" w:hAnsi="Calibri Light"/>
                <w:b w:val="0"/>
              </w:rPr>
              <w:t>tras</w:t>
            </w:r>
            <w:r w:rsidR="005A1F7A">
              <w:rPr>
                <w:rFonts w:ascii="Calibri Light" w:hAnsi="Calibri Light"/>
                <w:b w:val="0"/>
              </w:rPr>
              <w:t xml:space="preserve"> más de</w:t>
            </w:r>
            <w:r w:rsidR="0057228B" w:rsidRPr="008043DA">
              <w:rPr>
                <w:rFonts w:ascii="Calibri Light" w:hAnsi="Calibri Light"/>
                <w:b w:val="0"/>
              </w:rPr>
              <w:t xml:space="preserve"> 38 años de los hechos</w:t>
            </w:r>
            <w:r w:rsidR="005A1F7A">
              <w:rPr>
                <w:rFonts w:ascii="Calibri Light" w:hAnsi="Calibri Light"/>
                <w:b w:val="0"/>
              </w:rPr>
              <w:t xml:space="preserve">, </w:t>
            </w:r>
            <w:r w:rsidR="0057228B" w:rsidRPr="008043DA">
              <w:rPr>
                <w:rFonts w:ascii="Calibri Light" w:hAnsi="Calibri Light"/>
                <w:b w:val="0"/>
              </w:rPr>
              <w:t>no se conoce el paradero y destino de</w:t>
            </w:r>
            <w:r w:rsidR="001A654D" w:rsidRPr="008043DA">
              <w:rPr>
                <w:rFonts w:ascii="Calibri Light" w:hAnsi="Calibri Light"/>
                <w:b w:val="0"/>
              </w:rPr>
              <w:t xml:space="preserve">l señor </w:t>
            </w:r>
            <w:r w:rsidR="0057228B" w:rsidRPr="008043DA">
              <w:rPr>
                <w:rFonts w:ascii="Calibri Light" w:hAnsi="Calibri Light"/>
                <w:b w:val="0"/>
              </w:rPr>
              <w:t>Flores</w:t>
            </w:r>
            <w:r w:rsidR="005415A9">
              <w:rPr>
                <w:rFonts w:ascii="Calibri Light" w:hAnsi="Calibri Light"/>
                <w:b w:val="0"/>
              </w:rPr>
              <w:t>.</w:t>
            </w:r>
            <w:r w:rsidR="0057228B" w:rsidRPr="008043DA">
              <w:rPr>
                <w:rFonts w:ascii="Calibri Light" w:hAnsi="Calibri Light"/>
                <w:b w:val="0"/>
              </w:rPr>
              <w:t xml:space="preserve"> </w:t>
            </w:r>
            <w:r w:rsidR="0075589C" w:rsidRPr="008043DA">
              <w:rPr>
                <w:rFonts w:ascii="Calibri Light" w:hAnsi="Calibri Light"/>
                <w:b w:val="0"/>
              </w:rPr>
              <w:t xml:space="preserve">Por </w:t>
            </w:r>
            <w:r w:rsidR="0038064A" w:rsidRPr="008043DA">
              <w:rPr>
                <w:rFonts w:ascii="Calibri Light" w:hAnsi="Calibri Light"/>
                <w:b w:val="0"/>
              </w:rPr>
              <w:t>ello</w:t>
            </w:r>
            <w:r w:rsidR="0075589C" w:rsidRPr="008043DA">
              <w:rPr>
                <w:rFonts w:ascii="Calibri Light" w:hAnsi="Calibri Light"/>
                <w:b w:val="0"/>
              </w:rPr>
              <w:t xml:space="preserve">, </w:t>
            </w:r>
            <w:r w:rsidR="00F245B6">
              <w:rPr>
                <w:rFonts w:ascii="Calibri Light" w:hAnsi="Calibri Light"/>
                <w:b w:val="0"/>
              </w:rPr>
              <w:t xml:space="preserve">la CIDH </w:t>
            </w:r>
            <w:r w:rsidR="00CD4568">
              <w:rPr>
                <w:rFonts w:ascii="Calibri Light" w:hAnsi="Calibri Light" w:cs="Calibri Light"/>
                <w:b w:val="0"/>
              </w:rPr>
              <w:t xml:space="preserve">concluyó que el Estado boliviano </w:t>
            </w:r>
            <w:r w:rsidR="0075589C" w:rsidRPr="008043DA">
              <w:rPr>
                <w:rFonts w:ascii="Calibri Light" w:hAnsi="Calibri Light" w:cs="Calibri Light"/>
                <w:b w:val="0"/>
              </w:rPr>
              <w:t>había violado los artículos 8.1</w:t>
            </w:r>
            <w:r w:rsidR="00D30D6A" w:rsidRPr="008043DA">
              <w:rPr>
                <w:rFonts w:ascii="Calibri Light" w:hAnsi="Calibri Light" w:cs="Calibri Light"/>
                <w:b w:val="0"/>
              </w:rPr>
              <w:t xml:space="preserve"> </w:t>
            </w:r>
            <w:r w:rsidR="0075589C" w:rsidRPr="008043DA">
              <w:rPr>
                <w:rFonts w:ascii="Calibri Light" w:hAnsi="Calibri Light" w:cs="Calibri Light"/>
                <w:b w:val="0"/>
              </w:rPr>
              <w:t>y 25.1 de la CADH</w:t>
            </w:r>
            <w:r w:rsidR="006109F7" w:rsidRPr="008043DA">
              <w:rPr>
                <w:rFonts w:ascii="Calibri Light" w:hAnsi="Calibri Light" w:cs="Calibri Light"/>
                <w:b w:val="0"/>
              </w:rPr>
              <w:t>,</w:t>
            </w:r>
            <w:r w:rsidR="0075589C" w:rsidRPr="008043DA">
              <w:rPr>
                <w:rFonts w:ascii="Calibri Light" w:hAnsi="Calibri Light" w:cs="Calibri Light"/>
                <w:b w:val="0"/>
              </w:rPr>
              <w:t xml:space="preserve"> en relación con </w:t>
            </w:r>
            <w:r w:rsidR="00D30D6A" w:rsidRPr="008043DA">
              <w:rPr>
                <w:rFonts w:ascii="Calibri Light" w:hAnsi="Calibri Light" w:cs="Calibri Light"/>
                <w:b w:val="0"/>
              </w:rPr>
              <w:t>los</w:t>
            </w:r>
            <w:r w:rsidR="0075589C" w:rsidRPr="008043DA">
              <w:rPr>
                <w:rFonts w:ascii="Calibri Light" w:hAnsi="Calibri Light" w:cs="Calibri Light"/>
                <w:b w:val="0"/>
              </w:rPr>
              <w:t xml:space="preserve"> artículo</w:t>
            </w:r>
            <w:r w:rsidR="00D30D6A" w:rsidRPr="008043DA">
              <w:rPr>
                <w:rFonts w:ascii="Calibri Light" w:hAnsi="Calibri Light" w:cs="Calibri Light"/>
                <w:b w:val="0"/>
              </w:rPr>
              <w:t>s</w:t>
            </w:r>
            <w:r w:rsidR="0075589C" w:rsidRPr="008043DA">
              <w:rPr>
                <w:rFonts w:ascii="Calibri Light" w:hAnsi="Calibri Light" w:cs="Calibri Light"/>
                <w:b w:val="0"/>
              </w:rPr>
              <w:t xml:space="preserve"> 1.1</w:t>
            </w:r>
            <w:r w:rsidR="00D30D6A" w:rsidRPr="008043DA">
              <w:rPr>
                <w:rFonts w:ascii="Calibri Light" w:hAnsi="Calibri Light" w:cs="Calibri Light"/>
                <w:b w:val="0"/>
              </w:rPr>
              <w:t xml:space="preserve"> y 2</w:t>
            </w:r>
            <w:r w:rsidR="0075589C" w:rsidRPr="008043DA">
              <w:rPr>
                <w:rFonts w:ascii="Calibri Light" w:hAnsi="Calibri Light" w:cs="Calibri Light"/>
                <w:b w:val="0"/>
              </w:rPr>
              <w:t>,</w:t>
            </w:r>
            <w:r w:rsidR="006109F7" w:rsidRPr="008043DA">
              <w:rPr>
                <w:rFonts w:ascii="Calibri Light" w:hAnsi="Calibri Light" w:cs="Calibri Light"/>
                <w:b w:val="0"/>
              </w:rPr>
              <w:t xml:space="preserve"> en perjuicio del señor </w:t>
            </w:r>
            <w:r w:rsidR="00D30D6A" w:rsidRPr="008043DA">
              <w:rPr>
                <w:rFonts w:ascii="Calibri Light" w:hAnsi="Calibri Light" w:cs="Calibri Light"/>
                <w:b w:val="0"/>
              </w:rPr>
              <w:t>Flores y sus familiares</w:t>
            </w:r>
            <w:r w:rsidR="006109F7" w:rsidRPr="008043DA">
              <w:rPr>
                <w:rFonts w:ascii="Calibri Light" w:hAnsi="Calibri Light" w:cs="Calibri Light"/>
                <w:b w:val="0"/>
              </w:rPr>
              <w:t xml:space="preserve">. </w:t>
            </w:r>
            <w:r w:rsidR="00D30D6A" w:rsidRPr="008043DA">
              <w:rPr>
                <w:rFonts w:ascii="Calibri Light" w:hAnsi="Calibri Light"/>
                <w:b w:val="0"/>
              </w:rPr>
              <w:t xml:space="preserve">Asimismo, </w:t>
            </w:r>
            <w:r w:rsidR="00F245B6">
              <w:rPr>
                <w:rFonts w:ascii="Calibri Light" w:hAnsi="Calibri Light"/>
                <w:b w:val="0"/>
              </w:rPr>
              <w:t xml:space="preserve">señaló que el Estado </w:t>
            </w:r>
            <w:r w:rsidR="00F157B2">
              <w:rPr>
                <w:rFonts w:ascii="Calibri Light" w:hAnsi="Calibri Light"/>
                <w:b w:val="0"/>
              </w:rPr>
              <w:t>había violado los artículos I.</w:t>
            </w:r>
            <w:r w:rsidR="00D30D6A" w:rsidRPr="008043DA">
              <w:rPr>
                <w:rFonts w:ascii="Calibri Light" w:hAnsi="Calibri Light"/>
                <w:b w:val="0"/>
              </w:rPr>
              <w:t>b) y III de la CIDFP, que establecen la obligación de sancionar a los responsables de la desaparición forzada y adoptar las medidas legislativas necesarias para tipificar este delito continuado.</w:t>
            </w:r>
          </w:p>
          <w:p w14:paraId="13E02826" w14:textId="3F5D9FA5" w:rsidR="00CC76A5" w:rsidRPr="008043DA" w:rsidRDefault="00CC76A5" w:rsidP="001A2DF7">
            <w:pPr>
              <w:jc w:val="both"/>
              <w:rPr>
                <w:rFonts w:ascii="Calibri Light" w:hAnsi="Calibri Light"/>
                <w:b w:val="0"/>
              </w:rPr>
            </w:pPr>
          </w:p>
          <w:p w14:paraId="05C242EE" w14:textId="2A311071" w:rsidR="00CC76A5" w:rsidRPr="008043DA" w:rsidRDefault="00CC76A5" w:rsidP="001A2DF7">
            <w:pPr>
              <w:jc w:val="both"/>
              <w:rPr>
                <w:rFonts w:ascii="Calibri Light" w:hAnsi="Calibri Light"/>
                <w:b w:val="0"/>
              </w:rPr>
            </w:pPr>
            <w:r w:rsidRPr="008043DA">
              <w:rPr>
                <w:rFonts w:ascii="Calibri Light" w:hAnsi="Calibri Light"/>
              </w:rPr>
              <w:t xml:space="preserve">Derechos </w:t>
            </w:r>
            <w:r w:rsidR="00C81BA2" w:rsidRPr="008043DA">
              <w:rPr>
                <w:rFonts w:ascii="Calibri Light" w:hAnsi="Calibri Light"/>
              </w:rPr>
              <w:t xml:space="preserve">de acceso a la información (artículos 13 y 25 </w:t>
            </w:r>
            <w:r w:rsidRPr="008043DA">
              <w:rPr>
                <w:rFonts w:ascii="Calibri Light" w:hAnsi="Calibri Light"/>
              </w:rPr>
              <w:t>de la CADH)</w:t>
            </w:r>
          </w:p>
          <w:p w14:paraId="49CAECC0" w14:textId="76F4FD07" w:rsidR="00CC76A5" w:rsidRDefault="00CC76A5" w:rsidP="001A2DF7">
            <w:pPr>
              <w:jc w:val="both"/>
              <w:rPr>
                <w:rFonts w:ascii="Calibri Light" w:hAnsi="Calibri Light"/>
                <w:b w:val="0"/>
              </w:rPr>
            </w:pPr>
          </w:p>
          <w:p w14:paraId="2BC17C0A" w14:textId="7E4E2D90" w:rsidR="00653A1A" w:rsidRDefault="00B80173" w:rsidP="00A76920">
            <w:pPr>
              <w:jc w:val="both"/>
              <w:rPr>
                <w:rFonts w:ascii="Calibri Light" w:hAnsi="Calibri Light"/>
                <w:b w:val="0"/>
              </w:rPr>
            </w:pPr>
            <w:r w:rsidRPr="008043DA">
              <w:rPr>
                <w:rFonts w:ascii="Calibri Light" w:hAnsi="Calibri Light"/>
                <w:b w:val="0"/>
              </w:rPr>
              <w:t xml:space="preserve">La CIDH ha establecido que el derecho de acceso a la información es importante para el funcionamiento de los sistemas democráticos y una herramienta indispensable para el ejercicio de otros derechos. </w:t>
            </w:r>
            <w:r w:rsidR="002853AB" w:rsidRPr="008043DA">
              <w:rPr>
                <w:rFonts w:ascii="Calibri Light" w:hAnsi="Calibri Light"/>
                <w:b w:val="0"/>
              </w:rPr>
              <w:t xml:space="preserve">Además, </w:t>
            </w:r>
            <w:r w:rsidRPr="008043DA">
              <w:rPr>
                <w:rFonts w:ascii="Calibri Light" w:hAnsi="Calibri Light"/>
                <w:b w:val="0"/>
              </w:rPr>
              <w:t xml:space="preserve">no es necesario acreditar un interés directo ni una afectación personal para obtener información en poder del </w:t>
            </w:r>
            <w:r w:rsidR="002853AB" w:rsidRPr="008043DA">
              <w:rPr>
                <w:rFonts w:ascii="Calibri Light" w:hAnsi="Calibri Light"/>
                <w:b w:val="0"/>
              </w:rPr>
              <w:t>Estado</w:t>
            </w:r>
            <w:r w:rsidRPr="008043DA">
              <w:rPr>
                <w:rFonts w:ascii="Calibri Light" w:hAnsi="Calibri Light"/>
                <w:b w:val="0"/>
              </w:rPr>
              <w:t>.</w:t>
            </w:r>
            <w:r w:rsidR="00532847" w:rsidRPr="008043DA">
              <w:rPr>
                <w:rFonts w:ascii="Calibri Light" w:hAnsi="Calibri Light"/>
                <w:b w:val="0"/>
              </w:rPr>
              <w:t xml:space="preserve"> Por otro lado,</w:t>
            </w:r>
            <w:r w:rsidR="003520D7" w:rsidRPr="008043DA">
              <w:rPr>
                <w:rFonts w:ascii="Calibri Light" w:hAnsi="Calibri Light"/>
                <w:b w:val="0"/>
              </w:rPr>
              <w:t xml:space="preserve"> </w:t>
            </w:r>
            <w:r w:rsidR="005A1F7A">
              <w:rPr>
                <w:rFonts w:ascii="Calibri Light" w:hAnsi="Calibri Light"/>
                <w:b w:val="0"/>
              </w:rPr>
              <w:t xml:space="preserve">el acceso a la información </w:t>
            </w:r>
            <w:r w:rsidR="003520D7" w:rsidRPr="008043DA">
              <w:rPr>
                <w:rFonts w:ascii="Calibri Light" w:hAnsi="Calibri Light"/>
                <w:b w:val="0"/>
              </w:rPr>
              <w:t xml:space="preserve">protege el derecho de las víctimas y sus familiares, así como </w:t>
            </w:r>
            <w:r w:rsidR="00A76920" w:rsidRPr="008043DA">
              <w:rPr>
                <w:rFonts w:ascii="Calibri Light" w:hAnsi="Calibri Light"/>
                <w:b w:val="0"/>
              </w:rPr>
              <w:t xml:space="preserve">de </w:t>
            </w:r>
            <w:r w:rsidR="003520D7" w:rsidRPr="008043DA">
              <w:rPr>
                <w:rFonts w:ascii="Calibri Light" w:hAnsi="Calibri Light"/>
                <w:b w:val="0"/>
              </w:rPr>
              <w:t xml:space="preserve">la sociedad, a conocer información sobre graves violaciones de derechos humanos que repose en los archivos del Estado, incluso si tales se encuentran en las agencias de seguridad, dependencias militares o de la policía. </w:t>
            </w:r>
          </w:p>
          <w:p w14:paraId="44361057" w14:textId="77777777" w:rsidR="00653A1A" w:rsidRDefault="00653A1A" w:rsidP="00A76920">
            <w:pPr>
              <w:jc w:val="both"/>
              <w:rPr>
                <w:rFonts w:ascii="Calibri Light" w:hAnsi="Calibri Light"/>
                <w:b w:val="0"/>
              </w:rPr>
            </w:pPr>
          </w:p>
          <w:p w14:paraId="1A7B1C8C" w14:textId="38C04C26" w:rsidR="006C34E2" w:rsidRPr="008043DA" w:rsidRDefault="00A76920" w:rsidP="00A76920">
            <w:pPr>
              <w:jc w:val="both"/>
              <w:rPr>
                <w:rFonts w:ascii="Calibri Light" w:hAnsi="Calibri Light"/>
                <w:b w:val="0"/>
              </w:rPr>
            </w:pPr>
            <w:r w:rsidRPr="008043DA">
              <w:rPr>
                <w:rFonts w:ascii="Calibri Light" w:hAnsi="Calibri Light"/>
                <w:b w:val="0"/>
              </w:rPr>
              <w:t>Lo anterior su</w:t>
            </w:r>
            <w:r w:rsidR="00532847" w:rsidRPr="008043DA">
              <w:rPr>
                <w:rFonts w:ascii="Calibri Light" w:hAnsi="Calibri Light"/>
                <w:b w:val="0"/>
              </w:rPr>
              <w:t>pone obligaciones positivas</w:t>
            </w:r>
            <w:r w:rsidR="00D42F00">
              <w:rPr>
                <w:rFonts w:ascii="Calibri Light" w:hAnsi="Calibri Light"/>
                <w:b w:val="0"/>
              </w:rPr>
              <w:t xml:space="preserve"> en casos de graves violaciones de derechos humanos</w:t>
            </w:r>
            <w:r w:rsidR="00532847" w:rsidRPr="008043DA">
              <w:rPr>
                <w:rFonts w:ascii="Calibri Light" w:hAnsi="Calibri Light"/>
                <w:b w:val="0"/>
              </w:rPr>
              <w:t xml:space="preserve">, </w:t>
            </w:r>
            <w:r w:rsidRPr="008043DA">
              <w:rPr>
                <w:rFonts w:ascii="Calibri Light" w:hAnsi="Calibri Light"/>
                <w:b w:val="0"/>
              </w:rPr>
              <w:t>acentuadas</w:t>
            </w:r>
            <w:r w:rsidR="00532847" w:rsidRPr="008043DA">
              <w:rPr>
                <w:rFonts w:ascii="Calibri Light" w:hAnsi="Calibri Light"/>
                <w:b w:val="0"/>
              </w:rPr>
              <w:t xml:space="preserve"> en contextos </w:t>
            </w:r>
            <w:r w:rsidRPr="008043DA">
              <w:rPr>
                <w:rFonts w:ascii="Calibri Light" w:hAnsi="Calibri Light"/>
                <w:b w:val="0"/>
              </w:rPr>
              <w:t xml:space="preserve">de </w:t>
            </w:r>
            <w:r w:rsidR="00532847" w:rsidRPr="008043DA">
              <w:rPr>
                <w:rFonts w:ascii="Calibri Light" w:hAnsi="Calibri Light"/>
                <w:b w:val="0"/>
              </w:rPr>
              <w:t>transici</w:t>
            </w:r>
            <w:r w:rsidRPr="008043DA">
              <w:rPr>
                <w:rFonts w:ascii="Calibri Light" w:hAnsi="Calibri Light"/>
                <w:b w:val="0"/>
              </w:rPr>
              <w:t>ón</w:t>
            </w:r>
            <w:r w:rsidR="00532847" w:rsidRPr="008043DA">
              <w:rPr>
                <w:rFonts w:ascii="Calibri Light" w:hAnsi="Calibri Light"/>
                <w:b w:val="0"/>
              </w:rPr>
              <w:t xml:space="preserve"> a </w:t>
            </w:r>
            <w:r w:rsidR="00D42F00">
              <w:rPr>
                <w:rFonts w:ascii="Calibri Light" w:hAnsi="Calibri Light"/>
                <w:b w:val="0"/>
              </w:rPr>
              <w:t xml:space="preserve">la </w:t>
            </w:r>
            <w:r w:rsidR="00532847" w:rsidRPr="008043DA">
              <w:rPr>
                <w:rFonts w:ascii="Calibri Light" w:hAnsi="Calibri Light"/>
                <w:b w:val="0"/>
              </w:rPr>
              <w:t>de</w:t>
            </w:r>
            <w:r w:rsidR="00D42F00">
              <w:rPr>
                <w:rFonts w:ascii="Calibri Light" w:hAnsi="Calibri Light"/>
                <w:b w:val="0"/>
              </w:rPr>
              <w:t>mocracia</w:t>
            </w:r>
            <w:r w:rsidR="00653A1A">
              <w:rPr>
                <w:rFonts w:ascii="Calibri Light" w:hAnsi="Calibri Light"/>
                <w:b w:val="0"/>
              </w:rPr>
              <w:t>. Estas son</w:t>
            </w:r>
            <w:r w:rsidR="00532847" w:rsidRPr="008043DA">
              <w:rPr>
                <w:rFonts w:ascii="Calibri Light" w:hAnsi="Calibri Light"/>
                <w:b w:val="0"/>
              </w:rPr>
              <w:t>:</w:t>
            </w:r>
            <w:r w:rsidR="003520D7" w:rsidRPr="008043DA">
              <w:rPr>
                <w:rFonts w:ascii="Calibri Light" w:hAnsi="Calibri Light"/>
                <w:b w:val="0"/>
              </w:rPr>
              <w:t xml:space="preserve"> i) adecuar </w:t>
            </w:r>
            <w:r w:rsidR="00532847" w:rsidRPr="008043DA">
              <w:rPr>
                <w:rFonts w:ascii="Calibri Light" w:hAnsi="Calibri Light"/>
                <w:b w:val="0"/>
              </w:rPr>
              <w:t>el</w:t>
            </w:r>
            <w:r w:rsidR="003520D7" w:rsidRPr="008043DA">
              <w:rPr>
                <w:rFonts w:ascii="Calibri Light" w:hAnsi="Calibri Light"/>
                <w:b w:val="0"/>
              </w:rPr>
              <w:t xml:space="preserve"> marco jurídico </w:t>
            </w:r>
            <w:r w:rsidRPr="008043DA">
              <w:rPr>
                <w:rFonts w:ascii="Calibri Light" w:hAnsi="Calibri Light"/>
                <w:b w:val="0"/>
              </w:rPr>
              <w:t>con transparencia y buena fe</w:t>
            </w:r>
            <w:r w:rsidR="003520D7" w:rsidRPr="008043DA">
              <w:rPr>
                <w:rFonts w:ascii="Calibri Light" w:hAnsi="Calibri Light"/>
                <w:b w:val="0"/>
              </w:rPr>
              <w:t xml:space="preserve">; ii) buscar la información necesaria para alcanzar los objetivos de </w:t>
            </w:r>
            <w:r w:rsidR="003520D7" w:rsidRPr="008043DA">
              <w:rPr>
                <w:rFonts w:ascii="Calibri Light" w:hAnsi="Calibri Light"/>
                <w:b w:val="0"/>
              </w:rPr>
              <w:lastRenderedPageBreak/>
              <w:t>una investigación y permitir que se co</w:t>
            </w:r>
            <w:r w:rsidR="00A36C0B">
              <w:rPr>
                <w:rFonts w:ascii="Calibri Light" w:hAnsi="Calibri Light"/>
                <w:b w:val="0"/>
              </w:rPr>
              <w:t>nozca la verdad de lo sucedido</w:t>
            </w:r>
            <w:r w:rsidR="003520D7" w:rsidRPr="008043DA">
              <w:rPr>
                <w:rFonts w:ascii="Calibri Light" w:hAnsi="Calibri Light"/>
                <w:b w:val="0"/>
              </w:rPr>
              <w:t xml:space="preserve">; iii) </w:t>
            </w:r>
            <w:r w:rsidRPr="008043DA">
              <w:rPr>
                <w:rFonts w:ascii="Calibri Light" w:hAnsi="Calibri Light"/>
                <w:b w:val="0"/>
              </w:rPr>
              <w:t xml:space="preserve">permitir que los familiares de las víctimas y sus representantes legales </w:t>
            </w:r>
            <w:r w:rsidR="008043DA" w:rsidRPr="008043DA">
              <w:rPr>
                <w:rFonts w:ascii="Calibri Light" w:hAnsi="Calibri Light"/>
                <w:b w:val="0"/>
              </w:rPr>
              <w:t>accedan</w:t>
            </w:r>
            <w:r w:rsidRPr="008043DA">
              <w:rPr>
                <w:rFonts w:ascii="Calibri Light" w:hAnsi="Calibri Light"/>
                <w:b w:val="0"/>
              </w:rPr>
              <w:t xml:space="preserve"> a documentación</w:t>
            </w:r>
            <w:r w:rsidR="003520D7" w:rsidRPr="008043DA">
              <w:rPr>
                <w:rFonts w:ascii="Calibri Light" w:hAnsi="Calibri Light"/>
                <w:b w:val="0"/>
              </w:rPr>
              <w:t>;</w:t>
            </w:r>
            <w:r w:rsidRPr="008043DA">
              <w:rPr>
                <w:rFonts w:ascii="Calibri Light" w:hAnsi="Calibri Light"/>
                <w:b w:val="0"/>
              </w:rPr>
              <w:t xml:space="preserve"> y </w:t>
            </w:r>
            <w:r w:rsidR="003520D7" w:rsidRPr="008043DA">
              <w:rPr>
                <w:rFonts w:ascii="Calibri Light" w:hAnsi="Calibri Light"/>
                <w:b w:val="0"/>
              </w:rPr>
              <w:t>iv)</w:t>
            </w:r>
            <w:r w:rsidR="006C34E2" w:rsidRPr="008043DA">
              <w:rPr>
                <w:rFonts w:ascii="Calibri Light" w:hAnsi="Calibri Light"/>
                <w:b w:val="0"/>
              </w:rPr>
              <w:t xml:space="preserve"> preservar y facilitar el acceso a los archivos estatales cuando </w:t>
            </w:r>
            <w:r w:rsidRPr="008043DA">
              <w:rPr>
                <w:rFonts w:ascii="Calibri Light" w:hAnsi="Calibri Light"/>
                <w:b w:val="0"/>
              </w:rPr>
              <w:t xml:space="preserve">estos existieran, o </w:t>
            </w:r>
            <w:r w:rsidR="006C34E2" w:rsidRPr="008043DA">
              <w:rPr>
                <w:rFonts w:ascii="Calibri Light" w:hAnsi="Calibri Light"/>
                <w:b w:val="0"/>
              </w:rPr>
              <w:t xml:space="preserve">crearlos y preservarlos cuando no. En suma, </w:t>
            </w:r>
            <w:r w:rsidR="00CD4568">
              <w:rPr>
                <w:rFonts w:ascii="Calibri Light" w:hAnsi="Calibri Light"/>
                <w:b w:val="0"/>
              </w:rPr>
              <w:t>estas</w:t>
            </w:r>
            <w:r w:rsidR="006C34E2" w:rsidRPr="008043DA">
              <w:rPr>
                <w:rFonts w:ascii="Calibri Light" w:hAnsi="Calibri Light"/>
                <w:b w:val="0"/>
              </w:rPr>
              <w:t xml:space="preserve"> obligaciones aparejan el deber de realizar, de buena fe, esfuerzos significativos para garantizar que las víctimas de graves violaciones de derechos humanos y sus familiares, los encargados de la investigación y la sociedad en su conjunto puedan tener acceso a toda la información en poder del Estado necesaria para conocer la verdad de lo sucedido.</w:t>
            </w:r>
          </w:p>
          <w:p w14:paraId="2FF43034" w14:textId="77777777" w:rsidR="006C34E2" w:rsidRPr="008043DA" w:rsidRDefault="006C34E2" w:rsidP="006C34E2">
            <w:pPr>
              <w:jc w:val="both"/>
              <w:rPr>
                <w:rFonts w:ascii="Calibri Light" w:hAnsi="Calibri Light"/>
                <w:b w:val="0"/>
              </w:rPr>
            </w:pPr>
          </w:p>
          <w:p w14:paraId="2B7670A1" w14:textId="77777777" w:rsidR="00D9240C" w:rsidRDefault="00B80173" w:rsidP="003520D7">
            <w:pPr>
              <w:jc w:val="both"/>
              <w:rPr>
                <w:rFonts w:ascii="Calibri Light" w:hAnsi="Calibri Light"/>
                <w:b w:val="0"/>
              </w:rPr>
            </w:pPr>
            <w:r w:rsidRPr="008043DA">
              <w:rPr>
                <w:rFonts w:ascii="Calibri Light" w:hAnsi="Calibri Light"/>
                <w:b w:val="0"/>
              </w:rPr>
              <w:t xml:space="preserve">En </w:t>
            </w:r>
            <w:r w:rsidR="00653A1A">
              <w:rPr>
                <w:rFonts w:ascii="Calibri Light" w:hAnsi="Calibri Light"/>
                <w:b w:val="0"/>
              </w:rPr>
              <w:t>este</w:t>
            </w:r>
            <w:r w:rsidRPr="008043DA">
              <w:rPr>
                <w:rFonts w:ascii="Calibri Light" w:hAnsi="Calibri Light"/>
                <w:b w:val="0"/>
              </w:rPr>
              <w:t xml:space="preserve"> caso, la CIDH observó que los familiares del señor Flores solicitaron en varias oportunidades la desclasificación y acceso a la información contenida en archivos militares</w:t>
            </w:r>
            <w:r w:rsidR="00CD4568">
              <w:rPr>
                <w:rFonts w:ascii="Calibri Light" w:hAnsi="Calibri Light"/>
                <w:b w:val="0"/>
              </w:rPr>
              <w:t>, pero</w:t>
            </w:r>
            <w:r w:rsidRPr="008043DA">
              <w:rPr>
                <w:rFonts w:ascii="Calibri Light" w:hAnsi="Calibri Light"/>
                <w:b w:val="0"/>
              </w:rPr>
              <w:t xml:space="preserve"> nunca lograron tener acceso</w:t>
            </w:r>
            <w:r w:rsidR="00427D17" w:rsidRPr="008043DA">
              <w:rPr>
                <w:rFonts w:ascii="Calibri Light" w:hAnsi="Calibri Light"/>
                <w:b w:val="0"/>
              </w:rPr>
              <w:t>. Por su parte, el Estado alegó</w:t>
            </w:r>
            <w:r w:rsidR="00D42F00">
              <w:rPr>
                <w:rFonts w:ascii="Calibri Light" w:hAnsi="Calibri Light"/>
                <w:b w:val="0"/>
              </w:rPr>
              <w:t xml:space="preserve"> que no </w:t>
            </w:r>
            <w:r w:rsidR="00CD4568">
              <w:rPr>
                <w:rFonts w:ascii="Calibri Light" w:hAnsi="Calibri Light"/>
                <w:b w:val="0"/>
              </w:rPr>
              <w:t xml:space="preserve">tenía </w:t>
            </w:r>
            <w:r w:rsidR="00D42F00">
              <w:rPr>
                <w:rFonts w:ascii="Calibri Light" w:hAnsi="Calibri Light"/>
                <w:b w:val="0"/>
              </w:rPr>
              <w:t xml:space="preserve">responsabilidad </w:t>
            </w:r>
            <w:r w:rsidR="00CD4568">
              <w:rPr>
                <w:rFonts w:ascii="Calibri Light" w:hAnsi="Calibri Light"/>
                <w:b w:val="0"/>
              </w:rPr>
              <w:t>ya</w:t>
            </w:r>
            <w:r w:rsidR="00427D17" w:rsidRPr="008043DA">
              <w:rPr>
                <w:rFonts w:ascii="Calibri Light" w:hAnsi="Calibri Light"/>
                <w:b w:val="0"/>
              </w:rPr>
              <w:t xml:space="preserve"> </w:t>
            </w:r>
            <w:r w:rsidRPr="008043DA">
              <w:rPr>
                <w:rFonts w:ascii="Calibri Light" w:hAnsi="Calibri Light"/>
                <w:b w:val="0"/>
              </w:rPr>
              <w:t xml:space="preserve">que, desde </w:t>
            </w:r>
            <w:r w:rsidR="00D42F00">
              <w:rPr>
                <w:rFonts w:ascii="Calibri Light" w:hAnsi="Calibri Light"/>
                <w:b w:val="0"/>
              </w:rPr>
              <w:t>el regreso a</w:t>
            </w:r>
            <w:r w:rsidRPr="008043DA">
              <w:rPr>
                <w:rFonts w:ascii="Calibri Light" w:hAnsi="Calibri Light"/>
                <w:b w:val="0"/>
              </w:rPr>
              <w:t xml:space="preserve"> la democracia, fueron realizadas las gestiones judiciales y administrativas necesarias.</w:t>
            </w:r>
            <w:r w:rsidR="00427D17" w:rsidRPr="008043DA">
              <w:rPr>
                <w:rFonts w:ascii="Calibri Light" w:hAnsi="Calibri Light"/>
                <w:b w:val="0"/>
              </w:rPr>
              <w:t xml:space="preserve"> </w:t>
            </w:r>
          </w:p>
          <w:p w14:paraId="12136F91" w14:textId="77777777" w:rsidR="00D9240C" w:rsidRDefault="00D9240C" w:rsidP="003520D7">
            <w:pPr>
              <w:jc w:val="both"/>
              <w:rPr>
                <w:rFonts w:ascii="Calibri Light" w:hAnsi="Calibri Light"/>
                <w:b w:val="0"/>
              </w:rPr>
            </w:pPr>
          </w:p>
          <w:p w14:paraId="6E518482" w14:textId="392DD837" w:rsidR="00D9240C" w:rsidRDefault="00D42F00" w:rsidP="003520D7">
            <w:pPr>
              <w:jc w:val="both"/>
              <w:rPr>
                <w:rFonts w:ascii="Calibri Light" w:hAnsi="Calibri Light"/>
                <w:b w:val="0"/>
              </w:rPr>
            </w:pPr>
            <w:r>
              <w:rPr>
                <w:rFonts w:ascii="Calibri Light" w:hAnsi="Calibri Light"/>
                <w:b w:val="0"/>
              </w:rPr>
              <w:t xml:space="preserve">Al respecto, la CIDH </w:t>
            </w:r>
            <w:r w:rsidR="002E073B">
              <w:rPr>
                <w:rFonts w:ascii="Calibri Light" w:hAnsi="Calibri Light"/>
                <w:b w:val="0"/>
              </w:rPr>
              <w:t>observó lo siguiente</w:t>
            </w:r>
            <w:r w:rsidR="00427D17" w:rsidRPr="008043DA">
              <w:rPr>
                <w:rFonts w:ascii="Calibri Light" w:hAnsi="Calibri Light"/>
                <w:b w:val="0"/>
              </w:rPr>
              <w:t xml:space="preserve">: </w:t>
            </w:r>
            <w:r w:rsidR="007E740B" w:rsidRPr="008043DA">
              <w:rPr>
                <w:rFonts w:ascii="Calibri Light" w:hAnsi="Calibri Light"/>
                <w:b w:val="0"/>
              </w:rPr>
              <w:t xml:space="preserve">i) las autoridades judiciales emitieron órdenes </w:t>
            </w:r>
            <w:r w:rsidR="002E073B">
              <w:rPr>
                <w:rFonts w:ascii="Calibri Light" w:hAnsi="Calibri Light"/>
                <w:b w:val="0"/>
              </w:rPr>
              <w:t xml:space="preserve">tardías </w:t>
            </w:r>
            <w:r w:rsidR="007E740B" w:rsidRPr="008043DA">
              <w:rPr>
                <w:rFonts w:ascii="Calibri Light" w:hAnsi="Calibri Light"/>
                <w:b w:val="0"/>
              </w:rPr>
              <w:t>de desclasificación de archivos militares</w:t>
            </w:r>
            <w:r w:rsidR="002E073B">
              <w:rPr>
                <w:rFonts w:ascii="Calibri Light" w:hAnsi="Calibri Light"/>
                <w:b w:val="0"/>
              </w:rPr>
              <w:t>,</w:t>
            </w:r>
            <w:r w:rsidR="007E740B" w:rsidRPr="008043DA">
              <w:rPr>
                <w:rFonts w:ascii="Calibri Light" w:hAnsi="Calibri Light"/>
                <w:b w:val="0"/>
              </w:rPr>
              <w:t xml:space="preserve"> que no fueron acatadas oportunamente</w:t>
            </w:r>
            <w:r>
              <w:rPr>
                <w:rFonts w:ascii="Calibri Light" w:hAnsi="Calibri Light"/>
                <w:b w:val="0"/>
              </w:rPr>
              <w:t>; i</w:t>
            </w:r>
            <w:r w:rsidR="007E740B" w:rsidRPr="008043DA">
              <w:rPr>
                <w:rFonts w:ascii="Calibri Light" w:hAnsi="Calibri Light"/>
                <w:b w:val="0"/>
              </w:rPr>
              <w:t xml:space="preserve">i) </w:t>
            </w:r>
            <w:r>
              <w:rPr>
                <w:rFonts w:ascii="Calibri Light" w:hAnsi="Calibri Light"/>
                <w:b w:val="0"/>
              </w:rPr>
              <w:t>algunas</w:t>
            </w:r>
            <w:r w:rsidR="007E740B" w:rsidRPr="008043DA">
              <w:rPr>
                <w:rFonts w:ascii="Calibri Light" w:hAnsi="Calibri Light"/>
                <w:b w:val="0"/>
              </w:rPr>
              <w:t xml:space="preserve"> órdenes judiciales no garantizaron el acceso directo de dicha información a los familiares</w:t>
            </w:r>
            <w:r w:rsidR="002E073B">
              <w:rPr>
                <w:rFonts w:ascii="Calibri Light" w:hAnsi="Calibri Light"/>
                <w:b w:val="0"/>
              </w:rPr>
              <w:t xml:space="preserve"> y</w:t>
            </w:r>
            <w:r w:rsidR="00122DA7" w:rsidRPr="008043DA">
              <w:rPr>
                <w:rFonts w:ascii="Calibri Light" w:hAnsi="Calibri Light"/>
                <w:b w:val="0"/>
              </w:rPr>
              <w:t xml:space="preserve"> las negativas se respaldaron en la Ley Orgánica de las Fuerzas Armadas; iii) </w:t>
            </w:r>
            <w:r w:rsidR="002E073B">
              <w:rPr>
                <w:rFonts w:ascii="Calibri Light" w:hAnsi="Calibri Light"/>
                <w:b w:val="0"/>
              </w:rPr>
              <w:t xml:space="preserve">en base a la reglamentación, </w:t>
            </w:r>
            <w:r w:rsidR="00122DA7" w:rsidRPr="008043DA">
              <w:rPr>
                <w:rFonts w:ascii="Calibri Light" w:hAnsi="Calibri Light"/>
                <w:b w:val="0"/>
              </w:rPr>
              <w:t xml:space="preserve">los familiares </w:t>
            </w:r>
            <w:r w:rsidR="002E073B">
              <w:rPr>
                <w:rFonts w:ascii="Calibri Light" w:hAnsi="Calibri Light"/>
                <w:b w:val="0"/>
              </w:rPr>
              <w:t xml:space="preserve">no accedieron a </w:t>
            </w:r>
            <w:r w:rsidR="00122DA7" w:rsidRPr="008043DA">
              <w:rPr>
                <w:rFonts w:ascii="Calibri Light" w:hAnsi="Calibri Light"/>
                <w:b w:val="0"/>
              </w:rPr>
              <w:t>un procedimiento sencillo</w:t>
            </w:r>
            <w:r w:rsidR="002E073B">
              <w:rPr>
                <w:rFonts w:ascii="Calibri Light" w:hAnsi="Calibri Light"/>
                <w:b w:val="0"/>
              </w:rPr>
              <w:t xml:space="preserve"> y</w:t>
            </w:r>
            <w:r w:rsidR="003D2A0A" w:rsidRPr="008043DA">
              <w:rPr>
                <w:rFonts w:ascii="Calibri Light" w:hAnsi="Calibri Light"/>
                <w:b w:val="0"/>
              </w:rPr>
              <w:t xml:space="preserve"> </w:t>
            </w:r>
            <w:r w:rsidR="002E073B">
              <w:rPr>
                <w:rFonts w:ascii="Calibri Light" w:hAnsi="Calibri Light"/>
                <w:b w:val="0"/>
              </w:rPr>
              <w:t xml:space="preserve">se les </w:t>
            </w:r>
            <w:r w:rsidR="003D2A0A" w:rsidRPr="008043DA">
              <w:rPr>
                <w:rFonts w:ascii="Calibri Light" w:hAnsi="Calibri Light"/>
                <w:b w:val="0"/>
              </w:rPr>
              <w:t xml:space="preserve">impuso requisitos onerosos y exorbitantes para </w:t>
            </w:r>
            <w:r w:rsidR="002E073B">
              <w:rPr>
                <w:rFonts w:ascii="Calibri Light" w:hAnsi="Calibri Light"/>
                <w:b w:val="0"/>
              </w:rPr>
              <w:t>conocer</w:t>
            </w:r>
            <w:r w:rsidR="003D2A0A" w:rsidRPr="008043DA">
              <w:rPr>
                <w:rFonts w:ascii="Calibri Light" w:hAnsi="Calibri Light"/>
                <w:b w:val="0"/>
              </w:rPr>
              <w:t xml:space="preserve"> los</w:t>
            </w:r>
            <w:r w:rsidR="00625CDF">
              <w:rPr>
                <w:rFonts w:ascii="Calibri Light" w:hAnsi="Calibri Light"/>
                <w:b w:val="0"/>
              </w:rPr>
              <w:t xml:space="preserve"> archivos militares, que incluyeron</w:t>
            </w:r>
            <w:r w:rsidR="003D2A0A" w:rsidRPr="008043DA">
              <w:rPr>
                <w:rFonts w:ascii="Calibri Light" w:hAnsi="Calibri Light"/>
                <w:b w:val="0"/>
              </w:rPr>
              <w:t xml:space="preserve"> demostrar interés legítimo</w:t>
            </w:r>
            <w:r w:rsidR="00122DA7" w:rsidRPr="008043DA">
              <w:rPr>
                <w:rFonts w:ascii="Calibri Light" w:hAnsi="Calibri Light"/>
                <w:b w:val="0"/>
              </w:rPr>
              <w:t>;</w:t>
            </w:r>
            <w:r w:rsidR="009A694C" w:rsidRPr="008043DA">
              <w:rPr>
                <w:rFonts w:ascii="Calibri Light" w:hAnsi="Calibri Light"/>
                <w:b w:val="0"/>
              </w:rPr>
              <w:t xml:space="preserve"> iv) los familiares no contaron con un recurso judicial que permitiera controvertir decisiones violatorias del derecho de acceso a la in</w:t>
            </w:r>
            <w:r w:rsidR="003520D7" w:rsidRPr="008043DA">
              <w:rPr>
                <w:rFonts w:ascii="Calibri Light" w:hAnsi="Calibri Light"/>
                <w:b w:val="0"/>
              </w:rPr>
              <w:t xml:space="preserve">formación; y v) no </w:t>
            </w:r>
            <w:r>
              <w:rPr>
                <w:rFonts w:ascii="Calibri Light" w:hAnsi="Calibri Light"/>
                <w:b w:val="0"/>
              </w:rPr>
              <w:t xml:space="preserve">se </w:t>
            </w:r>
            <w:r w:rsidR="003520D7" w:rsidRPr="008043DA">
              <w:rPr>
                <w:rFonts w:ascii="Calibri Light" w:hAnsi="Calibri Light"/>
                <w:b w:val="0"/>
              </w:rPr>
              <w:t xml:space="preserve">acreditó acciones </w:t>
            </w:r>
            <w:r>
              <w:rPr>
                <w:rFonts w:ascii="Calibri Light" w:hAnsi="Calibri Light"/>
                <w:b w:val="0"/>
              </w:rPr>
              <w:t>que demostraran un</w:t>
            </w:r>
            <w:r w:rsidR="003520D7" w:rsidRPr="008043DA">
              <w:rPr>
                <w:rFonts w:ascii="Calibri Light" w:hAnsi="Calibri Light"/>
                <w:b w:val="0"/>
              </w:rPr>
              <w:t xml:space="preserve"> esfuerzo significativo</w:t>
            </w:r>
            <w:r>
              <w:rPr>
                <w:rFonts w:ascii="Calibri Light" w:hAnsi="Calibri Light"/>
                <w:b w:val="0"/>
              </w:rPr>
              <w:t xml:space="preserve"> del Estado</w:t>
            </w:r>
            <w:r w:rsidR="005A1F7A">
              <w:rPr>
                <w:rFonts w:ascii="Calibri Light" w:hAnsi="Calibri Light"/>
                <w:b w:val="0"/>
              </w:rPr>
              <w:t xml:space="preserve"> para localizar y reconstruir información</w:t>
            </w:r>
            <w:r w:rsidR="003520D7" w:rsidRPr="008043DA">
              <w:rPr>
                <w:rFonts w:ascii="Calibri Light" w:hAnsi="Calibri Light"/>
                <w:b w:val="0"/>
              </w:rPr>
              <w:t xml:space="preserve">. </w:t>
            </w:r>
          </w:p>
          <w:p w14:paraId="10F11D17" w14:textId="77777777" w:rsidR="00D9240C" w:rsidRDefault="00D9240C" w:rsidP="003520D7">
            <w:pPr>
              <w:jc w:val="both"/>
              <w:rPr>
                <w:rFonts w:ascii="Calibri Light" w:hAnsi="Calibri Light"/>
                <w:b w:val="0"/>
              </w:rPr>
            </w:pPr>
          </w:p>
          <w:p w14:paraId="1B399956" w14:textId="0F70850D" w:rsidR="00B80173" w:rsidRPr="008043DA" w:rsidRDefault="003520D7" w:rsidP="003520D7">
            <w:pPr>
              <w:jc w:val="both"/>
              <w:rPr>
                <w:rFonts w:ascii="Calibri Light" w:hAnsi="Calibri Light"/>
                <w:b w:val="0"/>
              </w:rPr>
            </w:pPr>
            <w:r w:rsidRPr="008043DA">
              <w:rPr>
                <w:rFonts w:ascii="Calibri Light" w:hAnsi="Calibri Light"/>
                <w:b w:val="0"/>
              </w:rPr>
              <w:t>De lo anterior, se desprend</w:t>
            </w:r>
            <w:r w:rsidR="00D42F00">
              <w:rPr>
                <w:rFonts w:ascii="Calibri Light" w:hAnsi="Calibri Light"/>
                <w:b w:val="0"/>
              </w:rPr>
              <w:t>ió</w:t>
            </w:r>
            <w:r w:rsidRPr="008043DA">
              <w:rPr>
                <w:rFonts w:ascii="Calibri Light" w:hAnsi="Calibri Light"/>
                <w:b w:val="0"/>
              </w:rPr>
              <w:t xml:space="preserve"> que </w:t>
            </w:r>
            <w:r w:rsidR="005A1F7A">
              <w:rPr>
                <w:rFonts w:ascii="Calibri Light" w:hAnsi="Calibri Light"/>
                <w:b w:val="0"/>
              </w:rPr>
              <w:t>el Estado</w:t>
            </w:r>
            <w:r w:rsidR="005A1F7A" w:rsidRPr="008043DA">
              <w:rPr>
                <w:rFonts w:ascii="Calibri Light" w:hAnsi="Calibri Light"/>
                <w:b w:val="0"/>
              </w:rPr>
              <w:t xml:space="preserve"> </w:t>
            </w:r>
            <w:r w:rsidRPr="008043DA">
              <w:rPr>
                <w:rFonts w:ascii="Calibri Light" w:hAnsi="Calibri Light"/>
                <w:b w:val="0"/>
              </w:rPr>
              <w:t>no ha</w:t>
            </w:r>
            <w:r w:rsidR="00D42F00">
              <w:rPr>
                <w:rFonts w:ascii="Calibri Light" w:hAnsi="Calibri Light"/>
                <w:b w:val="0"/>
              </w:rPr>
              <w:t>bía</w:t>
            </w:r>
            <w:r w:rsidRPr="008043DA">
              <w:rPr>
                <w:rFonts w:ascii="Calibri Light" w:hAnsi="Calibri Light"/>
                <w:b w:val="0"/>
              </w:rPr>
              <w:t xml:space="preserve"> cumplido con su obligación de obtener, producir, analizar, clasificar, organizar y facilitar a la sociedad en su conjunto el acceso a los archivos militares relacionados con graves violaciones de derechos humanos. En virtud a ello, la CIDH concluyó que el Estado </w:t>
            </w:r>
            <w:r w:rsidR="00D42F00">
              <w:rPr>
                <w:rFonts w:ascii="Calibri Light" w:hAnsi="Calibri Light"/>
                <w:b w:val="0"/>
              </w:rPr>
              <w:t xml:space="preserve">boliviano </w:t>
            </w:r>
            <w:r w:rsidRPr="008043DA">
              <w:rPr>
                <w:rFonts w:ascii="Calibri Light" w:hAnsi="Calibri Light"/>
                <w:b w:val="0"/>
              </w:rPr>
              <w:t>había violado los artículos 13 y 25 de la CADH, en relación con los artículos 1.1 y 2.</w:t>
            </w:r>
          </w:p>
          <w:p w14:paraId="37509119" w14:textId="77777777" w:rsidR="00C81BA2" w:rsidRPr="008043DA" w:rsidRDefault="00C81BA2" w:rsidP="00166967">
            <w:pPr>
              <w:jc w:val="both"/>
              <w:rPr>
                <w:rFonts w:ascii="Calibri Light" w:hAnsi="Calibri Light" w:cs="Calibri Light"/>
                <w:b w:val="0"/>
              </w:rPr>
            </w:pPr>
          </w:p>
          <w:p w14:paraId="28DB41F4" w14:textId="3C9AA5AC" w:rsidR="00C81BA2" w:rsidRPr="008043DA" w:rsidRDefault="00C81BA2" w:rsidP="00166967">
            <w:pPr>
              <w:jc w:val="both"/>
              <w:rPr>
                <w:rFonts w:ascii="Calibri Light" w:hAnsi="Calibri Light" w:cs="Calibri Light"/>
              </w:rPr>
            </w:pPr>
            <w:r w:rsidRPr="008043DA">
              <w:rPr>
                <w:rFonts w:ascii="Calibri Light" w:hAnsi="Calibri Light" w:cs="Calibri Light"/>
              </w:rPr>
              <w:t>Derecho a la integridad personal de los familiares (artículo 5 de la CADH)</w:t>
            </w:r>
          </w:p>
          <w:p w14:paraId="7E7DE742" w14:textId="77777777" w:rsidR="00C81BA2" w:rsidRPr="008043DA" w:rsidRDefault="00C81BA2" w:rsidP="00166967">
            <w:pPr>
              <w:jc w:val="both"/>
              <w:rPr>
                <w:rFonts w:ascii="Calibri Light" w:hAnsi="Calibri Light" w:cs="Calibri Light"/>
                <w:b w:val="0"/>
              </w:rPr>
            </w:pPr>
          </w:p>
          <w:p w14:paraId="47E302A4" w14:textId="63B9C06D" w:rsidR="006D6083" w:rsidRPr="008043DA" w:rsidRDefault="006D6083" w:rsidP="00553E1A">
            <w:pPr>
              <w:jc w:val="both"/>
              <w:rPr>
                <w:rFonts w:ascii="Calibri Light" w:hAnsi="Calibri Light" w:cs="Calibri Light"/>
                <w:b w:val="0"/>
              </w:rPr>
            </w:pPr>
            <w:r w:rsidRPr="008043DA">
              <w:rPr>
                <w:rFonts w:ascii="Calibri Light" w:hAnsi="Calibri Light" w:cs="Calibri Light"/>
                <w:b w:val="0"/>
              </w:rPr>
              <w:t xml:space="preserve">El derecho a la integridad personal establece </w:t>
            </w:r>
            <w:r w:rsidR="00553E1A" w:rsidRPr="008043DA">
              <w:rPr>
                <w:rFonts w:ascii="Calibri Light" w:hAnsi="Calibri Light" w:cs="Calibri Light"/>
                <w:b w:val="0"/>
              </w:rPr>
              <w:t>el respeto a la integridad física, psíquica y moral. La CIDH y la Corte IDH han indicado que los familiares de víctimas de violaciones de derechos humanos pueden ser considerados a su vez como víctimas</w:t>
            </w:r>
            <w:r w:rsidR="00D82302" w:rsidRPr="008043DA">
              <w:rPr>
                <w:rFonts w:ascii="Calibri Light" w:hAnsi="Calibri Light" w:cs="Calibri Light"/>
                <w:b w:val="0"/>
              </w:rPr>
              <w:t xml:space="preserve"> que pueden ver afectadas</w:t>
            </w:r>
            <w:r w:rsidR="00553E1A" w:rsidRPr="008043DA">
              <w:rPr>
                <w:rFonts w:ascii="Calibri Light" w:hAnsi="Calibri Light" w:cs="Calibri Light"/>
                <w:b w:val="0"/>
              </w:rPr>
              <w:t xml:space="preserve"> su integridad psíquica y moral</w:t>
            </w:r>
            <w:r w:rsidR="00D82302" w:rsidRPr="008043DA">
              <w:rPr>
                <w:rFonts w:ascii="Calibri Light" w:hAnsi="Calibri Light" w:cs="Calibri Light"/>
                <w:b w:val="0"/>
              </w:rPr>
              <w:t xml:space="preserve"> a causa de</w:t>
            </w:r>
            <w:r w:rsidR="00553E1A" w:rsidRPr="008043DA">
              <w:rPr>
                <w:rFonts w:ascii="Calibri Light" w:hAnsi="Calibri Light" w:cs="Calibri Light"/>
                <w:b w:val="0"/>
              </w:rPr>
              <w:t xml:space="preserve"> las situaciones particulares </w:t>
            </w:r>
            <w:r w:rsidR="00D82302" w:rsidRPr="008043DA">
              <w:rPr>
                <w:rFonts w:ascii="Calibri Light" w:hAnsi="Calibri Light" w:cs="Calibri Light"/>
                <w:b w:val="0"/>
              </w:rPr>
              <w:t xml:space="preserve">de su familiar y </w:t>
            </w:r>
            <w:r w:rsidR="00553E1A" w:rsidRPr="008043DA">
              <w:rPr>
                <w:rFonts w:ascii="Calibri Light" w:hAnsi="Calibri Light" w:cs="Calibri Light"/>
                <w:b w:val="0"/>
              </w:rPr>
              <w:t>de las posteriores actuaciones u omisiones de las autoridades internas. En casos de desaparición forzada de personas, la violación del derecho a la integridad psíquica y moral de los familiares de las víctimas es una consecuencia directa</w:t>
            </w:r>
            <w:r w:rsidR="00D82302" w:rsidRPr="008043DA">
              <w:rPr>
                <w:rFonts w:ascii="Calibri Light" w:hAnsi="Calibri Light" w:cs="Calibri Light"/>
                <w:b w:val="0"/>
              </w:rPr>
              <w:t xml:space="preserve"> </w:t>
            </w:r>
            <w:r w:rsidR="00553E1A" w:rsidRPr="008043DA">
              <w:rPr>
                <w:rFonts w:ascii="Calibri Light" w:hAnsi="Calibri Light" w:cs="Calibri Light"/>
                <w:b w:val="0"/>
              </w:rPr>
              <w:t>de ese fenómeno, que les causa un severo sufrimiento por el</w:t>
            </w:r>
            <w:r w:rsidR="00D82302" w:rsidRPr="008043DA">
              <w:rPr>
                <w:rFonts w:ascii="Calibri Light" w:hAnsi="Calibri Light" w:cs="Calibri Light"/>
                <w:b w:val="0"/>
              </w:rPr>
              <w:t xml:space="preserve"> hecho mismo, que se acrecienta</w:t>
            </w:r>
            <w:r w:rsidR="00553E1A" w:rsidRPr="008043DA">
              <w:rPr>
                <w:rFonts w:ascii="Calibri Light" w:hAnsi="Calibri Light" w:cs="Calibri Light"/>
                <w:b w:val="0"/>
              </w:rPr>
              <w:t xml:space="preserve"> entre otros factores por la constante negativa de las autoridades estatales de proporcionar información acerca del paradero de la víctima o de iniciar una investigación eficaz para lograr el esclarecimiento de lo sucedido.</w:t>
            </w:r>
          </w:p>
          <w:p w14:paraId="33EAE5D0" w14:textId="77777777" w:rsidR="00553E1A" w:rsidRPr="008043DA" w:rsidRDefault="00553E1A" w:rsidP="00553E1A">
            <w:pPr>
              <w:jc w:val="both"/>
              <w:rPr>
                <w:rFonts w:ascii="Calibri Light" w:hAnsi="Calibri Light" w:cs="Calibri Light"/>
                <w:b w:val="0"/>
              </w:rPr>
            </w:pPr>
          </w:p>
          <w:p w14:paraId="3F1DC2F7" w14:textId="444C3962" w:rsidR="00C81BA2" w:rsidRPr="008043DA" w:rsidRDefault="006D6083" w:rsidP="00166967">
            <w:pPr>
              <w:jc w:val="both"/>
              <w:rPr>
                <w:rFonts w:ascii="Calibri Light" w:hAnsi="Calibri Light"/>
                <w:b w:val="0"/>
              </w:rPr>
            </w:pPr>
            <w:r w:rsidRPr="008043DA">
              <w:rPr>
                <w:rFonts w:ascii="Calibri Light" w:hAnsi="Calibri Light" w:cs="Calibri Light"/>
                <w:b w:val="0"/>
              </w:rPr>
              <w:t xml:space="preserve">En el presente caso, </w:t>
            </w:r>
            <w:r w:rsidR="00553E1A" w:rsidRPr="008043DA">
              <w:rPr>
                <w:rFonts w:ascii="Calibri Light" w:hAnsi="Calibri Light" w:cs="Calibri Light"/>
                <w:b w:val="0"/>
              </w:rPr>
              <w:t xml:space="preserve">la CIDH </w:t>
            </w:r>
            <w:r w:rsidRPr="008043DA">
              <w:rPr>
                <w:rFonts w:ascii="Calibri Light" w:hAnsi="Calibri Light" w:cs="Calibri Light"/>
                <w:b w:val="0"/>
              </w:rPr>
              <w:t xml:space="preserve">consideró que el solo hecho de la desaparición forzada del señor Flores </w:t>
            </w:r>
            <w:r w:rsidR="00A32DD7">
              <w:rPr>
                <w:rFonts w:ascii="Calibri Light" w:hAnsi="Calibri Light" w:cs="Calibri Light"/>
                <w:b w:val="0"/>
              </w:rPr>
              <w:t>generó</w:t>
            </w:r>
            <w:r w:rsidRPr="008043DA">
              <w:rPr>
                <w:rFonts w:ascii="Calibri Light" w:hAnsi="Calibri Light" w:cs="Calibri Light"/>
                <w:b w:val="0"/>
              </w:rPr>
              <w:t xml:space="preserve"> un profundo sentimiento de dolor, angustia e incertidumbre en sus familiares, </w:t>
            </w:r>
            <w:r w:rsidR="00A32DD7">
              <w:rPr>
                <w:rFonts w:ascii="Calibri Light" w:hAnsi="Calibri Light" w:cs="Calibri Light"/>
                <w:b w:val="0"/>
              </w:rPr>
              <w:t>profundizado</w:t>
            </w:r>
            <w:r w:rsidRPr="008043DA">
              <w:rPr>
                <w:rFonts w:ascii="Calibri Light" w:hAnsi="Calibri Light" w:cs="Calibri Light"/>
                <w:b w:val="0"/>
              </w:rPr>
              <w:t xml:space="preserve"> por las violaciones a derechos antes referidos, incluyendo su larga búsqueda de justicia, y la ausencia de esclarecimiento sobre lo ocurrido con su ser querido. Por ello, concluyó que el Estado había violado el artículo 5.1 de la CADH, en relación con el artículo 1.1, en perjuicio de las hermanas del señor Flores.</w:t>
            </w:r>
          </w:p>
          <w:p w14:paraId="5AA471B6" w14:textId="071E28B2" w:rsidR="00672538" w:rsidRPr="008043DA" w:rsidRDefault="00672538" w:rsidP="001A2DF7">
            <w:pPr>
              <w:jc w:val="both"/>
              <w:rPr>
                <w:rFonts w:ascii="Calibri Light" w:hAnsi="Calibri Light"/>
                <w:b w:val="0"/>
              </w:rPr>
            </w:pPr>
          </w:p>
        </w:tc>
      </w:tr>
      <w:tr w:rsidR="00672538" w:rsidRPr="004533E5" w14:paraId="0FBFBB6F"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A864AFE" w14:textId="77777777" w:rsidR="00672538" w:rsidRPr="008043DA" w:rsidRDefault="00672538" w:rsidP="00AC6F31">
            <w:pPr>
              <w:pStyle w:val="ListParagraph"/>
              <w:rPr>
                <w:rFonts w:ascii="Calibri Light" w:hAnsi="Calibri Light"/>
              </w:rPr>
            </w:pPr>
          </w:p>
          <w:p w14:paraId="5CF7BA21" w14:textId="5393EBC4" w:rsidR="00672538" w:rsidRPr="008043DA" w:rsidRDefault="00672538" w:rsidP="0029671B">
            <w:pPr>
              <w:pStyle w:val="ListParagraph"/>
              <w:numPr>
                <w:ilvl w:val="0"/>
                <w:numId w:val="2"/>
              </w:numPr>
              <w:jc w:val="center"/>
              <w:rPr>
                <w:rFonts w:ascii="Calibri Light" w:hAnsi="Calibri Light"/>
              </w:rPr>
            </w:pPr>
            <w:r w:rsidRPr="008043DA">
              <w:rPr>
                <w:rFonts w:ascii="Calibri Light" w:hAnsi="Calibri Light"/>
              </w:rPr>
              <w:lastRenderedPageBreak/>
              <w:t xml:space="preserve">Recomendaciones </w:t>
            </w:r>
            <w:r w:rsidR="00427D07" w:rsidRPr="008043DA">
              <w:rPr>
                <w:rFonts w:ascii="Calibri Light" w:hAnsi="Calibri Light"/>
              </w:rPr>
              <w:t>de la CIDH al Estado</w:t>
            </w:r>
          </w:p>
          <w:p w14:paraId="510D8BF9" w14:textId="77777777" w:rsidR="00672538" w:rsidRPr="008043DA" w:rsidRDefault="00672538" w:rsidP="00AC6F31">
            <w:pPr>
              <w:pStyle w:val="ListParagraph"/>
              <w:rPr>
                <w:rFonts w:ascii="Calibri Light" w:hAnsi="Calibri Light"/>
              </w:rPr>
            </w:pPr>
          </w:p>
        </w:tc>
      </w:tr>
      <w:tr w:rsidR="00672538" w:rsidRPr="004533E5" w14:paraId="3D91AF16"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6680C0C5" w14:textId="003DAC38" w:rsidR="00672538" w:rsidRPr="008043DA" w:rsidRDefault="00672538" w:rsidP="004B1311">
            <w:pPr>
              <w:pStyle w:val="ListParagraph"/>
              <w:ind w:left="0"/>
              <w:jc w:val="both"/>
              <w:rPr>
                <w:rFonts w:ascii="Calibri Light" w:hAnsi="Calibri Light" w:cs="Calibri Light"/>
                <w:b w:val="0"/>
              </w:rPr>
            </w:pPr>
          </w:p>
          <w:p w14:paraId="379D2B23" w14:textId="03001483" w:rsidR="00672538"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Investigar de manera completa, imparcial y efectiva el paradero del señor Flores, y de ser el caso, adoptar las medidas necesarias para identificar y entregar a sus familiares los restos mortales según sus deseos.</w:t>
            </w:r>
          </w:p>
          <w:p w14:paraId="04B0A821" w14:textId="77777777" w:rsidR="00266935" w:rsidRPr="008043DA" w:rsidRDefault="00266935" w:rsidP="00266935">
            <w:pPr>
              <w:pStyle w:val="ListParagraph"/>
              <w:ind w:left="360"/>
              <w:jc w:val="both"/>
              <w:rPr>
                <w:rFonts w:ascii="Calibri Light" w:hAnsi="Calibri Light" w:cs="Calibri Light"/>
                <w:b w:val="0"/>
              </w:rPr>
            </w:pPr>
          </w:p>
          <w:p w14:paraId="78118028" w14:textId="77777777"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Llevar a cabo los procedimientos internos relacionados con las violaciones a los derechos</w:t>
            </w:r>
            <w:r w:rsidRPr="008043DA">
              <w:rPr>
                <w:rFonts w:ascii="Calibri Light" w:hAnsi="Calibri Light" w:cs="Calibri Light"/>
              </w:rPr>
              <w:t xml:space="preserve"> </w:t>
            </w:r>
            <w:r w:rsidRPr="008043DA">
              <w:rPr>
                <w:rFonts w:ascii="Calibri Light" w:hAnsi="Calibri Light" w:cs="Calibri Light"/>
                <w:b w:val="0"/>
              </w:rPr>
              <w:t>humanos declaradas, de manera imparcial, efectiva y dentro de un plazo razonable, con el objeto de esclarecer los hechos en forma completa, identificar a todos los responsables e imponer las sanciones que correspondan.</w:t>
            </w:r>
          </w:p>
          <w:p w14:paraId="082EB869" w14:textId="77777777" w:rsidR="00266935" w:rsidRPr="008043DA" w:rsidRDefault="00266935" w:rsidP="00266935">
            <w:pPr>
              <w:pStyle w:val="ListParagraph"/>
              <w:ind w:left="360"/>
              <w:jc w:val="both"/>
              <w:rPr>
                <w:rFonts w:ascii="Calibri Light" w:hAnsi="Calibri Light" w:cs="Calibri Light"/>
                <w:b w:val="0"/>
              </w:rPr>
            </w:pPr>
          </w:p>
          <w:p w14:paraId="3D3C5363" w14:textId="0BAFC1D9"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Reparar adecuadamente las violaciones de derechos humanos declaradas tanto en el aspecto material como moral, incluyendo una justa compensación. Además, deberá adoptar medidas de satisfacción para la recuperación de la memoria histórica de la vida y rol del señor Flores como líder social y político. Las medidas de satisfacción también deberán incluir un acto público de reconocimiento de responsabilidad.</w:t>
            </w:r>
          </w:p>
          <w:p w14:paraId="3F40CD80" w14:textId="77777777" w:rsidR="00266935" w:rsidRPr="008043DA" w:rsidRDefault="00266935" w:rsidP="00266935">
            <w:pPr>
              <w:rPr>
                <w:rFonts w:ascii="Calibri Light" w:hAnsi="Calibri Light" w:cs="Calibri Light"/>
              </w:rPr>
            </w:pPr>
          </w:p>
          <w:p w14:paraId="4130D688" w14:textId="77777777"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Disponer las medidas de atención en salud física y mental necesarias para la rehabilitación de los familiares declarados víctimas, de ser su voluntad y de manera concertada.</w:t>
            </w:r>
          </w:p>
          <w:p w14:paraId="4A151027" w14:textId="77777777" w:rsidR="00266935" w:rsidRPr="008043DA" w:rsidRDefault="00266935" w:rsidP="00266935">
            <w:pPr>
              <w:jc w:val="both"/>
              <w:rPr>
                <w:rFonts w:ascii="Calibri Light" w:hAnsi="Calibri Light" w:cs="Calibri Light"/>
              </w:rPr>
            </w:pPr>
          </w:p>
          <w:p w14:paraId="5B2EDD79" w14:textId="592ADD99"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Disponer las medidas necesarias para cumplir con sus obligaciones en materia de acceso a la información a los archivos</w:t>
            </w:r>
            <w:r w:rsidRPr="008043DA">
              <w:rPr>
                <w:rFonts w:ascii="Calibri Light" w:hAnsi="Calibri Light" w:cs="Calibri Light"/>
              </w:rPr>
              <w:t xml:space="preserve"> </w:t>
            </w:r>
            <w:r w:rsidRPr="008043DA">
              <w:rPr>
                <w:rFonts w:ascii="Calibri Light" w:hAnsi="Calibri Light" w:cs="Calibri Light"/>
                <w:b w:val="0"/>
              </w:rPr>
              <w:t>estatales, incluidos los militares, relacionados con las graves violaciones de derechos humanos cometidas</w:t>
            </w:r>
            <w:r w:rsidRPr="008043DA">
              <w:rPr>
                <w:rFonts w:ascii="Calibri Light" w:hAnsi="Calibri Light" w:cs="Calibri Light"/>
              </w:rPr>
              <w:t xml:space="preserve"> </w:t>
            </w:r>
            <w:r w:rsidRPr="008043DA">
              <w:rPr>
                <w:rFonts w:ascii="Calibri Light" w:hAnsi="Calibri Light" w:cs="Calibri Light"/>
                <w:b w:val="0"/>
              </w:rPr>
              <w:t>durante la dictadura de García Meza. Especialmente, adoptar políticas dirigidas a obtener, producir,</w:t>
            </w:r>
            <w:r w:rsidRPr="008043DA">
              <w:rPr>
                <w:rFonts w:ascii="Calibri Light" w:hAnsi="Calibri Light" w:cs="Calibri Light"/>
              </w:rPr>
              <w:t xml:space="preserve"> </w:t>
            </w:r>
            <w:r w:rsidRPr="008043DA">
              <w:rPr>
                <w:rFonts w:ascii="Calibri Light" w:hAnsi="Calibri Light" w:cs="Calibri Light"/>
                <w:b w:val="0"/>
              </w:rPr>
              <w:t>analizar, reconstruir, organizar y facilitar la información contenida en dichos archivos y que resulta necesaria para conocer la verdad de lo sucedido en este caso, garantizando el acceso directo por parte de los familiares del señor Flores y de la sociedad en su conjunto.</w:t>
            </w:r>
          </w:p>
          <w:p w14:paraId="2FF3440C" w14:textId="77777777" w:rsidR="00266935" w:rsidRPr="008043DA" w:rsidRDefault="00266935" w:rsidP="00266935">
            <w:pPr>
              <w:pStyle w:val="ListParagraph"/>
              <w:rPr>
                <w:rFonts w:ascii="Calibri Light" w:hAnsi="Calibri Light" w:cs="Calibri Light"/>
              </w:rPr>
            </w:pPr>
          </w:p>
          <w:p w14:paraId="22C98163" w14:textId="6D873388"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Adoptar las medidas de no repetición necesarias para evitar que en el futuro se produzcan</w:t>
            </w:r>
            <w:r w:rsidRPr="008043DA">
              <w:rPr>
                <w:rFonts w:ascii="Calibri Light" w:hAnsi="Calibri Light" w:cs="Calibri Light"/>
              </w:rPr>
              <w:t xml:space="preserve"> </w:t>
            </w:r>
            <w:r w:rsidRPr="008043DA">
              <w:rPr>
                <w:rFonts w:ascii="Calibri Light" w:hAnsi="Calibri Light" w:cs="Calibri Light"/>
                <w:b w:val="0"/>
              </w:rPr>
              <w:t>hechos similares, incluyendo mecanismos efectivos para la búsqueda e identificación de restos mortales de</w:t>
            </w:r>
            <w:r w:rsidRPr="008043DA">
              <w:rPr>
                <w:rFonts w:ascii="Calibri Light" w:hAnsi="Calibri Light" w:cs="Calibri Light"/>
              </w:rPr>
              <w:t xml:space="preserve"> </w:t>
            </w:r>
            <w:r w:rsidRPr="008043DA">
              <w:rPr>
                <w:rFonts w:ascii="Calibri Light" w:hAnsi="Calibri Light" w:cs="Calibri Light"/>
                <w:b w:val="0"/>
              </w:rPr>
              <w:t>personas desaparecidas du</w:t>
            </w:r>
            <w:r w:rsidR="00FB379C" w:rsidRPr="008043DA">
              <w:rPr>
                <w:rFonts w:ascii="Calibri Light" w:hAnsi="Calibri Light" w:cs="Calibri Light"/>
                <w:b w:val="0"/>
              </w:rPr>
              <w:t>rante las dictaduras militares</w:t>
            </w:r>
            <w:r w:rsidRPr="008043DA">
              <w:rPr>
                <w:rFonts w:ascii="Calibri Light" w:hAnsi="Calibri Light" w:cs="Calibri Light"/>
                <w:b w:val="0"/>
              </w:rPr>
              <w:t>. Asimismo, promulgar</w:t>
            </w:r>
            <w:r w:rsidRPr="008043DA">
              <w:rPr>
                <w:rFonts w:ascii="Calibri Light" w:hAnsi="Calibri Light" w:cs="Calibri Light"/>
              </w:rPr>
              <w:t xml:space="preserve"> </w:t>
            </w:r>
            <w:r w:rsidRPr="008043DA">
              <w:rPr>
                <w:rFonts w:ascii="Calibri Light" w:hAnsi="Calibri Light" w:cs="Calibri Light"/>
                <w:b w:val="0"/>
              </w:rPr>
              <w:t>una ley y establecer mecanismos institucionales para garantizar el pleno y efectivo del derecho de acceso a la información pública, que contenga claras salvaguardas para el acceso a la información sobre graves violaciones de derechos humanos.</w:t>
            </w:r>
          </w:p>
          <w:p w14:paraId="27758AA2" w14:textId="77777777" w:rsidR="00266935" w:rsidRPr="008043DA" w:rsidRDefault="00266935" w:rsidP="00266935">
            <w:pPr>
              <w:pStyle w:val="ListParagraph"/>
              <w:rPr>
                <w:rFonts w:ascii="Calibri Light" w:hAnsi="Calibri Light" w:cs="Calibri Light"/>
              </w:rPr>
            </w:pPr>
          </w:p>
          <w:p w14:paraId="467C2E1C" w14:textId="170835D3" w:rsidR="00266935" w:rsidRPr="008043DA" w:rsidRDefault="00266935" w:rsidP="00266935">
            <w:pPr>
              <w:pStyle w:val="ListParagraph"/>
              <w:numPr>
                <w:ilvl w:val="0"/>
                <w:numId w:val="4"/>
              </w:numPr>
              <w:jc w:val="both"/>
              <w:rPr>
                <w:rFonts w:ascii="Calibri Light" w:hAnsi="Calibri Light" w:cs="Calibri Light"/>
                <w:b w:val="0"/>
              </w:rPr>
            </w:pPr>
            <w:r w:rsidRPr="008043DA">
              <w:rPr>
                <w:rFonts w:ascii="Calibri Light" w:hAnsi="Calibri Light" w:cs="Calibri Light"/>
                <w:b w:val="0"/>
              </w:rPr>
              <w:t>Reintegrar los gastos del Fondo de Asistencia Legal de Víctimas de la CIDH por la cantidad erogada durante la tramitación del presente caso.</w:t>
            </w:r>
          </w:p>
          <w:p w14:paraId="49863AFC" w14:textId="1E79ECBF" w:rsidR="00266935" w:rsidRPr="008043DA" w:rsidRDefault="00266935" w:rsidP="00266935">
            <w:pPr>
              <w:jc w:val="both"/>
              <w:rPr>
                <w:rFonts w:ascii="Calibri Light" w:hAnsi="Calibri Light" w:cs="Calibri Light"/>
              </w:rPr>
            </w:pPr>
          </w:p>
        </w:tc>
      </w:tr>
      <w:tr w:rsidR="00672538" w:rsidRPr="004533E5" w14:paraId="0B7CC98E" w14:textId="77777777" w:rsidTr="0067253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66CFB853" w14:textId="77777777" w:rsidR="00672538" w:rsidRPr="00310836" w:rsidRDefault="00672538" w:rsidP="00F464EC">
            <w:pPr>
              <w:pStyle w:val="ListParagraph"/>
              <w:spacing w:after="200" w:line="276" w:lineRule="auto"/>
              <w:rPr>
                <w:rFonts w:ascii="Calibri Light" w:hAnsi="Calibri Light"/>
              </w:rPr>
            </w:pPr>
          </w:p>
          <w:p w14:paraId="7B045F14" w14:textId="2270E615" w:rsidR="00672538" w:rsidRPr="00310836" w:rsidRDefault="00672538" w:rsidP="00F464EC">
            <w:pPr>
              <w:pStyle w:val="ListParagraph"/>
              <w:numPr>
                <w:ilvl w:val="0"/>
                <w:numId w:val="2"/>
              </w:numPr>
              <w:spacing w:after="200" w:line="276" w:lineRule="auto"/>
              <w:jc w:val="center"/>
              <w:rPr>
                <w:rFonts w:ascii="Calibri Light" w:hAnsi="Calibri Light"/>
              </w:rPr>
            </w:pPr>
            <w:r w:rsidRPr="00310836">
              <w:rPr>
                <w:rFonts w:ascii="Calibri Light" w:hAnsi="Calibri Light"/>
              </w:rPr>
              <w:t>Análisis de cumplimiento de las recomendaciones</w:t>
            </w:r>
          </w:p>
          <w:p w14:paraId="3C93C1C0" w14:textId="77777777" w:rsidR="00672538" w:rsidRPr="00310836" w:rsidRDefault="00672538" w:rsidP="00F464EC">
            <w:pPr>
              <w:pStyle w:val="ListParagraph"/>
              <w:ind w:left="0"/>
              <w:jc w:val="center"/>
              <w:rPr>
                <w:rFonts w:ascii="Calibri Light" w:hAnsi="Calibri Light"/>
                <w:b w:val="0"/>
              </w:rPr>
            </w:pPr>
          </w:p>
        </w:tc>
      </w:tr>
      <w:tr w:rsidR="00672538" w:rsidRPr="004533E5" w14:paraId="41FA15A1" w14:textId="77777777" w:rsidTr="0067253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59C6DB00" w14:textId="3B424A5B" w:rsidR="00672538" w:rsidRPr="00310836" w:rsidRDefault="00672538" w:rsidP="00826869">
            <w:pPr>
              <w:pStyle w:val="ListParagraph"/>
              <w:ind w:left="0"/>
              <w:jc w:val="center"/>
              <w:rPr>
                <w:rFonts w:ascii="Calibri Light" w:hAnsi="Calibri Light"/>
                <w:b w:val="0"/>
              </w:rPr>
            </w:pPr>
          </w:p>
          <w:p w14:paraId="1F3EA985" w14:textId="4ED84473" w:rsidR="00672538" w:rsidRPr="00310836" w:rsidRDefault="00672538" w:rsidP="00826869">
            <w:pPr>
              <w:pStyle w:val="ListParagraph"/>
              <w:ind w:left="0"/>
              <w:jc w:val="center"/>
              <w:rPr>
                <w:rFonts w:ascii="Calibri Light" w:hAnsi="Calibri Light"/>
                <w:b w:val="0"/>
              </w:rPr>
            </w:pPr>
          </w:p>
        </w:tc>
      </w:tr>
    </w:tbl>
    <w:p w14:paraId="23A9A3C3" w14:textId="77777777" w:rsidR="00714E42" w:rsidRDefault="00714E42" w:rsidP="00A65231"/>
    <w:sectPr w:rsidR="00714E42"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FFAB3" w14:textId="77777777" w:rsidR="008E47B2" w:rsidRDefault="008E47B2" w:rsidP="00A65231">
      <w:pPr>
        <w:spacing w:after="0" w:line="240" w:lineRule="auto"/>
      </w:pPr>
      <w:r>
        <w:separator/>
      </w:r>
    </w:p>
  </w:endnote>
  <w:endnote w:type="continuationSeparator" w:id="0">
    <w:p w14:paraId="689F96D4" w14:textId="77777777" w:rsidR="008E47B2" w:rsidRDefault="008E47B2"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1E7B8806" w:rsidR="00AA24AA" w:rsidRDefault="00AA24AA">
        <w:pPr>
          <w:pStyle w:val="Footer"/>
          <w:jc w:val="right"/>
        </w:pPr>
        <w:r>
          <w:fldChar w:fldCharType="begin"/>
        </w:r>
        <w:r>
          <w:instrText>PAGE   \* MERGEFORMAT</w:instrText>
        </w:r>
        <w:r>
          <w:fldChar w:fldCharType="separate"/>
        </w:r>
        <w:r w:rsidR="00112FED" w:rsidRPr="00112FED">
          <w:rPr>
            <w:noProof/>
            <w:lang w:val="es-ES"/>
          </w:rPr>
          <w:t>6</w:t>
        </w:r>
        <w:r>
          <w:fldChar w:fldCharType="end"/>
        </w:r>
      </w:p>
    </w:sdtContent>
  </w:sdt>
  <w:p w14:paraId="6353BB13" w14:textId="77777777" w:rsidR="00AA24AA" w:rsidRDefault="00AA2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CAD4" w14:textId="77777777" w:rsidR="008E47B2" w:rsidRDefault="008E47B2" w:rsidP="00A65231">
      <w:pPr>
        <w:spacing w:after="0" w:line="240" w:lineRule="auto"/>
      </w:pPr>
      <w:r>
        <w:separator/>
      </w:r>
    </w:p>
  </w:footnote>
  <w:footnote w:type="continuationSeparator" w:id="0">
    <w:p w14:paraId="2A01CBA3" w14:textId="77777777" w:rsidR="008E47B2" w:rsidRDefault="008E47B2"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63E60"/>
    <w:multiLevelType w:val="hybridMultilevel"/>
    <w:tmpl w:val="84BE01FC"/>
    <w:lvl w:ilvl="0" w:tplc="69EABA4C">
      <w:start w:val="1"/>
      <w:numFmt w:val="lowerRoman"/>
      <w:lvlText w:val="%1."/>
      <w:lvlJc w:val="left"/>
      <w:pPr>
        <w:ind w:left="720" w:hanging="72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92B476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5"/>
  </w:num>
  <w:num w:numId="6">
    <w:abstractNumId w:val="10"/>
  </w:num>
  <w:num w:numId="7">
    <w:abstractNumId w:val="7"/>
  </w:num>
  <w:num w:numId="8">
    <w:abstractNumId w:val="11"/>
  </w:num>
  <w:num w:numId="9">
    <w:abstractNumId w:val="2"/>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7257"/>
    <w:rsid w:val="00050512"/>
    <w:rsid w:val="00061E2D"/>
    <w:rsid w:val="0008203A"/>
    <w:rsid w:val="00093D31"/>
    <w:rsid w:val="000A0C5C"/>
    <w:rsid w:val="000A1C6B"/>
    <w:rsid w:val="000C011A"/>
    <w:rsid w:val="000C2ED1"/>
    <w:rsid w:val="000C5A72"/>
    <w:rsid w:val="000C6166"/>
    <w:rsid w:val="000D0FFB"/>
    <w:rsid w:val="000D2609"/>
    <w:rsid w:val="000D3CF2"/>
    <w:rsid w:val="000D799B"/>
    <w:rsid w:val="000E61E1"/>
    <w:rsid w:val="000F12DB"/>
    <w:rsid w:val="000F2C70"/>
    <w:rsid w:val="000F47FB"/>
    <w:rsid w:val="001026DE"/>
    <w:rsid w:val="00103C4C"/>
    <w:rsid w:val="001077C9"/>
    <w:rsid w:val="00111A5A"/>
    <w:rsid w:val="00112FED"/>
    <w:rsid w:val="001179F9"/>
    <w:rsid w:val="00117B5F"/>
    <w:rsid w:val="00122DA7"/>
    <w:rsid w:val="00131F0F"/>
    <w:rsid w:val="00134E17"/>
    <w:rsid w:val="00142A41"/>
    <w:rsid w:val="00162881"/>
    <w:rsid w:val="00166967"/>
    <w:rsid w:val="00172ED8"/>
    <w:rsid w:val="001754B7"/>
    <w:rsid w:val="001A14F7"/>
    <w:rsid w:val="001A2DF7"/>
    <w:rsid w:val="001A654D"/>
    <w:rsid w:val="001C0894"/>
    <w:rsid w:val="001C28EC"/>
    <w:rsid w:val="001D066F"/>
    <w:rsid w:val="001D40D2"/>
    <w:rsid w:val="001D417F"/>
    <w:rsid w:val="001E237B"/>
    <w:rsid w:val="002055C7"/>
    <w:rsid w:val="00212F62"/>
    <w:rsid w:val="00213757"/>
    <w:rsid w:val="00213A84"/>
    <w:rsid w:val="00216A2A"/>
    <w:rsid w:val="00220B75"/>
    <w:rsid w:val="0022426F"/>
    <w:rsid w:val="00226BE9"/>
    <w:rsid w:val="00237E09"/>
    <w:rsid w:val="00243C42"/>
    <w:rsid w:val="00252E50"/>
    <w:rsid w:val="00266935"/>
    <w:rsid w:val="002720DA"/>
    <w:rsid w:val="00273EA6"/>
    <w:rsid w:val="00280835"/>
    <w:rsid w:val="002828A1"/>
    <w:rsid w:val="002853AB"/>
    <w:rsid w:val="00287BBC"/>
    <w:rsid w:val="00287C06"/>
    <w:rsid w:val="0029049D"/>
    <w:rsid w:val="00291F24"/>
    <w:rsid w:val="002938AF"/>
    <w:rsid w:val="00295E72"/>
    <w:rsid w:val="0029671B"/>
    <w:rsid w:val="002B2C58"/>
    <w:rsid w:val="002C4CED"/>
    <w:rsid w:val="002C67E8"/>
    <w:rsid w:val="002D1D2F"/>
    <w:rsid w:val="002D3566"/>
    <w:rsid w:val="002D4A90"/>
    <w:rsid w:val="002D5158"/>
    <w:rsid w:val="002D56E5"/>
    <w:rsid w:val="002D7F8F"/>
    <w:rsid w:val="002E073B"/>
    <w:rsid w:val="002E18A5"/>
    <w:rsid w:val="002E29BF"/>
    <w:rsid w:val="002E42FA"/>
    <w:rsid w:val="002E4FA0"/>
    <w:rsid w:val="002F4E35"/>
    <w:rsid w:val="002F7136"/>
    <w:rsid w:val="00310250"/>
    <w:rsid w:val="00310836"/>
    <w:rsid w:val="003111DB"/>
    <w:rsid w:val="00313025"/>
    <w:rsid w:val="00317EE5"/>
    <w:rsid w:val="00326299"/>
    <w:rsid w:val="0033703C"/>
    <w:rsid w:val="003501C8"/>
    <w:rsid w:val="003520D7"/>
    <w:rsid w:val="003570F3"/>
    <w:rsid w:val="00362B83"/>
    <w:rsid w:val="00365121"/>
    <w:rsid w:val="00367D59"/>
    <w:rsid w:val="00373D61"/>
    <w:rsid w:val="0037546D"/>
    <w:rsid w:val="0038064A"/>
    <w:rsid w:val="00382199"/>
    <w:rsid w:val="003920AF"/>
    <w:rsid w:val="00393029"/>
    <w:rsid w:val="00394D84"/>
    <w:rsid w:val="00397406"/>
    <w:rsid w:val="00397BF6"/>
    <w:rsid w:val="003A0CC7"/>
    <w:rsid w:val="003B0A2C"/>
    <w:rsid w:val="003C7680"/>
    <w:rsid w:val="003D1260"/>
    <w:rsid w:val="003D2A0A"/>
    <w:rsid w:val="003D5DA0"/>
    <w:rsid w:val="003E1555"/>
    <w:rsid w:val="003E2B29"/>
    <w:rsid w:val="003E6AB8"/>
    <w:rsid w:val="003F2803"/>
    <w:rsid w:val="004028E0"/>
    <w:rsid w:val="00411A74"/>
    <w:rsid w:val="00414F2C"/>
    <w:rsid w:val="00421D6C"/>
    <w:rsid w:val="00423B23"/>
    <w:rsid w:val="0042581C"/>
    <w:rsid w:val="00427D07"/>
    <w:rsid w:val="00427D17"/>
    <w:rsid w:val="004343A6"/>
    <w:rsid w:val="00441ADC"/>
    <w:rsid w:val="00450046"/>
    <w:rsid w:val="00451809"/>
    <w:rsid w:val="00452AA6"/>
    <w:rsid w:val="004533E5"/>
    <w:rsid w:val="00464CAC"/>
    <w:rsid w:val="0047548C"/>
    <w:rsid w:val="004839E2"/>
    <w:rsid w:val="004858A8"/>
    <w:rsid w:val="004861D8"/>
    <w:rsid w:val="004A12AB"/>
    <w:rsid w:val="004A3A07"/>
    <w:rsid w:val="004A57B6"/>
    <w:rsid w:val="004B1311"/>
    <w:rsid w:val="004B2686"/>
    <w:rsid w:val="004B2DB0"/>
    <w:rsid w:val="004B6873"/>
    <w:rsid w:val="004B78B6"/>
    <w:rsid w:val="004C0481"/>
    <w:rsid w:val="004C2E50"/>
    <w:rsid w:val="004E58DE"/>
    <w:rsid w:val="004E678F"/>
    <w:rsid w:val="004F061A"/>
    <w:rsid w:val="004F4491"/>
    <w:rsid w:val="004F6E09"/>
    <w:rsid w:val="005000F5"/>
    <w:rsid w:val="0051197B"/>
    <w:rsid w:val="005173CF"/>
    <w:rsid w:val="00532847"/>
    <w:rsid w:val="005415A9"/>
    <w:rsid w:val="00542A5B"/>
    <w:rsid w:val="0054674F"/>
    <w:rsid w:val="00553E1A"/>
    <w:rsid w:val="00557C90"/>
    <w:rsid w:val="005612FD"/>
    <w:rsid w:val="00561359"/>
    <w:rsid w:val="005631C8"/>
    <w:rsid w:val="0057228B"/>
    <w:rsid w:val="00580A2E"/>
    <w:rsid w:val="00597E6D"/>
    <w:rsid w:val="005A1DB6"/>
    <w:rsid w:val="005A1F7A"/>
    <w:rsid w:val="005A545F"/>
    <w:rsid w:val="005B7F2B"/>
    <w:rsid w:val="005C3229"/>
    <w:rsid w:val="005C7F1E"/>
    <w:rsid w:val="005D4FDF"/>
    <w:rsid w:val="005D5D06"/>
    <w:rsid w:val="005D734C"/>
    <w:rsid w:val="005F442D"/>
    <w:rsid w:val="006007A4"/>
    <w:rsid w:val="00601A0D"/>
    <w:rsid w:val="006051D5"/>
    <w:rsid w:val="00606E09"/>
    <w:rsid w:val="006109F7"/>
    <w:rsid w:val="00613D24"/>
    <w:rsid w:val="00620BB4"/>
    <w:rsid w:val="00621F07"/>
    <w:rsid w:val="00625CDF"/>
    <w:rsid w:val="00640787"/>
    <w:rsid w:val="006407DD"/>
    <w:rsid w:val="00653A1A"/>
    <w:rsid w:val="00662334"/>
    <w:rsid w:val="00672538"/>
    <w:rsid w:val="00676230"/>
    <w:rsid w:val="00682669"/>
    <w:rsid w:val="00682FB2"/>
    <w:rsid w:val="006853B3"/>
    <w:rsid w:val="00685F04"/>
    <w:rsid w:val="006A3F5E"/>
    <w:rsid w:val="006A4E40"/>
    <w:rsid w:val="006A6517"/>
    <w:rsid w:val="006A7618"/>
    <w:rsid w:val="006B28C2"/>
    <w:rsid w:val="006B4F38"/>
    <w:rsid w:val="006C1713"/>
    <w:rsid w:val="006C34E2"/>
    <w:rsid w:val="006C767A"/>
    <w:rsid w:val="006D488A"/>
    <w:rsid w:val="006D6083"/>
    <w:rsid w:val="006F0396"/>
    <w:rsid w:val="00700883"/>
    <w:rsid w:val="00700B3D"/>
    <w:rsid w:val="0070524A"/>
    <w:rsid w:val="00710A11"/>
    <w:rsid w:val="00714E42"/>
    <w:rsid w:val="0073272E"/>
    <w:rsid w:val="00732BC0"/>
    <w:rsid w:val="00732EDB"/>
    <w:rsid w:val="00733A0E"/>
    <w:rsid w:val="00733E0F"/>
    <w:rsid w:val="00745A34"/>
    <w:rsid w:val="00747E22"/>
    <w:rsid w:val="00750A6A"/>
    <w:rsid w:val="007518FD"/>
    <w:rsid w:val="007532FD"/>
    <w:rsid w:val="0075589C"/>
    <w:rsid w:val="007572E9"/>
    <w:rsid w:val="00762060"/>
    <w:rsid w:val="00763459"/>
    <w:rsid w:val="0078152B"/>
    <w:rsid w:val="00790783"/>
    <w:rsid w:val="00791365"/>
    <w:rsid w:val="00794463"/>
    <w:rsid w:val="0079477F"/>
    <w:rsid w:val="007A6C56"/>
    <w:rsid w:val="007B1131"/>
    <w:rsid w:val="007B21A1"/>
    <w:rsid w:val="007B2A0D"/>
    <w:rsid w:val="007B39E9"/>
    <w:rsid w:val="007B3F30"/>
    <w:rsid w:val="007B7ED8"/>
    <w:rsid w:val="007C1F53"/>
    <w:rsid w:val="007C597B"/>
    <w:rsid w:val="007E382B"/>
    <w:rsid w:val="007E740B"/>
    <w:rsid w:val="007F38C8"/>
    <w:rsid w:val="007F73E0"/>
    <w:rsid w:val="00802D6A"/>
    <w:rsid w:val="008036E7"/>
    <w:rsid w:val="00803857"/>
    <w:rsid w:val="00803879"/>
    <w:rsid w:val="008043DA"/>
    <w:rsid w:val="008154EE"/>
    <w:rsid w:val="00820D2C"/>
    <w:rsid w:val="00826869"/>
    <w:rsid w:val="008306D3"/>
    <w:rsid w:val="008416CC"/>
    <w:rsid w:val="00841B0E"/>
    <w:rsid w:val="00850A45"/>
    <w:rsid w:val="00862F09"/>
    <w:rsid w:val="00865E7D"/>
    <w:rsid w:val="00866A4D"/>
    <w:rsid w:val="008704B9"/>
    <w:rsid w:val="00871530"/>
    <w:rsid w:val="008742D2"/>
    <w:rsid w:val="00875C9B"/>
    <w:rsid w:val="0088141B"/>
    <w:rsid w:val="00895084"/>
    <w:rsid w:val="008A0F6C"/>
    <w:rsid w:val="008C578D"/>
    <w:rsid w:val="008D1B19"/>
    <w:rsid w:val="008E47B2"/>
    <w:rsid w:val="008E6CC6"/>
    <w:rsid w:val="008F0C5B"/>
    <w:rsid w:val="00902182"/>
    <w:rsid w:val="0090367F"/>
    <w:rsid w:val="00916F41"/>
    <w:rsid w:val="00921D52"/>
    <w:rsid w:val="009261E2"/>
    <w:rsid w:val="00931244"/>
    <w:rsid w:val="0093615E"/>
    <w:rsid w:val="009363AD"/>
    <w:rsid w:val="00947225"/>
    <w:rsid w:val="00954E20"/>
    <w:rsid w:val="009635EA"/>
    <w:rsid w:val="009647D9"/>
    <w:rsid w:val="009677D4"/>
    <w:rsid w:val="00970941"/>
    <w:rsid w:val="00975D0F"/>
    <w:rsid w:val="00984BBF"/>
    <w:rsid w:val="00987DF7"/>
    <w:rsid w:val="00990825"/>
    <w:rsid w:val="00996958"/>
    <w:rsid w:val="009978DE"/>
    <w:rsid w:val="009A66AE"/>
    <w:rsid w:val="009A694C"/>
    <w:rsid w:val="009B0A86"/>
    <w:rsid w:val="009B0E72"/>
    <w:rsid w:val="009C2C05"/>
    <w:rsid w:val="009C53B1"/>
    <w:rsid w:val="009D0AA1"/>
    <w:rsid w:val="009D24D2"/>
    <w:rsid w:val="009D4E29"/>
    <w:rsid w:val="009E6228"/>
    <w:rsid w:val="009F52D0"/>
    <w:rsid w:val="009F6931"/>
    <w:rsid w:val="00A018FC"/>
    <w:rsid w:val="00A01C9E"/>
    <w:rsid w:val="00A06F98"/>
    <w:rsid w:val="00A10F23"/>
    <w:rsid w:val="00A125A9"/>
    <w:rsid w:val="00A133CC"/>
    <w:rsid w:val="00A208BC"/>
    <w:rsid w:val="00A20932"/>
    <w:rsid w:val="00A20A3D"/>
    <w:rsid w:val="00A271BF"/>
    <w:rsid w:val="00A3105E"/>
    <w:rsid w:val="00A32DD7"/>
    <w:rsid w:val="00A36C0B"/>
    <w:rsid w:val="00A423CC"/>
    <w:rsid w:val="00A43863"/>
    <w:rsid w:val="00A438B0"/>
    <w:rsid w:val="00A4435A"/>
    <w:rsid w:val="00A5581A"/>
    <w:rsid w:val="00A5763F"/>
    <w:rsid w:val="00A60087"/>
    <w:rsid w:val="00A65231"/>
    <w:rsid w:val="00A709B1"/>
    <w:rsid w:val="00A76081"/>
    <w:rsid w:val="00A76920"/>
    <w:rsid w:val="00A815C4"/>
    <w:rsid w:val="00A85413"/>
    <w:rsid w:val="00A85DC9"/>
    <w:rsid w:val="00A91B24"/>
    <w:rsid w:val="00A94EE7"/>
    <w:rsid w:val="00AA24AA"/>
    <w:rsid w:val="00AA6676"/>
    <w:rsid w:val="00AC251C"/>
    <w:rsid w:val="00AC56D8"/>
    <w:rsid w:val="00AC5A6A"/>
    <w:rsid w:val="00AC6F31"/>
    <w:rsid w:val="00AD0980"/>
    <w:rsid w:val="00AD29F3"/>
    <w:rsid w:val="00AD36B4"/>
    <w:rsid w:val="00AE31D9"/>
    <w:rsid w:val="00AF0F2A"/>
    <w:rsid w:val="00AF2E49"/>
    <w:rsid w:val="00AF53F6"/>
    <w:rsid w:val="00B00F1C"/>
    <w:rsid w:val="00B07E72"/>
    <w:rsid w:val="00B1308C"/>
    <w:rsid w:val="00B15F5E"/>
    <w:rsid w:val="00B20566"/>
    <w:rsid w:val="00B301D6"/>
    <w:rsid w:val="00B31B0E"/>
    <w:rsid w:val="00B32A3D"/>
    <w:rsid w:val="00B379D5"/>
    <w:rsid w:val="00B44EA1"/>
    <w:rsid w:val="00B535C2"/>
    <w:rsid w:val="00B55B40"/>
    <w:rsid w:val="00B56E3A"/>
    <w:rsid w:val="00B601D4"/>
    <w:rsid w:val="00B6265F"/>
    <w:rsid w:val="00B6607C"/>
    <w:rsid w:val="00B71B8C"/>
    <w:rsid w:val="00B74514"/>
    <w:rsid w:val="00B75062"/>
    <w:rsid w:val="00B771B5"/>
    <w:rsid w:val="00B80173"/>
    <w:rsid w:val="00B8461F"/>
    <w:rsid w:val="00B84CF3"/>
    <w:rsid w:val="00B90050"/>
    <w:rsid w:val="00B93CB9"/>
    <w:rsid w:val="00B9741A"/>
    <w:rsid w:val="00BA0B2B"/>
    <w:rsid w:val="00BA1661"/>
    <w:rsid w:val="00BA2B50"/>
    <w:rsid w:val="00BA36C3"/>
    <w:rsid w:val="00BA7DB9"/>
    <w:rsid w:val="00BB61C6"/>
    <w:rsid w:val="00BC3C74"/>
    <w:rsid w:val="00BC6AC9"/>
    <w:rsid w:val="00BD48E5"/>
    <w:rsid w:val="00BE01A1"/>
    <w:rsid w:val="00BE14DF"/>
    <w:rsid w:val="00BE4AFD"/>
    <w:rsid w:val="00BE6FA1"/>
    <w:rsid w:val="00BF2A00"/>
    <w:rsid w:val="00BF45AC"/>
    <w:rsid w:val="00BF4A17"/>
    <w:rsid w:val="00BF5747"/>
    <w:rsid w:val="00C00B4A"/>
    <w:rsid w:val="00C05D48"/>
    <w:rsid w:val="00C0677A"/>
    <w:rsid w:val="00C10BC5"/>
    <w:rsid w:val="00C12A0A"/>
    <w:rsid w:val="00C176B3"/>
    <w:rsid w:val="00C20AC7"/>
    <w:rsid w:val="00C31DFF"/>
    <w:rsid w:val="00C44544"/>
    <w:rsid w:val="00C45E7F"/>
    <w:rsid w:val="00C47FFC"/>
    <w:rsid w:val="00C534F7"/>
    <w:rsid w:val="00C542EC"/>
    <w:rsid w:val="00C61809"/>
    <w:rsid w:val="00C627BB"/>
    <w:rsid w:val="00C63B25"/>
    <w:rsid w:val="00C72CF5"/>
    <w:rsid w:val="00C81BA2"/>
    <w:rsid w:val="00C81C09"/>
    <w:rsid w:val="00C86F65"/>
    <w:rsid w:val="00C9455E"/>
    <w:rsid w:val="00C95883"/>
    <w:rsid w:val="00CA4594"/>
    <w:rsid w:val="00CA50BF"/>
    <w:rsid w:val="00CB17DB"/>
    <w:rsid w:val="00CB180B"/>
    <w:rsid w:val="00CC55AE"/>
    <w:rsid w:val="00CC56EE"/>
    <w:rsid w:val="00CC717F"/>
    <w:rsid w:val="00CC76A5"/>
    <w:rsid w:val="00CD3556"/>
    <w:rsid w:val="00CD4568"/>
    <w:rsid w:val="00CE1064"/>
    <w:rsid w:val="00CE514A"/>
    <w:rsid w:val="00CF2D40"/>
    <w:rsid w:val="00D03BA1"/>
    <w:rsid w:val="00D045D3"/>
    <w:rsid w:val="00D0696E"/>
    <w:rsid w:val="00D10449"/>
    <w:rsid w:val="00D2372D"/>
    <w:rsid w:val="00D30D6A"/>
    <w:rsid w:val="00D42F00"/>
    <w:rsid w:val="00D51658"/>
    <w:rsid w:val="00D8123E"/>
    <w:rsid w:val="00D82302"/>
    <w:rsid w:val="00D90242"/>
    <w:rsid w:val="00D9240C"/>
    <w:rsid w:val="00D92777"/>
    <w:rsid w:val="00DA3B8C"/>
    <w:rsid w:val="00DB535C"/>
    <w:rsid w:val="00DC299D"/>
    <w:rsid w:val="00DC5670"/>
    <w:rsid w:val="00DC666B"/>
    <w:rsid w:val="00DD0963"/>
    <w:rsid w:val="00DD3C7C"/>
    <w:rsid w:val="00DD4004"/>
    <w:rsid w:val="00DD4037"/>
    <w:rsid w:val="00DD7484"/>
    <w:rsid w:val="00DD77C0"/>
    <w:rsid w:val="00DE205D"/>
    <w:rsid w:val="00DE3223"/>
    <w:rsid w:val="00DF2AFB"/>
    <w:rsid w:val="00DF6237"/>
    <w:rsid w:val="00E13FCE"/>
    <w:rsid w:val="00E21AFA"/>
    <w:rsid w:val="00E35FF7"/>
    <w:rsid w:val="00E3729F"/>
    <w:rsid w:val="00E374E5"/>
    <w:rsid w:val="00E438C7"/>
    <w:rsid w:val="00E53D4C"/>
    <w:rsid w:val="00E549C0"/>
    <w:rsid w:val="00E557EC"/>
    <w:rsid w:val="00E6132D"/>
    <w:rsid w:val="00E6558E"/>
    <w:rsid w:val="00E6564D"/>
    <w:rsid w:val="00E70716"/>
    <w:rsid w:val="00E82999"/>
    <w:rsid w:val="00E82DAF"/>
    <w:rsid w:val="00E8729A"/>
    <w:rsid w:val="00EB47E0"/>
    <w:rsid w:val="00EB7EC6"/>
    <w:rsid w:val="00EC207D"/>
    <w:rsid w:val="00EC2C0C"/>
    <w:rsid w:val="00EC4E9F"/>
    <w:rsid w:val="00EC6A9B"/>
    <w:rsid w:val="00ED1B65"/>
    <w:rsid w:val="00ED3C15"/>
    <w:rsid w:val="00ED6510"/>
    <w:rsid w:val="00EE55FB"/>
    <w:rsid w:val="00EE6130"/>
    <w:rsid w:val="00EF2B30"/>
    <w:rsid w:val="00F06184"/>
    <w:rsid w:val="00F07383"/>
    <w:rsid w:val="00F07CF4"/>
    <w:rsid w:val="00F135AB"/>
    <w:rsid w:val="00F157B2"/>
    <w:rsid w:val="00F245B6"/>
    <w:rsid w:val="00F30F76"/>
    <w:rsid w:val="00F3280D"/>
    <w:rsid w:val="00F35633"/>
    <w:rsid w:val="00F44C58"/>
    <w:rsid w:val="00F45EBB"/>
    <w:rsid w:val="00F464EC"/>
    <w:rsid w:val="00F505FB"/>
    <w:rsid w:val="00F53444"/>
    <w:rsid w:val="00F534A2"/>
    <w:rsid w:val="00F555C6"/>
    <w:rsid w:val="00F55CD0"/>
    <w:rsid w:val="00F61401"/>
    <w:rsid w:val="00F64973"/>
    <w:rsid w:val="00F654E4"/>
    <w:rsid w:val="00F7009B"/>
    <w:rsid w:val="00F725A5"/>
    <w:rsid w:val="00F83405"/>
    <w:rsid w:val="00F845A6"/>
    <w:rsid w:val="00F926EA"/>
    <w:rsid w:val="00FB0F60"/>
    <w:rsid w:val="00FB1A15"/>
    <w:rsid w:val="00FB1D17"/>
    <w:rsid w:val="00FB379C"/>
    <w:rsid w:val="00FB77E7"/>
    <w:rsid w:val="00FC1596"/>
    <w:rsid w:val="00FC7BC9"/>
    <w:rsid w:val="00FD7F57"/>
    <w:rsid w:val="00FE0200"/>
    <w:rsid w:val="00FE0FB7"/>
    <w:rsid w:val="00FE1023"/>
    <w:rsid w:val="00FE2BA4"/>
    <w:rsid w:val="00FE3FFE"/>
    <w:rsid w:val="00FE71C8"/>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9sp/Bolivia616-06.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709Fondo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33E6-64B5-4FFE-9E87-DEC7115C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2979</Words>
  <Characters>16984</Characters>
  <Application>Microsoft Office Word</Application>
  <DocSecurity>0</DocSecurity>
  <Lines>141</Lines>
  <Paragraphs>39</Paragraphs>
  <ScaleCrop>false</ScaleCrop>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2021-02-11T09:49:00Z</dcterms:created>
  <dcterms:modified xsi:type="dcterms:W3CDTF">2021-02-11T09:49:00Z</dcterms:modified>
</cp:coreProperties>
</file>