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F585D" w14:textId="77777777" w:rsidR="0038437E" w:rsidRDefault="0038437E" w:rsidP="0038437E">
      <w:pPr>
        <w:pStyle w:val="Header"/>
        <w:jc w:val="center"/>
        <w:rPr>
          <w:rFonts w:ascii="Calibri Light" w:hAnsi="Calibri Light"/>
          <w:lang w:val="es-PE"/>
        </w:rPr>
      </w:pPr>
      <w:r w:rsidRPr="00C80A19">
        <w:rPr>
          <w:rFonts w:ascii="Calibri Light" w:hAnsi="Calibri Light"/>
          <w:noProof/>
          <w:lang w:val="es-PE"/>
        </w:rPr>
        <w:drawing>
          <wp:anchor distT="0" distB="0" distL="114300" distR="114300" simplePos="0" relativeHeight="251661312" behindDoc="1" locked="0" layoutInCell="1" allowOverlap="1" wp14:anchorId="5FEE87DF" wp14:editId="5CDF5AF0">
            <wp:simplePos x="0" y="0"/>
            <wp:positionH relativeFrom="margin">
              <wp:posOffset>4020820</wp:posOffset>
            </wp:positionH>
            <wp:positionV relativeFrom="margin">
              <wp:posOffset>-271145</wp:posOffset>
            </wp:positionV>
            <wp:extent cx="1849755" cy="789940"/>
            <wp:effectExtent l="0" t="0" r="4445" b="0"/>
            <wp:wrapTight wrapText="bothSides">
              <wp:wrapPolygon edited="0">
                <wp:start x="0" y="0"/>
                <wp:lineTo x="0" y="21183"/>
                <wp:lineTo x="21504" y="21183"/>
                <wp:lineTo x="21504" y="0"/>
                <wp:lineTo x="0" y="0"/>
              </wp:wrapPolygon>
            </wp:wrapTight>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rotWithShape="1">
                    <a:blip r:embed="rId8" r:link="rId9" cstate="print">
                      <a:extLst>
                        <a:ext uri="{28A0092B-C50C-407E-A947-70E740481C1C}">
                          <a14:useLocalDpi xmlns:a14="http://schemas.microsoft.com/office/drawing/2010/main" val="0"/>
                        </a:ext>
                      </a:extLst>
                    </a:blip>
                    <a:srcRect l="5442" t="27352" r="6449" b="25571"/>
                    <a:stretch/>
                  </pic:blipFill>
                  <pic:spPr bwMode="auto">
                    <a:xfrm>
                      <a:off x="0" y="0"/>
                      <a:ext cx="1849755" cy="789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60288" behindDoc="1" locked="0" layoutInCell="1" allowOverlap="1" wp14:anchorId="7FB09CB9" wp14:editId="357968DB">
            <wp:simplePos x="0" y="0"/>
            <wp:positionH relativeFrom="column">
              <wp:posOffset>1399540</wp:posOffset>
            </wp:positionH>
            <wp:positionV relativeFrom="paragraph">
              <wp:posOffset>-107950</wp:posOffset>
            </wp:positionV>
            <wp:extent cx="2564130" cy="626110"/>
            <wp:effectExtent l="0" t="0" r="1270" b="0"/>
            <wp:wrapTight wrapText="bothSides">
              <wp:wrapPolygon edited="0">
                <wp:start x="1605" y="2629"/>
                <wp:lineTo x="1070" y="5258"/>
                <wp:lineTo x="642" y="7886"/>
                <wp:lineTo x="642" y="11830"/>
                <wp:lineTo x="1284" y="17087"/>
                <wp:lineTo x="1498" y="17963"/>
                <wp:lineTo x="21397" y="17963"/>
                <wp:lineTo x="21504" y="16649"/>
                <wp:lineTo x="21183" y="9639"/>
                <wp:lineTo x="15406" y="2629"/>
                <wp:lineTo x="1605" y="2629"/>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0"/>
                    <a:srcRect r="3349"/>
                    <a:stretch/>
                  </pic:blipFill>
                  <pic:spPr bwMode="auto">
                    <a:xfrm>
                      <a:off x="0" y="0"/>
                      <a:ext cx="2564130"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59264" behindDoc="1" locked="0" layoutInCell="1" allowOverlap="1" wp14:anchorId="0DB878F2" wp14:editId="79049827">
            <wp:simplePos x="0" y="0"/>
            <wp:positionH relativeFrom="column">
              <wp:posOffset>-407474</wp:posOffset>
            </wp:positionH>
            <wp:positionV relativeFrom="paragraph">
              <wp:posOffset>-200514</wp:posOffset>
            </wp:positionV>
            <wp:extent cx="1735455" cy="727710"/>
            <wp:effectExtent l="0" t="0" r="0" b="0"/>
            <wp:wrapTight wrapText="bothSides">
              <wp:wrapPolygon edited="0">
                <wp:start x="316" y="754"/>
                <wp:lineTo x="316" y="18094"/>
                <wp:lineTo x="632" y="19602"/>
                <wp:lineTo x="1739" y="20356"/>
                <wp:lineTo x="13436" y="20356"/>
                <wp:lineTo x="21181" y="19602"/>
                <wp:lineTo x="21339" y="14325"/>
                <wp:lineTo x="20075" y="13571"/>
                <wp:lineTo x="21181" y="10178"/>
                <wp:lineTo x="21181" y="7539"/>
                <wp:lineTo x="18652" y="3393"/>
                <wp:lineTo x="17546" y="754"/>
                <wp:lineTo x="316" y="754"/>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1"/>
                    <a:srcRect l="11357" t="20875" r="13129" b="18785"/>
                    <a:stretch/>
                  </pic:blipFill>
                  <pic:spPr bwMode="auto">
                    <a:xfrm>
                      <a:off x="0" y="0"/>
                      <a:ext cx="1735455" cy="727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ADB624" w14:textId="77777777" w:rsidR="0038437E" w:rsidRPr="00411A74" w:rsidRDefault="0038437E" w:rsidP="0038437E">
      <w:pPr>
        <w:pStyle w:val="Header"/>
        <w:jc w:val="center"/>
        <w:rPr>
          <w:rFonts w:ascii="Calibri Light" w:hAnsi="Calibri Light"/>
          <w:lang w:val="es-PE"/>
        </w:rPr>
      </w:pPr>
      <w:r w:rsidRPr="00411A74">
        <w:rPr>
          <w:rFonts w:ascii="Calibri Light" w:hAnsi="Calibri Light"/>
          <w:lang w:val="es-PE"/>
        </w:rPr>
        <w:t>Difundiendo los estándares para la protección de los DDHH de la CIDH</w:t>
      </w:r>
    </w:p>
    <w:p w14:paraId="4EF242F3" w14:textId="2499B026" w:rsidR="00CA0ACC" w:rsidRPr="0038437E" w:rsidRDefault="0038437E" w:rsidP="0038437E">
      <w:pPr>
        <w:spacing w:line="240" w:lineRule="auto"/>
        <w:jc w:val="center"/>
        <w:outlineLvl w:val="0"/>
        <w:rPr>
          <w:rFonts w:ascii="Calibri Light" w:hAnsi="Calibri Light"/>
          <w:b/>
          <w:i/>
          <w:lang w:val="es-PE"/>
        </w:rPr>
      </w:pPr>
      <w:r>
        <w:rPr>
          <w:rFonts w:ascii="Calibri Light" w:hAnsi="Calibri Light"/>
          <w:b/>
          <w:i/>
          <w:lang w:val="es-PE"/>
        </w:rPr>
        <w:t>Ficha de R</w:t>
      </w:r>
      <w:r w:rsidRPr="00411A74">
        <w:rPr>
          <w:rFonts w:ascii="Calibri Light" w:hAnsi="Calibri Light"/>
          <w:b/>
          <w:i/>
          <w:lang w:val="es-PE"/>
        </w:rPr>
        <w:t>esumen</w:t>
      </w:r>
    </w:p>
    <w:tbl>
      <w:tblPr>
        <w:tblStyle w:val="Tabladelista2-nfasis11"/>
        <w:tblW w:w="8735" w:type="dxa"/>
        <w:tblLook w:val="04A0" w:firstRow="1" w:lastRow="0" w:firstColumn="1" w:lastColumn="0" w:noHBand="0" w:noVBand="1"/>
      </w:tblPr>
      <w:tblGrid>
        <w:gridCol w:w="3794"/>
        <w:gridCol w:w="2551"/>
        <w:gridCol w:w="2390"/>
      </w:tblGrid>
      <w:tr w:rsidR="005173CF" w:rsidRPr="00F84271" w14:paraId="01A2F61A" w14:textId="77777777" w:rsidTr="002462A6">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8735" w:type="dxa"/>
            <w:gridSpan w:val="3"/>
          </w:tcPr>
          <w:p w14:paraId="07609204" w14:textId="77777777" w:rsidR="00AC6F31" w:rsidRPr="00F84271" w:rsidRDefault="00AC6F31" w:rsidP="00AC6F31">
            <w:pPr>
              <w:pStyle w:val="ListParagraph"/>
              <w:rPr>
                <w:rFonts w:ascii="Calibri Light" w:hAnsi="Calibri Light"/>
                <w:lang w:val="es-PE"/>
              </w:rPr>
            </w:pPr>
          </w:p>
          <w:p w14:paraId="160CE2AC" w14:textId="77777777" w:rsidR="00212F62" w:rsidRPr="00F84271" w:rsidRDefault="007A6C56" w:rsidP="00AC6F31">
            <w:pPr>
              <w:pStyle w:val="ListParagraph"/>
              <w:numPr>
                <w:ilvl w:val="0"/>
                <w:numId w:val="2"/>
              </w:numPr>
              <w:jc w:val="center"/>
              <w:rPr>
                <w:rFonts w:ascii="Calibri Light" w:hAnsi="Calibri Light"/>
                <w:lang w:val="es-PE"/>
              </w:rPr>
            </w:pPr>
            <w:r w:rsidRPr="00F84271">
              <w:rPr>
                <w:rFonts w:ascii="Calibri Light" w:hAnsi="Calibri Light"/>
                <w:lang w:val="es-PE"/>
              </w:rPr>
              <w:t>Datos generales</w:t>
            </w:r>
          </w:p>
          <w:p w14:paraId="6C5B323B" w14:textId="6BA3A748" w:rsidR="00AC6F31" w:rsidRPr="00F84271" w:rsidRDefault="00AC6F31" w:rsidP="00AC6F31">
            <w:pPr>
              <w:pStyle w:val="ListParagraph"/>
              <w:rPr>
                <w:rFonts w:ascii="Calibri Light" w:hAnsi="Calibri Light"/>
                <w:lang w:val="es-PE"/>
              </w:rPr>
            </w:pPr>
          </w:p>
        </w:tc>
      </w:tr>
      <w:tr w:rsidR="004533E5" w:rsidRPr="00F84271" w14:paraId="275AD1EA" w14:textId="77777777" w:rsidTr="006C262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3794" w:type="dxa"/>
          </w:tcPr>
          <w:p w14:paraId="63C7EFE0" w14:textId="77777777" w:rsidR="005173CF" w:rsidRPr="00F84271" w:rsidRDefault="007A6C56" w:rsidP="00A65231">
            <w:pPr>
              <w:pStyle w:val="ListParagraph"/>
              <w:numPr>
                <w:ilvl w:val="0"/>
                <w:numId w:val="3"/>
              </w:numPr>
              <w:rPr>
                <w:rFonts w:ascii="Calibri Light" w:hAnsi="Calibri Light"/>
                <w:lang w:val="es-PE"/>
              </w:rPr>
            </w:pPr>
            <w:r w:rsidRPr="00F84271">
              <w:rPr>
                <w:rFonts w:ascii="Calibri Light" w:hAnsi="Calibri Light"/>
                <w:lang w:val="es-PE"/>
              </w:rPr>
              <w:t>Nombre del caso</w:t>
            </w:r>
          </w:p>
        </w:tc>
        <w:tc>
          <w:tcPr>
            <w:tcW w:w="4941" w:type="dxa"/>
            <w:gridSpan w:val="2"/>
          </w:tcPr>
          <w:p w14:paraId="084A5991" w14:textId="7FD08E0E" w:rsidR="005173CF" w:rsidRPr="00F84271" w:rsidRDefault="00274507" w:rsidP="00A133CC">
            <w:pPr>
              <w:cnfStyle w:val="000000100000" w:firstRow="0" w:lastRow="0" w:firstColumn="0" w:lastColumn="0" w:oddVBand="0" w:evenVBand="0" w:oddHBand="1" w:evenHBand="0" w:firstRowFirstColumn="0" w:firstRowLastColumn="0" w:lastRowFirstColumn="0" w:lastRowLastColumn="0"/>
              <w:rPr>
                <w:rFonts w:ascii="Calibri Light" w:hAnsi="Calibri Light"/>
                <w:lang w:val="es-PE"/>
              </w:rPr>
            </w:pPr>
            <w:r w:rsidRPr="00F84271">
              <w:rPr>
                <w:rFonts w:ascii="Calibri Light" w:hAnsi="Calibri Light"/>
                <w:lang w:val="es-PE"/>
              </w:rPr>
              <w:t>Víctor</w:t>
            </w:r>
            <w:r w:rsidR="003802D3" w:rsidRPr="00F84271">
              <w:rPr>
                <w:rFonts w:ascii="Calibri Light" w:hAnsi="Calibri Light"/>
                <w:lang w:val="es-PE"/>
              </w:rPr>
              <w:t xml:space="preserve"> Saldaño, </w:t>
            </w:r>
            <w:r w:rsidR="005404D5" w:rsidRPr="00F84271">
              <w:rPr>
                <w:rFonts w:ascii="Calibri Light" w:hAnsi="Calibri Light"/>
                <w:lang w:val="es-PE"/>
              </w:rPr>
              <w:t>Estados Unidos</w:t>
            </w:r>
          </w:p>
        </w:tc>
      </w:tr>
      <w:tr w:rsidR="00F464EC" w:rsidRPr="00F84271" w14:paraId="59A6A8A1" w14:textId="77777777" w:rsidTr="006C262B">
        <w:trPr>
          <w:trHeight w:val="257"/>
        </w:trPr>
        <w:tc>
          <w:tcPr>
            <w:cnfStyle w:val="001000000000" w:firstRow="0" w:lastRow="0" w:firstColumn="1" w:lastColumn="0" w:oddVBand="0" w:evenVBand="0" w:oddHBand="0" w:evenHBand="0" w:firstRowFirstColumn="0" w:firstRowLastColumn="0" w:lastRowFirstColumn="0" w:lastRowLastColumn="0"/>
            <w:tcW w:w="3794" w:type="dxa"/>
          </w:tcPr>
          <w:p w14:paraId="7FA9FC90" w14:textId="4E08D41C" w:rsidR="00F464EC" w:rsidRPr="00F84271" w:rsidRDefault="003802D3" w:rsidP="00A65231">
            <w:pPr>
              <w:pStyle w:val="ListParagraph"/>
              <w:numPr>
                <w:ilvl w:val="0"/>
                <w:numId w:val="3"/>
              </w:numPr>
              <w:rPr>
                <w:rFonts w:ascii="Calibri Light" w:hAnsi="Calibri Light"/>
                <w:lang w:val="es-PE"/>
              </w:rPr>
            </w:pPr>
            <w:r w:rsidRPr="00F84271">
              <w:rPr>
                <w:rFonts w:ascii="Calibri Light" w:hAnsi="Calibri Light"/>
                <w:lang w:val="es-PE"/>
              </w:rPr>
              <w:t>Parte peticionaria</w:t>
            </w:r>
          </w:p>
        </w:tc>
        <w:tc>
          <w:tcPr>
            <w:tcW w:w="4941" w:type="dxa"/>
            <w:gridSpan w:val="2"/>
          </w:tcPr>
          <w:p w14:paraId="374B2A68" w14:textId="51422485" w:rsidR="00F464EC" w:rsidRPr="00F84271" w:rsidRDefault="00B06A12" w:rsidP="00B07E72">
            <w:pPr>
              <w:jc w:val="both"/>
              <w:cnfStyle w:val="000000000000" w:firstRow="0" w:lastRow="0" w:firstColumn="0" w:lastColumn="0" w:oddVBand="0" w:evenVBand="0" w:oddHBand="0" w:evenHBand="0" w:firstRowFirstColumn="0" w:firstRowLastColumn="0" w:lastRowFirstColumn="0" w:lastRowLastColumn="0"/>
              <w:rPr>
                <w:rFonts w:ascii="Calibri Light" w:hAnsi="Calibri Light"/>
                <w:lang w:val="es-PE"/>
              </w:rPr>
            </w:pPr>
            <w:r w:rsidRPr="00F84271">
              <w:rPr>
                <w:rFonts w:ascii="Calibri Light" w:hAnsi="Calibri Light"/>
                <w:lang w:val="es-PE"/>
              </w:rPr>
              <w:t>Juan Carlos Vegas, Lidia Guerrero, Rodolfo Ojea Quintana, Tomas Ojea Quintana y Carlos Hairabedian</w:t>
            </w:r>
          </w:p>
        </w:tc>
      </w:tr>
      <w:tr w:rsidR="005173CF" w:rsidRPr="00F84271" w14:paraId="3A483B4F" w14:textId="77777777" w:rsidTr="006C262B">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3794" w:type="dxa"/>
          </w:tcPr>
          <w:p w14:paraId="6233C75C" w14:textId="77777777" w:rsidR="005173CF" w:rsidRPr="00F84271" w:rsidRDefault="007A6C56" w:rsidP="00A65231">
            <w:pPr>
              <w:pStyle w:val="ListParagraph"/>
              <w:numPr>
                <w:ilvl w:val="0"/>
                <w:numId w:val="3"/>
              </w:numPr>
              <w:rPr>
                <w:rFonts w:ascii="Calibri Light" w:hAnsi="Calibri Light"/>
                <w:lang w:val="es-PE"/>
              </w:rPr>
            </w:pPr>
            <w:r w:rsidRPr="00F84271">
              <w:rPr>
                <w:rFonts w:ascii="Calibri Light" w:hAnsi="Calibri Light"/>
                <w:lang w:val="es-PE"/>
              </w:rPr>
              <w:t xml:space="preserve">Número de Informe </w:t>
            </w:r>
          </w:p>
        </w:tc>
        <w:tc>
          <w:tcPr>
            <w:tcW w:w="4941" w:type="dxa"/>
            <w:gridSpan w:val="2"/>
          </w:tcPr>
          <w:p w14:paraId="77740DF4" w14:textId="15B8C566" w:rsidR="005173CF" w:rsidRPr="00F84271" w:rsidRDefault="005C4E00" w:rsidP="00B07E72">
            <w:pPr>
              <w:jc w:val="both"/>
              <w:cnfStyle w:val="000000100000" w:firstRow="0" w:lastRow="0" w:firstColumn="0" w:lastColumn="0" w:oddVBand="0" w:evenVBand="0" w:oddHBand="1" w:evenHBand="0" w:firstRowFirstColumn="0" w:firstRowLastColumn="0" w:lastRowFirstColumn="0" w:lastRowLastColumn="0"/>
              <w:rPr>
                <w:rFonts w:ascii="Calibri Light" w:hAnsi="Calibri Light"/>
                <w:lang w:val="es-PE"/>
              </w:rPr>
            </w:pPr>
            <w:hyperlink r:id="rId12" w:history="1">
              <w:r w:rsidR="005404D5" w:rsidRPr="00F84271">
                <w:rPr>
                  <w:rStyle w:val="Hyperlink"/>
                  <w:rFonts w:ascii="Calibri Light" w:hAnsi="Calibri Light"/>
                  <w:lang w:val="es-PE"/>
                </w:rPr>
                <w:t>Informe No. 24/17</w:t>
              </w:r>
            </w:hyperlink>
          </w:p>
        </w:tc>
      </w:tr>
      <w:tr w:rsidR="004533E5" w:rsidRPr="00F84271" w14:paraId="5EC10F5F" w14:textId="77777777" w:rsidTr="006C262B">
        <w:trPr>
          <w:trHeight w:val="206"/>
        </w:trPr>
        <w:tc>
          <w:tcPr>
            <w:cnfStyle w:val="001000000000" w:firstRow="0" w:lastRow="0" w:firstColumn="1" w:lastColumn="0" w:oddVBand="0" w:evenVBand="0" w:oddHBand="0" w:evenHBand="0" w:firstRowFirstColumn="0" w:firstRowLastColumn="0" w:lastRowFirstColumn="0" w:lastRowLastColumn="0"/>
            <w:tcW w:w="3794" w:type="dxa"/>
          </w:tcPr>
          <w:p w14:paraId="00180E4F" w14:textId="77777777" w:rsidR="005173CF" w:rsidRPr="00F84271" w:rsidRDefault="00954E20" w:rsidP="00954E20">
            <w:pPr>
              <w:pStyle w:val="ListParagraph"/>
              <w:numPr>
                <w:ilvl w:val="0"/>
                <w:numId w:val="3"/>
              </w:numPr>
              <w:rPr>
                <w:rFonts w:ascii="Calibri Light" w:hAnsi="Calibri Light"/>
                <w:lang w:val="es-PE"/>
              </w:rPr>
            </w:pPr>
            <w:r w:rsidRPr="00F84271">
              <w:rPr>
                <w:rFonts w:ascii="Calibri Light" w:hAnsi="Calibri Light"/>
                <w:lang w:val="es-PE"/>
              </w:rPr>
              <w:t xml:space="preserve">Tipo de informe </w:t>
            </w:r>
          </w:p>
        </w:tc>
        <w:tc>
          <w:tcPr>
            <w:tcW w:w="4941" w:type="dxa"/>
            <w:gridSpan w:val="2"/>
          </w:tcPr>
          <w:p w14:paraId="35E9A08D" w14:textId="3C5AD601" w:rsidR="005173CF" w:rsidRPr="00F84271" w:rsidRDefault="005404D5" w:rsidP="00340054">
            <w:pPr>
              <w:jc w:val="both"/>
              <w:cnfStyle w:val="000000000000" w:firstRow="0" w:lastRow="0" w:firstColumn="0" w:lastColumn="0" w:oddVBand="0" w:evenVBand="0" w:oddHBand="0" w:evenHBand="0" w:firstRowFirstColumn="0" w:firstRowLastColumn="0" w:lastRowFirstColumn="0" w:lastRowLastColumn="0"/>
              <w:rPr>
                <w:rFonts w:ascii="Calibri Light" w:hAnsi="Calibri Light"/>
                <w:lang w:val="es-PE"/>
              </w:rPr>
            </w:pPr>
            <w:r w:rsidRPr="00F84271">
              <w:rPr>
                <w:rFonts w:ascii="Calibri Light" w:hAnsi="Calibri Light"/>
                <w:lang w:val="es-PE"/>
              </w:rPr>
              <w:t xml:space="preserve">Informe de </w:t>
            </w:r>
            <w:r w:rsidR="00FC38ED" w:rsidRPr="00F84271">
              <w:rPr>
                <w:rFonts w:ascii="Calibri Light" w:hAnsi="Calibri Light"/>
                <w:lang w:val="es-PE"/>
              </w:rPr>
              <w:t>Admisibilidad y F</w:t>
            </w:r>
            <w:r w:rsidR="00340054" w:rsidRPr="00F84271">
              <w:rPr>
                <w:rFonts w:ascii="Calibri Light" w:hAnsi="Calibri Light"/>
                <w:lang w:val="es-PE"/>
              </w:rPr>
              <w:t>ondo</w:t>
            </w:r>
          </w:p>
        </w:tc>
      </w:tr>
      <w:tr w:rsidR="005173CF" w:rsidRPr="00F84271" w14:paraId="7ED5AB61" w14:textId="77777777" w:rsidTr="006C262B">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794" w:type="dxa"/>
          </w:tcPr>
          <w:p w14:paraId="2F77A84C" w14:textId="77777777" w:rsidR="005173CF" w:rsidRPr="00F84271" w:rsidRDefault="00954E20" w:rsidP="00A65231">
            <w:pPr>
              <w:pStyle w:val="ListParagraph"/>
              <w:numPr>
                <w:ilvl w:val="0"/>
                <w:numId w:val="3"/>
              </w:numPr>
              <w:rPr>
                <w:rFonts w:ascii="Calibri Light" w:hAnsi="Calibri Light"/>
                <w:lang w:val="es-PE"/>
              </w:rPr>
            </w:pPr>
            <w:r w:rsidRPr="00F84271">
              <w:rPr>
                <w:rFonts w:ascii="Calibri Light" w:hAnsi="Calibri Light"/>
                <w:lang w:val="es-PE"/>
              </w:rPr>
              <w:t>Fecha</w:t>
            </w:r>
            <w:r w:rsidR="007A6C56" w:rsidRPr="00F84271">
              <w:rPr>
                <w:rFonts w:ascii="Calibri Light" w:hAnsi="Calibri Light"/>
                <w:lang w:val="es-PE"/>
              </w:rPr>
              <w:t xml:space="preserve"> </w:t>
            </w:r>
          </w:p>
        </w:tc>
        <w:tc>
          <w:tcPr>
            <w:tcW w:w="4941" w:type="dxa"/>
            <w:gridSpan w:val="2"/>
          </w:tcPr>
          <w:p w14:paraId="1C803DF5" w14:textId="13AA4067" w:rsidR="005173CF" w:rsidRPr="00F84271" w:rsidRDefault="005404D5" w:rsidP="00BB61C6">
            <w:pPr>
              <w:jc w:val="both"/>
              <w:cnfStyle w:val="000000100000" w:firstRow="0" w:lastRow="0" w:firstColumn="0" w:lastColumn="0" w:oddVBand="0" w:evenVBand="0" w:oddHBand="1" w:evenHBand="0" w:firstRowFirstColumn="0" w:firstRowLastColumn="0" w:lastRowFirstColumn="0" w:lastRowLastColumn="0"/>
              <w:rPr>
                <w:rFonts w:ascii="Calibri Light" w:hAnsi="Calibri Light"/>
                <w:lang w:val="es-PE"/>
              </w:rPr>
            </w:pPr>
            <w:r w:rsidRPr="00F84271">
              <w:rPr>
                <w:rFonts w:ascii="Calibri Light" w:hAnsi="Calibri Light"/>
                <w:lang w:val="es-PE"/>
              </w:rPr>
              <w:t>18 de marzo de 2017</w:t>
            </w:r>
            <w:r w:rsidR="00954E20" w:rsidRPr="00F84271">
              <w:rPr>
                <w:rFonts w:ascii="Calibri Light" w:hAnsi="Calibri Light"/>
                <w:lang w:val="es-PE"/>
              </w:rPr>
              <w:t xml:space="preserve"> </w:t>
            </w:r>
          </w:p>
        </w:tc>
      </w:tr>
      <w:tr w:rsidR="004533E5" w:rsidRPr="00F84271" w14:paraId="1A0D058F" w14:textId="77777777" w:rsidTr="006C262B">
        <w:trPr>
          <w:trHeight w:val="646"/>
        </w:trPr>
        <w:tc>
          <w:tcPr>
            <w:cnfStyle w:val="001000000000" w:firstRow="0" w:lastRow="0" w:firstColumn="1" w:lastColumn="0" w:oddVBand="0" w:evenVBand="0" w:oddHBand="0" w:evenHBand="0" w:firstRowFirstColumn="0" w:firstRowLastColumn="0" w:lastRowFirstColumn="0" w:lastRowLastColumn="0"/>
            <w:tcW w:w="3794" w:type="dxa"/>
          </w:tcPr>
          <w:p w14:paraId="661C9E19" w14:textId="1119002C" w:rsidR="005173CF" w:rsidRPr="00F84271" w:rsidRDefault="00BB61C6" w:rsidP="00A65231">
            <w:pPr>
              <w:pStyle w:val="ListParagraph"/>
              <w:numPr>
                <w:ilvl w:val="0"/>
                <w:numId w:val="3"/>
              </w:numPr>
              <w:rPr>
                <w:rFonts w:ascii="Calibri Light" w:hAnsi="Calibri Light"/>
                <w:lang w:val="es-PE"/>
              </w:rPr>
            </w:pPr>
            <w:r w:rsidRPr="00F84271">
              <w:rPr>
                <w:rFonts w:ascii="Calibri Light" w:hAnsi="Calibri Light"/>
                <w:lang w:val="es-PE"/>
              </w:rPr>
              <w:t>Decisiones de la CIDH</w:t>
            </w:r>
            <w:r w:rsidR="007A6C56" w:rsidRPr="00F84271">
              <w:rPr>
                <w:rFonts w:ascii="Calibri Light" w:hAnsi="Calibri Light"/>
                <w:lang w:val="es-PE"/>
              </w:rPr>
              <w:t xml:space="preserve"> </w:t>
            </w:r>
            <w:r w:rsidR="00DD3C7C" w:rsidRPr="00F84271">
              <w:rPr>
                <w:rFonts w:ascii="Calibri Light" w:hAnsi="Calibri Light"/>
                <w:lang w:val="es-PE"/>
              </w:rPr>
              <w:t xml:space="preserve">y/o la Corte IDH, </w:t>
            </w:r>
            <w:r w:rsidR="007A6C56" w:rsidRPr="00F84271">
              <w:rPr>
                <w:rFonts w:ascii="Calibri Light" w:hAnsi="Calibri Light"/>
                <w:lang w:val="es-PE"/>
              </w:rPr>
              <w:t>relacionadas</w:t>
            </w:r>
          </w:p>
        </w:tc>
        <w:tc>
          <w:tcPr>
            <w:tcW w:w="4941" w:type="dxa"/>
            <w:gridSpan w:val="2"/>
          </w:tcPr>
          <w:p w14:paraId="54D493FC" w14:textId="72E583DC" w:rsidR="00AC6F31" w:rsidRPr="00F84271" w:rsidRDefault="00D24B63" w:rsidP="00DD3C7C">
            <w:pPr>
              <w:jc w:val="both"/>
              <w:cnfStyle w:val="000000000000" w:firstRow="0" w:lastRow="0" w:firstColumn="0" w:lastColumn="0" w:oddVBand="0" w:evenVBand="0" w:oddHBand="0" w:evenHBand="0" w:firstRowFirstColumn="0" w:firstRowLastColumn="0" w:lastRowFirstColumn="0" w:lastRowLastColumn="0"/>
              <w:rPr>
                <w:rFonts w:ascii="Calibri Light" w:hAnsi="Calibri Light"/>
                <w:lang w:val="es-PE"/>
              </w:rPr>
            </w:pPr>
            <w:r w:rsidRPr="00F84271">
              <w:rPr>
                <w:rFonts w:ascii="Calibri Light" w:hAnsi="Calibri Light"/>
                <w:lang w:val="es-PE"/>
              </w:rPr>
              <w:t xml:space="preserve">Informe No. </w:t>
            </w:r>
            <w:r w:rsidR="0074650A" w:rsidRPr="00F84271">
              <w:rPr>
                <w:rFonts w:ascii="Calibri Light" w:hAnsi="Calibri Light"/>
                <w:lang w:val="es-PE"/>
              </w:rPr>
              <w:t>38/99</w:t>
            </w:r>
            <w:r w:rsidR="00D95320" w:rsidRPr="00F84271">
              <w:rPr>
                <w:rFonts w:ascii="Calibri Light" w:hAnsi="Calibri Light"/>
                <w:lang w:val="es-PE"/>
              </w:rPr>
              <w:t xml:space="preserve"> (</w:t>
            </w:r>
            <w:hyperlink r:id="rId13" w:history="1">
              <w:r w:rsidR="00D95320" w:rsidRPr="00F84271">
                <w:rPr>
                  <w:rStyle w:val="Hyperlink"/>
                  <w:rFonts w:ascii="Calibri Light" w:hAnsi="Calibri Light"/>
                  <w:lang w:val="es-PE"/>
                </w:rPr>
                <w:t>Inadmisibilidad</w:t>
              </w:r>
            </w:hyperlink>
            <w:r w:rsidR="00D95320" w:rsidRPr="00F84271">
              <w:rPr>
                <w:rFonts w:ascii="Calibri Light" w:hAnsi="Calibri Light"/>
                <w:lang w:val="es-PE"/>
              </w:rPr>
              <w:t>)</w:t>
            </w:r>
          </w:p>
          <w:p w14:paraId="363F3DD7" w14:textId="77777777" w:rsidR="0074650A" w:rsidRDefault="005C4E00" w:rsidP="00DD3C7C">
            <w:pPr>
              <w:jc w:val="both"/>
              <w:cnfStyle w:val="000000000000" w:firstRow="0" w:lastRow="0" w:firstColumn="0" w:lastColumn="0" w:oddVBand="0" w:evenVBand="0" w:oddHBand="0" w:evenHBand="0" w:firstRowFirstColumn="0" w:firstRowLastColumn="0" w:lastRowFirstColumn="0" w:lastRowLastColumn="0"/>
              <w:rPr>
                <w:rStyle w:val="Hyperlink"/>
                <w:rFonts w:ascii="Calibri Light" w:hAnsi="Calibri Light"/>
                <w:lang w:val="es-PE"/>
              </w:rPr>
            </w:pPr>
            <w:hyperlink r:id="rId14" w:history="1">
              <w:r w:rsidR="003D003A" w:rsidRPr="00F84271">
                <w:rPr>
                  <w:rStyle w:val="Hyperlink"/>
                  <w:rFonts w:ascii="Calibri Light" w:hAnsi="Calibri Light"/>
                  <w:lang w:val="es-PE"/>
                </w:rPr>
                <w:t>Medidas cautelares</w:t>
              </w:r>
            </w:hyperlink>
          </w:p>
          <w:p w14:paraId="10EE4F4C" w14:textId="77777777" w:rsidR="0091625B" w:rsidRDefault="0091625B" w:rsidP="00DD3C7C">
            <w:pPr>
              <w:jc w:val="both"/>
              <w:cnfStyle w:val="000000000000" w:firstRow="0" w:lastRow="0" w:firstColumn="0" w:lastColumn="0" w:oddVBand="0" w:evenVBand="0" w:oddHBand="0" w:evenHBand="0" w:firstRowFirstColumn="0" w:firstRowLastColumn="0" w:lastRowFirstColumn="0" w:lastRowLastColumn="0"/>
              <w:rPr>
                <w:rFonts w:ascii="Calibri Light" w:hAnsi="Calibri Light"/>
                <w:lang w:val="es-PE"/>
              </w:rPr>
            </w:pPr>
            <w:r>
              <w:rPr>
                <w:rFonts w:ascii="Calibri Light" w:hAnsi="Calibri Light"/>
                <w:lang w:val="es-PE"/>
              </w:rPr>
              <w:t>Informe No. 76/16</w:t>
            </w:r>
          </w:p>
          <w:p w14:paraId="72EA1AA4" w14:textId="3566E01C" w:rsidR="0091625B" w:rsidRPr="00F84271" w:rsidRDefault="0091625B" w:rsidP="00DD3C7C">
            <w:pPr>
              <w:jc w:val="both"/>
              <w:cnfStyle w:val="000000000000" w:firstRow="0" w:lastRow="0" w:firstColumn="0" w:lastColumn="0" w:oddVBand="0" w:evenVBand="0" w:oddHBand="0" w:evenHBand="0" w:firstRowFirstColumn="0" w:firstRowLastColumn="0" w:lastRowFirstColumn="0" w:lastRowLastColumn="0"/>
              <w:rPr>
                <w:rFonts w:ascii="Calibri Light" w:hAnsi="Calibri Light"/>
                <w:lang w:val="es-PE"/>
              </w:rPr>
            </w:pPr>
            <w:r>
              <w:rPr>
                <w:rFonts w:ascii="Calibri Light" w:hAnsi="Calibri Light"/>
                <w:lang w:val="es-PE"/>
              </w:rPr>
              <w:t>Informe No. 5/17</w:t>
            </w:r>
          </w:p>
        </w:tc>
      </w:tr>
      <w:tr w:rsidR="00855704" w:rsidRPr="00F84271" w14:paraId="570485B4" w14:textId="77777777" w:rsidTr="006C262B">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3794" w:type="dxa"/>
            <w:vMerge w:val="restart"/>
          </w:tcPr>
          <w:p w14:paraId="10897B54" w14:textId="7D78C6C9" w:rsidR="00F54836" w:rsidRPr="00F84271" w:rsidRDefault="00F54836" w:rsidP="00855704">
            <w:pPr>
              <w:rPr>
                <w:rFonts w:ascii="Calibri Light" w:hAnsi="Calibri Light"/>
                <w:lang w:val="es-PE"/>
              </w:rPr>
            </w:pPr>
          </w:p>
          <w:p w14:paraId="5376D4F2" w14:textId="77777777" w:rsidR="003E0508" w:rsidRPr="00F84271" w:rsidRDefault="003E0508" w:rsidP="00855704">
            <w:pPr>
              <w:rPr>
                <w:rFonts w:ascii="Calibri Light" w:hAnsi="Calibri Light"/>
                <w:lang w:val="es-PE"/>
              </w:rPr>
            </w:pPr>
          </w:p>
          <w:p w14:paraId="054D0E5A" w14:textId="77777777" w:rsidR="00F54836" w:rsidRPr="00F84271" w:rsidRDefault="00F54836" w:rsidP="00855704">
            <w:pPr>
              <w:rPr>
                <w:rFonts w:ascii="Calibri Light" w:hAnsi="Calibri Light"/>
                <w:lang w:val="es-PE"/>
              </w:rPr>
            </w:pPr>
          </w:p>
          <w:p w14:paraId="3FCF8D6E" w14:textId="568477D0" w:rsidR="00855704" w:rsidRPr="00F84271" w:rsidRDefault="00855704" w:rsidP="00A65231">
            <w:pPr>
              <w:pStyle w:val="ListParagraph"/>
              <w:numPr>
                <w:ilvl w:val="0"/>
                <w:numId w:val="3"/>
              </w:numPr>
              <w:rPr>
                <w:rFonts w:ascii="Calibri Light" w:hAnsi="Calibri Light"/>
                <w:lang w:val="es-PE"/>
              </w:rPr>
            </w:pPr>
            <w:r w:rsidRPr="00F84271">
              <w:rPr>
                <w:rFonts w:ascii="Calibri Light" w:hAnsi="Calibri Light"/>
                <w:lang w:val="es-PE"/>
              </w:rPr>
              <w:t>Artículos analizados</w:t>
            </w:r>
          </w:p>
        </w:tc>
        <w:tc>
          <w:tcPr>
            <w:tcW w:w="4941" w:type="dxa"/>
            <w:gridSpan w:val="2"/>
            <w:tcBorders>
              <w:bottom w:val="single" w:sz="4" w:space="0" w:color="8DB3E2" w:themeColor="text2" w:themeTint="66"/>
            </w:tcBorders>
          </w:tcPr>
          <w:p w14:paraId="18718B95" w14:textId="58CB9A21" w:rsidR="00855704" w:rsidRPr="00F84271" w:rsidRDefault="00855704" w:rsidP="00573A57">
            <w:pPr>
              <w:jc w:val="both"/>
              <w:cnfStyle w:val="000000100000" w:firstRow="0" w:lastRow="0" w:firstColumn="0" w:lastColumn="0" w:oddVBand="0" w:evenVBand="0" w:oddHBand="1" w:evenHBand="0" w:firstRowFirstColumn="0" w:firstRowLastColumn="0" w:lastRowFirstColumn="0" w:lastRowLastColumn="0"/>
              <w:rPr>
                <w:rFonts w:ascii="Calibri Light" w:hAnsi="Calibri Light"/>
                <w:lang w:val="es-PE"/>
              </w:rPr>
            </w:pPr>
            <w:r w:rsidRPr="00F84271">
              <w:rPr>
                <w:rFonts w:ascii="Calibri Light" w:hAnsi="Calibri Light"/>
                <w:lang w:val="es-PE"/>
              </w:rPr>
              <w:t xml:space="preserve">Declaración Americana </w:t>
            </w:r>
            <w:r w:rsidR="00573A57">
              <w:rPr>
                <w:rFonts w:ascii="Calibri Light" w:hAnsi="Calibri Light"/>
                <w:lang w:val="es-PE"/>
              </w:rPr>
              <w:t>de los</w:t>
            </w:r>
            <w:r w:rsidRPr="00F84271">
              <w:rPr>
                <w:rFonts w:ascii="Calibri Light" w:hAnsi="Calibri Light"/>
                <w:lang w:val="es-PE"/>
              </w:rPr>
              <w:t xml:space="preserve"> Derechos </w:t>
            </w:r>
            <w:r w:rsidR="00FC38ED" w:rsidRPr="00F84271">
              <w:rPr>
                <w:rFonts w:ascii="Calibri Light" w:hAnsi="Calibri Light"/>
                <w:lang w:val="es-PE"/>
              </w:rPr>
              <w:t>y Deberes del Hombre</w:t>
            </w:r>
          </w:p>
        </w:tc>
      </w:tr>
      <w:tr w:rsidR="00855704" w:rsidRPr="00F84271" w14:paraId="729EF1B6" w14:textId="39797F8A" w:rsidTr="006C262B">
        <w:trPr>
          <w:trHeight w:val="534"/>
        </w:trPr>
        <w:tc>
          <w:tcPr>
            <w:cnfStyle w:val="001000000000" w:firstRow="0" w:lastRow="0" w:firstColumn="1" w:lastColumn="0" w:oddVBand="0" w:evenVBand="0" w:oddHBand="0" w:evenHBand="0" w:firstRowFirstColumn="0" w:firstRowLastColumn="0" w:lastRowFirstColumn="0" w:lastRowLastColumn="0"/>
            <w:tcW w:w="3794" w:type="dxa"/>
            <w:vMerge/>
          </w:tcPr>
          <w:p w14:paraId="3A042128" w14:textId="77777777" w:rsidR="00855704" w:rsidRPr="00F84271" w:rsidRDefault="00855704" w:rsidP="00A65231">
            <w:pPr>
              <w:pStyle w:val="ListParagraph"/>
              <w:numPr>
                <w:ilvl w:val="0"/>
                <w:numId w:val="3"/>
              </w:numPr>
              <w:rPr>
                <w:rFonts w:ascii="Calibri Light" w:hAnsi="Calibri Light"/>
                <w:lang w:val="es-PE"/>
              </w:rPr>
            </w:pPr>
          </w:p>
        </w:tc>
        <w:tc>
          <w:tcPr>
            <w:tcW w:w="2551" w:type="dxa"/>
            <w:tcBorders>
              <w:top w:val="single" w:sz="4" w:space="0" w:color="8DB3E2" w:themeColor="text2" w:themeTint="66"/>
              <w:bottom w:val="single" w:sz="4" w:space="0" w:color="8DB3E2" w:themeColor="text2" w:themeTint="66"/>
              <w:right w:val="single" w:sz="4" w:space="0" w:color="FFFFFF" w:themeColor="background1"/>
            </w:tcBorders>
          </w:tcPr>
          <w:p w14:paraId="4B78C15D" w14:textId="25B860EF" w:rsidR="00855704" w:rsidRPr="00F84271" w:rsidRDefault="00855704" w:rsidP="006C262B">
            <w:pPr>
              <w:jc w:val="both"/>
              <w:cnfStyle w:val="000000000000" w:firstRow="0" w:lastRow="0" w:firstColumn="0" w:lastColumn="0" w:oddVBand="0" w:evenVBand="0" w:oddHBand="0" w:evenHBand="0" w:firstRowFirstColumn="0" w:firstRowLastColumn="0" w:lastRowFirstColumn="0" w:lastRowLastColumn="0"/>
              <w:rPr>
                <w:rFonts w:ascii="Calibri Light" w:hAnsi="Calibri Light"/>
                <w:lang w:val="es-PE"/>
              </w:rPr>
            </w:pPr>
            <w:r w:rsidRPr="00F84271">
              <w:rPr>
                <w:rFonts w:ascii="Calibri Light" w:hAnsi="Calibri Light"/>
                <w:lang w:val="es-PE"/>
              </w:rPr>
              <w:t>Artículos analizados declarados violados</w:t>
            </w:r>
          </w:p>
        </w:tc>
        <w:tc>
          <w:tcPr>
            <w:tcW w:w="2390" w:type="dxa"/>
            <w:tcBorders>
              <w:top w:val="single" w:sz="4" w:space="0" w:color="8DB3E2" w:themeColor="text2" w:themeTint="66"/>
              <w:left w:val="single" w:sz="4" w:space="0" w:color="FFFFFF" w:themeColor="background1"/>
              <w:bottom w:val="single" w:sz="4" w:space="0" w:color="8DB3E2" w:themeColor="text2" w:themeTint="66"/>
            </w:tcBorders>
          </w:tcPr>
          <w:p w14:paraId="051E9E03" w14:textId="28CB1161" w:rsidR="00855704" w:rsidRPr="00F84271" w:rsidRDefault="00855704" w:rsidP="003E055D">
            <w:pPr>
              <w:jc w:val="both"/>
              <w:cnfStyle w:val="000000000000" w:firstRow="0" w:lastRow="0" w:firstColumn="0" w:lastColumn="0" w:oddVBand="0" w:evenVBand="0" w:oddHBand="0" w:evenHBand="0" w:firstRowFirstColumn="0" w:firstRowLastColumn="0" w:lastRowFirstColumn="0" w:lastRowLastColumn="0"/>
              <w:rPr>
                <w:rFonts w:ascii="Calibri Light" w:hAnsi="Calibri Light"/>
                <w:lang w:val="es-PE"/>
              </w:rPr>
            </w:pPr>
            <w:r w:rsidRPr="00F84271">
              <w:rPr>
                <w:rFonts w:ascii="Calibri Light" w:hAnsi="Calibri Light"/>
                <w:lang w:val="es-PE"/>
              </w:rPr>
              <w:t>Artículos analizados no declarados violados</w:t>
            </w:r>
          </w:p>
        </w:tc>
      </w:tr>
      <w:tr w:rsidR="00855704" w:rsidRPr="00F84271" w14:paraId="3EFECAC5" w14:textId="24E45B02" w:rsidTr="006C262B">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3794" w:type="dxa"/>
            <w:vMerge/>
          </w:tcPr>
          <w:p w14:paraId="3000F70A" w14:textId="77777777" w:rsidR="00855704" w:rsidRPr="00F84271" w:rsidRDefault="00855704" w:rsidP="00A65231">
            <w:pPr>
              <w:pStyle w:val="ListParagraph"/>
              <w:numPr>
                <w:ilvl w:val="0"/>
                <w:numId w:val="3"/>
              </w:numPr>
              <w:rPr>
                <w:rFonts w:ascii="Calibri Light" w:hAnsi="Calibri Light"/>
                <w:lang w:val="es-PE"/>
              </w:rPr>
            </w:pPr>
          </w:p>
        </w:tc>
        <w:tc>
          <w:tcPr>
            <w:tcW w:w="2551" w:type="dxa"/>
            <w:tcBorders>
              <w:top w:val="single" w:sz="4" w:space="0" w:color="8DB3E2" w:themeColor="text2" w:themeTint="66"/>
              <w:right w:val="single" w:sz="4" w:space="0" w:color="DBE5F1"/>
            </w:tcBorders>
          </w:tcPr>
          <w:p w14:paraId="30120962" w14:textId="1048C9EA" w:rsidR="00855704" w:rsidRPr="0091625B" w:rsidRDefault="00855704" w:rsidP="003E055D">
            <w:pPr>
              <w:jc w:val="both"/>
              <w:cnfStyle w:val="000000100000" w:firstRow="0" w:lastRow="0" w:firstColumn="0" w:lastColumn="0" w:oddVBand="0" w:evenVBand="0" w:oddHBand="1" w:evenHBand="0" w:firstRowFirstColumn="0" w:firstRowLastColumn="0" w:lastRowFirstColumn="0" w:lastRowLastColumn="0"/>
              <w:rPr>
                <w:rFonts w:ascii="Calibri Light" w:hAnsi="Calibri Light"/>
                <w:lang w:val="en-US"/>
              </w:rPr>
            </w:pPr>
            <w:r w:rsidRPr="0091625B">
              <w:rPr>
                <w:rFonts w:ascii="Calibri Light" w:hAnsi="Calibri Light"/>
                <w:lang w:val="en-US"/>
              </w:rPr>
              <w:t>Art. I</w:t>
            </w:r>
            <w:r w:rsidR="003E0508" w:rsidRPr="0091625B">
              <w:rPr>
                <w:rFonts w:ascii="Calibri Light" w:hAnsi="Calibri Light"/>
                <w:lang w:val="en-US"/>
              </w:rPr>
              <w:t>, a</w:t>
            </w:r>
            <w:r w:rsidRPr="0091625B">
              <w:rPr>
                <w:rFonts w:ascii="Calibri Light" w:hAnsi="Calibri Light"/>
                <w:lang w:val="en-US"/>
              </w:rPr>
              <w:t>rt. II</w:t>
            </w:r>
            <w:r w:rsidR="003E0508" w:rsidRPr="0091625B">
              <w:rPr>
                <w:rFonts w:ascii="Calibri Light" w:hAnsi="Calibri Light"/>
                <w:lang w:val="en-US"/>
              </w:rPr>
              <w:t>, a</w:t>
            </w:r>
            <w:r w:rsidRPr="0091625B">
              <w:rPr>
                <w:rFonts w:ascii="Calibri Light" w:hAnsi="Calibri Light"/>
                <w:lang w:val="en-US"/>
              </w:rPr>
              <w:t>rt. XVIII</w:t>
            </w:r>
            <w:r w:rsidR="003E0508" w:rsidRPr="0091625B">
              <w:rPr>
                <w:rFonts w:ascii="Calibri Light" w:hAnsi="Calibri Light"/>
                <w:lang w:val="en-US"/>
              </w:rPr>
              <w:t>, a</w:t>
            </w:r>
            <w:r w:rsidRPr="0091625B">
              <w:rPr>
                <w:rFonts w:ascii="Calibri Light" w:hAnsi="Calibri Light"/>
                <w:lang w:val="en-US"/>
              </w:rPr>
              <w:t>rt. XXV</w:t>
            </w:r>
            <w:r w:rsidR="003E0508" w:rsidRPr="0091625B">
              <w:rPr>
                <w:rFonts w:ascii="Calibri Light" w:hAnsi="Calibri Light"/>
                <w:lang w:val="en-US"/>
              </w:rPr>
              <w:t>, a</w:t>
            </w:r>
            <w:r w:rsidRPr="0091625B">
              <w:rPr>
                <w:rFonts w:ascii="Calibri Light" w:hAnsi="Calibri Light"/>
                <w:lang w:val="en-US"/>
              </w:rPr>
              <w:t>rt. XXVI</w:t>
            </w:r>
          </w:p>
        </w:tc>
        <w:tc>
          <w:tcPr>
            <w:tcW w:w="2390" w:type="dxa"/>
            <w:tcBorders>
              <w:top w:val="single" w:sz="4" w:space="0" w:color="8DB3E2" w:themeColor="text2" w:themeTint="66"/>
              <w:left w:val="single" w:sz="4" w:space="0" w:color="DBE5F1"/>
            </w:tcBorders>
          </w:tcPr>
          <w:p w14:paraId="67842C46" w14:textId="15B403CF" w:rsidR="00855704" w:rsidRPr="00F84271" w:rsidRDefault="00D95320" w:rsidP="00D95320">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lang w:val="es-PE"/>
              </w:rPr>
            </w:pPr>
            <w:r w:rsidRPr="00F84271">
              <w:rPr>
                <w:rFonts w:ascii="Calibri Light" w:hAnsi="Calibri Light"/>
                <w:lang w:val="es-PE"/>
              </w:rPr>
              <w:t>-</w:t>
            </w:r>
          </w:p>
        </w:tc>
      </w:tr>
      <w:tr w:rsidR="005173CF" w:rsidRPr="00F84271" w14:paraId="54B7813B" w14:textId="77777777" w:rsidTr="002462A6">
        <w:trPr>
          <w:trHeight w:val="259"/>
        </w:trPr>
        <w:tc>
          <w:tcPr>
            <w:cnfStyle w:val="001000000000" w:firstRow="0" w:lastRow="0" w:firstColumn="1" w:lastColumn="0" w:oddVBand="0" w:evenVBand="0" w:oddHBand="0" w:evenHBand="0" w:firstRowFirstColumn="0" w:firstRowLastColumn="0" w:lastRowFirstColumn="0" w:lastRowLastColumn="0"/>
            <w:tcW w:w="8735" w:type="dxa"/>
            <w:gridSpan w:val="3"/>
          </w:tcPr>
          <w:p w14:paraId="6D4895DD" w14:textId="3D96B2C3" w:rsidR="00AC6F31" w:rsidRPr="00F84271" w:rsidRDefault="00AC6F31" w:rsidP="00AC6F31">
            <w:pPr>
              <w:pStyle w:val="ListParagraph"/>
              <w:rPr>
                <w:rFonts w:ascii="Calibri Light" w:hAnsi="Calibri Light"/>
                <w:lang w:val="es-PE"/>
              </w:rPr>
            </w:pPr>
          </w:p>
          <w:p w14:paraId="1ECE5967" w14:textId="77777777" w:rsidR="005173CF" w:rsidRPr="00F84271" w:rsidRDefault="007A6C56" w:rsidP="0029671B">
            <w:pPr>
              <w:pStyle w:val="ListParagraph"/>
              <w:numPr>
                <w:ilvl w:val="0"/>
                <w:numId w:val="2"/>
              </w:numPr>
              <w:jc w:val="center"/>
              <w:rPr>
                <w:rFonts w:ascii="Calibri Light" w:hAnsi="Calibri Light"/>
                <w:lang w:val="es-PE"/>
              </w:rPr>
            </w:pPr>
            <w:r w:rsidRPr="00F84271">
              <w:rPr>
                <w:rFonts w:ascii="Calibri Light" w:hAnsi="Calibri Light"/>
                <w:lang w:val="es-PE"/>
              </w:rPr>
              <w:t>Sumilla</w:t>
            </w:r>
          </w:p>
          <w:p w14:paraId="009AFBB8" w14:textId="77777777" w:rsidR="00AC6F31" w:rsidRPr="00F84271" w:rsidRDefault="00AC6F31" w:rsidP="00AC6F31">
            <w:pPr>
              <w:pStyle w:val="ListParagraph"/>
              <w:rPr>
                <w:rFonts w:ascii="Calibri Light" w:hAnsi="Calibri Light"/>
                <w:lang w:val="es-PE"/>
              </w:rPr>
            </w:pPr>
          </w:p>
        </w:tc>
      </w:tr>
      <w:tr w:rsidR="007A6C56" w:rsidRPr="00F84271" w14:paraId="6B670455" w14:textId="77777777" w:rsidTr="008E0A21">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8735" w:type="dxa"/>
            <w:gridSpan w:val="3"/>
          </w:tcPr>
          <w:p w14:paraId="13858FCA" w14:textId="599915B0" w:rsidR="008931BD" w:rsidRDefault="008931BD" w:rsidP="008931BD">
            <w:pPr>
              <w:jc w:val="both"/>
              <w:rPr>
                <w:rFonts w:ascii="Calibri Light" w:hAnsi="Calibri Light"/>
                <w:b w:val="0"/>
                <w:lang w:val="es-PE"/>
              </w:rPr>
            </w:pPr>
          </w:p>
          <w:p w14:paraId="1B885E5F" w14:textId="7E4377EB" w:rsidR="008931BD" w:rsidRDefault="008931BD" w:rsidP="008931BD">
            <w:pPr>
              <w:jc w:val="both"/>
              <w:rPr>
                <w:rFonts w:ascii="Calibri Light" w:hAnsi="Calibri Light"/>
                <w:b w:val="0"/>
                <w:lang w:val="es-PE"/>
              </w:rPr>
            </w:pPr>
            <w:r>
              <w:rPr>
                <w:rFonts w:ascii="Calibri Light" w:hAnsi="Calibri Light"/>
                <w:b w:val="0"/>
                <w:lang w:val="es-PE"/>
              </w:rPr>
              <w:t xml:space="preserve">El caso trata sobre la condena a pena de muerte de Víctor Saldaño. En un primer juicio, esta fue impuesta en base a la supuesta peligrosidad del señor Saldaño, la cual fue determinada tomando en cuenta su raza y origen nacional. Si bien esta decisión fue revocada, en un segundo juicio, se le volvió a imponer la pena de muerte, esta vez considerando como factor determinante de la peligrosidad a su comportamiento en el corredor de la muerte. Cabe señalar que este fue consecuencia del deterioro de su salud mental por las condiciones en las que se mantuvo detenido. </w:t>
            </w:r>
          </w:p>
          <w:p w14:paraId="1EE5A7E7" w14:textId="43793238" w:rsidR="008931BD" w:rsidRPr="00F84271" w:rsidRDefault="008931BD" w:rsidP="008931BD">
            <w:pPr>
              <w:jc w:val="both"/>
              <w:rPr>
                <w:rFonts w:ascii="Calibri Light" w:hAnsi="Calibri Light"/>
                <w:b w:val="0"/>
                <w:lang w:val="es-PE"/>
              </w:rPr>
            </w:pPr>
          </w:p>
        </w:tc>
      </w:tr>
      <w:tr w:rsidR="007A6C56" w:rsidRPr="00F84271" w14:paraId="238A2196" w14:textId="77777777" w:rsidTr="002462A6">
        <w:trPr>
          <w:trHeight w:val="841"/>
        </w:trPr>
        <w:tc>
          <w:tcPr>
            <w:cnfStyle w:val="001000000000" w:firstRow="0" w:lastRow="0" w:firstColumn="1" w:lastColumn="0" w:oddVBand="0" w:evenVBand="0" w:oddHBand="0" w:evenHBand="0" w:firstRowFirstColumn="0" w:firstRowLastColumn="0" w:lastRowFirstColumn="0" w:lastRowLastColumn="0"/>
            <w:tcW w:w="8735" w:type="dxa"/>
            <w:gridSpan w:val="3"/>
          </w:tcPr>
          <w:p w14:paraId="76D9AAF2" w14:textId="77777777" w:rsidR="00AC6F31" w:rsidRPr="00F84271" w:rsidRDefault="00AC6F31" w:rsidP="00AC6F31">
            <w:pPr>
              <w:pStyle w:val="ListParagraph"/>
              <w:rPr>
                <w:rFonts w:ascii="Calibri Light" w:hAnsi="Calibri Light"/>
                <w:lang w:val="es-PE"/>
              </w:rPr>
            </w:pPr>
          </w:p>
          <w:p w14:paraId="6E7AC4B8" w14:textId="77777777" w:rsidR="007A6C56" w:rsidRPr="00F84271" w:rsidRDefault="007A6C56" w:rsidP="0029671B">
            <w:pPr>
              <w:pStyle w:val="ListParagraph"/>
              <w:numPr>
                <w:ilvl w:val="0"/>
                <w:numId w:val="2"/>
              </w:numPr>
              <w:jc w:val="center"/>
              <w:rPr>
                <w:rFonts w:ascii="Calibri Light" w:hAnsi="Calibri Light"/>
                <w:lang w:val="es-PE"/>
              </w:rPr>
            </w:pPr>
            <w:r w:rsidRPr="00F84271">
              <w:rPr>
                <w:rFonts w:ascii="Calibri Light" w:hAnsi="Calibri Light"/>
                <w:lang w:val="es-PE"/>
              </w:rPr>
              <w:t>Palabras clave</w:t>
            </w:r>
          </w:p>
          <w:p w14:paraId="6A1E32A7" w14:textId="77777777" w:rsidR="00AC6F31" w:rsidRPr="00F84271" w:rsidRDefault="00AC6F31" w:rsidP="00AC6F31">
            <w:pPr>
              <w:pStyle w:val="ListParagraph"/>
              <w:rPr>
                <w:rFonts w:ascii="Calibri Light" w:hAnsi="Calibri Light"/>
                <w:lang w:val="es-PE"/>
              </w:rPr>
            </w:pPr>
          </w:p>
        </w:tc>
      </w:tr>
      <w:tr w:rsidR="007A1023" w:rsidRPr="00F84271" w14:paraId="34AE2D45" w14:textId="77777777" w:rsidTr="008931BD">
        <w:trPr>
          <w:cnfStyle w:val="000000100000" w:firstRow="0" w:lastRow="0" w:firstColumn="0" w:lastColumn="0" w:oddVBand="0" w:evenVBand="0" w:oddHBand="1" w:evenHBand="0" w:firstRowFirstColumn="0" w:firstRowLastColumn="0" w:lastRowFirstColumn="0" w:lastRowLastColumn="0"/>
          <w:trHeight w:val="717"/>
        </w:trPr>
        <w:tc>
          <w:tcPr>
            <w:cnfStyle w:val="001000000000" w:firstRow="0" w:lastRow="0" w:firstColumn="1" w:lastColumn="0" w:oddVBand="0" w:evenVBand="0" w:oddHBand="0" w:evenHBand="0" w:firstRowFirstColumn="0" w:firstRowLastColumn="0" w:lastRowFirstColumn="0" w:lastRowLastColumn="0"/>
            <w:tcW w:w="8735" w:type="dxa"/>
            <w:gridSpan w:val="3"/>
          </w:tcPr>
          <w:p w14:paraId="24CB813E" w14:textId="77777777" w:rsidR="00C404AF" w:rsidRPr="00F84271" w:rsidRDefault="00C404AF" w:rsidP="003E0508">
            <w:pPr>
              <w:jc w:val="both"/>
              <w:rPr>
                <w:rFonts w:ascii="Calibri Light" w:hAnsi="Calibri Light" w:cs="Calibri Light"/>
                <w:b w:val="0"/>
                <w:lang w:val="es-PE"/>
              </w:rPr>
            </w:pPr>
          </w:p>
          <w:p w14:paraId="2E29E4BE" w14:textId="1F92E7D1" w:rsidR="007A1023" w:rsidRPr="00F84271" w:rsidRDefault="008931BD" w:rsidP="003E0508">
            <w:pPr>
              <w:jc w:val="both"/>
              <w:rPr>
                <w:rFonts w:ascii="Calibri Light" w:hAnsi="Calibri Light" w:cs="Calibri Light"/>
                <w:b w:val="0"/>
                <w:lang w:val="es-PE"/>
              </w:rPr>
            </w:pPr>
            <w:r>
              <w:rPr>
                <w:rFonts w:ascii="Calibri Light" w:hAnsi="Calibri Light" w:cs="Calibri Light"/>
                <w:b w:val="0"/>
                <w:lang w:val="es-PE"/>
              </w:rPr>
              <w:t xml:space="preserve">Condiciones de detención, </w:t>
            </w:r>
            <w:r w:rsidR="003E0508" w:rsidRPr="00F84271">
              <w:rPr>
                <w:rFonts w:ascii="Calibri Light" w:hAnsi="Calibri Light" w:cs="Calibri Light"/>
                <w:b w:val="0"/>
                <w:lang w:val="es-PE"/>
              </w:rPr>
              <w:t xml:space="preserve">DADDH, Igualdad ante la ley, </w:t>
            </w:r>
            <w:r w:rsidR="007A1023" w:rsidRPr="00F84271">
              <w:rPr>
                <w:rFonts w:ascii="Calibri Light" w:hAnsi="Calibri Light" w:cs="Calibri Light"/>
                <w:b w:val="0"/>
                <w:lang w:val="es-PE"/>
              </w:rPr>
              <w:t>Integridad personal</w:t>
            </w:r>
            <w:r w:rsidR="003E0508" w:rsidRPr="00F84271">
              <w:rPr>
                <w:rFonts w:ascii="Calibri Light" w:hAnsi="Calibri Light" w:cs="Calibri Light"/>
                <w:b w:val="0"/>
                <w:lang w:val="es-PE"/>
              </w:rPr>
              <w:t>, Pena de muerte</w:t>
            </w:r>
            <w:r w:rsidR="007A1023" w:rsidRPr="00F84271">
              <w:rPr>
                <w:rFonts w:ascii="Calibri Light" w:hAnsi="Calibri Light" w:cs="Calibri Light"/>
                <w:b w:val="0"/>
                <w:lang w:val="es-PE"/>
              </w:rPr>
              <w:t>, Protección j</w:t>
            </w:r>
            <w:r w:rsidR="003E0508" w:rsidRPr="00F84271">
              <w:rPr>
                <w:rFonts w:ascii="Calibri Light" w:hAnsi="Calibri Light" w:cs="Calibri Light"/>
                <w:b w:val="0"/>
                <w:lang w:val="es-PE"/>
              </w:rPr>
              <w:t>udicial y garantías judiciales</w:t>
            </w:r>
            <w:r w:rsidR="007A1023" w:rsidRPr="00F84271">
              <w:rPr>
                <w:rFonts w:ascii="Calibri Light" w:hAnsi="Calibri Light" w:cs="Calibri Light"/>
                <w:b w:val="0"/>
                <w:lang w:val="es-PE"/>
              </w:rPr>
              <w:t xml:space="preserve">, </w:t>
            </w:r>
            <w:r>
              <w:rPr>
                <w:rFonts w:ascii="Calibri Light" w:hAnsi="Calibri Light" w:cs="Calibri Light"/>
                <w:b w:val="0"/>
                <w:lang w:val="es-PE"/>
              </w:rPr>
              <w:t xml:space="preserve">Tortura tratos crueles inhumanos o degradantes, </w:t>
            </w:r>
            <w:r w:rsidR="007A1023" w:rsidRPr="00F84271">
              <w:rPr>
                <w:rFonts w:ascii="Calibri Light" w:hAnsi="Calibri Light" w:cs="Calibri Light"/>
                <w:b w:val="0"/>
                <w:lang w:val="es-PE"/>
              </w:rPr>
              <w:t>Vida</w:t>
            </w:r>
          </w:p>
          <w:p w14:paraId="05374712" w14:textId="2232427D" w:rsidR="00C404AF" w:rsidRPr="00F84271" w:rsidRDefault="00C404AF" w:rsidP="003E0508">
            <w:pPr>
              <w:jc w:val="both"/>
              <w:rPr>
                <w:rFonts w:ascii="Calibri Light" w:hAnsi="Calibri Light"/>
                <w:b w:val="0"/>
                <w:lang w:val="es-PE"/>
              </w:rPr>
            </w:pPr>
          </w:p>
        </w:tc>
      </w:tr>
      <w:tr w:rsidR="005173CF" w:rsidRPr="00F84271" w14:paraId="69044E7B" w14:textId="77777777" w:rsidTr="002462A6">
        <w:trPr>
          <w:trHeight w:val="259"/>
        </w:trPr>
        <w:tc>
          <w:tcPr>
            <w:cnfStyle w:val="001000000000" w:firstRow="0" w:lastRow="0" w:firstColumn="1" w:lastColumn="0" w:oddVBand="0" w:evenVBand="0" w:oddHBand="0" w:evenHBand="0" w:firstRowFirstColumn="0" w:firstRowLastColumn="0" w:lastRowFirstColumn="0" w:lastRowLastColumn="0"/>
            <w:tcW w:w="8735" w:type="dxa"/>
            <w:gridSpan w:val="3"/>
          </w:tcPr>
          <w:p w14:paraId="23949460" w14:textId="77777777" w:rsidR="00AC6F31" w:rsidRPr="00F84271" w:rsidRDefault="00AC6F31" w:rsidP="00AC6F31">
            <w:pPr>
              <w:pStyle w:val="ListParagraph"/>
              <w:rPr>
                <w:rFonts w:ascii="Calibri Light" w:hAnsi="Calibri Light"/>
                <w:lang w:val="es-PE"/>
              </w:rPr>
            </w:pPr>
          </w:p>
          <w:p w14:paraId="177FF988" w14:textId="77777777" w:rsidR="005173CF" w:rsidRPr="00F84271" w:rsidRDefault="007A6C56" w:rsidP="0029671B">
            <w:pPr>
              <w:pStyle w:val="ListParagraph"/>
              <w:numPr>
                <w:ilvl w:val="0"/>
                <w:numId w:val="2"/>
              </w:numPr>
              <w:jc w:val="center"/>
              <w:rPr>
                <w:rFonts w:ascii="Calibri Light" w:hAnsi="Calibri Light"/>
                <w:lang w:val="es-PE"/>
              </w:rPr>
            </w:pPr>
            <w:r w:rsidRPr="00F84271">
              <w:rPr>
                <w:rFonts w:ascii="Calibri Light" w:hAnsi="Calibri Light"/>
                <w:lang w:val="es-PE"/>
              </w:rPr>
              <w:t>Hechos</w:t>
            </w:r>
          </w:p>
          <w:p w14:paraId="190B7E98" w14:textId="77777777" w:rsidR="00AC6F31" w:rsidRPr="00F84271" w:rsidRDefault="00AC6F31" w:rsidP="00AC6F31">
            <w:pPr>
              <w:pStyle w:val="ListParagraph"/>
              <w:rPr>
                <w:rFonts w:ascii="Calibri Light" w:hAnsi="Calibri Light"/>
                <w:lang w:val="es-PE"/>
              </w:rPr>
            </w:pPr>
          </w:p>
        </w:tc>
      </w:tr>
      <w:tr w:rsidR="005173CF" w:rsidRPr="00F84271" w14:paraId="6F58DE83" w14:textId="77777777" w:rsidTr="002462A6">
        <w:trPr>
          <w:cnfStyle w:val="000000100000" w:firstRow="0" w:lastRow="0" w:firstColumn="0" w:lastColumn="0" w:oddVBand="0" w:evenVBand="0" w:oddHBand="1" w:evenHBand="0" w:firstRowFirstColumn="0" w:firstRowLastColumn="0" w:lastRowFirstColumn="0" w:lastRowLastColumn="0"/>
          <w:trHeight w:val="652"/>
        </w:trPr>
        <w:tc>
          <w:tcPr>
            <w:cnfStyle w:val="001000000000" w:firstRow="0" w:lastRow="0" w:firstColumn="1" w:lastColumn="0" w:oddVBand="0" w:evenVBand="0" w:oddHBand="0" w:evenHBand="0" w:firstRowFirstColumn="0" w:firstRowLastColumn="0" w:lastRowFirstColumn="0" w:lastRowLastColumn="0"/>
            <w:tcW w:w="8735" w:type="dxa"/>
            <w:gridSpan w:val="3"/>
          </w:tcPr>
          <w:p w14:paraId="470EC13D" w14:textId="6D7A9910" w:rsidR="00AC6F31" w:rsidRPr="00F84271" w:rsidRDefault="00AC6F31" w:rsidP="008036E7">
            <w:pPr>
              <w:jc w:val="both"/>
              <w:rPr>
                <w:rFonts w:ascii="Calibri Light" w:hAnsi="Calibri Light"/>
                <w:b w:val="0"/>
                <w:lang w:val="es-PE"/>
              </w:rPr>
            </w:pPr>
          </w:p>
          <w:p w14:paraId="688E70B1" w14:textId="4152A067" w:rsidR="00573A57" w:rsidRDefault="00156B1C" w:rsidP="00156B1C">
            <w:pPr>
              <w:jc w:val="both"/>
              <w:rPr>
                <w:rFonts w:ascii="Calibri Light" w:hAnsi="Calibri Light"/>
                <w:b w:val="0"/>
                <w:lang w:val="es-PE"/>
              </w:rPr>
            </w:pPr>
            <w:r w:rsidRPr="00F84271">
              <w:rPr>
                <w:rFonts w:ascii="Calibri Light" w:hAnsi="Calibri Light"/>
                <w:b w:val="0"/>
                <w:lang w:val="es-PE"/>
              </w:rPr>
              <w:t xml:space="preserve">En noviembre de 1995, </w:t>
            </w:r>
            <w:r w:rsidR="00890481" w:rsidRPr="00F84271">
              <w:rPr>
                <w:rFonts w:ascii="Calibri Light" w:hAnsi="Calibri Light"/>
                <w:b w:val="0"/>
                <w:lang w:val="es-PE"/>
              </w:rPr>
              <w:t>Víctor</w:t>
            </w:r>
            <w:r w:rsidRPr="00F84271">
              <w:rPr>
                <w:rFonts w:ascii="Calibri Light" w:hAnsi="Calibri Light"/>
                <w:b w:val="0"/>
                <w:lang w:val="es-PE"/>
              </w:rPr>
              <w:t xml:space="preserve"> Hugo Saldaño</w:t>
            </w:r>
            <w:r w:rsidR="006C262B">
              <w:rPr>
                <w:rFonts w:ascii="Calibri Light" w:hAnsi="Calibri Light"/>
                <w:b w:val="0"/>
                <w:lang w:val="es-PE"/>
              </w:rPr>
              <w:t xml:space="preserve">, de nacionalidad argentina, </w:t>
            </w:r>
            <w:r w:rsidRPr="00F84271">
              <w:rPr>
                <w:rFonts w:ascii="Calibri Light" w:hAnsi="Calibri Light"/>
                <w:b w:val="0"/>
                <w:lang w:val="es-PE"/>
              </w:rPr>
              <w:t xml:space="preserve">fue detenido </w:t>
            </w:r>
            <w:r w:rsidR="006C262B" w:rsidRPr="00F84271">
              <w:rPr>
                <w:rFonts w:ascii="Calibri Light" w:hAnsi="Calibri Light"/>
                <w:b w:val="0"/>
                <w:lang w:val="es-PE"/>
              </w:rPr>
              <w:t xml:space="preserve">junto a otra persona </w:t>
            </w:r>
            <w:r w:rsidR="006C262B">
              <w:rPr>
                <w:rFonts w:ascii="Calibri Light" w:hAnsi="Calibri Light"/>
                <w:b w:val="0"/>
                <w:lang w:val="es-PE"/>
              </w:rPr>
              <w:t>en el estado de Texas</w:t>
            </w:r>
            <w:r w:rsidR="00373747" w:rsidRPr="00F84271">
              <w:rPr>
                <w:rFonts w:ascii="Calibri Light" w:hAnsi="Calibri Light"/>
                <w:b w:val="0"/>
                <w:lang w:val="es-PE"/>
              </w:rPr>
              <w:t>,</w:t>
            </w:r>
            <w:r w:rsidRPr="00F84271">
              <w:rPr>
                <w:rFonts w:ascii="Calibri Light" w:hAnsi="Calibri Light"/>
                <w:b w:val="0"/>
                <w:lang w:val="es-PE"/>
              </w:rPr>
              <w:t xml:space="preserve"> y sometido a un proceso penal por secuestro y homicidio. </w:t>
            </w:r>
            <w:r w:rsidR="008931BD">
              <w:rPr>
                <w:rFonts w:ascii="Calibri Light" w:hAnsi="Calibri Light"/>
                <w:b w:val="0"/>
                <w:lang w:val="es-PE"/>
              </w:rPr>
              <w:lastRenderedPageBreak/>
              <w:t>Durante el proceso</w:t>
            </w:r>
            <w:r w:rsidR="006C262B">
              <w:rPr>
                <w:rFonts w:ascii="Calibri Light" w:hAnsi="Calibri Light"/>
                <w:b w:val="0"/>
                <w:lang w:val="es-PE"/>
              </w:rPr>
              <w:t xml:space="preserve">, </w:t>
            </w:r>
            <w:r w:rsidR="004C33C1" w:rsidRPr="00F84271">
              <w:rPr>
                <w:rFonts w:ascii="Calibri Light" w:hAnsi="Calibri Light"/>
                <w:b w:val="0"/>
                <w:lang w:val="es-PE"/>
              </w:rPr>
              <w:t>se le asignó un aboga</w:t>
            </w:r>
            <w:r w:rsidR="006C262B">
              <w:rPr>
                <w:rFonts w:ascii="Calibri Light" w:hAnsi="Calibri Light"/>
                <w:b w:val="0"/>
                <w:lang w:val="es-PE"/>
              </w:rPr>
              <w:t>do de oficio para representarlo</w:t>
            </w:r>
            <w:r w:rsidR="000E57B5">
              <w:rPr>
                <w:rFonts w:ascii="Calibri Light" w:hAnsi="Calibri Light"/>
                <w:b w:val="0"/>
                <w:lang w:val="es-PE"/>
              </w:rPr>
              <w:t xml:space="preserve">. El </w:t>
            </w:r>
            <w:r w:rsidR="004C33C1" w:rsidRPr="00F84271">
              <w:rPr>
                <w:rFonts w:ascii="Calibri Light" w:hAnsi="Calibri Light"/>
                <w:b w:val="0"/>
                <w:lang w:val="es-PE"/>
              </w:rPr>
              <w:t>11 de julio de 1996, fue encontrado culpable de asesinato.</w:t>
            </w:r>
            <w:r w:rsidR="00C404AF" w:rsidRPr="00F84271">
              <w:rPr>
                <w:rFonts w:ascii="Calibri Light" w:hAnsi="Calibri Light"/>
                <w:b w:val="0"/>
                <w:lang w:val="es-PE"/>
              </w:rPr>
              <w:t xml:space="preserve"> </w:t>
            </w:r>
            <w:r w:rsidR="000E57B5">
              <w:rPr>
                <w:rFonts w:ascii="Calibri Light" w:hAnsi="Calibri Light"/>
                <w:b w:val="0"/>
                <w:lang w:val="es-PE"/>
              </w:rPr>
              <w:t xml:space="preserve">Seguidamente, se inició el proceso de imposición de la pena. En este, el jurado debía determinar la peligrosidad futura del señor Saldaño, y si existían atenuantes para la aplicación de cadena perpetua en lugar de la pena de muerte. </w:t>
            </w:r>
          </w:p>
          <w:p w14:paraId="222E7ADB" w14:textId="77777777" w:rsidR="00573A57" w:rsidRDefault="00573A57" w:rsidP="00156B1C">
            <w:pPr>
              <w:jc w:val="both"/>
              <w:rPr>
                <w:rFonts w:ascii="Calibri Light" w:hAnsi="Calibri Light"/>
                <w:b w:val="0"/>
                <w:lang w:val="es-PE"/>
              </w:rPr>
            </w:pPr>
          </w:p>
          <w:p w14:paraId="72E4F458" w14:textId="6251A835" w:rsidR="00573A57" w:rsidRDefault="000E57B5" w:rsidP="00156B1C">
            <w:pPr>
              <w:jc w:val="both"/>
              <w:rPr>
                <w:rFonts w:ascii="Calibri Light" w:hAnsi="Calibri Light"/>
                <w:b w:val="0"/>
                <w:lang w:val="es-PE"/>
              </w:rPr>
            </w:pPr>
            <w:r>
              <w:rPr>
                <w:rFonts w:ascii="Calibri Light" w:hAnsi="Calibri Light"/>
                <w:b w:val="0"/>
                <w:lang w:val="es-PE"/>
              </w:rPr>
              <w:t xml:space="preserve">Para </w:t>
            </w:r>
            <w:r w:rsidR="00765991">
              <w:rPr>
                <w:rFonts w:ascii="Calibri Light" w:hAnsi="Calibri Light"/>
                <w:b w:val="0"/>
                <w:lang w:val="es-PE"/>
              </w:rPr>
              <w:t xml:space="preserve">esta </w:t>
            </w:r>
            <w:r>
              <w:rPr>
                <w:rFonts w:ascii="Calibri Light" w:hAnsi="Calibri Light"/>
                <w:b w:val="0"/>
                <w:lang w:val="es-PE"/>
              </w:rPr>
              <w:t>decisión, tomó en cuenta el testimonio del psicólogo clínico Walter Quijano. Este se refirió a 24 factores</w:t>
            </w:r>
            <w:r w:rsidR="00765991">
              <w:rPr>
                <w:rFonts w:ascii="Calibri Light" w:hAnsi="Calibri Light"/>
                <w:b w:val="0"/>
                <w:lang w:val="es-PE"/>
              </w:rPr>
              <w:t xml:space="preserve"> </w:t>
            </w:r>
            <w:r>
              <w:rPr>
                <w:rFonts w:ascii="Calibri Light" w:hAnsi="Calibri Light"/>
                <w:b w:val="0"/>
                <w:lang w:val="es-PE"/>
              </w:rPr>
              <w:t>que debían ser considerados para determinar la peligrosidad futura</w:t>
            </w:r>
            <w:r w:rsidR="00765991">
              <w:rPr>
                <w:rFonts w:ascii="Calibri Light" w:hAnsi="Calibri Light"/>
                <w:b w:val="0"/>
                <w:lang w:val="es-PE"/>
              </w:rPr>
              <w:t>, entre los cuales se encontraba la raza</w:t>
            </w:r>
            <w:r>
              <w:rPr>
                <w:rFonts w:ascii="Calibri Light" w:hAnsi="Calibri Light"/>
                <w:b w:val="0"/>
                <w:lang w:val="es-PE"/>
              </w:rPr>
              <w:t xml:space="preserve">. </w:t>
            </w:r>
            <w:r w:rsidR="00765991">
              <w:rPr>
                <w:rFonts w:ascii="Calibri Light" w:hAnsi="Calibri Light"/>
                <w:b w:val="0"/>
                <w:lang w:val="es-PE"/>
              </w:rPr>
              <w:t>Al respecto</w:t>
            </w:r>
            <w:r>
              <w:rPr>
                <w:rFonts w:ascii="Calibri Light" w:hAnsi="Calibri Light"/>
                <w:b w:val="0"/>
                <w:lang w:val="es-PE"/>
              </w:rPr>
              <w:t xml:space="preserve">, señaló que el 20% de </w:t>
            </w:r>
            <w:r w:rsidR="00BE33D8">
              <w:rPr>
                <w:rFonts w:ascii="Calibri Light" w:hAnsi="Calibri Light"/>
                <w:b w:val="0"/>
                <w:lang w:val="es-PE"/>
              </w:rPr>
              <w:t xml:space="preserve">los presos del sistema penitenciario era hispano y que el señor Saldaño calificaba como tal. La defensa del señor Saldaño no presentó objeción </w:t>
            </w:r>
            <w:r w:rsidR="00AF7874">
              <w:rPr>
                <w:rFonts w:ascii="Calibri Light" w:hAnsi="Calibri Light"/>
                <w:b w:val="0"/>
                <w:lang w:val="es-PE"/>
              </w:rPr>
              <w:t>sobre este criterio</w:t>
            </w:r>
            <w:r w:rsidR="00BE33D8">
              <w:rPr>
                <w:rFonts w:ascii="Calibri Light" w:hAnsi="Calibri Light"/>
                <w:b w:val="0"/>
                <w:lang w:val="es-PE"/>
              </w:rPr>
              <w:t xml:space="preserve"> durante el juicio. </w:t>
            </w:r>
            <w:r w:rsidR="00765991">
              <w:rPr>
                <w:rFonts w:ascii="Calibri Light" w:hAnsi="Calibri Light"/>
                <w:b w:val="0"/>
                <w:lang w:val="es-PE"/>
              </w:rPr>
              <w:t xml:space="preserve">En base a este testimonio y otros </w:t>
            </w:r>
            <w:r w:rsidR="00573A57">
              <w:rPr>
                <w:rFonts w:ascii="Calibri Light" w:hAnsi="Calibri Light"/>
                <w:b w:val="0"/>
                <w:lang w:val="es-PE"/>
              </w:rPr>
              <w:t xml:space="preserve">elementos, el jurado determinó </w:t>
            </w:r>
            <w:r w:rsidR="00765991">
              <w:rPr>
                <w:rFonts w:ascii="Calibri Light" w:hAnsi="Calibri Light"/>
                <w:b w:val="0"/>
                <w:lang w:val="es-PE"/>
              </w:rPr>
              <w:t xml:space="preserve">que sí existía peligrosidad futura y que no existían atenuantes. En esa medida, el 15 de agosto de 1996, la Corte Distrital 199° del Distrito Judicial del Condado de Collin </w:t>
            </w:r>
            <w:r w:rsidR="008931BD">
              <w:rPr>
                <w:rFonts w:ascii="Calibri Light" w:hAnsi="Calibri Light"/>
                <w:b w:val="0"/>
                <w:lang w:val="es-PE"/>
              </w:rPr>
              <w:t xml:space="preserve">(en adelante, Corte Distrital 199°) </w:t>
            </w:r>
            <w:r w:rsidR="00765991">
              <w:rPr>
                <w:rFonts w:ascii="Calibri Light" w:hAnsi="Calibri Light"/>
                <w:b w:val="0"/>
                <w:lang w:val="es-PE"/>
              </w:rPr>
              <w:t xml:space="preserve">determinó que era culpable y procedía la aplicación de la pena de muerte. </w:t>
            </w:r>
          </w:p>
          <w:p w14:paraId="1EE98164" w14:textId="77777777" w:rsidR="00573A57" w:rsidRDefault="00573A57" w:rsidP="00156B1C">
            <w:pPr>
              <w:jc w:val="both"/>
              <w:rPr>
                <w:rFonts w:ascii="Calibri Light" w:hAnsi="Calibri Light"/>
                <w:b w:val="0"/>
                <w:lang w:val="es-PE"/>
              </w:rPr>
            </w:pPr>
          </w:p>
          <w:p w14:paraId="24924E79" w14:textId="71AEE24D" w:rsidR="00A012B0" w:rsidRDefault="00AF7874" w:rsidP="00156B1C">
            <w:pPr>
              <w:jc w:val="both"/>
              <w:rPr>
                <w:rFonts w:ascii="Calibri Light" w:hAnsi="Calibri Light"/>
                <w:b w:val="0"/>
                <w:lang w:val="es-PE"/>
              </w:rPr>
            </w:pPr>
            <w:r>
              <w:rPr>
                <w:rFonts w:ascii="Calibri Light" w:hAnsi="Calibri Light"/>
                <w:b w:val="0"/>
                <w:lang w:val="es-PE"/>
              </w:rPr>
              <w:t>Esta decisión fue apelada por la defensa del señor Saldaño, que cuestionó entre otras cosas, el testimonio del señor Quijano en el que se utilizaba la raza como factor para determinar la peligrosidad del acusado. Sin embargo, este recurso fue desestimado por la Corte de Apelaciones de lo Penal de Texas</w:t>
            </w:r>
            <w:r w:rsidR="008931BD">
              <w:rPr>
                <w:rFonts w:ascii="Calibri Light" w:hAnsi="Calibri Light"/>
                <w:b w:val="0"/>
                <w:lang w:val="es-PE"/>
              </w:rPr>
              <w:t xml:space="preserve"> (en adelante, Corte de Apelaciones)</w:t>
            </w:r>
            <w:r>
              <w:rPr>
                <w:rFonts w:ascii="Calibri Light" w:hAnsi="Calibri Light"/>
                <w:b w:val="0"/>
                <w:lang w:val="es-PE"/>
              </w:rPr>
              <w:t xml:space="preserve">, que observó que no se había objetado oportunamente el testimonio y que este no constituía un “error fundamental” que pudiera ser alegado por primera vez en apelación. En vista de ello, el 18 de enero de 2000, ordenó la ejecución del señor Saldaño para el 18 de abril. </w:t>
            </w:r>
          </w:p>
          <w:p w14:paraId="791E680F" w14:textId="77777777" w:rsidR="00A012B0" w:rsidRDefault="00A012B0" w:rsidP="00156B1C">
            <w:pPr>
              <w:jc w:val="both"/>
              <w:rPr>
                <w:rFonts w:ascii="Calibri Light" w:hAnsi="Calibri Light"/>
                <w:b w:val="0"/>
                <w:lang w:val="es-PE"/>
              </w:rPr>
            </w:pPr>
          </w:p>
          <w:p w14:paraId="36C748F7" w14:textId="7DEE606E" w:rsidR="00D87E27" w:rsidRDefault="00A012B0" w:rsidP="00156B1C">
            <w:pPr>
              <w:jc w:val="both"/>
              <w:rPr>
                <w:rFonts w:ascii="Calibri Light" w:hAnsi="Calibri Light"/>
                <w:b w:val="0"/>
                <w:lang w:val="es-PE"/>
              </w:rPr>
            </w:pPr>
            <w:r>
              <w:rPr>
                <w:rFonts w:ascii="Calibri Light" w:hAnsi="Calibri Light"/>
                <w:b w:val="0"/>
                <w:lang w:val="es-PE"/>
              </w:rPr>
              <w:t>Frente a esta situación, el 4 de febrero de ese año, la defensa del señor Saldaño presentó ante la Corte Suprema de Justicia un recurso de avocación (</w:t>
            </w:r>
            <w:r w:rsidRPr="00A012B0">
              <w:rPr>
                <w:rFonts w:ascii="Calibri Light" w:hAnsi="Calibri Light"/>
                <w:b w:val="0"/>
                <w:i/>
                <w:lang w:val="es-PE"/>
              </w:rPr>
              <w:t>writ of certiorar</w:t>
            </w:r>
            <w:r w:rsidR="008931BD">
              <w:rPr>
                <w:rFonts w:ascii="Calibri Light" w:hAnsi="Calibri Light"/>
                <w:b w:val="0"/>
                <w:i/>
                <w:lang w:val="es-PE"/>
              </w:rPr>
              <w:t>i</w:t>
            </w:r>
            <w:r>
              <w:rPr>
                <w:rFonts w:ascii="Calibri Light" w:hAnsi="Calibri Light"/>
                <w:b w:val="0"/>
                <w:lang w:val="es-PE"/>
              </w:rPr>
              <w:t>), alegando que la utilización de la raza como factor para determinar la pena de muerte era un error fundamental.  En respuesta, el Fiscal General de Texas reconoció que había sido un error la utilización de dicho factor y solicitó a la Corte Suprema otorgar el recurso de avocación</w:t>
            </w:r>
            <w:r w:rsidR="00333007">
              <w:rPr>
                <w:rFonts w:ascii="Calibri Light" w:hAnsi="Calibri Light"/>
                <w:b w:val="0"/>
                <w:lang w:val="es-PE"/>
              </w:rPr>
              <w:t xml:space="preserve">. Este </w:t>
            </w:r>
            <w:r>
              <w:rPr>
                <w:rFonts w:ascii="Calibri Light" w:hAnsi="Calibri Light"/>
                <w:b w:val="0"/>
                <w:lang w:val="es-PE"/>
              </w:rPr>
              <w:t>fue concedido el 5 de junio de 2000</w:t>
            </w:r>
            <w:r w:rsidR="00333007">
              <w:rPr>
                <w:rFonts w:ascii="Calibri Light" w:hAnsi="Calibri Light"/>
                <w:b w:val="0"/>
                <w:lang w:val="es-PE"/>
              </w:rPr>
              <w:t xml:space="preserve"> y se reenvío el caso a la Corte de Apelaciones para “mayor consideración”. No obstante, el 14 de marzo de 2002</w:t>
            </w:r>
            <w:r w:rsidR="008931BD">
              <w:rPr>
                <w:rFonts w:ascii="Calibri Light" w:hAnsi="Calibri Light"/>
                <w:b w:val="0"/>
                <w:lang w:val="es-PE"/>
              </w:rPr>
              <w:t>,</w:t>
            </w:r>
            <w:r w:rsidR="00333007">
              <w:rPr>
                <w:rFonts w:ascii="Calibri Light" w:hAnsi="Calibri Light"/>
                <w:b w:val="0"/>
                <w:lang w:val="es-PE"/>
              </w:rPr>
              <w:t xml:space="preserve"> esta instancia confirmó </w:t>
            </w:r>
            <w:r w:rsidR="00830BAE" w:rsidRPr="00F84271">
              <w:rPr>
                <w:rFonts w:ascii="Calibri Light" w:hAnsi="Calibri Light"/>
                <w:b w:val="0"/>
                <w:lang w:val="es-PE"/>
              </w:rPr>
              <w:t xml:space="preserve">la condena a pena de muerte del </w:t>
            </w:r>
            <w:r w:rsidR="008A069E" w:rsidRPr="00F84271">
              <w:rPr>
                <w:rFonts w:ascii="Calibri Light" w:hAnsi="Calibri Light"/>
                <w:b w:val="0"/>
                <w:lang w:val="es-PE"/>
              </w:rPr>
              <w:t>señor</w:t>
            </w:r>
            <w:r w:rsidR="00830BAE" w:rsidRPr="00F84271">
              <w:rPr>
                <w:rFonts w:ascii="Calibri Light" w:hAnsi="Calibri Light"/>
                <w:b w:val="0"/>
                <w:lang w:val="es-PE"/>
              </w:rPr>
              <w:t xml:space="preserve"> Saldaño</w:t>
            </w:r>
            <w:r w:rsidR="00D87E27">
              <w:rPr>
                <w:rFonts w:ascii="Calibri Light" w:hAnsi="Calibri Light"/>
                <w:b w:val="0"/>
                <w:lang w:val="es-PE"/>
              </w:rPr>
              <w:t>, reiterando que la utilización del factor raza no era un “error fundamental”</w:t>
            </w:r>
            <w:r w:rsidR="00830BAE" w:rsidRPr="00F84271">
              <w:rPr>
                <w:rFonts w:ascii="Calibri Light" w:hAnsi="Calibri Light"/>
                <w:b w:val="0"/>
                <w:lang w:val="es-PE"/>
              </w:rPr>
              <w:t>.</w:t>
            </w:r>
            <w:r w:rsidR="007C722A" w:rsidRPr="00F84271">
              <w:rPr>
                <w:rFonts w:ascii="Calibri Light" w:hAnsi="Calibri Light"/>
                <w:b w:val="0"/>
                <w:lang w:val="es-PE"/>
              </w:rPr>
              <w:t xml:space="preserve"> Contra esta decisión</w:t>
            </w:r>
            <w:r w:rsidR="00CA0ACC" w:rsidRPr="00F84271">
              <w:rPr>
                <w:rFonts w:ascii="Calibri Light" w:hAnsi="Calibri Light"/>
                <w:b w:val="0"/>
                <w:lang w:val="es-PE"/>
              </w:rPr>
              <w:t>,</w:t>
            </w:r>
            <w:r w:rsidR="007C722A" w:rsidRPr="00F84271">
              <w:rPr>
                <w:rFonts w:ascii="Calibri Light" w:hAnsi="Calibri Light"/>
                <w:b w:val="0"/>
                <w:lang w:val="es-PE"/>
              </w:rPr>
              <w:t xml:space="preserve"> se interpuso un recurso de </w:t>
            </w:r>
            <w:r w:rsidR="00CA0ACC" w:rsidRPr="00F84271">
              <w:rPr>
                <w:rFonts w:ascii="Calibri Light" w:hAnsi="Calibri Light"/>
                <w:b w:val="0"/>
                <w:lang w:val="es-PE"/>
              </w:rPr>
              <w:t>há</w:t>
            </w:r>
            <w:r w:rsidR="007C722A" w:rsidRPr="00F84271">
              <w:rPr>
                <w:rFonts w:ascii="Calibri Light" w:hAnsi="Calibri Light"/>
                <w:b w:val="0"/>
                <w:lang w:val="es-PE"/>
              </w:rPr>
              <w:t>beas corpus</w:t>
            </w:r>
            <w:r w:rsidR="00D87E27">
              <w:rPr>
                <w:rFonts w:ascii="Calibri Light" w:hAnsi="Calibri Light"/>
                <w:b w:val="0"/>
                <w:lang w:val="es-PE"/>
              </w:rPr>
              <w:t xml:space="preserve">, que fue estimado el 12 de junio de 2003 y en base al cual, el 16 de septiembre de 2004, se inició un nuevo proceso para determinar la pena. </w:t>
            </w:r>
          </w:p>
          <w:p w14:paraId="3AE1C3EA" w14:textId="77777777" w:rsidR="00D87E27" w:rsidRDefault="00D87E27" w:rsidP="00156B1C">
            <w:pPr>
              <w:jc w:val="both"/>
              <w:rPr>
                <w:rFonts w:ascii="Calibri Light" w:hAnsi="Calibri Light"/>
                <w:b w:val="0"/>
                <w:lang w:val="es-PE"/>
              </w:rPr>
            </w:pPr>
          </w:p>
          <w:p w14:paraId="79F8D6A7" w14:textId="0FF25724" w:rsidR="00FB5D32" w:rsidRDefault="00221DEB" w:rsidP="00F5523F">
            <w:pPr>
              <w:jc w:val="both"/>
              <w:rPr>
                <w:rFonts w:ascii="Calibri Light" w:hAnsi="Calibri Light"/>
                <w:b w:val="0"/>
                <w:lang w:val="es-PE"/>
              </w:rPr>
            </w:pPr>
            <w:r>
              <w:rPr>
                <w:rFonts w:ascii="Calibri Light" w:hAnsi="Calibri Light"/>
                <w:b w:val="0"/>
                <w:lang w:val="es-PE"/>
              </w:rPr>
              <w:t xml:space="preserve">En este, la Fiscalía alegó como </w:t>
            </w:r>
            <w:r w:rsidR="00500E54">
              <w:rPr>
                <w:rFonts w:ascii="Calibri Light" w:hAnsi="Calibri Light"/>
                <w:b w:val="0"/>
                <w:lang w:val="es-PE"/>
              </w:rPr>
              <w:t xml:space="preserve">uno de los </w:t>
            </w:r>
            <w:r>
              <w:rPr>
                <w:rFonts w:ascii="Calibri Light" w:hAnsi="Calibri Light"/>
                <w:b w:val="0"/>
                <w:lang w:val="es-PE"/>
              </w:rPr>
              <w:t>factor</w:t>
            </w:r>
            <w:r w:rsidR="00500E54">
              <w:rPr>
                <w:rFonts w:ascii="Calibri Light" w:hAnsi="Calibri Light"/>
                <w:b w:val="0"/>
                <w:lang w:val="es-PE"/>
              </w:rPr>
              <w:t>es</w:t>
            </w:r>
            <w:r>
              <w:rPr>
                <w:rFonts w:ascii="Calibri Light" w:hAnsi="Calibri Light"/>
                <w:b w:val="0"/>
                <w:lang w:val="es-PE"/>
              </w:rPr>
              <w:t xml:space="preserve"> </w:t>
            </w:r>
            <w:r w:rsidR="00500E54">
              <w:rPr>
                <w:rFonts w:ascii="Calibri Light" w:hAnsi="Calibri Light"/>
                <w:b w:val="0"/>
                <w:lang w:val="es-PE"/>
              </w:rPr>
              <w:t>que determinaban la</w:t>
            </w:r>
            <w:r>
              <w:rPr>
                <w:rFonts w:ascii="Calibri Light" w:hAnsi="Calibri Light"/>
                <w:b w:val="0"/>
                <w:lang w:val="es-PE"/>
              </w:rPr>
              <w:t xml:space="preserve"> peligrosidad del señor Saldaño su conducta en el corredor de la muerte, la cual incluyó que arrojara heces y orina a personal de la cárcel, </w:t>
            </w:r>
            <w:r w:rsidR="00500E54">
              <w:rPr>
                <w:rFonts w:ascii="Calibri Light" w:hAnsi="Calibri Light"/>
                <w:b w:val="0"/>
                <w:lang w:val="es-PE"/>
              </w:rPr>
              <w:t>incendiara</w:t>
            </w:r>
            <w:r>
              <w:rPr>
                <w:rFonts w:ascii="Calibri Light" w:hAnsi="Calibri Light"/>
                <w:b w:val="0"/>
                <w:lang w:val="es-PE"/>
              </w:rPr>
              <w:t xml:space="preserve"> su celda, </w:t>
            </w:r>
            <w:r w:rsidR="00500E54">
              <w:rPr>
                <w:rFonts w:ascii="Calibri Light" w:hAnsi="Calibri Light"/>
                <w:b w:val="0"/>
                <w:lang w:val="es-PE"/>
              </w:rPr>
              <w:t>i</w:t>
            </w:r>
            <w:r w:rsidR="00F5523F">
              <w:rPr>
                <w:rFonts w:ascii="Calibri Light" w:hAnsi="Calibri Light"/>
                <w:b w:val="0"/>
                <w:lang w:val="es-PE"/>
              </w:rPr>
              <w:t xml:space="preserve">nsultara guardias, entre otros. </w:t>
            </w:r>
            <w:r w:rsidR="00A673E2">
              <w:rPr>
                <w:rFonts w:ascii="Calibri Light" w:hAnsi="Calibri Light"/>
                <w:b w:val="0"/>
                <w:lang w:val="es-PE"/>
              </w:rPr>
              <w:t>Por su parte, la</w:t>
            </w:r>
            <w:r w:rsidR="00F5523F">
              <w:rPr>
                <w:rFonts w:ascii="Calibri Light" w:hAnsi="Calibri Light"/>
                <w:b w:val="0"/>
                <w:lang w:val="es-PE"/>
              </w:rPr>
              <w:t xml:space="preserve"> defensa </w:t>
            </w:r>
            <w:r w:rsidR="00A673E2">
              <w:rPr>
                <w:rFonts w:ascii="Calibri Light" w:hAnsi="Calibri Light"/>
                <w:b w:val="0"/>
                <w:lang w:val="es-PE"/>
              </w:rPr>
              <w:t>presentó sin éxito</w:t>
            </w:r>
            <w:r w:rsidR="00F5523F">
              <w:rPr>
                <w:rFonts w:ascii="Calibri Light" w:hAnsi="Calibri Light"/>
                <w:b w:val="0"/>
                <w:lang w:val="es-PE"/>
              </w:rPr>
              <w:t xml:space="preserve"> una moción para que estos hechos no fueran incorporados</w:t>
            </w:r>
            <w:r w:rsidR="00A673E2">
              <w:rPr>
                <w:rFonts w:ascii="Calibri Light" w:hAnsi="Calibri Light"/>
                <w:b w:val="0"/>
                <w:lang w:val="es-PE"/>
              </w:rPr>
              <w:t xml:space="preserve"> en el juicio</w:t>
            </w:r>
            <w:r w:rsidR="00F5523F">
              <w:rPr>
                <w:rFonts w:ascii="Calibri Light" w:hAnsi="Calibri Light"/>
                <w:b w:val="0"/>
                <w:lang w:val="es-PE"/>
              </w:rPr>
              <w:t>. Asimismo,</w:t>
            </w:r>
            <w:r w:rsidR="00500E54">
              <w:rPr>
                <w:rFonts w:ascii="Calibri Light" w:hAnsi="Calibri Light"/>
                <w:b w:val="0"/>
                <w:lang w:val="es-PE"/>
              </w:rPr>
              <w:t xml:space="preserve"> señaló que e</w:t>
            </w:r>
            <w:r w:rsidR="00F5523F">
              <w:rPr>
                <w:rFonts w:ascii="Calibri Light" w:hAnsi="Calibri Light"/>
                <w:b w:val="0"/>
                <w:lang w:val="es-PE"/>
              </w:rPr>
              <w:t>stos</w:t>
            </w:r>
            <w:r w:rsidR="00500E54">
              <w:rPr>
                <w:rFonts w:ascii="Calibri Light" w:hAnsi="Calibri Light"/>
                <w:b w:val="0"/>
                <w:lang w:val="es-PE"/>
              </w:rPr>
              <w:t xml:space="preserve"> y el deterioro mental del señor Saldaño habían sido consecuencia de las condiciones en las que había permaneci</w:t>
            </w:r>
            <w:r w:rsidR="00E9434B">
              <w:rPr>
                <w:rFonts w:ascii="Calibri Light" w:hAnsi="Calibri Light"/>
                <w:b w:val="0"/>
                <w:lang w:val="es-PE"/>
              </w:rPr>
              <w:t xml:space="preserve">do en el corredor de la muerte. </w:t>
            </w:r>
            <w:r w:rsidR="00A673E2">
              <w:rPr>
                <w:rFonts w:ascii="Calibri Light" w:hAnsi="Calibri Light"/>
                <w:b w:val="0"/>
                <w:lang w:val="es-PE"/>
              </w:rPr>
              <w:t>Además, d</w:t>
            </w:r>
            <w:r w:rsidR="00F5523F">
              <w:rPr>
                <w:rFonts w:ascii="Calibri Light" w:hAnsi="Calibri Light"/>
                <w:b w:val="0"/>
                <w:lang w:val="es-PE"/>
              </w:rPr>
              <w:t xml:space="preserve">urante el proceso, </w:t>
            </w:r>
            <w:r w:rsidR="00A673E2">
              <w:rPr>
                <w:rFonts w:ascii="Calibri Light" w:hAnsi="Calibri Light"/>
                <w:b w:val="0"/>
                <w:lang w:val="es-PE"/>
              </w:rPr>
              <w:t xml:space="preserve">la defensa </w:t>
            </w:r>
            <w:r w:rsidR="00F5523F">
              <w:rPr>
                <w:rFonts w:ascii="Calibri Light" w:hAnsi="Calibri Light"/>
                <w:b w:val="0"/>
                <w:lang w:val="es-PE"/>
              </w:rPr>
              <w:t xml:space="preserve">intentó </w:t>
            </w:r>
            <w:r w:rsidR="00A673E2">
              <w:rPr>
                <w:rFonts w:ascii="Calibri Light" w:hAnsi="Calibri Light"/>
                <w:b w:val="0"/>
                <w:lang w:val="es-PE"/>
              </w:rPr>
              <w:t xml:space="preserve">que se </w:t>
            </w:r>
            <w:r w:rsidR="00F5523F">
              <w:rPr>
                <w:rFonts w:ascii="Calibri Light" w:hAnsi="Calibri Light"/>
                <w:b w:val="0"/>
                <w:lang w:val="es-PE"/>
              </w:rPr>
              <w:t>realizar</w:t>
            </w:r>
            <w:r w:rsidR="00A673E2">
              <w:rPr>
                <w:rFonts w:ascii="Calibri Light" w:hAnsi="Calibri Light"/>
                <w:b w:val="0"/>
                <w:lang w:val="es-PE"/>
              </w:rPr>
              <w:t>á un examen</w:t>
            </w:r>
            <w:r w:rsidR="00F5523F">
              <w:rPr>
                <w:rFonts w:ascii="Calibri Light" w:hAnsi="Calibri Light"/>
                <w:b w:val="0"/>
                <w:lang w:val="es-PE"/>
              </w:rPr>
              <w:t xml:space="preserve"> sobre la salud mental </w:t>
            </w:r>
            <w:r w:rsidR="00A673E2">
              <w:rPr>
                <w:rFonts w:ascii="Calibri Light" w:hAnsi="Calibri Light"/>
                <w:b w:val="0"/>
                <w:lang w:val="es-PE"/>
              </w:rPr>
              <w:t xml:space="preserve">del señor Saldaño. Sin embargo, ante la posibilidad de que la Fiscalía presente un examen por su parte y utilice los resultados para otros propósitos, no se practicó esta prueba.  </w:t>
            </w:r>
            <w:r w:rsidR="00E9434B">
              <w:rPr>
                <w:rFonts w:ascii="Calibri Light" w:hAnsi="Calibri Light"/>
                <w:b w:val="0"/>
                <w:lang w:val="es-PE"/>
              </w:rPr>
              <w:t>El 17 de enero de 2004, el jurado determ</w:t>
            </w:r>
            <w:r w:rsidR="00A673E2">
              <w:rPr>
                <w:rFonts w:ascii="Calibri Light" w:hAnsi="Calibri Light"/>
                <w:b w:val="0"/>
                <w:lang w:val="es-PE"/>
              </w:rPr>
              <w:t xml:space="preserve">inó nuevamente la peligrosidad </w:t>
            </w:r>
            <w:r w:rsidR="00E9434B">
              <w:rPr>
                <w:rFonts w:ascii="Calibri Light" w:hAnsi="Calibri Light"/>
                <w:b w:val="0"/>
                <w:lang w:val="es-PE"/>
              </w:rPr>
              <w:t>del señor Saldaño y consecuentemente, el 18 de enero</w:t>
            </w:r>
            <w:r w:rsidR="00573A57">
              <w:rPr>
                <w:rFonts w:ascii="Calibri Light" w:hAnsi="Calibri Light"/>
                <w:b w:val="0"/>
                <w:lang w:val="es-PE"/>
              </w:rPr>
              <w:t xml:space="preserve"> de ese año</w:t>
            </w:r>
            <w:r w:rsidR="00E9434B">
              <w:rPr>
                <w:rFonts w:ascii="Calibri Light" w:hAnsi="Calibri Light"/>
                <w:b w:val="0"/>
                <w:lang w:val="es-PE"/>
              </w:rPr>
              <w:t xml:space="preserve">, la Corte Distrital 199° lo condenó a pena de muerte. </w:t>
            </w:r>
            <w:r w:rsidR="00483E1E">
              <w:rPr>
                <w:rFonts w:ascii="Calibri Light" w:hAnsi="Calibri Light"/>
                <w:b w:val="0"/>
                <w:lang w:val="es-PE"/>
              </w:rPr>
              <w:t xml:space="preserve">Ante esta decisión se presentó un recurso de apelación que fue rechazado, tras lo cual se interpusieron dos hábeas corpus, </w:t>
            </w:r>
            <w:r w:rsidR="00A673E2">
              <w:rPr>
                <w:rFonts w:ascii="Calibri Light" w:hAnsi="Calibri Light"/>
                <w:b w:val="0"/>
                <w:lang w:val="es-PE"/>
              </w:rPr>
              <w:t xml:space="preserve">que fueron igualmente rechazados. </w:t>
            </w:r>
          </w:p>
          <w:p w14:paraId="50FED28D" w14:textId="77777777" w:rsidR="00B94B2A" w:rsidRDefault="00B94B2A" w:rsidP="00156B1C">
            <w:pPr>
              <w:jc w:val="both"/>
              <w:rPr>
                <w:rFonts w:ascii="Calibri Light" w:hAnsi="Calibri Light"/>
                <w:b w:val="0"/>
                <w:lang w:val="es-PE"/>
              </w:rPr>
            </w:pPr>
          </w:p>
          <w:p w14:paraId="2BCC5CB8" w14:textId="53198237" w:rsidR="00483E1E" w:rsidRDefault="00483E1E" w:rsidP="00156B1C">
            <w:pPr>
              <w:jc w:val="both"/>
              <w:rPr>
                <w:rFonts w:ascii="Calibri Light" w:hAnsi="Calibri Light"/>
                <w:b w:val="0"/>
                <w:lang w:val="es-PE"/>
              </w:rPr>
            </w:pPr>
            <w:r>
              <w:rPr>
                <w:rFonts w:ascii="Calibri Light" w:hAnsi="Calibri Light"/>
                <w:b w:val="0"/>
                <w:lang w:val="es-PE"/>
              </w:rPr>
              <w:t xml:space="preserve">Cabe señalar que el señor Saldaño se encuentra desde 1996 en el corredor de la muerte y, específicamente, en </w:t>
            </w:r>
            <w:r w:rsidRPr="00483E1E">
              <w:rPr>
                <w:rFonts w:ascii="Calibri Light" w:hAnsi="Calibri Light"/>
                <w:b w:val="0"/>
                <w:i/>
                <w:lang w:val="es-PE"/>
              </w:rPr>
              <w:t>Polunsky Unit</w:t>
            </w:r>
            <w:r>
              <w:rPr>
                <w:rFonts w:ascii="Calibri Light" w:hAnsi="Calibri Light"/>
                <w:b w:val="0"/>
                <w:lang w:val="es-PE"/>
              </w:rPr>
              <w:t xml:space="preserve"> desde 1999. </w:t>
            </w:r>
            <w:r w:rsidR="00644D7F">
              <w:rPr>
                <w:rFonts w:ascii="Calibri Light" w:hAnsi="Calibri Light"/>
                <w:b w:val="0"/>
                <w:lang w:val="es-PE"/>
              </w:rPr>
              <w:t>En este</w:t>
            </w:r>
            <w:r w:rsidR="00573A57">
              <w:rPr>
                <w:rFonts w:ascii="Calibri Light" w:hAnsi="Calibri Light"/>
                <w:b w:val="0"/>
                <w:lang w:val="es-PE"/>
              </w:rPr>
              <w:t xml:space="preserve"> lugar</w:t>
            </w:r>
            <w:r w:rsidR="00644D7F">
              <w:rPr>
                <w:rFonts w:ascii="Calibri Light" w:hAnsi="Calibri Light"/>
                <w:b w:val="0"/>
                <w:lang w:val="es-PE"/>
              </w:rPr>
              <w:t xml:space="preserve">, los condenados permanecen en sus </w:t>
            </w:r>
            <w:r w:rsidR="00F36EC0">
              <w:rPr>
                <w:rFonts w:ascii="Calibri Light" w:hAnsi="Calibri Light"/>
                <w:b w:val="0"/>
                <w:lang w:val="es-PE"/>
              </w:rPr>
              <w:t>celdas -</w:t>
            </w:r>
            <w:r w:rsidR="00644D7F">
              <w:rPr>
                <w:rFonts w:ascii="Calibri Light" w:hAnsi="Calibri Light"/>
                <w:b w:val="0"/>
                <w:lang w:val="es-PE"/>
              </w:rPr>
              <w:t xml:space="preserve"> de aproximadamente nueve pies de ancho,</w:t>
            </w:r>
            <w:r w:rsidR="00F36EC0">
              <w:rPr>
                <w:rFonts w:ascii="Calibri Light" w:hAnsi="Calibri Light"/>
                <w:b w:val="0"/>
                <w:lang w:val="es-PE"/>
              </w:rPr>
              <w:t xml:space="preserve"> seis de largo y nuevo de largo -</w:t>
            </w:r>
            <w:r w:rsidR="00644D7F">
              <w:rPr>
                <w:rFonts w:ascii="Calibri Light" w:hAnsi="Calibri Light"/>
                <w:b w:val="0"/>
                <w:lang w:val="es-PE"/>
              </w:rPr>
              <w:t xml:space="preserve"> 23 horas </w:t>
            </w:r>
            <w:r w:rsidR="00644D7F">
              <w:rPr>
                <w:rFonts w:ascii="Calibri Light" w:hAnsi="Calibri Light"/>
                <w:b w:val="0"/>
                <w:lang w:val="es-PE"/>
              </w:rPr>
              <w:lastRenderedPageBreak/>
              <w:t xml:space="preserve">del día, contando con una sola hora de recreación individual. </w:t>
            </w:r>
            <w:r w:rsidR="00F36EC0">
              <w:rPr>
                <w:rFonts w:ascii="Calibri Light" w:hAnsi="Calibri Light"/>
                <w:b w:val="0"/>
                <w:lang w:val="es-PE"/>
              </w:rPr>
              <w:t xml:space="preserve">Además, existen niveles de detención, de los cuales el nivel 3 es el más severo, pues </w:t>
            </w:r>
            <w:r w:rsidR="00573A57">
              <w:rPr>
                <w:rFonts w:ascii="Calibri Light" w:hAnsi="Calibri Light"/>
                <w:b w:val="0"/>
                <w:lang w:val="es-PE"/>
              </w:rPr>
              <w:t xml:space="preserve">en este, </w:t>
            </w:r>
            <w:r w:rsidR="00F36EC0">
              <w:rPr>
                <w:rFonts w:ascii="Calibri Light" w:hAnsi="Calibri Light"/>
                <w:b w:val="0"/>
                <w:lang w:val="es-PE"/>
              </w:rPr>
              <w:t xml:space="preserve">se limita los días de recreación e incluso puede haber restricciones a la propiedad, como ocurrió en el caso del Señor Saldaño. </w:t>
            </w:r>
            <w:r w:rsidR="009F113D">
              <w:rPr>
                <w:rFonts w:ascii="Calibri Light" w:hAnsi="Calibri Light"/>
                <w:b w:val="0"/>
                <w:lang w:val="es-PE"/>
              </w:rPr>
              <w:t xml:space="preserve">Por último, es preciso mencionar que entre el 2001 y el 2009, el señor Saldaño estuvo internado cuatro veces en un hospital psiquiátrico. </w:t>
            </w:r>
          </w:p>
          <w:p w14:paraId="492A82EC" w14:textId="77777777" w:rsidR="00644D7F" w:rsidRPr="00F84271" w:rsidRDefault="00644D7F" w:rsidP="00156B1C">
            <w:pPr>
              <w:jc w:val="both"/>
              <w:rPr>
                <w:rFonts w:ascii="Calibri Light" w:hAnsi="Calibri Light"/>
                <w:b w:val="0"/>
                <w:lang w:val="es-PE"/>
              </w:rPr>
            </w:pPr>
          </w:p>
          <w:p w14:paraId="02133B13" w14:textId="13E77378" w:rsidR="002E77CF" w:rsidRPr="00F84271" w:rsidRDefault="002E77CF" w:rsidP="00486DD8">
            <w:pPr>
              <w:jc w:val="both"/>
              <w:rPr>
                <w:rFonts w:ascii="Calibri Light" w:hAnsi="Calibri Light"/>
                <w:b w:val="0"/>
                <w:lang w:val="es-PE"/>
              </w:rPr>
            </w:pPr>
            <w:r w:rsidRPr="00F84271">
              <w:rPr>
                <w:rFonts w:ascii="Calibri Light" w:hAnsi="Calibri Light"/>
                <w:b w:val="0"/>
                <w:lang w:val="es-PE"/>
              </w:rPr>
              <w:t xml:space="preserve">Frente a tales hechos, </w:t>
            </w:r>
            <w:r w:rsidR="00D93065" w:rsidRPr="00F84271">
              <w:rPr>
                <w:rFonts w:ascii="Calibri Light" w:hAnsi="Calibri Light"/>
                <w:b w:val="0"/>
                <w:lang w:val="es-PE"/>
              </w:rPr>
              <w:t xml:space="preserve">Juan Carlos Vegas, Lidia Guerrero, Rodolfo Ojea Quintana, Tomas Ojea Quintana y Carlos Hairabedian </w:t>
            </w:r>
            <w:r w:rsidRPr="00F84271">
              <w:rPr>
                <w:rFonts w:ascii="Calibri Light" w:hAnsi="Calibri Light"/>
                <w:b w:val="0"/>
                <w:lang w:val="es-PE"/>
              </w:rPr>
              <w:t xml:space="preserve">presentaron una petición ante la CIDH, denunciando que el Estado de </w:t>
            </w:r>
            <w:r w:rsidR="00D93065" w:rsidRPr="00F84271">
              <w:rPr>
                <w:rFonts w:ascii="Calibri Light" w:hAnsi="Calibri Light"/>
                <w:b w:val="0"/>
                <w:lang w:val="es-PE"/>
              </w:rPr>
              <w:t>Estados Unidos</w:t>
            </w:r>
            <w:r w:rsidRPr="00F84271">
              <w:rPr>
                <w:rFonts w:ascii="Calibri Light" w:hAnsi="Calibri Light"/>
                <w:b w:val="0"/>
                <w:lang w:val="es-PE"/>
              </w:rPr>
              <w:t xml:space="preserve"> ha</w:t>
            </w:r>
            <w:r w:rsidR="00486DD8" w:rsidRPr="00F84271">
              <w:rPr>
                <w:rFonts w:ascii="Calibri Light" w:hAnsi="Calibri Light"/>
                <w:b w:val="0"/>
                <w:lang w:val="es-PE"/>
              </w:rPr>
              <w:t xml:space="preserve">bía vulnerado los derechos </w:t>
            </w:r>
            <w:r w:rsidR="002B4AEA" w:rsidRPr="00F84271">
              <w:rPr>
                <w:rFonts w:ascii="Calibri Light" w:hAnsi="Calibri Light"/>
                <w:b w:val="0"/>
                <w:lang w:val="es-PE"/>
              </w:rPr>
              <w:t xml:space="preserve">del señor Saldaño </w:t>
            </w:r>
            <w:r w:rsidR="00486DD8" w:rsidRPr="00F84271">
              <w:rPr>
                <w:rFonts w:ascii="Calibri Light" w:hAnsi="Calibri Light"/>
                <w:b w:val="0"/>
                <w:lang w:val="es-PE"/>
              </w:rPr>
              <w:t xml:space="preserve">a la vida, a la libertad a la seguridad e integridad de la persona, a la igualdad ante la ley, </w:t>
            </w:r>
            <w:r w:rsidR="00E404FC">
              <w:rPr>
                <w:rFonts w:ascii="Calibri Light" w:hAnsi="Calibri Light"/>
                <w:b w:val="0"/>
                <w:lang w:val="es-PE"/>
              </w:rPr>
              <w:t>el derecho de</w:t>
            </w:r>
            <w:r w:rsidR="002B4AEA" w:rsidRPr="00F84271">
              <w:rPr>
                <w:rFonts w:ascii="Calibri Light" w:hAnsi="Calibri Light"/>
                <w:b w:val="0"/>
                <w:lang w:val="es-PE"/>
              </w:rPr>
              <w:t xml:space="preserve"> justicia, el derecho de petición y el derecho a </w:t>
            </w:r>
            <w:r w:rsidR="00486DD8" w:rsidRPr="00F84271">
              <w:rPr>
                <w:rFonts w:ascii="Calibri Light" w:hAnsi="Calibri Light"/>
                <w:b w:val="0"/>
                <w:lang w:val="es-PE"/>
              </w:rPr>
              <w:t xml:space="preserve">un proceso regular, </w:t>
            </w:r>
            <w:r w:rsidRPr="00F84271">
              <w:rPr>
                <w:rFonts w:ascii="Calibri Light" w:hAnsi="Calibri Light"/>
                <w:b w:val="0"/>
                <w:lang w:val="es-PE"/>
              </w:rPr>
              <w:t xml:space="preserve">reconocidos en la </w:t>
            </w:r>
            <w:r w:rsidR="00486DD8" w:rsidRPr="00F84271">
              <w:rPr>
                <w:rFonts w:ascii="Calibri Light" w:hAnsi="Calibri Light"/>
                <w:b w:val="0"/>
                <w:lang w:val="es-PE"/>
              </w:rPr>
              <w:t>Declaración</w:t>
            </w:r>
            <w:r w:rsidRPr="00F84271">
              <w:rPr>
                <w:rFonts w:ascii="Calibri Light" w:hAnsi="Calibri Light"/>
                <w:b w:val="0"/>
                <w:lang w:val="es-PE"/>
              </w:rPr>
              <w:t xml:space="preserve"> Americana </w:t>
            </w:r>
            <w:r w:rsidR="00E404FC">
              <w:rPr>
                <w:rFonts w:ascii="Calibri Light" w:hAnsi="Calibri Light"/>
                <w:b w:val="0"/>
                <w:lang w:val="es-PE"/>
              </w:rPr>
              <w:t xml:space="preserve">de los Derechos y Deberes del Hombre </w:t>
            </w:r>
            <w:r w:rsidRPr="00F84271">
              <w:rPr>
                <w:rFonts w:ascii="Calibri Light" w:hAnsi="Calibri Light"/>
                <w:b w:val="0"/>
                <w:lang w:val="es-PE"/>
              </w:rPr>
              <w:t xml:space="preserve">(en adelante, </w:t>
            </w:r>
            <w:r w:rsidR="00486DD8" w:rsidRPr="00F84271">
              <w:rPr>
                <w:rFonts w:ascii="Calibri Light" w:hAnsi="Calibri Light"/>
                <w:b w:val="0"/>
                <w:lang w:val="es-PE"/>
              </w:rPr>
              <w:t>D</w:t>
            </w:r>
            <w:r w:rsidRPr="00F84271">
              <w:rPr>
                <w:rFonts w:ascii="Calibri Light" w:hAnsi="Calibri Light"/>
                <w:b w:val="0"/>
                <w:lang w:val="es-PE"/>
              </w:rPr>
              <w:t>AD</w:t>
            </w:r>
            <w:r w:rsidR="00E404FC">
              <w:rPr>
                <w:rFonts w:ascii="Calibri Light" w:hAnsi="Calibri Light"/>
                <w:b w:val="0"/>
                <w:lang w:val="es-PE"/>
              </w:rPr>
              <w:t>D</w:t>
            </w:r>
            <w:r w:rsidRPr="00F84271">
              <w:rPr>
                <w:rFonts w:ascii="Calibri Light" w:hAnsi="Calibri Light"/>
                <w:b w:val="0"/>
                <w:lang w:val="es-PE"/>
              </w:rPr>
              <w:t>H).</w:t>
            </w:r>
          </w:p>
          <w:p w14:paraId="6543A68A" w14:textId="6AE052B0" w:rsidR="00660525" w:rsidRPr="00F84271" w:rsidRDefault="00660525" w:rsidP="00486DD8">
            <w:pPr>
              <w:jc w:val="both"/>
              <w:rPr>
                <w:rFonts w:ascii="Calibri Light" w:hAnsi="Calibri Light"/>
                <w:b w:val="0"/>
                <w:lang w:val="es-PE"/>
              </w:rPr>
            </w:pPr>
          </w:p>
        </w:tc>
      </w:tr>
      <w:tr w:rsidR="005173CF" w:rsidRPr="00F84271" w14:paraId="7B81A2F3" w14:textId="77777777" w:rsidTr="002462A6">
        <w:trPr>
          <w:trHeight w:val="259"/>
        </w:trPr>
        <w:tc>
          <w:tcPr>
            <w:cnfStyle w:val="001000000000" w:firstRow="0" w:lastRow="0" w:firstColumn="1" w:lastColumn="0" w:oddVBand="0" w:evenVBand="0" w:oddHBand="0" w:evenHBand="0" w:firstRowFirstColumn="0" w:firstRowLastColumn="0" w:lastRowFirstColumn="0" w:lastRowLastColumn="0"/>
            <w:tcW w:w="8735" w:type="dxa"/>
            <w:gridSpan w:val="3"/>
          </w:tcPr>
          <w:p w14:paraId="4B448BEC" w14:textId="77777777" w:rsidR="00AC6F31" w:rsidRPr="00F84271" w:rsidRDefault="00AC6F31" w:rsidP="00AC6F31">
            <w:pPr>
              <w:pStyle w:val="ListParagraph"/>
              <w:rPr>
                <w:rFonts w:ascii="Calibri Light" w:hAnsi="Calibri Light"/>
                <w:lang w:val="es-PE"/>
              </w:rPr>
            </w:pPr>
          </w:p>
          <w:p w14:paraId="1FB8AB09" w14:textId="77777777" w:rsidR="005173CF" w:rsidRPr="00F84271" w:rsidRDefault="003E6AB8" w:rsidP="003E6AB8">
            <w:pPr>
              <w:pStyle w:val="ListParagraph"/>
              <w:numPr>
                <w:ilvl w:val="0"/>
                <w:numId w:val="2"/>
              </w:numPr>
              <w:jc w:val="center"/>
              <w:rPr>
                <w:rFonts w:ascii="Calibri Light" w:hAnsi="Calibri Light"/>
                <w:lang w:val="es-PE"/>
              </w:rPr>
            </w:pPr>
            <w:r w:rsidRPr="00F84271">
              <w:rPr>
                <w:rFonts w:ascii="Calibri Light" w:hAnsi="Calibri Light"/>
                <w:lang w:val="es-PE"/>
              </w:rPr>
              <w:t>Análisis jurídico</w:t>
            </w:r>
          </w:p>
          <w:p w14:paraId="158A739A" w14:textId="77777777" w:rsidR="00AC6F31" w:rsidRPr="00F84271" w:rsidRDefault="00AC6F31" w:rsidP="00AC6F31">
            <w:pPr>
              <w:pStyle w:val="ListParagraph"/>
              <w:rPr>
                <w:rFonts w:ascii="Calibri Light" w:hAnsi="Calibri Light"/>
                <w:lang w:val="es-PE"/>
              </w:rPr>
            </w:pPr>
          </w:p>
        </w:tc>
      </w:tr>
      <w:tr w:rsidR="005173CF" w:rsidRPr="00F84271" w14:paraId="71AB3B44" w14:textId="77777777" w:rsidTr="002462A6">
        <w:trPr>
          <w:cnfStyle w:val="000000100000" w:firstRow="0" w:lastRow="0" w:firstColumn="0" w:lastColumn="0" w:oddVBand="0" w:evenVBand="0" w:oddHBand="1" w:evenHBand="0" w:firstRowFirstColumn="0" w:firstRowLastColumn="0" w:lastRowFirstColumn="0" w:lastRowLastColumn="0"/>
          <w:trHeight w:val="1135"/>
        </w:trPr>
        <w:tc>
          <w:tcPr>
            <w:cnfStyle w:val="001000000000" w:firstRow="0" w:lastRow="0" w:firstColumn="1" w:lastColumn="0" w:oddVBand="0" w:evenVBand="0" w:oddHBand="0" w:evenHBand="0" w:firstRowFirstColumn="0" w:firstRowLastColumn="0" w:lastRowFirstColumn="0" w:lastRowLastColumn="0"/>
            <w:tcW w:w="8735" w:type="dxa"/>
            <w:gridSpan w:val="3"/>
          </w:tcPr>
          <w:p w14:paraId="26AC653F" w14:textId="6BBE3CA6" w:rsidR="00AC6F31" w:rsidRPr="00F84271" w:rsidRDefault="00AC6F31" w:rsidP="00AC6F31">
            <w:pPr>
              <w:pStyle w:val="ListParagraph"/>
              <w:ind w:left="360"/>
              <w:jc w:val="both"/>
              <w:rPr>
                <w:rFonts w:ascii="Calibri Light" w:hAnsi="Calibri Light"/>
                <w:b w:val="0"/>
                <w:lang w:val="es-PE"/>
              </w:rPr>
            </w:pPr>
          </w:p>
          <w:p w14:paraId="2216A464" w14:textId="66E6DF50" w:rsidR="00AC6F31" w:rsidRPr="00F84271" w:rsidRDefault="00270871" w:rsidP="00765A12">
            <w:pPr>
              <w:jc w:val="both"/>
              <w:rPr>
                <w:rFonts w:ascii="Calibri Light" w:hAnsi="Calibri Light"/>
                <w:lang w:val="es-PE"/>
              </w:rPr>
            </w:pPr>
            <w:r w:rsidRPr="00F84271">
              <w:rPr>
                <w:rFonts w:ascii="Calibri Light" w:hAnsi="Calibri Light"/>
                <w:lang w:val="es-PE"/>
              </w:rPr>
              <w:t xml:space="preserve">Consideraciones preliminares sobre el estándar de </w:t>
            </w:r>
            <w:r w:rsidR="00404DF4" w:rsidRPr="00F84271">
              <w:rPr>
                <w:rFonts w:ascii="Calibri Light" w:hAnsi="Calibri Light"/>
                <w:lang w:val="es-PE"/>
              </w:rPr>
              <w:t>análisis</w:t>
            </w:r>
            <w:r w:rsidRPr="00F84271">
              <w:rPr>
                <w:rFonts w:ascii="Calibri Light" w:hAnsi="Calibri Light"/>
                <w:lang w:val="es-PE"/>
              </w:rPr>
              <w:t xml:space="preserve"> de la CIDH en casos de pena de muerte</w:t>
            </w:r>
          </w:p>
          <w:p w14:paraId="1121047C" w14:textId="77777777" w:rsidR="007A190B" w:rsidRPr="00F84271" w:rsidRDefault="007A190B" w:rsidP="00765A12">
            <w:pPr>
              <w:jc w:val="both"/>
              <w:rPr>
                <w:rFonts w:ascii="Calibri Light" w:hAnsi="Calibri Light"/>
                <w:lang w:val="es-PE"/>
              </w:rPr>
            </w:pPr>
          </w:p>
          <w:p w14:paraId="6A2863D0" w14:textId="5F05C3BD" w:rsidR="00270871" w:rsidRPr="00F84271" w:rsidRDefault="006C3839" w:rsidP="00765A12">
            <w:pPr>
              <w:jc w:val="both"/>
              <w:rPr>
                <w:rFonts w:ascii="Calibri Light" w:hAnsi="Calibri Light"/>
                <w:b w:val="0"/>
                <w:lang w:val="es-PE"/>
              </w:rPr>
            </w:pPr>
            <w:r w:rsidRPr="00F84271">
              <w:rPr>
                <w:rFonts w:ascii="Calibri Light" w:hAnsi="Calibri Light"/>
                <w:b w:val="0"/>
                <w:lang w:val="es-PE"/>
              </w:rPr>
              <w:t xml:space="preserve">La </w:t>
            </w:r>
            <w:r w:rsidR="007A190B" w:rsidRPr="00F84271">
              <w:rPr>
                <w:rFonts w:ascii="Calibri Light" w:hAnsi="Calibri Light"/>
                <w:b w:val="0"/>
                <w:lang w:val="es-PE"/>
              </w:rPr>
              <w:t xml:space="preserve">CIDH </w:t>
            </w:r>
            <w:r w:rsidR="00C436E2" w:rsidRPr="00F84271">
              <w:rPr>
                <w:rFonts w:ascii="Calibri Light" w:hAnsi="Calibri Light"/>
                <w:b w:val="0"/>
                <w:lang w:val="es-PE"/>
              </w:rPr>
              <w:t xml:space="preserve">recordó </w:t>
            </w:r>
            <w:r w:rsidR="007A190B" w:rsidRPr="00F84271">
              <w:rPr>
                <w:rFonts w:ascii="Calibri Light" w:hAnsi="Calibri Light"/>
                <w:b w:val="0"/>
                <w:lang w:val="es-PE"/>
              </w:rPr>
              <w:t xml:space="preserve">que el derecho a la vida ha sido reconocido como el derecho supremo de los seres humanos y </w:t>
            </w:r>
            <w:r w:rsidR="00E404FC">
              <w:rPr>
                <w:rFonts w:ascii="Calibri Light" w:hAnsi="Calibri Light"/>
                <w:b w:val="0"/>
                <w:lang w:val="es-PE"/>
              </w:rPr>
              <w:t>que</w:t>
            </w:r>
            <w:r w:rsidR="007A190B" w:rsidRPr="00F84271">
              <w:rPr>
                <w:rFonts w:ascii="Calibri Light" w:hAnsi="Calibri Light"/>
                <w:b w:val="0"/>
                <w:lang w:val="es-PE"/>
              </w:rPr>
              <w:t xml:space="preserve"> por ello, así como </w:t>
            </w:r>
            <w:r w:rsidR="00C436E2" w:rsidRPr="00F84271">
              <w:rPr>
                <w:rFonts w:ascii="Calibri Light" w:hAnsi="Calibri Light"/>
                <w:b w:val="0"/>
                <w:lang w:val="es-PE"/>
              </w:rPr>
              <w:t xml:space="preserve">por </w:t>
            </w:r>
            <w:r w:rsidR="007A190B" w:rsidRPr="00F84271">
              <w:rPr>
                <w:rFonts w:ascii="Calibri Light" w:hAnsi="Calibri Light"/>
                <w:b w:val="0"/>
                <w:lang w:val="es-PE"/>
              </w:rPr>
              <w:t>el carácter irrevocable de la pena de muerte</w:t>
            </w:r>
            <w:r w:rsidR="00C436E2" w:rsidRPr="00F84271">
              <w:rPr>
                <w:rFonts w:ascii="Calibri Light" w:hAnsi="Calibri Light"/>
                <w:b w:val="0"/>
                <w:lang w:val="es-PE"/>
              </w:rPr>
              <w:t>,</w:t>
            </w:r>
            <w:r w:rsidR="007A190B" w:rsidRPr="00F84271">
              <w:rPr>
                <w:rFonts w:ascii="Calibri Light" w:hAnsi="Calibri Light"/>
                <w:b w:val="0"/>
                <w:lang w:val="es-PE"/>
              </w:rPr>
              <w:t xml:space="preserve"> se exige una certeza particularmente rigurosa en la determinación de la responsabilidad de una persona por un delito que comporta la pena de muerte.</w:t>
            </w:r>
            <w:r w:rsidR="00FD2AE7" w:rsidRPr="00F84271">
              <w:rPr>
                <w:rFonts w:ascii="Calibri Light" w:hAnsi="Calibri Light"/>
                <w:b w:val="0"/>
                <w:lang w:val="es-PE"/>
              </w:rPr>
              <w:t xml:space="preserve"> Además, r</w:t>
            </w:r>
            <w:r w:rsidR="00E404FC">
              <w:rPr>
                <w:rFonts w:ascii="Calibri Light" w:hAnsi="Calibri Light"/>
                <w:b w:val="0"/>
                <w:lang w:val="es-PE"/>
              </w:rPr>
              <w:t>eiteró</w:t>
            </w:r>
            <w:r w:rsidR="00FD2AE7" w:rsidRPr="00F84271">
              <w:rPr>
                <w:rFonts w:ascii="Calibri Light" w:hAnsi="Calibri Light"/>
                <w:b w:val="0"/>
                <w:lang w:val="es-PE"/>
              </w:rPr>
              <w:t xml:space="preserve"> que la DAD</w:t>
            </w:r>
            <w:r w:rsidR="00E404FC">
              <w:rPr>
                <w:rFonts w:ascii="Calibri Light" w:hAnsi="Calibri Light"/>
                <w:b w:val="0"/>
                <w:lang w:val="es-PE"/>
              </w:rPr>
              <w:t>D</w:t>
            </w:r>
            <w:r w:rsidR="00FD2AE7" w:rsidRPr="00F84271">
              <w:rPr>
                <w:rFonts w:ascii="Calibri Light" w:hAnsi="Calibri Light"/>
                <w:b w:val="0"/>
                <w:lang w:val="es-PE"/>
              </w:rPr>
              <w:t>H ha sido reconocida como una fuente de obligaciones internacional</w:t>
            </w:r>
            <w:r w:rsidR="00F41E9A" w:rsidRPr="00F84271">
              <w:rPr>
                <w:rFonts w:ascii="Calibri Light" w:hAnsi="Calibri Light"/>
                <w:b w:val="0"/>
                <w:lang w:val="es-PE"/>
              </w:rPr>
              <w:t>es</w:t>
            </w:r>
            <w:r w:rsidR="00FD2AE7" w:rsidRPr="00F84271">
              <w:rPr>
                <w:rFonts w:ascii="Calibri Light" w:hAnsi="Calibri Light"/>
                <w:b w:val="0"/>
                <w:lang w:val="es-PE"/>
              </w:rPr>
              <w:t xml:space="preserve"> para los Estados miembros de la OEA</w:t>
            </w:r>
            <w:r w:rsidR="00E404FC">
              <w:rPr>
                <w:rFonts w:ascii="Calibri Light" w:hAnsi="Calibri Light"/>
                <w:b w:val="0"/>
                <w:lang w:val="es-PE"/>
              </w:rPr>
              <w:t xml:space="preserve">. Por último, precisó que su análisis en el presente caso se relacionaría a </w:t>
            </w:r>
            <w:r w:rsidR="00FD2AE7" w:rsidRPr="00F84271">
              <w:rPr>
                <w:rFonts w:ascii="Calibri Light" w:hAnsi="Calibri Light"/>
                <w:b w:val="0"/>
                <w:lang w:val="es-PE"/>
              </w:rPr>
              <w:t xml:space="preserve">las alegadas violaciones de derechos humanos en el </w:t>
            </w:r>
            <w:r w:rsidR="00F41E9A" w:rsidRPr="00F84271">
              <w:rPr>
                <w:rFonts w:ascii="Calibri Light" w:hAnsi="Calibri Light"/>
                <w:b w:val="0"/>
                <w:lang w:val="es-PE"/>
              </w:rPr>
              <w:t>marco</w:t>
            </w:r>
            <w:r w:rsidR="00E404FC">
              <w:rPr>
                <w:rFonts w:ascii="Calibri Light" w:hAnsi="Calibri Light"/>
                <w:b w:val="0"/>
                <w:lang w:val="es-PE"/>
              </w:rPr>
              <w:t xml:space="preserve"> de un proceso que culminó</w:t>
            </w:r>
            <w:r w:rsidR="00FD2AE7" w:rsidRPr="00F84271">
              <w:rPr>
                <w:rFonts w:ascii="Calibri Light" w:hAnsi="Calibri Light"/>
                <w:b w:val="0"/>
                <w:lang w:val="es-PE"/>
              </w:rPr>
              <w:t xml:space="preserve"> en la pena de muerte y no con determinar </w:t>
            </w:r>
            <w:r w:rsidR="00E404FC">
              <w:rPr>
                <w:rFonts w:ascii="Calibri Light" w:hAnsi="Calibri Light"/>
                <w:b w:val="0"/>
                <w:lang w:val="es-PE"/>
              </w:rPr>
              <w:t>si</w:t>
            </w:r>
            <w:r w:rsidR="00FD2AE7" w:rsidRPr="00F84271">
              <w:rPr>
                <w:rFonts w:ascii="Calibri Light" w:hAnsi="Calibri Light"/>
                <w:b w:val="0"/>
                <w:lang w:val="es-PE"/>
              </w:rPr>
              <w:t xml:space="preserve"> la pena de muerte en sí misma viola la DAD</w:t>
            </w:r>
            <w:r w:rsidR="00E404FC">
              <w:rPr>
                <w:rFonts w:ascii="Calibri Light" w:hAnsi="Calibri Light"/>
                <w:b w:val="0"/>
                <w:lang w:val="es-PE"/>
              </w:rPr>
              <w:t>D</w:t>
            </w:r>
            <w:r w:rsidR="00FD2AE7" w:rsidRPr="00F84271">
              <w:rPr>
                <w:rFonts w:ascii="Calibri Light" w:hAnsi="Calibri Light"/>
                <w:b w:val="0"/>
                <w:lang w:val="es-PE"/>
              </w:rPr>
              <w:t>H.</w:t>
            </w:r>
          </w:p>
          <w:p w14:paraId="3AB5D1BA" w14:textId="77777777" w:rsidR="007A190B" w:rsidRPr="00F84271" w:rsidRDefault="007A190B" w:rsidP="00765A12">
            <w:pPr>
              <w:jc w:val="both"/>
              <w:rPr>
                <w:rFonts w:ascii="Calibri Light" w:hAnsi="Calibri Light"/>
                <w:b w:val="0"/>
                <w:lang w:val="es-PE"/>
              </w:rPr>
            </w:pPr>
          </w:p>
          <w:p w14:paraId="2A8A0971" w14:textId="31457E8A" w:rsidR="00270871" w:rsidRPr="00F84271" w:rsidRDefault="00270871" w:rsidP="00765A12">
            <w:pPr>
              <w:jc w:val="both"/>
              <w:rPr>
                <w:rFonts w:ascii="Calibri Light" w:hAnsi="Calibri Light"/>
                <w:lang w:val="es-PE"/>
              </w:rPr>
            </w:pPr>
            <w:r w:rsidRPr="00F84271">
              <w:rPr>
                <w:rFonts w:ascii="Calibri Light" w:hAnsi="Calibri Light"/>
                <w:lang w:val="es-PE"/>
              </w:rPr>
              <w:t>Derecho de justicia, a un proceso regular y a la igualdad ante la ley</w:t>
            </w:r>
            <w:r w:rsidR="00404DF4" w:rsidRPr="00F84271">
              <w:rPr>
                <w:rFonts w:ascii="Calibri Light" w:hAnsi="Calibri Light"/>
                <w:lang w:val="es-PE"/>
              </w:rPr>
              <w:t xml:space="preserve"> (artículos </w:t>
            </w:r>
            <w:r w:rsidR="00BC74FF" w:rsidRPr="00F84271">
              <w:rPr>
                <w:rFonts w:ascii="Calibri Light" w:hAnsi="Calibri Light"/>
                <w:lang w:val="es-PE"/>
              </w:rPr>
              <w:t xml:space="preserve">II, </w:t>
            </w:r>
            <w:r w:rsidR="00404DF4" w:rsidRPr="00F84271">
              <w:rPr>
                <w:rFonts w:ascii="Calibri Light" w:hAnsi="Calibri Light"/>
                <w:lang w:val="es-PE"/>
              </w:rPr>
              <w:t>XVIII y XXVI de la DAD</w:t>
            </w:r>
            <w:r w:rsidR="00E404FC">
              <w:rPr>
                <w:rFonts w:ascii="Calibri Light" w:hAnsi="Calibri Light"/>
                <w:lang w:val="es-PE"/>
              </w:rPr>
              <w:t>D</w:t>
            </w:r>
            <w:r w:rsidR="00404DF4" w:rsidRPr="00F84271">
              <w:rPr>
                <w:rFonts w:ascii="Calibri Light" w:hAnsi="Calibri Light"/>
                <w:lang w:val="es-PE"/>
              </w:rPr>
              <w:t>H)</w:t>
            </w:r>
          </w:p>
          <w:p w14:paraId="6338BDB8" w14:textId="77777777" w:rsidR="00270871" w:rsidRPr="00F84271" w:rsidRDefault="00270871" w:rsidP="00765A12">
            <w:pPr>
              <w:jc w:val="both"/>
              <w:rPr>
                <w:rFonts w:ascii="Calibri Light" w:hAnsi="Calibri Light"/>
                <w:b w:val="0"/>
                <w:lang w:val="es-PE"/>
              </w:rPr>
            </w:pPr>
          </w:p>
          <w:p w14:paraId="3D7B0B5B" w14:textId="22CD9522" w:rsidR="00FD2AE7" w:rsidRPr="00F84271" w:rsidRDefault="00BF3002" w:rsidP="003A6978">
            <w:pPr>
              <w:pStyle w:val="ListParagraph"/>
              <w:numPr>
                <w:ilvl w:val="0"/>
                <w:numId w:val="8"/>
              </w:numPr>
              <w:ind w:left="851" w:hanging="567"/>
              <w:jc w:val="both"/>
              <w:rPr>
                <w:rFonts w:ascii="Calibri Light" w:hAnsi="Calibri Light"/>
                <w:lang w:val="es-PE"/>
              </w:rPr>
            </w:pPr>
            <w:r w:rsidRPr="00F84271">
              <w:rPr>
                <w:rFonts w:ascii="Calibri Light" w:hAnsi="Calibri Light"/>
                <w:lang w:val="es-PE"/>
              </w:rPr>
              <w:t>La peligrosidad futura como criterio para la imposición de la pena de muerte</w:t>
            </w:r>
          </w:p>
          <w:p w14:paraId="43DF0B9F" w14:textId="77777777" w:rsidR="00BF3002" w:rsidRPr="00F84271" w:rsidRDefault="00BF3002" w:rsidP="00BF3002">
            <w:pPr>
              <w:jc w:val="both"/>
              <w:rPr>
                <w:rFonts w:ascii="Calibri Light" w:hAnsi="Calibri Light"/>
                <w:b w:val="0"/>
                <w:lang w:val="es-PE"/>
              </w:rPr>
            </w:pPr>
          </w:p>
          <w:p w14:paraId="380546D4" w14:textId="7A51D0EA" w:rsidR="00FD2AE7" w:rsidRDefault="00C15D52" w:rsidP="00765A12">
            <w:pPr>
              <w:jc w:val="both"/>
              <w:rPr>
                <w:rFonts w:ascii="Calibri Light" w:hAnsi="Calibri Light"/>
                <w:b w:val="0"/>
                <w:lang w:val="es-PE"/>
              </w:rPr>
            </w:pPr>
            <w:r>
              <w:rPr>
                <w:rFonts w:ascii="Calibri Light" w:hAnsi="Calibri Light"/>
                <w:b w:val="0"/>
                <w:lang w:val="es-PE"/>
              </w:rPr>
              <w:t xml:space="preserve">La CIDH observó que en el estado de Texas se exige normativamente que el jurado determine la peligrosidad </w:t>
            </w:r>
            <w:r w:rsidR="00C75A58">
              <w:rPr>
                <w:rFonts w:ascii="Calibri Light" w:hAnsi="Calibri Light"/>
                <w:b w:val="0"/>
                <w:lang w:val="es-PE"/>
              </w:rPr>
              <w:t xml:space="preserve">futura </w:t>
            </w:r>
            <w:r>
              <w:rPr>
                <w:rFonts w:ascii="Calibri Light" w:hAnsi="Calibri Light"/>
                <w:b w:val="0"/>
                <w:lang w:val="es-PE"/>
              </w:rPr>
              <w:t xml:space="preserve">de </w:t>
            </w:r>
            <w:r w:rsidR="00C75A58">
              <w:rPr>
                <w:rFonts w:ascii="Calibri Light" w:hAnsi="Calibri Light"/>
                <w:b w:val="0"/>
                <w:lang w:val="es-PE"/>
              </w:rPr>
              <w:t xml:space="preserve">la persona condena, factor que además resulta determinante para la aplicación de la pena de muerte. Al respecto, señaló este criterio otorga un alto grado de discrecionalidad al jurado, lo cual resulta problemático pues se trata de la posibilidad de que un hecho ocurra en el futuro, excediendo el delito cometido. Ello </w:t>
            </w:r>
            <w:r w:rsidR="00DC017E">
              <w:rPr>
                <w:rFonts w:ascii="Calibri Light" w:hAnsi="Calibri Light"/>
                <w:b w:val="0"/>
                <w:lang w:val="es-PE"/>
              </w:rPr>
              <w:t xml:space="preserve">hace que exista un riesgo permanente de que la pena de muerte se imponga de forma arbitraria, incluyendo indebidamente, como ocurrió este caso, factores como la raza o la salud mental. </w:t>
            </w:r>
          </w:p>
          <w:p w14:paraId="79206B38" w14:textId="77777777" w:rsidR="00C75A58" w:rsidRPr="00F84271" w:rsidRDefault="00C75A58" w:rsidP="00765A12">
            <w:pPr>
              <w:jc w:val="both"/>
              <w:rPr>
                <w:rFonts w:ascii="Calibri Light" w:hAnsi="Calibri Light"/>
                <w:b w:val="0"/>
                <w:lang w:val="es-PE"/>
              </w:rPr>
            </w:pPr>
          </w:p>
          <w:p w14:paraId="6817EF11" w14:textId="6D5091A7" w:rsidR="00774549" w:rsidRPr="00F84271" w:rsidRDefault="00774549" w:rsidP="00B46DFA">
            <w:pPr>
              <w:pStyle w:val="ListParagraph"/>
              <w:numPr>
                <w:ilvl w:val="0"/>
                <w:numId w:val="8"/>
              </w:numPr>
              <w:jc w:val="both"/>
              <w:rPr>
                <w:rFonts w:ascii="Calibri Light" w:hAnsi="Calibri Light"/>
                <w:lang w:val="es-PE"/>
              </w:rPr>
            </w:pPr>
            <w:r w:rsidRPr="00F84271">
              <w:rPr>
                <w:rFonts w:ascii="Calibri Light" w:hAnsi="Calibri Light"/>
                <w:lang w:val="es-PE"/>
              </w:rPr>
              <w:t>El uso de la raza y la nacionalidad para determinar la peligrosidad futura</w:t>
            </w:r>
          </w:p>
          <w:p w14:paraId="46F0B1D9" w14:textId="77777777" w:rsidR="00774549" w:rsidRPr="00F84271" w:rsidRDefault="00774549" w:rsidP="00774549">
            <w:pPr>
              <w:jc w:val="both"/>
              <w:rPr>
                <w:rFonts w:ascii="Calibri Light" w:hAnsi="Calibri Light"/>
                <w:lang w:val="es-PE"/>
              </w:rPr>
            </w:pPr>
          </w:p>
          <w:p w14:paraId="1942228D" w14:textId="6F39B5BF" w:rsidR="00C83BC0" w:rsidRDefault="004C327A" w:rsidP="00774549">
            <w:pPr>
              <w:jc w:val="both"/>
              <w:rPr>
                <w:rFonts w:ascii="Calibri Light" w:hAnsi="Calibri Light"/>
                <w:b w:val="0"/>
                <w:lang w:val="es-PE"/>
              </w:rPr>
            </w:pPr>
            <w:r w:rsidRPr="00F84271">
              <w:rPr>
                <w:rFonts w:ascii="Calibri Light" w:hAnsi="Calibri Light"/>
                <w:b w:val="0"/>
                <w:lang w:val="es-PE"/>
              </w:rPr>
              <w:t xml:space="preserve">La CIDH recordó que </w:t>
            </w:r>
            <w:r w:rsidR="00A673E2">
              <w:rPr>
                <w:rFonts w:ascii="Calibri Light" w:hAnsi="Calibri Light"/>
                <w:b w:val="0"/>
                <w:lang w:val="es-PE"/>
              </w:rPr>
              <w:t>se encuentra prohibido</w:t>
            </w:r>
            <w:r w:rsidR="00C83BC0">
              <w:rPr>
                <w:rFonts w:ascii="Calibri Light" w:hAnsi="Calibri Light"/>
                <w:b w:val="0"/>
                <w:lang w:val="es-PE"/>
              </w:rPr>
              <w:t xml:space="preserve"> </w:t>
            </w:r>
            <w:r w:rsidRPr="00F84271">
              <w:rPr>
                <w:rFonts w:ascii="Calibri Light" w:hAnsi="Calibri Light"/>
                <w:b w:val="0"/>
                <w:lang w:val="es-PE"/>
              </w:rPr>
              <w:t xml:space="preserve">usar la raza y el color de la piel para establecer o graduar una condena penal. </w:t>
            </w:r>
            <w:r w:rsidR="00C83BC0">
              <w:rPr>
                <w:rFonts w:ascii="Calibri Light" w:hAnsi="Calibri Light"/>
                <w:b w:val="0"/>
                <w:lang w:val="es-PE"/>
              </w:rPr>
              <w:t>Asimismo, señaló que las garantías de un juicio justo incluyen la imparcialidad de los jurados, lo cual implica evaluar si estos alim</w:t>
            </w:r>
            <w:r w:rsidR="002251EF">
              <w:rPr>
                <w:rFonts w:ascii="Calibri Light" w:hAnsi="Calibri Light"/>
                <w:b w:val="0"/>
                <w:lang w:val="es-PE"/>
              </w:rPr>
              <w:t>entan prejuicios. En caso estos</w:t>
            </w:r>
            <w:r w:rsidR="00C83BC0">
              <w:rPr>
                <w:rFonts w:ascii="Calibri Light" w:hAnsi="Calibri Light"/>
                <w:b w:val="0"/>
                <w:lang w:val="es-PE"/>
              </w:rPr>
              <w:t xml:space="preserve"> </w:t>
            </w:r>
            <w:r w:rsidR="002251EF">
              <w:rPr>
                <w:rFonts w:ascii="Calibri Light" w:hAnsi="Calibri Light"/>
                <w:b w:val="0"/>
                <w:lang w:val="es-PE"/>
              </w:rPr>
              <w:t>sesgos se relacionen</w:t>
            </w:r>
            <w:r w:rsidR="00C83BC0">
              <w:rPr>
                <w:rFonts w:ascii="Calibri Light" w:hAnsi="Calibri Light"/>
                <w:b w:val="0"/>
                <w:lang w:val="es-PE"/>
              </w:rPr>
              <w:t xml:space="preserve"> </w:t>
            </w:r>
            <w:r w:rsidR="002251EF">
              <w:rPr>
                <w:rFonts w:ascii="Calibri Light" w:hAnsi="Calibri Light"/>
                <w:b w:val="0"/>
                <w:lang w:val="es-PE"/>
              </w:rPr>
              <w:t>a</w:t>
            </w:r>
            <w:r w:rsidR="00C83BC0">
              <w:rPr>
                <w:rFonts w:ascii="Calibri Light" w:hAnsi="Calibri Light"/>
                <w:b w:val="0"/>
                <w:lang w:val="es-PE"/>
              </w:rPr>
              <w:t xml:space="preserve"> un motivo prohibido</w:t>
            </w:r>
            <w:r w:rsidR="002251EF">
              <w:rPr>
                <w:rFonts w:ascii="Calibri Light" w:hAnsi="Calibri Light"/>
                <w:b w:val="0"/>
                <w:lang w:val="es-PE"/>
              </w:rPr>
              <w:t>,</w:t>
            </w:r>
            <w:r w:rsidR="00C83BC0">
              <w:rPr>
                <w:rFonts w:ascii="Calibri Light" w:hAnsi="Calibri Light"/>
                <w:b w:val="0"/>
                <w:lang w:val="es-PE"/>
              </w:rPr>
              <w:t xml:space="preserve"> como la raza </w:t>
            </w:r>
            <w:r w:rsidR="002251EF">
              <w:rPr>
                <w:rFonts w:ascii="Calibri Light" w:hAnsi="Calibri Light"/>
                <w:b w:val="0"/>
                <w:lang w:val="es-PE"/>
              </w:rPr>
              <w:t xml:space="preserve">u origen nacional, </w:t>
            </w:r>
            <w:r w:rsidR="00C83BC0">
              <w:rPr>
                <w:rFonts w:ascii="Calibri Light" w:hAnsi="Calibri Light"/>
                <w:b w:val="0"/>
                <w:lang w:val="es-PE"/>
              </w:rPr>
              <w:t xml:space="preserve">también pueden constituir una violación al derecho a la igualdad ante la ley. </w:t>
            </w:r>
            <w:r w:rsidR="007710B7">
              <w:rPr>
                <w:rFonts w:ascii="Calibri Light" w:hAnsi="Calibri Light"/>
                <w:b w:val="0"/>
                <w:lang w:val="es-PE"/>
              </w:rPr>
              <w:t>En ese sentido, l</w:t>
            </w:r>
            <w:r w:rsidR="002251EF">
              <w:rPr>
                <w:rFonts w:ascii="Calibri Light" w:hAnsi="Calibri Light"/>
                <w:b w:val="0"/>
                <w:lang w:val="es-PE"/>
              </w:rPr>
              <w:t xml:space="preserve">a CIDH recordó que anteriromente ha declarado la violación de este derecho cuando un fiscal utizó la raza en sus alegatos y ello no fue objetado por las autoridades internas. En este caso, indicó que tanto la raza como la nacionalidad del señor Saldaño formaron parte de la </w:t>
            </w:r>
            <w:r w:rsidR="007710B7">
              <w:rPr>
                <w:rFonts w:ascii="Calibri Light" w:hAnsi="Calibri Light"/>
                <w:b w:val="0"/>
                <w:lang w:val="es-PE"/>
              </w:rPr>
              <w:t>estrategia de la Fiscalía</w:t>
            </w:r>
            <w:r w:rsidR="002251EF">
              <w:rPr>
                <w:rFonts w:ascii="Calibri Light" w:hAnsi="Calibri Light"/>
                <w:b w:val="0"/>
                <w:lang w:val="es-PE"/>
              </w:rPr>
              <w:t xml:space="preserve">. Esto </w:t>
            </w:r>
            <w:r w:rsidR="002251EF">
              <w:rPr>
                <w:rFonts w:ascii="Calibri Light" w:hAnsi="Calibri Light"/>
                <w:b w:val="0"/>
                <w:lang w:val="es-PE"/>
              </w:rPr>
              <w:lastRenderedPageBreak/>
              <w:t xml:space="preserve">no fue objetado por la Corte Distrital 199°, ni subsando </w:t>
            </w:r>
            <w:r w:rsidR="007710B7">
              <w:rPr>
                <w:rFonts w:ascii="Calibri Light" w:hAnsi="Calibri Light"/>
                <w:b w:val="0"/>
                <w:lang w:val="es-PE"/>
              </w:rPr>
              <w:t xml:space="preserve">hasta que se concedió en 2004 un recurso de hábeas corpus. Por ello, el señor Saldaño permaneció durante ocho años en el corredor de la muerte. Consecuentemente, la CIDH declaró que se había violado el derecho a la igualdad ante la ley como componente del derecho a un proceso regular.  </w:t>
            </w:r>
          </w:p>
          <w:p w14:paraId="30823BAB" w14:textId="77777777" w:rsidR="003D1E38" w:rsidRPr="00F84271" w:rsidRDefault="003D1E38" w:rsidP="00774549">
            <w:pPr>
              <w:jc w:val="both"/>
              <w:rPr>
                <w:rFonts w:ascii="Calibri Light" w:hAnsi="Calibri Light"/>
                <w:b w:val="0"/>
                <w:lang w:val="es-PE"/>
              </w:rPr>
            </w:pPr>
          </w:p>
          <w:p w14:paraId="0F37ED3C" w14:textId="31943219" w:rsidR="003D1E38" w:rsidRPr="00F84271" w:rsidRDefault="006D3EAE" w:rsidP="006D3EAE">
            <w:pPr>
              <w:pStyle w:val="ListParagraph"/>
              <w:numPr>
                <w:ilvl w:val="0"/>
                <w:numId w:val="8"/>
              </w:numPr>
              <w:jc w:val="both"/>
              <w:rPr>
                <w:rFonts w:ascii="Calibri Light" w:hAnsi="Calibri Light"/>
                <w:lang w:val="es-PE"/>
              </w:rPr>
            </w:pPr>
            <w:r w:rsidRPr="00F84271">
              <w:rPr>
                <w:rFonts w:ascii="Calibri Light" w:hAnsi="Calibri Light"/>
                <w:lang w:val="es-PE"/>
              </w:rPr>
              <w:t>El derecho a una defensa adecuada y las barreras procesales en los procedimientos que dieron lugar a la aplicación de la pena de muerte</w:t>
            </w:r>
          </w:p>
          <w:p w14:paraId="6CDDF51F" w14:textId="77777777" w:rsidR="003C3D86" w:rsidRDefault="003C3D86" w:rsidP="006D3EAE">
            <w:pPr>
              <w:jc w:val="both"/>
              <w:rPr>
                <w:rFonts w:ascii="Calibri Light" w:hAnsi="Calibri Light"/>
                <w:b w:val="0"/>
                <w:lang w:val="es-PE"/>
              </w:rPr>
            </w:pPr>
          </w:p>
          <w:p w14:paraId="1AF0452A" w14:textId="1FB29F47" w:rsidR="00312846" w:rsidRDefault="00C52A62" w:rsidP="006D3EAE">
            <w:pPr>
              <w:jc w:val="both"/>
              <w:rPr>
                <w:rFonts w:ascii="Calibri Light" w:hAnsi="Calibri Light"/>
                <w:b w:val="0"/>
                <w:lang w:val="es-PE"/>
              </w:rPr>
            </w:pPr>
            <w:r>
              <w:rPr>
                <w:rFonts w:ascii="Calibri Light" w:hAnsi="Calibri Light"/>
                <w:b w:val="0"/>
                <w:lang w:val="es-PE"/>
              </w:rPr>
              <w:t>La CIDH recordó que la asistencia legal adecuada forma parte del derecho a un juicio justo. No obstante, el Estado no será responsable por cualquier deficiencia de la asistencia legal</w:t>
            </w:r>
            <w:r w:rsidR="00312846">
              <w:rPr>
                <w:rFonts w:ascii="Calibri Light" w:hAnsi="Calibri Light"/>
                <w:b w:val="0"/>
                <w:lang w:val="es-PE"/>
              </w:rPr>
              <w:t xml:space="preserve">. Este solo deberá intervenir </w:t>
            </w:r>
            <w:r>
              <w:rPr>
                <w:rFonts w:ascii="Calibri Light" w:hAnsi="Calibri Light"/>
                <w:b w:val="0"/>
                <w:lang w:val="es-PE"/>
              </w:rPr>
              <w:t xml:space="preserve">cuando </w:t>
            </w:r>
            <w:r w:rsidR="00312846">
              <w:rPr>
                <w:rFonts w:ascii="Calibri Light" w:hAnsi="Calibri Light"/>
                <w:b w:val="0"/>
                <w:lang w:val="es-PE"/>
              </w:rPr>
              <w:t>la omisión h</w:t>
            </w:r>
            <w:r>
              <w:rPr>
                <w:rFonts w:ascii="Calibri Light" w:hAnsi="Calibri Light"/>
                <w:b w:val="0"/>
                <w:lang w:val="es-PE"/>
              </w:rPr>
              <w:t>a</w:t>
            </w:r>
            <w:r w:rsidR="00312846">
              <w:rPr>
                <w:rFonts w:ascii="Calibri Light" w:hAnsi="Calibri Light"/>
                <w:b w:val="0"/>
                <w:lang w:val="es-PE"/>
              </w:rPr>
              <w:t>ya</w:t>
            </w:r>
            <w:r>
              <w:rPr>
                <w:rFonts w:ascii="Calibri Light" w:hAnsi="Calibri Light"/>
                <w:b w:val="0"/>
                <w:lang w:val="es-PE"/>
              </w:rPr>
              <w:t xml:space="preserve"> sido puesta en su conocimiento. Por otro lado, señaló que el derecho a recurrir una sentencia es una garantía del debido proceso. Al respecto, indicó que un recurso eficaz debe conducir al resultado previsto y, además, ser accesible, lo cual implica que no se requieran formalidades complejas. Sobre esto último, señaló que si bien la reglamentación de ciertas exigencias mínimas para la procedencia de un recurso era compatible con el derecho a recurrir, en algunos casos el rechazo de los recursos por el incumplimiento de requisitos formales podía llevar a la violación de este derecho.</w:t>
            </w:r>
          </w:p>
          <w:p w14:paraId="4AAA6AD1" w14:textId="77777777" w:rsidR="00312846" w:rsidRDefault="00312846" w:rsidP="006D3EAE">
            <w:pPr>
              <w:jc w:val="both"/>
              <w:rPr>
                <w:rFonts w:ascii="Calibri Light" w:hAnsi="Calibri Light"/>
                <w:b w:val="0"/>
                <w:lang w:val="es-PE"/>
              </w:rPr>
            </w:pPr>
          </w:p>
          <w:p w14:paraId="1A11A98A" w14:textId="22953505" w:rsidR="003C3D86" w:rsidRDefault="00312846" w:rsidP="006D3EAE">
            <w:pPr>
              <w:jc w:val="both"/>
              <w:rPr>
                <w:rFonts w:ascii="Calibri Light" w:hAnsi="Calibri Light"/>
                <w:b w:val="0"/>
                <w:lang w:val="es-PE"/>
              </w:rPr>
            </w:pPr>
            <w:r>
              <w:rPr>
                <w:rFonts w:ascii="Calibri Light" w:hAnsi="Calibri Light"/>
                <w:b w:val="0"/>
                <w:lang w:val="es-PE"/>
              </w:rPr>
              <w:t>En relación al primer juicio, la CIDH observó que el defensor de oficio del señor Saldaño cometió una omisión al no cuestionar oportunamente que el señor Quijano</w:t>
            </w:r>
            <w:r w:rsidR="00C52A62">
              <w:rPr>
                <w:rFonts w:ascii="Calibri Light" w:hAnsi="Calibri Light"/>
                <w:b w:val="0"/>
                <w:lang w:val="es-PE"/>
              </w:rPr>
              <w:t xml:space="preserve"> </w:t>
            </w:r>
            <w:r>
              <w:rPr>
                <w:rFonts w:ascii="Calibri Light" w:hAnsi="Calibri Light"/>
                <w:b w:val="0"/>
                <w:lang w:val="es-PE"/>
              </w:rPr>
              <w:t>utilizará el factor raza en su análisis sobre la peligrosidad futura del acusado. Esto hizo que, conforme a las reglas procesales de prueba, no se salvaguardara la posibilidad de impugnar esta cuestión. En base a ello, la Corte de Apelaciones se abstuvo de pronunciarse al respecto en dos oportunidades. La CIDH consideró que esta actuación, al tratarse de asuntos de suma gravedad en los cuales la vulneración de derechos humanos era evidente, constituyó una denegación de justicia y de debido proceso. Todo ello</w:t>
            </w:r>
            <w:r w:rsidR="00F84042">
              <w:rPr>
                <w:rFonts w:ascii="Calibri Light" w:hAnsi="Calibri Light"/>
                <w:b w:val="0"/>
                <w:lang w:val="es-PE"/>
              </w:rPr>
              <w:t xml:space="preserve"> llevó a que la situación de discriminación basada en la raza y origen del señor Saldaño no fuera remediada. En base a estas consideraciones, la CIDH señaló que el Estado violó el derecho de justicia y a un proceso regular. </w:t>
            </w:r>
          </w:p>
          <w:p w14:paraId="70615DFE" w14:textId="77777777" w:rsidR="00F84042" w:rsidRDefault="00F84042" w:rsidP="006D3EAE">
            <w:pPr>
              <w:jc w:val="both"/>
              <w:rPr>
                <w:rFonts w:ascii="Calibri Light" w:hAnsi="Calibri Light"/>
                <w:b w:val="0"/>
                <w:lang w:val="es-PE"/>
              </w:rPr>
            </w:pPr>
          </w:p>
          <w:p w14:paraId="32A1CF9A" w14:textId="0576FE3D" w:rsidR="003C3D86" w:rsidRDefault="00F84042" w:rsidP="006D3EAE">
            <w:pPr>
              <w:jc w:val="both"/>
              <w:rPr>
                <w:rFonts w:ascii="Calibri Light" w:hAnsi="Calibri Light"/>
                <w:b w:val="0"/>
                <w:lang w:val="es-PE"/>
              </w:rPr>
            </w:pPr>
            <w:r>
              <w:rPr>
                <w:rFonts w:ascii="Calibri Light" w:hAnsi="Calibri Light"/>
                <w:b w:val="0"/>
                <w:lang w:val="es-PE"/>
              </w:rPr>
              <w:t xml:space="preserve">Respecto del segundo juicio, </w:t>
            </w:r>
            <w:r w:rsidR="00F668A5">
              <w:rPr>
                <w:rFonts w:ascii="Calibri Light" w:hAnsi="Calibri Light"/>
                <w:b w:val="0"/>
                <w:lang w:val="es-PE"/>
              </w:rPr>
              <w:t xml:space="preserve">la CIDH determinó que fueron temas centrales en este el comportamiento y salud mental del señor Saldaño. En cuanto a la utilización por parte de la Fiscalía de la conducta del señor Saldaño en el corredor de la muerte para determinar su peligrosidad, </w:t>
            </w:r>
            <w:r w:rsidR="00821986">
              <w:rPr>
                <w:rFonts w:ascii="Calibri Light" w:hAnsi="Calibri Light"/>
                <w:b w:val="0"/>
                <w:lang w:val="es-PE"/>
              </w:rPr>
              <w:t xml:space="preserve">la CIDH reiteró su preocupación sobre la utilización del </w:t>
            </w:r>
            <w:r w:rsidR="001F4BF7">
              <w:rPr>
                <w:rFonts w:ascii="Calibri Light" w:hAnsi="Calibri Light"/>
                <w:b w:val="0"/>
                <w:lang w:val="es-PE"/>
              </w:rPr>
              <w:t>criterio de peligrosidad</w:t>
            </w:r>
            <w:r w:rsidR="00821986">
              <w:rPr>
                <w:rFonts w:ascii="Calibri Light" w:hAnsi="Calibri Light"/>
                <w:b w:val="0"/>
                <w:lang w:val="es-PE"/>
              </w:rPr>
              <w:t>. Asimismo, señaló que al tratarse de una persona privada de libertad con síntomas de un problema de salud mental, correspondía al Estado brindarle tratamiento, en</w:t>
            </w:r>
            <w:r w:rsidR="001F4BF7">
              <w:rPr>
                <w:rFonts w:ascii="Calibri Light" w:hAnsi="Calibri Light"/>
                <w:b w:val="0"/>
                <w:lang w:val="es-PE"/>
              </w:rPr>
              <w:t xml:space="preserve"> vez de usar ello para probar su</w:t>
            </w:r>
            <w:r w:rsidR="00821986">
              <w:rPr>
                <w:rFonts w:ascii="Calibri Light" w:hAnsi="Calibri Light"/>
                <w:b w:val="0"/>
                <w:lang w:val="es-PE"/>
              </w:rPr>
              <w:t xml:space="preserve"> peligrosidad. Por último, observó que el deterioro en su salud mental se debió a los ocho años que había pasado en el corredor de la muerte bajo las condiciones </w:t>
            </w:r>
            <w:r w:rsidR="001F4BF7">
              <w:rPr>
                <w:rFonts w:ascii="Calibri Light" w:hAnsi="Calibri Light"/>
                <w:b w:val="0"/>
                <w:lang w:val="es-PE"/>
              </w:rPr>
              <w:t>antes</w:t>
            </w:r>
            <w:r w:rsidR="00821986">
              <w:rPr>
                <w:rFonts w:ascii="Calibri Light" w:hAnsi="Calibri Light"/>
                <w:b w:val="0"/>
                <w:lang w:val="es-PE"/>
              </w:rPr>
              <w:t xml:space="preserve"> descritas. La CIDH observó que</w:t>
            </w:r>
            <w:r w:rsidR="001F4BF7">
              <w:rPr>
                <w:rFonts w:ascii="Calibri Light" w:hAnsi="Calibri Light"/>
                <w:b w:val="0"/>
                <w:lang w:val="es-PE"/>
              </w:rPr>
              <w:t xml:space="preserve"> la consideración indebida de este argumento</w:t>
            </w:r>
            <w:r w:rsidR="00821986">
              <w:rPr>
                <w:rFonts w:ascii="Calibri Light" w:hAnsi="Calibri Light"/>
                <w:b w:val="0"/>
                <w:lang w:val="es-PE"/>
              </w:rPr>
              <w:t xml:space="preserve"> generó limitaciones en la defensa del señor Saldaño, por temor a que la prueba relacionada con</w:t>
            </w:r>
            <w:r w:rsidR="009C74AE">
              <w:rPr>
                <w:rFonts w:ascii="Calibri Light" w:hAnsi="Calibri Light"/>
                <w:b w:val="0"/>
                <w:lang w:val="es-PE"/>
              </w:rPr>
              <w:t xml:space="preserve"> su</w:t>
            </w:r>
            <w:r w:rsidR="00821986">
              <w:rPr>
                <w:rFonts w:ascii="Calibri Light" w:hAnsi="Calibri Light"/>
                <w:b w:val="0"/>
                <w:lang w:val="es-PE"/>
              </w:rPr>
              <w:t xml:space="preserve"> salud mental resultara en la imposición de la pena de muerte. Cuando </w:t>
            </w:r>
            <w:r w:rsidR="009C74AE">
              <w:rPr>
                <w:rFonts w:ascii="Calibri Light" w:hAnsi="Calibri Light"/>
                <w:b w:val="0"/>
                <w:lang w:val="es-PE"/>
              </w:rPr>
              <w:t xml:space="preserve">la defensa </w:t>
            </w:r>
            <w:r w:rsidR="00821986">
              <w:rPr>
                <w:rFonts w:ascii="Calibri Light" w:hAnsi="Calibri Light"/>
                <w:b w:val="0"/>
                <w:lang w:val="es-PE"/>
              </w:rPr>
              <w:t xml:space="preserve">intentó </w:t>
            </w:r>
            <w:r w:rsidR="009C74AE">
              <w:rPr>
                <w:rFonts w:ascii="Calibri Light" w:hAnsi="Calibri Light"/>
                <w:b w:val="0"/>
                <w:lang w:val="es-PE"/>
              </w:rPr>
              <w:t xml:space="preserve">utilizar este aspecto para cuestionar la competencia del señor Saldaño o atenuar la pena, las autoridades judiciales se abstuvieron de pronunciarse sustancialmente. En vista de ello, la CIDH consideró que también se había violado el derecho de justicia y a un proceso regular. </w:t>
            </w:r>
          </w:p>
          <w:p w14:paraId="1AEACF22" w14:textId="77777777" w:rsidR="00774549" w:rsidRPr="00F84271" w:rsidRDefault="00774549" w:rsidP="00774549">
            <w:pPr>
              <w:jc w:val="both"/>
              <w:rPr>
                <w:rFonts w:ascii="Calibri Light" w:hAnsi="Calibri Light"/>
                <w:lang w:val="es-PE"/>
              </w:rPr>
            </w:pPr>
          </w:p>
          <w:p w14:paraId="0E2FF70E" w14:textId="466CA13A" w:rsidR="00D21CEE" w:rsidRPr="00F84271" w:rsidRDefault="00D21CEE" w:rsidP="00D21CEE">
            <w:pPr>
              <w:pStyle w:val="ListParagraph"/>
              <w:numPr>
                <w:ilvl w:val="0"/>
                <w:numId w:val="8"/>
              </w:numPr>
              <w:jc w:val="both"/>
              <w:rPr>
                <w:rFonts w:ascii="Calibri Light" w:hAnsi="Calibri Light"/>
                <w:lang w:val="es-PE"/>
              </w:rPr>
            </w:pPr>
            <w:r w:rsidRPr="00F84271">
              <w:rPr>
                <w:rFonts w:ascii="Calibri Light" w:hAnsi="Calibri Light"/>
                <w:lang w:val="es-PE"/>
              </w:rPr>
              <w:t>La duración de los procedimientos</w:t>
            </w:r>
          </w:p>
          <w:p w14:paraId="5071F58D" w14:textId="77777777" w:rsidR="00D21CEE" w:rsidRPr="00F84271" w:rsidRDefault="00D21CEE" w:rsidP="00D21CEE">
            <w:pPr>
              <w:jc w:val="both"/>
              <w:rPr>
                <w:rFonts w:ascii="Calibri Light" w:hAnsi="Calibri Light"/>
                <w:lang w:val="es-PE"/>
              </w:rPr>
            </w:pPr>
          </w:p>
          <w:p w14:paraId="133B3C5D" w14:textId="4E6F36B5" w:rsidR="00D21CEE" w:rsidRPr="00F84271" w:rsidRDefault="003F5F65" w:rsidP="00D21CEE">
            <w:pPr>
              <w:jc w:val="both"/>
              <w:rPr>
                <w:rFonts w:ascii="Calibri Light" w:hAnsi="Calibri Light"/>
                <w:b w:val="0"/>
                <w:lang w:val="es-PE"/>
              </w:rPr>
            </w:pPr>
            <w:r w:rsidRPr="00F84271">
              <w:rPr>
                <w:rFonts w:ascii="Calibri Light" w:hAnsi="Calibri Light"/>
                <w:b w:val="0"/>
                <w:lang w:val="es-PE"/>
              </w:rPr>
              <w:t xml:space="preserve">La CIDH señaló que habían pasado más de 21 años desde que se inició el proceso penal contra el </w:t>
            </w:r>
            <w:r w:rsidR="008A069E" w:rsidRPr="00F84271">
              <w:rPr>
                <w:rFonts w:ascii="Calibri Light" w:hAnsi="Calibri Light"/>
                <w:b w:val="0"/>
                <w:lang w:val="es-PE"/>
              </w:rPr>
              <w:t>señor</w:t>
            </w:r>
            <w:r w:rsidRPr="00F84271">
              <w:rPr>
                <w:rFonts w:ascii="Calibri Light" w:hAnsi="Calibri Light"/>
                <w:b w:val="0"/>
                <w:lang w:val="es-PE"/>
              </w:rPr>
              <w:t xml:space="preserve"> Saldaño y que aún no se ha</w:t>
            </w:r>
            <w:r w:rsidR="00B46DFA" w:rsidRPr="00F84271">
              <w:rPr>
                <w:rFonts w:ascii="Calibri Light" w:hAnsi="Calibri Light"/>
                <w:b w:val="0"/>
                <w:lang w:val="es-PE"/>
              </w:rPr>
              <w:t>bía</w:t>
            </w:r>
            <w:r w:rsidRPr="00F84271">
              <w:rPr>
                <w:rFonts w:ascii="Calibri Light" w:hAnsi="Calibri Light"/>
                <w:b w:val="0"/>
                <w:lang w:val="es-PE"/>
              </w:rPr>
              <w:t xml:space="preserve"> logrado emitir una decisión definitiva sobre las violaciones de derechos humanos que sufrió en el marco de todo este proceso.</w:t>
            </w:r>
            <w:r w:rsidR="002462A6" w:rsidRPr="00F84271">
              <w:rPr>
                <w:rFonts w:ascii="Calibri Light" w:hAnsi="Calibri Light"/>
                <w:b w:val="0"/>
                <w:lang w:val="es-PE"/>
              </w:rPr>
              <w:t xml:space="preserve"> Por lo tanto, consideró</w:t>
            </w:r>
            <w:r w:rsidRPr="00F84271">
              <w:rPr>
                <w:rFonts w:ascii="Calibri Light" w:hAnsi="Calibri Light"/>
                <w:b w:val="0"/>
                <w:lang w:val="es-PE"/>
              </w:rPr>
              <w:t xml:space="preserve"> que la demora indebida había constituido una violación adicional a los derechos de justicia y a un proceso regular.</w:t>
            </w:r>
          </w:p>
          <w:p w14:paraId="61258443" w14:textId="77777777" w:rsidR="00D21CEE" w:rsidRPr="00F84271" w:rsidRDefault="00D21CEE" w:rsidP="00774549">
            <w:pPr>
              <w:jc w:val="both"/>
              <w:rPr>
                <w:rFonts w:ascii="Calibri Light" w:hAnsi="Calibri Light"/>
                <w:lang w:val="es-PE"/>
              </w:rPr>
            </w:pPr>
          </w:p>
          <w:p w14:paraId="43B41F95" w14:textId="410427AD" w:rsidR="00270871" w:rsidRPr="00F84271" w:rsidRDefault="00270871" w:rsidP="00765A12">
            <w:pPr>
              <w:jc w:val="both"/>
              <w:rPr>
                <w:rFonts w:ascii="Calibri Light" w:hAnsi="Calibri Light"/>
                <w:lang w:val="es-PE"/>
              </w:rPr>
            </w:pPr>
            <w:r w:rsidRPr="00F84271">
              <w:rPr>
                <w:rFonts w:ascii="Calibri Light" w:hAnsi="Calibri Light"/>
                <w:lang w:val="es-PE"/>
              </w:rPr>
              <w:lastRenderedPageBreak/>
              <w:t xml:space="preserve">Derecho de protección contra la detención arbitraria, a un </w:t>
            </w:r>
            <w:r w:rsidR="00404DF4" w:rsidRPr="00F84271">
              <w:rPr>
                <w:rFonts w:ascii="Calibri Light" w:hAnsi="Calibri Light"/>
                <w:lang w:val="es-PE"/>
              </w:rPr>
              <w:t>tratamiento</w:t>
            </w:r>
            <w:r w:rsidRPr="00F84271">
              <w:rPr>
                <w:rFonts w:ascii="Calibri Light" w:hAnsi="Calibri Light"/>
                <w:lang w:val="es-PE"/>
              </w:rPr>
              <w:t xml:space="preserve"> humano y a no sufrir penas </w:t>
            </w:r>
            <w:r w:rsidR="00404DF4" w:rsidRPr="00F84271">
              <w:rPr>
                <w:rFonts w:ascii="Calibri Light" w:hAnsi="Calibri Light"/>
                <w:lang w:val="es-PE"/>
              </w:rPr>
              <w:t>crueles</w:t>
            </w:r>
            <w:r w:rsidRPr="00F84271">
              <w:rPr>
                <w:rFonts w:ascii="Calibri Light" w:hAnsi="Calibri Light"/>
                <w:lang w:val="es-PE"/>
              </w:rPr>
              <w:t>, infamantes o inusitadas, respecto de la privació</w:t>
            </w:r>
            <w:r w:rsidR="00404DF4" w:rsidRPr="00F84271">
              <w:rPr>
                <w:rFonts w:ascii="Calibri Light" w:hAnsi="Calibri Light"/>
                <w:lang w:val="es-PE"/>
              </w:rPr>
              <w:t>n d</w:t>
            </w:r>
            <w:r w:rsidRPr="00F84271">
              <w:rPr>
                <w:rFonts w:ascii="Calibri Light" w:hAnsi="Calibri Light"/>
                <w:lang w:val="es-PE"/>
              </w:rPr>
              <w:t>e</w:t>
            </w:r>
            <w:r w:rsidR="00404DF4" w:rsidRPr="00F84271">
              <w:rPr>
                <w:rFonts w:ascii="Calibri Light" w:hAnsi="Calibri Light"/>
                <w:lang w:val="es-PE"/>
              </w:rPr>
              <w:t xml:space="preserve"> </w:t>
            </w:r>
            <w:r w:rsidRPr="00F84271">
              <w:rPr>
                <w:rFonts w:ascii="Calibri Light" w:hAnsi="Calibri Light"/>
                <w:lang w:val="es-PE"/>
              </w:rPr>
              <w:t>libertad en el corredor de la muerte</w:t>
            </w:r>
            <w:r w:rsidR="0012000F" w:rsidRPr="00F84271">
              <w:rPr>
                <w:rFonts w:ascii="Calibri Light" w:hAnsi="Calibri Light"/>
                <w:lang w:val="es-PE"/>
              </w:rPr>
              <w:t xml:space="preserve"> (</w:t>
            </w:r>
            <w:r w:rsidR="00404DF4" w:rsidRPr="00F84271">
              <w:rPr>
                <w:rFonts w:ascii="Calibri Light" w:hAnsi="Calibri Light"/>
                <w:lang w:val="es-PE"/>
              </w:rPr>
              <w:t>artículos</w:t>
            </w:r>
            <w:r w:rsidR="0012000F" w:rsidRPr="00F84271">
              <w:rPr>
                <w:rFonts w:ascii="Calibri Light" w:hAnsi="Calibri Light"/>
                <w:lang w:val="es-PE"/>
              </w:rPr>
              <w:t xml:space="preserve"> XXV y XXVI de la DA</w:t>
            </w:r>
            <w:r w:rsidR="001F4BF7">
              <w:rPr>
                <w:rFonts w:ascii="Calibri Light" w:hAnsi="Calibri Light"/>
                <w:lang w:val="es-PE"/>
              </w:rPr>
              <w:t>D</w:t>
            </w:r>
            <w:r w:rsidR="0012000F" w:rsidRPr="00F84271">
              <w:rPr>
                <w:rFonts w:ascii="Calibri Light" w:hAnsi="Calibri Light"/>
                <w:lang w:val="es-PE"/>
              </w:rPr>
              <w:t>DH)</w:t>
            </w:r>
          </w:p>
          <w:p w14:paraId="5BF734BB" w14:textId="77777777" w:rsidR="00270871" w:rsidRPr="00F84271" w:rsidRDefault="00270871" w:rsidP="00765A12">
            <w:pPr>
              <w:jc w:val="both"/>
              <w:rPr>
                <w:rFonts w:ascii="Calibri Light" w:hAnsi="Calibri Light"/>
                <w:b w:val="0"/>
                <w:lang w:val="es-PE"/>
              </w:rPr>
            </w:pPr>
          </w:p>
          <w:p w14:paraId="7EE153FF" w14:textId="5772F68E" w:rsidR="009C74AE" w:rsidRDefault="009C74AE" w:rsidP="00765A12">
            <w:pPr>
              <w:jc w:val="both"/>
              <w:rPr>
                <w:rFonts w:ascii="Calibri Light" w:hAnsi="Calibri Light"/>
                <w:b w:val="0"/>
                <w:lang w:val="es-PE"/>
              </w:rPr>
            </w:pPr>
            <w:r>
              <w:rPr>
                <w:rFonts w:ascii="Calibri Light" w:hAnsi="Calibri Light"/>
                <w:b w:val="0"/>
                <w:lang w:val="es-PE"/>
              </w:rPr>
              <w:t>La CIDH consideró que la privación de libertad del señor Saldaño en base a motivos discriminatorios e ilegítimos, como se ha evidenciado en la anterior sección, constituye una detención arbitraria de acuerdo al artículo XXV de la DADDH. Además, señaló que la consideración en el segundo juicio de las conductas ocasionadas por el deterioro de su salud mental</w:t>
            </w:r>
            <w:r w:rsidR="001F4BF7">
              <w:rPr>
                <w:rFonts w:ascii="Calibri Light" w:hAnsi="Calibri Light"/>
                <w:b w:val="0"/>
                <w:lang w:val="es-PE"/>
              </w:rPr>
              <w:t>,</w:t>
            </w:r>
            <w:r>
              <w:rPr>
                <w:rFonts w:ascii="Calibri Light" w:hAnsi="Calibri Light"/>
                <w:b w:val="0"/>
                <w:lang w:val="es-PE"/>
              </w:rPr>
              <w:t xml:space="preserve"> causado a su vez por una condena impuesta en base a criterios discriminatorios, constituyó un trato inhumano conforme a los artículos XXV y XXVI de la DADDH. </w:t>
            </w:r>
          </w:p>
          <w:p w14:paraId="25605599" w14:textId="77777777" w:rsidR="009C74AE" w:rsidRDefault="009C74AE" w:rsidP="00765A12">
            <w:pPr>
              <w:jc w:val="both"/>
              <w:rPr>
                <w:rFonts w:ascii="Calibri Light" w:hAnsi="Calibri Light"/>
                <w:b w:val="0"/>
                <w:lang w:val="es-PE"/>
              </w:rPr>
            </w:pPr>
          </w:p>
          <w:p w14:paraId="19B485DA" w14:textId="67EF99F1" w:rsidR="0068134F" w:rsidRPr="00F84271" w:rsidRDefault="009C74AE" w:rsidP="00765A12">
            <w:pPr>
              <w:jc w:val="both"/>
              <w:rPr>
                <w:rFonts w:ascii="Calibri Light" w:hAnsi="Calibri Light"/>
                <w:b w:val="0"/>
                <w:lang w:val="es-PE"/>
              </w:rPr>
            </w:pPr>
            <w:r>
              <w:rPr>
                <w:rFonts w:ascii="Calibri Light" w:hAnsi="Calibri Light"/>
                <w:b w:val="0"/>
                <w:lang w:val="es-PE"/>
              </w:rPr>
              <w:t xml:space="preserve">En cuanto a la permanencia del señor Saldaño en el corredor de la muerte, la CIDH recordó que </w:t>
            </w:r>
            <w:r w:rsidR="00E83039">
              <w:rPr>
                <w:rFonts w:ascii="Calibri Light" w:hAnsi="Calibri Light"/>
                <w:b w:val="0"/>
                <w:lang w:val="es-PE"/>
              </w:rPr>
              <w:t>tribunales de otros países han señalado que una larga permanencia en el corredor de la muerte por cinco años o entre 52 y 72 meses puede constituir, respectivamente, un tratamiento inhumano o degradante, o tortura. Sobre el aislamiento prolongado, la CIDH reiteró que la</w:t>
            </w:r>
            <w:r>
              <w:rPr>
                <w:rFonts w:ascii="Calibri Light" w:hAnsi="Calibri Light"/>
                <w:b w:val="0"/>
                <w:lang w:val="es-PE"/>
              </w:rPr>
              <w:t xml:space="preserve"> </w:t>
            </w:r>
            <w:r w:rsidR="00E83039">
              <w:rPr>
                <w:rFonts w:ascii="Calibri Light" w:hAnsi="Calibri Light"/>
                <w:b w:val="0"/>
                <w:lang w:val="es-PE"/>
              </w:rPr>
              <w:t xml:space="preserve">permanencia en el corredor de la muerte en dicha condición por más de cuatro años constituye un trato inhumano. En el caso concreto, hasta la publicación de este informe, el señor Saldaño había permanecido por 20 años en el corredor de la muerte. Además, en </w:t>
            </w:r>
            <w:r w:rsidR="00E83039" w:rsidRPr="00E83039">
              <w:rPr>
                <w:rFonts w:ascii="Calibri Light" w:hAnsi="Calibri Light"/>
                <w:b w:val="0"/>
                <w:i/>
                <w:lang w:val="es-PE"/>
              </w:rPr>
              <w:t>Polunsky Unit</w:t>
            </w:r>
            <w:r w:rsidR="00E83039">
              <w:rPr>
                <w:rFonts w:ascii="Calibri Light" w:hAnsi="Calibri Light"/>
                <w:b w:val="0"/>
                <w:lang w:val="es-PE"/>
              </w:rPr>
              <w:t xml:space="preserve">, las condiciones de aislamiento a las que fue sometido eran severas, pues permanecía 23 horas en su celda con otras restricciones debido al nivel de custodia que se le había impuesto. La CIDH observó que dicho plazo había excedido el establecido por otros tribunales para calificar la permanencia en el corredor de la muerte como un trato cruel, inhumano y degradante. Por ello, declaró </w:t>
            </w:r>
            <w:r w:rsidR="0096417D">
              <w:rPr>
                <w:rFonts w:ascii="Calibri Light" w:hAnsi="Calibri Light"/>
                <w:b w:val="0"/>
                <w:lang w:val="es-PE"/>
              </w:rPr>
              <w:t xml:space="preserve">que el Estado había violado </w:t>
            </w:r>
            <w:r w:rsidR="00DE77A2" w:rsidRPr="00F84271">
              <w:rPr>
                <w:rFonts w:ascii="Calibri Light" w:hAnsi="Calibri Light"/>
                <w:b w:val="0"/>
                <w:lang w:val="es-PE"/>
              </w:rPr>
              <w:t>los artículos XXV y XXVI de la DADH.</w:t>
            </w:r>
          </w:p>
          <w:p w14:paraId="2FE1EA6F" w14:textId="77777777" w:rsidR="0068134F" w:rsidRPr="00F84271" w:rsidRDefault="0068134F" w:rsidP="00765A12">
            <w:pPr>
              <w:jc w:val="both"/>
              <w:rPr>
                <w:rFonts w:ascii="Calibri Light" w:hAnsi="Calibri Light"/>
                <w:b w:val="0"/>
                <w:lang w:val="es-PE"/>
              </w:rPr>
            </w:pPr>
          </w:p>
          <w:p w14:paraId="318834BA" w14:textId="70699633" w:rsidR="00270871" w:rsidRPr="00F84271" w:rsidRDefault="00270871" w:rsidP="00765A12">
            <w:pPr>
              <w:jc w:val="both"/>
              <w:rPr>
                <w:rFonts w:ascii="Calibri Light" w:hAnsi="Calibri Light"/>
                <w:lang w:val="es-PE"/>
              </w:rPr>
            </w:pPr>
            <w:r w:rsidRPr="00F84271">
              <w:rPr>
                <w:rFonts w:ascii="Calibri Light" w:hAnsi="Calibri Light"/>
                <w:lang w:val="es-PE"/>
              </w:rPr>
              <w:t xml:space="preserve">Derecho a la vida respecto de la eventual ejecución de </w:t>
            </w:r>
            <w:r w:rsidR="00404DF4" w:rsidRPr="00F84271">
              <w:rPr>
                <w:rFonts w:ascii="Calibri Light" w:hAnsi="Calibri Light"/>
                <w:lang w:val="es-PE"/>
              </w:rPr>
              <w:t>Víctor</w:t>
            </w:r>
            <w:r w:rsidRPr="00F84271">
              <w:rPr>
                <w:rFonts w:ascii="Calibri Light" w:hAnsi="Calibri Light"/>
                <w:lang w:val="es-PE"/>
              </w:rPr>
              <w:t xml:space="preserve"> Saldaño</w:t>
            </w:r>
            <w:r w:rsidR="002462A6" w:rsidRPr="00F84271">
              <w:rPr>
                <w:rFonts w:ascii="Calibri Light" w:hAnsi="Calibri Light"/>
                <w:lang w:val="es-PE"/>
              </w:rPr>
              <w:t xml:space="preserve"> (artículo I</w:t>
            </w:r>
            <w:r w:rsidR="00BC74FF" w:rsidRPr="00F84271">
              <w:rPr>
                <w:rFonts w:ascii="Calibri Light" w:hAnsi="Calibri Light"/>
                <w:lang w:val="es-PE"/>
              </w:rPr>
              <w:t xml:space="preserve"> de la DAD</w:t>
            </w:r>
            <w:r w:rsidR="001F4BF7">
              <w:rPr>
                <w:rFonts w:ascii="Calibri Light" w:hAnsi="Calibri Light"/>
                <w:lang w:val="es-PE"/>
              </w:rPr>
              <w:t>D</w:t>
            </w:r>
            <w:r w:rsidR="00BC74FF" w:rsidRPr="00F84271">
              <w:rPr>
                <w:rFonts w:ascii="Calibri Light" w:hAnsi="Calibri Light"/>
                <w:lang w:val="es-PE"/>
              </w:rPr>
              <w:t>H)</w:t>
            </w:r>
          </w:p>
          <w:p w14:paraId="40DE0BE6" w14:textId="77777777" w:rsidR="00270871" w:rsidRPr="00F84271" w:rsidRDefault="00270871" w:rsidP="00765A12">
            <w:pPr>
              <w:jc w:val="both"/>
              <w:rPr>
                <w:rFonts w:ascii="Calibri Light" w:hAnsi="Calibri Light"/>
                <w:b w:val="0"/>
                <w:lang w:val="es-PE"/>
              </w:rPr>
            </w:pPr>
          </w:p>
          <w:p w14:paraId="1B6B90CF" w14:textId="18387A72" w:rsidR="00D55124" w:rsidRPr="00F84271" w:rsidRDefault="004D217F" w:rsidP="00765A12">
            <w:pPr>
              <w:jc w:val="both"/>
              <w:rPr>
                <w:rFonts w:ascii="Calibri Light" w:hAnsi="Calibri Light"/>
                <w:b w:val="0"/>
                <w:lang w:val="es-PE"/>
              </w:rPr>
            </w:pPr>
            <w:r w:rsidRPr="00F84271">
              <w:rPr>
                <w:rFonts w:ascii="Calibri Light" w:hAnsi="Calibri Light"/>
                <w:b w:val="0"/>
                <w:lang w:val="es-PE"/>
              </w:rPr>
              <w:t xml:space="preserve">La CIDH recordó </w:t>
            </w:r>
            <w:r w:rsidR="0096417D">
              <w:rPr>
                <w:rFonts w:ascii="Calibri Light" w:hAnsi="Calibri Light"/>
                <w:b w:val="0"/>
                <w:lang w:val="es-PE"/>
              </w:rPr>
              <w:t xml:space="preserve">que ejecutar a una persona a la que se le ha impuesto la pena de muerte en violación a sus derechos constituye una violación del derecho a la vida, reconocido en el artículo I de la DADDH. Por ello, y en vista de las violaciones establecidas en el informe, consideró que este derecho también había sido violado. </w:t>
            </w:r>
          </w:p>
          <w:p w14:paraId="5AA471B6" w14:textId="112E1FD7" w:rsidR="00270871" w:rsidRPr="00F84271" w:rsidRDefault="00270871" w:rsidP="00765A12">
            <w:pPr>
              <w:jc w:val="both"/>
              <w:rPr>
                <w:rFonts w:ascii="Calibri Light" w:hAnsi="Calibri Light"/>
                <w:lang w:val="es-PE"/>
              </w:rPr>
            </w:pPr>
          </w:p>
        </w:tc>
      </w:tr>
      <w:tr w:rsidR="005173CF" w:rsidRPr="00F84271" w14:paraId="0FBFBB6F" w14:textId="77777777" w:rsidTr="00CA0ACC">
        <w:trPr>
          <w:trHeight w:val="803"/>
        </w:trPr>
        <w:tc>
          <w:tcPr>
            <w:cnfStyle w:val="001000000000" w:firstRow="0" w:lastRow="0" w:firstColumn="1" w:lastColumn="0" w:oddVBand="0" w:evenVBand="0" w:oddHBand="0" w:evenHBand="0" w:firstRowFirstColumn="0" w:firstRowLastColumn="0" w:lastRowFirstColumn="0" w:lastRowLastColumn="0"/>
            <w:tcW w:w="8735" w:type="dxa"/>
            <w:gridSpan w:val="3"/>
          </w:tcPr>
          <w:p w14:paraId="0A864AFE" w14:textId="77777777" w:rsidR="00AC6F31" w:rsidRPr="00F84271" w:rsidRDefault="00AC6F31" w:rsidP="00AC6F31">
            <w:pPr>
              <w:pStyle w:val="ListParagraph"/>
              <w:rPr>
                <w:rFonts w:ascii="Calibri Light" w:hAnsi="Calibri Light"/>
                <w:lang w:val="es-PE"/>
              </w:rPr>
            </w:pPr>
          </w:p>
          <w:p w14:paraId="5CF7BA21" w14:textId="43BE0C90" w:rsidR="005173CF" w:rsidRPr="00F84271" w:rsidRDefault="007A6C56" w:rsidP="0029671B">
            <w:pPr>
              <w:pStyle w:val="ListParagraph"/>
              <w:numPr>
                <w:ilvl w:val="0"/>
                <w:numId w:val="2"/>
              </w:numPr>
              <w:jc w:val="center"/>
              <w:rPr>
                <w:rFonts w:ascii="Calibri Light" w:hAnsi="Calibri Light"/>
                <w:lang w:val="es-PE"/>
              </w:rPr>
            </w:pPr>
            <w:r w:rsidRPr="00F84271">
              <w:rPr>
                <w:rFonts w:ascii="Calibri Light" w:hAnsi="Calibri Light"/>
                <w:lang w:val="es-PE"/>
              </w:rPr>
              <w:t>Recomendaciones</w:t>
            </w:r>
            <w:r w:rsidR="003802D3" w:rsidRPr="00F84271">
              <w:rPr>
                <w:rFonts w:ascii="Calibri Light" w:hAnsi="Calibri Light"/>
                <w:lang w:val="es-PE"/>
              </w:rPr>
              <w:t xml:space="preserve"> de la CIDH al Estado</w:t>
            </w:r>
          </w:p>
          <w:p w14:paraId="510D8BF9" w14:textId="77777777" w:rsidR="00AC6F31" w:rsidRPr="00F84271" w:rsidRDefault="00AC6F31" w:rsidP="00AC6F31">
            <w:pPr>
              <w:pStyle w:val="ListParagraph"/>
              <w:rPr>
                <w:rFonts w:ascii="Calibri Light" w:hAnsi="Calibri Light"/>
                <w:lang w:val="es-PE"/>
              </w:rPr>
            </w:pPr>
          </w:p>
        </w:tc>
      </w:tr>
      <w:tr w:rsidR="00CA0ACC" w:rsidRPr="00F84271" w14:paraId="4418CA31" w14:textId="77777777" w:rsidTr="00CA0ACC">
        <w:trPr>
          <w:cnfStyle w:val="000000100000" w:firstRow="0" w:lastRow="0" w:firstColumn="0" w:lastColumn="0" w:oddVBand="0" w:evenVBand="0" w:oddHBand="1" w:evenHBand="0" w:firstRowFirstColumn="0" w:firstRowLastColumn="0" w:lastRowFirstColumn="0" w:lastRowLastColumn="0"/>
          <w:trHeight w:val="803"/>
        </w:trPr>
        <w:tc>
          <w:tcPr>
            <w:cnfStyle w:val="001000000000" w:firstRow="0" w:lastRow="0" w:firstColumn="1" w:lastColumn="0" w:oddVBand="0" w:evenVBand="0" w:oddHBand="0" w:evenHBand="0" w:firstRowFirstColumn="0" w:firstRowLastColumn="0" w:lastRowFirstColumn="0" w:lastRowLastColumn="0"/>
            <w:tcW w:w="8735" w:type="dxa"/>
            <w:gridSpan w:val="3"/>
          </w:tcPr>
          <w:p w14:paraId="39F074A5" w14:textId="77777777" w:rsidR="00F84271" w:rsidRDefault="00F84271" w:rsidP="00F84271">
            <w:pPr>
              <w:pStyle w:val="ListParagraph"/>
              <w:ind w:left="360"/>
              <w:jc w:val="both"/>
              <w:rPr>
                <w:rFonts w:ascii="Calibri Light" w:hAnsi="Calibri Light"/>
                <w:b w:val="0"/>
                <w:lang w:val="es-PE"/>
              </w:rPr>
            </w:pPr>
          </w:p>
          <w:p w14:paraId="032A6F29" w14:textId="30F645C7" w:rsidR="00CA0ACC" w:rsidRPr="00F84271" w:rsidRDefault="00CA0ACC" w:rsidP="00CA0ACC">
            <w:pPr>
              <w:pStyle w:val="ListParagraph"/>
              <w:numPr>
                <w:ilvl w:val="0"/>
                <w:numId w:val="7"/>
              </w:numPr>
              <w:jc w:val="both"/>
              <w:rPr>
                <w:rFonts w:ascii="Calibri Light" w:hAnsi="Calibri Light"/>
                <w:b w:val="0"/>
                <w:lang w:val="es-PE"/>
              </w:rPr>
            </w:pPr>
            <w:r w:rsidRPr="00F84271">
              <w:rPr>
                <w:rFonts w:ascii="Calibri Light" w:hAnsi="Calibri Light"/>
                <w:b w:val="0"/>
                <w:lang w:val="es-PE"/>
              </w:rPr>
              <w:t xml:space="preserve">Otorgar </w:t>
            </w:r>
            <w:r w:rsidR="00F84271">
              <w:rPr>
                <w:rFonts w:ascii="Calibri Light" w:hAnsi="Calibri Light"/>
                <w:b w:val="0"/>
                <w:lang w:val="es-PE"/>
              </w:rPr>
              <w:t>al señor Saldaño</w:t>
            </w:r>
            <w:r w:rsidRPr="00F84271">
              <w:rPr>
                <w:rFonts w:ascii="Calibri Light" w:hAnsi="Calibri Light"/>
                <w:b w:val="0"/>
                <w:lang w:val="es-PE"/>
              </w:rPr>
              <w:t xml:space="preserve"> una </w:t>
            </w:r>
            <w:r w:rsidR="00F84271" w:rsidRPr="00F84271">
              <w:rPr>
                <w:rFonts w:ascii="Calibri Light" w:hAnsi="Calibri Light"/>
                <w:b w:val="0"/>
                <w:lang w:val="es-PE"/>
              </w:rPr>
              <w:t>reparación</w:t>
            </w:r>
            <w:r w:rsidRPr="00F84271">
              <w:rPr>
                <w:rFonts w:ascii="Calibri Light" w:hAnsi="Calibri Light"/>
                <w:b w:val="0"/>
                <w:lang w:val="es-PE"/>
              </w:rPr>
              <w:t xml:space="preserve"> efectiva, incluyendo la </w:t>
            </w:r>
            <w:r w:rsidR="00F84271" w:rsidRPr="00F84271">
              <w:rPr>
                <w:rFonts w:ascii="Calibri Light" w:hAnsi="Calibri Light"/>
                <w:b w:val="0"/>
                <w:lang w:val="es-PE"/>
              </w:rPr>
              <w:t>revisión</w:t>
            </w:r>
            <w:r w:rsidRPr="00F84271">
              <w:rPr>
                <w:rFonts w:ascii="Calibri Light" w:hAnsi="Calibri Light"/>
                <w:b w:val="0"/>
                <w:lang w:val="es-PE"/>
              </w:rPr>
              <w:t xml:space="preserve"> de su juicio y condena de conformidad con los derechos a la igualdad ante la ley, de justicia y a un proceso regular, establecidos en los </w:t>
            </w:r>
            <w:r w:rsidR="00F84271" w:rsidRPr="00F84271">
              <w:rPr>
                <w:rFonts w:ascii="Calibri Light" w:hAnsi="Calibri Light"/>
                <w:b w:val="0"/>
                <w:lang w:val="es-PE"/>
              </w:rPr>
              <w:t>artículos</w:t>
            </w:r>
            <w:r w:rsidRPr="00F84271">
              <w:rPr>
                <w:rFonts w:ascii="Calibri Light" w:hAnsi="Calibri Light"/>
                <w:b w:val="0"/>
                <w:lang w:val="es-PE"/>
              </w:rPr>
              <w:t xml:space="preserve"> II, XVIII y XXVI de la </w:t>
            </w:r>
            <w:r w:rsidR="00F84271">
              <w:rPr>
                <w:rFonts w:ascii="Calibri Light" w:hAnsi="Calibri Light"/>
                <w:b w:val="0"/>
                <w:lang w:val="es-PE"/>
              </w:rPr>
              <w:t>DADDH</w:t>
            </w:r>
            <w:r w:rsidRPr="00F84271">
              <w:rPr>
                <w:rFonts w:ascii="Calibri Light" w:hAnsi="Calibri Light"/>
                <w:b w:val="0"/>
                <w:lang w:val="es-PE"/>
              </w:rPr>
              <w:t xml:space="preserve">. </w:t>
            </w:r>
          </w:p>
          <w:p w14:paraId="0DF73A22" w14:textId="77777777" w:rsidR="00CA0ACC" w:rsidRPr="00F84271" w:rsidRDefault="00CA0ACC" w:rsidP="00CA0ACC">
            <w:pPr>
              <w:pStyle w:val="ListParagraph"/>
              <w:ind w:left="360"/>
              <w:jc w:val="both"/>
              <w:rPr>
                <w:rFonts w:ascii="Calibri Light" w:hAnsi="Calibri Light"/>
                <w:b w:val="0"/>
                <w:lang w:val="es-PE"/>
              </w:rPr>
            </w:pPr>
          </w:p>
          <w:p w14:paraId="607DF3B5" w14:textId="5FEA3720" w:rsidR="00CA0ACC" w:rsidRPr="00F84271" w:rsidRDefault="00CA0ACC" w:rsidP="00CA0ACC">
            <w:pPr>
              <w:pStyle w:val="ListParagraph"/>
              <w:numPr>
                <w:ilvl w:val="0"/>
                <w:numId w:val="7"/>
              </w:numPr>
              <w:jc w:val="both"/>
              <w:rPr>
                <w:rFonts w:ascii="Calibri Light" w:hAnsi="Calibri Light"/>
                <w:b w:val="0"/>
                <w:lang w:val="es-PE"/>
              </w:rPr>
            </w:pPr>
            <w:r w:rsidRPr="00F84271">
              <w:rPr>
                <w:rFonts w:ascii="Calibri Light" w:hAnsi="Calibri Light"/>
                <w:b w:val="0"/>
                <w:lang w:val="es-PE"/>
              </w:rPr>
              <w:t xml:space="preserve">Revisar sus normas, procedimientos y </w:t>
            </w:r>
            <w:r w:rsidR="00F84271" w:rsidRPr="00F84271">
              <w:rPr>
                <w:rFonts w:ascii="Calibri Light" w:hAnsi="Calibri Light"/>
                <w:b w:val="0"/>
                <w:lang w:val="es-PE"/>
              </w:rPr>
              <w:t>prácticas</w:t>
            </w:r>
            <w:r w:rsidRPr="00F84271">
              <w:rPr>
                <w:rFonts w:ascii="Calibri Light" w:hAnsi="Calibri Light"/>
                <w:b w:val="0"/>
                <w:lang w:val="es-PE"/>
              </w:rPr>
              <w:t xml:space="preserve"> para asegurar que las personas acusadas de delitos perseguidos con la pena de muerte sean juzgado</w:t>
            </w:r>
            <w:r w:rsidR="00F84271">
              <w:rPr>
                <w:rFonts w:ascii="Calibri Light" w:hAnsi="Calibri Light"/>
                <w:b w:val="0"/>
                <w:lang w:val="es-PE"/>
              </w:rPr>
              <w:t>s</w:t>
            </w:r>
            <w:r w:rsidRPr="00F84271">
              <w:rPr>
                <w:rFonts w:ascii="Calibri Light" w:hAnsi="Calibri Light"/>
                <w:b w:val="0"/>
                <w:lang w:val="es-PE"/>
              </w:rPr>
              <w:t xml:space="preserve"> y, de encontrarse responsabilidad penal, sentenciados de conformidad con los derechos establecidos en la </w:t>
            </w:r>
            <w:r w:rsidR="00F84271">
              <w:rPr>
                <w:rFonts w:ascii="Calibri Light" w:hAnsi="Calibri Light"/>
                <w:b w:val="0"/>
                <w:lang w:val="es-PE"/>
              </w:rPr>
              <w:t>DADDH</w:t>
            </w:r>
            <w:r w:rsidR="00412C4B">
              <w:rPr>
                <w:rFonts w:ascii="Calibri Light" w:hAnsi="Calibri Light"/>
                <w:b w:val="0"/>
                <w:lang w:val="es-PE"/>
              </w:rPr>
              <w:t>.</w:t>
            </w:r>
          </w:p>
          <w:p w14:paraId="5AFB50ED" w14:textId="77777777" w:rsidR="00CA0ACC" w:rsidRPr="00F84271" w:rsidRDefault="00CA0ACC" w:rsidP="00CA0ACC">
            <w:pPr>
              <w:jc w:val="both"/>
              <w:rPr>
                <w:rFonts w:ascii="Calibri Light" w:hAnsi="Calibri Light"/>
                <w:lang w:val="es-PE"/>
              </w:rPr>
            </w:pPr>
          </w:p>
          <w:p w14:paraId="226B3B61" w14:textId="77777777" w:rsidR="00412C4B" w:rsidRDefault="00CA0ACC" w:rsidP="00412C4B">
            <w:pPr>
              <w:pStyle w:val="ListParagraph"/>
              <w:numPr>
                <w:ilvl w:val="0"/>
                <w:numId w:val="7"/>
              </w:numPr>
              <w:jc w:val="both"/>
              <w:rPr>
                <w:rFonts w:ascii="Calibri Light" w:hAnsi="Calibri Light"/>
                <w:b w:val="0"/>
                <w:lang w:val="es-PE"/>
              </w:rPr>
            </w:pPr>
            <w:r w:rsidRPr="00F84271">
              <w:rPr>
                <w:rFonts w:ascii="Calibri Light" w:hAnsi="Calibri Light"/>
                <w:b w:val="0"/>
                <w:lang w:val="es-PE"/>
              </w:rPr>
              <w:t xml:space="preserve">Asegurar que la defensa de oficio otorgada por el Estado en casos de pena de muerte sea efectiva y cuente con entrenamiento adecuado para atender </w:t>
            </w:r>
            <w:r w:rsidR="00412C4B">
              <w:rPr>
                <w:rFonts w:ascii="Calibri Light" w:hAnsi="Calibri Light"/>
                <w:b w:val="0"/>
                <w:lang w:val="es-PE"/>
              </w:rPr>
              <w:t xml:space="preserve">este tipo de </w:t>
            </w:r>
            <w:r w:rsidRPr="00F84271">
              <w:rPr>
                <w:rFonts w:ascii="Calibri Light" w:hAnsi="Calibri Light"/>
                <w:b w:val="0"/>
                <w:lang w:val="es-PE"/>
              </w:rPr>
              <w:t>casos</w:t>
            </w:r>
            <w:r w:rsidR="00412C4B">
              <w:rPr>
                <w:rFonts w:ascii="Calibri Light" w:hAnsi="Calibri Light"/>
                <w:b w:val="0"/>
                <w:lang w:val="es-PE"/>
              </w:rPr>
              <w:t>.</w:t>
            </w:r>
          </w:p>
          <w:p w14:paraId="35B531A5" w14:textId="77777777" w:rsidR="00412C4B" w:rsidRPr="00412C4B" w:rsidRDefault="00412C4B" w:rsidP="00412C4B">
            <w:pPr>
              <w:pStyle w:val="ListParagraph"/>
              <w:rPr>
                <w:rFonts w:ascii="Calibri Light" w:hAnsi="Calibri Light"/>
                <w:lang w:val="es-PE"/>
              </w:rPr>
            </w:pPr>
          </w:p>
          <w:p w14:paraId="083D7C46" w14:textId="232FF320" w:rsidR="00C15D52" w:rsidRPr="001F4BF7" w:rsidRDefault="00CA0ACC" w:rsidP="00C15D52">
            <w:pPr>
              <w:pStyle w:val="ListParagraph"/>
              <w:numPr>
                <w:ilvl w:val="0"/>
                <w:numId w:val="7"/>
              </w:numPr>
              <w:jc w:val="both"/>
              <w:rPr>
                <w:rFonts w:ascii="Calibri Light" w:hAnsi="Calibri Light"/>
                <w:b w:val="0"/>
                <w:lang w:val="es-PE"/>
              </w:rPr>
            </w:pPr>
            <w:r w:rsidRPr="00412C4B">
              <w:rPr>
                <w:rFonts w:ascii="Calibri Light" w:hAnsi="Calibri Light"/>
                <w:b w:val="0"/>
                <w:lang w:val="es-PE"/>
              </w:rPr>
              <w:t>Adoptar una moratoria en las ejecuciones de las personas condenadas a muerte.</w:t>
            </w:r>
          </w:p>
          <w:p w14:paraId="6D99E5FB" w14:textId="06D1B263" w:rsidR="00C15D52" w:rsidRPr="00C15D52" w:rsidRDefault="00C15D52" w:rsidP="00C15D52">
            <w:pPr>
              <w:jc w:val="both"/>
              <w:rPr>
                <w:rFonts w:ascii="Calibri Light" w:hAnsi="Calibri Light"/>
                <w:lang w:val="es-PE"/>
              </w:rPr>
            </w:pPr>
          </w:p>
        </w:tc>
      </w:tr>
      <w:tr w:rsidR="00CA0ACC" w:rsidRPr="00F84271" w14:paraId="34C7C8F7" w14:textId="77777777" w:rsidTr="00CA0ACC">
        <w:trPr>
          <w:trHeight w:val="803"/>
        </w:trPr>
        <w:tc>
          <w:tcPr>
            <w:cnfStyle w:val="001000000000" w:firstRow="0" w:lastRow="0" w:firstColumn="1" w:lastColumn="0" w:oddVBand="0" w:evenVBand="0" w:oddHBand="0" w:evenHBand="0" w:firstRowFirstColumn="0" w:firstRowLastColumn="0" w:lastRowFirstColumn="0" w:lastRowLastColumn="0"/>
            <w:tcW w:w="8735" w:type="dxa"/>
            <w:gridSpan w:val="3"/>
          </w:tcPr>
          <w:p w14:paraId="5B0A8971" w14:textId="77777777" w:rsidR="00CA0ACC" w:rsidRPr="001F4BF7" w:rsidRDefault="00CA0ACC" w:rsidP="001F4BF7">
            <w:pPr>
              <w:rPr>
                <w:rFonts w:ascii="Calibri Light" w:hAnsi="Calibri Light"/>
                <w:lang w:val="es-PE"/>
              </w:rPr>
            </w:pPr>
          </w:p>
          <w:p w14:paraId="3011C538" w14:textId="1FAE9CA5" w:rsidR="00CA0ACC" w:rsidRPr="00F84271" w:rsidRDefault="00CA0ACC" w:rsidP="00CA0ACC">
            <w:pPr>
              <w:pStyle w:val="ListParagraph"/>
              <w:numPr>
                <w:ilvl w:val="0"/>
                <w:numId w:val="2"/>
              </w:numPr>
              <w:jc w:val="center"/>
              <w:rPr>
                <w:rFonts w:ascii="Calibri Light" w:hAnsi="Calibri Light"/>
                <w:lang w:val="es-PE"/>
              </w:rPr>
            </w:pPr>
            <w:r w:rsidRPr="00F84271">
              <w:rPr>
                <w:rFonts w:ascii="Calibri Light" w:hAnsi="Calibri Light"/>
                <w:lang w:val="es-PE"/>
              </w:rPr>
              <w:t>Análisis de cumplimiento de las recomendaciones</w:t>
            </w:r>
          </w:p>
        </w:tc>
      </w:tr>
      <w:tr w:rsidR="00CA0ACC" w:rsidRPr="00F84271" w14:paraId="1383069B" w14:textId="77777777" w:rsidTr="00CA0ACC">
        <w:trPr>
          <w:cnfStyle w:val="000000100000" w:firstRow="0" w:lastRow="0" w:firstColumn="0" w:lastColumn="0" w:oddVBand="0" w:evenVBand="0" w:oddHBand="1" w:evenHBand="0" w:firstRowFirstColumn="0" w:firstRowLastColumn="0" w:lastRowFirstColumn="0" w:lastRowLastColumn="0"/>
          <w:trHeight w:val="803"/>
        </w:trPr>
        <w:tc>
          <w:tcPr>
            <w:cnfStyle w:val="001000000000" w:firstRow="0" w:lastRow="0" w:firstColumn="1" w:lastColumn="0" w:oddVBand="0" w:evenVBand="0" w:oddHBand="0" w:evenHBand="0" w:firstRowFirstColumn="0" w:firstRowLastColumn="0" w:lastRowFirstColumn="0" w:lastRowLastColumn="0"/>
            <w:tcW w:w="8735" w:type="dxa"/>
            <w:gridSpan w:val="3"/>
          </w:tcPr>
          <w:p w14:paraId="0B437241" w14:textId="77777777" w:rsidR="00CA0ACC" w:rsidRPr="00F84271" w:rsidRDefault="00CA0ACC" w:rsidP="00CA0ACC">
            <w:pPr>
              <w:pStyle w:val="ListParagraph"/>
              <w:ind w:left="0"/>
              <w:jc w:val="both"/>
              <w:rPr>
                <w:rFonts w:ascii="Calibri Light" w:hAnsi="Calibri Light"/>
                <w:b w:val="0"/>
                <w:lang w:val="es-PE"/>
              </w:rPr>
            </w:pPr>
          </w:p>
          <w:p w14:paraId="3582DA0A" w14:textId="77777777" w:rsidR="00CA0ACC" w:rsidRPr="00F84271" w:rsidRDefault="00CA0ACC" w:rsidP="00CA0ACC">
            <w:pPr>
              <w:pStyle w:val="ListParagraph"/>
              <w:ind w:left="0"/>
              <w:jc w:val="center"/>
              <w:rPr>
                <w:rFonts w:ascii="Calibri Light" w:hAnsi="Calibri Light"/>
                <w:b w:val="0"/>
                <w:lang w:val="es-PE"/>
              </w:rPr>
            </w:pPr>
            <w:r w:rsidRPr="00F84271">
              <w:rPr>
                <w:rFonts w:ascii="Calibri Light" w:hAnsi="Calibri Light"/>
                <w:b w:val="0"/>
                <w:lang w:val="es-PE"/>
              </w:rPr>
              <w:t>--</w:t>
            </w:r>
          </w:p>
          <w:p w14:paraId="37B41B2B" w14:textId="77777777" w:rsidR="00CA0ACC" w:rsidRPr="00F84271" w:rsidRDefault="00CA0ACC" w:rsidP="00CA0ACC">
            <w:pPr>
              <w:pStyle w:val="ListParagraph"/>
              <w:rPr>
                <w:rFonts w:ascii="Calibri Light" w:hAnsi="Calibri Light"/>
                <w:lang w:val="es-PE"/>
              </w:rPr>
            </w:pPr>
          </w:p>
        </w:tc>
      </w:tr>
    </w:tbl>
    <w:p w14:paraId="23A9A3C3" w14:textId="77777777" w:rsidR="00714E42" w:rsidRPr="00F84271" w:rsidRDefault="00714E42" w:rsidP="00A65231">
      <w:pPr>
        <w:rPr>
          <w:rFonts w:ascii="Calibri Light" w:hAnsi="Calibri Light"/>
          <w:lang w:val="es-PE"/>
        </w:rPr>
      </w:pPr>
    </w:p>
    <w:sectPr w:rsidR="00714E42" w:rsidRPr="00F84271" w:rsidSect="00A65231">
      <w:footerReference w:type="default" r:id="rId15"/>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17C1C" w14:textId="77777777" w:rsidR="0032214B" w:rsidRDefault="0032214B" w:rsidP="00A65231">
      <w:pPr>
        <w:spacing w:after="0" w:line="240" w:lineRule="auto"/>
      </w:pPr>
      <w:r>
        <w:separator/>
      </w:r>
    </w:p>
  </w:endnote>
  <w:endnote w:type="continuationSeparator" w:id="0">
    <w:p w14:paraId="1ED62D8F" w14:textId="77777777" w:rsidR="0032214B" w:rsidRDefault="0032214B" w:rsidP="00A6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Light" w:hAnsi="Calibri Light"/>
      </w:rPr>
      <w:id w:val="210471937"/>
      <w:docPartObj>
        <w:docPartGallery w:val="Page Numbers (Bottom of Page)"/>
        <w:docPartUnique/>
      </w:docPartObj>
    </w:sdtPr>
    <w:sdtEndPr/>
    <w:sdtContent>
      <w:p w14:paraId="23A746CC" w14:textId="77777777" w:rsidR="00A673E2" w:rsidRPr="006C262B" w:rsidRDefault="00A673E2">
        <w:pPr>
          <w:pStyle w:val="Footer"/>
          <w:jc w:val="right"/>
          <w:rPr>
            <w:rFonts w:ascii="Calibri Light" w:hAnsi="Calibri Light"/>
          </w:rPr>
        </w:pPr>
        <w:r w:rsidRPr="006C262B">
          <w:rPr>
            <w:rFonts w:ascii="Calibri Light" w:hAnsi="Calibri Light"/>
          </w:rPr>
          <w:fldChar w:fldCharType="begin"/>
        </w:r>
        <w:r w:rsidRPr="006C262B">
          <w:rPr>
            <w:rFonts w:ascii="Calibri Light" w:hAnsi="Calibri Light"/>
          </w:rPr>
          <w:instrText>PAGE   \* MERGEFORMAT</w:instrText>
        </w:r>
        <w:r w:rsidRPr="006C262B">
          <w:rPr>
            <w:rFonts w:ascii="Calibri Light" w:hAnsi="Calibri Light"/>
          </w:rPr>
          <w:fldChar w:fldCharType="separate"/>
        </w:r>
        <w:r w:rsidR="005C7558" w:rsidRPr="005C7558">
          <w:rPr>
            <w:rFonts w:ascii="Calibri Light" w:hAnsi="Calibri Light"/>
            <w:noProof/>
            <w:lang w:val="es-ES"/>
          </w:rPr>
          <w:t>5</w:t>
        </w:r>
        <w:r w:rsidRPr="006C262B">
          <w:rPr>
            <w:rFonts w:ascii="Calibri Light" w:hAnsi="Calibri Light"/>
          </w:rPr>
          <w:fldChar w:fldCharType="end"/>
        </w:r>
      </w:p>
    </w:sdtContent>
  </w:sdt>
  <w:p w14:paraId="6353BB13" w14:textId="77777777" w:rsidR="00A673E2" w:rsidRPr="006C262B" w:rsidRDefault="00A673E2">
    <w:pPr>
      <w:pStyle w:val="Footer"/>
      <w:rPr>
        <w:rFonts w:ascii="Calibri Light" w:hAnsi="Calibri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D57A50" w14:textId="77777777" w:rsidR="0032214B" w:rsidRDefault="0032214B" w:rsidP="00A65231">
      <w:pPr>
        <w:spacing w:after="0" w:line="240" w:lineRule="auto"/>
      </w:pPr>
      <w:r>
        <w:separator/>
      </w:r>
    </w:p>
  </w:footnote>
  <w:footnote w:type="continuationSeparator" w:id="0">
    <w:p w14:paraId="4B17BB87" w14:textId="77777777" w:rsidR="0032214B" w:rsidRDefault="0032214B" w:rsidP="00A65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A5EBA"/>
    <w:multiLevelType w:val="hybridMultilevel"/>
    <w:tmpl w:val="0D3895DA"/>
    <w:lvl w:ilvl="0" w:tplc="6F440C60">
      <w:start w:val="1"/>
      <w:numFmt w:val="decimal"/>
      <w:lvlText w:val="%1."/>
      <w:lvlJc w:val="left"/>
      <w:pPr>
        <w:ind w:left="360" w:hanging="360"/>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2B5170B7"/>
    <w:multiLevelType w:val="hybridMultilevel"/>
    <w:tmpl w:val="D06C73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D81334F"/>
    <w:multiLevelType w:val="hybridMultilevel"/>
    <w:tmpl w:val="66322A9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405A010C"/>
    <w:multiLevelType w:val="hybridMultilevel"/>
    <w:tmpl w:val="8D1013B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45046FB2"/>
    <w:multiLevelType w:val="hybridMultilevel"/>
    <w:tmpl w:val="7BB2EC6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511A22F4"/>
    <w:multiLevelType w:val="hybridMultilevel"/>
    <w:tmpl w:val="C1A0C3EA"/>
    <w:lvl w:ilvl="0" w:tplc="080A0013">
      <w:start w:val="1"/>
      <w:numFmt w:val="upperRoman"/>
      <w:lvlText w:val="%1."/>
      <w:lvlJc w:val="right"/>
      <w:pPr>
        <w:ind w:left="720" w:hanging="180"/>
      </w:pPr>
    </w:lvl>
    <w:lvl w:ilvl="1" w:tplc="080A0011">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1BF0003"/>
    <w:multiLevelType w:val="hybridMultilevel"/>
    <w:tmpl w:val="2ECCC95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7369596B"/>
    <w:multiLevelType w:val="hybridMultilevel"/>
    <w:tmpl w:val="66322A9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762119CD"/>
    <w:multiLevelType w:val="hybridMultilevel"/>
    <w:tmpl w:val="5C966992"/>
    <w:lvl w:ilvl="0" w:tplc="0C0A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84675C"/>
    <w:multiLevelType w:val="hybridMultilevel"/>
    <w:tmpl w:val="27E4AB08"/>
    <w:lvl w:ilvl="0" w:tplc="973EB2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3"/>
  </w:num>
  <w:num w:numId="5">
    <w:abstractNumId w:val="4"/>
  </w:num>
  <w:num w:numId="6">
    <w:abstractNumId w:val="6"/>
  </w:num>
  <w:num w:numId="7">
    <w:abstractNumId w:val="1"/>
  </w:num>
  <w:num w:numId="8">
    <w:abstractNumId w:val="8"/>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1359"/>
    <w:rsid w:val="00014A0F"/>
    <w:rsid w:val="000A3A56"/>
    <w:rsid w:val="000C2ED1"/>
    <w:rsid w:val="000C5A72"/>
    <w:rsid w:val="000D0D42"/>
    <w:rsid w:val="000D1146"/>
    <w:rsid w:val="000D3CF2"/>
    <w:rsid w:val="000D7122"/>
    <w:rsid w:val="000E57B5"/>
    <w:rsid w:val="000F2C70"/>
    <w:rsid w:val="0012000F"/>
    <w:rsid w:val="00143BC8"/>
    <w:rsid w:val="001545B4"/>
    <w:rsid w:val="00156B1C"/>
    <w:rsid w:val="00193EC5"/>
    <w:rsid w:val="001A14F7"/>
    <w:rsid w:val="001B7D0E"/>
    <w:rsid w:val="001C28EC"/>
    <w:rsid w:val="001C5903"/>
    <w:rsid w:val="001D1FD1"/>
    <w:rsid w:val="001E17FB"/>
    <w:rsid w:val="001E1AC5"/>
    <w:rsid w:val="001F4BF7"/>
    <w:rsid w:val="001F6744"/>
    <w:rsid w:val="00206BF4"/>
    <w:rsid w:val="00212F62"/>
    <w:rsid w:val="00213757"/>
    <w:rsid w:val="00216D08"/>
    <w:rsid w:val="00220B75"/>
    <w:rsid w:val="00221DEB"/>
    <w:rsid w:val="002251EF"/>
    <w:rsid w:val="0023007A"/>
    <w:rsid w:val="002460B9"/>
    <w:rsid w:val="002462A6"/>
    <w:rsid w:val="00270871"/>
    <w:rsid w:val="00270CD4"/>
    <w:rsid w:val="00274507"/>
    <w:rsid w:val="0029671B"/>
    <w:rsid w:val="002B4AEA"/>
    <w:rsid w:val="002D0422"/>
    <w:rsid w:val="002E32B4"/>
    <w:rsid w:val="002E77CF"/>
    <w:rsid w:val="0030293C"/>
    <w:rsid w:val="00312846"/>
    <w:rsid w:val="00313E39"/>
    <w:rsid w:val="00317EE5"/>
    <w:rsid w:val="0032214B"/>
    <w:rsid w:val="00333007"/>
    <w:rsid w:val="00340054"/>
    <w:rsid w:val="00370EBD"/>
    <w:rsid w:val="00373747"/>
    <w:rsid w:val="00374CFA"/>
    <w:rsid w:val="003802D3"/>
    <w:rsid w:val="0038437E"/>
    <w:rsid w:val="00390E0E"/>
    <w:rsid w:val="00392FD4"/>
    <w:rsid w:val="003A3961"/>
    <w:rsid w:val="003A6978"/>
    <w:rsid w:val="003C3D86"/>
    <w:rsid w:val="003D003A"/>
    <w:rsid w:val="003D1E38"/>
    <w:rsid w:val="003E0508"/>
    <w:rsid w:val="003E055D"/>
    <w:rsid w:val="003E6AB8"/>
    <w:rsid w:val="003F5F65"/>
    <w:rsid w:val="00404DF4"/>
    <w:rsid w:val="00411A74"/>
    <w:rsid w:val="00412C4B"/>
    <w:rsid w:val="00421D6C"/>
    <w:rsid w:val="00451809"/>
    <w:rsid w:val="00452AA6"/>
    <w:rsid w:val="004533E5"/>
    <w:rsid w:val="00456181"/>
    <w:rsid w:val="00464CAC"/>
    <w:rsid w:val="0048005D"/>
    <w:rsid w:val="00483E1E"/>
    <w:rsid w:val="004858A8"/>
    <w:rsid w:val="004861D8"/>
    <w:rsid w:val="00486DD8"/>
    <w:rsid w:val="004B1311"/>
    <w:rsid w:val="004C327A"/>
    <w:rsid w:val="004C33C1"/>
    <w:rsid w:val="004D217F"/>
    <w:rsid w:val="004E678F"/>
    <w:rsid w:val="004F061A"/>
    <w:rsid w:val="00500E54"/>
    <w:rsid w:val="00503953"/>
    <w:rsid w:val="005173CF"/>
    <w:rsid w:val="0052531E"/>
    <w:rsid w:val="005404D5"/>
    <w:rsid w:val="00557C90"/>
    <w:rsid w:val="00561359"/>
    <w:rsid w:val="00573A57"/>
    <w:rsid w:val="00577B84"/>
    <w:rsid w:val="00590930"/>
    <w:rsid w:val="00595630"/>
    <w:rsid w:val="005A7136"/>
    <w:rsid w:val="005A7406"/>
    <w:rsid w:val="005C3229"/>
    <w:rsid w:val="005C4E00"/>
    <w:rsid w:val="005C7558"/>
    <w:rsid w:val="005D4FDF"/>
    <w:rsid w:val="005F3CAF"/>
    <w:rsid w:val="006407DD"/>
    <w:rsid w:val="00644D7F"/>
    <w:rsid w:val="00660525"/>
    <w:rsid w:val="00676230"/>
    <w:rsid w:val="0068134F"/>
    <w:rsid w:val="00685F04"/>
    <w:rsid w:val="006916D9"/>
    <w:rsid w:val="00693B93"/>
    <w:rsid w:val="006B7A6A"/>
    <w:rsid w:val="006C0C87"/>
    <w:rsid w:val="006C262B"/>
    <w:rsid w:val="006C3839"/>
    <w:rsid w:val="006D3EAE"/>
    <w:rsid w:val="006D488A"/>
    <w:rsid w:val="006E4051"/>
    <w:rsid w:val="00714E42"/>
    <w:rsid w:val="0074650A"/>
    <w:rsid w:val="00747E22"/>
    <w:rsid w:val="00765991"/>
    <w:rsid w:val="00765A12"/>
    <w:rsid w:val="00766B31"/>
    <w:rsid w:val="007710B7"/>
    <w:rsid w:val="00774549"/>
    <w:rsid w:val="0079477F"/>
    <w:rsid w:val="007A1023"/>
    <w:rsid w:val="007A190B"/>
    <w:rsid w:val="007A2C74"/>
    <w:rsid w:val="007A5BCB"/>
    <w:rsid w:val="007A6C56"/>
    <w:rsid w:val="007B1972"/>
    <w:rsid w:val="007B1CEC"/>
    <w:rsid w:val="007B7ED8"/>
    <w:rsid w:val="007C14F7"/>
    <w:rsid w:val="007C722A"/>
    <w:rsid w:val="007E382B"/>
    <w:rsid w:val="008036E7"/>
    <w:rsid w:val="008053F3"/>
    <w:rsid w:val="008103E6"/>
    <w:rsid w:val="00813CB4"/>
    <w:rsid w:val="00821986"/>
    <w:rsid w:val="00830BAE"/>
    <w:rsid w:val="00841B0E"/>
    <w:rsid w:val="00846C83"/>
    <w:rsid w:val="00855704"/>
    <w:rsid w:val="0086343B"/>
    <w:rsid w:val="00864154"/>
    <w:rsid w:val="00866A4D"/>
    <w:rsid w:val="00880D63"/>
    <w:rsid w:val="00890481"/>
    <w:rsid w:val="00891A2F"/>
    <w:rsid w:val="008931BD"/>
    <w:rsid w:val="008A069E"/>
    <w:rsid w:val="008A1683"/>
    <w:rsid w:val="008C1DF8"/>
    <w:rsid w:val="008E0A21"/>
    <w:rsid w:val="008E69DD"/>
    <w:rsid w:val="00901C30"/>
    <w:rsid w:val="0090367F"/>
    <w:rsid w:val="0091625B"/>
    <w:rsid w:val="00931244"/>
    <w:rsid w:val="00947150"/>
    <w:rsid w:val="00954E20"/>
    <w:rsid w:val="0096417D"/>
    <w:rsid w:val="00974746"/>
    <w:rsid w:val="009961E3"/>
    <w:rsid w:val="009C5B08"/>
    <w:rsid w:val="009C74AE"/>
    <w:rsid w:val="009F113D"/>
    <w:rsid w:val="00A012B0"/>
    <w:rsid w:val="00A133CC"/>
    <w:rsid w:val="00A271BF"/>
    <w:rsid w:val="00A4435A"/>
    <w:rsid w:val="00A44AA6"/>
    <w:rsid w:val="00A65231"/>
    <w:rsid w:val="00A6603C"/>
    <w:rsid w:val="00A673E2"/>
    <w:rsid w:val="00A762E3"/>
    <w:rsid w:val="00A91B24"/>
    <w:rsid w:val="00AC6F31"/>
    <w:rsid w:val="00AD21F0"/>
    <w:rsid w:val="00AE44E8"/>
    <w:rsid w:val="00AF7874"/>
    <w:rsid w:val="00B000F7"/>
    <w:rsid w:val="00B06A12"/>
    <w:rsid w:val="00B07E72"/>
    <w:rsid w:val="00B165B3"/>
    <w:rsid w:val="00B34C99"/>
    <w:rsid w:val="00B46DFA"/>
    <w:rsid w:val="00B71B8C"/>
    <w:rsid w:val="00B771B5"/>
    <w:rsid w:val="00B826F1"/>
    <w:rsid w:val="00B93CB9"/>
    <w:rsid w:val="00B94B2A"/>
    <w:rsid w:val="00BA6111"/>
    <w:rsid w:val="00BB61C6"/>
    <w:rsid w:val="00BC74FF"/>
    <w:rsid w:val="00BD48E5"/>
    <w:rsid w:val="00BE33D8"/>
    <w:rsid w:val="00BE6FA1"/>
    <w:rsid w:val="00BF3002"/>
    <w:rsid w:val="00C03D23"/>
    <w:rsid w:val="00C15D52"/>
    <w:rsid w:val="00C31DFF"/>
    <w:rsid w:val="00C404AF"/>
    <w:rsid w:val="00C436E2"/>
    <w:rsid w:val="00C52A62"/>
    <w:rsid w:val="00C57654"/>
    <w:rsid w:val="00C63B25"/>
    <w:rsid w:val="00C7009C"/>
    <w:rsid w:val="00C73D40"/>
    <w:rsid w:val="00C75A58"/>
    <w:rsid w:val="00C83BC0"/>
    <w:rsid w:val="00C86B7B"/>
    <w:rsid w:val="00C92312"/>
    <w:rsid w:val="00CA0ACC"/>
    <w:rsid w:val="00CD57B5"/>
    <w:rsid w:val="00CD7C91"/>
    <w:rsid w:val="00CF3C5C"/>
    <w:rsid w:val="00D03834"/>
    <w:rsid w:val="00D0696E"/>
    <w:rsid w:val="00D148B1"/>
    <w:rsid w:val="00D153AC"/>
    <w:rsid w:val="00D21CEE"/>
    <w:rsid w:val="00D24B63"/>
    <w:rsid w:val="00D55124"/>
    <w:rsid w:val="00D87E27"/>
    <w:rsid w:val="00D93065"/>
    <w:rsid w:val="00D95320"/>
    <w:rsid w:val="00D9763B"/>
    <w:rsid w:val="00DC017E"/>
    <w:rsid w:val="00DD3C7C"/>
    <w:rsid w:val="00DE77A2"/>
    <w:rsid w:val="00DF2AFB"/>
    <w:rsid w:val="00E256F1"/>
    <w:rsid w:val="00E35FF7"/>
    <w:rsid w:val="00E404FC"/>
    <w:rsid w:val="00E55606"/>
    <w:rsid w:val="00E83039"/>
    <w:rsid w:val="00E9434B"/>
    <w:rsid w:val="00EC1928"/>
    <w:rsid w:val="00F06184"/>
    <w:rsid w:val="00F35633"/>
    <w:rsid w:val="00F36EC0"/>
    <w:rsid w:val="00F41E9A"/>
    <w:rsid w:val="00F464EC"/>
    <w:rsid w:val="00F51250"/>
    <w:rsid w:val="00F53444"/>
    <w:rsid w:val="00F54836"/>
    <w:rsid w:val="00F5523F"/>
    <w:rsid w:val="00F55CD0"/>
    <w:rsid w:val="00F65817"/>
    <w:rsid w:val="00F668A5"/>
    <w:rsid w:val="00F725A5"/>
    <w:rsid w:val="00F827FB"/>
    <w:rsid w:val="00F83405"/>
    <w:rsid w:val="00F84042"/>
    <w:rsid w:val="00F84271"/>
    <w:rsid w:val="00F85C63"/>
    <w:rsid w:val="00FA4967"/>
    <w:rsid w:val="00FB0F60"/>
    <w:rsid w:val="00FB1D17"/>
    <w:rsid w:val="00FB2CE5"/>
    <w:rsid w:val="00FB5D32"/>
    <w:rsid w:val="00FC38ED"/>
    <w:rsid w:val="00FD2AE7"/>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7F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359"/>
    <w:rPr>
      <w:rFonts w:ascii="Calibri" w:eastAsia="Calibri" w:hAnsi="Calibri" w:cs="Times New Roman"/>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359"/>
    <w:pPr>
      <w:tabs>
        <w:tab w:val="center" w:pos="4419"/>
        <w:tab w:val="right" w:pos="8838"/>
      </w:tabs>
      <w:spacing w:after="0" w:line="240" w:lineRule="auto"/>
    </w:pPr>
  </w:style>
  <w:style w:type="character" w:customStyle="1" w:styleId="HeaderChar">
    <w:name w:val="Header Char"/>
    <w:basedOn w:val="DefaultParagraphFont"/>
    <w:link w:val="Header"/>
    <w:uiPriority w:val="99"/>
    <w:rsid w:val="00561359"/>
    <w:rPr>
      <w:rFonts w:ascii="Calibri" w:eastAsia="Calibri" w:hAnsi="Calibri" w:cs="Times New Roman"/>
      <w:lang w:val="es-MX"/>
    </w:rPr>
  </w:style>
  <w:style w:type="table" w:styleId="TableGrid">
    <w:name w:val="Table Grid"/>
    <w:basedOn w:val="TableNormal"/>
    <w:uiPriority w:val="59"/>
    <w:rsid w:val="00517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173C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5">
    <w:name w:val="Medium Shading 1 Accent 5"/>
    <w:basedOn w:val="TableNormal"/>
    <w:uiPriority w:val="63"/>
    <w:rsid w:val="005173C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5173C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Grid1-Accent3">
    <w:name w:val="Medium Grid 1 Accent 3"/>
    <w:basedOn w:val="TableNormal"/>
    <w:uiPriority w:val="67"/>
    <w:rsid w:val="005173C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1">
    <w:name w:val="Medium Grid 1 Accent 1"/>
    <w:basedOn w:val="TableNormal"/>
    <w:uiPriority w:val="67"/>
    <w:rsid w:val="005173C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ListParagraph">
    <w:name w:val="List Paragraph"/>
    <w:basedOn w:val="Normal"/>
    <w:uiPriority w:val="34"/>
    <w:qFormat/>
    <w:rsid w:val="007A6C56"/>
    <w:pPr>
      <w:ind w:left="720"/>
      <w:contextualSpacing/>
    </w:pPr>
  </w:style>
  <w:style w:type="paragraph" w:styleId="Footer">
    <w:name w:val="footer"/>
    <w:basedOn w:val="Normal"/>
    <w:link w:val="FooterChar"/>
    <w:uiPriority w:val="99"/>
    <w:unhideWhenUsed/>
    <w:rsid w:val="00A65231"/>
    <w:pPr>
      <w:tabs>
        <w:tab w:val="center" w:pos="4419"/>
        <w:tab w:val="right" w:pos="8838"/>
      </w:tabs>
      <w:spacing w:after="0" w:line="240" w:lineRule="auto"/>
    </w:pPr>
  </w:style>
  <w:style w:type="character" w:customStyle="1" w:styleId="FooterChar">
    <w:name w:val="Footer Char"/>
    <w:basedOn w:val="DefaultParagraphFont"/>
    <w:link w:val="Footer"/>
    <w:uiPriority w:val="99"/>
    <w:rsid w:val="00A65231"/>
    <w:rPr>
      <w:rFonts w:ascii="Calibri" w:eastAsia="Calibri" w:hAnsi="Calibri" w:cs="Times New Roman"/>
      <w:lang w:val="es-MX"/>
    </w:rPr>
  </w:style>
  <w:style w:type="paragraph" w:styleId="BalloonText">
    <w:name w:val="Balloon Text"/>
    <w:basedOn w:val="Normal"/>
    <w:link w:val="BalloonTextChar"/>
    <w:uiPriority w:val="99"/>
    <w:semiHidden/>
    <w:unhideWhenUsed/>
    <w:rsid w:val="00954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E20"/>
    <w:rPr>
      <w:rFonts w:ascii="Tahoma" w:eastAsia="Calibri" w:hAnsi="Tahoma" w:cs="Tahoma"/>
      <w:sz w:val="16"/>
      <w:szCs w:val="16"/>
      <w:lang w:val="es-MX"/>
    </w:rPr>
  </w:style>
  <w:style w:type="table" w:customStyle="1" w:styleId="Tabladelista2-nfasis11">
    <w:name w:val="Tabla de lista 2 - Énfasis 11"/>
    <w:basedOn w:val="TableNormal"/>
    <w:uiPriority w:val="47"/>
    <w:rsid w:val="007B7ED8"/>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F06184"/>
    <w:rPr>
      <w:sz w:val="18"/>
      <w:szCs w:val="18"/>
    </w:rPr>
  </w:style>
  <w:style w:type="paragraph" w:styleId="CommentText">
    <w:name w:val="annotation text"/>
    <w:basedOn w:val="Normal"/>
    <w:link w:val="CommentTextChar"/>
    <w:uiPriority w:val="99"/>
    <w:semiHidden/>
    <w:unhideWhenUsed/>
    <w:rsid w:val="00F06184"/>
    <w:pPr>
      <w:spacing w:line="240" w:lineRule="auto"/>
    </w:pPr>
    <w:rPr>
      <w:sz w:val="24"/>
      <w:szCs w:val="24"/>
    </w:rPr>
  </w:style>
  <w:style w:type="character" w:customStyle="1" w:styleId="CommentTextChar">
    <w:name w:val="Comment Text Char"/>
    <w:basedOn w:val="DefaultParagraphFont"/>
    <w:link w:val="CommentText"/>
    <w:uiPriority w:val="99"/>
    <w:semiHidden/>
    <w:rsid w:val="00F06184"/>
    <w:rPr>
      <w:rFonts w:ascii="Calibri" w:eastAsia="Calibri" w:hAnsi="Calibri" w:cs="Times New Roman"/>
      <w:sz w:val="24"/>
      <w:szCs w:val="24"/>
      <w:lang w:val="es-MX"/>
    </w:rPr>
  </w:style>
  <w:style w:type="paragraph" w:styleId="CommentSubject">
    <w:name w:val="annotation subject"/>
    <w:basedOn w:val="CommentText"/>
    <w:next w:val="CommentText"/>
    <w:link w:val="CommentSubjectChar"/>
    <w:uiPriority w:val="99"/>
    <w:semiHidden/>
    <w:unhideWhenUsed/>
    <w:rsid w:val="00F06184"/>
    <w:rPr>
      <w:b/>
      <w:bCs/>
      <w:sz w:val="20"/>
      <w:szCs w:val="20"/>
    </w:rPr>
  </w:style>
  <w:style w:type="character" w:customStyle="1" w:styleId="CommentSubjectChar">
    <w:name w:val="Comment Subject Char"/>
    <w:basedOn w:val="CommentTextChar"/>
    <w:link w:val="CommentSubject"/>
    <w:uiPriority w:val="99"/>
    <w:semiHidden/>
    <w:rsid w:val="00F06184"/>
    <w:rPr>
      <w:rFonts w:ascii="Calibri" w:eastAsia="Calibri" w:hAnsi="Calibri" w:cs="Times New Roman"/>
      <w:b/>
      <w:bCs/>
      <w:sz w:val="20"/>
      <w:szCs w:val="20"/>
      <w:lang w:val="es-MX"/>
    </w:rPr>
  </w:style>
  <w:style w:type="character" w:styleId="Hyperlink">
    <w:name w:val="Hyperlink"/>
    <w:basedOn w:val="DefaultParagraphFont"/>
    <w:uiPriority w:val="99"/>
    <w:unhideWhenUsed/>
    <w:rsid w:val="005404D5"/>
    <w:rPr>
      <w:color w:val="0000FF" w:themeColor="hyperlink"/>
      <w:u w:val="single"/>
    </w:rPr>
  </w:style>
  <w:style w:type="paragraph" w:styleId="FootnoteText">
    <w:name w:val="footnote text"/>
    <w:basedOn w:val="Normal"/>
    <w:link w:val="FootnoteTextChar"/>
    <w:uiPriority w:val="99"/>
    <w:unhideWhenUsed/>
    <w:rsid w:val="0074650A"/>
    <w:pPr>
      <w:spacing w:after="0" w:line="240" w:lineRule="auto"/>
    </w:pPr>
    <w:rPr>
      <w:sz w:val="24"/>
      <w:szCs w:val="24"/>
    </w:rPr>
  </w:style>
  <w:style w:type="character" w:customStyle="1" w:styleId="FootnoteTextChar">
    <w:name w:val="Footnote Text Char"/>
    <w:basedOn w:val="DefaultParagraphFont"/>
    <w:link w:val="FootnoteText"/>
    <w:uiPriority w:val="99"/>
    <w:rsid w:val="0074650A"/>
    <w:rPr>
      <w:rFonts w:ascii="Calibri" w:eastAsia="Calibri" w:hAnsi="Calibri" w:cs="Times New Roman"/>
      <w:sz w:val="24"/>
      <w:szCs w:val="24"/>
      <w:lang w:val="es-MX"/>
    </w:rPr>
  </w:style>
  <w:style w:type="character" w:styleId="FootnoteReference">
    <w:name w:val="footnote reference"/>
    <w:basedOn w:val="DefaultParagraphFont"/>
    <w:uiPriority w:val="99"/>
    <w:unhideWhenUsed/>
    <w:rsid w:val="0074650A"/>
    <w:rPr>
      <w:vertAlign w:val="superscript"/>
    </w:rPr>
  </w:style>
  <w:style w:type="character" w:styleId="FollowedHyperlink">
    <w:name w:val="FollowedHyperlink"/>
    <w:basedOn w:val="DefaultParagraphFont"/>
    <w:uiPriority w:val="99"/>
    <w:semiHidden/>
    <w:unhideWhenUsed/>
    <w:rsid w:val="00F658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idh.oas.org/annualrep/98span/Inadmisibilidad/Argentina.Salda&#241;o.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as.org/es/cidh/decisiones/2017/USPU12254E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dpp.graduateinstitute.ch/files/live/sites/dpp/files/shared/images/IDEHPUCP%20%20color.jpg" TargetMode="External"/><Relationship Id="rId14" Type="http://schemas.openxmlformats.org/officeDocument/2006/relationships/hyperlink" Target="http://www.cidh.org/medidas/2000.sp.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78770-F685-48C2-86E3-95B60F7DD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2481</Words>
  <Characters>14148</Characters>
  <Application>Microsoft Office Word</Application>
  <DocSecurity>0</DocSecurity>
  <Lines>117</Lines>
  <Paragraphs>33</Paragraphs>
  <ScaleCrop>false</ScaleCrop>
  <Company/>
  <LinksUpToDate>false</LinksUpToDate>
  <CharactersWithSpaces>16596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2021-02-11T09:51:00Z</dcterms:created>
  <dcterms:modified xsi:type="dcterms:W3CDTF">2021-02-11T09:51:00Z</dcterms:modified>
</cp:coreProperties>
</file>