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3681" w14:textId="77777777" w:rsidR="007E5678" w:rsidRDefault="007E5678" w:rsidP="007E5678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61FD9B1E" wp14:editId="5934A809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41F4ED0" wp14:editId="501F70D5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1386B1A" wp14:editId="4C71A879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64BD3" w14:textId="77777777" w:rsidR="00226400" w:rsidRDefault="00226400" w:rsidP="007E5678">
      <w:pPr>
        <w:pStyle w:val="Header"/>
        <w:jc w:val="center"/>
        <w:rPr>
          <w:rFonts w:ascii="Calibri Light" w:hAnsi="Calibri Light"/>
          <w:lang w:val="es-PE"/>
        </w:rPr>
      </w:pPr>
    </w:p>
    <w:p w14:paraId="221E73E1" w14:textId="77777777" w:rsidR="00226400" w:rsidRDefault="00226400" w:rsidP="007E5678">
      <w:pPr>
        <w:pStyle w:val="Header"/>
        <w:jc w:val="center"/>
        <w:rPr>
          <w:rFonts w:ascii="Calibri Light" w:hAnsi="Calibri Light"/>
          <w:lang w:val="es-PE"/>
        </w:rPr>
      </w:pPr>
    </w:p>
    <w:p w14:paraId="62A9BFBD" w14:textId="6587B458" w:rsidR="007E5678" w:rsidRPr="00411A74" w:rsidRDefault="007E5678" w:rsidP="007E5678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4BBD0C40" w14:textId="3AC3F69A" w:rsidR="001A4C46" w:rsidRDefault="007E5678" w:rsidP="007E5678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3"/>
        <w:gridCol w:w="2397"/>
        <w:gridCol w:w="2515"/>
      </w:tblGrid>
      <w:tr w:rsidR="005173CF" w:rsidRPr="004533E5" w14:paraId="01A2F61A" w14:textId="77777777" w:rsidTr="004C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7E397E55" w:rsidR="005173CF" w:rsidRPr="004533E5" w:rsidRDefault="00DB515E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Masacre de Belén </w:t>
            </w:r>
            <w:r w:rsidR="001E43C9">
              <w:rPr>
                <w:rFonts w:ascii="Calibri Light" w:hAnsi="Calibri Light"/>
              </w:rPr>
              <w:t>Altavista</w:t>
            </w:r>
            <w:r>
              <w:rPr>
                <w:rFonts w:ascii="Calibri Light" w:hAnsi="Calibri Light"/>
              </w:rPr>
              <w:t xml:space="preserve">, </w:t>
            </w:r>
            <w:r w:rsidR="004C4BA2">
              <w:rPr>
                <w:rFonts w:ascii="Calibri Light" w:hAnsi="Calibri Light"/>
              </w:rPr>
              <w:t>Colombia</w:t>
            </w:r>
          </w:p>
        </w:tc>
      </w:tr>
      <w:tr w:rsidR="00F464EC" w:rsidRPr="004533E5" w14:paraId="59A6A8A1" w14:textId="77777777" w:rsidTr="004C4BA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5D093774" w:rsidR="00F464EC" w:rsidRPr="004533E5" w:rsidRDefault="00DB515E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0DA02335" w14:textId="77777777" w:rsidR="00F464EC" w:rsidRDefault="004C4BA2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Abogados Asociados para el Litigio Interamericano</w:t>
            </w:r>
          </w:p>
          <w:p w14:paraId="374B2A68" w14:textId="32437497" w:rsidR="00BF7857" w:rsidRDefault="00BF7857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Centro Jurídico de Derechos Humanos de Antioquía</w:t>
            </w:r>
          </w:p>
        </w:tc>
      </w:tr>
      <w:tr w:rsidR="005173CF" w:rsidRPr="004533E5" w14:paraId="3A483B4F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6AB63345" w:rsidR="005173CF" w:rsidRPr="004533E5" w:rsidRDefault="00B10D8D" w:rsidP="004C4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4C4BA2" w:rsidRPr="004C4BA2">
                <w:rPr>
                  <w:rStyle w:val="Hyperlink"/>
                  <w:rFonts w:ascii="Calibri Light" w:hAnsi="Calibri Light"/>
                </w:rPr>
                <w:t>Informe No. 136/17</w:t>
              </w:r>
            </w:hyperlink>
          </w:p>
        </w:tc>
      </w:tr>
      <w:tr w:rsidR="004533E5" w:rsidRPr="004533E5" w14:paraId="5EC10F5F" w14:textId="77777777" w:rsidTr="004C4BA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62B8F7C0" w:rsidR="005173CF" w:rsidRPr="004533E5" w:rsidRDefault="004C4BA2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015745B2" w:rsidR="005173CF" w:rsidRPr="004533E5" w:rsidRDefault="004C4BA2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 de octubre de 2017</w:t>
            </w:r>
          </w:p>
        </w:tc>
      </w:tr>
      <w:tr w:rsidR="004533E5" w:rsidRPr="004533E5" w14:paraId="1A0D058F" w14:textId="77777777" w:rsidTr="004C4BA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4533E5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</w:tcPr>
          <w:p w14:paraId="72EA1AA4" w14:textId="3632D825" w:rsidR="00AC6F31" w:rsidRPr="004533E5" w:rsidRDefault="004C4BA2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No. 71/09 (</w:t>
            </w:r>
            <w:hyperlink r:id="rId13" w:history="1">
              <w:r w:rsidRPr="00BF7857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4C4BA2" w:rsidRPr="004533E5" w14:paraId="570485B4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3BE4E63A" w:rsidR="004C4BA2" w:rsidRPr="004533E5" w:rsidRDefault="00BF7857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4C4BA2" w:rsidRPr="004533E5" w14:paraId="02274C95" w14:textId="0B04EC5A" w:rsidTr="004C4B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910398A" w14:textId="77777777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60" w:type="dxa"/>
          </w:tcPr>
          <w:p w14:paraId="7E7C5073" w14:textId="422B9114" w:rsidR="004C4BA2" w:rsidRDefault="004C4BA2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acuerdo</w:t>
            </w:r>
          </w:p>
        </w:tc>
        <w:tc>
          <w:tcPr>
            <w:tcW w:w="2583" w:type="dxa"/>
          </w:tcPr>
          <w:p w14:paraId="56EBE9FF" w14:textId="5C2B9688" w:rsidR="004C4BA2" w:rsidRDefault="004C4BA2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acuerdo</w:t>
            </w:r>
          </w:p>
        </w:tc>
      </w:tr>
      <w:tr w:rsidR="004C4BA2" w:rsidRPr="004533E5" w14:paraId="73ED3887" w14:textId="15885575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7152006" w14:textId="77777777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60" w:type="dxa"/>
          </w:tcPr>
          <w:p w14:paraId="007A6E7C" w14:textId="4AC41F84" w:rsidR="004C4BA2" w:rsidRDefault="00FB7259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Art. 4, art. 5, art. 8, art. 25 </w:t>
            </w:r>
          </w:p>
        </w:tc>
        <w:tc>
          <w:tcPr>
            <w:tcW w:w="2583" w:type="dxa"/>
          </w:tcPr>
          <w:p w14:paraId="2A431424" w14:textId="6028C278" w:rsidR="004C4BA2" w:rsidRDefault="003662DF" w:rsidP="0036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5173CF" w:rsidRPr="004533E5" w14:paraId="54B7813B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6B670455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03A6DC44" w14:textId="55D240AB" w:rsidR="00AC6F31" w:rsidRDefault="002B2FD9" w:rsidP="008E7C95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El </w:t>
            </w:r>
            <w:r w:rsidR="008E7C95">
              <w:rPr>
                <w:rFonts w:ascii="Calibri Light" w:hAnsi="Calibri Light"/>
                <w:b w:val="0"/>
              </w:rPr>
              <w:t>caso trata sobre la masacre ocurrida en la terminal de buses del corregimiento de Belén</w:t>
            </w:r>
            <w:r w:rsidR="001E43C9">
              <w:rPr>
                <w:rFonts w:ascii="Calibri Light" w:hAnsi="Calibri Light"/>
                <w:b w:val="0"/>
              </w:rPr>
              <w:t xml:space="preserve"> </w:t>
            </w:r>
            <w:r w:rsidR="008E7C95">
              <w:rPr>
                <w:rFonts w:ascii="Calibri Light" w:hAnsi="Calibri Light"/>
                <w:b w:val="0"/>
              </w:rPr>
              <w:t>Altavista, en Medellín. En esta resultaron heridas 3 personas y otras 16 personas fallecieron. Los hechos fueron atribuidos por los peticionarios a agentes del Estado; sin embargo, el acuerdo de solución amistosa los atribuyó a un “grupo al margen de la ley”. Los avances de las investigaciones penales no fueron sustanciales y no se indemnizó a los familiares de las víctimas.</w:t>
            </w:r>
          </w:p>
          <w:p w14:paraId="1EE5A7E7" w14:textId="5FE2320C" w:rsidR="008E7C95" w:rsidRPr="004533E5" w:rsidRDefault="008E7C95" w:rsidP="008E7C95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4533E5" w14:paraId="238A2196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071C34F8" w:rsidR="00AC6F31" w:rsidRDefault="00AC6F31" w:rsidP="005D4FDF">
            <w:pPr>
              <w:jc w:val="both"/>
              <w:rPr>
                <w:rFonts w:ascii="Calibri Light" w:hAnsi="Calibri Light"/>
                <w:b w:val="0"/>
              </w:rPr>
            </w:pPr>
          </w:p>
          <w:p w14:paraId="424FB694" w14:textId="403E66E0" w:rsidR="00AC6F31" w:rsidRDefault="003662DF" w:rsidP="004C4BA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Integridad personal, Grupos paramilitares, Protección Judicial</w:t>
            </w:r>
            <w:r w:rsidR="00400725">
              <w:rPr>
                <w:rFonts w:ascii="Calibri Light" w:hAnsi="Calibri Light"/>
                <w:b w:val="0"/>
              </w:rPr>
              <w:t xml:space="preserve"> y garantías judiciales</w:t>
            </w:r>
            <w:r>
              <w:rPr>
                <w:rFonts w:ascii="Calibri Light" w:hAnsi="Calibri Light"/>
                <w:b w:val="0"/>
              </w:rPr>
              <w:t>, Vida</w:t>
            </w:r>
          </w:p>
          <w:p w14:paraId="05374712" w14:textId="361AEF00" w:rsidR="003662DF" w:rsidRPr="004533E5" w:rsidRDefault="003662DF" w:rsidP="004C4BA2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69044E7B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6F58DE83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1820EB53" w:rsidR="00AC6F31" w:rsidRDefault="00AC6F3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44437205" w14:textId="0839B245" w:rsidR="00801111" w:rsidRDefault="002B7DF5" w:rsidP="008036E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Entre 1995 y 1996, miembros del Ejército Nacional y de la Policía Nacional realizaban labores de inteligencia en el corregimiento Belén-Altavista</w:t>
            </w:r>
            <w:r w:rsidR="009B28F7">
              <w:rPr>
                <w:rFonts w:ascii="Calibri Light" w:hAnsi="Calibri Light"/>
                <w:b w:val="0"/>
              </w:rPr>
              <w:t xml:space="preserve"> mediante “Brigadas Cívicas”</w:t>
            </w:r>
            <w:r>
              <w:rPr>
                <w:rFonts w:ascii="Calibri Light" w:hAnsi="Calibri Light"/>
                <w:b w:val="0"/>
              </w:rPr>
              <w:t xml:space="preserve">, con el fin de identificar a posibles miembros de grupos subversivos. En ese contexto, el 29 de junio de 1996, diez hombres con armas militares, y chalecos y brazaletes del Cuerpo Técnico de Investigación de la </w:t>
            </w:r>
            <w:r w:rsidR="001E43C9">
              <w:rPr>
                <w:rFonts w:ascii="Calibri Light" w:hAnsi="Calibri Light"/>
                <w:b w:val="0"/>
              </w:rPr>
              <w:t>fiscalía general</w:t>
            </w:r>
            <w:r>
              <w:rPr>
                <w:rFonts w:ascii="Calibri Light" w:hAnsi="Calibri Light"/>
                <w:b w:val="0"/>
              </w:rPr>
              <w:t xml:space="preserve"> de la Nación</w:t>
            </w:r>
            <w:r w:rsidR="00526706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llegaron al terminal de trasportes de la comunidad e hicieron descender a los ocupantes de un bus que se encontraba estacionado. </w:t>
            </w:r>
          </w:p>
          <w:p w14:paraId="64082B6E" w14:textId="77777777" w:rsidR="00801111" w:rsidRDefault="0080111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1F952160" w14:textId="2DA9DB67" w:rsidR="002B7DF5" w:rsidRDefault="00526706" w:rsidP="008036E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Estos fueron interrogados sobre el paradero de miembros de grupos subversivos que residían en la zona y al no </w:t>
            </w:r>
            <w:r w:rsidR="009B28F7">
              <w:rPr>
                <w:rFonts w:ascii="Calibri Light" w:hAnsi="Calibri Light"/>
                <w:b w:val="0"/>
              </w:rPr>
              <w:t xml:space="preserve">responder, abrieron fuego en su contra, </w:t>
            </w:r>
            <w:r w:rsidR="00CC79A1">
              <w:rPr>
                <w:rFonts w:ascii="Calibri Light" w:hAnsi="Calibri Light"/>
                <w:b w:val="0"/>
              </w:rPr>
              <w:t>lo cual tuvo como consecuencia</w:t>
            </w:r>
            <w:r w:rsidR="009B28F7">
              <w:rPr>
                <w:rFonts w:ascii="Calibri Light" w:hAnsi="Calibri Light"/>
                <w:b w:val="0"/>
              </w:rPr>
              <w:t xml:space="preserve"> 16 muertos y 3 heridos. Al momento de retirarse, habrían dejado caer – según los peticionarios- una fotografía tomada meses antes en una de las “Brigadas Cívicas”. </w:t>
            </w:r>
            <w:r w:rsidR="002B2FD9">
              <w:rPr>
                <w:rFonts w:ascii="Calibri Light" w:hAnsi="Calibri Light"/>
                <w:b w:val="0"/>
              </w:rPr>
              <w:t>No hubo</w:t>
            </w:r>
            <w:r w:rsidR="00801111">
              <w:rPr>
                <w:rFonts w:ascii="Calibri Light" w:hAnsi="Calibri Light"/>
                <w:b w:val="0"/>
              </w:rPr>
              <w:t xml:space="preserve"> avances sustantivos en las investigaciones</w:t>
            </w:r>
            <w:r w:rsidR="002B2FD9">
              <w:rPr>
                <w:rFonts w:ascii="Calibri Light" w:hAnsi="Calibri Light"/>
                <w:b w:val="0"/>
              </w:rPr>
              <w:t xml:space="preserve"> penales</w:t>
            </w:r>
            <w:r w:rsidR="00801111">
              <w:rPr>
                <w:rFonts w:ascii="Calibri Light" w:hAnsi="Calibri Light"/>
                <w:b w:val="0"/>
              </w:rPr>
              <w:t>, la investigación discipli</w:t>
            </w:r>
            <w:r w:rsidR="00CC79A1">
              <w:rPr>
                <w:rFonts w:ascii="Calibri Light" w:hAnsi="Calibri Light"/>
                <w:b w:val="0"/>
              </w:rPr>
              <w:t>naria fue archivada en 200</w:t>
            </w:r>
            <w:r w:rsidR="002B2FD9">
              <w:rPr>
                <w:rFonts w:ascii="Calibri Light" w:hAnsi="Calibri Light"/>
                <w:b w:val="0"/>
              </w:rPr>
              <w:t>1 y en</w:t>
            </w:r>
            <w:r w:rsidR="00801111">
              <w:rPr>
                <w:rFonts w:ascii="Calibri Light" w:hAnsi="Calibri Light"/>
                <w:b w:val="0"/>
              </w:rPr>
              <w:t xml:space="preserve"> 2006, se desestimó la acción de reparación directa </w:t>
            </w:r>
            <w:r w:rsidR="002B2FD9">
              <w:rPr>
                <w:rFonts w:ascii="Calibri Light" w:hAnsi="Calibri Light"/>
                <w:b w:val="0"/>
              </w:rPr>
              <w:t xml:space="preserve">interpuesta por algunos de los familiares de las víctimas </w:t>
            </w:r>
            <w:r w:rsidR="00801111">
              <w:rPr>
                <w:rFonts w:ascii="Calibri Light" w:hAnsi="Calibri Light"/>
                <w:b w:val="0"/>
              </w:rPr>
              <w:t xml:space="preserve">para obtener una indemnización.  </w:t>
            </w:r>
          </w:p>
          <w:p w14:paraId="4977E88B" w14:textId="77777777" w:rsidR="002B7DF5" w:rsidRDefault="002B7DF5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3E2DF296" w14:textId="06B68836" w:rsidR="00AC6F31" w:rsidRDefault="004C4BA2" w:rsidP="004C4BA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Frente a tales hechos, el 11 de agosto de 2006, Abogados Asociados para el Litigio Interamericano presentaron una petición ante la CIDH, denunciando que el Estado de Colombia había vulnerados los derechos a la vida, a la integridad personal, a las garantías judiciales, a la protección de la honra y la dignidad</w:t>
            </w:r>
            <w:r w:rsidR="002B2FD9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y a la protección de judicial, reconocidos en la Convención Americana sobre Derechos Humanos (en adelante, CADH). </w:t>
            </w:r>
          </w:p>
          <w:p w14:paraId="6543A68A" w14:textId="5DBD1093" w:rsidR="00801111" w:rsidRPr="004533E5" w:rsidRDefault="00801111" w:rsidP="004C4BA2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F55CD0" w:rsidRPr="004533E5" w14:paraId="75AF89E9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6C55708E" w:rsidR="00F55CD0" w:rsidRPr="004C4BA2" w:rsidRDefault="00A4435A" w:rsidP="004C4B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C4BA2">
              <w:rPr>
                <w:rFonts w:ascii="Calibri Light" w:hAnsi="Calibri Light"/>
              </w:rPr>
              <w:t xml:space="preserve">Acuerdo de </w:t>
            </w:r>
            <w:r w:rsidR="00220B75" w:rsidRPr="004C4BA2">
              <w:rPr>
                <w:rFonts w:ascii="Calibri Light" w:hAnsi="Calibri Light"/>
              </w:rPr>
              <w:t>Solución</w:t>
            </w:r>
            <w:r w:rsidR="004C4BA2">
              <w:rPr>
                <w:rFonts w:ascii="Calibri Light" w:hAnsi="Calibri Light"/>
              </w:rPr>
              <w:t xml:space="preserve"> Amistosa</w:t>
            </w:r>
            <w:r w:rsidR="00B10D8D">
              <w:rPr>
                <w:rFonts w:ascii="Calibri Light" w:hAnsi="Calibri Light"/>
              </w:rPr>
              <w:t xml:space="preserve"> (ASA)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4533E5" w14:paraId="4D321633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5B1732DE" w:rsidR="00AC6F31" w:rsidRDefault="00AC6F31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14476513" w14:textId="6D37B824" w:rsidR="00BF7857" w:rsidRDefault="00BF7857" w:rsidP="00BF785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 suscrito por las partes el 17 de marzo de 2017, estas manifestaron lo siguiente:</w:t>
            </w:r>
          </w:p>
          <w:p w14:paraId="26F6D1BE" w14:textId="77777777" w:rsidR="006407DD" w:rsidRDefault="006407DD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72AD0E02" w14:textId="5EE7A973" w:rsidR="004877FE" w:rsidRDefault="004877FE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Los hechos ocurridos </w:t>
            </w:r>
            <w:r w:rsidR="003662DF">
              <w:rPr>
                <w:rFonts w:ascii="Calibri Light" w:hAnsi="Calibri Light"/>
                <w:b w:val="0"/>
              </w:rPr>
              <w:t xml:space="preserve">el 29 de junio de 1996 en el Corregimiento de Belén Altavista en la ciudad de Medellín fueron cometidos por un grupo al margen de la ley. </w:t>
            </w:r>
          </w:p>
          <w:p w14:paraId="785C96DC" w14:textId="77777777" w:rsidR="003662DF" w:rsidRDefault="003662DF" w:rsidP="003662DF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60DC916E" w14:textId="467A5BBA" w:rsidR="00BF7857" w:rsidRP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 w:rsidRPr="00FB7259">
              <w:rPr>
                <w:rFonts w:ascii="Calibri Light" w:hAnsi="Calibri Light"/>
                <w:b w:val="0"/>
              </w:rPr>
              <w:t xml:space="preserve">El Estado reconoció su responsabilidad internacional por omitir garantizar el derecho a la vida (artículo 4) de </w:t>
            </w:r>
            <w:r w:rsidR="003662DF">
              <w:rPr>
                <w:rFonts w:ascii="Calibri Light" w:hAnsi="Calibri Light"/>
                <w:b w:val="0"/>
              </w:rPr>
              <w:t>las 16 personas que resultaron muertas</w:t>
            </w:r>
            <w:r w:rsidRPr="00FB7259">
              <w:rPr>
                <w:rFonts w:ascii="Calibri Light" w:hAnsi="Calibri Light"/>
                <w:b w:val="0"/>
              </w:rPr>
              <w:t xml:space="preserve"> y el derecho a la integridad personal (artículo 5) de </w:t>
            </w:r>
            <w:r w:rsidR="003662DF">
              <w:rPr>
                <w:rFonts w:ascii="Calibri Light" w:hAnsi="Calibri Light"/>
                <w:b w:val="0"/>
              </w:rPr>
              <w:t xml:space="preserve">las </w:t>
            </w:r>
            <w:r w:rsidRPr="00FB7259">
              <w:rPr>
                <w:rFonts w:ascii="Calibri Light" w:hAnsi="Calibri Light"/>
                <w:b w:val="0"/>
              </w:rPr>
              <w:t>3 persona</w:t>
            </w:r>
            <w:r>
              <w:rPr>
                <w:rFonts w:ascii="Calibri Light" w:hAnsi="Calibri Light"/>
                <w:b w:val="0"/>
              </w:rPr>
              <w:t>s</w:t>
            </w:r>
            <w:r w:rsidR="003662DF">
              <w:rPr>
                <w:rFonts w:ascii="Calibri Light" w:hAnsi="Calibri Light"/>
                <w:b w:val="0"/>
              </w:rPr>
              <w:t xml:space="preserve"> que resultaron heridas</w:t>
            </w:r>
            <w:r w:rsidRPr="00FB7259">
              <w:rPr>
                <w:rFonts w:ascii="Calibri Light" w:hAnsi="Calibri Light"/>
                <w:b w:val="0"/>
              </w:rPr>
              <w:t xml:space="preserve">. </w:t>
            </w:r>
          </w:p>
          <w:p w14:paraId="6CD24636" w14:textId="77777777" w:rsidR="00FB7259" w:rsidRPr="00FB7259" w:rsidRDefault="00FB7259" w:rsidP="007B2654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21F5C6A4" w14:textId="5256118D" w:rsid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 w:rsidRPr="00FB7259">
              <w:rPr>
                <w:rFonts w:ascii="Calibri Light" w:hAnsi="Calibri Light"/>
                <w:b w:val="0"/>
              </w:rPr>
              <w:t xml:space="preserve">También reconoció su responsabilidad por las violaciones </w:t>
            </w:r>
            <w:r>
              <w:rPr>
                <w:rFonts w:ascii="Calibri Light" w:hAnsi="Calibri Light"/>
                <w:b w:val="0"/>
              </w:rPr>
              <w:t>a</w:t>
            </w:r>
            <w:r w:rsidRPr="00FB7259">
              <w:rPr>
                <w:rFonts w:ascii="Calibri Light" w:hAnsi="Calibri Light"/>
                <w:b w:val="0"/>
              </w:rPr>
              <w:t xml:space="preserve"> los derechos a la integridad personal (artículo 5), </w:t>
            </w:r>
            <w:r>
              <w:rPr>
                <w:rFonts w:ascii="Calibri Light" w:hAnsi="Calibri Light"/>
                <w:b w:val="0"/>
              </w:rPr>
              <w:t xml:space="preserve">a las </w:t>
            </w:r>
            <w:r w:rsidRPr="00FB7259">
              <w:rPr>
                <w:rFonts w:ascii="Calibri Light" w:hAnsi="Calibri Light"/>
                <w:b w:val="0"/>
              </w:rPr>
              <w:t xml:space="preserve">garantías judiciales (artículo 8) y </w:t>
            </w:r>
            <w:r>
              <w:rPr>
                <w:rFonts w:ascii="Calibri Light" w:hAnsi="Calibri Light"/>
                <w:b w:val="0"/>
              </w:rPr>
              <w:t xml:space="preserve">a la </w:t>
            </w:r>
            <w:r w:rsidRPr="00FB7259">
              <w:rPr>
                <w:rFonts w:ascii="Calibri Light" w:hAnsi="Calibri Light"/>
                <w:b w:val="0"/>
              </w:rPr>
              <w:t xml:space="preserve">protección judicial (artículo 25) de los familiares de las víctimas. </w:t>
            </w:r>
          </w:p>
          <w:p w14:paraId="630B857D" w14:textId="77777777" w:rsidR="00FB7259" w:rsidRPr="00FB7259" w:rsidRDefault="00FB7259" w:rsidP="007B2654">
            <w:pPr>
              <w:pStyle w:val="ListParagraph"/>
              <w:ind w:left="0"/>
              <w:rPr>
                <w:rFonts w:ascii="Calibri Light" w:hAnsi="Calibri Light"/>
              </w:rPr>
            </w:pPr>
          </w:p>
          <w:p w14:paraId="4AEC371F" w14:textId="54E06569" w:rsid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Asimismo, se comprometió a adoptar las siguientes medidas de reparación: </w:t>
            </w:r>
          </w:p>
          <w:p w14:paraId="240747F7" w14:textId="77777777" w:rsidR="00FB7259" w:rsidRPr="00FB7259" w:rsidRDefault="00FB7259" w:rsidP="00FB7259">
            <w:pPr>
              <w:pStyle w:val="ListParagraph"/>
              <w:rPr>
                <w:rFonts w:ascii="Calibri Light" w:hAnsi="Calibri Light"/>
              </w:rPr>
            </w:pPr>
          </w:p>
          <w:p w14:paraId="3F9F3DEB" w14:textId="038F8048" w:rsidR="00FB7259" w:rsidRDefault="007B2654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</w:t>
            </w:r>
            <w:r w:rsidR="00FB7259">
              <w:rPr>
                <w:rFonts w:ascii="Calibri Light" w:hAnsi="Calibri Light"/>
                <w:b w:val="0"/>
              </w:rPr>
              <w:t xml:space="preserve">a </w:t>
            </w:r>
            <w:r w:rsidR="001E43C9">
              <w:rPr>
                <w:rFonts w:ascii="Calibri Light" w:hAnsi="Calibri Light"/>
                <w:b w:val="0"/>
              </w:rPr>
              <w:t>fiscalía general</w:t>
            </w:r>
            <w:r w:rsidR="00241775">
              <w:rPr>
                <w:rFonts w:ascii="Calibri Light" w:hAnsi="Calibri Light"/>
                <w:b w:val="0"/>
              </w:rPr>
              <w:t xml:space="preserve"> de la Nación </w:t>
            </w:r>
            <w:r>
              <w:rPr>
                <w:rFonts w:ascii="Calibri Light" w:hAnsi="Calibri Light"/>
                <w:b w:val="0"/>
              </w:rPr>
              <w:t xml:space="preserve">debe cumplir con sus funciones constitucionales y legales respecto del </w:t>
            </w:r>
            <w:r w:rsidR="00FB7259">
              <w:rPr>
                <w:rFonts w:ascii="Calibri Light" w:hAnsi="Calibri Light"/>
                <w:b w:val="0"/>
              </w:rPr>
              <w:t xml:space="preserve">caso en cuestión. Los avances </w:t>
            </w:r>
            <w:r w:rsidR="00241775">
              <w:rPr>
                <w:rFonts w:ascii="Calibri Light" w:hAnsi="Calibri Light"/>
                <w:b w:val="0"/>
              </w:rPr>
              <w:t xml:space="preserve">de esta medida serán analizados </w:t>
            </w:r>
            <w:r w:rsidR="001E43C9">
              <w:rPr>
                <w:rFonts w:ascii="Calibri Light" w:hAnsi="Calibri Light"/>
                <w:b w:val="0"/>
              </w:rPr>
              <w:t>en una</w:t>
            </w:r>
            <w:r w:rsidR="00241775">
              <w:rPr>
                <w:rFonts w:ascii="Calibri Light" w:hAnsi="Calibri Light"/>
                <w:b w:val="0"/>
              </w:rPr>
              <w:t xml:space="preserve"> reunión semestral con los representantes. </w:t>
            </w:r>
          </w:p>
          <w:p w14:paraId="1864BEA3" w14:textId="6A1E6DAE" w:rsidR="00241775" w:rsidRDefault="00241775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Realizar un acto de reconocimiento de responsabilidad privado, haciendo entrega de una carta de disculpas a cada grupo familiar, y construir una placa conmemorativa de los hechos. La Consejería Presidencial para los Derechos Humanos brindará el apoyo logístico y técnico para ambas medidas. </w:t>
            </w:r>
          </w:p>
          <w:p w14:paraId="1866F558" w14:textId="118A981E" w:rsidR="007B2654" w:rsidRPr="001D0498" w:rsidRDefault="007B2654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1D0498">
              <w:rPr>
                <w:rFonts w:ascii="Calibri Light" w:hAnsi="Calibri Light"/>
                <w:b w:val="0"/>
              </w:rPr>
              <w:t xml:space="preserve">Aplicar la Ley 288 de 1996 </w:t>
            </w:r>
            <w:r w:rsidR="001E43C9" w:rsidRPr="001D0498">
              <w:rPr>
                <w:rFonts w:ascii="Calibri Light" w:hAnsi="Calibri Light"/>
                <w:b w:val="0"/>
              </w:rPr>
              <w:t>para reparar</w:t>
            </w:r>
            <w:r w:rsidRPr="001D0498">
              <w:rPr>
                <w:rFonts w:ascii="Calibri Light" w:hAnsi="Calibri Light"/>
                <w:b w:val="0"/>
              </w:rPr>
              <w:t xml:space="preserve"> los perjuicios</w:t>
            </w:r>
            <w:r>
              <w:rPr>
                <w:rFonts w:ascii="Calibri Light" w:hAnsi="Calibri Light"/>
                <w:b w:val="0"/>
              </w:rPr>
              <w:t xml:space="preserve"> materiales e</w:t>
            </w:r>
            <w:r w:rsidRPr="001D0498">
              <w:rPr>
                <w:rFonts w:ascii="Calibri Light" w:hAnsi="Calibri Light"/>
                <w:b w:val="0"/>
              </w:rPr>
              <w:t xml:space="preserve"> inmateriales que se prueben que aún no hayan sido indemnizados por la jurisdicción </w:t>
            </w:r>
            <w:r w:rsidR="00B10D8D" w:rsidRPr="001D0498">
              <w:rPr>
                <w:rFonts w:ascii="Calibri Light" w:hAnsi="Calibri Light"/>
                <w:b w:val="0"/>
              </w:rPr>
              <w:t>contencioso-administrativa</w:t>
            </w:r>
            <w:r w:rsidRPr="001D0498">
              <w:rPr>
                <w:rFonts w:ascii="Calibri Light" w:hAnsi="Calibri Light"/>
                <w:b w:val="0"/>
              </w:rPr>
              <w:t xml:space="preserve">. </w:t>
            </w:r>
          </w:p>
          <w:p w14:paraId="6A4AA894" w14:textId="34F23777" w:rsidR="00676230" w:rsidRPr="004533E5" w:rsidRDefault="00676230" w:rsidP="004F061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7B81A2F3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31306D73" w:rsidR="005173CF" w:rsidRDefault="004C4BA2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</w:t>
            </w:r>
            <w:r w:rsidR="003E6AB8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de compatibilidad y cumplimiento </w:t>
            </w:r>
          </w:p>
          <w:p w14:paraId="158A739A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71AB3B44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03366B3" w:rsidR="00AC6F31" w:rsidRDefault="00AC6F31" w:rsidP="004877FE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06260513" w14:textId="372E780D" w:rsidR="007B2654" w:rsidRDefault="007B2654" w:rsidP="004877FE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 partir de la información suministrada por las partes, la CIDH determinó:</w:t>
            </w:r>
          </w:p>
          <w:p w14:paraId="21605B09" w14:textId="77777777" w:rsidR="00D51FBF" w:rsidRDefault="00D51FBF" w:rsidP="004877FE">
            <w:pPr>
              <w:jc w:val="both"/>
              <w:rPr>
                <w:rFonts w:ascii="Calibri Light" w:hAnsi="Calibri Light"/>
                <w:b w:val="0"/>
              </w:rPr>
            </w:pPr>
          </w:p>
          <w:p w14:paraId="08912950" w14:textId="5E5C3334" w:rsidR="00D51FBF" w:rsidRPr="004877FE" w:rsidRDefault="00D51FBF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Aprobar los términos del acuerdo suscrito por las partes el 17 de marzo de 2017. </w:t>
            </w:r>
          </w:p>
          <w:p w14:paraId="5CF32016" w14:textId="4C5232E0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>Declarar que el Estado dio cumplimiento total a la medida de reparación referida a la realización de un acto de reconocimiento de responsabilidad</w:t>
            </w:r>
            <w:r w:rsidR="003662DF">
              <w:rPr>
                <w:rFonts w:ascii="Calibri Light" w:hAnsi="Calibri Light"/>
                <w:b w:val="0"/>
              </w:rPr>
              <w:t xml:space="preserve"> y la entrega de cartas de disculpa</w:t>
            </w:r>
            <w:r w:rsidR="002B2FD9">
              <w:rPr>
                <w:rFonts w:ascii="Calibri Light" w:hAnsi="Calibri Light"/>
                <w:b w:val="0"/>
              </w:rPr>
              <w:t xml:space="preserve"> a cada grupo familiar</w:t>
            </w:r>
            <w:r w:rsidRPr="004877FE">
              <w:rPr>
                <w:rFonts w:ascii="Calibri Light" w:hAnsi="Calibri Light"/>
                <w:b w:val="0"/>
              </w:rPr>
              <w:t xml:space="preserve">. </w:t>
            </w:r>
          </w:p>
          <w:p w14:paraId="4CC54968" w14:textId="77777777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Declarar que el Estado dio cumplimiento parcial a las medidas de reparación relacionadas a la construcción de una placa conmemorativa y la asistencia de la Consejería Presidencial para los Derechos Humanos. </w:t>
            </w:r>
          </w:p>
          <w:p w14:paraId="37D7E32F" w14:textId="1164C725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Declarar pendientes de cumplimiento el resto de </w:t>
            </w:r>
            <w:r w:rsidR="001E43C9" w:rsidRPr="004877FE">
              <w:rPr>
                <w:rFonts w:ascii="Calibri Light" w:hAnsi="Calibri Light"/>
                <w:b w:val="0"/>
              </w:rPr>
              <w:t>las medidas</w:t>
            </w:r>
            <w:r w:rsidRPr="004877FE">
              <w:rPr>
                <w:rFonts w:ascii="Calibri Light" w:hAnsi="Calibri Light"/>
                <w:b w:val="0"/>
              </w:rPr>
              <w:t xml:space="preserve"> de reparación. </w:t>
            </w:r>
          </w:p>
          <w:p w14:paraId="70E3630F" w14:textId="27868AEB" w:rsidR="00D51FBF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Continuar con la </w:t>
            </w:r>
            <w:r w:rsidR="001E43C9" w:rsidRPr="004877FE">
              <w:rPr>
                <w:rFonts w:ascii="Calibri Light" w:hAnsi="Calibri Light"/>
                <w:b w:val="0"/>
              </w:rPr>
              <w:t>supervisión de</w:t>
            </w:r>
            <w:r>
              <w:rPr>
                <w:rFonts w:ascii="Calibri Light" w:hAnsi="Calibri Light"/>
                <w:b w:val="0"/>
              </w:rPr>
              <w:t xml:space="preserve"> los compromisos pendientes por parte del Estado, recordando al Estado su compromiso de informar periódicamente sobre el cumplimiento de las medidas e instando a las partes elaborar en un plazo de 6 meses, un cronograma de ejecución de los puntos pendientes de cumplimiento. </w:t>
            </w:r>
          </w:p>
          <w:p w14:paraId="5AA471B6" w14:textId="2161D319" w:rsidR="00AC6F31" w:rsidRPr="008036E7" w:rsidRDefault="00AC6F31" w:rsidP="004877FE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1E43C9" w:rsidRPr="004533E5" w14:paraId="441E8EF3" w14:textId="77777777" w:rsidTr="001E43C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3ADE8DDC" w14:textId="77777777" w:rsidR="00E852C6" w:rsidRDefault="00E852C6" w:rsidP="004877FE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bCs w:val="0"/>
                <w:highlight w:val="cyan"/>
              </w:rPr>
            </w:pPr>
          </w:p>
          <w:p w14:paraId="4618099A" w14:textId="77777777" w:rsidR="00B10D8D" w:rsidRPr="009E10DB" w:rsidRDefault="00B10D8D" w:rsidP="00B10D8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  <w:bCs w:val="0"/>
              </w:rPr>
            </w:pPr>
            <w:r w:rsidRPr="009E10DB">
              <w:rPr>
                <w:rFonts w:ascii="Calibri Light" w:hAnsi="Calibri Light"/>
                <w:bCs w:val="0"/>
              </w:rPr>
              <w:t>Impactos individuales y estructurales del ASA</w:t>
            </w:r>
          </w:p>
          <w:p w14:paraId="6E0EAD63" w14:textId="50D99438" w:rsidR="001E43C9" w:rsidRPr="00E852C6" w:rsidRDefault="001E43C9" w:rsidP="00B10D8D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1E43C9" w:rsidRPr="004533E5" w14:paraId="6C28F224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0CBA79" w14:textId="5AEF526B" w:rsidR="001E43C9" w:rsidRPr="00B10D8D" w:rsidRDefault="00712981" w:rsidP="00712981">
            <w:pPr>
              <w:jc w:val="both"/>
              <w:rPr>
                <w:rFonts w:ascii="Calibri Light" w:hAnsi="Calibri Light"/>
              </w:rPr>
            </w:pPr>
            <w:r w:rsidRPr="00B10D8D">
              <w:rPr>
                <w:rFonts w:ascii="Calibri Light" w:hAnsi="Calibri Light"/>
                <w:b w:val="0"/>
                <w:bCs w:val="0"/>
              </w:rPr>
              <w:t>En el marco del seguimiento de la implementación del acuerdo de solución amistosa, a fecha 31 de diciembre de 2021, la Comisión ha identificado los siguientes impactos individuales y estructurales derivados del cumplimiento de este:</w:t>
            </w:r>
          </w:p>
          <w:p w14:paraId="2A39C60A" w14:textId="056F3F15" w:rsidR="00980224" w:rsidRPr="00B10D8D" w:rsidRDefault="00980224" w:rsidP="00712981">
            <w:pPr>
              <w:jc w:val="both"/>
              <w:rPr>
                <w:rFonts w:ascii="Calibri Light" w:hAnsi="Calibri Light"/>
              </w:rPr>
            </w:pPr>
          </w:p>
          <w:p w14:paraId="69D1FEFE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</w:rPr>
            </w:pPr>
            <w:r w:rsidRPr="00B10D8D">
              <w:rPr>
                <w:rFonts w:ascii="Calibri Light" w:hAnsi="Calibri Light"/>
              </w:rPr>
              <w:t>A.</w:t>
            </w:r>
            <w:r w:rsidRPr="00B10D8D">
              <w:rPr>
                <w:rFonts w:ascii="Calibri Light" w:hAnsi="Calibri Light"/>
              </w:rPr>
              <w:tab/>
              <w:t>Resultados individuales del caso</w:t>
            </w:r>
          </w:p>
          <w:p w14:paraId="3830446B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</w:p>
          <w:p w14:paraId="2EBD9729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  <w:r w:rsidRPr="00B10D8D">
              <w:rPr>
                <w:rFonts w:ascii="Calibri Light" w:hAnsi="Calibri Light"/>
                <w:b w:val="0"/>
                <w:bCs w:val="0"/>
              </w:rPr>
              <w:t>•</w:t>
            </w:r>
            <w:r w:rsidRPr="00B10D8D">
              <w:rPr>
                <w:rFonts w:ascii="Calibri Light" w:hAnsi="Calibri Light"/>
                <w:b w:val="0"/>
                <w:bCs w:val="0"/>
              </w:rPr>
              <w:tab/>
              <w:t>El Estado realizó el acto de reconocimiento de responsabilidad.</w:t>
            </w:r>
          </w:p>
          <w:p w14:paraId="3A5CD504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</w:p>
          <w:p w14:paraId="1664BB1E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  <w:r w:rsidRPr="00B10D8D">
              <w:rPr>
                <w:rFonts w:ascii="Calibri Light" w:hAnsi="Calibri Light"/>
                <w:b w:val="0"/>
                <w:bCs w:val="0"/>
              </w:rPr>
              <w:t> </w:t>
            </w:r>
          </w:p>
          <w:p w14:paraId="316B3E5F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</w:rPr>
            </w:pPr>
            <w:r w:rsidRPr="00B10D8D">
              <w:rPr>
                <w:rFonts w:ascii="Calibri Light" w:hAnsi="Calibri Light"/>
              </w:rPr>
              <w:t>B.</w:t>
            </w:r>
            <w:r w:rsidRPr="00B10D8D">
              <w:rPr>
                <w:rFonts w:ascii="Calibri Light" w:hAnsi="Calibri Light"/>
              </w:rPr>
              <w:tab/>
              <w:t>Resultados estructurales del caso</w:t>
            </w:r>
          </w:p>
          <w:p w14:paraId="7A449F7F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</w:p>
          <w:p w14:paraId="35A7B4F0" w14:textId="77777777" w:rsidR="00980224" w:rsidRPr="00B10D8D" w:rsidRDefault="00980224" w:rsidP="00980224">
            <w:pPr>
              <w:ind w:left="705" w:firstLine="720"/>
              <w:jc w:val="both"/>
              <w:rPr>
                <w:rFonts w:ascii="Calibri Light" w:hAnsi="Calibri Light"/>
                <w:b w:val="0"/>
                <w:bCs w:val="0"/>
              </w:rPr>
            </w:pPr>
            <w:r w:rsidRPr="00B10D8D">
              <w:rPr>
                <w:rFonts w:ascii="Calibri Light" w:hAnsi="Calibri Light"/>
                <w:b w:val="0"/>
                <w:bCs w:val="0"/>
              </w:rPr>
              <w:t>•</w:t>
            </w:r>
            <w:r w:rsidRPr="00B10D8D">
              <w:rPr>
                <w:rFonts w:ascii="Calibri Light" w:hAnsi="Calibri Light"/>
                <w:b w:val="0"/>
                <w:bCs w:val="0"/>
              </w:rPr>
              <w:tab/>
              <w:t xml:space="preserve">El Estado elaboró e instaló una placa conmemorativa de los hechos. </w:t>
            </w:r>
          </w:p>
          <w:p w14:paraId="6D82D6D4" w14:textId="77777777" w:rsidR="00E852C6" w:rsidRPr="00B10D8D" w:rsidRDefault="00E852C6" w:rsidP="00712981">
            <w:pPr>
              <w:jc w:val="both"/>
              <w:rPr>
                <w:rFonts w:ascii="Calibri Light" w:hAnsi="Calibri Light"/>
              </w:rPr>
            </w:pPr>
          </w:p>
          <w:p w14:paraId="47D30455" w14:textId="77777777" w:rsidR="00E852C6" w:rsidRPr="00B10D8D" w:rsidRDefault="0003180F" w:rsidP="00712981">
            <w:pPr>
              <w:jc w:val="both"/>
              <w:rPr>
                <w:rFonts w:ascii="Calibri Light" w:hAnsi="Calibri Light"/>
              </w:rPr>
            </w:pPr>
            <w:r w:rsidRPr="00B10D8D">
              <w:rPr>
                <w:rFonts w:ascii="Calibri Light" w:hAnsi="Calibri Light"/>
                <w:b w:val="0"/>
                <w:bCs w:val="0"/>
              </w:rPr>
              <w:t xml:space="preserve">La CIDH concluye que el acuerdo de solución amistosa se encuentra parcialmente cumplido </w:t>
            </w:r>
            <w:r w:rsidR="00714C68" w:rsidRPr="00B10D8D">
              <w:rPr>
                <w:rFonts w:ascii="Calibri Light" w:hAnsi="Calibri Light"/>
                <w:b w:val="0"/>
                <w:bCs w:val="0"/>
              </w:rPr>
              <w:t xml:space="preserve">por lo que </w:t>
            </w:r>
            <w:r w:rsidRPr="00B10D8D">
              <w:rPr>
                <w:rFonts w:ascii="Calibri Light" w:hAnsi="Calibri Light"/>
                <w:b w:val="0"/>
                <w:bCs w:val="0"/>
              </w:rPr>
              <w:t>continuar</w:t>
            </w:r>
            <w:r w:rsidR="00714C68" w:rsidRPr="00B10D8D">
              <w:rPr>
                <w:rFonts w:ascii="Calibri Light" w:hAnsi="Calibri Light"/>
                <w:b w:val="0"/>
                <w:bCs w:val="0"/>
              </w:rPr>
              <w:t>á</w:t>
            </w:r>
            <w:r w:rsidRPr="00B10D8D">
              <w:rPr>
                <w:rFonts w:ascii="Calibri Light" w:hAnsi="Calibri Light"/>
                <w:b w:val="0"/>
                <w:bCs w:val="0"/>
              </w:rPr>
              <w:t xml:space="preserve"> </w:t>
            </w:r>
            <w:r w:rsidR="00714C68" w:rsidRPr="00B10D8D">
              <w:rPr>
                <w:rFonts w:ascii="Calibri Light" w:hAnsi="Calibri Light"/>
                <w:b w:val="0"/>
                <w:bCs w:val="0"/>
              </w:rPr>
              <w:t xml:space="preserve">realizando el seguimiento </w:t>
            </w:r>
            <w:r w:rsidRPr="00B10D8D">
              <w:rPr>
                <w:rFonts w:ascii="Calibri Light" w:hAnsi="Calibri Light"/>
                <w:b w:val="0"/>
                <w:bCs w:val="0"/>
              </w:rPr>
              <w:t>sobre</w:t>
            </w:r>
            <w:r w:rsidR="00714C68" w:rsidRPr="00B10D8D">
              <w:rPr>
                <w:rFonts w:ascii="Calibri Light" w:hAnsi="Calibri Light"/>
                <w:b w:val="0"/>
                <w:bCs w:val="0"/>
              </w:rPr>
              <w:t xml:space="preserve"> la implementación de</w:t>
            </w:r>
            <w:r w:rsidRPr="00B10D8D">
              <w:rPr>
                <w:rFonts w:ascii="Calibri Light" w:hAnsi="Calibri Light"/>
                <w:b w:val="0"/>
                <w:bCs w:val="0"/>
              </w:rPr>
              <w:t xml:space="preserve"> las cláusulas segunda y cuarta del acuerdo de solución amistosa</w:t>
            </w:r>
            <w:r w:rsidR="00714C68" w:rsidRPr="00B10D8D">
              <w:rPr>
                <w:rFonts w:ascii="Calibri Light" w:hAnsi="Calibri Light"/>
                <w:b w:val="0"/>
                <w:bCs w:val="0"/>
              </w:rPr>
              <w:t xml:space="preserve"> hasta su cumplimiento total.</w:t>
            </w:r>
          </w:p>
          <w:p w14:paraId="4710D785" w14:textId="6AD350E3" w:rsidR="00050E47" w:rsidRPr="00B10D8D" w:rsidRDefault="00050E47" w:rsidP="00712981">
            <w:pPr>
              <w:jc w:val="both"/>
              <w:rPr>
                <w:rFonts w:ascii="Calibri Light" w:hAnsi="Calibri Light"/>
                <w:b w:val="0"/>
                <w:bCs w:val="0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97BE" w14:textId="77777777" w:rsidR="00C7493B" w:rsidRDefault="00C7493B" w:rsidP="00A65231">
      <w:pPr>
        <w:spacing w:after="0" w:line="240" w:lineRule="auto"/>
      </w:pPr>
      <w:r>
        <w:separator/>
      </w:r>
    </w:p>
  </w:endnote>
  <w:endnote w:type="continuationSeparator" w:id="0">
    <w:p w14:paraId="37DFFE69" w14:textId="77777777" w:rsidR="00C7493B" w:rsidRDefault="00C7493B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D4" w:rsidRPr="004347D4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CA9E" w14:textId="77777777" w:rsidR="00C7493B" w:rsidRDefault="00C7493B" w:rsidP="00A65231">
      <w:pPr>
        <w:spacing w:after="0" w:line="240" w:lineRule="auto"/>
      </w:pPr>
      <w:r>
        <w:separator/>
      </w:r>
    </w:p>
  </w:footnote>
  <w:footnote w:type="continuationSeparator" w:id="0">
    <w:p w14:paraId="2B793E79" w14:textId="77777777" w:rsidR="00C7493B" w:rsidRDefault="00C7493B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26A"/>
    <w:multiLevelType w:val="hybridMultilevel"/>
    <w:tmpl w:val="B86EC1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8B40A838"/>
    <w:lvl w:ilvl="0" w:tplc="1214EF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1456F"/>
    <w:multiLevelType w:val="hybridMultilevel"/>
    <w:tmpl w:val="DE342F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E451E"/>
    <w:multiLevelType w:val="hybridMultilevel"/>
    <w:tmpl w:val="A9500F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1789"/>
    <w:multiLevelType w:val="hybridMultilevel"/>
    <w:tmpl w:val="0C22E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96EEC"/>
    <w:multiLevelType w:val="hybridMultilevel"/>
    <w:tmpl w:val="485EB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4256"/>
    <w:multiLevelType w:val="hybridMultilevel"/>
    <w:tmpl w:val="AC54C0A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392335">
    <w:abstractNumId w:val="8"/>
  </w:num>
  <w:num w:numId="2" w16cid:durableId="1051810886">
    <w:abstractNumId w:val="3"/>
  </w:num>
  <w:num w:numId="3" w16cid:durableId="2044164458">
    <w:abstractNumId w:val="1"/>
  </w:num>
  <w:num w:numId="4" w16cid:durableId="1567378472">
    <w:abstractNumId w:val="4"/>
  </w:num>
  <w:num w:numId="5" w16cid:durableId="78478695">
    <w:abstractNumId w:val="7"/>
  </w:num>
  <w:num w:numId="6" w16cid:durableId="555044012">
    <w:abstractNumId w:val="10"/>
  </w:num>
  <w:num w:numId="7" w16cid:durableId="1529761308">
    <w:abstractNumId w:val="11"/>
  </w:num>
  <w:num w:numId="8" w16cid:durableId="1328748104">
    <w:abstractNumId w:val="0"/>
  </w:num>
  <w:num w:numId="9" w16cid:durableId="16515545">
    <w:abstractNumId w:val="9"/>
  </w:num>
  <w:num w:numId="10" w16cid:durableId="649672018">
    <w:abstractNumId w:val="2"/>
  </w:num>
  <w:num w:numId="11" w16cid:durableId="946692806">
    <w:abstractNumId w:val="5"/>
  </w:num>
  <w:num w:numId="12" w16cid:durableId="2142186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3180F"/>
    <w:rsid w:val="00050E47"/>
    <w:rsid w:val="000718C4"/>
    <w:rsid w:val="000C2ED1"/>
    <w:rsid w:val="000C5A72"/>
    <w:rsid w:val="000D3CF2"/>
    <w:rsid w:val="000F2C70"/>
    <w:rsid w:val="00107EA7"/>
    <w:rsid w:val="0014138B"/>
    <w:rsid w:val="001A14F7"/>
    <w:rsid w:val="001A4C46"/>
    <w:rsid w:val="001C28EC"/>
    <w:rsid w:val="001E43C9"/>
    <w:rsid w:val="00212F62"/>
    <w:rsid w:val="00213757"/>
    <w:rsid w:val="00220B75"/>
    <w:rsid w:val="00226400"/>
    <w:rsid w:val="00241775"/>
    <w:rsid w:val="0029671B"/>
    <w:rsid w:val="002B2FD9"/>
    <w:rsid w:val="002B7DF5"/>
    <w:rsid w:val="00317EE5"/>
    <w:rsid w:val="0034207C"/>
    <w:rsid w:val="003662DF"/>
    <w:rsid w:val="003E6AB8"/>
    <w:rsid w:val="00400725"/>
    <w:rsid w:val="00411A74"/>
    <w:rsid w:val="00421D6C"/>
    <w:rsid w:val="004347D4"/>
    <w:rsid w:val="00451809"/>
    <w:rsid w:val="00452AA6"/>
    <w:rsid w:val="004533E5"/>
    <w:rsid w:val="00456922"/>
    <w:rsid w:val="004575C8"/>
    <w:rsid w:val="00464CAC"/>
    <w:rsid w:val="004858A8"/>
    <w:rsid w:val="004861D8"/>
    <w:rsid w:val="004877FE"/>
    <w:rsid w:val="004B1311"/>
    <w:rsid w:val="004C4BA2"/>
    <w:rsid w:val="004E678F"/>
    <w:rsid w:val="004F061A"/>
    <w:rsid w:val="005173CF"/>
    <w:rsid w:val="00526706"/>
    <w:rsid w:val="00557C90"/>
    <w:rsid w:val="00561359"/>
    <w:rsid w:val="005766CE"/>
    <w:rsid w:val="005C3229"/>
    <w:rsid w:val="005D4FDF"/>
    <w:rsid w:val="006407DD"/>
    <w:rsid w:val="00676230"/>
    <w:rsid w:val="00685F04"/>
    <w:rsid w:val="006D488A"/>
    <w:rsid w:val="00712981"/>
    <w:rsid w:val="00714C68"/>
    <w:rsid w:val="00714E42"/>
    <w:rsid w:val="00747E22"/>
    <w:rsid w:val="0079477F"/>
    <w:rsid w:val="007A6C56"/>
    <w:rsid w:val="007B2654"/>
    <w:rsid w:val="007B7ED8"/>
    <w:rsid w:val="007E382B"/>
    <w:rsid w:val="007E5678"/>
    <w:rsid w:val="00801111"/>
    <w:rsid w:val="008036E7"/>
    <w:rsid w:val="0083689F"/>
    <w:rsid w:val="00841B0E"/>
    <w:rsid w:val="00865442"/>
    <w:rsid w:val="00866A4D"/>
    <w:rsid w:val="008E7C95"/>
    <w:rsid w:val="0090367F"/>
    <w:rsid w:val="00931244"/>
    <w:rsid w:val="00954E20"/>
    <w:rsid w:val="00980224"/>
    <w:rsid w:val="009B28F7"/>
    <w:rsid w:val="00A133CC"/>
    <w:rsid w:val="00A271BF"/>
    <w:rsid w:val="00A4435A"/>
    <w:rsid w:val="00A65231"/>
    <w:rsid w:val="00A91B24"/>
    <w:rsid w:val="00AC6F31"/>
    <w:rsid w:val="00B07E72"/>
    <w:rsid w:val="00B10D8D"/>
    <w:rsid w:val="00B71B8C"/>
    <w:rsid w:val="00B771B5"/>
    <w:rsid w:val="00B93CB9"/>
    <w:rsid w:val="00BB61C6"/>
    <w:rsid w:val="00BD48E5"/>
    <w:rsid w:val="00BE6FA1"/>
    <w:rsid w:val="00BF7857"/>
    <w:rsid w:val="00C31DFF"/>
    <w:rsid w:val="00C63B25"/>
    <w:rsid w:val="00C7493B"/>
    <w:rsid w:val="00CC79A1"/>
    <w:rsid w:val="00D0696E"/>
    <w:rsid w:val="00D51FBF"/>
    <w:rsid w:val="00D945C3"/>
    <w:rsid w:val="00DA38DE"/>
    <w:rsid w:val="00DB515E"/>
    <w:rsid w:val="00DD3C7C"/>
    <w:rsid w:val="00DF2AFB"/>
    <w:rsid w:val="00E30A9F"/>
    <w:rsid w:val="00E35FF7"/>
    <w:rsid w:val="00E852C6"/>
    <w:rsid w:val="00F06184"/>
    <w:rsid w:val="00F35633"/>
    <w:rsid w:val="00F464EC"/>
    <w:rsid w:val="00F53444"/>
    <w:rsid w:val="00F55CD0"/>
    <w:rsid w:val="00F725A5"/>
    <w:rsid w:val="00F83405"/>
    <w:rsid w:val="00FB0F60"/>
    <w:rsid w:val="00FB1D17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4C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858-06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COSA12714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B62-ECBE-45B7-AC8B-035B647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2022-06-01T20:19:00Z</dcterms:created>
  <dcterms:modified xsi:type="dcterms:W3CDTF">2022-06-02T21:49:00Z</dcterms:modified>
</cp:coreProperties>
</file>