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D82" w:rsidRPr="005F4FD8" w:rsidRDefault="00985D82" w:rsidP="005F4FD8">
      <w:pPr>
        <w:tabs>
          <w:tab w:val="left" w:pos="810"/>
        </w:tabs>
        <w:suppressAutoHyphens/>
        <w:spacing w:after="0"/>
        <w:rPr>
          <w:rFonts w:ascii="Cambria" w:hAnsi="Cambria" w:cs="Arial"/>
          <w:sz w:val="20"/>
          <w:szCs w:val="20"/>
          <w:lang w:val="es-CO"/>
        </w:rPr>
      </w:pPr>
    </w:p>
    <w:p w:rsidR="00985D82" w:rsidRPr="005F4FD8" w:rsidRDefault="007C37F1" w:rsidP="005F4FD8">
      <w:pPr>
        <w:tabs>
          <w:tab w:val="left" w:pos="810"/>
        </w:tabs>
        <w:suppressAutoHyphens/>
        <w:spacing w:after="0"/>
        <w:jc w:val="right"/>
        <w:rPr>
          <w:rFonts w:ascii="Cambria" w:hAnsi="Cambria" w:cs="Arial"/>
          <w:b/>
          <w:sz w:val="20"/>
          <w:szCs w:val="20"/>
          <w:lang w:val="es-CO"/>
        </w:rPr>
      </w:pPr>
      <w:r w:rsidRPr="005F4FD8">
        <w:rPr>
          <w:rFonts w:ascii="Cambria" w:hAnsi="Cambria" w:cs="Arial"/>
          <w:sz w:val="20"/>
          <w:szCs w:val="20"/>
          <w:lang w:val="es-CO"/>
        </w:rPr>
        <w:t>21</w:t>
      </w:r>
      <w:r w:rsidR="00985D82" w:rsidRPr="005F4FD8">
        <w:rPr>
          <w:rFonts w:ascii="Cambria" w:hAnsi="Cambria" w:cs="Arial"/>
          <w:sz w:val="20"/>
          <w:szCs w:val="20"/>
          <w:lang w:val="es-CO"/>
        </w:rPr>
        <w:t xml:space="preserve"> de </w:t>
      </w:r>
      <w:r w:rsidR="00267984" w:rsidRPr="005F4FD8">
        <w:rPr>
          <w:rFonts w:ascii="Cambria" w:hAnsi="Cambria" w:cs="Arial"/>
          <w:sz w:val="20"/>
          <w:szCs w:val="20"/>
          <w:lang w:val="es-CO"/>
        </w:rPr>
        <w:t>septiembre</w:t>
      </w:r>
      <w:r w:rsidR="00985D82" w:rsidRPr="005F4FD8">
        <w:rPr>
          <w:rFonts w:ascii="Cambria" w:hAnsi="Cambria" w:cs="Arial"/>
          <w:sz w:val="20"/>
          <w:szCs w:val="20"/>
          <w:lang w:val="es-CO"/>
        </w:rPr>
        <w:t xml:space="preserve"> de 201</w:t>
      </w:r>
      <w:r w:rsidR="000E0A18" w:rsidRPr="005F4FD8">
        <w:rPr>
          <w:rFonts w:ascii="Cambria" w:hAnsi="Cambria" w:cs="Arial"/>
          <w:sz w:val="20"/>
          <w:szCs w:val="20"/>
          <w:lang w:val="es-CO"/>
        </w:rPr>
        <w:t>6</w:t>
      </w:r>
    </w:p>
    <w:p w:rsidR="003F7922" w:rsidRPr="005F4FD8" w:rsidRDefault="003F7922" w:rsidP="005F4FD8">
      <w:pPr>
        <w:widowControl w:val="0"/>
        <w:tabs>
          <w:tab w:val="left" w:pos="720"/>
        </w:tabs>
        <w:autoSpaceDE w:val="0"/>
        <w:autoSpaceDN w:val="0"/>
        <w:adjustRightInd w:val="0"/>
        <w:spacing w:after="0"/>
        <w:jc w:val="both"/>
        <w:rPr>
          <w:rFonts w:ascii="Cambria" w:hAnsi="Cambria" w:cs="Arial"/>
          <w:b/>
          <w:sz w:val="20"/>
          <w:szCs w:val="20"/>
          <w:lang w:val="es-CO"/>
        </w:rPr>
      </w:pPr>
    </w:p>
    <w:p w:rsidR="00985D82" w:rsidRPr="005F4FD8" w:rsidRDefault="00C11485" w:rsidP="005F4FD8">
      <w:pPr>
        <w:widowControl w:val="0"/>
        <w:tabs>
          <w:tab w:val="left" w:pos="720"/>
        </w:tabs>
        <w:autoSpaceDE w:val="0"/>
        <w:autoSpaceDN w:val="0"/>
        <w:adjustRightInd w:val="0"/>
        <w:spacing w:after="0"/>
        <w:jc w:val="both"/>
        <w:rPr>
          <w:rFonts w:ascii="Cambria" w:hAnsi="Cambria" w:cs="Arial"/>
          <w:b/>
          <w:sz w:val="20"/>
          <w:szCs w:val="20"/>
          <w:lang w:val="es-CO"/>
        </w:rPr>
      </w:pPr>
      <w:r w:rsidRPr="005F4FD8">
        <w:rPr>
          <w:rFonts w:ascii="Cambria" w:hAnsi="Cambria" w:cs="Arial"/>
          <w:b/>
          <w:sz w:val="20"/>
          <w:szCs w:val="20"/>
          <w:lang w:val="es-CO"/>
        </w:rPr>
        <w:t>REF</w:t>
      </w:r>
      <w:r w:rsidR="00985D82" w:rsidRPr="005F4FD8">
        <w:rPr>
          <w:rFonts w:ascii="Cambria" w:hAnsi="Cambria" w:cs="Arial"/>
          <w:b/>
          <w:sz w:val="20"/>
          <w:szCs w:val="20"/>
          <w:lang w:val="es-CO"/>
        </w:rPr>
        <w:t>.:</w:t>
      </w:r>
      <w:bookmarkStart w:id="0" w:name="Peticion_n"/>
      <w:bookmarkEnd w:id="0"/>
      <w:r w:rsidRPr="005F4FD8">
        <w:rPr>
          <w:rFonts w:ascii="Cambria" w:hAnsi="Cambria" w:cs="Arial"/>
          <w:b/>
          <w:sz w:val="20"/>
          <w:szCs w:val="20"/>
          <w:lang w:val="es-CO"/>
        </w:rPr>
        <w:tab/>
        <w:t>Caso Nº</w:t>
      </w:r>
      <w:r w:rsidR="00985D82" w:rsidRPr="005F4FD8">
        <w:rPr>
          <w:rFonts w:ascii="Cambria" w:hAnsi="Cambria" w:cs="Arial"/>
          <w:b/>
          <w:sz w:val="20"/>
          <w:szCs w:val="20"/>
          <w:lang w:val="es-CO"/>
        </w:rPr>
        <w:t xml:space="preserve"> </w:t>
      </w:r>
      <w:r w:rsidR="00985D82" w:rsidRPr="005F4FD8">
        <w:rPr>
          <w:rFonts w:ascii="Cambria" w:hAnsi="Cambria"/>
          <w:b/>
          <w:sz w:val="20"/>
          <w:szCs w:val="20"/>
          <w:lang w:val="es-CO"/>
        </w:rPr>
        <w:t>1</w:t>
      </w:r>
      <w:r w:rsidR="007C37F1" w:rsidRPr="005F4FD8">
        <w:rPr>
          <w:rFonts w:ascii="Cambria" w:hAnsi="Cambria"/>
          <w:b/>
          <w:sz w:val="20"/>
          <w:szCs w:val="20"/>
          <w:lang w:val="es-CO"/>
        </w:rPr>
        <w:t>1.550</w:t>
      </w:r>
    </w:p>
    <w:p w:rsidR="00985D82" w:rsidRPr="005F4FD8" w:rsidRDefault="00C11485" w:rsidP="005F4FD8">
      <w:pPr>
        <w:widowControl w:val="0"/>
        <w:tabs>
          <w:tab w:val="left" w:pos="810"/>
        </w:tabs>
        <w:autoSpaceDE w:val="0"/>
        <w:autoSpaceDN w:val="0"/>
        <w:adjustRightInd w:val="0"/>
        <w:spacing w:after="0"/>
        <w:ind w:firstLine="720"/>
        <w:jc w:val="both"/>
        <w:rPr>
          <w:rFonts w:ascii="Cambria" w:hAnsi="Cambria" w:cs="Arial"/>
          <w:b/>
          <w:sz w:val="20"/>
          <w:szCs w:val="20"/>
          <w:lang w:val="es-ES"/>
        </w:rPr>
      </w:pPr>
      <w:proofErr w:type="spellStart"/>
      <w:r w:rsidRPr="005F4FD8">
        <w:rPr>
          <w:rFonts w:ascii="Cambria" w:hAnsi="Cambria"/>
          <w:b/>
          <w:sz w:val="20"/>
          <w:szCs w:val="20"/>
          <w:lang w:val="es-CO"/>
        </w:rPr>
        <w:t>Maurilia</w:t>
      </w:r>
      <w:proofErr w:type="spellEnd"/>
      <w:r w:rsidRPr="005F4FD8">
        <w:rPr>
          <w:rFonts w:ascii="Cambria" w:hAnsi="Cambria"/>
          <w:b/>
          <w:sz w:val="20"/>
          <w:szCs w:val="20"/>
          <w:lang w:val="es-CO"/>
        </w:rPr>
        <w:t xml:space="preserve"> </w:t>
      </w:r>
      <w:proofErr w:type="spellStart"/>
      <w:r w:rsidRPr="005F4FD8">
        <w:rPr>
          <w:rFonts w:ascii="Cambria" w:hAnsi="Cambria"/>
          <w:b/>
          <w:sz w:val="20"/>
          <w:szCs w:val="20"/>
          <w:lang w:val="es-CO"/>
        </w:rPr>
        <w:t>Coc</w:t>
      </w:r>
      <w:proofErr w:type="spellEnd"/>
      <w:r w:rsidRPr="005F4FD8">
        <w:rPr>
          <w:rFonts w:ascii="Cambria" w:hAnsi="Cambria"/>
          <w:b/>
          <w:sz w:val="20"/>
          <w:szCs w:val="20"/>
          <w:lang w:val="es-CO"/>
        </w:rPr>
        <w:t xml:space="preserve"> Max y O</w:t>
      </w:r>
      <w:r w:rsidR="007C37F1" w:rsidRPr="005F4FD8">
        <w:rPr>
          <w:rFonts w:ascii="Cambria" w:hAnsi="Cambria"/>
          <w:b/>
          <w:sz w:val="20"/>
          <w:szCs w:val="20"/>
          <w:lang w:val="es-CO"/>
        </w:rPr>
        <w:t xml:space="preserve">tros (Masacre de </w:t>
      </w:r>
      <w:proofErr w:type="spellStart"/>
      <w:r w:rsidR="007C37F1" w:rsidRPr="005F4FD8">
        <w:rPr>
          <w:rFonts w:ascii="Cambria" w:hAnsi="Cambria"/>
          <w:b/>
          <w:sz w:val="20"/>
          <w:szCs w:val="20"/>
          <w:lang w:val="es-CO"/>
        </w:rPr>
        <w:t>Xam</w:t>
      </w:r>
      <w:r w:rsidR="008E2D07" w:rsidRPr="005F4FD8">
        <w:rPr>
          <w:rFonts w:ascii="Cambria" w:hAnsi="Cambria"/>
          <w:b/>
          <w:sz w:val="20"/>
          <w:szCs w:val="20"/>
          <w:lang w:val="es-CO"/>
        </w:rPr>
        <w:t>a</w:t>
      </w:r>
      <w:r w:rsidR="007C37F1" w:rsidRPr="005F4FD8">
        <w:rPr>
          <w:rFonts w:ascii="Cambria" w:hAnsi="Cambria"/>
          <w:b/>
          <w:sz w:val="20"/>
          <w:szCs w:val="20"/>
          <w:lang w:val="es-CO"/>
        </w:rPr>
        <w:t>n</w:t>
      </w:r>
      <w:proofErr w:type="spellEnd"/>
      <w:r w:rsidR="007C37F1" w:rsidRPr="005F4FD8">
        <w:rPr>
          <w:rFonts w:ascii="Cambria" w:hAnsi="Cambria"/>
          <w:b/>
          <w:sz w:val="20"/>
          <w:szCs w:val="20"/>
          <w:lang w:val="es-CO"/>
        </w:rPr>
        <w:t>)</w:t>
      </w:r>
    </w:p>
    <w:p w:rsidR="00985D82" w:rsidRPr="005F4FD8" w:rsidRDefault="009557A4" w:rsidP="005F4FD8">
      <w:pPr>
        <w:tabs>
          <w:tab w:val="left" w:pos="720"/>
          <w:tab w:val="left" w:pos="810"/>
          <w:tab w:val="center" w:pos="6480"/>
        </w:tabs>
        <w:spacing w:after="0"/>
        <w:ind w:left="720"/>
        <w:jc w:val="both"/>
        <w:rPr>
          <w:rFonts w:ascii="Cambria" w:hAnsi="Cambria" w:cs="Arial"/>
          <w:b/>
          <w:sz w:val="20"/>
          <w:szCs w:val="20"/>
          <w:lang w:val="es-ES_tradnl"/>
        </w:rPr>
      </w:pPr>
      <w:r w:rsidRPr="005F4FD8">
        <w:rPr>
          <w:rFonts w:ascii="Cambria" w:hAnsi="Cambria" w:cs="Arial"/>
          <w:b/>
          <w:sz w:val="20"/>
          <w:szCs w:val="20"/>
          <w:lang w:val="es-CR"/>
        </w:rPr>
        <w:t>Guatemala</w:t>
      </w:r>
      <w:r w:rsidR="00985D82" w:rsidRPr="005F4FD8">
        <w:rPr>
          <w:rFonts w:ascii="Cambria" w:hAnsi="Cambria" w:cs="Arial"/>
          <w:b/>
          <w:sz w:val="20"/>
          <w:szCs w:val="20"/>
          <w:lang w:val="es-ES_tradnl"/>
        </w:rPr>
        <w:t xml:space="preserve"> </w:t>
      </w:r>
    </w:p>
    <w:p w:rsidR="00985D82" w:rsidRPr="005F4FD8" w:rsidRDefault="00985D82" w:rsidP="005F4FD8">
      <w:pPr>
        <w:tabs>
          <w:tab w:val="left" w:pos="720"/>
          <w:tab w:val="left" w:pos="810"/>
          <w:tab w:val="center" w:pos="6480"/>
        </w:tabs>
        <w:spacing w:after="0"/>
        <w:jc w:val="both"/>
        <w:rPr>
          <w:rFonts w:ascii="Cambria" w:hAnsi="Cambria" w:cs="Arial"/>
          <w:sz w:val="20"/>
          <w:szCs w:val="20"/>
          <w:lang w:val="es-ES_tradnl"/>
        </w:rPr>
      </w:pPr>
    </w:p>
    <w:p w:rsidR="00C11485" w:rsidRPr="005F4FD8" w:rsidRDefault="00C11485" w:rsidP="005F4FD8">
      <w:pPr>
        <w:tabs>
          <w:tab w:val="left" w:pos="720"/>
          <w:tab w:val="left" w:pos="810"/>
          <w:tab w:val="center" w:pos="6480"/>
        </w:tabs>
        <w:spacing w:after="0"/>
        <w:jc w:val="both"/>
        <w:rPr>
          <w:rFonts w:ascii="Cambria" w:hAnsi="Cambria" w:cs="Arial"/>
          <w:sz w:val="20"/>
          <w:szCs w:val="20"/>
          <w:lang w:val="es-ES_tradnl"/>
        </w:rPr>
      </w:pPr>
    </w:p>
    <w:p w:rsidR="00985D82" w:rsidRPr="005F4FD8" w:rsidRDefault="00985D82" w:rsidP="005F4FD8">
      <w:pPr>
        <w:tabs>
          <w:tab w:val="left" w:pos="720"/>
          <w:tab w:val="left" w:pos="810"/>
          <w:tab w:val="center" w:pos="6480"/>
        </w:tabs>
        <w:spacing w:after="0"/>
        <w:jc w:val="both"/>
        <w:rPr>
          <w:rFonts w:ascii="Cambria" w:hAnsi="Cambria" w:cs="Arial"/>
          <w:sz w:val="20"/>
          <w:szCs w:val="20"/>
          <w:lang w:val="es-PE"/>
        </w:rPr>
      </w:pPr>
      <w:r w:rsidRPr="005F4FD8">
        <w:rPr>
          <w:rFonts w:ascii="Cambria" w:hAnsi="Cambria" w:cs="Arial"/>
          <w:sz w:val="20"/>
          <w:szCs w:val="20"/>
          <w:lang w:val="es-PE"/>
        </w:rPr>
        <w:t>Señor Secretario:</w:t>
      </w:r>
    </w:p>
    <w:p w:rsidR="00985D82" w:rsidRPr="005F4FD8" w:rsidRDefault="00985D82" w:rsidP="005F4FD8">
      <w:pPr>
        <w:widowControl w:val="0"/>
        <w:tabs>
          <w:tab w:val="left" w:pos="810"/>
        </w:tabs>
        <w:autoSpaceDE w:val="0"/>
        <w:autoSpaceDN w:val="0"/>
        <w:adjustRightInd w:val="0"/>
        <w:spacing w:after="0"/>
        <w:ind w:firstLine="720"/>
        <w:jc w:val="both"/>
        <w:rPr>
          <w:rFonts w:ascii="Cambria" w:hAnsi="Cambria"/>
          <w:sz w:val="20"/>
          <w:szCs w:val="20"/>
          <w:lang w:val="es-CO"/>
        </w:rPr>
      </w:pPr>
    </w:p>
    <w:p w:rsidR="00985D82" w:rsidRPr="005F4FD8" w:rsidRDefault="00985D82" w:rsidP="005F4FD8">
      <w:pPr>
        <w:spacing w:after="0"/>
        <w:ind w:firstLine="720"/>
        <w:jc w:val="both"/>
        <w:rPr>
          <w:rFonts w:ascii="Cambria" w:hAnsi="Cambria" w:cs="Arial"/>
          <w:sz w:val="20"/>
          <w:szCs w:val="20"/>
          <w:lang w:val="es-ES"/>
        </w:rPr>
      </w:pPr>
      <w:r w:rsidRPr="005F4FD8">
        <w:rPr>
          <w:rFonts w:ascii="Cambria" w:hAnsi="Cambria"/>
          <w:sz w:val="20"/>
          <w:szCs w:val="20"/>
          <w:lang w:val="es-CO"/>
        </w:rPr>
        <w:t>Tengo el agrado de dirigirme a usted, en nombre de la Comisión Interamericana de Derechos Humanos, con</w:t>
      </w:r>
      <w:r w:rsidR="00C11485" w:rsidRPr="005F4FD8">
        <w:rPr>
          <w:rFonts w:ascii="Cambria" w:hAnsi="Cambria"/>
          <w:sz w:val="20"/>
          <w:szCs w:val="20"/>
          <w:lang w:val="es-CO"/>
        </w:rPr>
        <w:t xml:space="preserve"> </w:t>
      </w:r>
      <w:r w:rsidRPr="005F4FD8">
        <w:rPr>
          <w:rFonts w:ascii="Cambria" w:hAnsi="Cambria"/>
          <w:sz w:val="20"/>
          <w:szCs w:val="20"/>
          <w:lang w:val="es-CO"/>
        </w:rPr>
        <w:t xml:space="preserve"> el </w:t>
      </w:r>
      <w:r w:rsidR="00C11485" w:rsidRPr="005F4FD8">
        <w:rPr>
          <w:rFonts w:ascii="Cambria" w:hAnsi="Cambria"/>
          <w:sz w:val="20"/>
          <w:szCs w:val="20"/>
          <w:lang w:val="es-CO"/>
        </w:rPr>
        <w:t xml:space="preserve"> </w:t>
      </w:r>
      <w:r w:rsidRPr="005F4FD8">
        <w:rPr>
          <w:rFonts w:ascii="Cambria" w:hAnsi="Cambria"/>
          <w:sz w:val="20"/>
          <w:szCs w:val="20"/>
          <w:lang w:val="es-CO"/>
        </w:rPr>
        <w:t>objeto</w:t>
      </w:r>
      <w:r w:rsidRPr="005F4FD8">
        <w:rPr>
          <w:rFonts w:ascii="Cambria" w:hAnsi="Cambria" w:cs="Arial"/>
          <w:sz w:val="20"/>
          <w:szCs w:val="20"/>
          <w:lang w:val="es-CO"/>
        </w:rPr>
        <w:t xml:space="preserve"> </w:t>
      </w:r>
      <w:r w:rsidR="00C11485" w:rsidRPr="005F4FD8">
        <w:rPr>
          <w:rFonts w:ascii="Cambria" w:hAnsi="Cambria" w:cs="Arial"/>
          <w:sz w:val="20"/>
          <w:szCs w:val="20"/>
          <w:lang w:val="es-CO"/>
        </w:rPr>
        <w:t xml:space="preserve"> </w:t>
      </w:r>
      <w:r w:rsidRPr="005F4FD8">
        <w:rPr>
          <w:rFonts w:ascii="Cambria" w:hAnsi="Cambria" w:cs="Arial"/>
          <w:sz w:val="20"/>
          <w:szCs w:val="20"/>
          <w:lang w:val="es-CO"/>
        </w:rPr>
        <w:t xml:space="preserve">de </w:t>
      </w:r>
      <w:r w:rsidR="00C11485" w:rsidRPr="005F4FD8">
        <w:rPr>
          <w:rFonts w:ascii="Cambria" w:hAnsi="Cambria" w:cs="Arial"/>
          <w:sz w:val="20"/>
          <w:szCs w:val="20"/>
          <w:lang w:val="es-CO"/>
        </w:rPr>
        <w:t xml:space="preserve"> </w:t>
      </w:r>
      <w:r w:rsidRPr="005F4FD8">
        <w:rPr>
          <w:rFonts w:ascii="Cambria" w:hAnsi="Cambria" w:cs="Arial"/>
          <w:sz w:val="20"/>
          <w:szCs w:val="20"/>
          <w:lang w:val="es-CO"/>
        </w:rPr>
        <w:t>someter</w:t>
      </w:r>
      <w:r w:rsidR="00C11485" w:rsidRPr="005F4FD8">
        <w:rPr>
          <w:rFonts w:ascii="Cambria" w:hAnsi="Cambria" w:cs="Arial"/>
          <w:sz w:val="20"/>
          <w:szCs w:val="20"/>
          <w:lang w:val="es-CO"/>
        </w:rPr>
        <w:t xml:space="preserve"> </w:t>
      </w:r>
      <w:r w:rsidRPr="005F4FD8">
        <w:rPr>
          <w:rFonts w:ascii="Cambria" w:hAnsi="Cambria" w:cs="Arial"/>
          <w:sz w:val="20"/>
          <w:szCs w:val="20"/>
          <w:lang w:val="es-CO"/>
        </w:rPr>
        <w:t xml:space="preserve"> a</w:t>
      </w:r>
      <w:r w:rsidR="00C11485" w:rsidRPr="005F4FD8">
        <w:rPr>
          <w:rFonts w:ascii="Cambria" w:hAnsi="Cambria" w:cs="Arial"/>
          <w:sz w:val="20"/>
          <w:szCs w:val="20"/>
          <w:lang w:val="es-CO"/>
        </w:rPr>
        <w:t xml:space="preserve"> </w:t>
      </w:r>
      <w:r w:rsidRPr="005F4FD8">
        <w:rPr>
          <w:rFonts w:ascii="Cambria" w:hAnsi="Cambria" w:cs="Arial"/>
          <w:sz w:val="20"/>
          <w:szCs w:val="20"/>
          <w:lang w:val="es-CO"/>
        </w:rPr>
        <w:t xml:space="preserve"> la</w:t>
      </w:r>
      <w:r w:rsidR="00C11485" w:rsidRPr="005F4FD8">
        <w:rPr>
          <w:rFonts w:ascii="Cambria" w:hAnsi="Cambria" w:cs="Arial"/>
          <w:sz w:val="20"/>
          <w:szCs w:val="20"/>
          <w:lang w:val="es-CO"/>
        </w:rPr>
        <w:t xml:space="preserve"> </w:t>
      </w:r>
      <w:r w:rsidRPr="005F4FD8">
        <w:rPr>
          <w:rFonts w:ascii="Cambria" w:hAnsi="Cambria" w:cs="Arial"/>
          <w:sz w:val="20"/>
          <w:szCs w:val="20"/>
          <w:lang w:val="es-CO"/>
        </w:rPr>
        <w:t xml:space="preserve"> jurisdicción</w:t>
      </w:r>
      <w:r w:rsidR="00C11485" w:rsidRPr="005F4FD8">
        <w:rPr>
          <w:rFonts w:ascii="Cambria" w:hAnsi="Cambria" w:cs="Arial"/>
          <w:sz w:val="20"/>
          <w:szCs w:val="20"/>
          <w:lang w:val="es-CO"/>
        </w:rPr>
        <w:t xml:space="preserve"> </w:t>
      </w:r>
      <w:r w:rsidRPr="005F4FD8">
        <w:rPr>
          <w:rFonts w:ascii="Cambria" w:hAnsi="Cambria" w:cs="Arial"/>
          <w:sz w:val="20"/>
          <w:szCs w:val="20"/>
          <w:lang w:val="es-CO"/>
        </w:rPr>
        <w:t xml:space="preserve"> de la Honorable Corte Interame</w:t>
      </w:r>
      <w:r w:rsidR="00C11485" w:rsidRPr="005F4FD8">
        <w:rPr>
          <w:rFonts w:ascii="Cambria" w:hAnsi="Cambria" w:cs="Arial"/>
          <w:sz w:val="20"/>
          <w:szCs w:val="20"/>
          <w:lang w:val="es-CO"/>
        </w:rPr>
        <w:t>ricana de Derechos Humanos, el C</w:t>
      </w:r>
      <w:r w:rsidRPr="005F4FD8">
        <w:rPr>
          <w:rFonts w:ascii="Cambria" w:hAnsi="Cambria" w:cs="Arial"/>
          <w:sz w:val="20"/>
          <w:szCs w:val="20"/>
          <w:lang w:val="es-CO"/>
        </w:rPr>
        <w:t xml:space="preserve">aso </w:t>
      </w:r>
      <w:r w:rsidR="00C11485" w:rsidRPr="005F4FD8">
        <w:rPr>
          <w:rFonts w:ascii="Cambria" w:hAnsi="Cambria" w:cs="Arial"/>
          <w:sz w:val="20"/>
          <w:szCs w:val="20"/>
          <w:lang w:val="es-CO"/>
        </w:rPr>
        <w:t xml:space="preserve">Nº </w:t>
      </w:r>
      <w:r w:rsidRPr="005F4FD8">
        <w:rPr>
          <w:rFonts w:ascii="Cambria" w:hAnsi="Cambria" w:cs="Arial"/>
          <w:sz w:val="20"/>
          <w:szCs w:val="20"/>
          <w:lang w:val="es-CO"/>
        </w:rPr>
        <w:t>1</w:t>
      </w:r>
      <w:r w:rsidR="005D7108" w:rsidRPr="005F4FD8">
        <w:rPr>
          <w:rFonts w:ascii="Cambria" w:hAnsi="Cambria" w:cs="Arial"/>
          <w:sz w:val="20"/>
          <w:szCs w:val="20"/>
          <w:lang w:val="es-CO"/>
        </w:rPr>
        <w:t xml:space="preserve">1.550 </w:t>
      </w:r>
      <w:r w:rsidRPr="005F4FD8">
        <w:rPr>
          <w:rFonts w:ascii="Cambria" w:hAnsi="Cambria" w:cs="Arial"/>
          <w:sz w:val="20"/>
          <w:szCs w:val="20"/>
          <w:lang w:val="es-CO"/>
        </w:rPr>
        <w:t xml:space="preserve">– </w:t>
      </w:r>
      <w:proofErr w:type="spellStart"/>
      <w:r w:rsidR="005D7108" w:rsidRPr="005F4FD8">
        <w:rPr>
          <w:rFonts w:ascii="Cambria" w:hAnsi="Cambria" w:cs="Arial"/>
          <w:sz w:val="20"/>
          <w:szCs w:val="20"/>
          <w:lang w:val="es-CO"/>
        </w:rPr>
        <w:t>Maurilia</w:t>
      </w:r>
      <w:proofErr w:type="spellEnd"/>
      <w:r w:rsidR="005D7108" w:rsidRPr="005F4FD8">
        <w:rPr>
          <w:rFonts w:ascii="Cambria" w:hAnsi="Cambria" w:cs="Arial"/>
          <w:sz w:val="20"/>
          <w:szCs w:val="20"/>
          <w:lang w:val="es-CO"/>
        </w:rPr>
        <w:t xml:space="preserve"> </w:t>
      </w:r>
      <w:proofErr w:type="spellStart"/>
      <w:r w:rsidR="005D7108" w:rsidRPr="005F4FD8">
        <w:rPr>
          <w:rFonts w:ascii="Cambria" w:hAnsi="Cambria" w:cs="Arial"/>
          <w:sz w:val="20"/>
          <w:szCs w:val="20"/>
          <w:lang w:val="es-CO"/>
        </w:rPr>
        <w:t>Coc</w:t>
      </w:r>
      <w:proofErr w:type="spellEnd"/>
      <w:r w:rsidR="005D7108" w:rsidRPr="005F4FD8">
        <w:rPr>
          <w:rFonts w:ascii="Cambria" w:hAnsi="Cambria" w:cs="Arial"/>
          <w:sz w:val="20"/>
          <w:szCs w:val="20"/>
          <w:lang w:val="es-CO"/>
        </w:rPr>
        <w:t xml:space="preserve"> Max</w:t>
      </w:r>
      <w:r w:rsidR="00887692" w:rsidRPr="005F4FD8">
        <w:rPr>
          <w:rFonts w:ascii="Cambria" w:hAnsi="Cambria" w:cs="Arial"/>
          <w:sz w:val="20"/>
          <w:szCs w:val="20"/>
          <w:lang w:val="es-CO"/>
        </w:rPr>
        <w:t xml:space="preserve"> y otros (Masacre de </w:t>
      </w:r>
      <w:proofErr w:type="spellStart"/>
      <w:r w:rsidR="00887692" w:rsidRPr="005F4FD8">
        <w:rPr>
          <w:rFonts w:ascii="Cambria" w:hAnsi="Cambria" w:cs="Arial"/>
          <w:sz w:val="20"/>
          <w:szCs w:val="20"/>
          <w:lang w:val="es-CO"/>
        </w:rPr>
        <w:t>Xaman</w:t>
      </w:r>
      <w:proofErr w:type="spellEnd"/>
      <w:r w:rsidR="00887692" w:rsidRPr="005F4FD8">
        <w:rPr>
          <w:rFonts w:ascii="Cambria" w:hAnsi="Cambria" w:cs="Arial"/>
          <w:sz w:val="20"/>
          <w:szCs w:val="20"/>
          <w:lang w:val="es-CO"/>
        </w:rPr>
        <w:t xml:space="preserve">) </w:t>
      </w:r>
      <w:r w:rsidRPr="005F4FD8">
        <w:rPr>
          <w:rFonts w:ascii="Cambria" w:hAnsi="Cambria" w:cs="Arial"/>
          <w:sz w:val="20"/>
          <w:szCs w:val="20"/>
          <w:lang w:val="es-CO"/>
        </w:rPr>
        <w:t xml:space="preserve">respecto de la República de </w:t>
      </w:r>
      <w:r w:rsidR="0079663A" w:rsidRPr="005F4FD8">
        <w:rPr>
          <w:rFonts w:ascii="Cambria" w:hAnsi="Cambria" w:cs="Arial"/>
          <w:sz w:val="20"/>
          <w:szCs w:val="20"/>
          <w:lang w:val="es-CO"/>
        </w:rPr>
        <w:t>Guatemala</w:t>
      </w:r>
      <w:r w:rsidRPr="005F4FD8">
        <w:rPr>
          <w:rFonts w:ascii="Cambria" w:hAnsi="Cambria" w:cs="Arial"/>
          <w:sz w:val="20"/>
          <w:szCs w:val="20"/>
          <w:lang w:val="es-CO"/>
        </w:rPr>
        <w:t xml:space="preserve"> (en adelante “el Estado”, “el Estado</w:t>
      </w:r>
      <w:r w:rsidR="0079663A" w:rsidRPr="005F4FD8">
        <w:rPr>
          <w:rFonts w:ascii="Cambria" w:hAnsi="Cambria" w:cs="Arial"/>
          <w:sz w:val="20"/>
          <w:szCs w:val="20"/>
          <w:lang w:val="es-CO"/>
        </w:rPr>
        <w:t xml:space="preserve"> de Guatemala</w:t>
      </w:r>
      <w:r w:rsidRPr="005F4FD8">
        <w:rPr>
          <w:rFonts w:ascii="Cambria" w:hAnsi="Cambria" w:cs="Arial"/>
          <w:sz w:val="20"/>
          <w:szCs w:val="20"/>
          <w:lang w:val="es-CO"/>
        </w:rPr>
        <w:t>”</w:t>
      </w:r>
      <w:r w:rsidR="0079663A" w:rsidRPr="005F4FD8">
        <w:rPr>
          <w:rFonts w:ascii="Cambria" w:hAnsi="Cambria" w:cs="Arial"/>
          <w:sz w:val="20"/>
          <w:szCs w:val="20"/>
          <w:lang w:val="es-CO"/>
        </w:rPr>
        <w:t>, “el Estado guatemalteco”</w:t>
      </w:r>
      <w:r w:rsidRPr="005F4FD8">
        <w:rPr>
          <w:rFonts w:ascii="Cambria" w:hAnsi="Cambria" w:cs="Arial"/>
          <w:sz w:val="20"/>
          <w:szCs w:val="20"/>
          <w:lang w:val="es-CO"/>
        </w:rPr>
        <w:t xml:space="preserve"> o “</w:t>
      </w:r>
      <w:r w:rsidR="0079663A" w:rsidRPr="005F4FD8">
        <w:rPr>
          <w:rFonts w:ascii="Cambria" w:hAnsi="Cambria" w:cs="Arial"/>
          <w:sz w:val="20"/>
          <w:szCs w:val="20"/>
          <w:lang w:val="es-CO"/>
        </w:rPr>
        <w:t>Guatemala</w:t>
      </w:r>
      <w:r w:rsidRPr="005F4FD8">
        <w:rPr>
          <w:rFonts w:ascii="Cambria" w:hAnsi="Cambria" w:cs="Arial"/>
          <w:sz w:val="20"/>
          <w:szCs w:val="20"/>
          <w:lang w:val="es-CO"/>
        </w:rPr>
        <w:t xml:space="preserve">”), relacionado con </w:t>
      </w:r>
      <w:r w:rsidR="008E2D07" w:rsidRPr="005F4FD8">
        <w:rPr>
          <w:rFonts w:ascii="Cambria" w:hAnsi="Cambria"/>
          <w:sz w:val="20"/>
          <w:szCs w:val="20"/>
          <w:lang w:val="es-ES"/>
        </w:rPr>
        <w:t xml:space="preserve">la masacre perpetrada por miembros de las Fuerzas Armadas de Guatemala el 5 de octubre de 1995 en contra de once personas, incluyendo tres niños, que formaban parte de la población indígena </w:t>
      </w:r>
      <w:proofErr w:type="spellStart"/>
      <w:r w:rsidR="008E2D07" w:rsidRPr="005F4FD8">
        <w:rPr>
          <w:rFonts w:ascii="Cambria" w:hAnsi="Cambria"/>
          <w:sz w:val="20"/>
          <w:szCs w:val="20"/>
          <w:lang w:val="es-CO"/>
        </w:rPr>
        <w:t>q’eqchi</w:t>
      </w:r>
      <w:proofErr w:type="spellEnd"/>
      <w:r w:rsidR="008E2D07" w:rsidRPr="005F4FD8">
        <w:rPr>
          <w:rFonts w:ascii="Cambria" w:hAnsi="Cambria"/>
          <w:sz w:val="20"/>
          <w:szCs w:val="20"/>
          <w:lang w:val="es-CO"/>
        </w:rPr>
        <w:t xml:space="preserve">’, </w:t>
      </w:r>
      <w:proofErr w:type="spellStart"/>
      <w:r w:rsidR="008E2D07" w:rsidRPr="005F4FD8">
        <w:rPr>
          <w:rFonts w:ascii="Cambria" w:hAnsi="Cambria"/>
          <w:sz w:val="20"/>
          <w:szCs w:val="20"/>
          <w:lang w:val="es-CO"/>
        </w:rPr>
        <w:t>mam</w:t>
      </w:r>
      <w:proofErr w:type="spellEnd"/>
      <w:r w:rsidR="008E2D07" w:rsidRPr="005F4FD8">
        <w:rPr>
          <w:rFonts w:ascii="Cambria" w:hAnsi="Cambria"/>
          <w:sz w:val="20"/>
          <w:szCs w:val="20"/>
          <w:lang w:val="es-CO"/>
        </w:rPr>
        <w:t xml:space="preserve">, </w:t>
      </w:r>
      <w:proofErr w:type="spellStart"/>
      <w:r w:rsidR="008E2D07" w:rsidRPr="005F4FD8">
        <w:rPr>
          <w:rFonts w:ascii="Cambria" w:hAnsi="Cambria"/>
          <w:sz w:val="20"/>
          <w:szCs w:val="20"/>
          <w:lang w:val="es-CO"/>
        </w:rPr>
        <w:t>q’anjob’al</w:t>
      </w:r>
      <w:proofErr w:type="spellEnd"/>
      <w:r w:rsidR="008E2D07" w:rsidRPr="005F4FD8">
        <w:rPr>
          <w:rFonts w:ascii="Cambria" w:hAnsi="Cambria"/>
          <w:sz w:val="20"/>
          <w:szCs w:val="20"/>
          <w:lang w:val="es-CO"/>
        </w:rPr>
        <w:t xml:space="preserve"> y </w:t>
      </w:r>
      <w:proofErr w:type="spellStart"/>
      <w:r w:rsidR="008E2D07" w:rsidRPr="005F4FD8">
        <w:rPr>
          <w:rFonts w:ascii="Cambria" w:hAnsi="Cambria"/>
          <w:sz w:val="20"/>
          <w:szCs w:val="20"/>
          <w:lang w:val="es-CO"/>
        </w:rPr>
        <w:t>ixil</w:t>
      </w:r>
      <w:proofErr w:type="spellEnd"/>
      <w:r w:rsidR="008E2D07" w:rsidRPr="005F4FD8">
        <w:rPr>
          <w:rFonts w:ascii="Cambria" w:hAnsi="Cambria"/>
          <w:sz w:val="20"/>
          <w:szCs w:val="20"/>
          <w:lang w:val="es-CO"/>
        </w:rPr>
        <w:t xml:space="preserve"> y </w:t>
      </w:r>
      <w:proofErr w:type="spellStart"/>
      <w:r w:rsidR="008E2D07" w:rsidRPr="005F4FD8">
        <w:rPr>
          <w:rFonts w:ascii="Cambria" w:hAnsi="Cambria"/>
          <w:sz w:val="20"/>
          <w:szCs w:val="20"/>
          <w:lang w:val="es-CO"/>
        </w:rPr>
        <w:t>k’iche</w:t>
      </w:r>
      <w:proofErr w:type="spellEnd"/>
      <w:r w:rsidR="008E2D07" w:rsidRPr="005F4FD8">
        <w:rPr>
          <w:rFonts w:ascii="Cambria" w:hAnsi="Cambria"/>
          <w:sz w:val="20"/>
          <w:szCs w:val="20"/>
          <w:lang w:val="es-CO"/>
        </w:rPr>
        <w:t xml:space="preserve"> que ocupaba la finca </w:t>
      </w:r>
      <w:proofErr w:type="spellStart"/>
      <w:r w:rsidR="008E2D07" w:rsidRPr="005F4FD8">
        <w:rPr>
          <w:rFonts w:ascii="Cambria" w:hAnsi="Cambria"/>
          <w:sz w:val="20"/>
          <w:szCs w:val="20"/>
          <w:lang w:val="es-CO"/>
        </w:rPr>
        <w:t>Xaman</w:t>
      </w:r>
      <w:proofErr w:type="spellEnd"/>
      <w:r w:rsidR="008E2D07" w:rsidRPr="005F4FD8">
        <w:rPr>
          <w:rFonts w:ascii="Cambria" w:hAnsi="Cambria"/>
          <w:sz w:val="20"/>
          <w:szCs w:val="20"/>
          <w:lang w:val="es-CO"/>
        </w:rPr>
        <w:t xml:space="preserve"> tras haber estado refugiada en México como consecuencia de las graves violaciones de derechos humanos cometidas durante el conflicto armado interno. </w:t>
      </w:r>
      <w:r w:rsidR="00C11485" w:rsidRPr="005F4FD8">
        <w:rPr>
          <w:rFonts w:ascii="Cambria" w:hAnsi="Cambria"/>
          <w:sz w:val="20"/>
          <w:szCs w:val="20"/>
          <w:lang w:val="es-CO"/>
        </w:rPr>
        <w:t xml:space="preserve"> </w:t>
      </w:r>
      <w:r w:rsidR="008E2D07" w:rsidRPr="005F4FD8">
        <w:rPr>
          <w:rFonts w:ascii="Cambria" w:hAnsi="Cambria"/>
          <w:sz w:val="20"/>
          <w:szCs w:val="20"/>
          <w:lang w:val="es-CO"/>
        </w:rPr>
        <w:t>En los mismos hechos, 29 personas resultaron heridas, tres de las cuales fallecieron posteriormente debido a las heridas causadas.</w:t>
      </w:r>
      <w:r w:rsidR="00C11485" w:rsidRPr="005F4FD8">
        <w:rPr>
          <w:rFonts w:ascii="Cambria" w:hAnsi="Cambria"/>
          <w:sz w:val="20"/>
          <w:szCs w:val="20"/>
          <w:lang w:val="es-CO"/>
        </w:rPr>
        <w:t xml:space="preserve"> </w:t>
      </w:r>
      <w:r w:rsidR="008E2D07" w:rsidRPr="005F4FD8">
        <w:rPr>
          <w:rFonts w:ascii="Cambria" w:hAnsi="Cambria"/>
          <w:sz w:val="20"/>
          <w:szCs w:val="20"/>
          <w:lang w:val="es-CO"/>
        </w:rPr>
        <w:t xml:space="preserve"> En cuanto a las investigaciones realizadas, la Comisión determinó que mientras el caso estuvo bajo conocimiento de la justicia penal militar, el Estado incumplió con su obligación de investigar de manera independiente e imparcial. Asimismo, la Comisión determinó que </w:t>
      </w:r>
      <w:r w:rsidR="008E2D07" w:rsidRPr="005F4FD8">
        <w:rPr>
          <w:rFonts w:ascii="Cambria" w:hAnsi="Cambria"/>
          <w:sz w:val="20"/>
          <w:szCs w:val="20"/>
          <w:lang w:val="es-CR"/>
        </w:rPr>
        <w:t>si bien las autoridades judiciales de Guatemala condenaron a catorce miembros de las Fuerzas Armadas por los hechos referidos, a lo largo del proceso que llevó a esta conclusión, se configuraron deficiencias e irregularidades que  constituyeron violaciones del deber de investigar con la debida diligencia y en un plazo razonable.</w:t>
      </w:r>
      <w:r w:rsidR="00C11485" w:rsidRPr="005F4FD8">
        <w:rPr>
          <w:rFonts w:ascii="Cambria" w:hAnsi="Cambria"/>
          <w:sz w:val="20"/>
          <w:szCs w:val="20"/>
          <w:lang w:val="es-CR"/>
        </w:rPr>
        <w:t xml:space="preserve"> </w:t>
      </w:r>
      <w:r w:rsidR="008E2D07" w:rsidRPr="005F4FD8">
        <w:rPr>
          <w:rFonts w:ascii="Cambria" w:hAnsi="Cambria"/>
          <w:sz w:val="20"/>
          <w:szCs w:val="20"/>
          <w:lang w:val="es-CR"/>
        </w:rPr>
        <w:t xml:space="preserve"> La Comisión también concluyó que el Estado incumplió </w:t>
      </w:r>
      <w:r w:rsidR="008E2D07" w:rsidRPr="005F4FD8">
        <w:rPr>
          <w:rFonts w:ascii="Cambria" w:hAnsi="Cambria"/>
          <w:sz w:val="20"/>
          <w:szCs w:val="20"/>
          <w:lang w:val="es-ES"/>
        </w:rPr>
        <w:t>su obligación de remover los obstáculos generados por las amenazas y hostigamientos en contra de diversos actores en el proceso. Finalmente, la Comisión determinó que los hechos constituyeron una expresión de la discriminación racial ejercida contra el pueblo maya durante el conflicto armado en Guatemala.</w:t>
      </w:r>
    </w:p>
    <w:p w:rsidR="008E2D07" w:rsidRPr="005F4FD8" w:rsidRDefault="008E2D07" w:rsidP="005F4FD8">
      <w:pPr>
        <w:pStyle w:val="NormalWeb"/>
        <w:spacing w:before="0" w:beforeAutospacing="0" w:after="0" w:afterAutospacing="0" w:line="276" w:lineRule="auto"/>
        <w:ind w:firstLine="720"/>
        <w:jc w:val="both"/>
        <w:rPr>
          <w:rFonts w:ascii="Cambria" w:hAnsi="Cambria"/>
          <w:sz w:val="20"/>
          <w:szCs w:val="20"/>
          <w:lang w:val="es-PE"/>
        </w:rPr>
      </w:pPr>
    </w:p>
    <w:p w:rsidR="008E2D07" w:rsidRPr="005F4FD8" w:rsidRDefault="00985D82" w:rsidP="005F4FD8">
      <w:pPr>
        <w:pStyle w:val="NormalWeb"/>
        <w:spacing w:before="0" w:beforeAutospacing="0" w:after="0" w:afterAutospacing="0" w:line="276" w:lineRule="auto"/>
        <w:ind w:firstLine="720"/>
        <w:jc w:val="both"/>
        <w:rPr>
          <w:rFonts w:ascii="Cambria" w:hAnsi="Cambria"/>
          <w:sz w:val="20"/>
          <w:szCs w:val="20"/>
          <w:lang w:val="es-PE"/>
        </w:rPr>
      </w:pPr>
      <w:r w:rsidRPr="005F4FD8">
        <w:rPr>
          <w:rFonts w:ascii="Cambria" w:hAnsi="Cambria"/>
          <w:sz w:val="20"/>
          <w:szCs w:val="20"/>
          <w:lang w:val="es-PE"/>
        </w:rPr>
        <w:t xml:space="preserve">El Estado  </w:t>
      </w:r>
      <w:r w:rsidR="0007703C" w:rsidRPr="005F4FD8">
        <w:rPr>
          <w:rFonts w:ascii="Cambria" w:hAnsi="Cambria"/>
          <w:sz w:val="20"/>
          <w:szCs w:val="20"/>
          <w:lang w:val="es-PE"/>
        </w:rPr>
        <w:t xml:space="preserve">guatemalteco </w:t>
      </w:r>
      <w:r w:rsidRPr="005F4FD8">
        <w:rPr>
          <w:rFonts w:ascii="Cambria" w:hAnsi="Cambria"/>
          <w:sz w:val="20"/>
          <w:szCs w:val="20"/>
          <w:lang w:val="es-PE"/>
        </w:rPr>
        <w:t xml:space="preserve">ratificó la </w:t>
      </w:r>
      <w:proofErr w:type="spellStart"/>
      <w:r w:rsidRPr="005F4FD8">
        <w:rPr>
          <w:rFonts w:ascii="Cambria" w:hAnsi="Cambria"/>
          <w:sz w:val="20"/>
          <w:szCs w:val="20"/>
          <w:lang w:val="es-PE"/>
        </w:rPr>
        <w:t>Convención</w:t>
      </w:r>
      <w:proofErr w:type="spellEnd"/>
      <w:r w:rsidRPr="005F4FD8">
        <w:rPr>
          <w:rFonts w:ascii="Cambria" w:hAnsi="Cambria"/>
          <w:sz w:val="20"/>
          <w:szCs w:val="20"/>
          <w:lang w:val="es-PE"/>
        </w:rPr>
        <w:t xml:space="preserve"> Americ</w:t>
      </w:r>
      <w:r w:rsidR="00E55000" w:rsidRPr="005F4FD8">
        <w:rPr>
          <w:rFonts w:ascii="Cambria" w:hAnsi="Cambria"/>
          <w:sz w:val="20"/>
          <w:szCs w:val="20"/>
          <w:lang w:val="es-PE"/>
        </w:rPr>
        <w:t>ana sobre Derechos Humanos el 25</w:t>
      </w:r>
      <w:r w:rsidRPr="005F4FD8">
        <w:rPr>
          <w:rFonts w:ascii="Cambria" w:hAnsi="Cambria"/>
          <w:sz w:val="20"/>
          <w:szCs w:val="20"/>
          <w:lang w:val="es-PE"/>
        </w:rPr>
        <w:t xml:space="preserve"> de </w:t>
      </w:r>
      <w:r w:rsidR="00E55000" w:rsidRPr="005F4FD8">
        <w:rPr>
          <w:rFonts w:ascii="Cambria" w:hAnsi="Cambria"/>
          <w:sz w:val="20"/>
          <w:szCs w:val="20"/>
          <w:lang w:val="es-PE"/>
        </w:rPr>
        <w:t>mayo de 1978</w:t>
      </w:r>
      <w:r w:rsidRPr="005F4FD8">
        <w:rPr>
          <w:rFonts w:ascii="Cambria" w:hAnsi="Cambria"/>
          <w:sz w:val="20"/>
          <w:szCs w:val="20"/>
          <w:lang w:val="es-PE"/>
        </w:rPr>
        <w:t xml:space="preserve"> y aceptó la competencia contenciosa d</w:t>
      </w:r>
      <w:r w:rsidR="00E55000" w:rsidRPr="005F4FD8">
        <w:rPr>
          <w:rFonts w:ascii="Cambria" w:hAnsi="Cambria"/>
          <w:sz w:val="20"/>
          <w:szCs w:val="20"/>
          <w:lang w:val="es-PE"/>
        </w:rPr>
        <w:t>e la Corte Interamericana el 9 de marzo de 1987.</w:t>
      </w:r>
    </w:p>
    <w:p w:rsidR="008E2D07" w:rsidRPr="005F4FD8" w:rsidRDefault="008E2D07" w:rsidP="005F4FD8">
      <w:pPr>
        <w:tabs>
          <w:tab w:val="left" w:pos="810"/>
        </w:tabs>
        <w:spacing w:after="0"/>
        <w:ind w:firstLine="720"/>
        <w:jc w:val="both"/>
        <w:rPr>
          <w:rFonts w:ascii="Cambria" w:hAnsi="Cambria"/>
          <w:sz w:val="20"/>
          <w:szCs w:val="20"/>
          <w:lang w:val="es-CO"/>
        </w:rPr>
      </w:pPr>
    </w:p>
    <w:p w:rsidR="008E2D07" w:rsidRPr="005F4FD8" w:rsidRDefault="008E2D07" w:rsidP="005F4FD8">
      <w:pPr>
        <w:tabs>
          <w:tab w:val="left" w:pos="810"/>
        </w:tabs>
        <w:spacing w:after="0"/>
        <w:ind w:firstLine="720"/>
        <w:jc w:val="both"/>
        <w:rPr>
          <w:rFonts w:ascii="Cambria" w:hAnsi="Cambria" w:cs="Arial"/>
          <w:sz w:val="20"/>
          <w:szCs w:val="20"/>
          <w:lang w:val="es-CO"/>
        </w:rPr>
      </w:pPr>
      <w:r w:rsidRPr="005F4FD8">
        <w:rPr>
          <w:rFonts w:ascii="Cambria" w:hAnsi="Cambria"/>
          <w:sz w:val="20"/>
          <w:szCs w:val="20"/>
          <w:lang w:val="es-CO"/>
        </w:rPr>
        <w:t>La Comisión ha designado al Comisionado Enrique Gil Botero y al Secretario Ejecutivo Paulo Abr</w:t>
      </w:r>
      <w:proofErr w:type="spellStart"/>
      <w:r w:rsidRPr="005F4FD8">
        <w:rPr>
          <w:rFonts w:ascii="Cambria" w:hAnsi="Cambria"/>
          <w:sz w:val="20"/>
          <w:szCs w:val="20"/>
          <w:lang w:val="es-PE"/>
        </w:rPr>
        <w:t>ão</w:t>
      </w:r>
      <w:proofErr w:type="spellEnd"/>
      <w:r w:rsidRPr="005F4FD8">
        <w:rPr>
          <w:rFonts w:ascii="Cambria" w:hAnsi="Cambria"/>
          <w:sz w:val="20"/>
          <w:szCs w:val="20"/>
          <w:lang w:val="es-PE"/>
        </w:rPr>
        <w:t xml:space="preserve">, </w:t>
      </w:r>
      <w:r w:rsidRPr="005F4FD8">
        <w:rPr>
          <w:rFonts w:ascii="Cambria" w:hAnsi="Cambria"/>
          <w:sz w:val="20"/>
          <w:szCs w:val="20"/>
          <w:lang w:val="es-CO"/>
        </w:rPr>
        <w:t>como sus delegados. Asimismo, Elizabeth Abi-Mershed, Secretaria Ejecutiva Adjunta, Silvia Serrano Guzmán y Erick Acuña Pereda, abogada y abogado</w:t>
      </w:r>
      <w:r w:rsidRPr="005F4FD8">
        <w:rPr>
          <w:rFonts w:ascii="Cambria" w:hAnsi="Cambria"/>
          <w:sz w:val="20"/>
          <w:szCs w:val="20"/>
          <w:lang w:val="es-ES"/>
        </w:rPr>
        <w:t xml:space="preserve"> de la Secretaría Ejecutiva, </w:t>
      </w:r>
      <w:r w:rsidRPr="005F4FD8">
        <w:rPr>
          <w:rFonts w:ascii="Cambria" w:hAnsi="Cambria"/>
          <w:sz w:val="20"/>
          <w:szCs w:val="20"/>
          <w:lang w:val="es-CO"/>
        </w:rPr>
        <w:t>actuarán como asesoras y asesor legales.</w:t>
      </w:r>
    </w:p>
    <w:p w:rsidR="00985D82" w:rsidRPr="005F4FD8" w:rsidRDefault="00985D82" w:rsidP="005F4FD8">
      <w:pPr>
        <w:pStyle w:val="NormalWeb"/>
        <w:spacing w:before="0" w:beforeAutospacing="0" w:after="0" w:afterAutospacing="0" w:line="276" w:lineRule="auto"/>
        <w:ind w:firstLine="720"/>
        <w:jc w:val="both"/>
        <w:rPr>
          <w:rFonts w:ascii="Cambria" w:hAnsi="Cambria"/>
          <w:sz w:val="20"/>
          <w:szCs w:val="20"/>
          <w:lang w:val="es-PE"/>
        </w:rPr>
      </w:pPr>
    </w:p>
    <w:p w:rsidR="00E955A3" w:rsidRPr="005F4FD8" w:rsidRDefault="00E955A3" w:rsidP="005F4FD8">
      <w:pPr>
        <w:tabs>
          <w:tab w:val="left" w:pos="810"/>
        </w:tabs>
        <w:spacing w:after="0"/>
        <w:ind w:firstLine="720"/>
        <w:jc w:val="both"/>
        <w:rPr>
          <w:rFonts w:ascii="Cambria" w:hAnsi="Cambria"/>
          <w:sz w:val="20"/>
          <w:szCs w:val="20"/>
          <w:lang w:val="es-AR"/>
        </w:rPr>
      </w:pPr>
      <w:r w:rsidRPr="005F4FD8">
        <w:rPr>
          <w:rFonts w:ascii="Cambria" w:hAnsi="Cambria" w:cs="Arial"/>
          <w:sz w:val="20"/>
          <w:szCs w:val="20"/>
          <w:lang w:val="es-CO"/>
        </w:rPr>
        <w:t xml:space="preserve">De conformidad con el artículo 35 del Reglamento de la Corte Interamericana, la Comisión adjunta </w:t>
      </w:r>
      <w:r w:rsidRPr="005F4FD8">
        <w:rPr>
          <w:rFonts w:ascii="Cambria" w:hAnsi="Cambria"/>
          <w:sz w:val="20"/>
          <w:szCs w:val="20"/>
          <w:lang w:val="es-CO"/>
        </w:rPr>
        <w:t xml:space="preserve">copia del informe de admisibilidad y fondo 28/16 elaborado en observancia del artículo 50 de la Convención, así como copia de la totalidad del expediente ante la Comisión Interamericana (Apéndice I) y los anexos utilizados en la elaboración del informe 28/16 (Anexos). </w:t>
      </w:r>
    </w:p>
    <w:p w:rsidR="00E955A3" w:rsidRPr="005F4FD8" w:rsidRDefault="00E955A3" w:rsidP="005F4FD8">
      <w:pPr>
        <w:pStyle w:val="NormalWeb"/>
        <w:spacing w:before="0" w:beforeAutospacing="0" w:after="0" w:afterAutospacing="0" w:line="276" w:lineRule="auto"/>
        <w:ind w:firstLine="720"/>
        <w:jc w:val="both"/>
        <w:rPr>
          <w:rFonts w:ascii="Cambria" w:hAnsi="Cambria"/>
          <w:sz w:val="20"/>
          <w:szCs w:val="20"/>
          <w:lang w:val="es-PE"/>
        </w:rPr>
      </w:pPr>
    </w:p>
    <w:p w:rsidR="00C11485" w:rsidRPr="005F4FD8" w:rsidRDefault="00C11485" w:rsidP="005F4FD8">
      <w:pPr>
        <w:pStyle w:val="NormalWeb"/>
        <w:spacing w:before="0" w:beforeAutospacing="0" w:after="0" w:afterAutospacing="0" w:line="276" w:lineRule="auto"/>
        <w:ind w:firstLine="720"/>
        <w:jc w:val="both"/>
        <w:rPr>
          <w:rFonts w:ascii="Cambria" w:hAnsi="Cambria"/>
          <w:sz w:val="20"/>
          <w:szCs w:val="20"/>
          <w:lang w:val="es-PE"/>
        </w:rPr>
      </w:pPr>
    </w:p>
    <w:p w:rsidR="00EE5A47" w:rsidRPr="005F4FD8" w:rsidRDefault="00EE5A47" w:rsidP="005F4FD8">
      <w:pPr>
        <w:pStyle w:val="NormalWeb"/>
        <w:spacing w:before="0" w:beforeAutospacing="0" w:after="0" w:afterAutospacing="0" w:line="276" w:lineRule="auto"/>
        <w:ind w:firstLine="720"/>
        <w:jc w:val="both"/>
        <w:rPr>
          <w:rFonts w:ascii="Cambria" w:hAnsi="Cambria"/>
          <w:sz w:val="20"/>
          <w:szCs w:val="20"/>
          <w:lang w:val="es-PE"/>
        </w:rPr>
      </w:pPr>
    </w:p>
    <w:p w:rsidR="005F4FD8" w:rsidRDefault="005F4FD8" w:rsidP="005F4FD8">
      <w:pPr>
        <w:widowControl w:val="0"/>
        <w:tabs>
          <w:tab w:val="left" w:pos="810"/>
        </w:tabs>
        <w:autoSpaceDE w:val="0"/>
        <w:autoSpaceDN w:val="0"/>
        <w:adjustRightInd w:val="0"/>
        <w:spacing w:after="0"/>
        <w:jc w:val="both"/>
        <w:rPr>
          <w:rFonts w:ascii="Cambria" w:hAnsi="Cambria" w:cs="Arial"/>
          <w:snapToGrid w:val="0"/>
          <w:sz w:val="20"/>
          <w:szCs w:val="20"/>
          <w:lang w:val="es-ES_tradnl"/>
        </w:rPr>
      </w:pPr>
    </w:p>
    <w:p w:rsidR="00CA23D7" w:rsidRPr="005F4FD8" w:rsidRDefault="00CA23D7" w:rsidP="005F4FD8">
      <w:pPr>
        <w:widowControl w:val="0"/>
        <w:tabs>
          <w:tab w:val="left" w:pos="810"/>
        </w:tabs>
        <w:autoSpaceDE w:val="0"/>
        <w:autoSpaceDN w:val="0"/>
        <w:adjustRightInd w:val="0"/>
        <w:spacing w:after="0"/>
        <w:jc w:val="both"/>
        <w:rPr>
          <w:rFonts w:ascii="Cambria" w:hAnsi="Cambria" w:cs="Arial"/>
          <w:snapToGrid w:val="0"/>
          <w:sz w:val="20"/>
          <w:szCs w:val="20"/>
          <w:lang w:val="es-CO"/>
        </w:rPr>
      </w:pPr>
      <w:r w:rsidRPr="005F4FD8">
        <w:rPr>
          <w:rFonts w:ascii="Cambria" w:hAnsi="Cambria" w:cs="Arial"/>
          <w:snapToGrid w:val="0"/>
          <w:sz w:val="20"/>
          <w:szCs w:val="20"/>
          <w:lang w:val="es-ES_tradnl"/>
        </w:rPr>
        <w:lastRenderedPageBreak/>
        <w:t>Señor</w:t>
      </w:r>
    </w:p>
    <w:p w:rsidR="00CA23D7" w:rsidRPr="005F4FD8" w:rsidRDefault="00CA23D7" w:rsidP="005F4FD8">
      <w:pPr>
        <w:widowControl w:val="0"/>
        <w:tabs>
          <w:tab w:val="left" w:pos="810"/>
        </w:tabs>
        <w:autoSpaceDE w:val="0"/>
        <w:autoSpaceDN w:val="0"/>
        <w:adjustRightInd w:val="0"/>
        <w:spacing w:after="0"/>
        <w:jc w:val="both"/>
        <w:rPr>
          <w:rFonts w:ascii="Cambria" w:hAnsi="Cambria" w:cs="Arial"/>
          <w:snapToGrid w:val="0"/>
          <w:sz w:val="20"/>
          <w:szCs w:val="20"/>
          <w:lang w:val="es-CO"/>
        </w:rPr>
      </w:pPr>
      <w:r w:rsidRPr="005F4FD8">
        <w:rPr>
          <w:rFonts w:ascii="Cambria" w:hAnsi="Cambria" w:cs="Arial"/>
          <w:snapToGrid w:val="0"/>
          <w:sz w:val="20"/>
          <w:szCs w:val="20"/>
          <w:lang w:val="es-CO"/>
        </w:rPr>
        <w:t xml:space="preserve">Pablo </w:t>
      </w:r>
      <w:r w:rsidRPr="005F4FD8">
        <w:rPr>
          <w:rFonts w:ascii="Cambria" w:hAnsi="Cambria"/>
          <w:sz w:val="20"/>
          <w:szCs w:val="20"/>
          <w:lang w:val="es-ES"/>
        </w:rPr>
        <w:t>Saavedra</w:t>
      </w:r>
      <w:r w:rsidRPr="005F4FD8">
        <w:rPr>
          <w:rFonts w:ascii="Cambria" w:hAnsi="Cambria" w:cs="Arial"/>
          <w:snapToGrid w:val="0"/>
          <w:sz w:val="20"/>
          <w:szCs w:val="20"/>
          <w:lang w:val="es-CO"/>
        </w:rPr>
        <w:t xml:space="preserve"> Alessandri, Secretario</w:t>
      </w:r>
    </w:p>
    <w:p w:rsidR="00CA23D7" w:rsidRPr="005F4FD8" w:rsidRDefault="00CA23D7" w:rsidP="005F4FD8">
      <w:pPr>
        <w:widowControl w:val="0"/>
        <w:tabs>
          <w:tab w:val="left" w:pos="810"/>
        </w:tabs>
        <w:autoSpaceDE w:val="0"/>
        <w:autoSpaceDN w:val="0"/>
        <w:adjustRightInd w:val="0"/>
        <w:spacing w:after="0"/>
        <w:jc w:val="both"/>
        <w:rPr>
          <w:rFonts w:ascii="Cambria" w:hAnsi="Cambria" w:cs="Arial"/>
          <w:snapToGrid w:val="0"/>
          <w:sz w:val="20"/>
          <w:szCs w:val="20"/>
          <w:lang w:val="es-ES_tradnl"/>
        </w:rPr>
      </w:pPr>
      <w:r w:rsidRPr="005F4FD8">
        <w:rPr>
          <w:rFonts w:ascii="Cambria" w:hAnsi="Cambria" w:cs="Arial"/>
          <w:snapToGrid w:val="0"/>
          <w:sz w:val="20"/>
          <w:szCs w:val="20"/>
          <w:lang w:val="es-ES_tradnl"/>
        </w:rPr>
        <w:t>Corte Interamericana de Derechos Humanos</w:t>
      </w:r>
    </w:p>
    <w:p w:rsidR="00CA23D7" w:rsidRPr="005F4FD8" w:rsidRDefault="00CA23D7" w:rsidP="005F4FD8">
      <w:pPr>
        <w:widowControl w:val="0"/>
        <w:tabs>
          <w:tab w:val="left" w:pos="810"/>
        </w:tabs>
        <w:autoSpaceDE w:val="0"/>
        <w:autoSpaceDN w:val="0"/>
        <w:adjustRightInd w:val="0"/>
        <w:spacing w:after="0"/>
        <w:jc w:val="both"/>
        <w:rPr>
          <w:rFonts w:ascii="Cambria" w:hAnsi="Cambria" w:cs="Arial"/>
          <w:snapToGrid w:val="0"/>
          <w:sz w:val="20"/>
          <w:szCs w:val="20"/>
          <w:lang w:val="es-ES_tradnl"/>
        </w:rPr>
      </w:pPr>
      <w:r w:rsidRPr="005F4FD8">
        <w:rPr>
          <w:rFonts w:ascii="Cambria" w:hAnsi="Cambria" w:cs="Arial"/>
          <w:snapToGrid w:val="0"/>
          <w:sz w:val="20"/>
          <w:szCs w:val="20"/>
          <w:lang w:val="es-ES_tradnl"/>
        </w:rPr>
        <w:t>Apartado 6906-1000, San José, Costa Rica</w:t>
      </w:r>
    </w:p>
    <w:p w:rsidR="00C11485" w:rsidRPr="005F4FD8" w:rsidRDefault="00C11485" w:rsidP="005F4FD8">
      <w:pPr>
        <w:widowControl w:val="0"/>
        <w:tabs>
          <w:tab w:val="left" w:pos="810"/>
        </w:tabs>
        <w:autoSpaceDE w:val="0"/>
        <w:autoSpaceDN w:val="0"/>
        <w:adjustRightInd w:val="0"/>
        <w:spacing w:after="0"/>
        <w:jc w:val="both"/>
        <w:rPr>
          <w:rFonts w:ascii="Cambria" w:hAnsi="Cambria" w:cs="Arial"/>
          <w:snapToGrid w:val="0"/>
          <w:sz w:val="20"/>
          <w:szCs w:val="20"/>
          <w:lang w:val="es-ES_tradnl"/>
        </w:rPr>
      </w:pPr>
    </w:p>
    <w:p w:rsidR="00985D82" w:rsidRPr="005F4FD8" w:rsidRDefault="00985D82" w:rsidP="005F4FD8">
      <w:pPr>
        <w:widowControl w:val="0"/>
        <w:tabs>
          <w:tab w:val="left" w:pos="810"/>
        </w:tabs>
        <w:autoSpaceDE w:val="0"/>
        <w:autoSpaceDN w:val="0"/>
        <w:adjustRightInd w:val="0"/>
        <w:spacing w:after="0"/>
        <w:jc w:val="both"/>
        <w:rPr>
          <w:rFonts w:ascii="Cambria" w:hAnsi="Cambria" w:cs="Arial"/>
          <w:sz w:val="20"/>
          <w:szCs w:val="20"/>
          <w:lang w:val="es-ES"/>
        </w:rPr>
      </w:pPr>
    </w:p>
    <w:p w:rsidR="00985D82" w:rsidRPr="005F4FD8" w:rsidRDefault="00985D82" w:rsidP="005F4FD8">
      <w:pPr>
        <w:tabs>
          <w:tab w:val="left" w:pos="810"/>
        </w:tabs>
        <w:spacing w:after="0"/>
        <w:ind w:firstLine="720"/>
        <w:jc w:val="both"/>
        <w:rPr>
          <w:rFonts w:ascii="Cambria" w:hAnsi="Cambria"/>
          <w:sz w:val="20"/>
          <w:szCs w:val="20"/>
          <w:lang w:val="es-AR"/>
        </w:rPr>
      </w:pPr>
      <w:r w:rsidRPr="005F4FD8">
        <w:rPr>
          <w:rFonts w:ascii="Cambria" w:hAnsi="Cambria"/>
          <w:sz w:val="20"/>
          <w:szCs w:val="20"/>
          <w:lang w:val="es-CO"/>
        </w:rPr>
        <w:tab/>
        <w:t xml:space="preserve">Dicho informe de fondo </w:t>
      </w:r>
      <w:r w:rsidRPr="005F4FD8">
        <w:rPr>
          <w:rFonts w:ascii="Cambria" w:hAnsi="Cambria"/>
          <w:sz w:val="20"/>
          <w:szCs w:val="20"/>
          <w:lang w:val="es-AR"/>
        </w:rPr>
        <w:t>fue notificado al Estado el 2</w:t>
      </w:r>
      <w:r w:rsidR="009A659F" w:rsidRPr="005F4FD8">
        <w:rPr>
          <w:rFonts w:ascii="Cambria" w:hAnsi="Cambria"/>
          <w:sz w:val="20"/>
          <w:szCs w:val="20"/>
          <w:lang w:val="es-AR"/>
        </w:rPr>
        <w:t>1</w:t>
      </w:r>
      <w:r w:rsidR="006065E7" w:rsidRPr="005F4FD8">
        <w:rPr>
          <w:rFonts w:ascii="Cambria" w:hAnsi="Cambria"/>
          <w:sz w:val="20"/>
          <w:szCs w:val="20"/>
          <w:lang w:val="es-AR"/>
        </w:rPr>
        <w:t xml:space="preserve"> de junio de 2016</w:t>
      </w:r>
      <w:r w:rsidRPr="005F4FD8">
        <w:rPr>
          <w:rFonts w:ascii="Cambria" w:hAnsi="Cambria"/>
          <w:sz w:val="20"/>
          <w:szCs w:val="20"/>
          <w:lang w:val="es-AR"/>
        </w:rPr>
        <w:t>, otorgándole dos meses para informar sobre el cumplimiento de las recomendaciones.</w:t>
      </w:r>
      <w:r w:rsidR="00EE5A47" w:rsidRPr="005F4FD8">
        <w:rPr>
          <w:rFonts w:ascii="Cambria" w:hAnsi="Cambria"/>
          <w:sz w:val="20"/>
          <w:szCs w:val="20"/>
          <w:lang w:val="es-AR"/>
        </w:rPr>
        <w:t xml:space="preserve"> </w:t>
      </w:r>
      <w:r w:rsidRPr="005F4FD8">
        <w:rPr>
          <w:rFonts w:ascii="Cambria" w:hAnsi="Cambria"/>
          <w:sz w:val="20"/>
          <w:szCs w:val="20"/>
          <w:lang w:val="es-AR"/>
        </w:rPr>
        <w:t xml:space="preserve"> El Estado de</w:t>
      </w:r>
      <w:r w:rsidR="006065E7" w:rsidRPr="005F4FD8">
        <w:rPr>
          <w:rFonts w:ascii="Cambria" w:hAnsi="Cambria"/>
          <w:sz w:val="20"/>
          <w:szCs w:val="20"/>
          <w:lang w:val="es-AR"/>
        </w:rPr>
        <w:t xml:space="preserve"> Guatemala </w:t>
      </w:r>
      <w:r w:rsidRPr="005F4FD8">
        <w:rPr>
          <w:rFonts w:ascii="Cambria" w:hAnsi="Cambria"/>
          <w:sz w:val="20"/>
          <w:szCs w:val="20"/>
          <w:lang w:val="es-AR"/>
        </w:rPr>
        <w:t>pr</w:t>
      </w:r>
      <w:r w:rsidR="000024BD" w:rsidRPr="005F4FD8">
        <w:rPr>
          <w:rFonts w:ascii="Cambria" w:hAnsi="Cambria"/>
          <w:sz w:val="20"/>
          <w:szCs w:val="20"/>
          <w:lang w:val="es-AR"/>
        </w:rPr>
        <w:t xml:space="preserve">esentó un escrito en el cual informó sobre acercamientos con </w:t>
      </w:r>
      <w:r w:rsidR="00000E36" w:rsidRPr="005F4FD8">
        <w:rPr>
          <w:rFonts w:ascii="Cambria" w:hAnsi="Cambria"/>
          <w:sz w:val="20"/>
          <w:szCs w:val="20"/>
          <w:lang w:val="es-AR"/>
        </w:rPr>
        <w:t>los peticionarios</w:t>
      </w:r>
      <w:r w:rsidR="009A659F" w:rsidRPr="005F4FD8">
        <w:rPr>
          <w:rFonts w:ascii="Cambria" w:hAnsi="Cambria"/>
          <w:sz w:val="20"/>
          <w:szCs w:val="20"/>
          <w:lang w:val="es-AR"/>
        </w:rPr>
        <w:t xml:space="preserve"> y una visita a la comunidad.</w:t>
      </w:r>
      <w:r w:rsidR="00000E36" w:rsidRPr="005F4FD8">
        <w:rPr>
          <w:rFonts w:ascii="Cambria" w:hAnsi="Cambria"/>
          <w:sz w:val="20"/>
          <w:szCs w:val="20"/>
          <w:lang w:val="es-AR"/>
        </w:rPr>
        <w:t xml:space="preserve"> </w:t>
      </w:r>
      <w:r w:rsidR="00EE5A47" w:rsidRPr="005F4FD8">
        <w:rPr>
          <w:rFonts w:ascii="Cambria" w:hAnsi="Cambria"/>
          <w:sz w:val="20"/>
          <w:szCs w:val="20"/>
          <w:lang w:val="es-AR"/>
        </w:rPr>
        <w:t xml:space="preserve"> </w:t>
      </w:r>
      <w:r w:rsidR="009A659F" w:rsidRPr="005F4FD8">
        <w:rPr>
          <w:rFonts w:ascii="Cambria" w:hAnsi="Cambria"/>
          <w:sz w:val="20"/>
          <w:szCs w:val="20"/>
          <w:lang w:val="es-AR"/>
        </w:rPr>
        <w:t>Por su parte, los peticionarios confirmaron los acercamientos pero indicaron que la reunión más reciente fue infructuosa y solicitaron el envío del caso a la Corte Interamericana.</w:t>
      </w:r>
      <w:r w:rsidR="00EE5A47" w:rsidRPr="005F4FD8">
        <w:rPr>
          <w:rFonts w:ascii="Cambria" w:hAnsi="Cambria"/>
          <w:sz w:val="20"/>
          <w:szCs w:val="20"/>
          <w:lang w:val="es-AR"/>
        </w:rPr>
        <w:t xml:space="preserve"> </w:t>
      </w:r>
      <w:r w:rsidR="009A659F" w:rsidRPr="005F4FD8">
        <w:rPr>
          <w:rFonts w:ascii="Cambria" w:hAnsi="Cambria"/>
          <w:sz w:val="20"/>
          <w:szCs w:val="20"/>
          <w:lang w:val="es-AR"/>
        </w:rPr>
        <w:t xml:space="preserve"> El Estado guatemalteco no solicitó la suspensión del plazo previsto en el artículo 51 de la Convención</w:t>
      </w:r>
      <w:r w:rsidR="00F543E1" w:rsidRPr="005F4FD8">
        <w:rPr>
          <w:rFonts w:ascii="Cambria" w:hAnsi="Cambria"/>
          <w:sz w:val="20"/>
          <w:szCs w:val="20"/>
          <w:lang w:val="es-AR"/>
        </w:rPr>
        <w:t xml:space="preserve"> Americana</w:t>
      </w:r>
      <w:r w:rsidR="009A659F" w:rsidRPr="005F4FD8">
        <w:rPr>
          <w:rFonts w:ascii="Cambria" w:hAnsi="Cambria"/>
          <w:sz w:val="20"/>
          <w:szCs w:val="20"/>
          <w:lang w:val="es-AR"/>
        </w:rPr>
        <w:t xml:space="preserve"> ni renunció expresamente a interponer excepciones preliminares ante la Corte Interamericana </w:t>
      </w:r>
      <w:r w:rsidR="00F543E1" w:rsidRPr="005F4FD8">
        <w:rPr>
          <w:rFonts w:ascii="Cambria" w:hAnsi="Cambria"/>
          <w:sz w:val="20"/>
          <w:szCs w:val="20"/>
          <w:lang w:val="es-AR"/>
        </w:rPr>
        <w:t xml:space="preserve">por el incumplimiento </w:t>
      </w:r>
      <w:r w:rsidR="009A659F" w:rsidRPr="005F4FD8">
        <w:rPr>
          <w:rFonts w:ascii="Cambria" w:hAnsi="Cambria"/>
          <w:sz w:val="20"/>
          <w:szCs w:val="20"/>
          <w:lang w:val="es-AR"/>
        </w:rPr>
        <w:t>de dicho plazo, tal como lo exige el Reglamento de la Comisión</w:t>
      </w:r>
      <w:r w:rsidR="00063390" w:rsidRPr="005F4FD8">
        <w:rPr>
          <w:rFonts w:ascii="Cambria" w:hAnsi="Cambria"/>
          <w:sz w:val="20"/>
          <w:szCs w:val="20"/>
          <w:lang w:val="es-AR"/>
        </w:rPr>
        <w:t>, para considerar</w:t>
      </w:r>
      <w:r w:rsidR="0055399C" w:rsidRPr="005F4FD8">
        <w:rPr>
          <w:rFonts w:ascii="Cambria" w:hAnsi="Cambria"/>
          <w:sz w:val="20"/>
          <w:szCs w:val="20"/>
          <w:lang w:val="es-AR"/>
        </w:rPr>
        <w:t xml:space="preserve"> </w:t>
      </w:r>
      <w:r w:rsidR="00063390" w:rsidRPr="005F4FD8">
        <w:rPr>
          <w:rFonts w:ascii="Cambria" w:hAnsi="Cambria"/>
          <w:sz w:val="20"/>
          <w:szCs w:val="20"/>
          <w:lang w:val="es-AR"/>
        </w:rPr>
        <w:t>la posibilidad de suspender dicho plazo</w:t>
      </w:r>
      <w:r w:rsidR="009A659F" w:rsidRPr="005F4FD8">
        <w:rPr>
          <w:rFonts w:ascii="Cambria" w:hAnsi="Cambria"/>
          <w:sz w:val="20"/>
          <w:szCs w:val="20"/>
          <w:lang w:val="es-AR"/>
        </w:rPr>
        <w:t xml:space="preserve">. </w:t>
      </w:r>
      <w:r w:rsidR="00000E36" w:rsidRPr="005F4FD8">
        <w:rPr>
          <w:rFonts w:ascii="Cambria" w:hAnsi="Cambria"/>
          <w:sz w:val="20"/>
          <w:szCs w:val="20"/>
          <w:lang w:val="es-AR"/>
        </w:rPr>
        <w:t xml:space="preserve"> </w:t>
      </w:r>
    </w:p>
    <w:p w:rsidR="00985D82" w:rsidRPr="005F4FD8" w:rsidRDefault="00985D82" w:rsidP="005F4FD8">
      <w:pPr>
        <w:tabs>
          <w:tab w:val="left" w:pos="810"/>
        </w:tabs>
        <w:spacing w:after="0"/>
        <w:ind w:firstLine="720"/>
        <w:jc w:val="both"/>
        <w:rPr>
          <w:rFonts w:ascii="Cambria" w:hAnsi="Cambria"/>
          <w:sz w:val="20"/>
          <w:szCs w:val="20"/>
          <w:lang w:val="es-AR"/>
        </w:rPr>
      </w:pPr>
    </w:p>
    <w:p w:rsidR="00985D82" w:rsidRPr="005F4FD8" w:rsidRDefault="00F543E1" w:rsidP="005F4FD8">
      <w:pPr>
        <w:tabs>
          <w:tab w:val="left" w:pos="810"/>
        </w:tabs>
        <w:spacing w:after="0"/>
        <w:ind w:firstLine="720"/>
        <w:jc w:val="both"/>
        <w:rPr>
          <w:rFonts w:ascii="Cambria" w:hAnsi="Cambria"/>
          <w:sz w:val="20"/>
          <w:szCs w:val="20"/>
          <w:lang w:val="es-AR"/>
        </w:rPr>
      </w:pPr>
      <w:r w:rsidRPr="005F4FD8">
        <w:rPr>
          <w:rFonts w:ascii="Cambria" w:hAnsi="Cambria"/>
          <w:sz w:val="20"/>
          <w:szCs w:val="20"/>
          <w:lang w:val="es-AR"/>
        </w:rPr>
        <w:t>En virtud de lo anterior,</w:t>
      </w:r>
      <w:r w:rsidR="00985D82" w:rsidRPr="005F4FD8">
        <w:rPr>
          <w:rFonts w:ascii="Cambria" w:hAnsi="Cambria"/>
          <w:sz w:val="20"/>
          <w:szCs w:val="20"/>
          <w:lang w:val="es-AR"/>
        </w:rPr>
        <w:t xml:space="preserve"> l</w:t>
      </w:r>
      <w:r w:rsidR="00985D82" w:rsidRPr="005F4FD8">
        <w:rPr>
          <w:rFonts w:ascii="Cambria" w:hAnsi="Cambria"/>
          <w:sz w:val="20"/>
          <w:szCs w:val="20"/>
          <w:lang w:val="es-CO"/>
        </w:rPr>
        <w:t xml:space="preserve">a Comisión Interamericana decidió someter a la jurisdicción de la Corte Interamericana la totalidad de los hechos y violaciones de derechos humanos descritos en el informe de </w:t>
      </w:r>
      <w:r w:rsidRPr="005F4FD8">
        <w:rPr>
          <w:rFonts w:ascii="Cambria" w:hAnsi="Cambria"/>
          <w:sz w:val="20"/>
          <w:szCs w:val="20"/>
          <w:lang w:val="es-CO"/>
        </w:rPr>
        <w:t xml:space="preserve">admisibilidad y </w:t>
      </w:r>
      <w:r w:rsidR="00985D82" w:rsidRPr="005F4FD8">
        <w:rPr>
          <w:rFonts w:ascii="Cambria" w:hAnsi="Cambria"/>
          <w:sz w:val="20"/>
          <w:szCs w:val="20"/>
          <w:lang w:val="es-CO"/>
        </w:rPr>
        <w:t xml:space="preserve">fondo </w:t>
      </w:r>
      <w:r w:rsidR="006E20DE" w:rsidRPr="005F4FD8">
        <w:rPr>
          <w:rFonts w:ascii="Cambria" w:hAnsi="Cambria"/>
          <w:sz w:val="20"/>
          <w:szCs w:val="20"/>
          <w:lang w:val="es-CO"/>
        </w:rPr>
        <w:t>2</w:t>
      </w:r>
      <w:r w:rsidRPr="005F4FD8">
        <w:rPr>
          <w:rFonts w:ascii="Cambria" w:hAnsi="Cambria"/>
          <w:sz w:val="20"/>
          <w:szCs w:val="20"/>
          <w:lang w:val="es-CO"/>
        </w:rPr>
        <w:t>8</w:t>
      </w:r>
      <w:r w:rsidR="00985D82" w:rsidRPr="005F4FD8">
        <w:rPr>
          <w:rFonts w:ascii="Cambria" w:hAnsi="Cambria"/>
          <w:sz w:val="20"/>
          <w:szCs w:val="20"/>
          <w:lang w:val="es-CO"/>
        </w:rPr>
        <w:t xml:space="preserve">/16, ante la </w:t>
      </w:r>
      <w:r w:rsidRPr="005F4FD8">
        <w:rPr>
          <w:rFonts w:ascii="Cambria" w:hAnsi="Cambria"/>
          <w:sz w:val="20"/>
          <w:szCs w:val="20"/>
          <w:lang w:val="es-CO"/>
        </w:rPr>
        <w:t>ausencia de una reparación integral e</w:t>
      </w:r>
      <w:r w:rsidR="00985D82" w:rsidRPr="005F4FD8">
        <w:rPr>
          <w:rFonts w:ascii="Cambria" w:hAnsi="Cambria"/>
          <w:sz w:val="20"/>
          <w:szCs w:val="20"/>
          <w:lang w:val="es-CO"/>
        </w:rPr>
        <w:t xml:space="preserve">n el caso particular. </w:t>
      </w:r>
    </w:p>
    <w:p w:rsidR="00985D82" w:rsidRPr="005F4FD8" w:rsidRDefault="00985D82" w:rsidP="005F4FD8">
      <w:pPr>
        <w:tabs>
          <w:tab w:val="left" w:pos="0"/>
          <w:tab w:val="left" w:pos="810"/>
        </w:tabs>
        <w:spacing w:after="0"/>
        <w:jc w:val="both"/>
        <w:rPr>
          <w:rFonts w:ascii="Cambria" w:hAnsi="Cambria"/>
          <w:sz w:val="20"/>
          <w:szCs w:val="20"/>
          <w:lang w:val="es-CO"/>
        </w:rPr>
      </w:pPr>
    </w:p>
    <w:p w:rsidR="00FF0C77" w:rsidRPr="005F4FD8" w:rsidRDefault="00985D82" w:rsidP="005F4FD8">
      <w:pPr>
        <w:spacing w:after="0"/>
        <w:ind w:firstLine="720"/>
        <w:jc w:val="both"/>
        <w:rPr>
          <w:rFonts w:ascii="Cambria" w:hAnsi="Cambria"/>
          <w:spacing w:val="-2"/>
          <w:sz w:val="20"/>
          <w:szCs w:val="20"/>
          <w:lang w:val="es-ES"/>
        </w:rPr>
      </w:pPr>
      <w:r w:rsidRPr="005F4FD8">
        <w:rPr>
          <w:rFonts w:ascii="Cambria" w:hAnsi="Cambria"/>
          <w:sz w:val="20"/>
          <w:szCs w:val="20"/>
          <w:lang w:val="es-CO"/>
        </w:rPr>
        <w:t>En ese sentido, la Comisión solicita a la Corte que concluya y declare la responsabilidad internacional del</w:t>
      </w:r>
      <w:r w:rsidRPr="005F4FD8">
        <w:rPr>
          <w:rFonts w:ascii="Cambria" w:hAnsi="Cambria" w:cs="Arial"/>
          <w:sz w:val="20"/>
          <w:szCs w:val="20"/>
          <w:lang w:val="es-CL"/>
        </w:rPr>
        <w:t xml:space="preserve"> Estado de</w:t>
      </w:r>
      <w:r w:rsidR="00FF0C77" w:rsidRPr="005F4FD8">
        <w:rPr>
          <w:rFonts w:ascii="Cambria" w:hAnsi="Cambria" w:cs="Arial"/>
          <w:sz w:val="20"/>
          <w:szCs w:val="20"/>
          <w:lang w:val="es-CL"/>
        </w:rPr>
        <w:t xml:space="preserve"> Guatemala </w:t>
      </w:r>
      <w:r w:rsidR="00A91B2E" w:rsidRPr="005F4FD8">
        <w:rPr>
          <w:rFonts w:ascii="Cambria" w:hAnsi="Cambria"/>
          <w:sz w:val="20"/>
          <w:szCs w:val="20"/>
          <w:lang w:val="es-ES"/>
        </w:rPr>
        <w:t xml:space="preserve">por la violación de los derechos establecidos en los artículos 4.1, 5.1, 8.1, 19, 24 y 25.1 de la Convención Americana, en relación con las obligaciones establecidas en el artículo 1.1 del mismo instrumento internacional, en perjuicio de i) las once personas fallecidas, incluyendo tres niños; ii) las veintinueve personas heridas, de las cuales tres murieron producto de las heridas sufridas; y iii) de sus familiares, tal como se indica en cada una de las secciones del informe de admisibilidad y fondo.  </w:t>
      </w:r>
    </w:p>
    <w:p w:rsidR="00985D82" w:rsidRPr="005F4FD8" w:rsidRDefault="00985D82" w:rsidP="005F4FD8">
      <w:pPr>
        <w:tabs>
          <w:tab w:val="left" w:pos="810"/>
        </w:tabs>
        <w:spacing w:after="0"/>
        <w:ind w:firstLine="720"/>
        <w:jc w:val="both"/>
        <w:rPr>
          <w:rFonts w:ascii="Cambria" w:hAnsi="Cambria" w:cs="Arial"/>
          <w:sz w:val="20"/>
          <w:szCs w:val="20"/>
          <w:lang w:val="es-CL"/>
        </w:rPr>
      </w:pPr>
      <w:r w:rsidRPr="005F4FD8">
        <w:rPr>
          <w:rFonts w:ascii="Cambria" w:hAnsi="Cambria" w:cs="Arial"/>
          <w:sz w:val="20"/>
          <w:szCs w:val="20"/>
          <w:lang w:val="es-CL"/>
        </w:rPr>
        <w:t xml:space="preserve"> </w:t>
      </w:r>
    </w:p>
    <w:p w:rsidR="00985D82" w:rsidRPr="005F4FD8" w:rsidRDefault="00985D82" w:rsidP="005F4FD8">
      <w:pPr>
        <w:tabs>
          <w:tab w:val="left" w:pos="810"/>
        </w:tabs>
        <w:autoSpaceDE w:val="0"/>
        <w:autoSpaceDN w:val="0"/>
        <w:adjustRightInd w:val="0"/>
        <w:spacing w:after="0"/>
        <w:ind w:firstLine="720"/>
        <w:jc w:val="both"/>
        <w:rPr>
          <w:rFonts w:ascii="Cambria" w:hAnsi="Cambria"/>
          <w:sz w:val="20"/>
          <w:szCs w:val="20"/>
          <w:lang w:val="es-CO"/>
        </w:rPr>
      </w:pPr>
      <w:r w:rsidRPr="005F4FD8">
        <w:rPr>
          <w:rFonts w:ascii="Cambria" w:hAnsi="Cambria"/>
          <w:sz w:val="20"/>
          <w:szCs w:val="20"/>
          <w:lang w:val="es-CO"/>
        </w:rPr>
        <w:t>La Comisión solicita a la Corte Interamericana que establezca las siguientes medidas de reparación:</w:t>
      </w:r>
    </w:p>
    <w:p w:rsidR="00985D82" w:rsidRPr="005F4FD8" w:rsidRDefault="00985D82" w:rsidP="005F4FD8">
      <w:pPr>
        <w:tabs>
          <w:tab w:val="left" w:pos="720"/>
          <w:tab w:val="left" w:pos="810"/>
        </w:tabs>
        <w:autoSpaceDE w:val="0"/>
        <w:autoSpaceDN w:val="0"/>
        <w:adjustRightInd w:val="0"/>
        <w:spacing w:after="0"/>
        <w:ind w:right="720"/>
        <w:jc w:val="both"/>
        <w:rPr>
          <w:rFonts w:ascii="Cambria" w:hAnsi="Cambria"/>
          <w:sz w:val="20"/>
          <w:szCs w:val="20"/>
          <w:lang w:val="es-CO"/>
        </w:rPr>
      </w:pPr>
    </w:p>
    <w:p w:rsidR="007859DD" w:rsidRPr="005F4FD8" w:rsidRDefault="007859DD" w:rsidP="005F4FD8">
      <w:pPr>
        <w:numPr>
          <w:ilvl w:val="0"/>
          <w:numId w:val="3"/>
        </w:numPr>
        <w:pBdr>
          <w:top w:val="nil"/>
          <w:left w:val="nil"/>
          <w:bottom w:val="nil"/>
          <w:right w:val="nil"/>
          <w:between w:val="nil"/>
          <w:bar w:val="nil"/>
        </w:pBdr>
        <w:tabs>
          <w:tab w:val="center" w:pos="0"/>
          <w:tab w:val="left" w:pos="1440"/>
        </w:tabs>
        <w:spacing w:after="0"/>
        <w:ind w:left="0" w:firstLine="720"/>
        <w:jc w:val="both"/>
        <w:rPr>
          <w:rFonts w:ascii="Cambria" w:eastAsia="Times New Roman" w:hAnsi="Cambria"/>
          <w:color w:val="000000"/>
          <w:sz w:val="20"/>
          <w:szCs w:val="20"/>
          <w:u w:color="000000"/>
          <w:lang w:val="es-ES" w:eastAsia="es-ES"/>
        </w:rPr>
      </w:pPr>
      <w:r w:rsidRPr="005F4FD8">
        <w:rPr>
          <w:rFonts w:ascii="Cambria" w:hAnsi="Cambria"/>
          <w:sz w:val="20"/>
          <w:szCs w:val="20"/>
          <w:lang w:val="es-ES"/>
        </w:rPr>
        <w:t>Reparar integralmente las violaciones de derechos humanos declaradas en el informe en el aspecto material, moral y cultural, incluyendo: i) una justa compensación; ii) medidas de satisfacción para la recuperación de la memoria de las víctimas y para el reconocimiento público de la responsabilidad estatal por los hechos; y iii) medidas de rehabilitación mediante la implementación de un programa de atención en salud física y mental y/o psicosocial culturalmente adecuado a los sobrevivientes y familiares de las víctimas.</w:t>
      </w:r>
    </w:p>
    <w:p w:rsidR="007859DD" w:rsidRPr="005F4FD8" w:rsidRDefault="007859DD" w:rsidP="005F4FD8">
      <w:pPr>
        <w:pBdr>
          <w:top w:val="nil"/>
          <w:left w:val="nil"/>
          <w:bottom w:val="nil"/>
          <w:right w:val="nil"/>
          <w:between w:val="nil"/>
          <w:bar w:val="nil"/>
        </w:pBdr>
        <w:tabs>
          <w:tab w:val="center" w:pos="0"/>
          <w:tab w:val="left" w:pos="1440"/>
        </w:tabs>
        <w:spacing w:after="0"/>
        <w:ind w:left="720"/>
        <w:jc w:val="both"/>
        <w:rPr>
          <w:rFonts w:ascii="Cambria" w:hAnsi="Cambria"/>
          <w:sz w:val="20"/>
          <w:szCs w:val="20"/>
          <w:lang w:val="es-ES"/>
        </w:rPr>
      </w:pPr>
    </w:p>
    <w:p w:rsidR="007859DD" w:rsidRPr="005F4FD8" w:rsidRDefault="007859DD" w:rsidP="005F4FD8">
      <w:pPr>
        <w:numPr>
          <w:ilvl w:val="0"/>
          <w:numId w:val="3"/>
        </w:numPr>
        <w:pBdr>
          <w:top w:val="nil"/>
          <w:left w:val="nil"/>
          <w:bottom w:val="nil"/>
          <w:right w:val="nil"/>
          <w:between w:val="nil"/>
          <w:bar w:val="nil"/>
        </w:pBdr>
        <w:tabs>
          <w:tab w:val="center" w:pos="0"/>
          <w:tab w:val="left" w:pos="1440"/>
        </w:tabs>
        <w:spacing w:after="0"/>
        <w:ind w:left="0" w:firstLine="720"/>
        <w:jc w:val="both"/>
        <w:rPr>
          <w:rFonts w:ascii="Cambria" w:hAnsi="Cambria"/>
          <w:sz w:val="20"/>
          <w:szCs w:val="20"/>
          <w:lang w:val="es-ES"/>
        </w:rPr>
      </w:pPr>
      <w:r w:rsidRPr="005F4FD8">
        <w:rPr>
          <w:rFonts w:ascii="Cambria" w:hAnsi="Cambria"/>
          <w:sz w:val="20"/>
          <w:szCs w:val="20"/>
          <w:lang w:val="es-ES"/>
        </w:rPr>
        <w:t xml:space="preserve">Adoptar las medidas necesarias para evitar que en el futuro se produzcan hechos similares. </w:t>
      </w:r>
      <w:r w:rsidR="00EE5A47" w:rsidRPr="005F4FD8">
        <w:rPr>
          <w:rFonts w:ascii="Cambria" w:hAnsi="Cambria"/>
          <w:sz w:val="20"/>
          <w:szCs w:val="20"/>
          <w:lang w:val="es-ES"/>
        </w:rPr>
        <w:t xml:space="preserve"> </w:t>
      </w:r>
      <w:r w:rsidRPr="005F4FD8">
        <w:rPr>
          <w:rFonts w:ascii="Cambria" w:hAnsi="Cambria"/>
          <w:sz w:val="20"/>
          <w:szCs w:val="20"/>
          <w:lang w:val="es-ES"/>
        </w:rPr>
        <w:t xml:space="preserve">Estas medidas deben incluir: i) la implementación de programas permanentes de derechos humanos y derecho internacional humanitario en las escuelas de formación de las Fuerzas Armadas; ii) el fortalecimiento de la capacidad institucional para investigar las graves violaciones de derechos humanos ocurridas durante el conflicto armado interno; y iii) adoptar mecanismos eficaces para enfrentar las amenazas y hostigamientos contra operadores jurídicos, víctimas y testigos en el marco de dichas investigaciones. </w:t>
      </w:r>
    </w:p>
    <w:p w:rsidR="00DB5ADF" w:rsidRPr="005F4FD8" w:rsidRDefault="00DB5ADF" w:rsidP="005F4FD8">
      <w:pPr>
        <w:spacing w:after="0"/>
        <w:ind w:firstLine="720"/>
        <w:jc w:val="both"/>
        <w:rPr>
          <w:rFonts w:ascii="Cambria" w:hAnsi="Cambria" w:cs="Arial"/>
          <w:color w:val="000000"/>
          <w:sz w:val="20"/>
          <w:szCs w:val="20"/>
          <w:lang w:val="es-CL"/>
        </w:rPr>
      </w:pPr>
    </w:p>
    <w:p w:rsidR="00985D82" w:rsidRPr="005F4FD8" w:rsidRDefault="00985D82" w:rsidP="005F4FD8">
      <w:pPr>
        <w:spacing w:after="0"/>
        <w:ind w:firstLine="720"/>
        <w:jc w:val="both"/>
        <w:rPr>
          <w:rFonts w:ascii="Cambria" w:eastAsia="Times New Roman" w:hAnsi="Cambria" w:cs="Cambria"/>
          <w:color w:val="000000"/>
          <w:sz w:val="20"/>
          <w:szCs w:val="20"/>
          <w:lang w:val="es-CO"/>
        </w:rPr>
      </w:pPr>
      <w:r w:rsidRPr="005F4FD8">
        <w:rPr>
          <w:rFonts w:ascii="Cambria" w:hAnsi="Cambria" w:cs="Arial"/>
          <w:color w:val="000000"/>
          <w:sz w:val="20"/>
          <w:szCs w:val="20"/>
          <w:lang w:val="es-CL"/>
        </w:rPr>
        <w:t>Además de la necesidad de obtención de justicia, la Comisión destaca que el presente caso involucra cuestiones de orden público interamericano.</w:t>
      </w:r>
      <w:r w:rsidR="00EE5A47" w:rsidRPr="005F4FD8">
        <w:rPr>
          <w:rFonts w:ascii="Cambria" w:hAnsi="Cambria" w:cs="Arial"/>
          <w:color w:val="000000"/>
          <w:sz w:val="20"/>
          <w:szCs w:val="20"/>
          <w:lang w:val="es-CL"/>
        </w:rPr>
        <w:t xml:space="preserve"> </w:t>
      </w:r>
      <w:r w:rsidRPr="005F4FD8">
        <w:rPr>
          <w:rFonts w:ascii="Cambria" w:hAnsi="Cambria" w:cs="Arial"/>
          <w:color w:val="000000"/>
          <w:sz w:val="20"/>
          <w:szCs w:val="20"/>
          <w:lang w:val="es-CL"/>
        </w:rPr>
        <w:t xml:space="preserve"> </w:t>
      </w:r>
      <w:r w:rsidR="00DB5ADF" w:rsidRPr="005F4FD8">
        <w:rPr>
          <w:rFonts w:ascii="Cambria" w:hAnsi="Cambria" w:cs="Arial"/>
          <w:color w:val="000000"/>
          <w:sz w:val="20"/>
          <w:szCs w:val="20"/>
          <w:lang w:val="es-CL"/>
        </w:rPr>
        <w:t xml:space="preserve">En particular, el presente caso constituye un reflejo de la situación que vivieron familias indígenas desplazadas como consecuencia del conflicto armado, al regresar a Guatemala. Específicamente, la masacre cometida en el presente caso es una expresión más de los efectos del genocidio contra el pueblo indígena Maya durante el conflicto armado, así como de la continuidad de la discriminación étnica subyacente a dicha situación. </w:t>
      </w:r>
    </w:p>
    <w:p w:rsidR="00DB5ADF" w:rsidRPr="005F4FD8" w:rsidRDefault="00DB5ADF" w:rsidP="005F4FD8">
      <w:pPr>
        <w:tabs>
          <w:tab w:val="left" w:pos="810"/>
        </w:tabs>
        <w:autoSpaceDE w:val="0"/>
        <w:autoSpaceDN w:val="0"/>
        <w:adjustRightInd w:val="0"/>
        <w:spacing w:after="0"/>
        <w:ind w:firstLine="720"/>
        <w:jc w:val="both"/>
        <w:rPr>
          <w:rFonts w:ascii="Cambria" w:hAnsi="Cambria" w:cs="Arial"/>
          <w:sz w:val="20"/>
          <w:szCs w:val="20"/>
          <w:lang w:val="es-CL"/>
        </w:rPr>
      </w:pPr>
    </w:p>
    <w:p w:rsidR="00985D82" w:rsidRPr="005F4FD8" w:rsidRDefault="00985D82" w:rsidP="005F4FD8">
      <w:pPr>
        <w:tabs>
          <w:tab w:val="left" w:pos="810"/>
        </w:tabs>
        <w:autoSpaceDE w:val="0"/>
        <w:autoSpaceDN w:val="0"/>
        <w:adjustRightInd w:val="0"/>
        <w:spacing w:after="0"/>
        <w:ind w:firstLine="720"/>
        <w:jc w:val="both"/>
        <w:rPr>
          <w:rFonts w:ascii="Cambria" w:hAnsi="Cambria" w:cs="Arial"/>
          <w:sz w:val="20"/>
          <w:szCs w:val="20"/>
          <w:lang w:val="es-CL"/>
        </w:rPr>
      </w:pPr>
      <w:r w:rsidRPr="005F4FD8">
        <w:rPr>
          <w:rFonts w:ascii="Cambria" w:hAnsi="Cambria" w:cs="Arial"/>
          <w:sz w:val="20"/>
          <w:szCs w:val="20"/>
          <w:lang w:val="es-CL"/>
        </w:rPr>
        <w:lastRenderedPageBreak/>
        <w:t>En virtud de que estas cuestiones afectan de manera relevante el orden público interamericano, de conformidad con el artículo 35.1 f) del Reglamento de la Corte Interamericana, la Comisión se permite ofrecer la siguiente declaración pericial:</w:t>
      </w:r>
    </w:p>
    <w:p w:rsidR="00985D82" w:rsidRPr="005F4FD8" w:rsidRDefault="00985D82" w:rsidP="005F4FD8">
      <w:pPr>
        <w:tabs>
          <w:tab w:val="left" w:pos="810"/>
        </w:tabs>
        <w:autoSpaceDE w:val="0"/>
        <w:autoSpaceDN w:val="0"/>
        <w:adjustRightInd w:val="0"/>
        <w:spacing w:after="0"/>
        <w:ind w:right="480"/>
        <w:jc w:val="both"/>
        <w:rPr>
          <w:rFonts w:ascii="Cambria" w:hAnsi="Cambria" w:cs="Arial"/>
          <w:sz w:val="20"/>
          <w:szCs w:val="20"/>
          <w:lang w:val="es-CL"/>
        </w:rPr>
      </w:pPr>
    </w:p>
    <w:p w:rsidR="00985D82" w:rsidRPr="005F4FD8" w:rsidRDefault="00985D82" w:rsidP="005F4FD8">
      <w:pPr>
        <w:tabs>
          <w:tab w:val="left" w:pos="810"/>
          <w:tab w:val="left" w:pos="9356"/>
        </w:tabs>
        <w:spacing w:after="0"/>
        <w:ind w:right="4" w:firstLine="720"/>
        <w:jc w:val="both"/>
        <w:rPr>
          <w:rFonts w:ascii="Cambria" w:hAnsi="Cambria"/>
          <w:sz w:val="20"/>
          <w:szCs w:val="20"/>
          <w:lang w:val="es-CO"/>
        </w:rPr>
      </w:pPr>
      <w:r w:rsidRPr="005F4FD8">
        <w:rPr>
          <w:rFonts w:ascii="Cambria" w:hAnsi="Cambria" w:cs="Courier New"/>
          <w:b/>
          <w:sz w:val="20"/>
          <w:szCs w:val="20"/>
          <w:lang w:val="es-ES_tradnl"/>
        </w:rPr>
        <w:t>Perito/a cuyo nombre será informado a la brevedad</w:t>
      </w:r>
      <w:r w:rsidRPr="005F4FD8">
        <w:rPr>
          <w:rFonts w:ascii="Cambria" w:hAnsi="Cambria"/>
          <w:iCs/>
          <w:sz w:val="20"/>
          <w:szCs w:val="20"/>
          <w:lang w:val="es-ES_tradnl"/>
        </w:rPr>
        <w:t>, quien declarará sobre</w:t>
      </w:r>
      <w:r w:rsidR="00DB5ADF" w:rsidRPr="005F4FD8">
        <w:rPr>
          <w:rFonts w:ascii="Cambria" w:hAnsi="Cambria"/>
          <w:iCs/>
          <w:sz w:val="20"/>
          <w:szCs w:val="20"/>
          <w:lang w:val="es-ES_tradnl"/>
        </w:rPr>
        <w:t xml:space="preserve"> la situación de discriminación étnica antes, durante y después del conflicto armado en Guatemala</w:t>
      </w:r>
      <w:r w:rsidR="00455C9F" w:rsidRPr="005F4FD8">
        <w:rPr>
          <w:rFonts w:ascii="Cambria" w:hAnsi="Cambria"/>
          <w:iCs/>
          <w:sz w:val="20"/>
          <w:szCs w:val="20"/>
          <w:lang w:val="es-ES_tradnl"/>
        </w:rPr>
        <w:t xml:space="preserve">. El/la perito/a se referirá en particular al impacto del genocidio sufrido por el pueblo indígena Maya y explicará la situación de las personas, familias y comunidades desplazadas que posteriormente regresaron a Guatemala. </w:t>
      </w:r>
      <w:r w:rsidR="000B3311" w:rsidRPr="005F4FD8">
        <w:rPr>
          <w:rFonts w:ascii="Cambria" w:hAnsi="Cambria"/>
          <w:iCs/>
          <w:sz w:val="20"/>
          <w:szCs w:val="20"/>
          <w:lang w:val="es-ES_tradnl"/>
        </w:rPr>
        <w:t xml:space="preserve">El/la perito/a se referirá, en la medida de lo pertinente, </w:t>
      </w:r>
      <w:r w:rsidR="0087429A" w:rsidRPr="005F4FD8">
        <w:rPr>
          <w:rFonts w:ascii="Cambria" w:hAnsi="Cambria"/>
          <w:iCs/>
          <w:sz w:val="20"/>
          <w:szCs w:val="20"/>
          <w:lang w:val="es-ES_tradnl"/>
        </w:rPr>
        <w:t>a los hechos del caso a la luz de los estándares desarrollados en el peritaje.</w:t>
      </w:r>
    </w:p>
    <w:p w:rsidR="00985D82" w:rsidRPr="005F4FD8" w:rsidRDefault="00985D82" w:rsidP="005F4FD8">
      <w:pPr>
        <w:tabs>
          <w:tab w:val="left" w:pos="810"/>
        </w:tabs>
        <w:spacing w:after="0"/>
        <w:jc w:val="both"/>
        <w:rPr>
          <w:rFonts w:ascii="Cambria" w:hAnsi="Cambria"/>
          <w:iCs/>
          <w:sz w:val="20"/>
          <w:szCs w:val="20"/>
          <w:lang w:val="es-ES_tradnl"/>
        </w:rPr>
      </w:pPr>
    </w:p>
    <w:p w:rsidR="00C11485" w:rsidRPr="005F4FD8" w:rsidRDefault="00C11485" w:rsidP="005F4FD8">
      <w:pPr>
        <w:tabs>
          <w:tab w:val="left" w:pos="810"/>
        </w:tabs>
        <w:spacing w:after="0"/>
        <w:jc w:val="both"/>
        <w:rPr>
          <w:rFonts w:ascii="Cambria" w:hAnsi="Cambria"/>
          <w:iCs/>
          <w:sz w:val="20"/>
          <w:szCs w:val="20"/>
          <w:lang w:val="es-ES_tradnl"/>
        </w:rPr>
      </w:pPr>
    </w:p>
    <w:p w:rsidR="00C11485" w:rsidRPr="005F4FD8" w:rsidRDefault="00C11485" w:rsidP="005F4FD8">
      <w:pPr>
        <w:tabs>
          <w:tab w:val="left" w:pos="810"/>
        </w:tabs>
        <w:spacing w:after="0"/>
        <w:jc w:val="both"/>
        <w:rPr>
          <w:rFonts w:ascii="Cambria" w:hAnsi="Cambria"/>
          <w:iCs/>
          <w:sz w:val="20"/>
          <w:szCs w:val="20"/>
          <w:lang w:val="es-ES_tradnl"/>
        </w:rPr>
      </w:pPr>
    </w:p>
    <w:p w:rsidR="00985D82" w:rsidRPr="005F4FD8" w:rsidRDefault="00985D82" w:rsidP="005F4FD8">
      <w:pPr>
        <w:tabs>
          <w:tab w:val="left" w:pos="0"/>
          <w:tab w:val="left" w:pos="810"/>
        </w:tabs>
        <w:spacing w:after="0"/>
        <w:ind w:firstLine="720"/>
        <w:jc w:val="both"/>
        <w:rPr>
          <w:rFonts w:ascii="Cambria" w:hAnsi="Cambria"/>
          <w:sz w:val="20"/>
          <w:szCs w:val="20"/>
          <w:lang w:val="es-CO"/>
        </w:rPr>
      </w:pPr>
      <w:r w:rsidRPr="005F4FD8">
        <w:rPr>
          <w:rFonts w:ascii="Cambria" w:hAnsi="Cambria"/>
          <w:sz w:val="20"/>
          <w:szCs w:val="20"/>
          <w:lang w:val="es-AR"/>
        </w:rPr>
        <w:t>El CV del/la perito/</w:t>
      </w:r>
      <w:proofErr w:type="spellStart"/>
      <w:r w:rsidRPr="005F4FD8">
        <w:rPr>
          <w:rFonts w:ascii="Cambria" w:hAnsi="Cambria"/>
          <w:sz w:val="20"/>
          <w:szCs w:val="20"/>
          <w:lang w:val="es-AR"/>
        </w:rPr>
        <w:t>a</w:t>
      </w:r>
      <w:proofErr w:type="spellEnd"/>
      <w:r w:rsidRPr="005F4FD8">
        <w:rPr>
          <w:rFonts w:ascii="Cambria" w:hAnsi="Cambria"/>
          <w:sz w:val="20"/>
          <w:szCs w:val="20"/>
          <w:lang w:val="es-AR"/>
        </w:rPr>
        <w:t xml:space="preserve"> ofrecido/a </w:t>
      </w:r>
      <w:r w:rsidRPr="005F4FD8">
        <w:rPr>
          <w:rFonts w:ascii="Cambria" w:hAnsi="Cambria"/>
          <w:sz w:val="20"/>
          <w:szCs w:val="20"/>
          <w:lang w:val="es-CO"/>
        </w:rPr>
        <w:t xml:space="preserve">serán incluidos en los anexos al informe de fondo </w:t>
      </w:r>
      <w:r w:rsidR="00B77227" w:rsidRPr="005F4FD8">
        <w:rPr>
          <w:rFonts w:ascii="Cambria" w:hAnsi="Cambria"/>
          <w:sz w:val="20"/>
          <w:szCs w:val="20"/>
          <w:lang w:val="es-CO"/>
        </w:rPr>
        <w:t>2</w:t>
      </w:r>
      <w:r w:rsidR="00640E07" w:rsidRPr="005F4FD8">
        <w:rPr>
          <w:rFonts w:ascii="Cambria" w:hAnsi="Cambria"/>
          <w:sz w:val="20"/>
          <w:szCs w:val="20"/>
          <w:lang w:val="es-CO"/>
        </w:rPr>
        <w:t>8</w:t>
      </w:r>
      <w:r w:rsidRPr="005F4FD8">
        <w:rPr>
          <w:rFonts w:ascii="Cambria" w:hAnsi="Cambria"/>
          <w:sz w:val="20"/>
          <w:szCs w:val="20"/>
          <w:lang w:val="es-CO"/>
        </w:rPr>
        <w:t xml:space="preserve">/16. </w:t>
      </w:r>
    </w:p>
    <w:p w:rsidR="00640E07" w:rsidRPr="005F4FD8" w:rsidRDefault="00640E07" w:rsidP="005F4FD8">
      <w:pPr>
        <w:tabs>
          <w:tab w:val="left" w:pos="0"/>
          <w:tab w:val="left" w:pos="810"/>
        </w:tabs>
        <w:spacing w:after="0"/>
        <w:ind w:firstLine="720"/>
        <w:jc w:val="both"/>
        <w:rPr>
          <w:rFonts w:ascii="Cambria" w:hAnsi="Cambria"/>
          <w:sz w:val="20"/>
          <w:szCs w:val="20"/>
          <w:lang w:val="es-CO"/>
        </w:rPr>
      </w:pPr>
    </w:p>
    <w:p w:rsidR="00640E07" w:rsidRPr="005F4FD8" w:rsidRDefault="00640E07" w:rsidP="005F4FD8">
      <w:pPr>
        <w:tabs>
          <w:tab w:val="left" w:pos="0"/>
          <w:tab w:val="left" w:pos="810"/>
        </w:tabs>
        <w:spacing w:after="0"/>
        <w:ind w:firstLine="720"/>
        <w:jc w:val="both"/>
        <w:rPr>
          <w:rFonts w:ascii="Cambria" w:hAnsi="Cambria"/>
          <w:sz w:val="20"/>
          <w:szCs w:val="20"/>
          <w:lang w:val="es-CO"/>
        </w:rPr>
      </w:pPr>
      <w:r w:rsidRPr="005F4FD8">
        <w:rPr>
          <w:rFonts w:ascii="Cambria" w:hAnsi="Cambria"/>
          <w:sz w:val="20"/>
          <w:szCs w:val="20"/>
          <w:lang w:val="es-CO"/>
        </w:rPr>
        <w:t xml:space="preserve">Asimismo, la Comisión solicita a la Corte el traslado de la siguiente prueba pericial rendida en el marco de otros casos con algunas características comunes al presente caso: Alejandro Rodríguez y Cristián Correa (Caso de </w:t>
      </w:r>
      <w:r w:rsidRPr="005F4FD8">
        <w:rPr>
          <w:rFonts w:ascii="Cambria" w:hAnsi="Cambria" w:cs="Tahoma"/>
          <w:color w:val="333333"/>
          <w:sz w:val="20"/>
          <w:szCs w:val="20"/>
          <w:lang w:val="es-PE"/>
        </w:rPr>
        <w:t xml:space="preserve">Miembros de la Aldea de </w:t>
      </w:r>
      <w:proofErr w:type="spellStart"/>
      <w:r w:rsidRPr="005F4FD8">
        <w:rPr>
          <w:rFonts w:ascii="Cambria" w:hAnsi="Cambria" w:cs="Tahoma"/>
          <w:color w:val="333333"/>
          <w:sz w:val="20"/>
          <w:szCs w:val="20"/>
          <w:lang w:val="es-PE"/>
        </w:rPr>
        <w:t>Chichupac</w:t>
      </w:r>
      <w:proofErr w:type="spellEnd"/>
      <w:r w:rsidRPr="005F4FD8">
        <w:rPr>
          <w:rFonts w:ascii="Cambria" w:hAnsi="Cambria" w:cs="Tahoma"/>
          <w:color w:val="333333"/>
          <w:sz w:val="20"/>
          <w:szCs w:val="20"/>
          <w:lang w:val="es-PE"/>
        </w:rPr>
        <w:t xml:space="preserve"> y Comunidades Vecinas del Municipio de Rabinal vs. Guatemala);</w:t>
      </w:r>
      <w:r w:rsidR="0015351C" w:rsidRPr="005F4FD8">
        <w:rPr>
          <w:rFonts w:ascii="Cambria" w:hAnsi="Cambria" w:cs="Tahoma"/>
          <w:color w:val="333333"/>
          <w:sz w:val="20"/>
          <w:szCs w:val="20"/>
          <w:lang w:val="es-PE"/>
        </w:rPr>
        <w:t xml:space="preserve"> y</w:t>
      </w:r>
      <w:r w:rsidRPr="005F4FD8">
        <w:rPr>
          <w:rFonts w:ascii="Cambria" w:hAnsi="Cambria" w:cs="Tahoma"/>
          <w:color w:val="333333"/>
          <w:sz w:val="20"/>
          <w:szCs w:val="20"/>
          <w:lang w:val="es-PE"/>
        </w:rPr>
        <w:t xml:space="preserve"> </w:t>
      </w:r>
      <w:r w:rsidR="0015351C" w:rsidRPr="005F4FD8">
        <w:rPr>
          <w:rFonts w:ascii="Cambria" w:hAnsi="Cambria" w:cs="Tahoma"/>
          <w:color w:val="333333"/>
          <w:sz w:val="20"/>
          <w:szCs w:val="20"/>
          <w:lang w:val="es-PE"/>
        </w:rPr>
        <w:t xml:space="preserve">Michael Paul </w:t>
      </w:r>
      <w:proofErr w:type="spellStart"/>
      <w:r w:rsidR="0015351C" w:rsidRPr="005F4FD8">
        <w:rPr>
          <w:rFonts w:ascii="Cambria" w:hAnsi="Cambria" w:cs="Tahoma"/>
          <w:color w:val="333333"/>
          <w:sz w:val="20"/>
          <w:szCs w:val="20"/>
          <w:lang w:val="es-PE"/>
        </w:rPr>
        <w:t>Hermann</w:t>
      </w:r>
      <w:proofErr w:type="spellEnd"/>
      <w:r w:rsidR="0015351C" w:rsidRPr="005F4FD8">
        <w:rPr>
          <w:rFonts w:ascii="Cambria" w:hAnsi="Cambria" w:cs="Tahoma"/>
          <w:color w:val="333333"/>
          <w:sz w:val="20"/>
          <w:szCs w:val="20"/>
          <w:lang w:val="es-PE"/>
        </w:rPr>
        <w:t xml:space="preserve">, Juan Méndez y Rosalina </w:t>
      </w:r>
      <w:proofErr w:type="spellStart"/>
      <w:r w:rsidR="0015351C" w:rsidRPr="005F4FD8">
        <w:rPr>
          <w:rFonts w:ascii="Cambria" w:hAnsi="Cambria" w:cs="Tahoma"/>
          <w:color w:val="333333"/>
          <w:sz w:val="20"/>
          <w:szCs w:val="20"/>
          <w:lang w:val="es-PE"/>
        </w:rPr>
        <w:t>Tuyuc</w:t>
      </w:r>
      <w:proofErr w:type="spellEnd"/>
      <w:r w:rsidR="0015351C" w:rsidRPr="005F4FD8">
        <w:rPr>
          <w:rFonts w:ascii="Cambria" w:hAnsi="Cambria" w:cs="Tahoma"/>
          <w:color w:val="333333"/>
          <w:sz w:val="20"/>
          <w:szCs w:val="20"/>
          <w:lang w:val="es-PE"/>
        </w:rPr>
        <w:t xml:space="preserve"> (Caso de las Masacres de Rio Negro vs. Guatemala). </w:t>
      </w:r>
    </w:p>
    <w:p w:rsidR="00985D82" w:rsidRPr="005F4FD8" w:rsidRDefault="00985D82" w:rsidP="005F4FD8">
      <w:pPr>
        <w:tabs>
          <w:tab w:val="left" w:pos="0"/>
          <w:tab w:val="left" w:pos="810"/>
        </w:tabs>
        <w:spacing w:after="0"/>
        <w:jc w:val="both"/>
        <w:rPr>
          <w:rFonts w:ascii="Cambria" w:hAnsi="Cambria"/>
          <w:sz w:val="20"/>
          <w:szCs w:val="20"/>
          <w:lang w:val="es-CO"/>
        </w:rPr>
      </w:pPr>
    </w:p>
    <w:p w:rsidR="00985D82" w:rsidRPr="005F4FD8" w:rsidRDefault="00985D82" w:rsidP="005F4FD8">
      <w:pPr>
        <w:tabs>
          <w:tab w:val="left" w:pos="0"/>
          <w:tab w:val="left" w:pos="810"/>
        </w:tabs>
        <w:spacing w:after="0"/>
        <w:ind w:firstLine="720"/>
        <w:jc w:val="both"/>
        <w:rPr>
          <w:rFonts w:ascii="Cambria" w:hAnsi="Cambria"/>
          <w:sz w:val="20"/>
          <w:szCs w:val="20"/>
          <w:lang w:val="es-CO"/>
        </w:rPr>
      </w:pPr>
      <w:r w:rsidRPr="005F4FD8">
        <w:rPr>
          <w:rFonts w:ascii="Cambria" w:hAnsi="Cambria"/>
          <w:sz w:val="20"/>
          <w:szCs w:val="20"/>
          <w:lang w:val="es-ES_tradnl"/>
        </w:rPr>
        <w:t xml:space="preserve">La Comisión pone en conocimiento de la Corte la siguiente información sobre quienes actuaron como peticionarios a lo largo del trámite del caso: </w:t>
      </w:r>
    </w:p>
    <w:p w:rsidR="00985D82" w:rsidRPr="005F4FD8" w:rsidRDefault="00985D82" w:rsidP="005F4FD8">
      <w:pPr>
        <w:widowControl w:val="0"/>
        <w:tabs>
          <w:tab w:val="left" w:pos="810"/>
        </w:tabs>
        <w:autoSpaceDE w:val="0"/>
        <w:autoSpaceDN w:val="0"/>
        <w:adjustRightInd w:val="0"/>
        <w:spacing w:after="0"/>
        <w:jc w:val="center"/>
        <w:rPr>
          <w:rFonts w:ascii="Cambria" w:eastAsia="Times New Roman" w:hAnsi="Cambria" w:cs="Tahoma"/>
          <w:sz w:val="20"/>
          <w:szCs w:val="20"/>
          <w:lang w:val="es-ES" w:bidi="en-US"/>
        </w:rPr>
      </w:pPr>
    </w:p>
    <w:p w:rsidR="0062017A" w:rsidRPr="005F4FD8" w:rsidRDefault="0062017A" w:rsidP="005F4FD8">
      <w:pPr>
        <w:spacing w:after="0"/>
        <w:jc w:val="center"/>
        <w:rPr>
          <w:rFonts w:ascii="Cambria" w:hAnsi="Cambria"/>
          <w:bCs/>
          <w:iCs/>
          <w:sz w:val="20"/>
          <w:szCs w:val="20"/>
          <w:lang w:val="es-ES"/>
        </w:rPr>
      </w:pPr>
      <w:r w:rsidRPr="005F4FD8">
        <w:rPr>
          <w:rFonts w:ascii="Cambria" w:hAnsi="Cambria"/>
          <w:bCs/>
          <w:iCs/>
          <w:sz w:val="20"/>
          <w:szCs w:val="20"/>
          <w:lang w:val="es-ES"/>
        </w:rPr>
        <w:t xml:space="preserve">Eduardo Antonio Salerno, María Estela López </w:t>
      </w:r>
      <w:proofErr w:type="spellStart"/>
      <w:r w:rsidRPr="005F4FD8">
        <w:rPr>
          <w:rFonts w:ascii="Cambria" w:hAnsi="Cambria"/>
          <w:bCs/>
          <w:iCs/>
          <w:sz w:val="20"/>
          <w:szCs w:val="20"/>
          <w:lang w:val="es-ES"/>
        </w:rPr>
        <w:t>Funez</w:t>
      </w:r>
      <w:proofErr w:type="spellEnd"/>
    </w:p>
    <w:p w:rsidR="00985D82" w:rsidRPr="005F4FD8" w:rsidRDefault="005F4FD8" w:rsidP="005F4FD8">
      <w:pPr>
        <w:tabs>
          <w:tab w:val="left" w:pos="810"/>
        </w:tabs>
        <w:autoSpaceDE w:val="0"/>
        <w:autoSpaceDN w:val="0"/>
        <w:adjustRightInd w:val="0"/>
        <w:spacing w:after="0"/>
        <w:jc w:val="center"/>
        <w:rPr>
          <w:rFonts w:ascii="Cambria" w:hAnsi="Cambria"/>
          <w:bCs/>
          <w:iCs/>
          <w:sz w:val="20"/>
          <w:szCs w:val="20"/>
          <w:lang w:val="es-ES"/>
        </w:rPr>
      </w:pPr>
      <w:proofErr w:type="spellStart"/>
      <w:proofErr w:type="gramStart"/>
      <w:r w:rsidRPr="005F4FD8">
        <w:rPr>
          <w:rFonts w:ascii="Cambria" w:hAnsi="Cambria"/>
          <w:bCs/>
          <w:iCs/>
          <w:sz w:val="20"/>
          <w:szCs w:val="20"/>
          <w:highlight w:val="black"/>
          <w:lang w:val="es-ES"/>
        </w:rPr>
        <w:t>xxxxxxxxxxxxxxxxxxxxxxxxxxx</w:t>
      </w:r>
      <w:proofErr w:type="spellEnd"/>
      <w:proofErr w:type="gramEnd"/>
    </w:p>
    <w:p w:rsidR="0062017A" w:rsidRPr="005F4FD8" w:rsidRDefault="0062017A" w:rsidP="005F4FD8">
      <w:pPr>
        <w:tabs>
          <w:tab w:val="left" w:pos="810"/>
        </w:tabs>
        <w:autoSpaceDE w:val="0"/>
        <w:autoSpaceDN w:val="0"/>
        <w:adjustRightInd w:val="0"/>
        <w:spacing w:after="0"/>
        <w:jc w:val="center"/>
        <w:rPr>
          <w:rFonts w:ascii="Cambria" w:hAnsi="Cambria"/>
          <w:bCs/>
          <w:iCs/>
          <w:sz w:val="20"/>
          <w:szCs w:val="20"/>
          <w:lang w:val="es-ES"/>
        </w:rPr>
      </w:pPr>
    </w:p>
    <w:p w:rsidR="0062017A" w:rsidRPr="005F4FD8" w:rsidRDefault="0062017A" w:rsidP="005F4FD8">
      <w:pPr>
        <w:spacing w:after="0"/>
        <w:jc w:val="center"/>
        <w:rPr>
          <w:rFonts w:ascii="Cambria" w:hAnsi="Cambria"/>
          <w:bCs/>
          <w:iCs/>
          <w:sz w:val="20"/>
          <w:szCs w:val="20"/>
          <w:lang w:val="es-ES"/>
        </w:rPr>
      </w:pPr>
      <w:r w:rsidRPr="005F4FD8">
        <w:rPr>
          <w:rFonts w:ascii="Cambria" w:hAnsi="Cambria"/>
          <w:bCs/>
          <w:iCs/>
          <w:sz w:val="20"/>
          <w:szCs w:val="20"/>
          <w:lang w:val="es-ES"/>
        </w:rPr>
        <w:t>Grupo de Apoyo Mutuo</w:t>
      </w:r>
    </w:p>
    <w:p w:rsidR="0062017A" w:rsidRPr="005F4FD8" w:rsidRDefault="0062017A" w:rsidP="005F4FD8">
      <w:pPr>
        <w:spacing w:after="0"/>
        <w:jc w:val="center"/>
        <w:rPr>
          <w:rFonts w:ascii="Cambria" w:hAnsi="Cambria"/>
          <w:bCs/>
          <w:iCs/>
          <w:sz w:val="20"/>
          <w:szCs w:val="20"/>
          <w:lang w:val="es-ES"/>
        </w:rPr>
      </w:pPr>
      <w:r w:rsidRPr="005F4FD8">
        <w:rPr>
          <w:rFonts w:ascii="Cambria" w:hAnsi="Cambria"/>
          <w:bCs/>
          <w:iCs/>
          <w:sz w:val="20"/>
          <w:szCs w:val="20"/>
          <w:lang w:val="es-ES"/>
        </w:rPr>
        <w:t>GAM</w:t>
      </w:r>
    </w:p>
    <w:p w:rsidR="0062017A" w:rsidRPr="005F4FD8" w:rsidRDefault="005F4FD8" w:rsidP="005F4FD8">
      <w:pPr>
        <w:tabs>
          <w:tab w:val="left" w:pos="810"/>
        </w:tabs>
        <w:autoSpaceDE w:val="0"/>
        <w:autoSpaceDN w:val="0"/>
        <w:adjustRightInd w:val="0"/>
        <w:spacing w:after="0"/>
        <w:jc w:val="center"/>
        <w:rPr>
          <w:rFonts w:ascii="Cambria" w:hAnsi="Cambria"/>
          <w:bCs/>
          <w:iCs/>
          <w:sz w:val="20"/>
          <w:szCs w:val="20"/>
          <w:highlight w:val="black"/>
          <w:lang w:val="es-ES"/>
        </w:rPr>
      </w:pPr>
      <w:proofErr w:type="spellStart"/>
      <w:proofErr w:type="gramStart"/>
      <w:r w:rsidRPr="005F4FD8">
        <w:rPr>
          <w:rFonts w:ascii="Cambria" w:hAnsi="Cambria"/>
          <w:bCs/>
          <w:iCs/>
          <w:sz w:val="20"/>
          <w:szCs w:val="20"/>
          <w:highlight w:val="black"/>
          <w:lang w:val="es-ES"/>
        </w:rPr>
        <w:t>xxxxxxxxxxxxxxxxxxxxxxxxxxxxxxxxxxxxxxxxxxxxxxxxxx</w:t>
      </w:r>
      <w:proofErr w:type="spellEnd"/>
      <w:proofErr w:type="gramEnd"/>
    </w:p>
    <w:p w:rsidR="0062017A" w:rsidRPr="005F4FD8" w:rsidRDefault="005F4FD8" w:rsidP="005F4FD8">
      <w:pPr>
        <w:tabs>
          <w:tab w:val="left" w:pos="810"/>
        </w:tabs>
        <w:autoSpaceDE w:val="0"/>
        <w:autoSpaceDN w:val="0"/>
        <w:adjustRightInd w:val="0"/>
        <w:spacing w:after="0"/>
        <w:jc w:val="center"/>
        <w:rPr>
          <w:rFonts w:ascii="Cambria" w:hAnsi="Cambria"/>
          <w:bCs/>
          <w:iCs/>
          <w:sz w:val="20"/>
          <w:szCs w:val="20"/>
          <w:lang w:val="es-ES"/>
        </w:rPr>
      </w:pPr>
      <w:proofErr w:type="spellStart"/>
      <w:proofErr w:type="gramStart"/>
      <w:r w:rsidRPr="005F4FD8">
        <w:rPr>
          <w:rFonts w:ascii="Cambria" w:hAnsi="Cambria"/>
          <w:bCs/>
          <w:iCs/>
          <w:sz w:val="20"/>
          <w:szCs w:val="20"/>
          <w:highlight w:val="black"/>
          <w:lang w:val="es-ES"/>
        </w:rPr>
        <w:t>xxxxxxxxxxxxxxxxxxxxxxxxx</w:t>
      </w:r>
      <w:proofErr w:type="spellEnd"/>
      <w:proofErr w:type="gramEnd"/>
    </w:p>
    <w:p w:rsidR="0062017A" w:rsidRPr="005F4FD8" w:rsidRDefault="0062017A" w:rsidP="005F4FD8">
      <w:pPr>
        <w:tabs>
          <w:tab w:val="left" w:pos="810"/>
        </w:tabs>
        <w:autoSpaceDE w:val="0"/>
        <w:autoSpaceDN w:val="0"/>
        <w:adjustRightInd w:val="0"/>
        <w:spacing w:after="0"/>
        <w:jc w:val="center"/>
        <w:rPr>
          <w:rFonts w:ascii="Cambria" w:hAnsi="Cambria"/>
          <w:sz w:val="20"/>
          <w:szCs w:val="20"/>
          <w:lang w:val="es-ES"/>
        </w:rPr>
      </w:pPr>
    </w:p>
    <w:p w:rsidR="0062017A" w:rsidRPr="005F4FD8" w:rsidRDefault="0062017A" w:rsidP="005F4FD8">
      <w:pPr>
        <w:tabs>
          <w:tab w:val="left" w:pos="810"/>
        </w:tabs>
        <w:autoSpaceDE w:val="0"/>
        <w:autoSpaceDN w:val="0"/>
        <w:adjustRightInd w:val="0"/>
        <w:spacing w:after="0"/>
        <w:jc w:val="center"/>
        <w:rPr>
          <w:rFonts w:ascii="Cambria" w:hAnsi="Cambria"/>
          <w:sz w:val="20"/>
          <w:szCs w:val="20"/>
          <w:lang w:val="es-ES"/>
        </w:rPr>
      </w:pPr>
    </w:p>
    <w:p w:rsidR="005F4FD8" w:rsidRDefault="005F4FD8" w:rsidP="005F4FD8">
      <w:pPr>
        <w:tabs>
          <w:tab w:val="left" w:pos="0"/>
          <w:tab w:val="left" w:pos="810"/>
        </w:tabs>
        <w:spacing w:after="0"/>
        <w:ind w:firstLine="720"/>
        <w:jc w:val="both"/>
        <w:rPr>
          <w:rFonts w:ascii="Cambria" w:hAnsi="Cambria" w:cs="Arial"/>
          <w:sz w:val="20"/>
          <w:szCs w:val="20"/>
          <w:lang w:val="es-CO"/>
        </w:rPr>
      </w:pPr>
    </w:p>
    <w:p w:rsidR="005F4FD8" w:rsidRDefault="005F4FD8" w:rsidP="005F4FD8">
      <w:pPr>
        <w:tabs>
          <w:tab w:val="left" w:pos="0"/>
          <w:tab w:val="left" w:pos="810"/>
        </w:tabs>
        <w:spacing w:after="0"/>
        <w:ind w:firstLine="720"/>
        <w:jc w:val="both"/>
        <w:rPr>
          <w:rFonts w:ascii="Cambria" w:hAnsi="Cambria" w:cs="Arial"/>
          <w:sz w:val="20"/>
          <w:szCs w:val="20"/>
          <w:lang w:val="es-CO"/>
        </w:rPr>
      </w:pPr>
    </w:p>
    <w:p w:rsidR="00985D82" w:rsidRPr="005F4FD8" w:rsidRDefault="00985D82" w:rsidP="005F4FD8">
      <w:pPr>
        <w:tabs>
          <w:tab w:val="left" w:pos="0"/>
          <w:tab w:val="left" w:pos="810"/>
        </w:tabs>
        <w:spacing w:after="0"/>
        <w:ind w:firstLine="720"/>
        <w:jc w:val="both"/>
        <w:rPr>
          <w:rFonts w:ascii="Cambria" w:hAnsi="Cambria" w:cs="Arial"/>
          <w:sz w:val="20"/>
          <w:szCs w:val="20"/>
          <w:lang w:val="es-CO"/>
        </w:rPr>
      </w:pPr>
      <w:r w:rsidRPr="005F4FD8">
        <w:rPr>
          <w:rFonts w:ascii="Cambria" w:hAnsi="Cambria" w:cs="Arial"/>
          <w:sz w:val="20"/>
          <w:szCs w:val="20"/>
          <w:lang w:val="es-CO"/>
        </w:rPr>
        <w:t>Aprovecho la oportunidad para saludar a usted muy atentamente,</w:t>
      </w:r>
    </w:p>
    <w:p w:rsidR="00985D82" w:rsidRPr="005F4FD8" w:rsidRDefault="00985D82" w:rsidP="005F4FD8">
      <w:pPr>
        <w:tabs>
          <w:tab w:val="left" w:pos="810"/>
        </w:tabs>
        <w:suppressAutoHyphens/>
        <w:spacing w:after="0"/>
        <w:rPr>
          <w:rFonts w:ascii="Cambria" w:hAnsi="Cambria" w:cs="Arial"/>
          <w:snapToGrid w:val="0"/>
          <w:sz w:val="20"/>
          <w:szCs w:val="20"/>
          <w:lang w:val="es-CO"/>
        </w:rPr>
      </w:pPr>
    </w:p>
    <w:p w:rsidR="00985D82" w:rsidRDefault="00985D82" w:rsidP="005F4FD8">
      <w:pPr>
        <w:tabs>
          <w:tab w:val="left" w:pos="810"/>
        </w:tabs>
        <w:suppressAutoHyphens/>
        <w:spacing w:after="0"/>
        <w:rPr>
          <w:rFonts w:ascii="Cambria" w:hAnsi="Cambria" w:cs="Arial"/>
          <w:snapToGrid w:val="0"/>
          <w:sz w:val="20"/>
          <w:szCs w:val="20"/>
          <w:lang w:val="es-CO"/>
        </w:rPr>
      </w:pPr>
    </w:p>
    <w:p w:rsidR="005F4FD8" w:rsidRDefault="005F4FD8" w:rsidP="005F4FD8">
      <w:pPr>
        <w:tabs>
          <w:tab w:val="left" w:pos="810"/>
        </w:tabs>
        <w:suppressAutoHyphens/>
        <w:spacing w:after="0"/>
        <w:rPr>
          <w:rFonts w:ascii="Cambria" w:hAnsi="Cambria" w:cs="Arial"/>
          <w:snapToGrid w:val="0"/>
          <w:sz w:val="20"/>
          <w:szCs w:val="20"/>
          <w:lang w:val="es-CO"/>
        </w:rPr>
      </w:pPr>
    </w:p>
    <w:p w:rsidR="005F4FD8" w:rsidRDefault="005F4FD8" w:rsidP="005F4FD8">
      <w:pPr>
        <w:tabs>
          <w:tab w:val="left" w:pos="810"/>
        </w:tabs>
        <w:suppressAutoHyphens/>
        <w:spacing w:after="0"/>
        <w:rPr>
          <w:rFonts w:ascii="Cambria" w:hAnsi="Cambria" w:cs="Arial"/>
          <w:snapToGrid w:val="0"/>
          <w:sz w:val="20"/>
          <w:szCs w:val="20"/>
          <w:lang w:val="es-CO"/>
        </w:rPr>
      </w:pPr>
    </w:p>
    <w:p w:rsidR="005F4FD8" w:rsidRPr="005F4FD8" w:rsidRDefault="005F4FD8" w:rsidP="005F4FD8">
      <w:pPr>
        <w:tabs>
          <w:tab w:val="left" w:pos="810"/>
        </w:tabs>
        <w:suppressAutoHyphens/>
        <w:spacing w:after="0"/>
        <w:rPr>
          <w:rFonts w:ascii="Cambria" w:hAnsi="Cambria" w:cs="Arial"/>
          <w:snapToGrid w:val="0"/>
          <w:sz w:val="20"/>
          <w:szCs w:val="20"/>
          <w:lang w:val="es-CO"/>
        </w:rPr>
      </w:pPr>
      <w:bookmarkStart w:id="1" w:name="_GoBack"/>
      <w:bookmarkEnd w:id="1"/>
    </w:p>
    <w:p w:rsidR="00EE5A47" w:rsidRPr="005F4FD8" w:rsidRDefault="00EE5A47" w:rsidP="005F4FD8">
      <w:pPr>
        <w:tabs>
          <w:tab w:val="left" w:pos="810"/>
        </w:tabs>
        <w:suppressAutoHyphens/>
        <w:spacing w:after="0"/>
        <w:rPr>
          <w:rFonts w:ascii="Cambria" w:hAnsi="Cambria" w:cs="Arial"/>
          <w:snapToGrid w:val="0"/>
          <w:sz w:val="20"/>
          <w:szCs w:val="20"/>
          <w:lang w:val="es-CO"/>
        </w:rPr>
      </w:pPr>
    </w:p>
    <w:p w:rsidR="00985D82" w:rsidRPr="005F4FD8" w:rsidRDefault="005F4FD8" w:rsidP="005F4FD8">
      <w:pPr>
        <w:tabs>
          <w:tab w:val="left" w:pos="810"/>
        </w:tabs>
        <w:suppressAutoHyphens/>
        <w:spacing w:after="0"/>
        <w:rPr>
          <w:rFonts w:ascii="Cambria" w:hAnsi="Cambria" w:cs="Arial"/>
          <w:snapToGrid w:val="0"/>
          <w:szCs w:val="20"/>
          <w:lang w:val="es-CO"/>
        </w:rPr>
      </w:pPr>
      <w:r w:rsidRPr="005F4FD8">
        <w:rPr>
          <w:rFonts w:ascii="Cambria" w:hAnsi="Cambria" w:cs="Arial"/>
          <w:i/>
          <w:snapToGrid w:val="0"/>
          <w:color w:val="808080" w:themeColor="background1" w:themeShade="80"/>
          <w:sz w:val="14"/>
          <w:szCs w:val="20"/>
          <w:lang w:val="es-CO"/>
        </w:rPr>
        <w:tab/>
      </w:r>
      <w:r w:rsidRPr="005F4FD8">
        <w:rPr>
          <w:rFonts w:ascii="Cambria" w:hAnsi="Cambria" w:cs="Arial"/>
          <w:i/>
          <w:snapToGrid w:val="0"/>
          <w:color w:val="808080" w:themeColor="background1" w:themeShade="80"/>
          <w:sz w:val="14"/>
          <w:szCs w:val="20"/>
          <w:lang w:val="es-CO"/>
        </w:rPr>
        <w:tab/>
      </w:r>
      <w:r w:rsidRPr="005F4FD8">
        <w:rPr>
          <w:rFonts w:ascii="Cambria" w:hAnsi="Cambria" w:cs="Arial"/>
          <w:i/>
          <w:snapToGrid w:val="0"/>
          <w:color w:val="808080" w:themeColor="background1" w:themeShade="80"/>
          <w:sz w:val="14"/>
          <w:szCs w:val="20"/>
          <w:lang w:val="es-CO"/>
        </w:rPr>
        <w:tab/>
      </w:r>
      <w:r w:rsidRPr="005F4FD8">
        <w:rPr>
          <w:rFonts w:ascii="Cambria" w:hAnsi="Cambria" w:cs="Arial"/>
          <w:i/>
          <w:snapToGrid w:val="0"/>
          <w:color w:val="808080" w:themeColor="background1" w:themeShade="80"/>
          <w:sz w:val="14"/>
          <w:szCs w:val="20"/>
          <w:lang w:val="es-CO"/>
        </w:rPr>
        <w:tab/>
      </w:r>
      <w:r w:rsidRPr="005F4FD8">
        <w:rPr>
          <w:rFonts w:ascii="Cambria" w:hAnsi="Cambria" w:cs="Arial"/>
          <w:i/>
          <w:snapToGrid w:val="0"/>
          <w:color w:val="808080" w:themeColor="background1" w:themeShade="80"/>
          <w:sz w:val="14"/>
          <w:szCs w:val="20"/>
          <w:lang w:val="es-CO"/>
        </w:rPr>
        <w:tab/>
      </w:r>
      <w:r w:rsidRPr="005F4FD8">
        <w:rPr>
          <w:rFonts w:ascii="Cambria" w:hAnsi="Cambria" w:cs="Arial"/>
          <w:i/>
          <w:snapToGrid w:val="0"/>
          <w:color w:val="808080" w:themeColor="background1" w:themeShade="80"/>
          <w:sz w:val="14"/>
          <w:szCs w:val="20"/>
          <w:lang w:val="es-CO"/>
        </w:rPr>
        <w:tab/>
      </w:r>
      <w:r>
        <w:rPr>
          <w:rFonts w:ascii="Cambria" w:hAnsi="Cambria" w:cs="Arial"/>
          <w:i/>
          <w:snapToGrid w:val="0"/>
          <w:color w:val="808080" w:themeColor="background1" w:themeShade="80"/>
          <w:sz w:val="14"/>
          <w:szCs w:val="20"/>
          <w:lang w:val="es-CO"/>
        </w:rPr>
        <w:t xml:space="preserve">           </w:t>
      </w:r>
      <w:r w:rsidRPr="005F4FD8">
        <w:rPr>
          <w:rFonts w:ascii="Cambria" w:hAnsi="Cambria" w:cs="Arial"/>
          <w:i/>
          <w:snapToGrid w:val="0"/>
          <w:color w:val="808080" w:themeColor="background1" w:themeShade="80"/>
          <w:sz w:val="14"/>
          <w:szCs w:val="20"/>
          <w:lang w:val="es-CO"/>
        </w:rPr>
        <w:t xml:space="preserve">   </w:t>
      </w:r>
      <w:r w:rsidRPr="005F4FD8">
        <w:rPr>
          <w:rFonts w:ascii="Cambria" w:hAnsi="Cambria" w:cs="Arial"/>
          <w:i/>
          <w:snapToGrid w:val="0"/>
          <w:color w:val="808080" w:themeColor="background1" w:themeShade="80"/>
          <w:sz w:val="16"/>
          <w:szCs w:val="20"/>
          <w:lang w:val="es-CO"/>
        </w:rPr>
        <w:t>Firmado en el original</w:t>
      </w:r>
    </w:p>
    <w:p w:rsidR="00985D82" w:rsidRPr="005F4FD8" w:rsidRDefault="00985D82" w:rsidP="005F4FD8">
      <w:pPr>
        <w:tabs>
          <w:tab w:val="left" w:pos="810"/>
        </w:tabs>
        <w:suppressAutoHyphens/>
        <w:spacing w:after="0"/>
        <w:ind w:left="3600" w:firstLine="720"/>
        <w:rPr>
          <w:rFonts w:ascii="Cambria" w:hAnsi="Cambria" w:cs="Arial"/>
          <w:snapToGrid w:val="0"/>
          <w:color w:val="808080"/>
          <w:sz w:val="20"/>
          <w:szCs w:val="20"/>
          <w:lang w:val="es-CO"/>
        </w:rPr>
      </w:pPr>
      <w:r w:rsidRPr="005F4FD8">
        <w:rPr>
          <w:rFonts w:ascii="Cambria" w:hAnsi="Cambria" w:cs="Arial"/>
          <w:snapToGrid w:val="0"/>
          <w:sz w:val="20"/>
          <w:szCs w:val="20"/>
          <w:lang w:val="es-CO"/>
        </w:rPr>
        <w:tab/>
        <w:t>Paulo Abr</w:t>
      </w:r>
      <w:r w:rsidRPr="005F4FD8">
        <w:rPr>
          <w:rFonts w:ascii="Cambria" w:hAnsi="Cambria" w:cs="Arial"/>
          <w:snapToGrid w:val="0"/>
          <w:sz w:val="20"/>
          <w:szCs w:val="20"/>
          <w:lang w:val="pt-PT"/>
        </w:rPr>
        <w:t>ão</w:t>
      </w:r>
    </w:p>
    <w:p w:rsidR="00985D82" w:rsidRPr="005F4FD8" w:rsidRDefault="00985D82" w:rsidP="005F4FD8">
      <w:pPr>
        <w:tabs>
          <w:tab w:val="left" w:pos="810"/>
        </w:tabs>
        <w:suppressAutoHyphens/>
        <w:spacing w:after="0"/>
        <w:rPr>
          <w:rFonts w:ascii="Cambria" w:hAnsi="Cambria"/>
          <w:sz w:val="20"/>
          <w:szCs w:val="20"/>
          <w:lang w:val="es-CO"/>
        </w:rPr>
      </w:pPr>
      <w:r w:rsidRPr="005F4FD8">
        <w:rPr>
          <w:rFonts w:ascii="Cambria" w:hAnsi="Cambria" w:cs="Arial"/>
          <w:snapToGrid w:val="0"/>
          <w:sz w:val="20"/>
          <w:szCs w:val="20"/>
          <w:lang w:val="es-CO"/>
        </w:rPr>
        <w:tab/>
      </w:r>
      <w:r w:rsidRPr="005F4FD8">
        <w:rPr>
          <w:rFonts w:ascii="Cambria" w:hAnsi="Cambria" w:cs="Arial"/>
          <w:snapToGrid w:val="0"/>
          <w:sz w:val="20"/>
          <w:szCs w:val="20"/>
          <w:lang w:val="es-CO"/>
        </w:rPr>
        <w:tab/>
      </w:r>
      <w:r w:rsidRPr="005F4FD8">
        <w:rPr>
          <w:rFonts w:ascii="Cambria" w:hAnsi="Cambria" w:cs="Arial"/>
          <w:snapToGrid w:val="0"/>
          <w:sz w:val="20"/>
          <w:szCs w:val="20"/>
          <w:lang w:val="es-CO"/>
        </w:rPr>
        <w:tab/>
      </w:r>
      <w:r w:rsidRPr="005F4FD8">
        <w:rPr>
          <w:rFonts w:ascii="Cambria" w:hAnsi="Cambria" w:cs="Arial"/>
          <w:snapToGrid w:val="0"/>
          <w:sz w:val="20"/>
          <w:szCs w:val="20"/>
          <w:lang w:val="es-CO"/>
        </w:rPr>
        <w:tab/>
      </w:r>
      <w:r w:rsidRPr="005F4FD8">
        <w:rPr>
          <w:rFonts w:ascii="Cambria" w:hAnsi="Cambria" w:cs="Arial"/>
          <w:snapToGrid w:val="0"/>
          <w:sz w:val="20"/>
          <w:szCs w:val="20"/>
          <w:lang w:val="es-CO"/>
        </w:rPr>
        <w:tab/>
        <w:t xml:space="preserve">        </w:t>
      </w:r>
      <w:r w:rsidRPr="005F4FD8">
        <w:rPr>
          <w:rFonts w:ascii="Cambria" w:hAnsi="Cambria" w:cs="Arial"/>
          <w:snapToGrid w:val="0"/>
          <w:sz w:val="20"/>
          <w:szCs w:val="20"/>
          <w:lang w:val="es-CO"/>
        </w:rPr>
        <w:tab/>
        <w:t xml:space="preserve">        Secretario Ejecutivo </w:t>
      </w:r>
    </w:p>
    <w:p w:rsidR="00985D82" w:rsidRPr="005F4FD8" w:rsidRDefault="00985D82" w:rsidP="005F4FD8">
      <w:pPr>
        <w:tabs>
          <w:tab w:val="left" w:pos="810"/>
        </w:tabs>
        <w:suppressAutoHyphens/>
        <w:spacing w:after="0"/>
        <w:jc w:val="both"/>
        <w:rPr>
          <w:rFonts w:ascii="Cambria" w:hAnsi="Cambria"/>
          <w:sz w:val="20"/>
          <w:szCs w:val="20"/>
          <w:lang w:val="es-CO"/>
        </w:rPr>
      </w:pPr>
    </w:p>
    <w:p w:rsidR="00985D82" w:rsidRPr="005F4FD8" w:rsidRDefault="00985D82" w:rsidP="005F4FD8">
      <w:pPr>
        <w:tabs>
          <w:tab w:val="left" w:pos="810"/>
        </w:tabs>
        <w:spacing w:after="0"/>
        <w:rPr>
          <w:rFonts w:ascii="Cambria" w:hAnsi="Cambria"/>
          <w:sz w:val="20"/>
          <w:szCs w:val="20"/>
          <w:lang w:val="es-CO"/>
        </w:rPr>
      </w:pPr>
    </w:p>
    <w:p w:rsidR="005D7108" w:rsidRPr="005F4FD8" w:rsidRDefault="00EE5A47" w:rsidP="005F4FD8">
      <w:pPr>
        <w:tabs>
          <w:tab w:val="left" w:pos="810"/>
        </w:tabs>
        <w:suppressAutoHyphens/>
        <w:spacing w:after="0"/>
        <w:jc w:val="both"/>
        <w:rPr>
          <w:rFonts w:ascii="Cambria" w:hAnsi="Cambria"/>
          <w:sz w:val="20"/>
          <w:szCs w:val="20"/>
          <w:lang w:val="es-UY"/>
        </w:rPr>
      </w:pPr>
      <w:r w:rsidRPr="005F4FD8">
        <w:rPr>
          <w:rFonts w:ascii="Cambria" w:hAnsi="Cambria"/>
          <w:sz w:val="20"/>
          <w:szCs w:val="20"/>
          <w:lang w:val="es-CO"/>
        </w:rPr>
        <w:t>Anexo</w:t>
      </w:r>
      <w:r w:rsidR="00E02CAA" w:rsidRPr="005F4FD8">
        <w:rPr>
          <w:rFonts w:ascii="Cambria" w:hAnsi="Cambria"/>
          <w:sz w:val="20"/>
          <w:szCs w:val="20"/>
          <w:lang w:val="es-CO"/>
        </w:rPr>
        <w:t>s</w:t>
      </w:r>
    </w:p>
    <w:sectPr w:rsidR="005D7108" w:rsidRPr="005F4FD8" w:rsidSect="005D7108">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F7B" w:rsidRDefault="00C00F7B" w:rsidP="005475CB">
      <w:pPr>
        <w:spacing w:after="0" w:line="240" w:lineRule="auto"/>
      </w:pPr>
      <w:r>
        <w:separator/>
      </w:r>
    </w:p>
  </w:endnote>
  <w:endnote w:type="continuationSeparator" w:id="0">
    <w:p w:rsidR="00C00F7B" w:rsidRDefault="00C00F7B" w:rsidP="00547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108" w:rsidRPr="00A72869" w:rsidRDefault="005D7108">
    <w:pPr>
      <w:pStyle w:val="Footer"/>
      <w:jc w:val="center"/>
      <w:rPr>
        <w:color w:val="7F7F7F"/>
        <w:sz w:val="16"/>
      </w:rPr>
    </w:pPr>
    <w:r w:rsidRPr="00A72869">
      <w:rPr>
        <w:color w:val="7F7F7F"/>
        <w:sz w:val="16"/>
      </w:rPr>
      <w:fldChar w:fldCharType="begin"/>
    </w:r>
    <w:r w:rsidRPr="00A72869">
      <w:rPr>
        <w:color w:val="7F7F7F"/>
        <w:sz w:val="16"/>
      </w:rPr>
      <w:instrText xml:space="preserve"> PAGE   \* MERGEFORMAT </w:instrText>
    </w:r>
    <w:r w:rsidRPr="00A72869">
      <w:rPr>
        <w:color w:val="7F7F7F"/>
        <w:sz w:val="16"/>
      </w:rPr>
      <w:fldChar w:fldCharType="separate"/>
    </w:r>
    <w:r w:rsidR="005F4FD8">
      <w:rPr>
        <w:noProof/>
        <w:color w:val="7F7F7F"/>
        <w:sz w:val="16"/>
      </w:rPr>
      <w:t>3</w:t>
    </w:r>
    <w:r w:rsidRPr="00A72869">
      <w:rPr>
        <w:noProof/>
        <w:color w:val="7F7F7F"/>
        <w:sz w:val="16"/>
      </w:rPr>
      <w:fldChar w:fldCharType="end"/>
    </w:r>
  </w:p>
  <w:p w:rsidR="005D7108" w:rsidRDefault="005D71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108" w:rsidRDefault="009A6A37" w:rsidP="005D7108">
    <w:pPr>
      <w:pStyle w:val="Footer"/>
      <w:spacing w:line="360" w:lineRule="auto"/>
    </w:pPr>
    <w:r>
      <w:pict w14:anchorId="0D1EB8B0">
        <v:rect id="_x0000_i1027" style="width:0;height:1.5pt" o:hralign="center" o:hrstd="t" o:hr="t" fillcolor="#a0a0a0" stroked="f"/>
      </w:pict>
    </w:r>
  </w:p>
  <w:p w:rsidR="005D7108" w:rsidRDefault="005D7108" w:rsidP="005D7108">
    <w:pPr>
      <w:pStyle w:val="Footer"/>
      <w:jc w:val="center"/>
    </w:pPr>
    <w:r w:rsidRPr="008A5CB5">
      <w:rPr>
        <w:noProof/>
        <w:lang w:val="es-UY" w:eastAsia="es-UY"/>
      </w:rPr>
      <w:drawing>
        <wp:inline distT="0" distB="0" distL="0" distR="0" wp14:anchorId="6E9FF5AD" wp14:editId="09A0E177">
          <wp:extent cx="5118100" cy="317500"/>
          <wp:effectExtent l="0" t="0" r="12700" b="12700"/>
          <wp:docPr id="1" name="Picture 1"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0" cy="317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F7B" w:rsidRDefault="00C00F7B" w:rsidP="005475CB">
      <w:pPr>
        <w:spacing w:after="0" w:line="240" w:lineRule="auto"/>
      </w:pPr>
      <w:r>
        <w:separator/>
      </w:r>
    </w:p>
  </w:footnote>
  <w:footnote w:type="continuationSeparator" w:id="0">
    <w:p w:rsidR="00C00F7B" w:rsidRDefault="00C00F7B" w:rsidP="005475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108" w:rsidRPr="0058688A" w:rsidRDefault="005D7108" w:rsidP="005D7108">
    <w:pPr>
      <w:pStyle w:val="Header"/>
      <w:jc w:val="center"/>
      <w:rPr>
        <w:lang w:val="es-ES_tradnl"/>
      </w:rPr>
    </w:pPr>
    <w:r>
      <w:rPr>
        <w:noProof/>
        <w:lang w:val="es-UY" w:eastAsia="es-UY"/>
      </w:rPr>
      <w:drawing>
        <wp:inline distT="0" distB="0" distL="0" distR="0" wp14:anchorId="6C8A928F" wp14:editId="1B257C46">
          <wp:extent cx="2286000" cy="120650"/>
          <wp:effectExtent l="0" t="0" r="0" b="6350"/>
          <wp:docPr id="4" name="Picture 4"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0650"/>
                  </a:xfrm>
                  <a:prstGeom prst="rect">
                    <a:avLst/>
                  </a:prstGeom>
                  <a:noFill/>
                  <a:ln>
                    <a:noFill/>
                  </a:ln>
                </pic:spPr>
              </pic:pic>
            </a:graphicData>
          </a:graphic>
        </wp:inline>
      </w:drawing>
    </w:r>
  </w:p>
  <w:p w:rsidR="005D7108" w:rsidRDefault="009A6A37">
    <w:pPr>
      <w:pStyle w:val="Header"/>
    </w:pPr>
    <w:r>
      <w:pict w14:anchorId="081D5AE1">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108" w:rsidRDefault="005D7108" w:rsidP="005D7108">
    <w:pPr>
      <w:pStyle w:val="Header"/>
    </w:pPr>
    <w:r w:rsidRPr="008A5CB5">
      <w:rPr>
        <w:noProof/>
        <w:lang w:val="es-UY" w:eastAsia="es-UY"/>
      </w:rPr>
      <w:drawing>
        <wp:inline distT="0" distB="0" distL="0" distR="0" wp14:anchorId="69342E38" wp14:editId="11DE1B4C">
          <wp:extent cx="2349500" cy="457200"/>
          <wp:effectExtent l="0" t="0" r="12700" b="0"/>
          <wp:docPr id="3" name="Picture 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00" cy="457200"/>
                  </a:xfrm>
                  <a:prstGeom prst="rect">
                    <a:avLst/>
                  </a:prstGeom>
                  <a:noFill/>
                  <a:ln>
                    <a:noFill/>
                  </a:ln>
                </pic:spPr>
              </pic:pic>
            </a:graphicData>
          </a:graphic>
        </wp:inline>
      </w:drawing>
    </w:r>
    <w:r>
      <w:tab/>
    </w:r>
    <w:r>
      <w:tab/>
    </w:r>
    <w:r w:rsidRPr="008A5CB5">
      <w:rPr>
        <w:noProof/>
        <w:lang w:val="es-UY" w:eastAsia="es-UY"/>
      </w:rPr>
      <w:drawing>
        <wp:inline distT="0" distB="0" distL="0" distR="0" wp14:anchorId="10C9FD3E" wp14:editId="3004E3B4">
          <wp:extent cx="1644650" cy="476250"/>
          <wp:effectExtent l="0" t="0" r="6350" b="6350"/>
          <wp:docPr id="2" name="Picture 2"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4650" cy="476250"/>
                  </a:xfrm>
                  <a:prstGeom prst="rect">
                    <a:avLst/>
                  </a:prstGeom>
                  <a:noFill/>
                  <a:ln>
                    <a:noFill/>
                  </a:ln>
                </pic:spPr>
              </pic:pic>
            </a:graphicData>
          </a:graphic>
        </wp:inline>
      </w:drawing>
    </w:r>
  </w:p>
  <w:p w:rsidR="005D7108" w:rsidRDefault="005D7108" w:rsidP="005D7108">
    <w:pPr>
      <w:pStyle w:val="Header"/>
    </w:pPr>
  </w:p>
  <w:p w:rsidR="005D7108" w:rsidRDefault="009A6A37" w:rsidP="005D7108">
    <w:pPr>
      <w:pStyle w:val="Header"/>
    </w:pPr>
    <w:r>
      <w:pict w14:anchorId="46A0425D">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E20E2"/>
    <w:multiLevelType w:val="hybridMultilevel"/>
    <w:tmpl w:val="23F4BFF8"/>
    <w:lvl w:ilvl="0" w:tplc="E0607968">
      <w:start w:val="1"/>
      <w:numFmt w:val="decimal"/>
      <w:lvlText w:val="%1."/>
      <w:lvlJc w:val="left"/>
      <w:pPr>
        <w:tabs>
          <w:tab w:val="num" w:pos="900"/>
        </w:tabs>
        <w:ind w:left="900" w:hanging="360"/>
      </w:pPr>
      <w:rPr>
        <w:rFonts w:ascii="Cambria" w:hAnsi="Cambria" w:hint="default"/>
        <w:b w:val="0"/>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lowerRoman"/>
      <w:lvlText w:val="%3."/>
      <w:lvlJc w:val="right"/>
      <w:pPr>
        <w:tabs>
          <w:tab w:val="num" w:pos="2880"/>
        </w:tabs>
        <w:ind w:left="2880" w:hanging="180"/>
      </w:pPr>
    </w:lvl>
    <w:lvl w:ilvl="3" w:tplc="823A65B8">
      <w:start w:val="1"/>
      <w:numFmt w:val="decimal"/>
      <w:lvlText w:val="%4."/>
      <w:lvlJc w:val="left"/>
      <w:pPr>
        <w:tabs>
          <w:tab w:val="num" w:pos="3600"/>
        </w:tabs>
        <w:ind w:left="3600" w:hanging="360"/>
      </w:pPr>
      <w:rPr>
        <w:rFonts w:ascii="Cambria" w:hAnsi="Cambria" w:hint="default"/>
        <w:b/>
        <w:i w:val="0"/>
        <w:sz w:val="20"/>
        <w:szCs w:val="20"/>
      </w:rPr>
    </w:lvl>
    <w:lvl w:ilvl="4" w:tplc="508EF038">
      <w:start w:val="1"/>
      <w:numFmt w:val="lowerLetter"/>
      <w:lvlText w:val="%5)"/>
      <w:lvlJc w:val="left"/>
      <w:pPr>
        <w:tabs>
          <w:tab w:val="num" w:pos="4680"/>
        </w:tabs>
        <w:ind w:left="4680" w:hanging="720"/>
      </w:pPr>
      <w:rPr>
        <w:rFonts w:hint="default"/>
      </w:r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3BBA7DE2"/>
    <w:multiLevelType w:val="hybridMultilevel"/>
    <w:tmpl w:val="5C886AE8"/>
    <w:lvl w:ilvl="0" w:tplc="B2804606">
      <w:start w:val="1"/>
      <w:numFmt w:val="decimal"/>
      <w:lvlText w:val="%1."/>
      <w:lvlJc w:val="left"/>
      <w:pPr>
        <w:tabs>
          <w:tab w:val="num" w:pos="1260"/>
        </w:tabs>
        <w:ind w:left="1260" w:hanging="360"/>
      </w:pPr>
      <w:rPr>
        <w:rFonts w:ascii="Cambria" w:hAnsi="Cambria" w:cs="Times New Roman" w:hint="default"/>
        <w:b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E370217"/>
    <w:multiLevelType w:val="hybridMultilevel"/>
    <w:tmpl w:val="D2C08B04"/>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D82"/>
    <w:rsid w:val="00000E36"/>
    <w:rsid w:val="000024BD"/>
    <w:rsid w:val="0001571B"/>
    <w:rsid w:val="00063390"/>
    <w:rsid w:val="0007703C"/>
    <w:rsid w:val="000A3151"/>
    <w:rsid w:val="000B3311"/>
    <w:rsid w:val="000B6202"/>
    <w:rsid w:val="000E0A18"/>
    <w:rsid w:val="0015351C"/>
    <w:rsid w:val="001E0631"/>
    <w:rsid w:val="00267984"/>
    <w:rsid w:val="003029FE"/>
    <w:rsid w:val="003F7922"/>
    <w:rsid w:val="00443BCD"/>
    <w:rsid w:val="00455C9F"/>
    <w:rsid w:val="00525D7A"/>
    <w:rsid w:val="005475CB"/>
    <w:rsid w:val="005537B0"/>
    <w:rsid w:val="0055399C"/>
    <w:rsid w:val="005D7108"/>
    <w:rsid w:val="005F4FD8"/>
    <w:rsid w:val="006065E7"/>
    <w:rsid w:val="0062017A"/>
    <w:rsid w:val="00640E07"/>
    <w:rsid w:val="00682C23"/>
    <w:rsid w:val="006E20DE"/>
    <w:rsid w:val="00745D91"/>
    <w:rsid w:val="00753572"/>
    <w:rsid w:val="007859DD"/>
    <w:rsid w:val="0079663A"/>
    <w:rsid w:val="007C37F1"/>
    <w:rsid w:val="008334EB"/>
    <w:rsid w:val="0087429A"/>
    <w:rsid w:val="00887692"/>
    <w:rsid w:val="008E2D07"/>
    <w:rsid w:val="009557A4"/>
    <w:rsid w:val="00971574"/>
    <w:rsid w:val="00977437"/>
    <w:rsid w:val="00985D82"/>
    <w:rsid w:val="009A659F"/>
    <w:rsid w:val="009F0CF6"/>
    <w:rsid w:val="00A27C5C"/>
    <w:rsid w:val="00A64D1B"/>
    <w:rsid w:val="00A91AEC"/>
    <w:rsid w:val="00A91B2E"/>
    <w:rsid w:val="00A9314C"/>
    <w:rsid w:val="00B17B1E"/>
    <w:rsid w:val="00B467A0"/>
    <w:rsid w:val="00B51435"/>
    <w:rsid w:val="00B75776"/>
    <w:rsid w:val="00B77227"/>
    <w:rsid w:val="00BE3B02"/>
    <w:rsid w:val="00BF01C3"/>
    <w:rsid w:val="00BF2C2A"/>
    <w:rsid w:val="00C00F7B"/>
    <w:rsid w:val="00C11485"/>
    <w:rsid w:val="00CA23D7"/>
    <w:rsid w:val="00CD037E"/>
    <w:rsid w:val="00D20CD3"/>
    <w:rsid w:val="00DB5ADF"/>
    <w:rsid w:val="00DB6569"/>
    <w:rsid w:val="00DE7301"/>
    <w:rsid w:val="00E02CAA"/>
    <w:rsid w:val="00E233F9"/>
    <w:rsid w:val="00E55000"/>
    <w:rsid w:val="00E955A3"/>
    <w:rsid w:val="00E9706C"/>
    <w:rsid w:val="00EE5A47"/>
    <w:rsid w:val="00F42CD6"/>
    <w:rsid w:val="00F543E1"/>
    <w:rsid w:val="00FF0C77"/>
    <w:rsid w:val="00FF7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D8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 Accent 11"/>
    <w:link w:val="ListParagraphChar"/>
    <w:uiPriority w:val="34"/>
    <w:qFormat/>
    <w:rsid w:val="00985D82"/>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character" w:customStyle="1" w:styleId="ListParagraphChar">
    <w:name w:val="List Paragraph Char"/>
    <w:aliases w:val="Colorful List - Accent 11 Char"/>
    <w:link w:val="ListParagraph"/>
    <w:uiPriority w:val="34"/>
    <w:locked/>
    <w:rsid w:val="00985D82"/>
    <w:rPr>
      <w:rFonts w:ascii="Cambria" w:eastAsia="Cambria" w:hAnsi="Cambria" w:cs="Cambria"/>
      <w:color w:val="000000"/>
      <w:u w:color="000000"/>
      <w:bdr w:val="nil"/>
      <w:lang w:eastAsia="es-ES"/>
    </w:rPr>
  </w:style>
  <w:style w:type="paragraph" w:styleId="Header">
    <w:name w:val="header"/>
    <w:basedOn w:val="Normal"/>
    <w:link w:val="HeaderChar"/>
    <w:unhideWhenUsed/>
    <w:rsid w:val="00985D82"/>
    <w:pPr>
      <w:tabs>
        <w:tab w:val="center" w:pos="4680"/>
        <w:tab w:val="right" w:pos="9360"/>
      </w:tabs>
      <w:spacing w:after="0" w:line="240" w:lineRule="auto"/>
    </w:pPr>
    <w:rPr>
      <w:rFonts w:eastAsia="MS Mincho"/>
    </w:rPr>
  </w:style>
  <w:style w:type="character" w:customStyle="1" w:styleId="HeaderChar">
    <w:name w:val="Header Char"/>
    <w:basedOn w:val="DefaultParagraphFont"/>
    <w:link w:val="Header"/>
    <w:rsid w:val="00985D82"/>
    <w:rPr>
      <w:rFonts w:ascii="Calibri" w:eastAsia="MS Mincho" w:hAnsi="Calibri" w:cs="Times New Roman"/>
      <w:sz w:val="22"/>
      <w:szCs w:val="22"/>
    </w:rPr>
  </w:style>
  <w:style w:type="paragraph" w:styleId="Footer">
    <w:name w:val="footer"/>
    <w:basedOn w:val="Normal"/>
    <w:link w:val="FooterChar"/>
    <w:unhideWhenUsed/>
    <w:rsid w:val="00985D82"/>
    <w:pPr>
      <w:tabs>
        <w:tab w:val="center" w:pos="4680"/>
        <w:tab w:val="right" w:pos="9360"/>
      </w:tabs>
      <w:spacing w:after="0" w:line="240" w:lineRule="auto"/>
    </w:pPr>
    <w:rPr>
      <w:rFonts w:eastAsia="MS Mincho"/>
    </w:rPr>
  </w:style>
  <w:style w:type="character" w:customStyle="1" w:styleId="FooterChar">
    <w:name w:val="Footer Char"/>
    <w:basedOn w:val="DefaultParagraphFont"/>
    <w:link w:val="Footer"/>
    <w:rsid w:val="00985D82"/>
    <w:rPr>
      <w:rFonts w:ascii="Calibri" w:eastAsia="MS Mincho" w:hAnsi="Calibri" w:cs="Times New Roman"/>
      <w:sz w:val="22"/>
      <w:szCs w:val="22"/>
    </w:rPr>
  </w:style>
  <w:style w:type="paragraph" w:styleId="NormalWeb">
    <w:name w:val="Normal (Web)"/>
    <w:basedOn w:val="Normal"/>
    <w:uiPriority w:val="99"/>
    <w:semiHidden/>
    <w:unhideWhenUsed/>
    <w:rsid w:val="00985D82"/>
    <w:pPr>
      <w:spacing w:before="100" w:beforeAutospacing="1" w:after="100" w:afterAutospacing="1" w:line="240" w:lineRule="auto"/>
    </w:pPr>
    <w:rPr>
      <w:rFonts w:ascii="Times New Roman" w:eastAsiaTheme="minorHAnsi" w:hAnsi="Times New Roman"/>
      <w:sz w:val="24"/>
      <w:szCs w:val="24"/>
    </w:rPr>
  </w:style>
  <w:style w:type="paragraph" w:styleId="FootnoteText">
    <w:name w:val="footnote text"/>
    <w:basedOn w:val="Normal"/>
    <w:link w:val="FootnoteTextChar"/>
    <w:uiPriority w:val="99"/>
    <w:unhideWhenUsed/>
    <w:rsid w:val="005475CB"/>
    <w:pPr>
      <w:spacing w:after="0" w:line="240" w:lineRule="auto"/>
    </w:pPr>
    <w:rPr>
      <w:sz w:val="24"/>
      <w:szCs w:val="24"/>
    </w:rPr>
  </w:style>
  <w:style w:type="character" w:customStyle="1" w:styleId="FootnoteTextChar">
    <w:name w:val="Footnote Text Char"/>
    <w:basedOn w:val="DefaultParagraphFont"/>
    <w:link w:val="FootnoteText"/>
    <w:uiPriority w:val="99"/>
    <w:rsid w:val="005475CB"/>
    <w:rPr>
      <w:rFonts w:ascii="Calibri" w:eastAsia="Calibri" w:hAnsi="Calibri" w:cs="Times New Roman"/>
    </w:rPr>
  </w:style>
  <w:style w:type="character" w:styleId="FootnoteReference">
    <w:name w:val="footnote reference"/>
    <w:basedOn w:val="DefaultParagraphFont"/>
    <w:uiPriority w:val="99"/>
    <w:unhideWhenUsed/>
    <w:rsid w:val="005475CB"/>
    <w:rPr>
      <w:vertAlign w:val="superscript"/>
    </w:rPr>
  </w:style>
  <w:style w:type="paragraph" w:styleId="BalloonText">
    <w:name w:val="Balloon Text"/>
    <w:basedOn w:val="Normal"/>
    <w:link w:val="BalloonTextChar"/>
    <w:uiPriority w:val="99"/>
    <w:semiHidden/>
    <w:unhideWhenUsed/>
    <w:rsid w:val="00C11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485"/>
    <w:rPr>
      <w:rFonts w:ascii="Tahoma" w:eastAsia="Calibri" w:hAnsi="Tahoma" w:cs="Tahoma"/>
      <w:sz w:val="16"/>
      <w:szCs w:val="16"/>
    </w:rPr>
  </w:style>
  <w:style w:type="character" w:styleId="Hyperlink">
    <w:name w:val="Hyperlink"/>
    <w:basedOn w:val="DefaultParagraphFont"/>
    <w:uiPriority w:val="99"/>
    <w:unhideWhenUsed/>
    <w:rsid w:val="0062017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D8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 Accent 11"/>
    <w:link w:val="ListParagraphChar"/>
    <w:uiPriority w:val="34"/>
    <w:qFormat/>
    <w:rsid w:val="00985D82"/>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character" w:customStyle="1" w:styleId="ListParagraphChar">
    <w:name w:val="List Paragraph Char"/>
    <w:aliases w:val="Colorful List - Accent 11 Char"/>
    <w:link w:val="ListParagraph"/>
    <w:uiPriority w:val="34"/>
    <w:locked/>
    <w:rsid w:val="00985D82"/>
    <w:rPr>
      <w:rFonts w:ascii="Cambria" w:eastAsia="Cambria" w:hAnsi="Cambria" w:cs="Cambria"/>
      <w:color w:val="000000"/>
      <w:u w:color="000000"/>
      <w:bdr w:val="nil"/>
      <w:lang w:eastAsia="es-ES"/>
    </w:rPr>
  </w:style>
  <w:style w:type="paragraph" w:styleId="Header">
    <w:name w:val="header"/>
    <w:basedOn w:val="Normal"/>
    <w:link w:val="HeaderChar"/>
    <w:unhideWhenUsed/>
    <w:rsid w:val="00985D82"/>
    <w:pPr>
      <w:tabs>
        <w:tab w:val="center" w:pos="4680"/>
        <w:tab w:val="right" w:pos="9360"/>
      </w:tabs>
      <w:spacing w:after="0" w:line="240" w:lineRule="auto"/>
    </w:pPr>
    <w:rPr>
      <w:rFonts w:eastAsia="MS Mincho"/>
    </w:rPr>
  </w:style>
  <w:style w:type="character" w:customStyle="1" w:styleId="HeaderChar">
    <w:name w:val="Header Char"/>
    <w:basedOn w:val="DefaultParagraphFont"/>
    <w:link w:val="Header"/>
    <w:rsid w:val="00985D82"/>
    <w:rPr>
      <w:rFonts w:ascii="Calibri" w:eastAsia="MS Mincho" w:hAnsi="Calibri" w:cs="Times New Roman"/>
      <w:sz w:val="22"/>
      <w:szCs w:val="22"/>
    </w:rPr>
  </w:style>
  <w:style w:type="paragraph" w:styleId="Footer">
    <w:name w:val="footer"/>
    <w:basedOn w:val="Normal"/>
    <w:link w:val="FooterChar"/>
    <w:unhideWhenUsed/>
    <w:rsid w:val="00985D82"/>
    <w:pPr>
      <w:tabs>
        <w:tab w:val="center" w:pos="4680"/>
        <w:tab w:val="right" w:pos="9360"/>
      </w:tabs>
      <w:spacing w:after="0" w:line="240" w:lineRule="auto"/>
    </w:pPr>
    <w:rPr>
      <w:rFonts w:eastAsia="MS Mincho"/>
    </w:rPr>
  </w:style>
  <w:style w:type="character" w:customStyle="1" w:styleId="FooterChar">
    <w:name w:val="Footer Char"/>
    <w:basedOn w:val="DefaultParagraphFont"/>
    <w:link w:val="Footer"/>
    <w:rsid w:val="00985D82"/>
    <w:rPr>
      <w:rFonts w:ascii="Calibri" w:eastAsia="MS Mincho" w:hAnsi="Calibri" w:cs="Times New Roman"/>
      <w:sz w:val="22"/>
      <w:szCs w:val="22"/>
    </w:rPr>
  </w:style>
  <w:style w:type="paragraph" w:styleId="NormalWeb">
    <w:name w:val="Normal (Web)"/>
    <w:basedOn w:val="Normal"/>
    <w:uiPriority w:val="99"/>
    <w:semiHidden/>
    <w:unhideWhenUsed/>
    <w:rsid w:val="00985D82"/>
    <w:pPr>
      <w:spacing w:before="100" w:beforeAutospacing="1" w:after="100" w:afterAutospacing="1" w:line="240" w:lineRule="auto"/>
    </w:pPr>
    <w:rPr>
      <w:rFonts w:ascii="Times New Roman" w:eastAsiaTheme="minorHAnsi" w:hAnsi="Times New Roman"/>
      <w:sz w:val="24"/>
      <w:szCs w:val="24"/>
    </w:rPr>
  </w:style>
  <w:style w:type="paragraph" w:styleId="FootnoteText">
    <w:name w:val="footnote text"/>
    <w:basedOn w:val="Normal"/>
    <w:link w:val="FootnoteTextChar"/>
    <w:uiPriority w:val="99"/>
    <w:unhideWhenUsed/>
    <w:rsid w:val="005475CB"/>
    <w:pPr>
      <w:spacing w:after="0" w:line="240" w:lineRule="auto"/>
    </w:pPr>
    <w:rPr>
      <w:sz w:val="24"/>
      <w:szCs w:val="24"/>
    </w:rPr>
  </w:style>
  <w:style w:type="character" w:customStyle="1" w:styleId="FootnoteTextChar">
    <w:name w:val="Footnote Text Char"/>
    <w:basedOn w:val="DefaultParagraphFont"/>
    <w:link w:val="FootnoteText"/>
    <w:uiPriority w:val="99"/>
    <w:rsid w:val="005475CB"/>
    <w:rPr>
      <w:rFonts w:ascii="Calibri" w:eastAsia="Calibri" w:hAnsi="Calibri" w:cs="Times New Roman"/>
    </w:rPr>
  </w:style>
  <w:style w:type="character" w:styleId="FootnoteReference">
    <w:name w:val="footnote reference"/>
    <w:basedOn w:val="DefaultParagraphFont"/>
    <w:uiPriority w:val="99"/>
    <w:unhideWhenUsed/>
    <w:rsid w:val="005475CB"/>
    <w:rPr>
      <w:vertAlign w:val="superscript"/>
    </w:rPr>
  </w:style>
  <w:style w:type="paragraph" w:styleId="BalloonText">
    <w:name w:val="Balloon Text"/>
    <w:basedOn w:val="Normal"/>
    <w:link w:val="BalloonTextChar"/>
    <w:uiPriority w:val="99"/>
    <w:semiHidden/>
    <w:unhideWhenUsed/>
    <w:rsid w:val="00C11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485"/>
    <w:rPr>
      <w:rFonts w:ascii="Tahoma" w:eastAsia="Calibri" w:hAnsi="Tahoma" w:cs="Tahoma"/>
      <w:sz w:val="16"/>
      <w:szCs w:val="16"/>
    </w:rPr>
  </w:style>
  <w:style w:type="character" w:styleId="Hyperlink">
    <w:name w:val="Hyperlink"/>
    <w:basedOn w:val="DefaultParagraphFont"/>
    <w:uiPriority w:val="99"/>
    <w:unhideWhenUsed/>
    <w:rsid w:val="006201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1295</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Fontana, Maria Eva</cp:lastModifiedBy>
  <cp:revision>5</cp:revision>
  <cp:lastPrinted>2016-09-21T20:57:00Z</cp:lastPrinted>
  <dcterms:created xsi:type="dcterms:W3CDTF">2016-09-21T21:36:00Z</dcterms:created>
  <dcterms:modified xsi:type="dcterms:W3CDTF">2017-01-26T14:59:00Z</dcterms:modified>
</cp:coreProperties>
</file>