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769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0114B7B" wp14:editId="6289AA2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9DF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650F5AD" wp14:editId="7AEDDC7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0D034" w14:textId="77777777" w:rsidR="00595122" w:rsidRDefault="00595122" w:rsidP="00AE5488">
                            <w:r>
                              <w:rPr>
                                <w:noProof/>
                              </w:rPr>
                              <w:drawing>
                                <wp:inline distT="0" distB="0" distL="0" distR="0" wp14:anchorId="12B799D4" wp14:editId="2895119D">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0F5A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BF0D034" w14:textId="77777777" w:rsidR="00595122" w:rsidRDefault="00595122" w:rsidP="00AE5488">
                      <w:r>
                        <w:rPr>
                          <w:noProof/>
                        </w:rPr>
                        <w:drawing>
                          <wp:inline distT="0" distB="0" distL="0" distR="0" wp14:anchorId="12B799D4" wp14:editId="2895119D">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791160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406296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B7077F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4B6329E" w14:textId="77777777" w:rsidR="005128E4" w:rsidRPr="0090270B" w:rsidRDefault="00F73076" w:rsidP="00040C3A">
      <w:pPr>
        <w:tabs>
          <w:tab w:val="center" w:pos="5400"/>
        </w:tabs>
        <w:suppressAutoHyphens/>
        <w:rPr>
          <w:rFonts w:asciiTheme="majorHAnsi" w:hAnsiTheme="majorHAnsi"/>
          <w:sz w:val="22"/>
          <w:szCs w:val="22"/>
          <w:lang w:val="es-ES_tradnl"/>
        </w:rPr>
      </w:pPr>
      <w:proofErr w:type="spellStart"/>
      <w:proofErr w:type="gramStart"/>
      <w:r>
        <w:rPr>
          <w:rFonts w:asciiTheme="majorHAnsi" w:hAnsiTheme="majorHAnsi"/>
          <w:sz w:val="22"/>
          <w:szCs w:val="22"/>
          <w:lang w:val="es-ES_tradnl"/>
        </w:rPr>
        <w:t>xcfdz</w:t>
      </w:r>
      <w:proofErr w:type="spellEnd"/>
      <w:proofErr w:type="gramEnd"/>
    </w:p>
    <w:p w14:paraId="5CC0979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3852F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76B482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9BC347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434D44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9C174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D9E326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FF86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DE294C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22EB8CA" wp14:editId="2573D9D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D945D" w14:textId="09F45C66" w:rsidR="00595122" w:rsidRPr="00F73076" w:rsidRDefault="00595122" w:rsidP="00997BC5">
                            <w:pPr>
                              <w:spacing w:line="276" w:lineRule="auto"/>
                              <w:rPr>
                                <w:rFonts w:asciiTheme="majorHAnsi" w:hAnsiTheme="majorHAnsi" w:cs="Arial"/>
                                <w:b/>
                                <w:bCs/>
                                <w:color w:val="0D0D0D" w:themeColor="text1" w:themeTint="F2"/>
                                <w:sz w:val="36"/>
                                <w:szCs w:val="22"/>
                                <w:lang w:val="es-CO"/>
                              </w:rPr>
                            </w:pPr>
                            <w:r w:rsidRPr="00F73076">
                              <w:rPr>
                                <w:rFonts w:asciiTheme="majorHAnsi" w:hAnsiTheme="majorHAnsi" w:cs="Arial"/>
                                <w:b/>
                                <w:bCs/>
                                <w:color w:val="0D0D0D" w:themeColor="text1" w:themeTint="F2"/>
                                <w:sz w:val="36"/>
                                <w:szCs w:val="22"/>
                                <w:lang w:val="es-CO"/>
                              </w:rPr>
                              <w:t xml:space="preserve">INFORME </w:t>
                            </w:r>
                            <w:r w:rsidRPr="00F73076">
                              <w:rPr>
                                <w:rFonts w:asciiTheme="majorHAnsi" w:hAnsiTheme="majorHAnsi" w:cs="Arial"/>
                                <w:b/>
                                <w:bCs/>
                                <w:color w:val="0D0D0D" w:themeColor="text1" w:themeTint="F2"/>
                                <w:sz w:val="36"/>
                                <w:szCs w:val="40"/>
                                <w:lang w:val="es-CO"/>
                              </w:rPr>
                              <w:t>No.</w:t>
                            </w:r>
                            <w:r>
                              <w:rPr>
                                <w:rFonts w:asciiTheme="majorHAnsi" w:hAnsiTheme="majorHAnsi" w:cs="Arial"/>
                                <w:b/>
                                <w:bCs/>
                                <w:color w:val="0D0D0D" w:themeColor="text1" w:themeTint="F2"/>
                                <w:sz w:val="36"/>
                                <w:szCs w:val="22"/>
                                <w:lang w:val="es-CO"/>
                              </w:rPr>
                              <w:t xml:space="preserve"> </w:t>
                            </w:r>
                            <w:r w:rsidR="002767DF">
                              <w:rPr>
                                <w:rFonts w:asciiTheme="majorHAnsi" w:hAnsiTheme="majorHAnsi" w:cs="Arial"/>
                                <w:b/>
                                <w:bCs/>
                                <w:color w:val="0D0D0D" w:themeColor="text1" w:themeTint="F2"/>
                                <w:sz w:val="36"/>
                                <w:szCs w:val="22"/>
                                <w:lang w:val="es-CO"/>
                              </w:rPr>
                              <w:t>119</w:t>
                            </w:r>
                            <w:r>
                              <w:rPr>
                                <w:rFonts w:asciiTheme="majorHAnsi" w:hAnsiTheme="majorHAnsi" w:cs="Arial"/>
                                <w:b/>
                                <w:bCs/>
                                <w:color w:val="0D0D0D" w:themeColor="text1" w:themeTint="F2"/>
                                <w:sz w:val="36"/>
                                <w:szCs w:val="22"/>
                                <w:lang w:val="es-CO"/>
                              </w:rPr>
                              <w:t>/18</w:t>
                            </w:r>
                          </w:p>
                          <w:p w14:paraId="5701A154" w14:textId="77777777" w:rsidR="00595122" w:rsidRPr="00F73076" w:rsidRDefault="00595122" w:rsidP="00997BC5">
                            <w:pPr>
                              <w:spacing w:line="276" w:lineRule="auto"/>
                              <w:rPr>
                                <w:rFonts w:asciiTheme="majorHAnsi" w:hAnsiTheme="majorHAnsi" w:cs="Arial"/>
                                <w:b/>
                                <w:color w:val="0D0D0D" w:themeColor="text1" w:themeTint="F2"/>
                                <w:sz w:val="36"/>
                                <w:szCs w:val="22"/>
                                <w:lang w:val="es-CO"/>
                              </w:rPr>
                            </w:pPr>
                            <w:r w:rsidRPr="00F73076">
                              <w:rPr>
                                <w:rFonts w:asciiTheme="majorHAnsi" w:hAnsiTheme="majorHAnsi" w:cs="Arial"/>
                                <w:b/>
                                <w:color w:val="0D0D0D" w:themeColor="text1" w:themeTint="F2"/>
                                <w:sz w:val="36"/>
                                <w:szCs w:val="22"/>
                                <w:lang w:val="es-CO"/>
                              </w:rPr>
                              <w:t xml:space="preserve">CASO </w:t>
                            </w:r>
                            <w:r w:rsidRPr="00E16AA3">
                              <w:rPr>
                                <w:rFonts w:asciiTheme="majorHAnsi" w:hAnsiTheme="majorHAnsi" w:cs="Arial"/>
                                <w:b/>
                                <w:color w:val="0D0D0D" w:themeColor="text1" w:themeTint="F2"/>
                                <w:sz w:val="36"/>
                                <w:szCs w:val="22"/>
                                <w:lang w:val="es-ES"/>
                              </w:rPr>
                              <w:t>12.814</w:t>
                            </w:r>
                          </w:p>
                          <w:p w14:paraId="749702C8" w14:textId="77777777" w:rsidR="00595122" w:rsidRPr="0010736F" w:rsidRDefault="00595122"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6052A8BE" w14:textId="77777777" w:rsidR="00595122" w:rsidRPr="0010736F" w:rsidRDefault="00595122" w:rsidP="00997BC5">
                            <w:pPr>
                              <w:spacing w:line="276" w:lineRule="auto"/>
                              <w:rPr>
                                <w:rFonts w:asciiTheme="majorHAnsi" w:hAnsiTheme="majorHAnsi" w:cs="Arial"/>
                                <w:color w:val="0D0D0D" w:themeColor="text1" w:themeTint="F2"/>
                                <w:szCs w:val="22"/>
                                <w:lang w:val="es-ES_tradnl"/>
                              </w:rPr>
                            </w:pPr>
                            <w:bookmarkStart w:id="0" w:name="_ftnref1"/>
                          </w:p>
                          <w:p w14:paraId="5E20650D" w14:textId="77777777" w:rsidR="00595122" w:rsidRDefault="005951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EDGARDO OLIVARES MUÑOZ Y OTROS</w:t>
                            </w:r>
                          </w:p>
                          <w:p w14:paraId="1BD1905F" w14:textId="77777777" w:rsidR="00595122" w:rsidRPr="0010736F" w:rsidRDefault="00595122" w:rsidP="00997BC5">
                            <w:pPr>
                              <w:spacing w:line="276" w:lineRule="auto"/>
                              <w:rPr>
                                <w:rFonts w:asciiTheme="majorHAnsi" w:hAnsiTheme="majorHAnsi" w:cs="Arial"/>
                                <w:color w:val="0D0D0D" w:themeColor="text1" w:themeTint="F2"/>
                                <w:szCs w:val="22"/>
                                <w:lang w:val="es-ES_tradnl"/>
                              </w:rPr>
                            </w:pPr>
                            <w:r w:rsidRPr="00A83D3A">
                              <w:rPr>
                                <w:rFonts w:asciiTheme="majorHAnsi" w:hAnsiTheme="majorHAnsi" w:cs="Arial"/>
                                <w:color w:val="0D0D0D" w:themeColor="text1" w:themeTint="F2"/>
                                <w:szCs w:val="22"/>
                                <w:lang w:val="es-ES_tradnl"/>
                              </w:rPr>
                              <w:t>(MUERTES EN LA CÁRCEL DE VISTA HERMOSA)</w:t>
                            </w:r>
                          </w:p>
                          <w:bookmarkEnd w:id="0"/>
                          <w:p w14:paraId="519C4E86" w14:textId="77777777" w:rsidR="00595122" w:rsidRPr="0010736F" w:rsidRDefault="0059512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747D457D" w14:textId="77777777" w:rsidR="00595122" w:rsidRPr="00AE5488" w:rsidRDefault="0059512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B8C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F0D945D" w14:textId="09F45C66" w:rsidR="00595122" w:rsidRPr="00F73076" w:rsidRDefault="00595122" w:rsidP="00997BC5">
                      <w:pPr>
                        <w:spacing w:line="276" w:lineRule="auto"/>
                        <w:rPr>
                          <w:rFonts w:asciiTheme="majorHAnsi" w:hAnsiTheme="majorHAnsi" w:cs="Arial"/>
                          <w:b/>
                          <w:bCs/>
                          <w:color w:val="0D0D0D" w:themeColor="text1" w:themeTint="F2"/>
                          <w:sz w:val="36"/>
                          <w:szCs w:val="22"/>
                          <w:lang w:val="es-CO"/>
                        </w:rPr>
                      </w:pPr>
                      <w:r w:rsidRPr="00F73076">
                        <w:rPr>
                          <w:rFonts w:asciiTheme="majorHAnsi" w:hAnsiTheme="majorHAnsi" w:cs="Arial"/>
                          <w:b/>
                          <w:bCs/>
                          <w:color w:val="0D0D0D" w:themeColor="text1" w:themeTint="F2"/>
                          <w:sz w:val="36"/>
                          <w:szCs w:val="22"/>
                          <w:lang w:val="es-CO"/>
                        </w:rPr>
                        <w:t xml:space="preserve">INFORME </w:t>
                      </w:r>
                      <w:r w:rsidRPr="00F73076">
                        <w:rPr>
                          <w:rFonts w:asciiTheme="majorHAnsi" w:hAnsiTheme="majorHAnsi" w:cs="Arial"/>
                          <w:b/>
                          <w:bCs/>
                          <w:color w:val="0D0D0D" w:themeColor="text1" w:themeTint="F2"/>
                          <w:sz w:val="36"/>
                          <w:szCs w:val="40"/>
                          <w:lang w:val="es-CO"/>
                        </w:rPr>
                        <w:t>No.</w:t>
                      </w:r>
                      <w:r>
                        <w:rPr>
                          <w:rFonts w:asciiTheme="majorHAnsi" w:hAnsiTheme="majorHAnsi" w:cs="Arial"/>
                          <w:b/>
                          <w:bCs/>
                          <w:color w:val="0D0D0D" w:themeColor="text1" w:themeTint="F2"/>
                          <w:sz w:val="36"/>
                          <w:szCs w:val="22"/>
                          <w:lang w:val="es-CO"/>
                        </w:rPr>
                        <w:t xml:space="preserve"> </w:t>
                      </w:r>
                      <w:r w:rsidR="002767DF">
                        <w:rPr>
                          <w:rFonts w:asciiTheme="majorHAnsi" w:hAnsiTheme="majorHAnsi" w:cs="Arial"/>
                          <w:b/>
                          <w:bCs/>
                          <w:color w:val="0D0D0D" w:themeColor="text1" w:themeTint="F2"/>
                          <w:sz w:val="36"/>
                          <w:szCs w:val="22"/>
                          <w:lang w:val="es-CO"/>
                        </w:rPr>
                        <w:t>119</w:t>
                      </w:r>
                      <w:r>
                        <w:rPr>
                          <w:rFonts w:asciiTheme="majorHAnsi" w:hAnsiTheme="majorHAnsi" w:cs="Arial"/>
                          <w:b/>
                          <w:bCs/>
                          <w:color w:val="0D0D0D" w:themeColor="text1" w:themeTint="F2"/>
                          <w:sz w:val="36"/>
                          <w:szCs w:val="22"/>
                          <w:lang w:val="es-CO"/>
                        </w:rPr>
                        <w:t>/18</w:t>
                      </w:r>
                    </w:p>
                    <w:p w14:paraId="5701A154" w14:textId="77777777" w:rsidR="00595122" w:rsidRPr="00F73076" w:rsidRDefault="00595122" w:rsidP="00997BC5">
                      <w:pPr>
                        <w:spacing w:line="276" w:lineRule="auto"/>
                        <w:rPr>
                          <w:rFonts w:asciiTheme="majorHAnsi" w:hAnsiTheme="majorHAnsi" w:cs="Arial"/>
                          <w:b/>
                          <w:color w:val="0D0D0D" w:themeColor="text1" w:themeTint="F2"/>
                          <w:sz w:val="36"/>
                          <w:szCs w:val="22"/>
                          <w:lang w:val="es-CO"/>
                        </w:rPr>
                      </w:pPr>
                      <w:r w:rsidRPr="00F73076">
                        <w:rPr>
                          <w:rFonts w:asciiTheme="majorHAnsi" w:hAnsiTheme="majorHAnsi" w:cs="Arial"/>
                          <w:b/>
                          <w:color w:val="0D0D0D" w:themeColor="text1" w:themeTint="F2"/>
                          <w:sz w:val="36"/>
                          <w:szCs w:val="22"/>
                          <w:lang w:val="es-CO"/>
                        </w:rPr>
                        <w:t xml:space="preserve">CASO </w:t>
                      </w:r>
                      <w:r w:rsidRPr="00E16AA3">
                        <w:rPr>
                          <w:rFonts w:asciiTheme="majorHAnsi" w:hAnsiTheme="majorHAnsi" w:cs="Arial"/>
                          <w:b/>
                          <w:color w:val="0D0D0D" w:themeColor="text1" w:themeTint="F2"/>
                          <w:sz w:val="36"/>
                          <w:szCs w:val="22"/>
                          <w:lang w:val="es-ES"/>
                        </w:rPr>
                        <w:t>12.814</w:t>
                      </w:r>
                    </w:p>
                    <w:p w14:paraId="749702C8" w14:textId="77777777" w:rsidR="00595122" w:rsidRPr="0010736F" w:rsidRDefault="00595122"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6052A8BE" w14:textId="77777777" w:rsidR="00595122" w:rsidRPr="0010736F" w:rsidRDefault="00595122" w:rsidP="00997BC5">
                      <w:pPr>
                        <w:spacing w:line="276" w:lineRule="auto"/>
                        <w:rPr>
                          <w:rFonts w:asciiTheme="majorHAnsi" w:hAnsiTheme="majorHAnsi" w:cs="Arial"/>
                          <w:color w:val="0D0D0D" w:themeColor="text1" w:themeTint="F2"/>
                          <w:szCs w:val="22"/>
                          <w:lang w:val="es-ES_tradnl"/>
                        </w:rPr>
                      </w:pPr>
                      <w:bookmarkStart w:id="1" w:name="_ftnref1"/>
                    </w:p>
                    <w:p w14:paraId="5E20650D" w14:textId="77777777" w:rsidR="00595122" w:rsidRDefault="005951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ORLANDO EDGARDO OLIVARES MUÑOZ Y OTROS</w:t>
                      </w:r>
                    </w:p>
                    <w:p w14:paraId="1BD1905F" w14:textId="77777777" w:rsidR="00595122" w:rsidRPr="0010736F" w:rsidRDefault="00595122" w:rsidP="00997BC5">
                      <w:pPr>
                        <w:spacing w:line="276" w:lineRule="auto"/>
                        <w:rPr>
                          <w:rFonts w:asciiTheme="majorHAnsi" w:hAnsiTheme="majorHAnsi" w:cs="Arial"/>
                          <w:color w:val="0D0D0D" w:themeColor="text1" w:themeTint="F2"/>
                          <w:szCs w:val="22"/>
                          <w:lang w:val="es-ES_tradnl"/>
                        </w:rPr>
                      </w:pPr>
                      <w:r w:rsidRPr="00A83D3A">
                        <w:rPr>
                          <w:rFonts w:asciiTheme="majorHAnsi" w:hAnsiTheme="majorHAnsi" w:cs="Arial"/>
                          <w:color w:val="0D0D0D" w:themeColor="text1" w:themeTint="F2"/>
                          <w:szCs w:val="22"/>
                          <w:lang w:val="es-ES_tradnl"/>
                        </w:rPr>
                        <w:t>(MUERTES EN LA CÁRCEL DE VISTA HERMOSA)</w:t>
                      </w:r>
                    </w:p>
                    <w:bookmarkEnd w:id="1"/>
                    <w:p w14:paraId="519C4E86" w14:textId="77777777" w:rsidR="00595122" w:rsidRPr="0010736F" w:rsidRDefault="0059512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747D457D" w14:textId="77777777" w:rsidR="00595122" w:rsidRPr="00AE5488" w:rsidRDefault="0059512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8794A13" wp14:editId="101B987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EAF5" w14:textId="41CC8609" w:rsidR="00595122" w:rsidRPr="004E2649" w:rsidRDefault="005951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5AA96CB4" w14:textId="5C05A0B7" w:rsidR="00595122" w:rsidRPr="004E2649" w:rsidRDefault="005951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136</w:t>
                            </w:r>
                          </w:p>
                          <w:p w14:paraId="30BC1BF8" w14:textId="554D6DC3" w:rsidR="00595122" w:rsidRPr="007C756A" w:rsidRDefault="0059512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w:t>
                            </w:r>
                            <w:r w:rsidRPr="007C756A">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octubre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14:paraId="3B89C61F" w14:textId="77777777" w:rsidR="00595122" w:rsidRPr="007C756A" w:rsidRDefault="00595122"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4A1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993EAF5" w14:textId="41CC8609" w:rsidR="00595122" w:rsidRPr="004E2649" w:rsidRDefault="005951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5AA96CB4" w14:textId="5C05A0B7" w:rsidR="00595122" w:rsidRPr="004E2649" w:rsidRDefault="0059512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136</w:t>
                      </w:r>
                    </w:p>
                    <w:p w14:paraId="30BC1BF8" w14:textId="554D6DC3" w:rsidR="00595122" w:rsidRPr="007C756A" w:rsidRDefault="0059512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w:t>
                      </w:r>
                      <w:r w:rsidRPr="007C756A">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octubre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14:paraId="3B89C61F" w14:textId="77777777" w:rsidR="00595122" w:rsidRPr="007C756A" w:rsidRDefault="00595122"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087356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D44B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72DD08"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3964C6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FD023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4B2E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43F6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66FF8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364EF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45C49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93B7B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2FAA4D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491C38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064D6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7D480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4AC4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63CA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553E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4C5D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BACB0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E0C4F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4BCC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02E0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7E52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219E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C568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57D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9A7F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27D4F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DB5C83B" wp14:editId="11CF4A9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DE239" w14:textId="0D74B27A" w:rsidR="00595122" w:rsidRPr="00890650" w:rsidRDefault="0059512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2137</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5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169</w:t>
                            </w:r>
                            <w:r w:rsidRPr="00890650">
                              <w:rPr>
                                <w:rFonts w:asciiTheme="majorHAnsi" w:hAnsiTheme="majorHAnsi" w:cs="Univers"/>
                                <w:color w:val="0D0D0D" w:themeColor="text1" w:themeTint="F2"/>
                                <w:sz w:val="18"/>
                                <w:szCs w:val="20"/>
                                <w:lang w:val="es-ES_tradnl"/>
                              </w:rPr>
                              <w:t xml:space="preserve"> período </w:t>
                            </w:r>
                            <w:r w:rsidRPr="00FB2DC4">
                              <w:rPr>
                                <w:rFonts w:asciiTheme="majorHAnsi" w:hAnsiTheme="majorHAnsi" w:cs="Univers"/>
                                <w:color w:val="0D0D0D" w:themeColor="text1" w:themeTint="F2"/>
                                <w:sz w:val="18"/>
                                <w:szCs w:val="20"/>
                                <w:lang w:val="es-ES_tradnl"/>
                              </w:rPr>
                              <w:t>extraordinario</w:t>
                            </w:r>
                            <w:r w:rsidRPr="00890650">
                              <w:rPr>
                                <w:rFonts w:asciiTheme="majorHAnsi" w:hAnsiTheme="majorHAnsi" w:cs="Univers"/>
                                <w:color w:val="0D0D0D" w:themeColor="text1" w:themeTint="F2"/>
                                <w:sz w:val="18"/>
                                <w:szCs w:val="20"/>
                                <w:lang w:val="es-ES_tradnl"/>
                              </w:rPr>
                              <w:t xml:space="preserve"> de sesiones</w:t>
                            </w:r>
                          </w:p>
                          <w:p w14:paraId="7FA7D0B8" w14:textId="77777777" w:rsidR="00595122" w:rsidRPr="007A5817" w:rsidRDefault="00595122" w:rsidP="00247403">
                            <w:pPr>
                              <w:tabs>
                                <w:tab w:val="center" w:pos="5400"/>
                              </w:tabs>
                              <w:suppressAutoHyphens/>
                              <w:spacing w:before="60"/>
                              <w:rPr>
                                <w:rFonts w:asciiTheme="minorHAnsi" w:hAnsiTheme="minorHAnsi" w:cs="Univers"/>
                                <w:color w:val="0D0D0D" w:themeColor="text1" w:themeTint="F2"/>
                                <w:sz w:val="20"/>
                                <w:szCs w:val="20"/>
                                <w:lang w:val="es-ES"/>
                              </w:rPr>
                            </w:pPr>
                          </w:p>
                          <w:p w14:paraId="63FF0F43" w14:textId="77777777" w:rsidR="00595122" w:rsidRPr="00167A34" w:rsidRDefault="0059512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5C83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80DE239" w14:textId="0D74B27A" w:rsidR="00595122" w:rsidRPr="00890650" w:rsidRDefault="0059512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2137</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5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169</w:t>
                      </w:r>
                      <w:r w:rsidRPr="00890650">
                        <w:rPr>
                          <w:rFonts w:asciiTheme="majorHAnsi" w:hAnsiTheme="majorHAnsi" w:cs="Univers"/>
                          <w:color w:val="0D0D0D" w:themeColor="text1" w:themeTint="F2"/>
                          <w:sz w:val="18"/>
                          <w:szCs w:val="20"/>
                          <w:lang w:val="es-ES_tradnl"/>
                        </w:rPr>
                        <w:t xml:space="preserve"> período </w:t>
                      </w:r>
                      <w:r w:rsidRPr="00FB2DC4">
                        <w:rPr>
                          <w:rFonts w:asciiTheme="majorHAnsi" w:hAnsiTheme="majorHAnsi" w:cs="Univers"/>
                          <w:color w:val="0D0D0D" w:themeColor="text1" w:themeTint="F2"/>
                          <w:sz w:val="18"/>
                          <w:szCs w:val="20"/>
                          <w:lang w:val="es-ES_tradnl"/>
                        </w:rPr>
                        <w:t>extraordinario</w:t>
                      </w:r>
                      <w:r w:rsidRPr="00890650">
                        <w:rPr>
                          <w:rFonts w:asciiTheme="majorHAnsi" w:hAnsiTheme="majorHAnsi" w:cs="Univers"/>
                          <w:color w:val="0D0D0D" w:themeColor="text1" w:themeTint="F2"/>
                          <w:sz w:val="18"/>
                          <w:szCs w:val="20"/>
                          <w:lang w:val="es-ES_tradnl"/>
                        </w:rPr>
                        <w:t xml:space="preserve"> de sesiones</w:t>
                      </w:r>
                    </w:p>
                    <w:p w14:paraId="7FA7D0B8" w14:textId="77777777" w:rsidR="00595122" w:rsidRPr="007A5817" w:rsidRDefault="00595122" w:rsidP="00247403">
                      <w:pPr>
                        <w:tabs>
                          <w:tab w:val="center" w:pos="5400"/>
                        </w:tabs>
                        <w:suppressAutoHyphens/>
                        <w:spacing w:before="60"/>
                        <w:rPr>
                          <w:rFonts w:asciiTheme="minorHAnsi" w:hAnsiTheme="minorHAnsi" w:cs="Univers"/>
                          <w:color w:val="0D0D0D" w:themeColor="text1" w:themeTint="F2"/>
                          <w:sz w:val="20"/>
                          <w:szCs w:val="20"/>
                          <w:lang w:val="es-ES"/>
                        </w:rPr>
                      </w:pPr>
                    </w:p>
                    <w:p w14:paraId="63FF0F43" w14:textId="77777777" w:rsidR="00595122" w:rsidRPr="00167A34" w:rsidRDefault="0059512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022E5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C54F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8185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E8E2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43F14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86D3D73" wp14:editId="71DB404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09A08" w14:textId="308F8A47" w:rsidR="00595122" w:rsidRPr="007C756A" w:rsidRDefault="00595122" w:rsidP="00113F73">
                            <w:pPr>
                              <w:spacing w:line="276" w:lineRule="auto"/>
                              <w:rPr>
                                <w:rFonts w:asciiTheme="majorHAnsi" w:hAnsiTheme="majorHAnsi"/>
                                <w:color w:val="595959" w:themeColor="text1" w:themeTint="A6"/>
                                <w:sz w:val="18"/>
                                <w:szCs w:val="18"/>
                                <w:lang w:val="es-US"/>
                              </w:rPr>
                            </w:pPr>
                            <w:r w:rsidRPr="004861D7">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w:t>
                            </w:r>
                            <w:r w:rsidRPr="004861D7">
                              <w:rPr>
                                <w:rFonts w:asciiTheme="majorHAnsi" w:hAnsiTheme="majorHAnsi"/>
                                <w:color w:val="595959" w:themeColor="text1" w:themeTint="A6"/>
                                <w:sz w:val="18"/>
                                <w:szCs w:val="18"/>
                                <w:lang w:val="pt-BR"/>
                              </w:rPr>
                              <w:t xml:space="preserve"> Informe No. </w:t>
                            </w:r>
                            <w:r w:rsidR="00FE308E">
                              <w:rPr>
                                <w:rFonts w:asciiTheme="majorHAnsi" w:hAnsiTheme="majorHAnsi"/>
                                <w:color w:val="595959" w:themeColor="text1" w:themeTint="A6"/>
                                <w:sz w:val="18"/>
                                <w:szCs w:val="18"/>
                                <w:lang w:val="pt-BR"/>
                              </w:rPr>
                              <w:t>119</w:t>
                            </w:r>
                            <w:r w:rsidRPr="004861D7">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4861D7">
                              <w:rPr>
                                <w:rFonts w:asciiTheme="majorHAnsi" w:hAnsiTheme="majorHAnsi"/>
                                <w:color w:val="595959" w:themeColor="text1" w:themeTint="A6"/>
                                <w:sz w:val="18"/>
                                <w:szCs w:val="18"/>
                                <w:lang w:val="pt-BR"/>
                              </w:rPr>
                              <w:t xml:space="preserve"> </w:t>
                            </w:r>
                            <w:r w:rsidRPr="0094652F">
                              <w:rPr>
                                <w:rFonts w:asciiTheme="majorHAnsi" w:hAnsiTheme="majorHAnsi"/>
                                <w:color w:val="595959" w:themeColor="text1" w:themeTint="A6"/>
                                <w:sz w:val="18"/>
                                <w:szCs w:val="18"/>
                                <w:lang w:val="es-US"/>
                              </w:rPr>
                              <w:t xml:space="preserve">Caso 12.814. </w:t>
                            </w:r>
                            <w:r>
                              <w:rPr>
                                <w:rFonts w:asciiTheme="majorHAnsi" w:hAnsiTheme="majorHAnsi"/>
                                <w:color w:val="595959" w:themeColor="text1" w:themeTint="A6"/>
                                <w:sz w:val="18"/>
                                <w:szCs w:val="18"/>
                                <w:lang w:val="es-ES_tradnl"/>
                              </w:rPr>
                              <w:t>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Orlando Edgardo Olivares Muñoz y otros (Muertes en la Cárcel de Vista Hermosa)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octubre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D3D7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F609A08" w14:textId="308F8A47" w:rsidR="00595122" w:rsidRPr="007C756A" w:rsidRDefault="00595122" w:rsidP="00113F73">
                      <w:pPr>
                        <w:spacing w:line="276" w:lineRule="auto"/>
                        <w:rPr>
                          <w:rFonts w:asciiTheme="majorHAnsi" w:hAnsiTheme="majorHAnsi"/>
                          <w:color w:val="595959" w:themeColor="text1" w:themeTint="A6"/>
                          <w:sz w:val="18"/>
                          <w:szCs w:val="18"/>
                          <w:lang w:val="es-US"/>
                        </w:rPr>
                      </w:pPr>
                      <w:r w:rsidRPr="004861D7">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w:t>
                      </w:r>
                      <w:r w:rsidRPr="004861D7">
                        <w:rPr>
                          <w:rFonts w:asciiTheme="majorHAnsi" w:hAnsiTheme="majorHAnsi"/>
                          <w:color w:val="595959" w:themeColor="text1" w:themeTint="A6"/>
                          <w:sz w:val="18"/>
                          <w:szCs w:val="18"/>
                          <w:lang w:val="pt-BR"/>
                        </w:rPr>
                        <w:t xml:space="preserve"> Informe No. </w:t>
                      </w:r>
                      <w:r w:rsidR="00FE308E">
                        <w:rPr>
                          <w:rFonts w:asciiTheme="majorHAnsi" w:hAnsiTheme="majorHAnsi"/>
                          <w:color w:val="595959" w:themeColor="text1" w:themeTint="A6"/>
                          <w:sz w:val="18"/>
                          <w:szCs w:val="18"/>
                          <w:lang w:val="pt-BR"/>
                        </w:rPr>
                        <w:t>119</w:t>
                      </w:r>
                      <w:r w:rsidRPr="004861D7">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4861D7">
                        <w:rPr>
                          <w:rFonts w:asciiTheme="majorHAnsi" w:hAnsiTheme="majorHAnsi"/>
                          <w:color w:val="595959" w:themeColor="text1" w:themeTint="A6"/>
                          <w:sz w:val="18"/>
                          <w:szCs w:val="18"/>
                          <w:lang w:val="pt-BR"/>
                        </w:rPr>
                        <w:t xml:space="preserve"> </w:t>
                      </w:r>
                      <w:r w:rsidRPr="0094652F">
                        <w:rPr>
                          <w:rFonts w:asciiTheme="majorHAnsi" w:hAnsiTheme="majorHAnsi"/>
                          <w:color w:val="595959" w:themeColor="text1" w:themeTint="A6"/>
                          <w:sz w:val="18"/>
                          <w:szCs w:val="18"/>
                          <w:lang w:val="es-US"/>
                        </w:rPr>
                        <w:t xml:space="preserve">Caso 12.814. </w:t>
                      </w:r>
                      <w:r>
                        <w:rPr>
                          <w:rFonts w:asciiTheme="majorHAnsi" w:hAnsiTheme="majorHAnsi"/>
                          <w:color w:val="595959" w:themeColor="text1" w:themeTint="A6"/>
                          <w:sz w:val="18"/>
                          <w:szCs w:val="18"/>
                          <w:lang w:val="es-ES_tradnl"/>
                        </w:rPr>
                        <w:t>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Orlando Edgardo Olivares Muñoz y otros (Muertes en la Cárcel de Vista Hermosa)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octubre de 2018</w:t>
                      </w:r>
                      <w:r w:rsidRPr="007C756A">
                        <w:rPr>
                          <w:rFonts w:asciiTheme="majorHAnsi" w:hAnsiTheme="majorHAnsi"/>
                          <w:color w:val="595959" w:themeColor="text1" w:themeTint="A6"/>
                          <w:sz w:val="18"/>
                          <w:szCs w:val="18"/>
                          <w:lang w:val="es-US"/>
                        </w:rPr>
                        <w:t>.</w:t>
                      </w:r>
                    </w:p>
                  </w:txbxContent>
                </v:textbox>
              </v:shape>
            </w:pict>
          </mc:Fallback>
        </mc:AlternateContent>
      </w:r>
    </w:p>
    <w:p w14:paraId="228BFD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8F70E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3D423B" wp14:editId="6022768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7F649" w14:textId="77777777" w:rsidR="00595122" w:rsidRPr="00D72DC6" w:rsidRDefault="0059512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9D18554" wp14:editId="75F4EAC9">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423B"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FA7F649" w14:textId="77777777" w:rsidR="00595122" w:rsidRPr="00D72DC6" w:rsidRDefault="0059512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9D18554" wp14:editId="75F4EAC9">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29C927" wp14:editId="4F1698C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34E8C" w14:textId="77777777" w:rsidR="00595122" w:rsidRPr="004B7EB6" w:rsidRDefault="0059512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C92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C734E8C" w14:textId="77777777" w:rsidR="00595122" w:rsidRPr="004B7EB6" w:rsidRDefault="0059512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CEAF0FB"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C2BCDB0" w14:textId="7BA9767A" w:rsidR="00722C9F" w:rsidRPr="00F73076" w:rsidRDefault="007C756A" w:rsidP="00722C9F">
      <w:pPr>
        <w:tabs>
          <w:tab w:val="center" w:pos="5400"/>
        </w:tabs>
        <w:suppressAutoHyphens/>
        <w:spacing w:line="276" w:lineRule="auto"/>
        <w:jc w:val="center"/>
        <w:rPr>
          <w:rFonts w:asciiTheme="majorHAnsi" w:hAnsiTheme="majorHAnsi"/>
          <w:b/>
          <w:sz w:val="18"/>
          <w:szCs w:val="20"/>
          <w:lang w:val="es-CO"/>
        </w:rPr>
      </w:pPr>
      <w:r w:rsidRPr="00F73076">
        <w:rPr>
          <w:rFonts w:asciiTheme="majorHAnsi" w:hAnsiTheme="majorHAnsi"/>
          <w:b/>
          <w:sz w:val="18"/>
          <w:szCs w:val="20"/>
          <w:lang w:val="es-CO"/>
        </w:rPr>
        <w:lastRenderedPageBreak/>
        <w:t xml:space="preserve">INFORME No. </w:t>
      </w:r>
      <w:r w:rsidR="002767DF">
        <w:rPr>
          <w:rFonts w:asciiTheme="majorHAnsi" w:hAnsiTheme="majorHAnsi"/>
          <w:b/>
          <w:sz w:val="18"/>
          <w:szCs w:val="20"/>
          <w:lang w:val="es-CO"/>
        </w:rPr>
        <w:t>119</w:t>
      </w:r>
      <w:r w:rsidRPr="00F73076">
        <w:rPr>
          <w:rFonts w:asciiTheme="majorHAnsi" w:hAnsiTheme="majorHAnsi"/>
          <w:b/>
          <w:sz w:val="18"/>
          <w:szCs w:val="20"/>
          <w:lang w:val="es-CO"/>
        </w:rPr>
        <w:t>/</w:t>
      </w:r>
      <w:r w:rsidR="000928F3">
        <w:rPr>
          <w:rFonts w:asciiTheme="majorHAnsi" w:hAnsiTheme="majorHAnsi"/>
          <w:b/>
          <w:sz w:val="18"/>
          <w:szCs w:val="20"/>
          <w:lang w:val="es-CO"/>
        </w:rPr>
        <w:t>18</w:t>
      </w:r>
    </w:p>
    <w:p w14:paraId="077EA033" w14:textId="77777777" w:rsidR="00722C9F" w:rsidRPr="00F73076" w:rsidRDefault="00722C9F" w:rsidP="00722C9F">
      <w:pPr>
        <w:tabs>
          <w:tab w:val="center" w:pos="5400"/>
        </w:tabs>
        <w:suppressAutoHyphens/>
        <w:spacing w:line="276" w:lineRule="auto"/>
        <w:jc w:val="center"/>
        <w:rPr>
          <w:rFonts w:asciiTheme="majorHAnsi" w:hAnsiTheme="majorHAnsi"/>
          <w:b/>
          <w:sz w:val="18"/>
          <w:szCs w:val="20"/>
          <w:lang w:val="es-CO"/>
        </w:rPr>
      </w:pPr>
      <w:r w:rsidRPr="00F73076">
        <w:rPr>
          <w:rFonts w:asciiTheme="majorHAnsi" w:hAnsiTheme="majorHAnsi"/>
          <w:b/>
          <w:sz w:val="18"/>
          <w:szCs w:val="20"/>
          <w:lang w:val="es-CO"/>
        </w:rPr>
        <w:t xml:space="preserve">CASO </w:t>
      </w:r>
      <w:r w:rsidR="00E16AA3">
        <w:rPr>
          <w:rFonts w:asciiTheme="majorHAnsi" w:hAnsiTheme="majorHAnsi"/>
          <w:b/>
          <w:sz w:val="18"/>
          <w:szCs w:val="20"/>
          <w:lang w:val="es-ES"/>
        </w:rPr>
        <w:t>12.814</w:t>
      </w:r>
    </w:p>
    <w:p w14:paraId="1FD46E0A" w14:textId="77777777" w:rsidR="00722C9F" w:rsidRPr="00722C9F" w:rsidRDefault="00F805F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14:paraId="338E413D" w14:textId="77777777" w:rsidR="00896012" w:rsidRDefault="00896012" w:rsidP="00896012">
      <w:pPr>
        <w:tabs>
          <w:tab w:val="center" w:pos="5400"/>
        </w:tabs>
        <w:suppressAutoHyphens/>
        <w:spacing w:line="276" w:lineRule="auto"/>
        <w:jc w:val="center"/>
        <w:rPr>
          <w:rFonts w:asciiTheme="majorHAnsi" w:hAnsiTheme="majorHAnsi"/>
          <w:sz w:val="18"/>
          <w:szCs w:val="20"/>
          <w:lang w:val="es-ES_tradnl"/>
        </w:rPr>
      </w:pPr>
      <w:r w:rsidRPr="00896012">
        <w:rPr>
          <w:rFonts w:asciiTheme="majorHAnsi" w:hAnsiTheme="majorHAnsi"/>
          <w:sz w:val="18"/>
          <w:szCs w:val="20"/>
          <w:lang w:val="es-ES_tradnl"/>
        </w:rPr>
        <w:t>ORLANDO EDGARDO OLIVARES M</w:t>
      </w:r>
      <w:r w:rsidR="001D09EE">
        <w:rPr>
          <w:rFonts w:asciiTheme="majorHAnsi" w:hAnsiTheme="majorHAnsi"/>
          <w:sz w:val="18"/>
          <w:szCs w:val="20"/>
          <w:lang w:val="es-ES_tradnl"/>
        </w:rPr>
        <w:t>U</w:t>
      </w:r>
      <w:r w:rsidRPr="00896012">
        <w:rPr>
          <w:rFonts w:asciiTheme="majorHAnsi" w:hAnsiTheme="majorHAnsi"/>
          <w:sz w:val="18"/>
          <w:szCs w:val="20"/>
          <w:lang w:val="es-ES_tradnl"/>
        </w:rPr>
        <w:t>ÑOZ Y OTROS</w:t>
      </w:r>
    </w:p>
    <w:p w14:paraId="73697F33" w14:textId="77777777" w:rsidR="00A83D3A" w:rsidRPr="00896012" w:rsidRDefault="00A83D3A" w:rsidP="00896012">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(MUERTES EN LA CÁRCEL DE VISTA HERMOSA)</w:t>
      </w:r>
    </w:p>
    <w:p w14:paraId="3141B0A7" w14:textId="77777777" w:rsidR="00896012" w:rsidRDefault="00896012" w:rsidP="00896012">
      <w:pPr>
        <w:tabs>
          <w:tab w:val="center" w:pos="5400"/>
        </w:tabs>
        <w:suppressAutoHyphens/>
        <w:spacing w:line="276" w:lineRule="auto"/>
        <w:jc w:val="center"/>
        <w:rPr>
          <w:rFonts w:asciiTheme="majorHAnsi" w:hAnsiTheme="majorHAnsi"/>
          <w:sz w:val="18"/>
          <w:szCs w:val="20"/>
          <w:lang w:val="es-ES_tradnl"/>
        </w:rPr>
      </w:pPr>
      <w:r w:rsidRPr="00896012">
        <w:rPr>
          <w:rFonts w:asciiTheme="majorHAnsi" w:hAnsiTheme="majorHAnsi"/>
          <w:sz w:val="18"/>
          <w:szCs w:val="20"/>
          <w:lang w:val="es-ES_tradnl"/>
        </w:rPr>
        <w:t xml:space="preserve">VENEZUELA </w:t>
      </w:r>
    </w:p>
    <w:p w14:paraId="4022CA83" w14:textId="55A09992" w:rsidR="00722C9F" w:rsidRDefault="004F5025" w:rsidP="00896012">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5</w:t>
      </w:r>
      <w:r w:rsidR="00896012">
        <w:rPr>
          <w:rFonts w:asciiTheme="majorHAnsi" w:hAnsiTheme="majorHAnsi"/>
          <w:sz w:val="18"/>
          <w:szCs w:val="20"/>
          <w:lang w:val="es-ES_tradnl"/>
        </w:rPr>
        <w:t xml:space="preserve"> DE </w:t>
      </w:r>
      <w:r>
        <w:rPr>
          <w:rFonts w:asciiTheme="majorHAnsi" w:hAnsiTheme="majorHAnsi"/>
          <w:sz w:val="18"/>
          <w:szCs w:val="20"/>
          <w:lang w:val="es-ES_tradnl"/>
        </w:rPr>
        <w:t>OCTUBRE</w:t>
      </w:r>
      <w:r w:rsidR="00896012">
        <w:rPr>
          <w:rFonts w:asciiTheme="majorHAnsi" w:hAnsiTheme="majorHAnsi"/>
          <w:sz w:val="18"/>
          <w:szCs w:val="20"/>
          <w:lang w:val="es-ES_tradnl"/>
        </w:rPr>
        <w:t xml:space="preserve"> DE 2018</w:t>
      </w:r>
    </w:p>
    <w:p w14:paraId="11BFE73F" w14:textId="77777777" w:rsidR="00722C9F" w:rsidRPr="0094652F" w:rsidRDefault="00722C9F" w:rsidP="00722C9F">
      <w:pPr>
        <w:tabs>
          <w:tab w:val="center" w:pos="5400"/>
        </w:tabs>
        <w:suppressAutoHyphens/>
        <w:spacing w:line="276" w:lineRule="auto"/>
        <w:jc w:val="center"/>
        <w:rPr>
          <w:rFonts w:asciiTheme="majorHAnsi" w:hAnsiTheme="majorHAnsi"/>
          <w:sz w:val="14"/>
          <w:szCs w:val="14"/>
          <w:lang w:val="es-ES_tradnl"/>
        </w:rPr>
      </w:pPr>
    </w:p>
    <w:p w14:paraId="0A1725B2" w14:textId="77777777" w:rsidR="00722C9F" w:rsidRPr="00722C9F" w:rsidRDefault="00722C9F" w:rsidP="00722C9F">
      <w:pPr>
        <w:tabs>
          <w:tab w:val="center" w:pos="5400"/>
        </w:tabs>
        <w:suppressAutoHyphens/>
        <w:spacing w:line="276" w:lineRule="auto"/>
        <w:jc w:val="center"/>
        <w:rPr>
          <w:rFonts w:asciiTheme="majorHAnsi" w:hAnsiTheme="majorHAnsi"/>
          <w:b/>
          <w:sz w:val="28"/>
          <w:szCs w:val="20"/>
          <w:lang w:val="es-ES_tradnl"/>
        </w:rPr>
      </w:pPr>
      <w:r>
        <w:rPr>
          <w:rFonts w:asciiTheme="majorHAnsi" w:hAnsiTheme="majorHAnsi"/>
          <w:b/>
          <w:szCs w:val="20"/>
          <w:lang w:val="es-ES_tradnl"/>
        </w:rPr>
        <w:t>Í</w:t>
      </w:r>
      <w:r w:rsidRPr="00722C9F">
        <w:rPr>
          <w:rFonts w:asciiTheme="majorHAnsi" w:hAnsiTheme="majorHAnsi"/>
          <w:b/>
          <w:szCs w:val="20"/>
          <w:lang w:val="es-ES_tradnl"/>
        </w:rPr>
        <w:t>NDICE</w:t>
      </w:r>
    </w:p>
    <w:sdt>
      <w:sdtPr>
        <w:rPr>
          <w:rFonts w:eastAsia="Arial Unicode MS" w:cs="Times New Roman"/>
          <w:color w:val="auto"/>
          <w:sz w:val="8"/>
          <w:szCs w:val="8"/>
          <w:bdr w:val="nil"/>
        </w:rPr>
        <w:id w:val="1829860783"/>
        <w:docPartObj>
          <w:docPartGallery w:val="Table of Contents"/>
          <w:docPartUnique/>
        </w:docPartObj>
      </w:sdtPr>
      <w:sdtEndPr>
        <w:rPr>
          <w:rFonts w:ascii="Times New Roman" w:hAnsi="Times New Roman"/>
          <w:b/>
          <w:bCs/>
          <w:noProof/>
          <w:sz w:val="20"/>
          <w:szCs w:val="20"/>
        </w:rPr>
      </w:sdtEndPr>
      <w:sdtContent>
        <w:p w14:paraId="4F68C2D1" w14:textId="0BE17E98" w:rsidR="00B70FC5" w:rsidRPr="0094652F" w:rsidRDefault="00B70FC5" w:rsidP="0094652F">
          <w:pPr>
            <w:pStyle w:val="TOCHeading"/>
            <w:spacing w:before="0"/>
            <w:rPr>
              <w:sz w:val="8"/>
              <w:szCs w:val="8"/>
            </w:rPr>
          </w:pPr>
        </w:p>
        <w:p w14:paraId="295C80A7" w14:textId="77777777" w:rsidR="0094652F" w:rsidRPr="0094652F" w:rsidRDefault="00B70FC5">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94652F">
            <w:rPr>
              <w:rFonts w:asciiTheme="majorHAnsi" w:hAnsiTheme="majorHAnsi"/>
              <w:b/>
              <w:bCs/>
              <w:noProof/>
              <w:sz w:val="20"/>
              <w:szCs w:val="20"/>
            </w:rPr>
            <w:fldChar w:fldCharType="begin"/>
          </w:r>
          <w:r w:rsidRPr="0094652F">
            <w:rPr>
              <w:rFonts w:asciiTheme="majorHAnsi" w:hAnsiTheme="majorHAnsi"/>
              <w:b/>
              <w:bCs/>
              <w:noProof/>
              <w:sz w:val="20"/>
              <w:szCs w:val="20"/>
            </w:rPr>
            <w:instrText xml:space="preserve"> TOC \o "1-3" \h \z \u </w:instrText>
          </w:r>
          <w:r w:rsidRPr="0094652F">
            <w:rPr>
              <w:rFonts w:asciiTheme="majorHAnsi" w:hAnsiTheme="majorHAnsi"/>
              <w:b/>
              <w:bCs/>
              <w:noProof/>
              <w:sz w:val="20"/>
              <w:szCs w:val="20"/>
            </w:rPr>
            <w:fldChar w:fldCharType="separate"/>
          </w:r>
          <w:hyperlink w:anchor="_Toc527708400" w:history="1">
            <w:r w:rsidR="0094652F" w:rsidRPr="0094652F">
              <w:rPr>
                <w:rStyle w:val="Hyperlink"/>
                <w:rFonts w:asciiTheme="majorHAnsi" w:hAnsiTheme="majorHAnsi"/>
                <w:noProof/>
                <w:sz w:val="20"/>
                <w:szCs w:val="20"/>
              </w:rPr>
              <w:t>I.</w:t>
            </w:r>
            <w:r w:rsidR="0094652F" w:rsidRPr="0094652F">
              <w:rPr>
                <w:rFonts w:asciiTheme="majorHAnsi" w:eastAsiaTheme="minorEastAsia" w:hAnsiTheme="majorHAnsi" w:cstheme="minorBidi"/>
                <w:noProof/>
                <w:sz w:val="20"/>
                <w:szCs w:val="20"/>
                <w:bdr w:val="none" w:sz="0" w:space="0" w:color="auto"/>
              </w:rPr>
              <w:tab/>
            </w:r>
            <w:r w:rsidR="0094652F" w:rsidRPr="0094652F">
              <w:rPr>
                <w:rStyle w:val="Hyperlink"/>
                <w:rFonts w:asciiTheme="majorHAnsi" w:hAnsiTheme="majorHAnsi"/>
                <w:noProof/>
                <w:sz w:val="20"/>
                <w:szCs w:val="20"/>
              </w:rPr>
              <w:t>RESUMEN</w:t>
            </w:r>
            <w:r w:rsidR="0094652F" w:rsidRPr="0094652F">
              <w:rPr>
                <w:rFonts w:asciiTheme="majorHAnsi" w:hAnsiTheme="majorHAnsi"/>
                <w:noProof/>
                <w:webHidden/>
                <w:sz w:val="20"/>
                <w:szCs w:val="20"/>
              </w:rPr>
              <w:tab/>
            </w:r>
            <w:r w:rsidR="0094652F" w:rsidRPr="0094652F">
              <w:rPr>
                <w:rFonts w:asciiTheme="majorHAnsi" w:hAnsiTheme="majorHAnsi"/>
                <w:noProof/>
                <w:webHidden/>
                <w:sz w:val="20"/>
                <w:szCs w:val="20"/>
              </w:rPr>
              <w:fldChar w:fldCharType="begin"/>
            </w:r>
            <w:r w:rsidR="0094652F" w:rsidRPr="0094652F">
              <w:rPr>
                <w:rFonts w:asciiTheme="majorHAnsi" w:hAnsiTheme="majorHAnsi"/>
                <w:noProof/>
                <w:webHidden/>
                <w:sz w:val="20"/>
                <w:szCs w:val="20"/>
              </w:rPr>
              <w:instrText xml:space="preserve"> PAGEREF _Toc527708400 \h </w:instrText>
            </w:r>
            <w:r w:rsidR="0094652F" w:rsidRPr="0094652F">
              <w:rPr>
                <w:rFonts w:asciiTheme="majorHAnsi" w:hAnsiTheme="majorHAnsi"/>
                <w:noProof/>
                <w:webHidden/>
                <w:sz w:val="20"/>
                <w:szCs w:val="20"/>
              </w:rPr>
            </w:r>
            <w:r w:rsidR="0094652F" w:rsidRPr="0094652F">
              <w:rPr>
                <w:rFonts w:asciiTheme="majorHAnsi" w:hAnsiTheme="majorHAnsi"/>
                <w:noProof/>
                <w:webHidden/>
                <w:sz w:val="20"/>
                <w:szCs w:val="20"/>
              </w:rPr>
              <w:fldChar w:fldCharType="separate"/>
            </w:r>
            <w:r w:rsidR="0094652F" w:rsidRPr="0094652F">
              <w:rPr>
                <w:rFonts w:asciiTheme="majorHAnsi" w:hAnsiTheme="majorHAnsi"/>
                <w:noProof/>
                <w:webHidden/>
                <w:sz w:val="20"/>
                <w:szCs w:val="20"/>
              </w:rPr>
              <w:t>3</w:t>
            </w:r>
            <w:r w:rsidR="0094652F" w:rsidRPr="0094652F">
              <w:rPr>
                <w:rFonts w:asciiTheme="majorHAnsi" w:hAnsiTheme="majorHAnsi"/>
                <w:noProof/>
                <w:webHidden/>
                <w:sz w:val="20"/>
                <w:szCs w:val="20"/>
              </w:rPr>
              <w:fldChar w:fldCharType="end"/>
            </w:r>
          </w:hyperlink>
        </w:p>
        <w:p w14:paraId="5CC03ECA" w14:textId="77777777" w:rsidR="0094652F" w:rsidRPr="0094652F" w:rsidRDefault="0094652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7708401" w:history="1">
            <w:r w:rsidRPr="0094652F">
              <w:rPr>
                <w:rStyle w:val="Hyperlink"/>
                <w:rFonts w:asciiTheme="majorHAnsi" w:hAnsiTheme="majorHAnsi"/>
                <w:noProof/>
                <w:sz w:val="20"/>
                <w:szCs w:val="20"/>
              </w:rPr>
              <w:t>II.</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ALEGATOS DE LAS PARTES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_Toc527708401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3</w:t>
            </w:r>
            <w:r w:rsidRPr="0094652F">
              <w:rPr>
                <w:rFonts w:asciiTheme="majorHAnsi" w:hAnsiTheme="majorHAnsi"/>
                <w:noProof/>
                <w:webHidden/>
                <w:sz w:val="20"/>
                <w:szCs w:val="20"/>
              </w:rPr>
              <w:fldChar w:fldCharType="end"/>
            </w:r>
          </w:hyperlink>
        </w:p>
        <w:p w14:paraId="5635A718"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02" w:history="1">
            <w:r w:rsidRPr="0094652F">
              <w:rPr>
                <w:rStyle w:val="Hyperlink"/>
                <w:rFonts w:asciiTheme="majorHAnsi" w:hAnsiTheme="majorHAnsi"/>
                <w:noProof/>
                <w:sz w:val="20"/>
                <w:szCs w:val="20"/>
              </w:rPr>
              <w:t>A.</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Parte peticionaria</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_Toc527708402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3</w:t>
            </w:r>
            <w:r w:rsidRPr="0094652F">
              <w:rPr>
                <w:rFonts w:asciiTheme="majorHAnsi" w:hAnsiTheme="majorHAnsi"/>
                <w:noProof/>
                <w:webHidden/>
                <w:sz w:val="20"/>
                <w:szCs w:val="20"/>
              </w:rPr>
              <w:fldChar w:fldCharType="end"/>
            </w:r>
          </w:hyperlink>
        </w:p>
        <w:p w14:paraId="63582A25"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03" w:history="1">
            <w:r w:rsidRPr="0094652F">
              <w:rPr>
                <w:rStyle w:val="Hyperlink"/>
                <w:rFonts w:asciiTheme="majorHAnsi" w:hAnsiTheme="majorHAnsi"/>
                <w:noProof/>
                <w:sz w:val="20"/>
                <w:szCs w:val="20"/>
              </w:rPr>
              <w:t>B.</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Estado</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_Toc527708403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4</w:t>
            </w:r>
            <w:r w:rsidRPr="0094652F">
              <w:rPr>
                <w:rFonts w:asciiTheme="majorHAnsi" w:hAnsiTheme="majorHAnsi"/>
                <w:noProof/>
                <w:webHidden/>
                <w:sz w:val="20"/>
                <w:szCs w:val="20"/>
              </w:rPr>
              <w:fldChar w:fldCharType="end"/>
            </w:r>
          </w:hyperlink>
        </w:p>
        <w:p w14:paraId="4855B2E5" w14:textId="77777777" w:rsidR="0094652F" w:rsidRPr="0094652F" w:rsidRDefault="0094652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7708404" w:history="1">
            <w:r w:rsidRPr="0094652F">
              <w:rPr>
                <w:rStyle w:val="Hyperlink"/>
                <w:rFonts w:asciiTheme="majorHAnsi" w:hAnsiTheme="majorHAnsi"/>
                <w:noProof/>
                <w:sz w:val="20"/>
                <w:szCs w:val="20"/>
              </w:rPr>
              <w:t>III.</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DETERMINACIONES DE HECHO</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_Toc527708404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5</w:t>
            </w:r>
            <w:r w:rsidRPr="0094652F">
              <w:rPr>
                <w:rFonts w:asciiTheme="majorHAnsi" w:hAnsiTheme="majorHAnsi"/>
                <w:noProof/>
                <w:webHidden/>
                <w:sz w:val="20"/>
                <w:szCs w:val="20"/>
              </w:rPr>
              <w:fldChar w:fldCharType="end"/>
            </w:r>
          </w:hyperlink>
        </w:p>
        <w:p w14:paraId="1ABCD2C9"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05" w:history="1">
            <w:r w:rsidRPr="0094652F">
              <w:rPr>
                <w:rStyle w:val="Hyperlink"/>
                <w:rFonts w:asciiTheme="majorHAnsi" w:hAnsiTheme="majorHAnsi"/>
                <w:noProof/>
                <w:sz w:val="20"/>
                <w:szCs w:val="20"/>
              </w:rPr>
              <w:t>A.</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Las presuntas víctimas y sus familiares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_Toc527708405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5</w:t>
            </w:r>
            <w:r w:rsidRPr="0094652F">
              <w:rPr>
                <w:rFonts w:asciiTheme="majorHAnsi" w:hAnsiTheme="majorHAnsi"/>
                <w:noProof/>
                <w:webHidden/>
                <w:sz w:val="20"/>
                <w:szCs w:val="20"/>
              </w:rPr>
              <w:fldChar w:fldCharType="end"/>
            </w:r>
          </w:hyperlink>
        </w:p>
        <w:p w14:paraId="58EF2975"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06" w:history="1">
            <w:r w:rsidRPr="0094652F">
              <w:rPr>
                <w:rStyle w:val="Hyperlink"/>
                <w:rFonts w:asciiTheme="majorHAnsi" w:hAnsiTheme="majorHAnsi"/>
                <w:noProof/>
                <w:sz w:val="20"/>
                <w:szCs w:val="20"/>
              </w:rPr>
              <w:t>1.</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Las presuntas víctimas fallecidas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_Toc527708406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5</w:t>
            </w:r>
            <w:r w:rsidRPr="0094652F">
              <w:rPr>
                <w:rFonts w:asciiTheme="majorHAnsi" w:hAnsiTheme="majorHAnsi"/>
                <w:noProof/>
                <w:webHidden/>
                <w:sz w:val="20"/>
                <w:szCs w:val="20"/>
              </w:rPr>
              <w:fldChar w:fldCharType="end"/>
            </w:r>
          </w:hyperlink>
        </w:p>
        <w:p w14:paraId="6A164F6F"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07" w:history="1">
            <w:r w:rsidRPr="0094652F">
              <w:rPr>
                <w:rStyle w:val="Hyperlink"/>
                <w:rFonts w:asciiTheme="majorHAnsi" w:hAnsiTheme="majorHAnsi"/>
                <w:noProof/>
                <w:sz w:val="20"/>
                <w:szCs w:val="20"/>
              </w:rPr>
              <w:t>2.</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Las presuntas víctimas heridas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_Toc527708407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6</w:t>
            </w:r>
            <w:r w:rsidRPr="0094652F">
              <w:rPr>
                <w:rFonts w:asciiTheme="majorHAnsi" w:hAnsiTheme="majorHAnsi"/>
                <w:noProof/>
                <w:webHidden/>
                <w:sz w:val="20"/>
                <w:szCs w:val="20"/>
              </w:rPr>
              <w:fldChar w:fldCharType="end"/>
            </w:r>
          </w:hyperlink>
        </w:p>
        <w:p w14:paraId="74F23EAC"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08" w:history="1">
            <w:r w:rsidRPr="0094652F">
              <w:rPr>
                <w:rStyle w:val="Hyperlink"/>
                <w:rFonts w:asciiTheme="majorHAnsi" w:hAnsiTheme="majorHAnsi"/>
                <w:noProof/>
                <w:sz w:val="20"/>
                <w:szCs w:val="20"/>
              </w:rPr>
              <w:t>B.</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Antecedentes: Eventos en octubre de 2003</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_Toc527708408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6</w:t>
            </w:r>
            <w:r w:rsidRPr="0094652F">
              <w:rPr>
                <w:rFonts w:asciiTheme="majorHAnsi" w:hAnsiTheme="majorHAnsi"/>
                <w:noProof/>
                <w:webHidden/>
                <w:sz w:val="20"/>
                <w:szCs w:val="20"/>
              </w:rPr>
              <w:fldChar w:fldCharType="end"/>
            </w:r>
          </w:hyperlink>
        </w:p>
        <w:p w14:paraId="0C5B352A"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09" w:history="1">
            <w:r w:rsidRPr="0094652F">
              <w:rPr>
                <w:rStyle w:val="Hyperlink"/>
                <w:rFonts w:asciiTheme="majorHAnsi" w:hAnsiTheme="majorHAnsi"/>
                <w:noProof/>
                <w:sz w:val="20"/>
                <w:szCs w:val="20"/>
              </w:rPr>
              <w:t>C.</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Los hechos del 10 de noviembre de 2003</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_Toc527708409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7</w:t>
            </w:r>
            <w:r w:rsidRPr="0094652F">
              <w:rPr>
                <w:rFonts w:asciiTheme="majorHAnsi" w:hAnsiTheme="majorHAnsi"/>
                <w:noProof/>
                <w:webHidden/>
                <w:sz w:val="20"/>
                <w:szCs w:val="20"/>
              </w:rPr>
              <w:fldChar w:fldCharType="end"/>
            </w:r>
          </w:hyperlink>
        </w:p>
        <w:p w14:paraId="2213364B"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10" w:history="1">
            <w:r w:rsidRPr="0094652F">
              <w:rPr>
                <w:rStyle w:val="Hyperlink"/>
                <w:rFonts w:asciiTheme="majorHAnsi" w:hAnsiTheme="majorHAnsi"/>
                <w:noProof/>
                <w:sz w:val="20"/>
                <w:szCs w:val="20"/>
              </w:rPr>
              <w:t>1.</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 versión de los internos testigos de los hechos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_Toc527708410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7</w:t>
            </w:r>
            <w:r w:rsidRPr="0094652F">
              <w:rPr>
                <w:rFonts w:asciiTheme="majorHAnsi" w:hAnsiTheme="majorHAnsi"/>
                <w:noProof/>
                <w:webHidden/>
                <w:sz w:val="20"/>
                <w:szCs w:val="20"/>
              </w:rPr>
              <w:fldChar w:fldCharType="end"/>
            </w:r>
          </w:hyperlink>
        </w:p>
        <w:p w14:paraId="5616B143"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11" w:history="1">
            <w:r w:rsidRPr="0094652F">
              <w:rPr>
                <w:rStyle w:val="Hyperlink"/>
                <w:rFonts w:asciiTheme="majorHAnsi" w:hAnsiTheme="majorHAnsi"/>
                <w:noProof/>
                <w:sz w:val="20"/>
                <w:szCs w:val="20"/>
              </w:rPr>
              <w:t>2.</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 versión de la Guardia Nacional, los vigilantes y otros empleados de la cárcel</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_Toc527708411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11</w:t>
            </w:r>
            <w:r w:rsidRPr="0094652F">
              <w:rPr>
                <w:rFonts w:asciiTheme="majorHAnsi" w:hAnsiTheme="majorHAnsi"/>
                <w:noProof/>
                <w:webHidden/>
                <w:sz w:val="20"/>
                <w:szCs w:val="20"/>
              </w:rPr>
              <w:fldChar w:fldCharType="end"/>
            </w:r>
          </w:hyperlink>
        </w:p>
        <w:p w14:paraId="3F9B4543"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12" w:history="1">
            <w:r w:rsidRPr="0094652F">
              <w:rPr>
                <w:rStyle w:val="Hyperlink"/>
                <w:rFonts w:asciiTheme="majorHAnsi" w:hAnsiTheme="majorHAnsi"/>
                <w:noProof/>
                <w:sz w:val="20"/>
                <w:szCs w:val="20"/>
              </w:rPr>
              <w:t>3.</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 versión del Director Interventor Alfredo Veloz</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_Toc527708412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11</w:t>
            </w:r>
            <w:r w:rsidRPr="0094652F">
              <w:rPr>
                <w:rFonts w:asciiTheme="majorHAnsi" w:hAnsiTheme="majorHAnsi"/>
                <w:noProof/>
                <w:webHidden/>
                <w:sz w:val="20"/>
                <w:szCs w:val="20"/>
              </w:rPr>
              <w:fldChar w:fldCharType="end"/>
            </w:r>
          </w:hyperlink>
        </w:p>
        <w:p w14:paraId="42BCE0B9"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13" w:history="1">
            <w:r w:rsidRPr="0094652F">
              <w:rPr>
                <w:rStyle w:val="Hyperlink"/>
                <w:rFonts w:asciiTheme="majorHAnsi" w:hAnsiTheme="majorHAnsi"/>
                <w:noProof/>
                <w:sz w:val="20"/>
                <w:szCs w:val="20"/>
              </w:rPr>
              <w:t>D.</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Procesos internos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_Toc527708413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11</w:t>
            </w:r>
            <w:r w:rsidRPr="0094652F">
              <w:rPr>
                <w:rFonts w:asciiTheme="majorHAnsi" w:hAnsiTheme="majorHAnsi"/>
                <w:noProof/>
                <w:webHidden/>
                <w:sz w:val="20"/>
                <w:szCs w:val="20"/>
              </w:rPr>
              <w:fldChar w:fldCharType="end"/>
            </w:r>
          </w:hyperlink>
        </w:p>
        <w:p w14:paraId="6305FAB0"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14" w:history="1">
            <w:r w:rsidRPr="0094652F">
              <w:rPr>
                <w:rStyle w:val="Hyperlink"/>
                <w:rFonts w:asciiTheme="majorHAnsi" w:hAnsiTheme="majorHAnsi"/>
                <w:noProof/>
                <w:sz w:val="20"/>
                <w:szCs w:val="20"/>
              </w:rPr>
              <w:t>1.</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Investigación de los hechos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_Toc527708414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11</w:t>
            </w:r>
            <w:r w:rsidRPr="0094652F">
              <w:rPr>
                <w:rFonts w:asciiTheme="majorHAnsi" w:hAnsiTheme="majorHAnsi"/>
                <w:noProof/>
                <w:webHidden/>
                <w:sz w:val="20"/>
                <w:szCs w:val="20"/>
              </w:rPr>
              <w:fldChar w:fldCharType="end"/>
            </w:r>
          </w:hyperlink>
        </w:p>
        <w:p w14:paraId="776F17D6"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15" w:history="1">
            <w:r w:rsidRPr="0094652F">
              <w:rPr>
                <w:rStyle w:val="Hyperlink"/>
                <w:rFonts w:asciiTheme="majorHAnsi" w:hAnsiTheme="majorHAnsi"/>
                <w:noProof/>
                <w:sz w:val="20"/>
                <w:szCs w:val="20"/>
              </w:rPr>
              <w:t>2.</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Las autopsias de las personas fallecidas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_Toc527708415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12</w:t>
            </w:r>
            <w:r w:rsidRPr="0094652F">
              <w:rPr>
                <w:rFonts w:asciiTheme="majorHAnsi" w:hAnsiTheme="majorHAnsi"/>
                <w:noProof/>
                <w:webHidden/>
                <w:sz w:val="20"/>
                <w:szCs w:val="20"/>
              </w:rPr>
              <w:fldChar w:fldCharType="end"/>
            </w:r>
          </w:hyperlink>
        </w:p>
        <w:p w14:paraId="7BF26E24"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16" w:history="1">
            <w:r w:rsidRPr="0094652F">
              <w:rPr>
                <w:rStyle w:val="Hyperlink"/>
                <w:rFonts w:asciiTheme="majorHAnsi" w:hAnsiTheme="majorHAnsi"/>
                <w:noProof/>
                <w:sz w:val="20"/>
                <w:szCs w:val="20"/>
              </w:rPr>
              <w:t>3.</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Procesos judiciales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_Toc527708416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13</w:t>
            </w:r>
            <w:r w:rsidRPr="0094652F">
              <w:rPr>
                <w:rFonts w:asciiTheme="majorHAnsi" w:hAnsiTheme="majorHAnsi"/>
                <w:noProof/>
                <w:webHidden/>
                <w:sz w:val="20"/>
                <w:szCs w:val="20"/>
              </w:rPr>
              <w:fldChar w:fldCharType="end"/>
            </w:r>
          </w:hyperlink>
        </w:p>
        <w:p w14:paraId="1E784F98"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17" w:history="1">
            <w:r w:rsidRPr="0094652F">
              <w:rPr>
                <w:rStyle w:val="Hyperlink"/>
                <w:rFonts w:asciiTheme="majorHAnsi" w:hAnsiTheme="majorHAnsi"/>
                <w:noProof/>
                <w:sz w:val="20"/>
                <w:szCs w:val="20"/>
              </w:rPr>
              <w:t>E.</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Información de contexto sobre la situación en la cárcel de Vista Hermosa después de los hechos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_Toc527708417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14</w:t>
            </w:r>
            <w:r w:rsidRPr="0094652F">
              <w:rPr>
                <w:rFonts w:asciiTheme="majorHAnsi" w:hAnsiTheme="majorHAnsi"/>
                <w:noProof/>
                <w:webHidden/>
                <w:sz w:val="20"/>
                <w:szCs w:val="20"/>
              </w:rPr>
              <w:fldChar w:fldCharType="end"/>
            </w:r>
          </w:hyperlink>
        </w:p>
        <w:p w14:paraId="08923F15" w14:textId="77777777" w:rsidR="0094652F" w:rsidRPr="0094652F" w:rsidRDefault="0094652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7708418" w:history="1">
            <w:r w:rsidRPr="0094652F">
              <w:rPr>
                <w:rStyle w:val="Hyperlink"/>
                <w:rFonts w:asciiTheme="majorHAnsi" w:hAnsiTheme="majorHAnsi"/>
                <w:noProof/>
                <w:sz w:val="20"/>
                <w:szCs w:val="20"/>
              </w:rPr>
              <w:t>IV.</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ANÁLISIS DE DERECHO</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_Toc527708418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15</w:t>
            </w:r>
            <w:r w:rsidRPr="0094652F">
              <w:rPr>
                <w:rFonts w:asciiTheme="majorHAnsi" w:hAnsiTheme="majorHAnsi"/>
                <w:noProof/>
                <w:webHidden/>
                <w:sz w:val="20"/>
                <w:szCs w:val="20"/>
              </w:rPr>
              <w:fldChar w:fldCharType="end"/>
            </w:r>
          </w:hyperlink>
        </w:p>
        <w:p w14:paraId="6D8AB954"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19" w:history="1">
            <w:r w:rsidRPr="0094652F">
              <w:rPr>
                <w:rStyle w:val="Hyperlink"/>
                <w:rFonts w:asciiTheme="majorHAnsi" w:hAnsiTheme="majorHAnsi"/>
                <w:noProof/>
                <w:sz w:val="20"/>
                <w:szCs w:val="20"/>
              </w:rPr>
              <w:t>A.</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Cuestión previa</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_Toc527708419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15</w:t>
            </w:r>
            <w:r w:rsidRPr="0094652F">
              <w:rPr>
                <w:rFonts w:asciiTheme="majorHAnsi" w:hAnsiTheme="majorHAnsi"/>
                <w:noProof/>
                <w:webHidden/>
                <w:sz w:val="20"/>
                <w:szCs w:val="20"/>
              </w:rPr>
              <w:fldChar w:fldCharType="end"/>
            </w:r>
          </w:hyperlink>
        </w:p>
        <w:p w14:paraId="7DF4CE43"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20" w:history="1">
            <w:r w:rsidRPr="0094652F">
              <w:rPr>
                <w:rStyle w:val="Hyperlink"/>
                <w:rFonts w:asciiTheme="majorHAnsi" w:hAnsiTheme="majorHAnsi"/>
                <w:noProof/>
                <w:sz w:val="20"/>
                <w:szCs w:val="20"/>
              </w:rPr>
              <w:t>B.</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Derechos a la vida e integridad personal en relación con el artículo 1.1  y 2 de la Convención Americana</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_Toc527708420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15</w:t>
            </w:r>
            <w:r w:rsidRPr="0094652F">
              <w:rPr>
                <w:rFonts w:asciiTheme="majorHAnsi" w:hAnsiTheme="majorHAnsi"/>
                <w:noProof/>
                <w:webHidden/>
                <w:sz w:val="20"/>
                <w:szCs w:val="20"/>
              </w:rPr>
              <w:fldChar w:fldCharType="end"/>
            </w:r>
          </w:hyperlink>
        </w:p>
        <w:p w14:paraId="3399DF32"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21" w:history="1">
            <w:r w:rsidRPr="0094652F">
              <w:rPr>
                <w:rStyle w:val="Hyperlink"/>
                <w:rFonts w:asciiTheme="majorHAnsi" w:hAnsiTheme="majorHAnsi"/>
                <w:noProof/>
                <w:sz w:val="20"/>
                <w:szCs w:val="20"/>
              </w:rPr>
              <w:t>1.</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 presencia de fuerzas militares dentro de recintos penales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_Toc527708421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15</w:t>
            </w:r>
            <w:r w:rsidRPr="0094652F">
              <w:rPr>
                <w:rFonts w:asciiTheme="majorHAnsi" w:hAnsiTheme="majorHAnsi"/>
                <w:noProof/>
                <w:webHidden/>
                <w:sz w:val="20"/>
                <w:szCs w:val="20"/>
              </w:rPr>
              <w:fldChar w:fldCharType="end"/>
            </w:r>
          </w:hyperlink>
        </w:p>
        <w:p w14:paraId="31144892"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22" w:history="1">
            <w:r w:rsidRPr="0094652F">
              <w:rPr>
                <w:rStyle w:val="Hyperlink"/>
                <w:rFonts w:asciiTheme="majorHAnsi" w:hAnsiTheme="majorHAnsi"/>
                <w:noProof/>
                <w:sz w:val="20"/>
                <w:szCs w:val="20"/>
              </w:rPr>
              <w:t>2.</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La posición especial de garante del Estado frente a las personas privadas de libertad</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_Toc527708422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16</w:t>
            </w:r>
            <w:r w:rsidRPr="0094652F">
              <w:rPr>
                <w:rFonts w:asciiTheme="majorHAnsi" w:hAnsiTheme="majorHAnsi"/>
                <w:noProof/>
                <w:webHidden/>
                <w:sz w:val="20"/>
                <w:szCs w:val="20"/>
              </w:rPr>
              <w:fldChar w:fldCharType="end"/>
            </w:r>
          </w:hyperlink>
        </w:p>
        <w:p w14:paraId="7230E6D9"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23" w:history="1">
            <w:r w:rsidRPr="0094652F">
              <w:rPr>
                <w:rStyle w:val="Hyperlink"/>
                <w:rFonts w:asciiTheme="majorHAnsi" w:hAnsiTheme="majorHAnsi"/>
                <w:noProof/>
                <w:sz w:val="20"/>
                <w:szCs w:val="20"/>
              </w:rPr>
              <w:t>3.</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Análisis del caso</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_Toc527708423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17</w:t>
            </w:r>
            <w:r w:rsidRPr="0094652F">
              <w:rPr>
                <w:rFonts w:asciiTheme="majorHAnsi" w:hAnsiTheme="majorHAnsi"/>
                <w:noProof/>
                <w:webHidden/>
                <w:sz w:val="20"/>
                <w:szCs w:val="20"/>
              </w:rPr>
              <w:fldChar w:fldCharType="end"/>
            </w:r>
          </w:hyperlink>
        </w:p>
        <w:p w14:paraId="5914FC8E"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24" w:history="1">
            <w:r w:rsidRPr="0094652F">
              <w:rPr>
                <w:rStyle w:val="Hyperlink"/>
                <w:rFonts w:asciiTheme="majorHAnsi" w:hAnsiTheme="majorHAnsi"/>
                <w:noProof/>
                <w:sz w:val="20"/>
                <w:szCs w:val="20"/>
              </w:rPr>
              <w:t>C.</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Derechos a las garantías judiciales y a la protección judicial en relación con el artículo 1.1 de la Convención Americana</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_Toc527708424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19</w:t>
            </w:r>
            <w:r w:rsidRPr="0094652F">
              <w:rPr>
                <w:rFonts w:asciiTheme="majorHAnsi" w:hAnsiTheme="majorHAnsi"/>
                <w:noProof/>
                <w:webHidden/>
                <w:sz w:val="20"/>
                <w:szCs w:val="20"/>
              </w:rPr>
              <w:fldChar w:fldCharType="end"/>
            </w:r>
          </w:hyperlink>
        </w:p>
        <w:p w14:paraId="1529B8D1"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25" w:history="1">
            <w:r w:rsidRPr="0094652F">
              <w:rPr>
                <w:rStyle w:val="Hyperlink"/>
                <w:rFonts w:asciiTheme="majorHAnsi" w:hAnsiTheme="majorHAnsi"/>
                <w:noProof/>
                <w:sz w:val="20"/>
                <w:szCs w:val="20"/>
              </w:rPr>
              <w:t>1.</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Estándares de debida diligencia, oficiosidad y plazo razonable</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_Toc527708425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19</w:t>
            </w:r>
            <w:r w:rsidRPr="0094652F">
              <w:rPr>
                <w:rFonts w:asciiTheme="majorHAnsi" w:hAnsiTheme="majorHAnsi"/>
                <w:noProof/>
                <w:webHidden/>
                <w:sz w:val="20"/>
                <w:szCs w:val="20"/>
              </w:rPr>
              <w:fldChar w:fldCharType="end"/>
            </w:r>
          </w:hyperlink>
        </w:p>
        <w:p w14:paraId="7CA3EC9C" w14:textId="77777777" w:rsidR="0094652F" w:rsidRPr="0094652F" w:rsidRDefault="0094652F">
          <w:pPr>
            <w:pStyle w:val="TOC3"/>
            <w:tabs>
              <w:tab w:val="left" w:pos="2160"/>
            </w:tabs>
            <w:rPr>
              <w:rFonts w:asciiTheme="majorHAnsi" w:eastAsiaTheme="minorEastAsia" w:hAnsiTheme="majorHAnsi" w:cstheme="minorBidi"/>
              <w:noProof/>
              <w:sz w:val="20"/>
              <w:szCs w:val="20"/>
              <w:bdr w:val="none" w:sz="0" w:space="0" w:color="auto"/>
            </w:rPr>
          </w:pPr>
          <w:hyperlink w:anchor="_Toc527708426" w:history="1">
            <w:r w:rsidRPr="0094652F">
              <w:rPr>
                <w:rStyle w:val="Hyperlink"/>
                <w:rFonts w:asciiTheme="majorHAnsi" w:hAnsiTheme="majorHAnsi"/>
                <w:noProof/>
                <w:sz w:val="20"/>
                <w:szCs w:val="20"/>
              </w:rPr>
              <w:t>2.</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Análisis del caso</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_Toc527708426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20</w:t>
            </w:r>
            <w:r w:rsidRPr="0094652F">
              <w:rPr>
                <w:rFonts w:asciiTheme="majorHAnsi" w:hAnsiTheme="majorHAnsi"/>
                <w:noProof/>
                <w:webHidden/>
                <w:sz w:val="20"/>
                <w:szCs w:val="20"/>
              </w:rPr>
              <w:fldChar w:fldCharType="end"/>
            </w:r>
          </w:hyperlink>
        </w:p>
        <w:p w14:paraId="37B90FD6" w14:textId="77777777" w:rsidR="0094652F" w:rsidRPr="0094652F" w:rsidRDefault="0094652F">
          <w:pPr>
            <w:pStyle w:val="TOC2"/>
            <w:rPr>
              <w:rFonts w:asciiTheme="majorHAnsi" w:eastAsiaTheme="minorEastAsia" w:hAnsiTheme="majorHAnsi" w:cstheme="minorBidi"/>
              <w:noProof/>
              <w:sz w:val="20"/>
              <w:szCs w:val="20"/>
              <w:bdr w:val="none" w:sz="0" w:space="0" w:color="auto"/>
            </w:rPr>
          </w:pPr>
          <w:hyperlink w:anchor="_Toc527708427" w:history="1">
            <w:r w:rsidRPr="0094652F">
              <w:rPr>
                <w:rStyle w:val="Hyperlink"/>
                <w:rFonts w:asciiTheme="majorHAnsi" w:hAnsiTheme="majorHAnsi"/>
                <w:noProof/>
                <w:sz w:val="20"/>
                <w:szCs w:val="20"/>
              </w:rPr>
              <w:t>D.</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Derecho a la integridad personal de los familiares de las víctimas fallecidas en relación con el artículo 1.1 de la Convención Americana</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_Toc527708427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21</w:t>
            </w:r>
            <w:r w:rsidRPr="0094652F">
              <w:rPr>
                <w:rFonts w:asciiTheme="majorHAnsi" w:hAnsiTheme="majorHAnsi"/>
                <w:noProof/>
                <w:webHidden/>
                <w:sz w:val="20"/>
                <w:szCs w:val="20"/>
              </w:rPr>
              <w:fldChar w:fldCharType="end"/>
            </w:r>
          </w:hyperlink>
        </w:p>
        <w:p w14:paraId="51A165A0" w14:textId="77777777" w:rsidR="0094652F" w:rsidRPr="0094652F" w:rsidRDefault="0094652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7708428" w:history="1">
            <w:r w:rsidRPr="0094652F">
              <w:rPr>
                <w:rStyle w:val="Hyperlink"/>
                <w:rFonts w:asciiTheme="majorHAnsi" w:hAnsiTheme="majorHAnsi"/>
                <w:noProof/>
                <w:sz w:val="20"/>
                <w:szCs w:val="20"/>
              </w:rPr>
              <w:t>V.</w:t>
            </w:r>
            <w:r w:rsidRPr="0094652F">
              <w:rPr>
                <w:rFonts w:asciiTheme="majorHAnsi" w:eastAsiaTheme="minorEastAsia" w:hAnsiTheme="majorHAnsi" w:cstheme="minorBidi"/>
                <w:noProof/>
                <w:sz w:val="20"/>
                <w:szCs w:val="20"/>
                <w:bdr w:val="none" w:sz="0" w:space="0" w:color="auto"/>
              </w:rPr>
              <w:tab/>
            </w:r>
            <w:r w:rsidRPr="0094652F">
              <w:rPr>
                <w:rStyle w:val="Hyperlink"/>
                <w:rFonts w:asciiTheme="majorHAnsi" w:hAnsiTheme="majorHAnsi"/>
                <w:noProof/>
                <w:sz w:val="20"/>
                <w:szCs w:val="20"/>
              </w:rPr>
              <w:t>CONCLUSIONES Y RECOMENDACIONES</w:t>
            </w:r>
            <w:r w:rsidRPr="0094652F">
              <w:rPr>
                <w:rFonts w:asciiTheme="majorHAnsi" w:hAnsiTheme="majorHAnsi"/>
                <w:noProof/>
                <w:webHidden/>
                <w:sz w:val="20"/>
                <w:szCs w:val="20"/>
              </w:rPr>
              <w:tab/>
            </w:r>
            <w:r w:rsidRPr="0094652F">
              <w:rPr>
                <w:rFonts w:asciiTheme="majorHAnsi" w:hAnsiTheme="majorHAnsi"/>
                <w:noProof/>
                <w:webHidden/>
                <w:sz w:val="20"/>
                <w:szCs w:val="20"/>
              </w:rPr>
              <w:fldChar w:fldCharType="begin"/>
            </w:r>
            <w:r w:rsidRPr="0094652F">
              <w:rPr>
                <w:rFonts w:asciiTheme="majorHAnsi" w:hAnsiTheme="majorHAnsi"/>
                <w:noProof/>
                <w:webHidden/>
                <w:sz w:val="20"/>
                <w:szCs w:val="20"/>
              </w:rPr>
              <w:instrText xml:space="preserve"> PAGEREF _Toc527708428 \h </w:instrText>
            </w:r>
            <w:r w:rsidRPr="0094652F">
              <w:rPr>
                <w:rFonts w:asciiTheme="majorHAnsi" w:hAnsiTheme="majorHAnsi"/>
                <w:noProof/>
                <w:webHidden/>
                <w:sz w:val="20"/>
                <w:szCs w:val="20"/>
              </w:rPr>
            </w:r>
            <w:r w:rsidRPr="0094652F">
              <w:rPr>
                <w:rFonts w:asciiTheme="majorHAnsi" w:hAnsiTheme="majorHAnsi"/>
                <w:noProof/>
                <w:webHidden/>
                <w:sz w:val="20"/>
                <w:szCs w:val="20"/>
              </w:rPr>
              <w:fldChar w:fldCharType="separate"/>
            </w:r>
            <w:r w:rsidRPr="0094652F">
              <w:rPr>
                <w:rFonts w:asciiTheme="majorHAnsi" w:hAnsiTheme="majorHAnsi"/>
                <w:noProof/>
                <w:webHidden/>
                <w:sz w:val="20"/>
                <w:szCs w:val="20"/>
              </w:rPr>
              <w:t>22</w:t>
            </w:r>
            <w:r w:rsidRPr="0094652F">
              <w:rPr>
                <w:rFonts w:asciiTheme="majorHAnsi" w:hAnsiTheme="majorHAnsi"/>
                <w:noProof/>
                <w:webHidden/>
                <w:sz w:val="20"/>
                <w:szCs w:val="20"/>
              </w:rPr>
              <w:fldChar w:fldCharType="end"/>
            </w:r>
          </w:hyperlink>
        </w:p>
        <w:p w14:paraId="0106BA39" w14:textId="20BAD18C" w:rsidR="00B70FC5" w:rsidRPr="00B70FC5" w:rsidRDefault="00B70FC5">
          <w:pPr>
            <w:rPr>
              <w:rFonts w:asciiTheme="majorHAnsi" w:hAnsiTheme="majorHAnsi"/>
              <w:sz w:val="20"/>
              <w:szCs w:val="20"/>
            </w:rPr>
          </w:pPr>
          <w:r w:rsidRPr="0094652F">
            <w:rPr>
              <w:rFonts w:asciiTheme="majorHAnsi" w:hAnsiTheme="majorHAnsi"/>
              <w:b/>
              <w:bCs/>
              <w:noProof/>
              <w:sz w:val="20"/>
              <w:szCs w:val="20"/>
            </w:rPr>
            <w:fldChar w:fldCharType="end"/>
          </w:r>
        </w:p>
      </w:sdtContent>
    </w:sdt>
    <w:p w14:paraId="6DA1894F" w14:textId="77777777" w:rsidR="00E909AA" w:rsidRPr="00E909AA" w:rsidRDefault="00E909AA" w:rsidP="00E909AA">
      <w:pPr>
        <w:suppressAutoHyphens/>
        <w:rPr>
          <w:rFonts w:asciiTheme="majorHAnsi" w:hAnsiTheme="majorHAnsi"/>
          <w:b/>
          <w:sz w:val="20"/>
          <w:szCs w:val="20"/>
          <w:lang w:val="es-ES_tradnl"/>
        </w:rPr>
      </w:pPr>
    </w:p>
    <w:p w14:paraId="691D8CD7" w14:textId="77777777" w:rsidR="00E909AA" w:rsidRPr="00F902EB"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E909AA">
        <w:rPr>
          <w:rFonts w:asciiTheme="majorHAnsi" w:hAnsiTheme="majorHAnsi"/>
          <w:b/>
          <w:sz w:val="20"/>
          <w:szCs w:val="20"/>
          <w:lang w:val="es-ES_tradnl"/>
        </w:rPr>
        <w:fldChar w:fldCharType="begin"/>
      </w:r>
      <w:r w:rsidRPr="006125C3">
        <w:rPr>
          <w:rFonts w:asciiTheme="majorHAnsi" w:hAnsiTheme="majorHAnsi"/>
          <w:b/>
          <w:sz w:val="20"/>
          <w:szCs w:val="20"/>
          <w:lang w:val="es-ES_tradnl"/>
        </w:rPr>
        <w:instrText xml:space="preserve"> TOC \o "1-7" \h \z \u </w:instrText>
      </w:r>
      <w:r w:rsidRPr="00E909AA">
        <w:rPr>
          <w:rFonts w:asciiTheme="majorHAnsi" w:hAnsiTheme="majorHAnsi"/>
          <w:b/>
          <w:sz w:val="20"/>
          <w:szCs w:val="20"/>
          <w:lang w:val="es-ES_tradnl"/>
        </w:rPr>
        <w:fldChar w:fldCharType="separate"/>
      </w:r>
    </w:p>
    <w:p w14:paraId="2DB0F8BC" w14:textId="77777777" w:rsidR="006125C3" w:rsidRPr="00F902EB"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79431BF6" w14:textId="77777777" w:rsidR="008D768D" w:rsidRPr="007253B8" w:rsidRDefault="006125C3" w:rsidP="006125C3">
      <w:pPr>
        <w:tabs>
          <w:tab w:val="center" w:pos="5400"/>
        </w:tabs>
        <w:suppressAutoHyphens/>
        <w:spacing w:line="276" w:lineRule="auto"/>
        <w:rPr>
          <w:rFonts w:asciiTheme="majorHAnsi" w:hAnsiTheme="majorHAnsi"/>
          <w:sz w:val="20"/>
          <w:szCs w:val="20"/>
          <w:lang w:val="es-ES_tradnl"/>
        </w:rPr>
      </w:pPr>
      <w:r w:rsidRPr="00E909AA">
        <w:rPr>
          <w:rFonts w:asciiTheme="majorHAnsi" w:hAnsiTheme="majorHAnsi"/>
          <w:b/>
          <w:sz w:val="20"/>
          <w:szCs w:val="20"/>
          <w:lang w:val="es-ES_tradnl"/>
        </w:rPr>
        <w:fldChar w:fldCharType="end"/>
      </w:r>
    </w:p>
    <w:p w14:paraId="1E949A24" w14:textId="77777777" w:rsidR="00722C9F" w:rsidRDefault="00722C9F">
      <w:pPr>
        <w:rPr>
          <w:rFonts w:ascii="Cambria" w:hAnsi="Cambria" w:cs="Calibri"/>
          <w:sz w:val="20"/>
          <w:szCs w:val="20"/>
          <w:lang w:val="es-ES"/>
        </w:rPr>
      </w:pPr>
      <w:r>
        <w:rPr>
          <w:rFonts w:ascii="Cambria" w:hAnsi="Cambria" w:cs="Calibri"/>
          <w:sz w:val="20"/>
          <w:szCs w:val="20"/>
          <w:lang w:val="es-ES"/>
        </w:rPr>
        <w:br w:type="page"/>
      </w:r>
    </w:p>
    <w:p w14:paraId="3C46CD32" w14:textId="55FE0F95" w:rsidR="004F5025" w:rsidRPr="00F73076" w:rsidRDefault="004F5025" w:rsidP="004F5025">
      <w:pPr>
        <w:tabs>
          <w:tab w:val="center" w:pos="5400"/>
        </w:tabs>
        <w:suppressAutoHyphens/>
        <w:spacing w:line="276" w:lineRule="auto"/>
        <w:jc w:val="center"/>
        <w:rPr>
          <w:rFonts w:asciiTheme="majorHAnsi" w:hAnsiTheme="majorHAnsi"/>
          <w:b/>
          <w:sz w:val="18"/>
          <w:szCs w:val="20"/>
          <w:lang w:val="es-CO"/>
        </w:rPr>
      </w:pPr>
      <w:r w:rsidRPr="00F73076">
        <w:rPr>
          <w:rFonts w:asciiTheme="majorHAnsi" w:hAnsiTheme="majorHAnsi"/>
          <w:b/>
          <w:sz w:val="18"/>
          <w:szCs w:val="20"/>
          <w:lang w:val="es-CO"/>
        </w:rPr>
        <w:lastRenderedPageBreak/>
        <w:t xml:space="preserve">INFORME No. </w:t>
      </w:r>
      <w:r w:rsidR="002767DF">
        <w:rPr>
          <w:rFonts w:asciiTheme="majorHAnsi" w:hAnsiTheme="majorHAnsi"/>
          <w:b/>
          <w:sz w:val="18"/>
          <w:szCs w:val="20"/>
          <w:lang w:val="es-CO"/>
        </w:rPr>
        <w:t>119</w:t>
      </w:r>
      <w:r w:rsidRPr="00F73076">
        <w:rPr>
          <w:rFonts w:asciiTheme="majorHAnsi" w:hAnsiTheme="majorHAnsi"/>
          <w:b/>
          <w:sz w:val="18"/>
          <w:szCs w:val="20"/>
          <w:lang w:val="es-CO"/>
        </w:rPr>
        <w:t>/</w:t>
      </w:r>
      <w:r>
        <w:rPr>
          <w:rFonts w:asciiTheme="majorHAnsi" w:hAnsiTheme="majorHAnsi"/>
          <w:b/>
          <w:sz w:val="18"/>
          <w:szCs w:val="20"/>
          <w:lang w:val="es-CO"/>
        </w:rPr>
        <w:t>18</w:t>
      </w:r>
    </w:p>
    <w:p w14:paraId="033AD1C2" w14:textId="77777777" w:rsidR="004F5025" w:rsidRPr="00F73076" w:rsidRDefault="004F5025" w:rsidP="004F5025">
      <w:pPr>
        <w:tabs>
          <w:tab w:val="center" w:pos="5400"/>
        </w:tabs>
        <w:suppressAutoHyphens/>
        <w:spacing w:line="276" w:lineRule="auto"/>
        <w:jc w:val="center"/>
        <w:rPr>
          <w:rFonts w:asciiTheme="majorHAnsi" w:hAnsiTheme="majorHAnsi"/>
          <w:b/>
          <w:sz w:val="18"/>
          <w:szCs w:val="20"/>
          <w:lang w:val="es-CO"/>
        </w:rPr>
      </w:pPr>
      <w:r w:rsidRPr="00F73076">
        <w:rPr>
          <w:rFonts w:asciiTheme="majorHAnsi" w:hAnsiTheme="majorHAnsi"/>
          <w:b/>
          <w:sz w:val="18"/>
          <w:szCs w:val="20"/>
          <w:lang w:val="es-CO"/>
        </w:rPr>
        <w:t xml:space="preserve">CASO </w:t>
      </w:r>
      <w:r>
        <w:rPr>
          <w:rFonts w:asciiTheme="majorHAnsi" w:hAnsiTheme="majorHAnsi"/>
          <w:b/>
          <w:sz w:val="18"/>
          <w:szCs w:val="20"/>
          <w:lang w:val="es-ES"/>
        </w:rPr>
        <w:t>12.814</w:t>
      </w:r>
    </w:p>
    <w:p w14:paraId="028DA3BF" w14:textId="77777777" w:rsidR="004F5025" w:rsidRPr="00722C9F" w:rsidRDefault="004F5025" w:rsidP="004F502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14:paraId="0ECF8692" w14:textId="77777777" w:rsidR="004F5025" w:rsidRDefault="004F5025" w:rsidP="004F5025">
      <w:pPr>
        <w:tabs>
          <w:tab w:val="center" w:pos="5400"/>
        </w:tabs>
        <w:suppressAutoHyphens/>
        <w:spacing w:line="276" w:lineRule="auto"/>
        <w:jc w:val="center"/>
        <w:rPr>
          <w:rFonts w:asciiTheme="majorHAnsi" w:hAnsiTheme="majorHAnsi"/>
          <w:sz w:val="18"/>
          <w:szCs w:val="20"/>
          <w:lang w:val="es-ES_tradnl"/>
        </w:rPr>
      </w:pPr>
      <w:r w:rsidRPr="00896012">
        <w:rPr>
          <w:rFonts w:asciiTheme="majorHAnsi" w:hAnsiTheme="majorHAnsi"/>
          <w:sz w:val="18"/>
          <w:szCs w:val="20"/>
          <w:lang w:val="es-ES_tradnl"/>
        </w:rPr>
        <w:t>ORLANDO EDGARDO OLIVARES M</w:t>
      </w:r>
      <w:r>
        <w:rPr>
          <w:rFonts w:asciiTheme="majorHAnsi" w:hAnsiTheme="majorHAnsi"/>
          <w:sz w:val="18"/>
          <w:szCs w:val="20"/>
          <w:lang w:val="es-ES_tradnl"/>
        </w:rPr>
        <w:t>U</w:t>
      </w:r>
      <w:r w:rsidRPr="00896012">
        <w:rPr>
          <w:rFonts w:asciiTheme="majorHAnsi" w:hAnsiTheme="majorHAnsi"/>
          <w:sz w:val="18"/>
          <w:szCs w:val="20"/>
          <w:lang w:val="es-ES_tradnl"/>
        </w:rPr>
        <w:t>ÑOZ Y OTROS</w:t>
      </w:r>
    </w:p>
    <w:p w14:paraId="4A6A51A5" w14:textId="77777777" w:rsidR="004F5025" w:rsidRPr="00896012" w:rsidRDefault="004F5025" w:rsidP="004F502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(MUERTES EN LA CÁRCEL DE VISTA HERMOSA)</w:t>
      </w:r>
    </w:p>
    <w:p w14:paraId="6BCB0B83" w14:textId="77777777" w:rsidR="004F5025" w:rsidRDefault="004F5025" w:rsidP="004F5025">
      <w:pPr>
        <w:tabs>
          <w:tab w:val="center" w:pos="5400"/>
        </w:tabs>
        <w:suppressAutoHyphens/>
        <w:spacing w:line="276" w:lineRule="auto"/>
        <w:jc w:val="center"/>
        <w:rPr>
          <w:rFonts w:asciiTheme="majorHAnsi" w:hAnsiTheme="majorHAnsi"/>
          <w:sz w:val="18"/>
          <w:szCs w:val="20"/>
          <w:lang w:val="es-ES_tradnl"/>
        </w:rPr>
      </w:pPr>
      <w:r w:rsidRPr="00896012">
        <w:rPr>
          <w:rFonts w:asciiTheme="majorHAnsi" w:hAnsiTheme="majorHAnsi"/>
          <w:sz w:val="18"/>
          <w:szCs w:val="20"/>
          <w:lang w:val="es-ES_tradnl"/>
        </w:rPr>
        <w:t xml:space="preserve">VENEZUELA </w:t>
      </w:r>
    </w:p>
    <w:p w14:paraId="1EF4CC3D" w14:textId="67858FC8" w:rsidR="00722C9F" w:rsidRDefault="004F5025" w:rsidP="004F502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5 DE OCTUBRE DE 2018</w:t>
      </w:r>
    </w:p>
    <w:p w14:paraId="195BB0DE" w14:textId="77777777" w:rsidR="004F5025" w:rsidRDefault="004F5025" w:rsidP="004F5025">
      <w:pPr>
        <w:tabs>
          <w:tab w:val="center" w:pos="5400"/>
        </w:tabs>
        <w:suppressAutoHyphens/>
        <w:spacing w:line="276" w:lineRule="auto"/>
        <w:jc w:val="center"/>
        <w:rPr>
          <w:rFonts w:asciiTheme="majorHAnsi" w:hAnsiTheme="majorHAnsi"/>
          <w:sz w:val="18"/>
          <w:szCs w:val="20"/>
          <w:lang w:val="es-ES_tradnl"/>
        </w:rPr>
      </w:pPr>
    </w:p>
    <w:p w14:paraId="6D9CF263" w14:textId="77777777" w:rsidR="004F5025" w:rsidRDefault="004F5025" w:rsidP="004F5025">
      <w:pPr>
        <w:tabs>
          <w:tab w:val="center" w:pos="5400"/>
        </w:tabs>
        <w:suppressAutoHyphens/>
        <w:spacing w:line="276" w:lineRule="auto"/>
        <w:jc w:val="center"/>
        <w:rPr>
          <w:rFonts w:asciiTheme="majorHAnsi" w:hAnsiTheme="majorHAnsi"/>
          <w:sz w:val="18"/>
          <w:szCs w:val="20"/>
          <w:lang w:val="es-ES_tradnl"/>
        </w:rPr>
      </w:pPr>
    </w:p>
    <w:p w14:paraId="6D5E3F6B" w14:textId="0F69C203" w:rsidR="00D12193" w:rsidRPr="004F5025" w:rsidRDefault="00D12193" w:rsidP="004F5025">
      <w:pPr>
        <w:pStyle w:val="Heading1"/>
      </w:pPr>
      <w:bookmarkStart w:id="2" w:name="_Toc527708400"/>
      <w:r w:rsidRPr="004F5025">
        <w:t>RESUMEN</w:t>
      </w:r>
      <w:bookmarkEnd w:id="2"/>
    </w:p>
    <w:p w14:paraId="53B3DD63" w14:textId="77777777" w:rsidR="005C4CA5" w:rsidRDefault="005C4CA5" w:rsidP="005C4CA5">
      <w:pPr>
        <w:suppressAutoHyphens/>
        <w:ind w:left="360"/>
        <w:rPr>
          <w:rFonts w:asciiTheme="majorHAnsi" w:hAnsiTheme="majorHAnsi"/>
          <w:b/>
          <w:sz w:val="20"/>
          <w:szCs w:val="20"/>
          <w:lang w:val="es-ES_tradnl"/>
        </w:rPr>
      </w:pPr>
    </w:p>
    <w:p w14:paraId="3640FFFF" w14:textId="0951F462" w:rsidR="009014A4" w:rsidRPr="00F91D10" w:rsidRDefault="005C4CA5" w:rsidP="0053692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F91D10">
        <w:rPr>
          <w:rFonts w:ascii="Cambria" w:hAnsi="Cambria"/>
          <w:sz w:val="20"/>
          <w:szCs w:val="20"/>
          <w:lang w:val="es-VE"/>
        </w:rPr>
        <w:t xml:space="preserve">El </w:t>
      </w:r>
      <w:r w:rsidR="004861D7" w:rsidRPr="00F91D10">
        <w:rPr>
          <w:rFonts w:ascii="Cambria" w:hAnsi="Cambria"/>
          <w:sz w:val="20"/>
          <w:szCs w:val="20"/>
          <w:lang w:val="es-VE"/>
        </w:rPr>
        <w:t>16</w:t>
      </w:r>
      <w:r w:rsidRPr="00F91D10">
        <w:rPr>
          <w:rFonts w:ascii="Cambria" w:hAnsi="Cambria"/>
          <w:sz w:val="20"/>
          <w:szCs w:val="20"/>
          <w:lang w:val="es-VE"/>
        </w:rPr>
        <w:t xml:space="preserve"> de </w:t>
      </w:r>
      <w:r w:rsidR="004861D7" w:rsidRPr="00F91D10">
        <w:rPr>
          <w:rFonts w:ascii="Cambria" w:hAnsi="Cambria"/>
          <w:sz w:val="20"/>
          <w:szCs w:val="20"/>
          <w:lang w:val="es-VE"/>
        </w:rPr>
        <w:t>octubre</w:t>
      </w:r>
      <w:r w:rsidRPr="00F91D10">
        <w:rPr>
          <w:rFonts w:ascii="Cambria" w:hAnsi="Cambria"/>
          <w:sz w:val="20"/>
          <w:szCs w:val="20"/>
          <w:lang w:val="es-VE"/>
        </w:rPr>
        <w:t xml:space="preserve"> de </w:t>
      </w:r>
      <w:r w:rsidR="004861D7" w:rsidRPr="00F91D10">
        <w:rPr>
          <w:rFonts w:ascii="Cambria" w:hAnsi="Cambria"/>
          <w:sz w:val="20"/>
          <w:szCs w:val="20"/>
          <w:lang w:val="es-VE"/>
        </w:rPr>
        <w:t>2007</w:t>
      </w:r>
      <w:r w:rsidRPr="00F91D10">
        <w:rPr>
          <w:rFonts w:ascii="Cambria" w:hAnsi="Cambria"/>
          <w:sz w:val="20"/>
          <w:szCs w:val="20"/>
          <w:lang w:val="es-VE"/>
        </w:rPr>
        <w:t xml:space="preserve"> la Comisión Interamericana de Derechos Humanos (en adelante “la Comisión Interamericana”, “la Comisión” o “la CIDH”) recibió una petición presentada por </w:t>
      </w:r>
      <w:r w:rsidR="000C1DBD" w:rsidRPr="00F91D10">
        <w:rPr>
          <w:rFonts w:ascii="Cambria" w:hAnsi="Cambria"/>
          <w:sz w:val="20"/>
          <w:szCs w:val="20"/>
          <w:lang w:val="es-VE"/>
        </w:rPr>
        <w:t>el Observatorio Venezolano de Prisiones</w:t>
      </w:r>
      <w:r w:rsidRPr="00F91D10">
        <w:rPr>
          <w:rFonts w:ascii="Cambria" w:hAnsi="Cambria"/>
          <w:sz w:val="20"/>
          <w:szCs w:val="20"/>
          <w:lang w:val="es-VE"/>
        </w:rPr>
        <w:t xml:space="preserve"> (en adelante “la parte peticionaria”) en la cual se alega la responsabilidad internacional de </w:t>
      </w:r>
      <w:r w:rsidR="000C1DBD" w:rsidRPr="00F91D10">
        <w:rPr>
          <w:rFonts w:ascii="Cambria" w:hAnsi="Cambria"/>
          <w:sz w:val="20"/>
          <w:szCs w:val="20"/>
          <w:lang w:val="es-VE"/>
        </w:rPr>
        <w:t>la República Bolivariana de Venezuela</w:t>
      </w:r>
      <w:r w:rsidRPr="00F91D10">
        <w:rPr>
          <w:rFonts w:ascii="Cambria" w:hAnsi="Cambria"/>
          <w:sz w:val="20"/>
          <w:szCs w:val="20"/>
          <w:lang w:val="es-VE"/>
        </w:rPr>
        <w:t xml:space="preserve"> (en adelante “el Estado </w:t>
      </w:r>
      <w:r w:rsidR="000C1DBD" w:rsidRPr="00F91D10">
        <w:rPr>
          <w:rFonts w:ascii="Cambria" w:hAnsi="Cambria"/>
          <w:sz w:val="20"/>
          <w:szCs w:val="20"/>
          <w:lang w:val="es-VE"/>
        </w:rPr>
        <w:t>venezolano</w:t>
      </w:r>
      <w:r w:rsidRPr="00F91D10">
        <w:rPr>
          <w:rFonts w:ascii="Cambria" w:hAnsi="Cambria"/>
          <w:sz w:val="20"/>
          <w:szCs w:val="20"/>
          <w:lang w:val="es-VE"/>
        </w:rPr>
        <w:t>”, “el Estado” o “</w:t>
      </w:r>
      <w:r w:rsidR="000C1DBD" w:rsidRPr="00F91D10">
        <w:rPr>
          <w:rFonts w:ascii="Cambria" w:hAnsi="Cambria"/>
          <w:sz w:val="20"/>
          <w:szCs w:val="20"/>
          <w:lang w:val="es-VE"/>
        </w:rPr>
        <w:t>Venezuela</w:t>
      </w:r>
      <w:r w:rsidRPr="00F91D10">
        <w:rPr>
          <w:rFonts w:ascii="Cambria" w:hAnsi="Cambria"/>
          <w:sz w:val="20"/>
          <w:szCs w:val="20"/>
          <w:lang w:val="es-VE"/>
        </w:rPr>
        <w:t xml:space="preserve">”) en perjuicio de </w:t>
      </w:r>
      <w:r w:rsidR="000C1DBD" w:rsidRPr="00F91D10">
        <w:rPr>
          <w:rFonts w:ascii="Cambria" w:hAnsi="Cambria"/>
          <w:sz w:val="20"/>
          <w:szCs w:val="20"/>
          <w:lang w:val="es-VE"/>
        </w:rPr>
        <w:t xml:space="preserve">Orlando Edgardo Olivares Muñoz, Joel Rinaldi Reyes Nava, Orangel José Figueroa, Héctor </w:t>
      </w:r>
      <w:r w:rsidR="00933CC6">
        <w:rPr>
          <w:rFonts w:ascii="Cambria" w:hAnsi="Cambria"/>
          <w:sz w:val="20"/>
          <w:szCs w:val="20"/>
          <w:lang w:val="es-VE"/>
        </w:rPr>
        <w:t>Javier</w:t>
      </w:r>
      <w:r w:rsidR="000C1DBD" w:rsidRPr="00F91D10">
        <w:rPr>
          <w:rFonts w:ascii="Cambria" w:hAnsi="Cambria"/>
          <w:sz w:val="20"/>
          <w:szCs w:val="20"/>
          <w:lang w:val="es-VE"/>
        </w:rPr>
        <w:t xml:space="preserve"> Muñoz Valer</w:t>
      </w:r>
      <w:r w:rsidR="007F3F83">
        <w:rPr>
          <w:rFonts w:ascii="Cambria" w:hAnsi="Cambria"/>
          <w:sz w:val="20"/>
          <w:szCs w:val="20"/>
          <w:lang w:val="es-VE"/>
        </w:rPr>
        <w:t>i</w:t>
      </w:r>
      <w:r w:rsidR="000C1DBD" w:rsidRPr="00F91D10">
        <w:rPr>
          <w:rFonts w:ascii="Cambria" w:hAnsi="Cambria"/>
          <w:sz w:val="20"/>
          <w:szCs w:val="20"/>
          <w:lang w:val="es-VE"/>
        </w:rPr>
        <w:t xml:space="preserve">o, Pedro </w:t>
      </w:r>
      <w:r w:rsidR="00933CC6">
        <w:rPr>
          <w:rFonts w:ascii="Cambria" w:hAnsi="Cambria"/>
          <w:sz w:val="20"/>
          <w:szCs w:val="20"/>
          <w:lang w:val="es-VE"/>
        </w:rPr>
        <w:t>Ramón</w:t>
      </w:r>
      <w:r w:rsidR="000C1DBD" w:rsidRPr="00F91D10">
        <w:rPr>
          <w:rFonts w:ascii="Cambria" w:hAnsi="Cambria"/>
          <w:sz w:val="20"/>
          <w:szCs w:val="20"/>
          <w:lang w:val="es-VE"/>
        </w:rPr>
        <w:t xml:space="preserve"> López Chaurán, José Gregorio Bolívar Corro y Richard Alexis Núñez Palma, </w:t>
      </w:r>
      <w:r w:rsidR="00614092" w:rsidRPr="00F91D10">
        <w:rPr>
          <w:rFonts w:ascii="Cambria" w:hAnsi="Cambria"/>
          <w:sz w:val="20"/>
          <w:szCs w:val="20"/>
          <w:lang w:val="es-VE"/>
        </w:rPr>
        <w:t xml:space="preserve">así como </w:t>
      </w:r>
      <w:r w:rsidR="000C1DBD" w:rsidRPr="00F91D10">
        <w:rPr>
          <w:rFonts w:ascii="Cambria" w:hAnsi="Cambria"/>
          <w:sz w:val="20"/>
          <w:szCs w:val="20"/>
          <w:lang w:val="es-VE"/>
        </w:rPr>
        <w:t>sus familiares</w:t>
      </w:r>
      <w:r w:rsidRPr="00F91D10">
        <w:rPr>
          <w:rFonts w:ascii="Cambria" w:hAnsi="Cambria"/>
          <w:sz w:val="20"/>
          <w:szCs w:val="20"/>
          <w:lang w:val="es-VE"/>
        </w:rPr>
        <w:t xml:space="preserve">. </w:t>
      </w:r>
      <w:r w:rsidR="00904299">
        <w:rPr>
          <w:rFonts w:ascii="Cambria" w:hAnsi="Cambria"/>
          <w:sz w:val="20"/>
          <w:szCs w:val="20"/>
          <w:lang w:val="es-VE"/>
        </w:rPr>
        <w:t>Posteriormente se amplió el número de presuntas víctimas.</w:t>
      </w:r>
    </w:p>
    <w:p w14:paraId="76A9BC17" w14:textId="77777777" w:rsidR="009014A4" w:rsidRPr="00F91D10"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68A1B21E" w14:textId="11F9B13C" w:rsidR="009014A4" w:rsidRPr="009014A4" w:rsidRDefault="009014A4" w:rsidP="0053692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F91D10">
        <w:rPr>
          <w:rFonts w:ascii="Cambria" w:hAnsi="Cambria"/>
          <w:sz w:val="20"/>
          <w:szCs w:val="20"/>
          <w:lang w:val="es-VE"/>
        </w:rPr>
        <w:t>L</w:t>
      </w:r>
      <w:r w:rsidRPr="00F91D10">
        <w:rPr>
          <w:rFonts w:ascii="Cambria" w:hAnsi="Cambria"/>
          <w:sz w:val="20"/>
          <w:szCs w:val="20"/>
          <w:lang w:val="es-ES_tradnl"/>
        </w:rPr>
        <w:t xml:space="preserve">a Comisión aprobó el informe de admisibilidad No. </w:t>
      </w:r>
      <w:r w:rsidR="000C1DBD" w:rsidRPr="00F91D10">
        <w:rPr>
          <w:rFonts w:ascii="Cambria" w:hAnsi="Cambria"/>
          <w:sz w:val="20"/>
          <w:szCs w:val="20"/>
          <w:lang w:val="es-ES_tradnl"/>
        </w:rPr>
        <w:t>14</w:t>
      </w:r>
      <w:r w:rsidRPr="00F91D10">
        <w:rPr>
          <w:rFonts w:ascii="Cambria" w:hAnsi="Cambria"/>
          <w:sz w:val="20"/>
          <w:szCs w:val="20"/>
          <w:lang w:val="es-ES_tradnl"/>
        </w:rPr>
        <w:t>/</w:t>
      </w:r>
      <w:r w:rsidR="000C1DBD" w:rsidRPr="00F91D10">
        <w:rPr>
          <w:rFonts w:ascii="Cambria" w:hAnsi="Cambria"/>
          <w:sz w:val="20"/>
          <w:szCs w:val="20"/>
          <w:lang w:val="es-ES_tradnl"/>
        </w:rPr>
        <w:t>11</w:t>
      </w:r>
      <w:r w:rsidRPr="00F91D10">
        <w:rPr>
          <w:rFonts w:ascii="Cambria" w:hAnsi="Cambria"/>
          <w:sz w:val="20"/>
          <w:szCs w:val="20"/>
          <w:lang w:val="es-ES_tradnl"/>
        </w:rPr>
        <w:t xml:space="preserve"> el </w:t>
      </w:r>
      <w:r w:rsidR="000C1DBD" w:rsidRPr="00F91D10">
        <w:rPr>
          <w:rFonts w:ascii="Cambria" w:hAnsi="Cambria"/>
          <w:sz w:val="20"/>
          <w:szCs w:val="20"/>
          <w:lang w:val="es-ES_tradnl"/>
        </w:rPr>
        <w:t>23</w:t>
      </w:r>
      <w:r w:rsidRPr="00F91D10">
        <w:rPr>
          <w:rFonts w:ascii="Cambria" w:hAnsi="Cambria"/>
          <w:sz w:val="20"/>
          <w:szCs w:val="20"/>
          <w:lang w:val="es-ES_tradnl"/>
        </w:rPr>
        <w:t xml:space="preserve"> de </w:t>
      </w:r>
      <w:r w:rsidR="000C1DBD" w:rsidRPr="00F91D10">
        <w:rPr>
          <w:rFonts w:ascii="Cambria" w:hAnsi="Cambria"/>
          <w:sz w:val="20"/>
          <w:szCs w:val="20"/>
          <w:lang w:val="es-ES_tradnl"/>
        </w:rPr>
        <w:t>marzo</w:t>
      </w:r>
      <w:r w:rsidRPr="00F91D10">
        <w:rPr>
          <w:rFonts w:ascii="Cambria" w:hAnsi="Cambria"/>
          <w:sz w:val="20"/>
          <w:szCs w:val="20"/>
          <w:lang w:val="es-ES_tradnl"/>
        </w:rPr>
        <w:t xml:space="preserve"> de </w:t>
      </w:r>
      <w:r w:rsidR="000C1DBD" w:rsidRPr="00F91D10">
        <w:rPr>
          <w:rFonts w:ascii="Cambria" w:hAnsi="Cambria"/>
          <w:sz w:val="20"/>
          <w:szCs w:val="20"/>
          <w:lang w:val="es-ES_tradnl"/>
        </w:rPr>
        <w:t>2011</w:t>
      </w:r>
      <w:r w:rsidRPr="001265CE">
        <w:rPr>
          <w:rStyle w:val="FootnoteReference"/>
          <w:rFonts w:ascii="Cambria" w:hAnsi="Cambria"/>
          <w:sz w:val="20"/>
          <w:szCs w:val="20"/>
          <w:lang w:val="es-ES_tradnl"/>
        </w:rPr>
        <w:footnoteReference w:id="2"/>
      </w:r>
      <w:r w:rsidR="00AF7988">
        <w:rPr>
          <w:rFonts w:ascii="Cambria" w:hAnsi="Cambria"/>
          <w:sz w:val="20"/>
          <w:szCs w:val="20"/>
          <w:lang w:val="es-ES_tradnl"/>
        </w:rPr>
        <w:t xml:space="preserve">. </w:t>
      </w:r>
      <w:r w:rsidRPr="007F3F83">
        <w:rPr>
          <w:rFonts w:ascii="Cambria" w:hAnsi="Cambria"/>
          <w:sz w:val="20"/>
          <w:szCs w:val="20"/>
          <w:lang w:val="es-ES_tradnl"/>
        </w:rPr>
        <w:t xml:space="preserve">El </w:t>
      </w:r>
      <w:r w:rsidR="007F3F83" w:rsidRPr="007F3F83">
        <w:rPr>
          <w:rFonts w:ascii="Cambria" w:hAnsi="Cambria"/>
          <w:sz w:val="20"/>
          <w:szCs w:val="20"/>
          <w:lang w:val="es-ES_tradnl"/>
        </w:rPr>
        <w:t>6</w:t>
      </w:r>
      <w:r w:rsidRPr="007F3F83">
        <w:rPr>
          <w:rFonts w:ascii="Cambria" w:hAnsi="Cambria"/>
          <w:sz w:val="20"/>
          <w:szCs w:val="20"/>
          <w:lang w:val="es-ES_tradnl"/>
        </w:rPr>
        <w:t xml:space="preserve"> de </w:t>
      </w:r>
      <w:r w:rsidR="007F3F83" w:rsidRPr="007F3F83">
        <w:rPr>
          <w:rFonts w:ascii="Cambria" w:hAnsi="Cambria"/>
          <w:sz w:val="20"/>
          <w:szCs w:val="20"/>
          <w:lang w:val="es-ES_tradnl"/>
        </w:rPr>
        <w:t>abril</w:t>
      </w:r>
      <w:r w:rsidRPr="007F3F83">
        <w:rPr>
          <w:rFonts w:ascii="Cambria" w:hAnsi="Cambria"/>
          <w:sz w:val="20"/>
          <w:szCs w:val="20"/>
          <w:lang w:val="es-ES_tradnl"/>
        </w:rPr>
        <w:t xml:space="preserve"> de </w:t>
      </w:r>
      <w:r w:rsidR="007F3F83" w:rsidRPr="007F3F83">
        <w:rPr>
          <w:rFonts w:ascii="Cambria" w:hAnsi="Cambria"/>
          <w:sz w:val="20"/>
          <w:szCs w:val="20"/>
          <w:lang w:val="es-ES_tradnl"/>
        </w:rPr>
        <w:t>2011</w:t>
      </w:r>
      <w:r w:rsidRPr="007F3F83">
        <w:rPr>
          <w:rFonts w:ascii="Cambria" w:hAnsi="Cambria"/>
          <w:sz w:val="20"/>
          <w:szCs w:val="20"/>
          <w:lang w:val="es-ES_tradnl"/>
        </w:rPr>
        <w:t xml:space="preserve"> la Comisión notificó dicho informe a las partes y se puso a su disposición a fin de llega</w:t>
      </w:r>
      <w:r w:rsidRPr="009014A4">
        <w:rPr>
          <w:rFonts w:ascii="Cambria" w:hAnsi="Cambria"/>
          <w:sz w:val="20"/>
          <w:szCs w:val="20"/>
          <w:lang w:val="es-ES_tradnl"/>
        </w:rPr>
        <w:t>r a una solución amistosa. Las partes contaron con los plazos reglamentarios para presentar sus observaciones adicionales sobre el fondo.</w:t>
      </w:r>
      <w:r w:rsidR="008C3098">
        <w:rPr>
          <w:rFonts w:ascii="Cambria" w:hAnsi="Cambria"/>
          <w:sz w:val="20"/>
          <w:szCs w:val="20"/>
          <w:lang w:val="es-ES_tradnl"/>
        </w:rPr>
        <w:t xml:space="preserve"> </w:t>
      </w:r>
      <w:r w:rsidRPr="009014A4">
        <w:rPr>
          <w:rFonts w:ascii="Cambria" w:hAnsi="Cambria"/>
          <w:sz w:val="20"/>
          <w:szCs w:val="20"/>
          <w:lang w:val="es-ES_tradnl"/>
        </w:rPr>
        <w:t xml:space="preserve">Toda la información recibida fue debidamente trasladada entre las partes. </w:t>
      </w:r>
    </w:p>
    <w:p w14:paraId="1E3B1B2B" w14:textId="77777777" w:rsidR="009014A4"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14:paraId="5C8DF42C" w14:textId="2818F6BF" w:rsidR="005C4CA5" w:rsidRDefault="005C4CA5" w:rsidP="0053692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La parte peticionaria alegó que </w:t>
      </w:r>
      <w:r w:rsidR="007F3F83">
        <w:rPr>
          <w:rFonts w:ascii="Cambria" w:hAnsi="Cambria"/>
          <w:color w:val="000000" w:themeColor="text1"/>
          <w:sz w:val="20"/>
          <w:szCs w:val="20"/>
          <w:lang w:val="es-VE"/>
        </w:rPr>
        <w:t xml:space="preserve">las presuntas víctimas, internos en la cárcel de Vista Hermosa en Ciudad Bolívar, fueron ejecutados </w:t>
      </w:r>
      <w:r w:rsidR="00476BCD">
        <w:rPr>
          <w:rFonts w:ascii="Cambria" w:hAnsi="Cambria"/>
          <w:color w:val="000000" w:themeColor="text1"/>
          <w:sz w:val="20"/>
          <w:szCs w:val="20"/>
          <w:lang w:val="es-VE"/>
        </w:rPr>
        <w:t xml:space="preserve">extrajudicialmente </w:t>
      </w:r>
      <w:r w:rsidR="007F3F83">
        <w:rPr>
          <w:rFonts w:ascii="Cambria" w:hAnsi="Cambria"/>
          <w:color w:val="000000" w:themeColor="text1"/>
          <w:sz w:val="20"/>
          <w:szCs w:val="20"/>
          <w:lang w:val="es-VE"/>
        </w:rPr>
        <w:t>por miembros de la Guardia Nacional en un operativo llevado a cabo en la cárcel en horas de la mañana el 10 de noviembre de 2003</w:t>
      </w:r>
      <w:r w:rsidR="008F604B">
        <w:rPr>
          <w:rFonts w:ascii="Cambria" w:hAnsi="Cambria"/>
          <w:color w:val="000000" w:themeColor="text1"/>
          <w:sz w:val="20"/>
          <w:szCs w:val="20"/>
          <w:lang w:val="es-VE"/>
        </w:rPr>
        <w:t>.</w:t>
      </w:r>
      <w:r w:rsidR="007F3F83">
        <w:rPr>
          <w:rFonts w:ascii="Cambria" w:hAnsi="Cambria"/>
          <w:color w:val="000000" w:themeColor="text1"/>
          <w:sz w:val="20"/>
          <w:szCs w:val="20"/>
          <w:lang w:val="es-VE"/>
        </w:rPr>
        <w:t xml:space="preserve"> Alegó torturas y malos tratos en perjuicio de las siete víctimas mortales y otros internos de la cárcel en el marco del mismo operativo, una falta de debida diligencia en la investigación y un retardo injustificado en el enjuiciamiento del caso, </w:t>
      </w:r>
      <w:r w:rsidR="00D27707">
        <w:rPr>
          <w:rFonts w:ascii="Cambria" w:hAnsi="Cambria"/>
          <w:color w:val="000000" w:themeColor="text1"/>
          <w:sz w:val="20"/>
          <w:szCs w:val="20"/>
          <w:lang w:val="es-VE"/>
        </w:rPr>
        <w:t xml:space="preserve">y </w:t>
      </w:r>
      <w:r w:rsidR="007F3F83">
        <w:rPr>
          <w:rFonts w:ascii="Cambria" w:hAnsi="Cambria"/>
          <w:color w:val="000000" w:themeColor="text1"/>
          <w:sz w:val="20"/>
          <w:szCs w:val="20"/>
          <w:lang w:val="es-VE"/>
        </w:rPr>
        <w:t xml:space="preserve">violaciones a la integridad personal de los familiares de las víctimas. </w:t>
      </w:r>
    </w:p>
    <w:p w14:paraId="4CDD14A0" w14:textId="77777777" w:rsidR="005C4CA5" w:rsidRDefault="005C4CA5" w:rsidP="005C4C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14:paraId="586D1364" w14:textId="2EC562B4" w:rsidR="005C4CA5" w:rsidRDefault="005C4CA5" w:rsidP="0053692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Estado alegó </w:t>
      </w:r>
      <w:r w:rsidR="007F3F83">
        <w:rPr>
          <w:rFonts w:ascii="Cambria" w:hAnsi="Cambria"/>
          <w:color w:val="000000" w:themeColor="text1"/>
          <w:sz w:val="20"/>
          <w:szCs w:val="20"/>
          <w:lang w:val="es-VE"/>
        </w:rPr>
        <w:t xml:space="preserve">que </w:t>
      </w:r>
      <w:r w:rsidR="006D4B13">
        <w:rPr>
          <w:rFonts w:ascii="Cambria" w:hAnsi="Cambria"/>
          <w:color w:val="000000" w:themeColor="text1"/>
          <w:sz w:val="20"/>
          <w:szCs w:val="20"/>
          <w:lang w:val="es-VE"/>
        </w:rPr>
        <w:t>se tra</w:t>
      </w:r>
      <w:r w:rsidR="009E72A5">
        <w:rPr>
          <w:rFonts w:ascii="Cambria" w:hAnsi="Cambria"/>
          <w:color w:val="000000" w:themeColor="text1"/>
          <w:sz w:val="20"/>
          <w:szCs w:val="20"/>
          <w:lang w:val="es-VE"/>
        </w:rPr>
        <w:t>tó</w:t>
      </w:r>
      <w:r w:rsidR="006D4B13">
        <w:rPr>
          <w:rFonts w:ascii="Cambria" w:hAnsi="Cambria"/>
          <w:color w:val="000000" w:themeColor="text1"/>
          <w:sz w:val="20"/>
          <w:szCs w:val="20"/>
          <w:lang w:val="es-VE"/>
        </w:rPr>
        <w:t xml:space="preserve"> de un operativo anti-motín, </w:t>
      </w:r>
      <w:r w:rsidR="004868C9">
        <w:rPr>
          <w:rFonts w:ascii="Cambria" w:hAnsi="Cambria"/>
          <w:color w:val="000000" w:themeColor="text1"/>
          <w:sz w:val="20"/>
          <w:szCs w:val="20"/>
          <w:lang w:val="es-VE"/>
        </w:rPr>
        <w:t>autorizado por el derecho interno</w:t>
      </w:r>
      <w:r>
        <w:rPr>
          <w:rFonts w:ascii="Cambria" w:hAnsi="Cambria"/>
          <w:color w:val="000000" w:themeColor="text1"/>
          <w:sz w:val="20"/>
          <w:szCs w:val="20"/>
          <w:lang w:val="es-VE"/>
        </w:rPr>
        <w:t>.</w:t>
      </w:r>
      <w:r w:rsidR="004868C9">
        <w:rPr>
          <w:rFonts w:ascii="Cambria" w:hAnsi="Cambria"/>
          <w:color w:val="000000" w:themeColor="text1"/>
          <w:sz w:val="20"/>
          <w:szCs w:val="20"/>
          <w:lang w:val="es-VE"/>
        </w:rPr>
        <w:t xml:space="preserve"> Rechazó </w:t>
      </w:r>
      <w:r w:rsidR="000C6869">
        <w:rPr>
          <w:rFonts w:ascii="Cambria" w:hAnsi="Cambria"/>
          <w:color w:val="000000" w:themeColor="text1"/>
          <w:sz w:val="20"/>
          <w:szCs w:val="20"/>
          <w:lang w:val="es-VE"/>
        </w:rPr>
        <w:t xml:space="preserve">todas </w:t>
      </w:r>
      <w:r w:rsidR="004868C9">
        <w:rPr>
          <w:rFonts w:ascii="Cambria" w:hAnsi="Cambria"/>
          <w:color w:val="000000" w:themeColor="text1"/>
          <w:sz w:val="20"/>
          <w:szCs w:val="20"/>
          <w:lang w:val="es-VE"/>
        </w:rPr>
        <w:t>las alegadas violaciones</w:t>
      </w:r>
      <w:r w:rsidR="000C6869">
        <w:rPr>
          <w:rFonts w:ascii="Cambria" w:hAnsi="Cambria"/>
          <w:color w:val="000000" w:themeColor="text1"/>
          <w:sz w:val="20"/>
          <w:szCs w:val="20"/>
          <w:lang w:val="es-VE"/>
        </w:rPr>
        <w:t xml:space="preserve"> </w:t>
      </w:r>
      <w:r w:rsidR="00933CC6">
        <w:rPr>
          <w:rFonts w:ascii="Cambria" w:hAnsi="Cambria"/>
          <w:color w:val="000000" w:themeColor="text1"/>
          <w:sz w:val="20"/>
          <w:szCs w:val="20"/>
          <w:lang w:val="es-VE"/>
        </w:rPr>
        <w:t>por</w:t>
      </w:r>
      <w:r w:rsidR="004868C9">
        <w:rPr>
          <w:rFonts w:ascii="Cambria" w:hAnsi="Cambria"/>
          <w:color w:val="000000" w:themeColor="text1"/>
          <w:sz w:val="20"/>
          <w:szCs w:val="20"/>
          <w:lang w:val="es-VE"/>
        </w:rPr>
        <w:t>que el juicio interno todavía se encuentra en curso</w:t>
      </w:r>
      <w:r w:rsidR="009E72A5">
        <w:rPr>
          <w:rFonts w:ascii="Cambria" w:hAnsi="Cambria"/>
          <w:color w:val="000000" w:themeColor="text1"/>
          <w:sz w:val="20"/>
          <w:szCs w:val="20"/>
          <w:lang w:val="es-VE"/>
        </w:rPr>
        <w:t xml:space="preserve">, </w:t>
      </w:r>
      <w:r w:rsidR="004868C9">
        <w:rPr>
          <w:rFonts w:ascii="Cambria" w:hAnsi="Cambria"/>
          <w:color w:val="000000" w:themeColor="text1"/>
          <w:sz w:val="20"/>
          <w:szCs w:val="20"/>
          <w:lang w:val="es-VE"/>
        </w:rPr>
        <w:t xml:space="preserve">alegó que </w:t>
      </w:r>
      <w:r w:rsidR="000C6869">
        <w:rPr>
          <w:rFonts w:ascii="Cambria" w:hAnsi="Cambria"/>
          <w:color w:val="000000" w:themeColor="text1"/>
          <w:sz w:val="20"/>
          <w:szCs w:val="20"/>
          <w:lang w:val="es-VE"/>
        </w:rPr>
        <w:t>el caso tiene un “razonable nivel de complejidad” y</w:t>
      </w:r>
      <w:r w:rsidR="009E72A5">
        <w:rPr>
          <w:rFonts w:ascii="Cambria" w:hAnsi="Cambria"/>
          <w:color w:val="000000" w:themeColor="text1"/>
          <w:sz w:val="20"/>
          <w:szCs w:val="20"/>
          <w:lang w:val="es-VE"/>
        </w:rPr>
        <w:t xml:space="preserve"> destacó</w:t>
      </w:r>
      <w:r w:rsidR="000C6869">
        <w:rPr>
          <w:rFonts w:ascii="Cambria" w:hAnsi="Cambria"/>
          <w:color w:val="000000" w:themeColor="text1"/>
          <w:sz w:val="20"/>
          <w:szCs w:val="20"/>
          <w:lang w:val="es-VE"/>
        </w:rPr>
        <w:t xml:space="preserve"> que </w:t>
      </w:r>
      <w:r w:rsidR="004868C9">
        <w:rPr>
          <w:rFonts w:ascii="Cambria" w:hAnsi="Cambria"/>
          <w:color w:val="000000" w:themeColor="text1"/>
          <w:sz w:val="20"/>
          <w:szCs w:val="20"/>
          <w:lang w:val="es-VE"/>
        </w:rPr>
        <w:t xml:space="preserve">los efectivos militares imputados en la causa han entorpecido el proceso penal “con el objeto de dejar impune hechos que perfectamente encuadran en ejecuciones extralegales, arbitrarias o sumarias”. </w:t>
      </w:r>
    </w:p>
    <w:p w14:paraId="6B8DD84A" w14:textId="77777777" w:rsidR="005C4CA5" w:rsidRDefault="005C4CA5" w:rsidP="005C4CA5">
      <w:pPr>
        <w:pStyle w:val="ListParagraph"/>
        <w:rPr>
          <w:color w:val="000000" w:themeColor="text1"/>
          <w:sz w:val="20"/>
          <w:szCs w:val="20"/>
          <w:lang w:val="es-VE"/>
        </w:rPr>
      </w:pPr>
    </w:p>
    <w:p w14:paraId="3BAF7D7A" w14:textId="601F1D0A" w:rsidR="005C4CA5" w:rsidRPr="00263A58" w:rsidRDefault="005C4CA5" w:rsidP="0053692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A814FA">
        <w:rPr>
          <w:rFonts w:ascii="Cambria" w:hAnsi="Cambria"/>
          <w:color w:val="000000" w:themeColor="text1"/>
          <w:sz w:val="20"/>
          <w:szCs w:val="20"/>
          <w:lang w:val="es-VE"/>
        </w:rPr>
        <w:t>Con base en las determinaciones de hecho y de derecho, la Comisión Interamericana concluyó que</w:t>
      </w:r>
      <w:r w:rsidR="00A814FA" w:rsidRPr="00A814FA">
        <w:rPr>
          <w:rFonts w:ascii="Cambria" w:hAnsi="Cambria"/>
          <w:color w:val="000000" w:themeColor="text1"/>
          <w:sz w:val="20"/>
          <w:szCs w:val="20"/>
          <w:lang w:val="es-VE"/>
        </w:rPr>
        <w:t xml:space="preserve"> </w:t>
      </w:r>
      <w:r w:rsidRPr="00A814FA">
        <w:rPr>
          <w:rFonts w:ascii="Cambria" w:hAnsi="Cambria"/>
          <w:color w:val="000000" w:themeColor="text1"/>
          <w:sz w:val="20"/>
          <w:szCs w:val="20"/>
          <w:lang w:val="es-VE"/>
        </w:rPr>
        <w:t xml:space="preserve">el Estado es </w:t>
      </w:r>
      <w:r w:rsidRPr="00263A58">
        <w:rPr>
          <w:rFonts w:ascii="Cambria" w:hAnsi="Cambria"/>
          <w:color w:val="000000" w:themeColor="text1"/>
          <w:sz w:val="20"/>
          <w:szCs w:val="20"/>
          <w:lang w:val="es-VE"/>
        </w:rPr>
        <w:t xml:space="preserve">responsable por la violación de los artículos </w:t>
      </w:r>
      <w:r w:rsidR="00D27707" w:rsidRPr="00263A58">
        <w:rPr>
          <w:rFonts w:ascii="Cambria" w:hAnsi="Cambria"/>
          <w:color w:val="000000" w:themeColor="text1"/>
          <w:sz w:val="20"/>
          <w:szCs w:val="20"/>
          <w:lang w:val="es-VE"/>
        </w:rPr>
        <w:t>4</w:t>
      </w:r>
      <w:r w:rsidR="009E72A5" w:rsidRPr="00263A58">
        <w:rPr>
          <w:rFonts w:ascii="Cambria" w:hAnsi="Cambria"/>
          <w:color w:val="000000" w:themeColor="text1"/>
          <w:sz w:val="20"/>
          <w:szCs w:val="20"/>
          <w:lang w:val="es-VE"/>
        </w:rPr>
        <w:t>.1</w:t>
      </w:r>
      <w:r w:rsidR="00D27707" w:rsidRPr="00263A58">
        <w:rPr>
          <w:rFonts w:ascii="Cambria" w:hAnsi="Cambria"/>
          <w:color w:val="000000" w:themeColor="text1"/>
          <w:sz w:val="20"/>
          <w:szCs w:val="20"/>
          <w:lang w:val="es-VE"/>
        </w:rPr>
        <w:t xml:space="preserve"> (vida), 5</w:t>
      </w:r>
      <w:r w:rsidR="009E72A5" w:rsidRPr="00263A58">
        <w:rPr>
          <w:rFonts w:ascii="Cambria" w:hAnsi="Cambria"/>
          <w:color w:val="000000" w:themeColor="text1"/>
          <w:sz w:val="20"/>
          <w:szCs w:val="20"/>
          <w:lang w:val="es-VE"/>
        </w:rPr>
        <w:t>.1</w:t>
      </w:r>
      <w:r w:rsidR="00A01312" w:rsidRPr="00263A58">
        <w:rPr>
          <w:rFonts w:ascii="Cambria" w:hAnsi="Cambria"/>
          <w:color w:val="000000" w:themeColor="text1"/>
          <w:sz w:val="20"/>
          <w:szCs w:val="20"/>
          <w:lang w:val="es-VE"/>
        </w:rPr>
        <w:t xml:space="preserve"> y 5.2</w:t>
      </w:r>
      <w:r w:rsidR="00D27707" w:rsidRPr="00263A58">
        <w:rPr>
          <w:rFonts w:ascii="Cambria" w:hAnsi="Cambria"/>
          <w:color w:val="000000" w:themeColor="text1"/>
          <w:sz w:val="20"/>
          <w:szCs w:val="20"/>
          <w:lang w:val="es-VE"/>
        </w:rPr>
        <w:t xml:space="preserve"> (integridad personal), 8</w:t>
      </w:r>
      <w:r w:rsidR="009E72A5" w:rsidRPr="00263A58">
        <w:rPr>
          <w:rFonts w:ascii="Cambria" w:hAnsi="Cambria"/>
          <w:color w:val="000000" w:themeColor="text1"/>
          <w:sz w:val="20"/>
          <w:szCs w:val="20"/>
          <w:lang w:val="es-VE"/>
        </w:rPr>
        <w:t>.1</w:t>
      </w:r>
      <w:r w:rsidR="00D27707" w:rsidRPr="00263A58">
        <w:rPr>
          <w:rFonts w:ascii="Cambria" w:hAnsi="Cambria"/>
          <w:color w:val="000000" w:themeColor="text1"/>
          <w:sz w:val="20"/>
          <w:szCs w:val="20"/>
          <w:lang w:val="es-VE"/>
        </w:rPr>
        <w:t xml:space="preserve"> (garantías judiciales)</w:t>
      </w:r>
      <w:r w:rsidR="00AC6EE2" w:rsidRPr="00263A58">
        <w:rPr>
          <w:rFonts w:ascii="Cambria" w:hAnsi="Cambria"/>
          <w:color w:val="000000" w:themeColor="text1"/>
          <w:sz w:val="20"/>
          <w:szCs w:val="20"/>
          <w:lang w:val="es-VE"/>
        </w:rPr>
        <w:t xml:space="preserve"> y</w:t>
      </w:r>
      <w:r w:rsidR="00D27707" w:rsidRPr="00263A58">
        <w:rPr>
          <w:rFonts w:ascii="Cambria" w:hAnsi="Cambria"/>
          <w:color w:val="000000" w:themeColor="text1"/>
          <w:sz w:val="20"/>
          <w:szCs w:val="20"/>
          <w:lang w:val="es-VE"/>
        </w:rPr>
        <w:t xml:space="preserve"> 25</w:t>
      </w:r>
      <w:r w:rsidR="009E72A5" w:rsidRPr="00263A58">
        <w:rPr>
          <w:rFonts w:ascii="Cambria" w:hAnsi="Cambria"/>
          <w:color w:val="000000" w:themeColor="text1"/>
          <w:sz w:val="20"/>
          <w:szCs w:val="20"/>
          <w:lang w:val="es-VE"/>
        </w:rPr>
        <w:t>.1</w:t>
      </w:r>
      <w:r w:rsidR="00D27707" w:rsidRPr="00263A58">
        <w:rPr>
          <w:rFonts w:ascii="Cambria" w:hAnsi="Cambria"/>
          <w:color w:val="000000" w:themeColor="text1"/>
          <w:sz w:val="20"/>
          <w:szCs w:val="20"/>
          <w:lang w:val="es-VE"/>
        </w:rPr>
        <w:t xml:space="preserve"> (protección judicial) </w:t>
      </w:r>
      <w:r w:rsidRPr="00263A58">
        <w:rPr>
          <w:rFonts w:ascii="Cambria" w:hAnsi="Cambria"/>
          <w:color w:val="000000" w:themeColor="text1"/>
          <w:sz w:val="20"/>
          <w:szCs w:val="20"/>
          <w:lang w:val="es-VE"/>
        </w:rPr>
        <w:t>de la Convención Americana sobre Derechos Humanos (en adelante  “la Convención Americana” o “la Convención”), en relación con las obligaciones establecidas en los artículos 1.1</w:t>
      </w:r>
      <w:r w:rsidR="00AC6EE2" w:rsidRPr="00263A58">
        <w:rPr>
          <w:rFonts w:ascii="Cambria" w:hAnsi="Cambria"/>
          <w:color w:val="000000" w:themeColor="text1"/>
          <w:sz w:val="20"/>
          <w:szCs w:val="20"/>
          <w:lang w:val="es-VE"/>
        </w:rPr>
        <w:t xml:space="preserve"> y </w:t>
      </w:r>
      <w:r w:rsidRPr="00263A58">
        <w:rPr>
          <w:rFonts w:ascii="Cambria" w:hAnsi="Cambria"/>
          <w:color w:val="000000" w:themeColor="text1"/>
          <w:sz w:val="20"/>
          <w:szCs w:val="20"/>
          <w:lang w:val="es-VE"/>
        </w:rPr>
        <w:t xml:space="preserve">2 del mismo instrumento. La Comisión formuló las recomendaciones respectivas. </w:t>
      </w:r>
    </w:p>
    <w:p w14:paraId="566D8F0E" w14:textId="77777777" w:rsidR="007C756A" w:rsidRPr="00E909AA" w:rsidRDefault="007C756A" w:rsidP="007B1498">
      <w:pPr>
        <w:pStyle w:val="ListParagraph"/>
        <w:suppressAutoHyphens/>
        <w:ind w:left="1080"/>
        <w:rPr>
          <w:rFonts w:asciiTheme="majorHAnsi" w:hAnsiTheme="majorHAnsi"/>
          <w:b/>
          <w:sz w:val="20"/>
          <w:szCs w:val="20"/>
          <w:lang w:val="es-ES_tradnl"/>
        </w:rPr>
      </w:pPr>
    </w:p>
    <w:p w14:paraId="4415EED7" w14:textId="77777777" w:rsidR="00D12193" w:rsidRPr="00E909AA" w:rsidRDefault="00D12193" w:rsidP="004F5025">
      <w:pPr>
        <w:pStyle w:val="Heading1"/>
      </w:pPr>
      <w:bookmarkStart w:id="3" w:name="_Toc527708401"/>
      <w:r w:rsidRPr="00E909AA">
        <w:t>ALEGATOS DE LAS PARTES</w:t>
      </w:r>
      <w:bookmarkEnd w:id="3"/>
    </w:p>
    <w:p w14:paraId="18789762" w14:textId="77777777" w:rsidR="0008768F" w:rsidRDefault="0008768F" w:rsidP="00263A58">
      <w:pPr>
        <w:suppressAutoHyphens/>
        <w:rPr>
          <w:rFonts w:asciiTheme="majorHAnsi" w:hAnsiTheme="majorHAnsi"/>
          <w:sz w:val="20"/>
          <w:szCs w:val="20"/>
          <w:lang w:val="es-ES_tradnl"/>
        </w:rPr>
      </w:pPr>
    </w:p>
    <w:p w14:paraId="655445F1" w14:textId="30C9685B" w:rsidR="00D12193" w:rsidRPr="004F5025" w:rsidRDefault="0094652F" w:rsidP="004F5025">
      <w:pPr>
        <w:pStyle w:val="Heading2"/>
      </w:pPr>
      <w:bookmarkStart w:id="4" w:name="_Toc527708402"/>
      <w:r>
        <w:t>Parte peticionaria</w:t>
      </w:r>
      <w:bookmarkEnd w:id="4"/>
    </w:p>
    <w:p w14:paraId="6D0C295B" w14:textId="77777777" w:rsidR="00361415" w:rsidRDefault="00361415" w:rsidP="00361415">
      <w:pPr>
        <w:suppressAutoHyphens/>
        <w:rPr>
          <w:rFonts w:asciiTheme="majorHAnsi" w:hAnsiTheme="majorHAnsi"/>
          <w:sz w:val="20"/>
          <w:szCs w:val="20"/>
          <w:lang w:val="es-ES_tradnl"/>
        </w:rPr>
      </w:pPr>
    </w:p>
    <w:p w14:paraId="23931E84" w14:textId="1F60B348" w:rsidR="000563AB" w:rsidRDefault="0002203B" w:rsidP="00082CF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1D09EE">
        <w:rPr>
          <w:rFonts w:ascii="Cambria" w:hAnsi="Cambria"/>
          <w:color w:val="000000" w:themeColor="text1"/>
          <w:sz w:val="20"/>
          <w:szCs w:val="20"/>
          <w:lang w:val="es-VE"/>
        </w:rPr>
        <w:t>La parte peticionaria aleg</w:t>
      </w:r>
      <w:r w:rsidR="00625D98">
        <w:rPr>
          <w:rFonts w:ascii="Cambria" w:hAnsi="Cambria"/>
          <w:color w:val="000000" w:themeColor="text1"/>
          <w:sz w:val="20"/>
          <w:szCs w:val="20"/>
          <w:lang w:val="es-VE"/>
        </w:rPr>
        <w:t>ó</w:t>
      </w:r>
      <w:r w:rsidRPr="001D09EE">
        <w:rPr>
          <w:rFonts w:ascii="Cambria" w:hAnsi="Cambria"/>
          <w:color w:val="000000" w:themeColor="text1"/>
          <w:sz w:val="20"/>
          <w:szCs w:val="20"/>
          <w:lang w:val="es-VE"/>
        </w:rPr>
        <w:t xml:space="preserve"> </w:t>
      </w:r>
      <w:r w:rsidR="00896012" w:rsidRPr="001D09EE">
        <w:rPr>
          <w:rFonts w:ascii="Cambria" w:hAnsi="Cambria"/>
          <w:color w:val="000000" w:themeColor="text1"/>
          <w:sz w:val="20"/>
          <w:szCs w:val="20"/>
          <w:lang w:val="es-VE"/>
        </w:rPr>
        <w:t xml:space="preserve">que </w:t>
      </w:r>
      <w:r w:rsidR="001D09EE" w:rsidRPr="001D09EE">
        <w:rPr>
          <w:rFonts w:ascii="Cambria" w:hAnsi="Cambria"/>
          <w:color w:val="000000" w:themeColor="text1"/>
          <w:sz w:val="20"/>
          <w:szCs w:val="20"/>
          <w:lang w:val="es-VE"/>
        </w:rPr>
        <w:t xml:space="preserve">Orlando Edgardo Olivares Muñoz, Joel Rinaldi Reyes Nava, Orangel José Figueroa, Héctor </w:t>
      </w:r>
      <w:r w:rsidR="00933CC6">
        <w:rPr>
          <w:rFonts w:ascii="Cambria" w:hAnsi="Cambria"/>
          <w:color w:val="000000" w:themeColor="text1"/>
          <w:sz w:val="20"/>
          <w:szCs w:val="20"/>
          <w:lang w:val="es-VE"/>
        </w:rPr>
        <w:t>Javier</w:t>
      </w:r>
      <w:r w:rsidR="001D09EE" w:rsidRPr="001D09EE">
        <w:rPr>
          <w:rFonts w:ascii="Cambria" w:hAnsi="Cambria"/>
          <w:color w:val="000000" w:themeColor="text1"/>
          <w:sz w:val="20"/>
          <w:szCs w:val="20"/>
          <w:lang w:val="es-VE"/>
        </w:rPr>
        <w:t xml:space="preserve"> Muñoz Valer</w:t>
      </w:r>
      <w:r w:rsidR="007F3F83">
        <w:rPr>
          <w:rFonts w:ascii="Cambria" w:hAnsi="Cambria"/>
          <w:color w:val="000000" w:themeColor="text1"/>
          <w:sz w:val="20"/>
          <w:szCs w:val="20"/>
          <w:lang w:val="es-VE"/>
        </w:rPr>
        <w:t>i</w:t>
      </w:r>
      <w:r w:rsidR="001D09EE" w:rsidRPr="001D09EE">
        <w:rPr>
          <w:rFonts w:ascii="Cambria" w:hAnsi="Cambria"/>
          <w:color w:val="000000" w:themeColor="text1"/>
          <w:sz w:val="20"/>
          <w:szCs w:val="20"/>
          <w:lang w:val="es-VE"/>
        </w:rPr>
        <w:t xml:space="preserve">o, Pedro </w:t>
      </w:r>
      <w:r w:rsidR="00933CC6">
        <w:rPr>
          <w:rFonts w:ascii="Cambria" w:hAnsi="Cambria"/>
          <w:color w:val="000000" w:themeColor="text1"/>
          <w:sz w:val="20"/>
          <w:szCs w:val="20"/>
          <w:lang w:val="es-VE"/>
        </w:rPr>
        <w:t>Ramón</w:t>
      </w:r>
      <w:r w:rsidR="001D09EE" w:rsidRPr="001D09EE">
        <w:rPr>
          <w:rFonts w:ascii="Cambria" w:hAnsi="Cambria"/>
          <w:color w:val="000000" w:themeColor="text1"/>
          <w:sz w:val="20"/>
          <w:szCs w:val="20"/>
          <w:lang w:val="es-VE"/>
        </w:rPr>
        <w:t xml:space="preserve"> López Chaurán, José Gregorio Bolívar Corro y Richard Alexis Núñez Palma eran internos de la Cárcel de Vista Hermosa</w:t>
      </w:r>
      <w:r w:rsidR="001D09EE">
        <w:rPr>
          <w:rFonts w:ascii="Cambria" w:hAnsi="Cambria"/>
          <w:color w:val="000000" w:themeColor="text1"/>
          <w:sz w:val="20"/>
          <w:szCs w:val="20"/>
          <w:lang w:val="es-VE"/>
        </w:rPr>
        <w:t>, Estado Bolívar</w:t>
      </w:r>
      <w:r w:rsidR="001D09EE" w:rsidRPr="001D09EE">
        <w:rPr>
          <w:rFonts w:ascii="Cambria" w:hAnsi="Cambria"/>
          <w:color w:val="000000" w:themeColor="text1"/>
          <w:sz w:val="20"/>
          <w:szCs w:val="20"/>
          <w:lang w:val="es-VE"/>
        </w:rPr>
        <w:t>. Aleg</w:t>
      </w:r>
      <w:r w:rsidR="004F2022">
        <w:rPr>
          <w:rFonts w:ascii="Cambria" w:hAnsi="Cambria"/>
          <w:color w:val="000000" w:themeColor="text1"/>
          <w:sz w:val="20"/>
          <w:szCs w:val="20"/>
          <w:lang w:val="es-VE"/>
        </w:rPr>
        <w:t>ó</w:t>
      </w:r>
      <w:r w:rsidR="001D09EE" w:rsidRPr="001D09EE">
        <w:rPr>
          <w:rFonts w:ascii="Cambria" w:hAnsi="Cambria"/>
          <w:color w:val="000000" w:themeColor="text1"/>
          <w:sz w:val="20"/>
          <w:szCs w:val="20"/>
          <w:lang w:val="es-VE"/>
        </w:rPr>
        <w:t xml:space="preserve"> que </w:t>
      </w:r>
      <w:r w:rsidR="00896012" w:rsidRPr="001D09EE">
        <w:rPr>
          <w:rFonts w:ascii="Cambria" w:hAnsi="Cambria"/>
          <w:color w:val="000000" w:themeColor="text1"/>
          <w:sz w:val="20"/>
          <w:szCs w:val="20"/>
          <w:lang w:val="es-VE"/>
        </w:rPr>
        <w:t xml:space="preserve">el </w:t>
      </w:r>
      <w:r w:rsidR="00625D98">
        <w:rPr>
          <w:rFonts w:ascii="Cambria" w:hAnsi="Cambria"/>
          <w:color w:val="000000" w:themeColor="text1"/>
          <w:sz w:val="20"/>
          <w:szCs w:val="20"/>
          <w:lang w:val="es-VE"/>
        </w:rPr>
        <w:t>1</w:t>
      </w:r>
      <w:r w:rsidR="00896012" w:rsidRPr="001D09EE">
        <w:rPr>
          <w:rFonts w:ascii="Cambria" w:hAnsi="Cambria"/>
          <w:color w:val="000000" w:themeColor="text1"/>
          <w:sz w:val="20"/>
          <w:szCs w:val="20"/>
          <w:lang w:val="es-VE"/>
        </w:rPr>
        <w:t xml:space="preserve">0 de </w:t>
      </w:r>
      <w:r w:rsidR="00896012" w:rsidRPr="001D09EE">
        <w:rPr>
          <w:rFonts w:ascii="Cambria" w:hAnsi="Cambria"/>
          <w:color w:val="000000" w:themeColor="text1"/>
          <w:sz w:val="20"/>
          <w:szCs w:val="20"/>
          <w:lang w:val="es-VE"/>
        </w:rPr>
        <w:lastRenderedPageBreak/>
        <w:t xml:space="preserve">noviembre de 2003 </w:t>
      </w:r>
      <w:r w:rsidR="00A53C54">
        <w:rPr>
          <w:rFonts w:ascii="Cambria" w:hAnsi="Cambria"/>
          <w:color w:val="000000" w:themeColor="text1"/>
          <w:sz w:val="20"/>
          <w:szCs w:val="20"/>
          <w:lang w:val="es-VE"/>
        </w:rPr>
        <w:t>en horas de la mañana</w:t>
      </w:r>
      <w:r w:rsidR="00896012" w:rsidRPr="001D09EE">
        <w:rPr>
          <w:rFonts w:ascii="Cambria" w:hAnsi="Cambria"/>
          <w:color w:val="000000" w:themeColor="text1"/>
          <w:sz w:val="20"/>
          <w:szCs w:val="20"/>
          <w:lang w:val="es-VE"/>
        </w:rPr>
        <w:t xml:space="preserve">, </w:t>
      </w:r>
      <w:r w:rsidR="00A53C54">
        <w:rPr>
          <w:rFonts w:ascii="Cambria" w:hAnsi="Cambria"/>
          <w:color w:val="000000" w:themeColor="text1"/>
          <w:sz w:val="20"/>
          <w:szCs w:val="20"/>
          <w:lang w:val="es-VE"/>
        </w:rPr>
        <w:t>ingresaron</w:t>
      </w:r>
      <w:r w:rsidR="001D09EE">
        <w:rPr>
          <w:rFonts w:ascii="Cambria" w:hAnsi="Cambria"/>
          <w:color w:val="000000" w:themeColor="text1"/>
          <w:sz w:val="20"/>
          <w:szCs w:val="20"/>
          <w:lang w:val="es-VE"/>
        </w:rPr>
        <w:t xml:space="preserve"> efectivos de </w:t>
      </w:r>
      <w:r w:rsidR="001D09EE" w:rsidRPr="001D09EE">
        <w:rPr>
          <w:rFonts w:ascii="Cambria" w:hAnsi="Cambria"/>
          <w:color w:val="000000" w:themeColor="text1"/>
          <w:sz w:val="20"/>
          <w:szCs w:val="20"/>
          <w:lang w:val="es-VE"/>
        </w:rPr>
        <w:t>la Guardia Nacional (cuerpo de naturaleza militar que hace parte de las Fuerza Armada Nacional</w:t>
      </w:r>
      <w:r w:rsidR="007F3F83">
        <w:rPr>
          <w:rFonts w:ascii="Cambria" w:hAnsi="Cambria"/>
          <w:color w:val="000000" w:themeColor="text1"/>
          <w:sz w:val="20"/>
          <w:szCs w:val="20"/>
          <w:lang w:val="es-VE"/>
        </w:rPr>
        <w:t xml:space="preserve"> Bolivariana</w:t>
      </w:r>
      <w:r w:rsidR="001D09EE" w:rsidRPr="001D09EE">
        <w:rPr>
          <w:rFonts w:ascii="Cambria" w:hAnsi="Cambria"/>
          <w:color w:val="000000" w:themeColor="text1"/>
          <w:sz w:val="20"/>
          <w:szCs w:val="20"/>
          <w:lang w:val="es-VE"/>
        </w:rPr>
        <w:t>)</w:t>
      </w:r>
      <w:r w:rsidR="00A53C54">
        <w:rPr>
          <w:rFonts w:ascii="Cambria" w:hAnsi="Cambria"/>
          <w:color w:val="000000" w:themeColor="text1"/>
          <w:sz w:val="20"/>
          <w:szCs w:val="20"/>
          <w:lang w:val="es-VE"/>
        </w:rPr>
        <w:t xml:space="preserve"> a la cárcel y luego de una serie de hechos violentos, se produjo la muerte de las siete personas arriba señaladas</w:t>
      </w:r>
      <w:r w:rsidR="001D09EE" w:rsidRPr="00A814FA">
        <w:rPr>
          <w:rFonts w:ascii="Cambria" w:hAnsi="Cambria"/>
          <w:color w:val="000000" w:themeColor="text1"/>
          <w:sz w:val="20"/>
          <w:szCs w:val="20"/>
          <w:lang w:val="es-VE"/>
        </w:rPr>
        <w:t>.</w:t>
      </w:r>
      <w:r w:rsidR="009E4BC9">
        <w:rPr>
          <w:rFonts w:ascii="Cambria" w:hAnsi="Cambria"/>
          <w:color w:val="000000" w:themeColor="text1"/>
          <w:sz w:val="20"/>
          <w:szCs w:val="20"/>
          <w:lang w:val="es-VE"/>
        </w:rPr>
        <w:t xml:space="preserve"> </w:t>
      </w:r>
      <w:r w:rsidR="006D4B13">
        <w:rPr>
          <w:rFonts w:ascii="Cambria" w:hAnsi="Cambria"/>
          <w:color w:val="000000" w:themeColor="text1"/>
          <w:sz w:val="20"/>
          <w:szCs w:val="20"/>
          <w:lang w:val="es-VE"/>
        </w:rPr>
        <w:t>S</w:t>
      </w:r>
      <w:r w:rsidR="000563AB">
        <w:rPr>
          <w:rFonts w:ascii="Cambria" w:hAnsi="Cambria"/>
          <w:color w:val="000000" w:themeColor="text1"/>
          <w:sz w:val="20"/>
          <w:szCs w:val="20"/>
          <w:lang w:val="es-VE"/>
        </w:rPr>
        <w:t>eñal</w:t>
      </w:r>
      <w:r w:rsidR="00625D98">
        <w:rPr>
          <w:rFonts w:ascii="Cambria" w:hAnsi="Cambria"/>
          <w:color w:val="000000" w:themeColor="text1"/>
          <w:sz w:val="20"/>
          <w:szCs w:val="20"/>
          <w:lang w:val="es-VE"/>
        </w:rPr>
        <w:t>ó</w:t>
      </w:r>
      <w:r w:rsidR="000563AB">
        <w:rPr>
          <w:rFonts w:ascii="Cambria" w:hAnsi="Cambria"/>
          <w:color w:val="000000" w:themeColor="text1"/>
          <w:sz w:val="20"/>
          <w:szCs w:val="20"/>
          <w:lang w:val="es-VE"/>
        </w:rPr>
        <w:t xml:space="preserve"> como presuntos responsables de las muertes </w:t>
      </w:r>
      <w:r w:rsidR="006D4B13">
        <w:rPr>
          <w:rFonts w:ascii="Cambria" w:hAnsi="Cambria"/>
          <w:color w:val="000000" w:themeColor="text1"/>
          <w:sz w:val="20"/>
          <w:szCs w:val="20"/>
          <w:lang w:val="es-VE"/>
        </w:rPr>
        <w:t>cuatro</w:t>
      </w:r>
      <w:r w:rsidR="000563AB">
        <w:rPr>
          <w:rFonts w:ascii="Cambria" w:hAnsi="Cambria"/>
          <w:color w:val="000000" w:themeColor="text1"/>
          <w:sz w:val="20"/>
          <w:szCs w:val="20"/>
          <w:lang w:val="es-VE"/>
        </w:rPr>
        <w:t xml:space="preserve"> efectivos militares adscritos a la Guardia Nacional y presentes en la cárcel </w:t>
      </w:r>
      <w:r w:rsidR="006B00AD">
        <w:rPr>
          <w:rFonts w:ascii="Cambria" w:hAnsi="Cambria"/>
          <w:color w:val="000000" w:themeColor="text1"/>
          <w:sz w:val="20"/>
          <w:szCs w:val="20"/>
          <w:lang w:val="es-VE"/>
        </w:rPr>
        <w:t>el día</w:t>
      </w:r>
      <w:r w:rsidR="000563AB">
        <w:rPr>
          <w:rFonts w:ascii="Cambria" w:hAnsi="Cambria"/>
          <w:color w:val="000000" w:themeColor="text1"/>
          <w:sz w:val="20"/>
          <w:szCs w:val="20"/>
          <w:lang w:val="es-VE"/>
        </w:rPr>
        <w:t xml:space="preserve"> de los hechos</w:t>
      </w:r>
      <w:r w:rsidR="009E4BC9">
        <w:rPr>
          <w:rFonts w:ascii="Cambria" w:hAnsi="Cambria"/>
          <w:color w:val="000000" w:themeColor="text1"/>
          <w:sz w:val="20"/>
          <w:szCs w:val="20"/>
          <w:lang w:val="es-VE"/>
        </w:rPr>
        <w:t xml:space="preserve">, </w:t>
      </w:r>
      <w:r w:rsidR="00D27707">
        <w:rPr>
          <w:rFonts w:ascii="Cambria" w:hAnsi="Cambria"/>
          <w:color w:val="000000" w:themeColor="text1"/>
          <w:sz w:val="20"/>
          <w:szCs w:val="20"/>
          <w:lang w:val="es-VE"/>
        </w:rPr>
        <w:t>quienes han sido imputados en la causa penal</w:t>
      </w:r>
      <w:r w:rsidR="000563AB">
        <w:rPr>
          <w:rFonts w:ascii="Cambria" w:hAnsi="Cambria"/>
          <w:color w:val="000000" w:themeColor="text1"/>
          <w:sz w:val="20"/>
          <w:szCs w:val="20"/>
          <w:lang w:val="es-VE"/>
        </w:rPr>
        <w:t>.</w:t>
      </w:r>
    </w:p>
    <w:p w14:paraId="5E06627A" w14:textId="77777777" w:rsidR="000563AB" w:rsidRDefault="000563AB" w:rsidP="000563A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35FCC8D3" w14:textId="0742DF01" w:rsidR="0037557B" w:rsidRDefault="00A53C54" w:rsidP="00A3636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En la petición inicial ante la Comisión, señaló que </w:t>
      </w:r>
      <w:r w:rsidR="00DB4E0C">
        <w:rPr>
          <w:rFonts w:ascii="Cambria" w:hAnsi="Cambria"/>
          <w:color w:val="000000" w:themeColor="text1"/>
          <w:sz w:val="20"/>
          <w:szCs w:val="20"/>
          <w:lang w:val="es-VE"/>
        </w:rPr>
        <w:t>estas muertes</w:t>
      </w:r>
      <w:r>
        <w:rPr>
          <w:rFonts w:ascii="Cambria" w:hAnsi="Cambria"/>
          <w:color w:val="000000" w:themeColor="text1"/>
          <w:sz w:val="20"/>
          <w:szCs w:val="20"/>
          <w:lang w:val="es-VE"/>
        </w:rPr>
        <w:t xml:space="preserve"> se produjeron a raíz de un motín o revuelta entre los internos</w:t>
      </w:r>
      <w:r w:rsidR="00DB4E0C">
        <w:rPr>
          <w:rFonts w:ascii="Cambria" w:hAnsi="Cambria"/>
          <w:color w:val="000000" w:themeColor="text1"/>
          <w:sz w:val="20"/>
          <w:szCs w:val="20"/>
          <w:lang w:val="es-VE"/>
        </w:rPr>
        <w:t>, tras la cual el director del penal solicitó el ingreso de la G</w:t>
      </w:r>
      <w:r w:rsidR="00C53BC4">
        <w:rPr>
          <w:rFonts w:ascii="Cambria" w:hAnsi="Cambria"/>
          <w:color w:val="000000" w:themeColor="text1"/>
          <w:sz w:val="20"/>
          <w:szCs w:val="20"/>
          <w:lang w:val="es-VE"/>
        </w:rPr>
        <w:t xml:space="preserve">uardia </w:t>
      </w:r>
      <w:r w:rsidR="00DB4E0C">
        <w:rPr>
          <w:rFonts w:ascii="Cambria" w:hAnsi="Cambria"/>
          <w:color w:val="000000" w:themeColor="text1"/>
          <w:sz w:val="20"/>
          <w:szCs w:val="20"/>
          <w:lang w:val="es-VE"/>
        </w:rPr>
        <w:t>N</w:t>
      </w:r>
      <w:r w:rsidR="00C53BC4">
        <w:rPr>
          <w:rFonts w:ascii="Cambria" w:hAnsi="Cambria"/>
          <w:color w:val="000000" w:themeColor="text1"/>
          <w:sz w:val="20"/>
          <w:szCs w:val="20"/>
          <w:lang w:val="es-VE"/>
        </w:rPr>
        <w:t>acional</w:t>
      </w:r>
      <w:r w:rsidR="00DB4E0C">
        <w:rPr>
          <w:rFonts w:ascii="Cambria" w:hAnsi="Cambria"/>
          <w:color w:val="000000" w:themeColor="text1"/>
          <w:sz w:val="20"/>
          <w:szCs w:val="20"/>
          <w:lang w:val="es-VE"/>
        </w:rPr>
        <w:t xml:space="preserve"> a la cárcel</w:t>
      </w:r>
      <w:r w:rsidR="009E4BC9">
        <w:rPr>
          <w:rFonts w:ascii="Cambria" w:hAnsi="Cambria"/>
          <w:color w:val="000000" w:themeColor="text1"/>
          <w:sz w:val="20"/>
          <w:szCs w:val="20"/>
          <w:lang w:val="es-VE"/>
        </w:rPr>
        <w:t>.</w:t>
      </w:r>
      <w:r>
        <w:rPr>
          <w:rFonts w:ascii="Cambria" w:hAnsi="Cambria"/>
          <w:color w:val="000000" w:themeColor="text1"/>
          <w:sz w:val="20"/>
          <w:szCs w:val="20"/>
          <w:lang w:val="es-VE"/>
        </w:rPr>
        <w:t xml:space="preserve"> </w:t>
      </w:r>
      <w:r w:rsidR="009E4BC9">
        <w:rPr>
          <w:rFonts w:ascii="Cambria" w:hAnsi="Cambria"/>
          <w:color w:val="000000" w:themeColor="text1"/>
          <w:sz w:val="20"/>
          <w:szCs w:val="20"/>
          <w:lang w:val="es-VE"/>
        </w:rPr>
        <w:t>S</w:t>
      </w:r>
      <w:r>
        <w:rPr>
          <w:rFonts w:ascii="Cambria" w:hAnsi="Cambria"/>
          <w:color w:val="000000" w:themeColor="text1"/>
          <w:sz w:val="20"/>
          <w:szCs w:val="20"/>
          <w:lang w:val="es-VE"/>
        </w:rPr>
        <w:t>in embargo</w:t>
      </w:r>
      <w:r w:rsidR="00E4099A">
        <w:rPr>
          <w:rFonts w:ascii="Cambria" w:hAnsi="Cambria"/>
          <w:color w:val="000000" w:themeColor="text1"/>
          <w:sz w:val="20"/>
          <w:szCs w:val="20"/>
          <w:lang w:val="es-VE"/>
        </w:rPr>
        <w:t>, en la etapa de fondo</w:t>
      </w:r>
      <w:r w:rsidR="00B30163">
        <w:rPr>
          <w:rFonts w:ascii="Cambria" w:hAnsi="Cambria"/>
          <w:color w:val="000000" w:themeColor="text1"/>
          <w:sz w:val="20"/>
          <w:szCs w:val="20"/>
          <w:lang w:val="es-VE"/>
        </w:rPr>
        <w:t xml:space="preserve"> </w:t>
      </w:r>
      <w:r w:rsidR="0074251A">
        <w:rPr>
          <w:rFonts w:ascii="Cambria" w:hAnsi="Cambria"/>
          <w:color w:val="000000" w:themeColor="text1"/>
          <w:sz w:val="20"/>
          <w:szCs w:val="20"/>
          <w:lang w:val="es-VE"/>
        </w:rPr>
        <w:t>aleg</w:t>
      </w:r>
      <w:r w:rsidR="00E73F78">
        <w:rPr>
          <w:rFonts w:ascii="Cambria" w:hAnsi="Cambria"/>
          <w:color w:val="000000" w:themeColor="text1"/>
          <w:sz w:val="20"/>
          <w:szCs w:val="20"/>
          <w:lang w:val="es-VE"/>
        </w:rPr>
        <w:t>ó</w:t>
      </w:r>
      <w:r>
        <w:rPr>
          <w:rFonts w:ascii="Cambria" w:hAnsi="Cambria"/>
          <w:color w:val="000000" w:themeColor="text1"/>
          <w:sz w:val="20"/>
          <w:szCs w:val="20"/>
          <w:lang w:val="es-VE"/>
        </w:rPr>
        <w:t xml:space="preserve"> </w:t>
      </w:r>
      <w:r w:rsidR="006D4B13">
        <w:rPr>
          <w:rFonts w:ascii="Cambria" w:hAnsi="Cambria"/>
          <w:color w:val="000000" w:themeColor="text1"/>
          <w:sz w:val="20"/>
          <w:szCs w:val="20"/>
          <w:lang w:val="es-VE"/>
        </w:rPr>
        <w:t xml:space="preserve">que no hubo un motín ese día, sino </w:t>
      </w:r>
      <w:r w:rsidR="0037557B">
        <w:rPr>
          <w:rFonts w:ascii="Cambria" w:hAnsi="Cambria"/>
          <w:color w:val="000000" w:themeColor="text1"/>
          <w:sz w:val="20"/>
          <w:szCs w:val="20"/>
          <w:lang w:val="es-VE"/>
        </w:rPr>
        <w:t>“</w:t>
      </w:r>
      <w:r>
        <w:rPr>
          <w:rFonts w:ascii="Cambria" w:hAnsi="Cambria"/>
          <w:color w:val="000000" w:themeColor="text1"/>
          <w:sz w:val="20"/>
          <w:szCs w:val="20"/>
          <w:lang w:val="es-VE"/>
        </w:rPr>
        <w:t xml:space="preserve">un plan previamente concebido por miembros de la Fuerza Armada quienes </w:t>
      </w:r>
      <w:r w:rsidR="006D4B13">
        <w:rPr>
          <w:rFonts w:ascii="Cambria" w:hAnsi="Cambria"/>
          <w:color w:val="000000" w:themeColor="text1"/>
          <w:sz w:val="20"/>
          <w:szCs w:val="20"/>
          <w:lang w:val="es-VE"/>
        </w:rPr>
        <w:t xml:space="preserve">[…] </w:t>
      </w:r>
      <w:r>
        <w:rPr>
          <w:rFonts w:ascii="Cambria" w:hAnsi="Cambria"/>
          <w:color w:val="000000" w:themeColor="text1"/>
          <w:sz w:val="20"/>
          <w:szCs w:val="20"/>
          <w:lang w:val="es-VE"/>
        </w:rPr>
        <w:t>a</w:t>
      </w:r>
      <w:r w:rsidR="0037557B">
        <w:rPr>
          <w:rFonts w:ascii="Cambria" w:hAnsi="Cambria"/>
          <w:color w:val="000000" w:themeColor="text1"/>
          <w:sz w:val="20"/>
          <w:szCs w:val="20"/>
          <w:lang w:val="es-VE"/>
        </w:rPr>
        <w:t>cabaron con la vida de siete personas</w:t>
      </w:r>
      <w:r w:rsidR="006D4B13">
        <w:rPr>
          <w:rFonts w:ascii="Cambria" w:hAnsi="Cambria"/>
          <w:color w:val="000000" w:themeColor="text1"/>
          <w:sz w:val="20"/>
          <w:szCs w:val="20"/>
          <w:lang w:val="es-VE"/>
        </w:rPr>
        <w:t xml:space="preserve"> [y]</w:t>
      </w:r>
      <w:r w:rsidR="0037557B">
        <w:rPr>
          <w:rFonts w:ascii="Cambria" w:hAnsi="Cambria"/>
          <w:color w:val="000000" w:themeColor="text1"/>
          <w:sz w:val="20"/>
          <w:szCs w:val="20"/>
          <w:lang w:val="es-VE"/>
        </w:rPr>
        <w:t xml:space="preserve"> lesionaron a otras 26”</w:t>
      </w:r>
      <w:r w:rsidR="0074251A">
        <w:rPr>
          <w:rFonts w:ascii="Cambria" w:hAnsi="Cambria"/>
          <w:color w:val="000000" w:themeColor="text1"/>
          <w:sz w:val="20"/>
          <w:szCs w:val="20"/>
          <w:lang w:val="es-VE"/>
        </w:rPr>
        <w:t>,</w:t>
      </w:r>
      <w:r w:rsidR="00A76CF0">
        <w:rPr>
          <w:rFonts w:ascii="Cambria" w:hAnsi="Cambria"/>
          <w:color w:val="000000" w:themeColor="text1"/>
          <w:sz w:val="20"/>
          <w:szCs w:val="20"/>
          <w:lang w:val="es-VE"/>
        </w:rPr>
        <w:t xml:space="preserve"> a</w:t>
      </w:r>
      <w:r w:rsidR="0074251A">
        <w:rPr>
          <w:rFonts w:ascii="Cambria" w:hAnsi="Cambria"/>
          <w:color w:val="000000" w:themeColor="text1"/>
          <w:sz w:val="20"/>
          <w:szCs w:val="20"/>
          <w:lang w:val="es-VE"/>
        </w:rPr>
        <w:t xml:space="preserve"> </w:t>
      </w:r>
      <w:r w:rsidR="008E2FA8">
        <w:rPr>
          <w:rFonts w:ascii="Cambria" w:hAnsi="Cambria"/>
          <w:color w:val="000000" w:themeColor="text1"/>
          <w:sz w:val="20"/>
          <w:szCs w:val="20"/>
          <w:lang w:val="es-VE"/>
        </w:rPr>
        <w:t>quienes</w:t>
      </w:r>
      <w:r w:rsidR="0074251A">
        <w:rPr>
          <w:rFonts w:ascii="Cambria" w:hAnsi="Cambria"/>
          <w:color w:val="000000" w:themeColor="text1"/>
          <w:sz w:val="20"/>
          <w:szCs w:val="20"/>
          <w:lang w:val="es-VE"/>
        </w:rPr>
        <w:t xml:space="preserve"> la p</w:t>
      </w:r>
      <w:r w:rsidR="00E4099A">
        <w:rPr>
          <w:rFonts w:ascii="Cambria" w:hAnsi="Cambria"/>
          <w:color w:val="000000" w:themeColor="text1"/>
          <w:sz w:val="20"/>
          <w:szCs w:val="20"/>
          <w:lang w:val="es-VE"/>
        </w:rPr>
        <w:t>arte peticionaria también señaló</w:t>
      </w:r>
      <w:r w:rsidR="0074251A">
        <w:rPr>
          <w:rFonts w:ascii="Cambria" w:hAnsi="Cambria"/>
          <w:color w:val="000000" w:themeColor="text1"/>
          <w:sz w:val="20"/>
          <w:szCs w:val="20"/>
          <w:lang w:val="es-VE"/>
        </w:rPr>
        <w:t xml:space="preserve"> como presuntas víctimas</w:t>
      </w:r>
      <w:r w:rsidR="0074251A">
        <w:rPr>
          <w:rStyle w:val="FootnoteReference"/>
          <w:rFonts w:ascii="Cambria" w:hAnsi="Cambria"/>
          <w:color w:val="000000" w:themeColor="text1"/>
          <w:sz w:val="20"/>
          <w:szCs w:val="20"/>
          <w:lang w:val="es-VE"/>
        </w:rPr>
        <w:footnoteReference w:id="3"/>
      </w:r>
      <w:r w:rsidR="0074251A">
        <w:rPr>
          <w:rFonts w:ascii="Cambria" w:hAnsi="Cambria"/>
          <w:color w:val="000000" w:themeColor="text1"/>
          <w:sz w:val="20"/>
          <w:szCs w:val="20"/>
          <w:lang w:val="es-VE"/>
        </w:rPr>
        <w:t>.</w:t>
      </w:r>
      <w:r w:rsidR="008C5093">
        <w:rPr>
          <w:rFonts w:ascii="Cambria" w:hAnsi="Cambria"/>
          <w:color w:val="000000" w:themeColor="text1"/>
          <w:sz w:val="20"/>
          <w:szCs w:val="20"/>
          <w:lang w:val="es-VE"/>
        </w:rPr>
        <w:t xml:space="preserve"> </w:t>
      </w:r>
    </w:p>
    <w:p w14:paraId="3DB10CB6" w14:textId="77777777" w:rsidR="0037557B" w:rsidRDefault="0037557B" w:rsidP="0037557B">
      <w:pPr>
        <w:pStyle w:val="ListParagraph"/>
        <w:rPr>
          <w:color w:val="000000" w:themeColor="text1"/>
          <w:sz w:val="20"/>
          <w:szCs w:val="20"/>
          <w:lang w:val="es-VE"/>
        </w:rPr>
      </w:pPr>
    </w:p>
    <w:p w14:paraId="2844D360" w14:textId="6B0FD26F" w:rsidR="00933CC6" w:rsidRPr="00933CC6" w:rsidRDefault="006D4B13" w:rsidP="00CF080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color w:val="000000" w:themeColor="text1"/>
          <w:sz w:val="20"/>
          <w:szCs w:val="20"/>
          <w:lang w:val="es-VE"/>
        </w:rPr>
        <w:t>A</w:t>
      </w:r>
      <w:r w:rsidR="0037557B">
        <w:rPr>
          <w:rFonts w:ascii="Cambria" w:hAnsi="Cambria"/>
          <w:color w:val="000000" w:themeColor="text1"/>
          <w:sz w:val="20"/>
          <w:szCs w:val="20"/>
          <w:lang w:val="es-VE"/>
        </w:rPr>
        <w:t>leg</w:t>
      </w:r>
      <w:r w:rsidR="00625D98">
        <w:rPr>
          <w:rFonts w:ascii="Cambria" w:hAnsi="Cambria"/>
          <w:color w:val="000000" w:themeColor="text1"/>
          <w:sz w:val="20"/>
          <w:szCs w:val="20"/>
          <w:lang w:val="es-VE"/>
        </w:rPr>
        <w:t>ó</w:t>
      </w:r>
      <w:r w:rsidR="0037557B">
        <w:rPr>
          <w:rFonts w:ascii="Cambria" w:hAnsi="Cambria"/>
          <w:color w:val="000000" w:themeColor="text1"/>
          <w:sz w:val="20"/>
          <w:szCs w:val="20"/>
          <w:lang w:val="es-VE"/>
        </w:rPr>
        <w:t xml:space="preserve"> que </w:t>
      </w:r>
      <w:r w:rsidR="001F30DA" w:rsidRPr="001D09EE">
        <w:rPr>
          <w:rFonts w:ascii="Cambria" w:hAnsi="Cambria"/>
          <w:color w:val="000000" w:themeColor="text1"/>
          <w:sz w:val="20"/>
          <w:szCs w:val="20"/>
          <w:lang w:val="es-VE"/>
        </w:rPr>
        <w:t xml:space="preserve">el </w:t>
      </w:r>
      <w:r w:rsidR="00DB4E0C">
        <w:rPr>
          <w:rFonts w:ascii="Cambria" w:hAnsi="Cambria"/>
          <w:color w:val="000000" w:themeColor="text1"/>
          <w:sz w:val="20"/>
          <w:szCs w:val="20"/>
          <w:lang w:val="es-VE"/>
        </w:rPr>
        <w:t>d</w:t>
      </w:r>
      <w:r w:rsidR="001F30DA" w:rsidRPr="001D09EE">
        <w:rPr>
          <w:rFonts w:ascii="Cambria" w:hAnsi="Cambria"/>
          <w:color w:val="000000" w:themeColor="text1"/>
          <w:sz w:val="20"/>
          <w:szCs w:val="20"/>
          <w:lang w:val="es-VE"/>
        </w:rPr>
        <w:t xml:space="preserve">irector de </w:t>
      </w:r>
      <w:r w:rsidR="0074251A">
        <w:rPr>
          <w:rFonts w:ascii="Cambria" w:hAnsi="Cambria"/>
          <w:color w:val="000000" w:themeColor="text1"/>
          <w:sz w:val="20"/>
          <w:szCs w:val="20"/>
          <w:lang w:val="es-VE"/>
        </w:rPr>
        <w:t>la</w:t>
      </w:r>
      <w:r w:rsidR="001F30DA" w:rsidRPr="001D09EE">
        <w:rPr>
          <w:rFonts w:ascii="Cambria" w:hAnsi="Cambria"/>
          <w:color w:val="000000" w:themeColor="text1"/>
          <w:sz w:val="20"/>
          <w:szCs w:val="20"/>
          <w:lang w:val="es-VE"/>
        </w:rPr>
        <w:t xml:space="preserve"> cárcel solicit</w:t>
      </w:r>
      <w:r w:rsidR="0074251A">
        <w:rPr>
          <w:rFonts w:ascii="Cambria" w:hAnsi="Cambria"/>
          <w:color w:val="000000" w:themeColor="text1"/>
          <w:sz w:val="20"/>
          <w:szCs w:val="20"/>
          <w:lang w:val="es-VE"/>
        </w:rPr>
        <w:t>ó</w:t>
      </w:r>
      <w:r w:rsidR="001F30DA" w:rsidRPr="001D09EE">
        <w:rPr>
          <w:rFonts w:ascii="Cambria" w:hAnsi="Cambria"/>
          <w:color w:val="000000" w:themeColor="text1"/>
          <w:sz w:val="20"/>
          <w:szCs w:val="20"/>
          <w:lang w:val="es-VE"/>
        </w:rPr>
        <w:t xml:space="preserve"> el ingreso de efectivos de la </w:t>
      </w:r>
      <w:r w:rsidR="00DB4E0C">
        <w:rPr>
          <w:rFonts w:ascii="Cambria" w:hAnsi="Cambria"/>
          <w:color w:val="000000" w:themeColor="text1"/>
          <w:sz w:val="20"/>
          <w:szCs w:val="20"/>
          <w:lang w:val="es-VE"/>
        </w:rPr>
        <w:t>G</w:t>
      </w:r>
      <w:r w:rsidR="00A76CF0">
        <w:rPr>
          <w:rFonts w:ascii="Cambria" w:hAnsi="Cambria"/>
          <w:color w:val="000000" w:themeColor="text1"/>
          <w:sz w:val="20"/>
          <w:szCs w:val="20"/>
          <w:lang w:val="es-VE"/>
        </w:rPr>
        <w:t xml:space="preserve">uardia </w:t>
      </w:r>
      <w:r w:rsidR="00DB4E0C">
        <w:rPr>
          <w:rFonts w:ascii="Cambria" w:hAnsi="Cambria"/>
          <w:color w:val="000000" w:themeColor="text1"/>
          <w:sz w:val="20"/>
          <w:szCs w:val="20"/>
          <w:lang w:val="es-VE"/>
        </w:rPr>
        <w:t>N</w:t>
      </w:r>
      <w:r w:rsidR="00A76CF0">
        <w:rPr>
          <w:rFonts w:ascii="Cambria" w:hAnsi="Cambria"/>
          <w:color w:val="000000" w:themeColor="text1"/>
          <w:sz w:val="20"/>
          <w:szCs w:val="20"/>
          <w:lang w:val="es-VE"/>
        </w:rPr>
        <w:t>acional</w:t>
      </w:r>
      <w:r w:rsidR="00DB4E0C">
        <w:rPr>
          <w:rFonts w:ascii="Cambria" w:hAnsi="Cambria"/>
          <w:color w:val="000000" w:themeColor="text1"/>
          <w:sz w:val="20"/>
          <w:szCs w:val="20"/>
          <w:lang w:val="es-VE"/>
        </w:rPr>
        <w:t xml:space="preserve"> </w:t>
      </w:r>
      <w:r w:rsidR="0074251A">
        <w:rPr>
          <w:rFonts w:ascii="Cambria" w:hAnsi="Cambria"/>
          <w:color w:val="000000" w:themeColor="text1"/>
          <w:sz w:val="20"/>
          <w:szCs w:val="20"/>
          <w:lang w:val="es-VE"/>
        </w:rPr>
        <w:t xml:space="preserve">esa mañana en concordancia con el </w:t>
      </w:r>
      <w:r w:rsidR="00486E65">
        <w:rPr>
          <w:rFonts w:ascii="Cambria" w:hAnsi="Cambria"/>
          <w:color w:val="000000" w:themeColor="text1"/>
          <w:sz w:val="20"/>
          <w:szCs w:val="20"/>
          <w:lang w:val="es-VE"/>
        </w:rPr>
        <w:t>a</w:t>
      </w:r>
      <w:r w:rsidR="0074251A">
        <w:rPr>
          <w:rFonts w:ascii="Cambria" w:hAnsi="Cambria"/>
          <w:color w:val="000000" w:themeColor="text1"/>
          <w:sz w:val="20"/>
          <w:szCs w:val="20"/>
          <w:lang w:val="es-VE"/>
        </w:rPr>
        <w:t xml:space="preserve">rtículo 8 de la Ley de Régimen Penitenciario, </w:t>
      </w:r>
      <w:r w:rsidR="000A3794">
        <w:rPr>
          <w:rFonts w:ascii="Cambria" w:hAnsi="Cambria"/>
          <w:color w:val="000000" w:themeColor="text1"/>
          <w:sz w:val="20"/>
          <w:szCs w:val="20"/>
          <w:lang w:val="es-VE"/>
        </w:rPr>
        <w:t xml:space="preserve">el cual </w:t>
      </w:r>
      <w:r w:rsidR="00486E65">
        <w:rPr>
          <w:rFonts w:ascii="Cambria" w:hAnsi="Cambria"/>
          <w:color w:val="000000" w:themeColor="text1"/>
          <w:sz w:val="20"/>
          <w:szCs w:val="20"/>
          <w:lang w:val="es-VE"/>
        </w:rPr>
        <w:t xml:space="preserve">permitía </w:t>
      </w:r>
      <w:r w:rsidR="008C5093">
        <w:rPr>
          <w:rFonts w:ascii="Cambria" w:hAnsi="Cambria"/>
          <w:color w:val="000000" w:themeColor="text1"/>
          <w:sz w:val="20"/>
          <w:szCs w:val="20"/>
          <w:lang w:val="es-VE"/>
        </w:rPr>
        <w:t xml:space="preserve">la </w:t>
      </w:r>
      <w:r w:rsidR="00486E65">
        <w:rPr>
          <w:rFonts w:ascii="Cambria" w:hAnsi="Cambria"/>
          <w:color w:val="000000" w:themeColor="text1"/>
          <w:sz w:val="20"/>
          <w:szCs w:val="20"/>
          <w:lang w:val="es-VE"/>
        </w:rPr>
        <w:t xml:space="preserve">intervención </w:t>
      </w:r>
      <w:r w:rsidR="008C5093">
        <w:rPr>
          <w:rFonts w:ascii="Cambria" w:hAnsi="Cambria"/>
          <w:color w:val="000000" w:themeColor="text1"/>
          <w:sz w:val="20"/>
          <w:szCs w:val="20"/>
          <w:lang w:val="es-VE"/>
        </w:rPr>
        <w:t xml:space="preserve">de la Guardia Nacional </w:t>
      </w:r>
      <w:r w:rsidR="00486E65">
        <w:rPr>
          <w:rFonts w:ascii="Cambria" w:hAnsi="Cambria"/>
          <w:color w:val="000000" w:themeColor="text1"/>
          <w:sz w:val="20"/>
          <w:szCs w:val="20"/>
          <w:lang w:val="es-VE"/>
        </w:rPr>
        <w:t xml:space="preserve">al interior </w:t>
      </w:r>
      <w:r w:rsidR="008C5093">
        <w:rPr>
          <w:rFonts w:ascii="Cambria" w:hAnsi="Cambria"/>
          <w:color w:val="000000" w:themeColor="text1"/>
          <w:sz w:val="20"/>
          <w:szCs w:val="20"/>
          <w:lang w:val="es-VE"/>
        </w:rPr>
        <w:t>de un recinto penitenciario a solicitud del director</w:t>
      </w:r>
      <w:r w:rsidR="00486E65">
        <w:rPr>
          <w:rFonts w:ascii="Cambria" w:hAnsi="Cambria"/>
          <w:color w:val="000000" w:themeColor="text1"/>
          <w:sz w:val="20"/>
          <w:szCs w:val="20"/>
          <w:lang w:val="es-VE"/>
        </w:rPr>
        <w:t xml:space="preserve">. </w:t>
      </w:r>
      <w:r w:rsidRPr="000C6869">
        <w:rPr>
          <w:rFonts w:ascii="Cambria" w:hAnsi="Cambria"/>
          <w:color w:val="000000" w:themeColor="text1"/>
          <w:sz w:val="20"/>
          <w:szCs w:val="20"/>
          <w:lang w:val="es-VE"/>
        </w:rPr>
        <w:t>A</w:t>
      </w:r>
      <w:r w:rsidR="0074251A" w:rsidRPr="000C6869">
        <w:rPr>
          <w:rFonts w:ascii="Cambria" w:hAnsi="Cambria"/>
          <w:color w:val="000000" w:themeColor="text1"/>
          <w:sz w:val="20"/>
          <w:szCs w:val="20"/>
          <w:lang w:val="es-VE"/>
        </w:rPr>
        <w:t>leg</w:t>
      </w:r>
      <w:r w:rsidR="00625D98" w:rsidRPr="000C6869">
        <w:rPr>
          <w:rFonts w:ascii="Cambria" w:hAnsi="Cambria"/>
          <w:color w:val="000000" w:themeColor="text1"/>
          <w:sz w:val="20"/>
          <w:szCs w:val="20"/>
          <w:lang w:val="es-VE"/>
        </w:rPr>
        <w:t>ó</w:t>
      </w:r>
      <w:r w:rsidR="0074251A" w:rsidRPr="000C6869">
        <w:rPr>
          <w:rFonts w:ascii="Cambria" w:hAnsi="Cambria"/>
          <w:color w:val="000000" w:themeColor="text1"/>
          <w:sz w:val="20"/>
          <w:szCs w:val="20"/>
          <w:lang w:val="es-VE"/>
        </w:rPr>
        <w:t xml:space="preserve"> que el actuar de la </w:t>
      </w:r>
      <w:r w:rsidR="00DB4E0C" w:rsidRPr="000C6869">
        <w:rPr>
          <w:rFonts w:ascii="Cambria" w:hAnsi="Cambria"/>
          <w:color w:val="000000" w:themeColor="text1"/>
          <w:sz w:val="20"/>
          <w:szCs w:val="20"/>
          <w:lang w:val="es-VE"/>
        </w:rPr>
        <w:t>G</w:t>
      </w:r>
      <w:r w:rsidR="000A3794" w:rsidRPr="000C6869">
        <w:rPr>
          <w:rFonts w:ascii="Cambria" w:hAnsi="Cambria"/>
          <w:color w:val="000000" w:themeColor="text1"/>
          <w:sz w:val="20"/>
          <w:szCs w:val="20"/>
          <w:lang w:val="es-VE"/>
        </w:rPr>
        <w:t xml:space="preserve">uardia </w:t>
      </w:r>
      <w:r w:rsidR="00DB4E0C" w:rsidRPr="000C6869">
        <w:rPr>
          <w:rFonts w:ascii="Cambria" w:hAnsi="Cambria"/>
          <w:color w:val="000000" w:themeColor="text1"/>
          <w:sz w:val="20"/>
          <w:szCs w:val="20"/>
          <w:lang w:val="es-VE"/>
        </w:rPr>
        <w:t>N</w:t>
      </w:r>
      <w:r w:rsidR="000A3794" w:rsidRPr="000C6869">
        <w:rPr>
          <w:rFonts w:ascii="Cambria" w:hAnsi="Cambria"/>
          <w:color w:val="000000" w:themeColor="text1"/>
          <w:sz w:val="20"/>
          <w:szCs w:val="20"/>
          <w:lang w:val="es-VE"/>
        </w:rPr>
        <w:t>acional</w:t>
      </w:r>
      <w:r w:rsidR="0074251A" w:rsidRPr="000C6869">
        <w:rPr>
          <w:rFonts w:ascii="Cambria" w:hAnsi="Cambria"/>
          <w:color w:val="000000" w:themeColor="text1"/>
          <w:sz w:val="20"/>
          <w:szCs w:val="20"/>
          <w:lang w:val="es-VE"/>
        </w:rPr>
        <w:t xml:space="preserve"> dentro del penal</w:t>
      </w:r>
      <w:r w:rsidR="000A3794" w:rsidRPr="000C6869">
        <w:rPr>
          <w:rFonts w:ascii="Cambria" w:hAnsi="Cambria"/>
          <w:color w:val="000000" w:themeColor="text1"/>
          <w:sz w:val="20"/>
          <w:szCs w:val="20"/>
          <w:lang w:val="es-VE"/>
        </w:rPr>
        <w:t xml:space="preserve"> constituyó </w:t>
      </w:r>
      <w:r w:rsidR="0074251A" w:rsidRPr="000C6869">
        <w:rPr>
          <w:rFonts w:ascii="Cambria" w:hAnsi="Cambria"/>
          <w:color w:val="000000" w:themeColor="text1"/>
          <w:sz w:val="20"/>
          <w:szCs w:val="20"/>
          <w:lang w:val="es-VE"/>
        </w:rPr>
        <w:t>un uso desmedido de la fuerza en contra de los internos, lo cual</w:t>
      </w:r>
      <w:r w:rsidR="000A3794" w:rsidRPr="000C6869">
        <w:rPr>
          <w:rFonts w:ascii="Cambria" w:hAnsi="Cambria"/>
          <w:color w:val="000000" w:themeColor="text1"/>
          <w:sz w:val="20"/>
          <w:szCs w:val="20"/>
          <w:lang w:val="es-VE"/>
        </w:rPr>
        <w:t xml:space="preserve"> demuestra que el ingreso al penal</w:t>
      </w:r>
      <w:r w:rsidR="0016651E" w:rsidRPr="000C6869">
        <w:rPr>
          <w:rFonts w:ascii="Cambria" w:hAnsi="Cambria"/>
          <w:color w:val="000000" w:themeColor="text1"/>
          <w:sz w:val="20"/>
          <w:szCs w:val="20"/>
          <w:lang w:val="es-VE"/>
        </w:rPr>
        <w:t xml:space="preserve"> fue </w:t>
      </w:r>
      <w:r w:rsidR="0074251A" w:rsidRPr="000C6869">
        <w:rPr>
          <w:rFonts w:ascii="Cambria" w:hAnsi="Cambria"/>
          <w:color w:val="000000" w:themeColor="text1"/>
          <w:sz w:val="20"/>
          <w:szCs w:val="20"/>
          <w:lang w:val="es-VE"/>
        </w:rPr>
        <w:t>injustificado</w:t>
      </w:r>
      <w:r w:rsidR="0016651E" w:rsidRPr="000C6869">
        <w:rPr>
          <w:rFonts w:ascii="Cambria" w:hAnsi="Cambria"/>
          <w:color w:val="000000" w:themeColor="text1"/>
          <w:sz w:val="20"/>
          <w:szCs w:val="20"/>
          <w:lang w:val="es-VE"/>
        </w:rPr>
        <w:t xml:space="preserve"> y desproporcional. </w:t>
      </w:r>
      <w:r w:rsidR="00CF0801">
        <w:rPr>
          <w:rFonts w:ascii="Cambria" w:hAnsi="Cambria"/>
          <w:sz w:val="20"/>
          <w:szCs w:val="20"/>
          <w:lang w:val="es-VE"/>
        </w:rPr>
        <w:t xml:space="preserve">Indicó que </w:t>
      </w:r>
      <w:r w:rsidR="00933CC6" w:rsidRPr="008C5093">
        <w:rPr>
          <w:rFonts w:ascii="Cambria" w:hAnsi="Cambria"/>
          <w:sz w:val="20"/>
          <w:szCs w:val="20"/>
          <w:lang w:val="es-VE"/>
        </w:rPr>
        <w:t>estos hechos constituyeron una represalia en contra de los dirigentes de una huelga en la cárcel que finalizó semanas antes, la cual tenía “</w:t>
      </w:r>
      <w:r w:rsidR="00933CC6" w:rsidRPr="008C5093">
        <w:rPr>
          <w:rFonts w:ascii="Cambria" w:hAnsi="Cambria"/>
          <w:sz w:val="20"/>
          <w:szCs w:val="20"/>
          <w:lang w:val="es-US"/>
        </w:rPr>
        <w:t xml:space="preserve">el fin de lograr la destitución </w:t>
      </w:r>
      <w:r w:rsidR="00933CC6">
        <w:rPr>
          <w:rFonts w:ascii="Cambria" w:hAnsi="Cambria"/>
          <w:sz w:val="20"/>
          <w:szCs w:val="20"/>
          <w:lang w:val="es-US"/>
        </w:rPr>
        <w:t>[del Capitán Campos]</w:t>
      </w:r>
      <w:r w:rsidR="00933CC6" w:rsidRPr="008C5093">
        <w:rPr>
          <w:rFonts w:ascii="Cambria" w:hAnsi="Cambria"/>
          <w:sz w:val="20"/>
          <w:szCs w:val="20"/>
          <w:lang w:val="es-US"/>
        </w:rPr>
        <w:t>”</w:t>
      </w:r>
      <w:r w:rsidR="00933CC6" w:rsidRPr="008C5093">
        <w:rPr>
          <w:rFonts w:ascii="Cambria" w:hAnsi="Cambria"/>
          <w:sz w:val="20"/>
          <w:szCs w:val="20"/>
          <w:lang w:val="es-VE"/>
        </w:rPr>
        <w:t xml:space="preserve">. Alegó que </w:t>
      </w:r>
      <w:r w:rsidR="00933CC6" w:rsidRPr="008C5093">
        <w:rPr>
          <w:rFonts w:ascii="Cambria" w:hAnsi="Cambria"/>
          <w:sz w:val="20"/>
          <w:szCs w:val="20"/>
          <w:lang w:val="es-US"/>
        </w:rPr>
        <w:t xml:space="preserve">“la intención </w:t>
      </w:r>
      <w:r w:rsidR="00933CC6">
        <w:rPr>
          <w:rFonts w:ascii="Cambria" w:hAnsi="Cambria"/>
          <w:sz w:val="20"/>
          <w:szCs w:val="20"/>
          <w:lang w:val="es-US"/>
        </w:rPr>
        <w:t>[…</w:t>
      </w:r>
      <w:r w:rsidR="00933CC6" w:rsidRPr="008C5093">
        <w:rPr>
          <w:rFonts w:ascii="Cambria" w:hAnsi="Cambria"/>
          <w:sz w:val="20"/>
          <w:szCs w:val="20"/>
          <w:lang w:val="es-US"/>
        </w:rPr>
        <w:t>] era crear un precedente para el resto de los reclusos y castigar a las víctimas”.</w:t>
      </w:r>
    </w:p>
    <w:p w14:paraId="0AE46E27" w14:textId="77777777" w:rsidR="001D09EE" w:rsidRDefault="001D09EE" w:rsidP="001D09EE">
      <w:pPr>
        <w:pStyle w:val="ListParagraph"/>
        <w:rPr>
          <w:color w:val="000000" w:themeColor="text1"/>
          <w:sz w:val="20"/>
          <w:szCs w:val="20"/>
          <w:lang w:val="es-VE"/>
        </w:rPr>
      </w:pPr>
    </w:p>
    <w:p w14:paraId="3E6E6E74" w14:textId="00FE1F2C" w:rsidR="001D09EE" w:rsidRPr="008C5093" w:rsidRDefault="00082CFF" w:rsidP="00D657D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color w:val="000000" w:themeColor="text1"/>
          <w:sz w:val="20"/>
          <w:szCs w:val="20"/>
          <w:lang w:val="es-VE"/>
        </w:rPr>
        <w:t xml:space="preserve">Señaló </w:t>
      </w:r>
      <w:r w:rsidR="00D64E7C">
        <w:rPr>
          <w:rFonts w:ascii="Cambria" w:hAnsi="Cambria"/>
          <w:color w:val="000000" w:themeColor="text1"/>
          <w:sz w:val="20"/>
          <w:szCs w:val="20"/>
          <w:lang w:val="es-VE"/>
        </w:rPr>
        <w:t xml:space="preserve">la violación del </w:t>
      </w:r>
      <w:r w:rsidR="00D64E7C" w:rsidRPr="006D4B13">
        <w:rPr>
          <w:rFonts w:ascii="Cambria" w:hAnsi="Cambria"/>
          <w:b/>
          <w:color w:val="000000" w:themeColor="text1"/>
          <w:sz w:val="20"/>
          <w:szCs w:val="20"/>
          <w:lang w:val="es-VE"/>
        </w:rPr>
        <w:t>derecho a la vida</w:t>
      </w:r>
      <w:r w:rsidR="00D64E7C">
        <w:rPr>
          <w:rFonts w:ascii="Cambria" w:hAnsi="Cambria"/>
          <w:color w:val="000000" w:themeColor="text1"/>
          <w:sz w:val="20"/>
          <w:szCs w:val="20"/>
          <w:lang w:val="es-VE"/>
        </w:rPr>
        <w:t xml:space="preserve"> en per</w:t>
      </w:r>
      <w:r w:rsidR="008C5093">
        <w:rPr>
          <w:rFonts w:ascii="Cambria" w:hAnsi="Cambria"/>
          <w:color w:val="000000" w:themeColor="text1"/>
          <w:sz w:val="20"/>
          <w:szCs w:val="20"/>
          <w:lang w:val="es-VE"/>
        </w:rPr>
        <w:t xml:space="preserve">juicio de los siete fallecidos </w:t>
      </w:r>
      <w:r w:rsidR="006D4B13">
        <w:rPr>
          <w:rFonts w:ascii="Cambria" w:hAnsi="Cambria"/>
          <w:color w:val="000000" w:themeColor="text1"/>
          <w:sz w:val="20"/>
          <w:szCs w:val="20"/>
          <w:lang w:val="es-VE"/>
        </w:rPr>
        <w:t>porque</w:t>
      </w:r>
      <w:r w:rsidR="007B4363">
        <w:rPr>
          <w:rFonts w:ascii="Cambria" w:hAnsi="Cambria"/>
          <w:color w:val="000000" w:themeColor="text1"/>
          <w:sz w:val="20"/>
          <w:szCs w:val="20"/>
          <w:lang w:val="es-VE"/>
        </w:rPr>
        <w:t xml:space="preserve"> la </w:t>
      </w:r>
      <w:r w:rsidR="00DB4E0C">
        <w:rPr>
          <w:rFonts w:ascii="Cambria" w:hAnsi="Cambria"/>
          <w:color w:val="000000" w:themeColor="text1"/>
          <w:sz w:val="20"/>
          <w:szCs w:val="20"/>
          <w:lang w:val="es-VE"/>
        </w:rPr>
        <w:t>G</w:t>
      </w:r>
      <w:r w:rsidR="0016651E">
        <w:rPr>
          <w:rFonts w:ascii="Cambria" w:hAnsi="Cambria"/>
          <w:color w:val="000000" w:themeColor="text1"/>
          <w:sz w:val="20"/>
          <w:szCs w:val="20"/>
          <w:lang w:val="es-VE"/>
        </w:rPr>
        <w:t>uardia Nacional</w:t>
      </w:r>
      <w:r>
        <w:rPr>
          <w:rFonts w:ascii="Cambria" w:hAnsi="Cambria"/>
          <w:color w:val="000000" w:themeColor="text1"/>
          <w:sz w:val="20"/>
          <w:szCs w:val="20"/>
          <w:lang w:val="es-VE"/>
        </w:rPr>
        <w:t xml:space="preserve"> les</w:t>
      </w:r>
      <w:r w:rsidR="00DB4E0C">
        <w:rPr>
          <w:rFonts w:ascii="Cambria" w:hAnsi="Cambria"/>
          <w:color w:val="000000" w:themeColor="text1"/>
          <w:sz w:val="20"/>
          <w:szCs w:val="20"/>
          <w:lang w:val="es-VE"/>
        </w:rPr>
        <w:t xml:space="preserve"> </w:t>
      </w:r>
      <w:r w:rsidR="0016651E">
        <w:rPr>
          <w:rFonts w:ascii="Cambria" w:hAnsi="Cambria"/>
          <w:color w:val="000000" w:themeColor="text1"/>
          <w:sz w:val="20"/>
          <w:szCs w:val="20"/>
          <w:lang w:val="es-VE"/>
        </w:rPr>
        <w:t>caus</w:t>
      </w:r>
      <w:r w:rsidR="00B30163">
        <w:rPr>
          <w:rFonts w:ascii="Cambria" w:hAnsi="Cambria"/>
          <w:color w:val="000000" w:themeColor="text1"/>
          <w:sz w:val="20"/>
          <w:szCs w:val="20"/>
          <w:lang w:val="es-VE"/>
        </w:rPr>
        <w:t>ó</w:t>
      </w:r>
      <w:r w:rsidR="0016651E">
        <w:rPr>
          <w:rFonts w:ascii="Cambria" w:hAnsi="Cambria"/>
          <w:color w:val="000000" w:themeColor="text1"/>
          <w:sz w:val="20"/>
          <w:szCs w:val="20"/>
          <w:lang w:val="es-VE"/>
        </w:rPr>
        <w:t xml:space="preserve"> </w:t>
      </w:r>
      <w:r w:rsidR="00297A0B">
        <w:rPr>
          <w:rFonts w:ascii="Cambria" w:hAnsi="Cambria"/>
          <w:color w:val="000000" w:themeColor="text1"/>
          <w:sz w:val="20"/>
          <w:szCs w:val="20"/>
          <w:lang w:val="es-VE"/>
        </w:rPr>
        <w:t xml:space="preserve">la </w:t>
      </w:r>
      <w:r w:rsidR="007B4363">
        <w:rPr>
          <w:rFonts w:ascii="Cambria" w:hAnsi="Cambria"/>
          <w:color w:val="000000" w:themeColor="text1"/>
          <w:sz w:val="20"/>
          <w:szCs w:val="20"/>
          <w:lang w:val="es-VE"/>
        </w:rPr>
        <w:t>muerte</w:t>
      </w:r>
      <w:r w:rsidR="0016651E">
        <w:rPr>
          <w:rFonts w:ascii="Cambria" w:hAnsi="Cambria"/>
          <w:color w:val="000000" w:themeColor="text1"/>
          <w:sz w:val="20"/>
          <w:szCs w:val="20"/>
          <w:lang w:val="es-VE"/>
        </w:rPr>
        <w:t xml:space="preserve">. </w:t>
      </w:r>
      <w:r w:rsidR="00297A0B">
        <w:rPr>
          <w:rFonts w:ascii="Cambria" w:hAnsi="Cambria"/>
          <w:color w:val="000000" w:themeColor="text1"/>
          <w:sz w:val="20"/>
          <w:szCs w:val="20"/>
          <w:lang w:val="es-VE"/>
        </w:rPr>
        <w:t>Alternativamente, aleg</w:t>
      </w:r>
      <w:r w:rsidR="00625D98">
        <w:rPr>
          <w:rFonts w:ascii="Cambria" w:hAnsi="Cambria"/>
          <w:color w:val="000000" w:themeColor="text1"/>
          <w:sz w:val="20"/>
          <w:szCs w:val="20"/>
          <w:lang w:val="es-VE"/>
        </w:rPr>
        <w:t>ó</w:t>
      </w:r>
      <w:r w:rsidR="00297A0B">
        <w:rPr>
          <w:rFonts w:ascii="Cambria" w:hAnsi="Cambria"/>
          <w:color w:val="000000" w:themeColor="text1"/>
          <w:sz w:val="20"/>
          <w:szCs w:val="20"/>
          <w:lang w:val="es-VE"/>
        </w:rPr>
        <w:t xml:space="preserve"> que </w:t>
      </w:r>
      <w:r w:rsidR="00874A9A">
        <w:rPr>
          <w:rFonts w:ascii="Cambria" w:hAnsi="Cambria"/>
          <w:color w:val="000000" w:themeColor="text1"/>
          <w:sz w:val="20"/>
          <w:szCs w:val="20"/>
          <w:lang w:val="es-VE"/>
        </w:rPr>
        <w:t xml:space="preserve">el Estado </w:t>
      </w:r>
      <w:r w:rsidR="00933CC6">
        <w:rPr>
          <w:rFonts w:ascii="Cambria" w:hAnsi="Cambria"/>
          <w:color w:val="000000" w:themeColor="text1"/>
          <w:sz w:val="20"/>
          <w:szCs w:val="20"/>
          <w:lang w:val="es-VE"/>
        </w:rPr>
        <w:t xml:space="preserve">no ha desvirtuado la presunción de responsabilidad </w:t>
      </w:r>
      <w:r w:rsidR="00874A9A">
        <w:rPr>
          <w:rFonts w:ascii="Cambria" w:hAnsi="Cambria"/>
          <w:color w:val="000000" w:themeColor="text1"/>
          <w:sz w:val="20"/>
          <w:szCs w:val="20"/>
          <w:lang w:val="es-VE"/>
        </w:rPr>
        <w:t>por la muerte d</w:t>
      </w:r>
      <w:r w:rsidR="00933CC6">
        <w:rPr>
          <w:rFonts w:ascii="Cambria" w:hAnsi="Cambria"/>
          <w:color w:val="000000" w:themeColor="text1"/>
          <w:sz w:val="20"/>
          <w:szCs w:val="20"/>
          <w:lang w:val="es-VE"/>
        </w:rPr>
        <w:t>e las personas bajo su custodia</w:t>
      </w:r>
      <w:r w:rsidR="00874A9A">
        <w:rPr>
          <w:rFonts w:ascii="Cambria" w:hAnsi="Cambria"/>
          <w:color w:val="000000" w:themeColor="text1"/>
          <w:sz w:val="20"/>
          <w:szCs w:val="20"/>
          <w:lang w:val="es-VE"/>
        </w:rPr>
        <w:t xml:space="preserve">. </w:t>
      </w:r>
      <w:r w:rsidR="00D64E7C">
        <w:rPr>
          <w:rFonts w:ascii="Cambria" w:hAnsi="Cambria"/>
          <w:color w:val="000000" w:themeColor="text1"/>
          <w:sz w:val="20"/>
          <w:szCs w:val="20"/>
          <w:lang w:val="es-VE"/>
        </w:rPr>
        <w:t>Asimismo, resalt</w:t>
      </w:r>
      <w:r w:rsidR="00625D98">
        <w:rPr>
          <w:rFonts w:ascii="Cambria" w:hAnsi="Cambria"/>
          <w:color w:val="000000" w:themeColor="text1"/>
          <w:sz w:val="20"/>
          <w:szCs w:val="20"/>
          <w:lang w:val="es-VE"/>
        </w:rPr>
        <w:t>ó</w:t>
      </w:r>
      <w:r w:rsidR="00D64E7C">
        <w:rPr>
          <w:rFonts w:ascii="Cambria" w:hAnsi="Cambria"/>
          <w:color w:val="000000" w:themeColor="text1"/>
          <w:sz w:val="20"/>
          <w:szCs w:val="20"/>
          <w:lang w:val="es-VE"/>
        </w:rPr>
        <w:t xml:space="preserve"> </w:t>
      </w:r>
      <w:r w:rsidR="005944D9">
        <w:rPr>
          <w:rFonts w:ascii="Cambria" w:hAnsi="Cambria"/>
          <w:color w:val="000000" w:themeColor="text1"/>
          <w:sz w:val="20"/>
          <w:szCs w:val="20"/>
          <w:lang w:val="es-VE"/>
        </w:rPr>
        <w:t xml:space="preserve">la existencia de un </w:t>
      </w:r>
      <w:r w:rsidR="00D64E7C">
        <w:rPr>
          <w:rFonts w:ascii="Cambria" w:hAnsi="Cambria"/>
          <w:color w:val="000000" w:themeColor="text1"/>
          <w:sz w:val="20"/>
          <w:szCs w:val="20"/>
          <w:lang w:val="es-VE"/>
        </w:rPr>
        <w:t>contexto estructural y “la omisión de todos los funcionarios públicos de garantizar la seguridad necesaria en los sitios de reclusión para evitar que tantas muertes se produzcan en las cárceles del país”.</w:t>
      </w:r>
      <w:r w:rsidR="00A01312">
        <w:rPr>
          <w:rFonts w:ascii="Cambria" w:hAnsi="Cambria"/>
          <w:color w:val="000000" w:themeColor="text1"/>
          <w:sz w:val="20"/>
          <w:szCs w:val="20"/>
          <w:lang w:val="es-VE"/>
        </w:rPr>
        <w:t xml:space="preserve"> </w:t>
      </w:r>
      <w:r w:rsidR="006D4B13">
        <w:rPr>
          <w:rFonts w:ascii="Cambria" w:hAnsi="Cambria"/>
          <w:color w:val="000000" w:themeColor="text1"/>
          <w:sz w:val="20"/>
          <w:szCs w:val="20"/>
          <w:lang w:val="es-VE"/>
        </w:rPr>
        <w:t>A</w:t>
      </w:r>
      <w:r w:rsidR="00DB4E0C" w:rsidRPr="00F426D2">
        <w:rPr>
          <w:rFonts w:ascii="Cambria" w:hAnsi="Cambria"/>
          <w:color w:val="000000" w:themeColor="text1"/>
          <w:sz w:val="20"/>
          <w:szCs w:val="20"/>
          <w:lang w:val="es-VE"/>
        </w:rPr>
        <w:t>leg</w:t>
      </w:r>
      <w:r w:rsidR="00625D98" w:rsidRPr="00F426D2">
        <w:rPr>
          <w:rFonts w:ascii="Cambria" w:hAnsi="Cambria"/>
          <w:color w:val="000000" w:themeColor="text1"/>
          <w:sz w:val="20"/>
          <w:szCs w:val="20"/>
          <w:lang w:val="es-VE"/>
        </w:rPr>
        <w:t>ó</w:t>
      </w:r>
      <w:r w:rsidR="00DB4E0C" w:rsidRPr="00F426D2">
        <w:rPr>
          <w:rFonts w:ascii="Cambria" w:hAnsi="Cambria"/>
          <w:color w:val="000000" w:themeColor="text1"/>
          <w:sz w:val="20"/>
          <w:szCs w:val="20"/>
          <w:lang w:val="es-VE"/>
        </w:rPr>
        <w:t xml:space="preserve"> </w:t>
      </w:r>
      <w:r w:rsidR="00874A9A" w:rsidRPr="00F426D2">
        <w:rPr>
          <w:rFonts w:ascii="Cambria" w:hAnsi="Cambria"/>
          <w:color w:val="000000" w:themeColor="text1"/>
          <w:sz w:val="20"/>
          <w:szCs w:val="20"/>
          <w:lang w:val="es-VE"/>
        </w:rPr>
        <w:t>la</w:t>
      </w:r>
      <w:r w:rsidR="00874A9A">
        <w:rPr>
          <w:rFonts w:ascii="Cambria" w:hAnsi="Cambria"/>
          <w:color w:val="000000" w:themeColor="text1"/>
          <w:sz w:val="20"/>
          <w:szCs w:val="20"/>
          <w:lang w:val="es-VE"/>
        </w:rPr>
        <w:t xml:space="preserve"> violación del </w:t>
      </w:r>
      <w:r w:rsidR="00874A9A" w:rsidRPr="006D4B13">
        <w:rPr>
          <w:rFonts w:ascii="Cambria" w:hAnsi="Cambria"/>
          <w:b/>
          <w:color w:val="000000" w:themeColor="text1"/>
          <w:sz w:val="20"/>
          <w:szCs w:val="20"/>
          <w:lang w:val="es-VE"/>
        </w:rPr>
        <w:t>derecho a la integridad personal</w:t>
      </w:r>
      <w:r w:rsidR="00874A9A" w:rsidRPr="00874A9A">
        <w:rPr>
          <w:rFonts w:ascii="Cambria" w:hAnsi="Cambria"/>
          <w:color w:val="000000" w:themeColor="text1"/>
          <w:sz w:val="20"/>
          <w:szCs w:val="20"/>
          <w:lang w:val="es-VE"/>
        </w:rPr>
        <w:t xml:space="preserve"> </w:t>
      </w:r>
      <w:r w:rsidR="00874A9A">
        <w:rPr>
          <w:rFonts w:ascii="Cambria" w:hAnsi="Cambria"/>
          <w:color w:val="000000" w:themeColor="text1"/>
          <w:sz w:val="20"/>
          <w:szCs w:val="20"/>
          <w:lang w:val="es-VE"/>
        </w:rPr>
        <w:t xml:space="preserve">en perjuicio de </w:t>
      </w:r>
      <w:r w:rsidR="00B30163">
        <w:rPr>
          <w:rFonts w:ascii="Cambria" w:hAnsi="Cambria"/>
          <w:color w:val="000000" w:themeColor="text1"/>
          <w:sz w:val="20"/>
          <w:szCs w:val="20"/>
          <w:lang w:val="es-VE"/>
        </w:rPr>
        <w:t>lo</w:t>
      </w:r>
      <w:r w:rsidR="00D850CA">
        <w:rPr>
          <w:rFonts w:ascii="Cambria" w:hAnsi="Cambria"/>
          <w:color w:val="000000" w:themeColor="text1"/>
          <w:sz w:val="20"/>
          <w:szCs w:val="20"/>
          <w:lang w:val="es-VE"/>
        </w:rPr>
        <w:t>s siete fallecid</w:t>
      </w:r>
      <w:r w:rsidR="00B30163">
        <w:rPr>
          <w:rFonts w:ascii="Cambria" w:hAnsi="Cambria"/>
          <w:color w:val="000000" w:themeColor="text1"/>
          <w:sz w:val="20"/>
          <w:szCs w:val="20"/>
          <w:lang w:val="es-VE"/>
        </w:rPr>
        <w:t>o</w:t>
      </w:r>
      <w:r w:rsidR="00D850CA">
        <w:rPr>
          <w:rFonts w:ascii="Cambria" w:hAnsi="Cambria"/>
          <w:color w:val="000000" w:themeColor="text1"/>
          <w:sz w:val="20"/>
          <w:szCs w:val="20"/>
          <w:lang w:val="es-VE"/>
        </w:rPr>
        <w:t>s</w:t>
      </w:r>
      <w:r w:rsidR="00874A9A">
        <w:rPr>
          <w:rFonts w:ascii="Cambria" w:hAnsi="Cambria"/>
          <w:color w:val="000000" w:themeColor="text1"/>
          <w:sz w:val="20"/>
          <w:szCs w:val="20"/>
          <w:lang w:val="es-VE"/>
        </w:rPr>
        <w:t xml:space="preserve">, considerando que los efectivos de la </w:t>
      </w:r>
      <w:r w:rsidR="00DB4E0C">
        <w:rPr>
          <w:rFonts w:ascii="Cambria" w:hAnsi="Cambria"/>
          <w:color w:val="000000" w:themeColor="text1"/>
          <w:sz w:val="20"/>
          <w:szCs w:val="20"/>
          <w:lang w:val="es-VE"/>
        </w:rPr>
        <w:t>G</w:t>
      </w:r>
      <w:r w:rsidR="00F426D2">
        <w:rPr>
          <w:rFonts w:ascii="Cambria" w:hAnsi="Cambria"/>
          <w:color w:val="000000" w:themeColor="text1"/>
          <w:sz w:val="20"/>
          <w:szCs w:val="20"/>
          <w:lang w:val="es-VE"/>
        </w:rPr>
        <w:t xml:space="preserve">uardia </w:t>
      </w:r>
      <w:r w:rsidR="00DB4E0C">
        <w:rPr>
          <w:rFonts w:ascii="Cambria" w:hAnsi="Cambria"/>
          <w:color w:val="000000" w:themeColor="text1"/>
          <w:sz w:val="20"/>
          <w:szCs w:val="20"/>
          <w:lang w:val="es-VE"/>
        </w:rPr>
        <w:t>N</w:t>
      </w:r>
      <w:r w:rsidR="00F426D2">
        <w:rPr>
          <w:rFonts w:ascii="Cambria" w:hAnsi="Cambria"/>
          <w:color w:val="000000" w:themeColor="text1"/>
          <w:sz w:val="20"/>
          <w:szCs w:val="20"/>
          <w:lang w:val="es-VE"/>
        </w:rPr>
        <w:t>acional</w:t>
      </w:r>
      <w:r w:rsidR="00874A9A">
        <w:rPr>
          <w:rFonts w:ascii="Cambria" w:hAnsi="Cambria"/>
          <w:color w:val="000000" w:themeColor="text1"/>
          <w:sz w:val="20"/>
          <w:szCs w:val="20"/>
          <w:lang w:val="es-VE"/>
        </w:rPr>
        <w:t xml:space="preserve"> produjeron</w:t>
      </w:r>
      <w:r w:rsidR="00F426D2">
        <w:rPr>
          <w:rFonts w:ascii="Cambria" w:hAnsi="Cambria"/>
          <w:color w:val="000000" w:themeColor="text1"/>
          <w:sz w:val="20"/>
          <w:szCs w:val="20"/>
          <w:lang w:val="es-VE"/>
        </w:rPr>
        <w:t xml:space="preserve"> a</w:t>
      </w:r>
      <w:r w:rsidR="00874A9A">
        <w:rPr>
          <w:rFonts w:ascii="Cambria" w:hAnsi="Cambria"/>
          <w:color w:val="000000" w:themeColor="text1"/>
          <w:sz w:val="20"/>
          <w:szCs w:val="20"/>
          <w:lang w:val="es-VE"/>
        </w:rPr>
        <w:t xml:space="preserve"> las víctimas “sufrimientos físicos y psicológicos de distintos grados de graved</w:t>
      </w:r>
      <w:r w:rsidR="00E73F78">
        <w:rPr>
          <w:rFonts w:ascii="Cambria" w:hAnsi="Cambria"/>
          <w:color w:val="000000" w:themeColor="text1"/>
          <w:sz w:val="20"/>
          <w:szCs w:val="20"/>
          <w:lang w:val="es-VE"/>
        </w:rPr>
        <w:t>ad</w:t>
      </w:r>
      <w:r w:rsidR="008C5093">
        <w:rPr>
          <w:rFonts w:ascii="Cambria" w:hAnsi="Cambria"/>
          <w:color w:val="000000" w:themeColor="text1"/>
          <w:sz w:val="20"/>
          <w:szCs w:val="20"/>
          <w:lang w:val="es-VE"/>
        </w:rPr>
        <w:t xml:space="preserve"> […]</w:t>
      </w:r>
      <w:r w:rsidR="00874A9A" w:rsidRPr="008C5093">
        <w:rPr>
          <w:rFonts w:ascii="Cambria" w:hAnsi="Cambria"/>
          <w:sz w:val="20"/>
          <w:szCs w:val="20"/>
          <w:lang w:val="es-VE"/>
        </w:rPr>
        <w:t xml:space="preserve"> actos inhumanos y de tortura”</w:t>
      </w:r>
      <w:r w:rsidR="0056358F" w:rsidRPr="008C5093">
        <w:rPr>
          <w:rFonts w:ascii="Cambria" w:hAnsi="Cambria"/>
          <w:sz w:val="20"/>
          <w:szCs w:val="20"/>
          <w:lang w:val="es-VE"/>
        </w:rPr>
        <w:t>.</w:t>
      </w:r>
      <w:r w:rsidR="00D657D2">
        <w:rPr>
          <w:rFonts w:ascii="Cambria" w:hAnsi="Cambria"/>
          <w:sz w:val="20"/>
          <w:szCs w:val="20"/>
          <w:lang w:val="es-VE"/>
        </w:rPr>
        <w:t xml:space="preserve"> También a</w:t>
      </w:r>
      <w:r w:rsidR="00F91D10" w:rsidRPr="008C5093">
        <w:rPr>
          <w:rFonts w:ascii="Cambria" w:hAnsi="Cambria"/>
          <w:sz w:val="20"/>
          <w:szCs w:val="20"/>
          <w:lang w:val="es-VE"/>
        </w:rPr>
        <w:t xml:space="preserve">legó </w:t>
      </w:r>
      <w:r w:rsidR="001D09EE" w:rsidRPr="008C5093">
        <w:rPr>
          <w:rFonts w:ascii="Cambria" w:hAnsi="Cambria"/>
          <w:sz w:val="20"/>
          <w:szCs w:val="20"/>
          <w:lang w:val="es-VE"/>
        </w:rPr>
        <w:t xml:space="preserve">violaciones al </w:t>
      </w:r>
      <w:r w:rsidR="001D09EE" w:rsidRPr="00933CC6">
        <w:rPr>
          <w:rFonts w:ascii="Cambria" w:hAnsi="Cambria"/>
          <w:b/>
          <w:sz w:val="20"/>
          <w:szCs w:val="20"/>
          <w:lang w:val="es-VE"/>
        </w:rPr>
        <w:t>de</w:t>
      </w:r>
      <w:r w:rsidR="006D4B13" w:rsidRPr="00933CC6">
        <w:rPr>
          <w:rFonts w:ascii="Cambria" w:hAnsi="Cambria"/>
          <w:b/>
          <w:sz w:val="20"/>
          <w:szCs w:val="20"/>
          <w:lang w:val="es-VE"/>
        </w:rPr>
        <w:t>recho a la integridad personal</w:t>
      </w:r>
      <w:r w:rsidR="006D4B13" w:rsidRPr="008C5093">
        <w:rPr>
          <w:rFonts w:ascii="Cambria" w:hAnsi="Cambria"/>
          <w:sz w:val="20"/>
          <w:szCs w:val="20"/>
          <w:lang w:val="es-VE"/>
        </w:rPr>
        <w:t xml:space="preserve"> </w:t>
      </w:r>
      <w:r w:rsidR="001D09EE" w:rsidRPr="008C5093">
        <w:rPr>
          <w:rFonts w:ascii="Cambria" w:hAnsi="Cambria"/>
          <w:sz w:val="20"/>
          <w:szCs w:val="20"/>
          <w:lang w:val="es-VE"/>
        </w:rPr>
        <w:t>en perjuicio de los familiares cercanos</w:t>
      </w:r>
      <w:r w:rsidR="00933CC6">
        <w:rPr>
          <w:rFonts w:ascii="Cambria" w:hAnsi="Cambria"/>
          <w:sz w:val="20"/>
          <w:szCs w:val="20"/>
          <w:lang w:val="es-VE"/>
        </w:rPr>
        <w:t xml:space="preserve"> de los fallecidos</w:t>
      </w:r>
      <w:r w:rsidR="006D4B13" w:rsidRPr="008C5093">
        <w:rPr>
          <w:rFonts w:ascii="Cambria" w:hAnsi="Cambria"/>
          <w:sz w:val="20"/>
          <w:szCs w:val="20"/>
          <w:lang w:val="es-VE"/>
        </w:rPr>
        <w:t xml:space="preserve"> </w:t>
      </w:r>
      <w:r w:rsidR="00D27707">
        <w:rPr>
          <w:rFonts w:ascii="Cambria" w:hAnsi="Cambria"/>
          <w:sz w:val="20"/>
          <w:szCs w:val="20"/>
          <w:lang w:val="es-VE"/>
        </w:rPr>
        <w:t xml:space="preserve">por el </w:t>
      </w:r>
      <w:r w:rsidR="00D850CA" w:rsidRPr="008C5093">
        <w:rPr>
          <w:rFonts w:ascii="Cambria" w:hAnsi="Cambria"/>
          <w:sz w:val="20"/>
          <w:szCs w:val="20"/>
          <w:lang w:val="es-VE"/>
        </w:rPr>
        <w:t>sufrimiento a raíz d</w:t>
      </w:r>
      <w:r w:rsidR="006D4B13" w:rsidRPr="008C5093">
        <w:rPr>
          <w:rFonts w:ascii="Cambria" w:hAnsi="Cambria"/>
          <w:sz w:val="20"/>
          <w:szCs w:val="20"/>
          <w:lang w:val="es-VE"/>
        </w:rPr>
        <w:t>e la</w:t>
      </w:r>
      <w:r w:rsidR="00D657D2">
        <w:rPr>
          <w:rFonts w:ascii="Cambria" w:hAnsi="Cambria"/>
          <w:sz w:val="20"/>
          <w:szCs w:val="20"/>
          <w:lang w:val="es-VE"/>
        </w:rPr>
        <w:t>s muertes</w:t>
      </w:r>
      <w:r w:rsidR="006D4B13" w:rsidRPr="008C5093">
        <w:rPr>
          <w:rFonts w:ascii="Cambria" w:hAnsi="Cambria"/>
          <w:sz w:val="20"/>
          <w:szCs w:val="20"/>
          <w:lang w:val="es-VE"/>
        </w:rPr>
        <w:t xml:space="preserve"> </w:t>
      </w:r>
      <w:r w:rsidR="00933CC6">
        <w:rPr>
          <w:rFonts w:ascii="Cambria" w:hAnsi="Cambria"/>
          <w:sz w:val="20"/>
          <w:szCs w:val="20"/>
          <w:lang w:val="es-VE"/>
        </w:rPr>
        <w:t>así como por</w:t>
      </w:r>
      <w:r w:rsidR="00D850CA" w:rsidRPr="008C5093">
        <w:rPr>
          <w:rFonts w:ascii="Cambria" w:hAnsi="Cambria"/>
          <w:sz w:val="20"/>
          <w:szCs w:val="20"/>
          <w:lang w:val="es-VE"/>
        </w:rPr>
        <w:t xml:space="preserve"> el agravamiento de este sufrimiento debido a la </w:t>
      </w:r>
      <w:r w:rsidR="00FC4286" w:rsidRPr="008C5093">
        <w:rPr>
          <w:rFonts w:ascii="Cambria" w:hAnsi="Cambria"/>
          <w:sz w:val="20"/>
          <w:szCs w:val="20"/>
          <w:lang w:val="es-VE"/>
        </w:rPr>
        <w:t>demora</w:t>
      </w:r>
      <w:r w:rsidR="0018451D" w:rsidRPr="008C5093">
        <w:rPr>
          <w:rFonts w:ascii="Cambria" w:hAnsi="Cambria"/>
          <w:sz w:val="20"/>
          <w:szCs w:val="20"/>
          <w:lang w:val="es-VE"/>
        </w:rPr>
        <w:t xml:space="preserve"> </w:t>
      </w:r>
      <w:r w:rsidR="00D850CA" w:rsidRPr="008C5093">
        <w:rPr>
          <w:rFonts w:ascii="Cambria" w:hAnsi="Cambria"/>
          <w:sz w:val="20"/>
          <w:szCs w:val="20"/>
          <w:lang w:val="es-VE"/>
        </w:rPr>
        <w:t xml:space="preserve">de la justicia durante más de diez años. </w:t>
      </w:r>
    </w:p>
    <w:p w14:paraId="2D9028FD" w14:textId="58C6E99A" w:rsidR="001D09EE" w:rsidRPr="008C5093" w:rsidRDefault="001D09EE" w:rsidP="001939AC">
      <w:pPr>
        <w:pStyle w:val="ListParagraph"/>
        <w:tabs>
          <w:tab w:val="left" w:pos="3861"/>
        </w:tabs>
        <w:rPr>
          <w:color w:val="auto"/>
          <w:sz w:val="20"/>
          <w:szCs w:val="20"/>
          <w:lang w:val="es-VE"/>
        </w:rPr>
      </w:pPr>
    </w:p>
    <w:p w14:paraId="3439319B" w14:textId="50817B02" w:rsidR="001D09EE" w:rsidRPr="008C5093" w:rsidRDefault="006D4B13" w:rsidP="006271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C5093">
        <w:rPr>
          <w:rFonts w:ascii="Cambria" w:hAnsi="Cambria"/>
          <w:sz w:val="20"/>
          <w:szCs w:val="20"/>
          <w:lang w:val="es-VE"/>
        </w:rPr>
        <w:t>A</w:t>
      </w:r>
      <w:r w:rsidR="00DB4E0C" w:rsidRPr="008C5093">
        <w:rPr>
          <w:rFonts w:ascii="Cambria" w:hAnsi="Cambria"/>
          <w:sz w:val="20"/>
          <w:szCs w:val="20"/>
          <w:lang w:val="es-VE"/>
        </w:rPr>
        <w:t>leg</w:t>
      </w:r>
      <w:r w:rsidR="008C18C1" w:rsidRPr="008C5093">
        <w:rPr>
          <w:rFonts w:ascii="Cambria" w:hAnsi="Cambria"/>
          <w:sz w:val="20"/>
          <w:szCs w:val="20"/>
          <w:lang w:val="es-VE"/>
        </w:rPr>
        <w:t>ó</w:t>
      </w:r>
      <w:r w:rsidR="000563AB" w:rsidRPr="008C5093">
        <w:rPr>
          <w:rFonts w:ascii="Cambria" w:hAnsi="Cambria"/>
          <w:sz w:val="20"/>
          <w:szCs w:val="20"/>
          <w:lang w:val="es-VE"/>
        </w:rPr>
        <w:t xml:space="preserve"> que </w:t>
      </w:r>
      <w:r w:rsidR="00B30163" w:rsidRPr="008C5093">
        <w:rPr>
          <w:rFonts w:ascii="Cambria" w:hAnsi="Cambria"/>
          <w:sz w:val="20"/>
          <w:szCs w:val="20"/>
          <w:lang w:val="es-VE"/>
        </w:rPr>
        <w:t xml:space="preserve">se inició la investigación de los hechos </w:t>
      </w:r>
      <w:r w:rsidR="000563AB" w:rsidRPr="008C5093">
        <w:rPr>
          <w:rFonts w:ascii="Cambria" w:hAnsi="Cambria"/>
          <w:sz w:val="20"/>
          <w:szCs w:val="20"/>
          <w:lang w:val="es-VE"/>
        </w:rPr>
        <w:t>el mismo 10 de noviembre de 2003</w:t>
      </w:r>
      <w:r w:rsidR="00D27707">
        <w:rPr>
          <w:rFonts w:ascii="Cambria" w:hAnsi="Cambria"/>
          <w:sz w:val="20"/>
          <w:szCs w:val="20"/>
          <w:lang w:val="es-VE"/>
        </w:rPr>
        <w:t xml:space="preserve">, pero </w:t>
      </w:r>
      <w:r w:rsidR="00A422AA" w:rsidRPr="008C5093">
        <w:rPr>
          <w:rFonts w:ascii="Cambria" w:hAnsi="Cambria"/>
          <w:sz w:val="20"/>
          <w:szCs w:val="20"/>
          <w:lang w:val="es-VE"/>
        </w:rPr>
        <w:t xml:space="preserve">la audiencia preliminar se llevó a cabo </w:t>
      </w:r>
      <w:r w:rsidR="004868C9" w:rsidRPr="008C5093">
        <w:rPr>
          <w:rFonts w:ascii="Cambria" w:hAnsi="Cambria"/>
          <w:sz w:val="20"/>
          <w:szCs w:val="20"/>
          <w:lang w:val="es-VE"/>
        </w:rPr>
        <w:t xml:space="preserve">hasta </w:t>
      </w:r>
      <w:r w:rsidR="00A422AA" w:rsidRPr="008C5093">
        <w:rPr>
          <w:rFonts w:ascii="Cambria" w:hAnsi="Cambria"/>
          <w:sz w:val="20"/>
          <w:szCs w:val="20"/>
          <w:lang w:val="es-VE"/>
        </w:rPr>
        <w:t xml:space="preserve">el 3 de junio de 2014. </w:t>
      </w:r>
      <w:r w:rsidR="00933CC6">
        <w:rPr>
          <w:rFonts w:asciiTheme="majorHAnsi" w:hAnsiTheme="majorHAnsi"/>
          <w:sz w:val="20"/>
          <w:szCs w:val="20"/>
          <w:lang w:val="es-VE"/>
        </w:rPr>
        <w:t>In</w:t>
      </w:r>
      <w:r w:rsidR="00933CC6" w:rsidRPr="00933CC6">
        <w:rPr>
          <w:rFonts w:asciiTheme="majorHAnsi" w:hAnsiTheme="majorHAnsi"/>
          <w:sz w:val="20"/>
          <w:szCs w:val="20"/>
          <w:lang w:val="es-VE"/>
        </w:rPr>
        <w:t>dicó</w:t>
      </w:r>
      <w:r w:rsidR="00DB4E0C" w:rsidRPr="008C5093">
        <w:rPr>
          <w:rFonts w:ascii="Cambria" w:hAnsi="Cambria"/>
          <w:sz w:val="20"/>
          <w:szCs w:val="20"/>
          <w:lang w:val="es-VE"/>
        </w:rPr>
        <w:t xml:space="preserve"> que hasta marzo de 2015, </w:t>
      </w:r>
      <w:r w:rsidR="00F25285" w:rsidRPr="008C5093">
        <w:rPr>
          <w:rFonts w:ascii="Cambria" w:hAnsi="Cambria"/>
          <w:sz w:val="20"/>
          <w:szCs w:val="20"/>
          <w:lang w:val="es-VE"/>
        </w:rPr>
        <w:t>aún</w:t>
      </w:r>
      <w:r w:rsidR="00DB4E0C" w:rsidRPr="008C5093">
        <w:rPr>
          <w:rFonts w:ascii="Cambria" w:hAnsi="Cambria"/>
          <w:sz w:val="20"/>
          <w:szCs w:val="20"/>
          <w:lang w:val="es-VE"/>
        </w:rPr>
        <w:t xml:space="preserve"> no se había celebrado la audiencia de juicio a las personas imputadas. </w:t>
      </w:r>
      <w:r w:rsidR="00D850CA" w:rsidRPr="008C5093">
        <w:rPr>
          <w:rFonts w:ascii="Cambria" w:hAnsi="Cambria"/>
          <w:sz w:val="20"/>
          <w:szCs w:val="20"/>
          <w:lang w:val="es-VE"/>
        </w:rPr>
        <w:t>A raíz de lo anterior,</w:t>
      </w:r>
      <w:r w:rsidR="0056358F" w:rsidRPr="008C5093">
        <w:rPr>
          <w:rFonts w:ascii="Cambria" w:hAnsi="Cambria"/>
          <w:sz w:val="20"/>
          <w:szCs w:val="20"/>
          <w:lang w:val="es-VE"/>
        </w:rPr>
        <w:t xml:space="preserve"> </w:t>
      </w:r>
      <w:r w:rsidR="00F91D10" w:rsidRPr="008C5093">
        <w:rPr>
          <w:rFonts w:ascii="Cambria" w:hAnsi="Cambria"/>
          <w:sz w:val="20"/>
          <w:szCs w:val="20"/>
          <w:lang w:val="es-VE"/>
        </w:rPr>
        <w:t xml:space="preserve">alegó </w:t>
      </w:r>
      <w:r w:rsidR="00D64E7C" w:rsidRPr="008C5093">
        <w:rPr>
          <w:rFonts w:ascii="Cambria" w:hAnsi="Cambria"/>
          <w:sz w:val="20"/>
          <w:szCs w:val="20"/>
          <w:lang w:val="es-VE"/>
        </w:rPr>
        <w:t xml:space="preserve">la violación del </w:t>
      </w:r>
      <w:r w:rsidR="00D64E7C" w:rsidRPr="008C5093">
        <w:rPr>
          <w:rFonts w:ascii="Cambria" w:hAnsi="Cambria"/>
          <w:b/>
          <w:sz w:val="20"/>
          <w:szCs w:val="20"/>
          <w:lang w:val="es-VE"/>
        </w:rPr>
        <w:t xml:space="preserve">derecho </w:t>
      </w:r>
      <w:r w:rsidR="00866B39" w:rsidRPr="008C5093">
        <w:rPr>
          <w:rFonts w:ascii="Cambria" w:hAnsi="Cambria"/>
          <w:b/>
          <w:sz w:val="20"/>
          <w:szCs w:val="20"/>
          <w:lang w:val="es-VE"/>
        </w:rPr>
        <w:t>a</w:t>
      </w:r>
      <w:r w:rsidR="00C47EB7" w:rsidRPr="008C5093">
        <w:rPr>
          <w:rFonts w:ascii="Cambria" w:hAnsi="Cambria"/>
          <w:b/>
          <w:sz w:val="20"/>
          <w:szCs w:val="20"/>
          <w:lang w:val="es-VE"/>
        </w:rPr>
        <w:t xml:space="preserve"> las garantías judiciales</w:t>
      </w:r>
      <w:r w:rsidR="00866B39" w:rsidRPr="008C5093">
        <w:rPr>
          <w:rFonts w:ascii="Cambria" w:hAnsi="Cambria"/>
          <w:b/>
          <w:sz w:val="20"/>
          <w:szCs w:val="20"/>
          <w:lang w:val="es-VE"/>
        </w:rPr>
        <w:t xml:space="preserve"> y a </w:t>
      </w:r>
      <w:r w:rsidR="00D64E7C" w:rsidRPr="008C5093">
        <w:rPr>
          <w:rFonts w:ascii="Cambria" w:hAnsi="Cambria"/>
          <w:b/>
          <w:sz w:val="20"/>
          <w:szCs w:val="20"/>
          <w:lang w:val="es-VE"/>
        </w:rPr>
        <w:t>la protección judicial</w:t>
      </w:r>
      <w:r w:rsidR="00991216" w:rsidRPr="008C5093">
        <w:rPr>
          <w:rFonts w:ascii="Cambria" w:hAnsi="Cambria"/>
          <w:sz w:val="20"/>
          <w:szCs w:val="20"/>
          <w:lang w:val="es-VE"/>
        </w:rPr>
        <w:t xml:space="preserve">, por incumplimiento del deber de </w:t>
      </w:r>
      <w:r w:rsidR="00042F1A" w:rsidRPr="008C5093">
        <w:rPr>
          <w:rFonts w:ascii="Cambria" w:hAnsi="Cambria"/>
          <w:sz w:val="20"/>
          <w:szCs w:val="20"/>
          <w:lang w:val="es-VE"/>
        </w:rPr>
        <w:t>debida diligencia</w:t>
      </w:r>
      <w:r w:rsidR="00991216" w:rsidRPr="008C5093">
        <w:rPr>
          <w:rFonts w:ascii="Cambria" w:hAnsi="Cambria"/>
          <w:sz w:val="20"/>
          <w:szCs w:val="20"/>
          <w:lang w:val="es-VE"/>
        </w:rPr>
        <w:t xml:space="preserve">, de oficiosidad y la garantía de plazo razonable. </w:t>
      </w:r>
      <w:r w:rsidR="008E2FA8" w:rsidRPr="008C5093">
        <w:rPr>
          <w:rFonts w:ascii="Cambria" w:hAnsi="Cambria"/>
          <w:sz w:val="20"/>
          <w:szCs w:val="20"/>
          <w:lang w:val="es-VE"/>
        </w:rPr>
        <w:t>Asimismo, aleg</w:t>
      </w:r>
      <w:r w:rsidR="008C18C1" w:rsidRPr="008C5093">
        <w:rPr>
          <w:rFonts w:ascii="Cambria" w:hAnsi="Cambria"/>
          <w:sz w:val="20"/>
          <w:szCs w:val="20"/>
          <w:lang w:val="es-VE"/>
        </w:rPr>
        <w:t>ó</w:t>
      </w:r>
      <w:r w:rsidR="008E2FA8" w:rsidRPr="008C5093">
        <w:rPr>
          <w:rFonts w:ascii="Cambria" w:hAnsi="Cambria"/>
          <w:sz w:val="20"/>
          <w:szCs w:val="20"/>
          <w:lang w:val="es-VE"/>
        </w:rPr>
        <w:t xml:space="preserve"> la falta de independencia de los funcionarios del Ministerio Público y Poder Judicial que han conocido la causa, así como la intervención del Ejecutivo en el Poder Judicial.</w:t>
      </w:r>
    </w:p>
    <w:p w14:paraId="1130C73A" w14:textId="77777777" w:rsidR="00361415" w:rsidRPr="008C5093" w:rsidRDefault="00361415" w:rsidP="00361415">
      <w:pPr>
        <w:suppressAutoHyphens/>
        <w:rPr>
          <w:rFonts w:asciiTheme="majorHAnsi" w:hAnsiTheme="majorHAnsi"/>
          <w:sz w:val="20"/>
          <w:szCs w:val="20"/>
          <w:lang w:val="es-VE"/>
        </w:rPr>
      </w:pPr>
    </w:p>
    <w:p w14:paraId="1757B8BA" w14:textId="77B1394A" w:rsidR="00D12193" w:rsidRPr="004F5025" w:rsidRDefault="0094652F" w:rsidP="004F5025">
      <w:pPr>
        <w:pStyle w:val="Heading2"/>
      </w:pPr>
      <w:bookmarkStart w:id="5" w:name="_Toc527708403"/>
      <w:r>
        <w:t>Estado</w:t>
      </w:r>
      <w:bookmarkEnd w:id="5"/>
    </w:p>
    <w:p w14:paraId="1B567FB1" w14:textId="77777777" w:rsidR="007C756A" w:rsidRPr="0062719A" w:rsidRDefault="007C756A" w:rsidP="00CC63CF">
      <w:pPr>
        <w:suppressAutoHyphens/>
        <w:rPr>
          <w:rFonts w:asciiTheme="majorHAnsi" w:hAnsiTheme="majorHAnsi"/>
          <w:sz w:val="20"/>
          <w:szCs w:val="20"/>
          <w:lang w:val="es-ES_tradnl"/>
        </w:rPr>
      </w:pPr>
    </w:p>
    <w:p w14:paraId="4B0EA2FB" w14:textId="13580E09" w:rsidR="001C0212" w:rsidRPr="008C5093" w:rsidRDefault="001C0212" w:rsidP="006355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795760">
        <w:rPr>
          <w:rFonts w:ascii="Cambria" w:hAnsi="Cambria"/>
          <w:sz w:val="20"/>
          <w:szCs w:val="20"/>
          <w:lang w:val="es-CR"/>
        </w:rPr>
        <w:t>El Estado</w:t>
      </w:r>
      <w:r w:rsidRPr="008C5093">
        <w:rPr>
          <w:rFonts w:ascii="Cambria" w:hAnsi="Cambria"/>
          <w:sz w:val="20"/>
          <w:szCs w:val="20"/>
          <w:lang w:val="es-CR"/>
        </w:rPr>
        <w:t xml:space="preserve"> presentó alegatos relativos a la admisibilidad de la petición, concretamente sobre la falta de agotamiento de recursos internos, los cuales no serán referidos, en tanto dichos aspectos ya fueron decididos por la Comisión en su Informe de Admisibilidad No. 14/11.</w:t>
      </w:r>
    </w:p>
    <w:p w14:paraId="0B8F4BB5" w14:textId="77777777" w:rsidR="001C0212" w:rsidRPr="008C5093" w:rsidRDefault="001C0212" w:rsidP="00B3016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606D6966" w14:textId="2644C722" w:rsidR="00635503" w:rsidRPr="008C5093" w:rsidRDefault="004868C9" w:rsidP="002839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left="0" w:firstLine="630"/>
        <w:jc w:val="both"/>
        <w:rPr>
          <w:rFonts w:ascii="Cambria" w:hAnsi="Cambria"/>
          <w:sz w:val="20"/>
          <w:szCs w:val="20"/>
          <w:lang w:val="es-VE"/>
        </w:rPr>
      </w:pPr>
      <w:r w:rsidRPr="008C5093">
        <w:rPr>
          <w:rFonts w:ascii="Cambria" w:hAnsi="Cambria"/>
          <w:sz w:val="20"/>
          <w:szCs w:val="20"/>
          <w:lang w:val="es-VE"/>
        </w:rPr>
        <w:t>A</w:t>
      </w:r>
      <w:r w:rsidR="003C72BB" w:rsidRPr="008C5093">
        <w:rPr>
          <w:rFonts w:ascii="Cambria" w:hAnsi="Cambria"/>
          <w:sz w:val="20"/>
          <w:szCs w:val="20"/>
          <w:lang w:val="es-VE"/>
        </w:rPr>
        <w:t>leg</w:t>
      </w:r>
      <w:r w:rsidR="0029678A" w:rsidRPr="008C5093">
        <w:rPr>
          <w:rFonts w:ascii="Cambria" w:hAnsi="Cambria"/>
          <w:sz w:val="20"/>
          <w:szCs w:val="20"/>
          <w:lang w:val="es-VE"/>
        </w:rPr>
        <w:t>ó</w:t>
      </w:r>
      <w:r w:rsidR="003C72BB" w:rsidRPr="008C5093">
        <w:rPr>
          <w:rFonts w:ascii="Cambria" w:hAnsi="Cambria"/>
          <w:sz w:val="20"/>
          <w:szCs w:val="20"/>
          <w:lang w:val="es-VE"/>
        </w:rPr>
        <w:t xml:space="preserve"> que </w:t>
      </w:r>
      <w:r w:rsidR="0029678A" w:rsidRPr="008C5093">
        <w:rPr>
          <w:rFonts w:ascii="Cambria" w:hAnsi="Cambria"/>
          <w:sz w:val="20"/>
          <w:szCs w:val="20"/>
          <w:lang w:val="es-VE"/>
        </w:rPr>
        <w:t>el</w:t>
      </w:r>
      <w:r w:rsidR="003C72BB" w:rsidRPr="008C5093">
        <w:rPr>
          <w:rFonts w:ascii="Cambria" w:hAnsi="Cambria"/>
          <w:sz w:val="20"/>
          <w:szCs w:val="20"/>
          <w:lang w:val="es-VE"/>
        </w:rPr>
        <w:t xml:space="preserve"> 10 de noviembre de 2003</w:t>
      </w:r>
      <w:r w:rsidR="0029678A" w:rsidRPr="008C5093">
        <w:rPr>
          <w:rFonts w:ascii="Cambria" w:hAnsi="Cambria"/>
          <w:sz w:val="20"/>
          <w:szCs w:val="20"/>
          <w:lang w:val="es-VE"/>
        </w:rPr>
        <w:t>, el Internado Judicial de Vista Hermosa se encontraba intervenido por una junta evaluadora a fin de solucionar los problemas del penal;</w:t>
      </w:r>
      <w:r w:rsidR="005A418B" w:rsidRPr="008C5093">
        <w:rPr>
          <w:rFonts w:ascii="Cambria" w:hAnsi="Cambria"/>
          <w:sz w:val="20"/>
          <w:szCs w:val="20"/>
          <w:lang w:val="es-VE"/>
        </w:rPr>
        <w:t xml:space="preserve"> y que </w:t>
      </w:r>
      <w:r w:rsidR="0029678A" w:rsidRPr="008C5093">
        <w:rPr>
          <w:rFonts w:ascii="Cambria" w:hAnsi="Cambria"/>
          <w:sz w:val="20"/>
          <w:szCs w:val="20"/>
          <w:lang w:val="es-VE"/>
        </w:rPr>
        <w:t>entre las 7:00 y 7:30</w:t>
      </w:r>
      <w:r w:rsidR="00D7792B">
        <w:rPr>
          <w:rFonts w:ascii="Cambria" w:hAnsi="Cambria"/>
          <w:sz w:val="20"/>
          <w:szCs w:val="20"/>
          <w:lang w:val="es-VE"/>
        </w:rPr>
        <w:t xml:space="preserve"> </w:t>
      </w:r>
      <w:r w:rsidR="0029678A" w:rsidRPr="008C5093">
        <w:rPr>
          <w:rFonts w:ascii="Cambria" w:hAnsi="Cambria"/>
          <w:sz w:val="20"/>
          <w:szCs w:val="20"/>
          <w:lang w:val="es-VE"/>
        </w:rPr>
        <w:t>am</w:t>
      </w:r>
      <w:r w:rsidR="003C72BB" w:rsidRPr="008C5093">
        <w:rPr>
          <w:rFonts w:ascii="Cambria" w:hAnsi="Cambria"/>
          <w:sz w:val="20"/>
          <w:szCs w:val="20"/>
          <w:lang w:val="es-VE"/>
        </w:rPr>
        <w:t xml:space="preserve">, Alfredo Veloz, el Director Interventor </w:t>
      </w:r>
      <w:r w:rsidR="008C5093">
        <w:rPr>
          <w:rFonts w:ascii="Cambria" w:hAnsi="Cambria"/>
          <w:sz w:val="20"/>
          <w:szCs w:val="20"/>
          <w:lang w:val="es-VE"/>
        </w:rPr>
        <w:t>de la cárcel</w:t>
      </w:r>
      <w:r w:rsidR="0029678A" w:rsidRPr="008C5093">
        <w:rPr>
          <w:rFonts w:ascii="Cambria" w:hAnsi="Cambria"/>
          <w:sz w:val="20"/>
          <w:szCs w:val="20"/>
          <w:lang w:val="es-VE"/>
        </w:rPr>
        <w:t>,</w:t>
      </w:r>
      <w:r w:rsidR="003C72BB" w:rsidRPr="008C5093">
        <w:rPr>
          <w:rFonts w:ascii="Cambria" w:hAnsi="Cambria"/>
          <w:sz w:val="20"/>
          <w:szCs w:val="20"/>
          <w:lang w:val="es-VE"/>
        </w:rPr>
        <w:t xml:space="preserve"> se encontraba entrevistando </w:t>
      </w:r>
      <w:r w:rsidR="00D27707">
        <w:rPr>
          <w:rFonts w:ascii="Cambria" w:hAnsi="Cambria"/>
          <w:sz w:val="20"/>
          <w:szCs w:val="20"/>
          <w:lang w:val="es-VE"/>
        </w:rPr>
        <w:t>a un</w:t>
      </w:r>
      <w:r w:rsidR="003C72BB" w:rsidRPr="008C5093">
        <w:rPr>
          <w:rFonts w:ascii="Cambria" w:hAnsi="Cambria"/>
          <w:sz w:val="20"/>
          <w:szCs w:val="20"/>
          <w:lang w:val="es-VE"/>
        </w:rPr>
        <w:t xml:space="preserve"> interno, cuando se escuchó un disparo de proyectiles múltiples (perdigones), dirigido hacia</w:t>
      </w:r>
      <w:r w:rsidR="00A51260" w:rsidRPr="008C5093">
        <w:rPr>
          <w:rFonts w:ascii="Cambria" w:hAnsi="Cambria"/>
          <w:sz w:val="20"/>
          <w:szCs w:val="20"/>
          <w:lang w:val="es-VE"/>
        </w:rPr>
        <w:t xml:space="preserve"> </w:t>
      </w:r>
      <w:r w:rsidR="00933CC6">
        <w:rPr>
          <w:rFonts w:ascii="Cambria" w:hAnsi="Cambria"/>
          <w:sz w:val="20"/>
          <w:szCs w:val="20"/>
          <w:lang w:val="es-VE"/>
        </w:rPr>
        <w:t>el</w:t>
      </w:r>
      <w:r w:rsidR="00A51260" w:rsidRPr="008C5093">
        <w:rPr>
          <w:rFonts w:ascii="Cambria" w:hAnsi="Cambria"/>
          <w:sz w:val="20"/>
          <w:szCs w:val="20"/>
          <w:lang w:val="es-VE"/>
        </w:rPr>
        <w:t xml:space="preserve"> interno.</w:t>
      </w:r>
      <w:r w:rsidR="003C72BB" w:rsidRPr="008C5093">
        <w:rPr>
          <w:rFonts w:ascii="Cambria" w:hAnsi="Cambria"/>
          <w:sz w:val="20"/>
          <w:szCs w:val="20"/>
          <w:lang w:val="es-VE"/>
        </w:rPr>
        <w:t xml:space="preserve"> </w:t>
      </w:r>
      <w:r w:rsidR="001F01C4" w:rsidRPr="008C5093">
        <w:rPr>
          <w:rFonts w:ascii="Cambria" w:hAnsi="Cambria"/>
          <w:sz w:val="20"/>
          <w:szCs w:val="20"/>
          <w:lang w:val="es-VE"/>
        </w:rPr>
        <w:t>Señaló que r</w:t>
      </w:r>
      <w:r w:rsidR="003C72BB" w:rsidRPr="008C5093">
        <w:rPr>
          <w:rFonts w:ascii="Cambria" w:hAnsi="Cambria"/>
          <w:sz w:val="20"/>
          <w:szCs w:val="20"/>
          <w:lang w:val="es-VE"/>
        </w:rPr>
        <w:t xml:space="preserve">esultaron heridos </w:t>
      </w:r>
      <w:r w:rsidR="00635503" w:rsidRPr="008C5093">
        <w:rPr>
          <w:rFonts w:ascii="Cambria" w:hAnsi="Cambria"/>
          <w:sz w:val="20"/>
          <w:szCs w:val="20"/>
          <w:lang w:val="es-VE"/>
        </w:rPr>
        <w:t xml:space="preserve">el Director </w:t>
      </w:r>
      <w:r w:rsidR="003C72BB" w:rsidRPr="008C5093">
        <w:rPr>
          <w:rFonts w:ascii="Cambria" w:hAnsi="Cambria"/>
          <w:sz w:val="20"/>
          <w:szCs w:val="20"/>
          <w:lang w:val="es-VE"/>
        </w:rPr>
        <w:t xml:space="preserve">así </w:t>
      </w:r>
      <w:r w:rsidR="00635503" w:rsidRPr="008C5093">
        <w:rPr>
          <w:rFonts w:ascii="Cambria" w:hAnsi="Cambria"/>
          <w:sz w:val="20"/>
          <w:szCs w:val="20"/>
          <w:lang w:val="es-VE"/>
        </w:rPr>
        <w:t>como dos vigilantes de custodia</w:t>
      </w:r>
      <w:r w:rsidR="003C72BB" w:rsidRPr="008C5093">
        <w:rPr>
          <w:rFonts w:ascii="Cambria" w:hAnsi="Cambria"/>
          <w:sz w:val="20"/>
          <w:szCs w:val="20"/>
          <w:lang w:val="es-VE"/>
        </w:rPr>
        <w:t xml:space="preserve">. </w:t>
      </w:r>
      <w:r w:rsidR="00FD1363" w:rsidRPr="008C5093">
        <w:rPr>
          <w:rFonts w:ascii="Cambria" w:hAnsi="Cambria"/>
          <w:sz w:val="20"/>
          <w:szCs w:val="20"/>
          <w:lang w:val="es-VE"/>
        </w:rPr>
        <w:t xml:space="preserve">Agregó que a </w:t>
      </w:r>
      <w:r w:rsidR="003C72BB" w:rsidRPr="008C5093">
        <w:rPr>
          <w:rFonts w:ascii="Cambria" w:hAnsi="Cambria"/>
          <w:sz w:val="20"/>
          <w:szCs w:val="20"/>
          <w:lang w:val="es-VE"/>
        </w:rPr>
        <w:t>raíz de est</w:t>
      </w:r>
      <w:r w:rsidR="00635503" w:rsidRPr="008C5093">
        <w:rPr>
          <w:rFonts w:ascii="Cambria" w:hAnsi="Cambria"/>
          <w:sz w:val="20"/>
          <w:szCs w:val="20"/>
          <w:lang w:val="es-VE"/>
        </w:rPr>
        <w:t>o</w:t>
      </w:r>
      <w:r w:rsidR="003C72BB" w:rsidRPr="008C5093">
        <w:rPr>
          <w:rFonts w:ascii="Cambria" w:hAnsi="Cambria"/>
          <w:sz w:val="20"/>
          <w:szCs w:val="20"/>
          <w:lang w:val="es-VE"/>
        </w:rPr>
        <w:t xml:space="preserve"> y de otras detonaciones posteriores, </w:t>
      </w:r>
      <w:r w:rsidR="0029678A" w:rsidRPr="008C5093">
        <w:rPr>
          <w:rFonts w:ascii="Cambria" w:hAnsi="Cambria"/>
          <w:sz w:val="20"/>
          <w:szCs w:val="20"/>
          <w:lang w:val="es-VE"/>
        </w:rPr>
        <w:t xml:space="preserve">el Director solicitó expresamente el ingreso </w:t>
      </w:r>
      <w:r w:rsidR="00635503" w:rsidRPr="008C5093">
        <w:rPr>
          <w:rFonts w:ascii="Cambria" w:hAnsi="Cambria"/>
          <w:sz w:val="20"/>
          <w:szCs w:val="20"/>
          <w:lang w:val="es-VE"/>
        </w:rPr>
        <w:t>de la Guardia Nacional</w:t>
      </w:r>
      <w:r w:rsidR="00933CC6">
        <w:rPr>
          <w:rFonts w:ascii="Cambria" w:hAnsi="Cambria"/>
          <w:sz w:val="20"/>
          <w:szCs w:val="20"/>
          <w:lang w:val="es-VE"/>
        </w:rPr>
        <w:t xml:space="preserve"> al penal</w:t>
      </w:r>
      <w:r w:rsidR="00635503" w:rsidRPr="008C5093">
        <w:rPr>
          <w:rFonts w:ascii="Cambria" w:hAnsi="Cambria"/>
          <w:sz w:val="20"/>
          <w:szCs w:val="20"/>
          <w:lang w:val="es-VE"/>
        </w:rPr>
        <w:t xml:space="preserve">, </w:t>
      </w:r>
      <w:r w:rsidR="00933CC6">
        <w:rPr>
          <w:rFonts w:ascii="Cambria" w:hAnsi="Cambria"/>
          <w:sz w:val="20"/>
          <w:szCs w:val="20"/>
          <w:lang w:val="es-VE"/>
        </w:rPr>
        <w:t>“</w:t>
      </w:r>
      <w:r w:rsidR="00635503" w:rsidRPr="008C5093">
        <w:rPr>
          <w:rFonts w:ascii="Cambria" w:hAnsi="Cambria"/>
          <w:sz w:val="20"/>
          <w:szCs w:val="20"/>
          <w:lang w:val="es-VE"/>
        </w:rPr>
        <w:t xml:space="preserve">con la intención de </w:t>
      </w:r>
      <w:r w:rsidR="00635503" w:rsidRPr="008C5093">
        <w:rPr>
          <w:rFonts w:ascii="Cambria" w:hAnsi="Cambria"/>
          <w:sz w:val="20"/>
          <w:szCs w:val="20"/>
          <w:lang w:val="es-VE"/>
        </w:rPr>
        <w:lastRenderedPageBreak/>
        <w:t>controlar un presunto motín, que se estaba produciendo, y como resultado de este procedimiento</w:t>
      </w:r>
      <w:r w:rsidR="00B30163" w:rsidRPr="008C5093">
        <w:rPr>
          <w:rFonts w:ascii="Cambria" w:hAnsi="Cambria"/>
          <w:sz w:val="20"/>
          <w:szCs w:val="20"/>
          <w:lang w:val="es-VE"/>
        </w:rPr>
        <w:t xml:space="preserve"> </w:t>
      </w:r>
      <w:r w:rsidRPr="008C5093">
        <w:rPr>
          <w:rFonts w:ascii="Cambria" w:hAnsi="Cambria"/>
          <w:sz w:val="20"/>
          <w:szCs w:val="20"/>
          <w:lang w:val="es-VE"/>
        </w:rPr>
        <w:t>[</w:t>
      </w:r>
      <w:r w:rsidR="00B30163" w:rsidRPr="008C5093">
        <w:rPr>
          <w:rFonts w:ascii="Cambria" w:hAnsi="Cambria"/>
          <w:sz w:val="20"/>
          <w:szCs w:val="20"/>
          <w:lang w:val="es-VE"/>
        </w:rPr>
        <w:t>se produjo</w:t>
      </w:r>
      <w:r w:rsidRPr="008C5093">
        <w:rPr>
          <w:rFonts w:ascii="Cambria" w:hAnsi="Cambria"/>
          <w:sz w:val="20"/>
          <w:szCs w:val="20"/>
          <w:lang w:val="es-VE"/>
        </w:rPr>
        <w:t>]</w:t>
      </w:r>
      <w:r w:rsidR="00635503" w:rsidRPr="008C5093">
        <w:rPr>
          <w:rFonts w:ascii="Cambria" w:hAnsi="Cambria"/>
          <w:sz w:val="20"/>
          <w:szCs w:val="20"/>
          <w:lang w:val="es-VE"/>
        </w:rPr>
        <w:t xml:space="preserve"> la muerte [de las presuntas víctimas</w:t>
      </w:r>
      <w:r w:rsidR="00E13A8A">
        <w:rPr>
          <w:rFonts w:ascii="Cambria" w:hAnsi="Cambria"/>
          <w:sz w:val="20"/>
          <w:szCs w:val="20"/>
          <w:lang w:val="es-VE"/>
        </w:rPr>
        <w:t xml:space="preserve"> fallecidas</w:t>
      </w:r>
      <w:r w:rsidR="00635503" w:rsidRPr="008C5093">
        <w:rPr>
          <w:rFonts w:ascii="Cambria" w:hAnsi="Cambria"/>
          <w:sz w:val="20"/>
          <w:szCs w:val="20"/>
          <w:lang w:val="es-VE"/>
        </w:rPr>
        <w:t>] y aproximadamente 27 internos lesionados”</w:t>
      </w:r>
      <w:r w:rsidR="0029678A" w:rsidRPr="008C5093">
        <w:rPr>
          <w:rFonts w:ascii="Cambria" w:hAnsi="Cambria"/>
          <w:sz w:val="20"/>
          <w:szCs w:val="20"/>
          <w:lang w:val="es-US"/>
        </w:rPr>
        <w:t>.</w:t>
      </w:r>
    </w:p>
    <w:p w14:paraId="60716A2C" w14:textId="77777777" w:rsidR="00E20073" w:rsidRPr="008C5093" w:rsidRDefault="00E20073" w:rsidP="00E200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VE"/>
        </w:rPr>
      </w:pPr>
    </w:p>
    <w:p w14:paraId="7A0302BB" w14:textId="386792D7" w:rsidR="00635503" w:rsidRPr="008C5093" w:rsidRDefault="004868C9" w:rsidP="006355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C5093">
        <w:rPr>
          <w:rFonts w:ascii="Cambria" w:hAnsi="Cambria"/>
          <w:sz w:val="20"/>
          <w:szCs w:val="20"/>
          <w:lang w:val="es-VE"/>
        </w:rPr>
        <w:t>I</w:t>
      </w:r>
      <w:r w:rsidR="00635503" w:rsidRPr="008C5093">
        <w:rPr>
          <w:rFonts w:ascii="Cambria" w:hAnsi="Cambria"/>
          <w:sz w:val="20"/>
          <w:szCs w:val="20"/>
          <w:lang w:val="es-VE"/>
        </w:rPr>
        <w:t>nform</w:t>
      </w:r>
      <w:r w:rsidR="00F91D10" w:rsidRPr="008C5093">
        <w:rPr>
          <w:rFonts w:ascii="Cambria" w:hAnsi="Cambria"/>
          <w:sz w:val="20"/>
          <w:szCs w:val="20"/>
          <w:lang w:val="es-VE"/>
        </w:rPr>
        <w:t>ó</w:t>
      </w:r>
      <w:r w:rsidR="00635503" w:rsidRPr="008C5093">
        <w:rPr>
          <w:rFonts w:ascii="Cambria" w:hAnsi="Cambria"/>
          <w:sz w:val="20"/>
          <w:szCs w:val="20"/>
          <w:lang w:val="es-VE"/>
        </w:rPr>
        <w:t xml:space="preserve"> que de la investigación llevada a cabo hasta la fecha, “se desprende la responsabilidad </w:t>
      </w:r>
      <w:r w:rsidR="00A36369" w:rsidRPr="008C5093">
        <w:rPr>
          <w:rFonts w:ascii="Cambria" w:hAnsi="Cambria"/>
          <w:sz w:val="20"/>
          <w:szCs w:val="20"/>
          <w:lang w:val="es-VE"/>
        </w:rPr>
        <w:t>[del</w:t>
      </w:r>
      <w:r w:rsidR="00635503" w:rsidRPr="008C5093">
        <w:rPr>
          <w:rFonts w:ascii="Cambria" w:hAnsi="Cambria"/>
          <w:sz w:val="20"/>
          <w:szCs w:val="20"/>
          <w:lang w:val="es-VE"/>
        </w:rPr>
        <w:t>] grupo de efectivos de la Guardia Nacional adscritos a la Segunda Compañía del Destacamento No. 81</w:t>
      </w:r>
      <w:r w:rsidR="000B12DC" w:rsidRPr="008C5093">
        <w:rPr>
          <w:rFonts w:ascii="Cambria" w:hAnsi="Cambria"/>
          <w:sz w:val="20"/>
          <w:szCs w:val="20"/>
          <w:lang w:val="es-VE"/>
        </w:rPr>
        <w:t>”</w:t>
      </w:r>
      <w:r w:rsidR="00635503" w:rsidRPr="008C5093">
        <w:rPr>
          <w:rFonts w:ascii="Cambria" w:hAnsi="Cambria"/>
          <w:sz w:val="20"/>
          <w:szCs w:val="20"/>
          <w:lang w:val="es-VE"/>
        </w:rPr>
        <w:t xml:space="preserve">, </w:t>
      </w:r>
      <w:r w:rsidR="002B032E" w:rsidRPr="008C5093">
        <w:rPr>
          <w:rFonts w:ascii="Cambria" w:hAnsi="Cambria"/>
          <w:sz w:val="20"/>
          <w:szCs w:val="20"/>
          <w:lang w:val="es-VE"/>
        </w:rPr>
        <w:t xml:space="preserve">tanto los cuatro imputados </w:t>
      </w:r>
      <w:r w:rsidRPr="008C5093">
        <w:rPr>
          <w:rFonts w:ascii="Cambria" w:hAnsi="Cambria"/>
          <w:sz w:val="20"/>
          <w:szCs w:val="20"/>
          <w:lang w:val="es-VE"/>
        </w:rPr>
        <w:t>en la causa</w:t>
      </w:r>
      <w:r w:rsidR="002B032E" w:rsidRPr="008C5093">
        <w:rPr>
          <w:rFonts w:ascii="Cambria" w:hAnsi="Cambria"/>
          <w:sz w:val="20"/>
          <w:szCs w:val="20"/>
          <w:lang w:val="es-VE"/>
        </w:rPr>
        <w:t xml:space="preserve"> como los otros </w:t>
      </w:r>
      <w:r w:rsidR="00933CC6">
        <w:rPr>
          <w:rFonts w:ascii="Cambria" w:hAnsi="Cambria"/>
          <w:sz w:val="20"/>
          <w:szCs w:val="20"/>
          <w:lang w:val="es-VE"/>
        </w:rPr>
        <w:t>25</w:t>
      </w:r>
      <w:r w:rsidR="00E20073" w:rsidRPr="008C5093">
        <w:rPr>
          <w:rFonts w:ascii="Cambria" w:hAnsi="Cambria"/>
          <w:sz w:val="20"/>
          <w:szCs w:val="20"/>
          <w:lang w:val="es-VE"/>
        </w:rPr>
        <w:t xml:space="preserve"> efectivos</w:t>
      </w:r>
      <w:r w:rsidR="002B032E" w:rsidRPr="008C5093">
        <w:rPr>
          <w:rFonts w:ascii="Cambria" w:hAnsi="Cambria"/>
          <w:sz w:val="20"/>
          <w:szCs w:val="20"/>
          <w:lang w:val="es-VE"/>
        </w:rPr>
        <w:t xml:space="preserve"> involucrados en los hechos</w:t>
      </w:r>
      <w:r w:rsidR="00E20073" w:rsidRPr="008C5093">
        <w:rPr>
          <w:rFonts w:ascii="Cambria" w:hAnsi="Cambria"/>
          <w:sz w:val="20"/>
          <w:szCs w:val="20"/>
          <w:lang w:val="es-VE"/>
        </w:rPr>
        <w:t>. In</w:t>
      </w:r>
      <w:r w:rsidR="004D44BE">
        <w:rPr>
          <w:rFonts w:ascii="Cambria" w:hAnsi="Cambria"/>
          <w:sz w:val="20"/>
          <w:szCs w:val="20"/>
          <w:lang w:val="es-VE"/>
        </w:rPr>
        <w:t xml:space="preserve">dicó </w:t>
      </w:r>
      <w:r w:rsidR="00E20073" w:rsidRPr="008C5093">
        <w:rPr>
          <w:rFonts w:ascii="Cambria" w:hAnsi="Cambria"/>
          <w:sz w:val="20"/>
          <w:szCs w:val="20"/>
          <w:lang w:val="es-VE"/>
        </w:rPr>
        <w:t>que “emergen elementos de convicción que comprometen la responsabilidad penal</w:t>
      </w:r>
      <w:r w:rsidR="002B032E" w:rsidRPr="008C5093">
        <w:rPr>
          <w:rFonts w:ascii="Cambria" w:hAnsi="Cambria"/>
          <w:sz w:val="20"/>
          <w:szCs w:val="20"/>
          <w:lang w:val="es-VE"/>
        </w:rPr>
        <w:t>”</w:t>
      </w:r>
      <w:r w:rsidR="00E20073" w:rsidRPr="008C5093">
        <w:rPr>
          <w:rFonts w:ascii="Cambria" w:hAnsi="Cambria"/>
          <w:sz w:val="20"/>
          <w:szCs w:val="20"/>
          <w:lang w:val="es-VE"/>
        </w:rPr>
        <w:t xml:space="preserve"> de </w:t>
      </w:r>
      <w:r w:rsidR="002B032E" w:rsidRPr="008C5093">
        <w:rPr>
          <w:rFonts w:ascii="Cambria" w:hAnsi="Cambria"/>
          <w:sz w:val="20"/>
          <w:szCs w:val="20"/>
          <w:lang w:val="es-VE"/>
        </w:rPr>
        <w:t>los cuatro imputados</w:t>
      </w:r>
      <w:r w:rsidR="00E20073" w:rsidRPr="008C5093">
        <w:rPr>
          <w:rFonts w:ascii="Cambria" w:hAnsi="Cambria"/>
          <w:sz w:val="20"/>
          <w:szCs w:val="20"/>
          <w:lang w:val="es-VE"/>
        </w:rPr>
        <w:t>.</w:t>
      </w:r>
      <w:r w:rsidR="008C18C1" w:rsidRPr="008C5093">
        <w:rPr>
          <w:rFonts w:ascii="Cambria" w:hAnsi="Cambria"/>
          <w:sz w:val="20"/>
          <w:szCs w:val="20"/>
          <w:lang w:val="es-VE"/>
        </w:rPr>
        <w:t xml:space="preserve"> </w:t>
      </w:r>
      <w:r w:rsidR="00B075A6">
        <w:rPr>
          <w:rFonts w:ascii="Cambria" w:hAnsi="Cambria"/>
          <w:sz w:val="20"/>
          <w:szCs w:val="20"/>
          <w:lang w:val="es-VE"/>
        </w:rPr>
        <w:t>P</w:t>
      </w:r>
      <w:r w:rsidR="000A7403" w:rsidRPr="008C5093">
        <w:rPr>
          <w:rFonts w:ascii="Cambria" w:hAnsi="Cambria"/>
          <w:sz w:val="20"/>
          <w:szCs w:val="20"/>
          <w:lang w:val="es-VE"/>
        </w:rPr>
        <w:t>osteriormente señal</w:t>
      </w:r>
      <w:r w:rsidR="008C18C1" w:rsidRPr="008C5093">
        <w:rPr>
          <w:rFonts w:ascii="Cambria" w:hAnsi="Cambria"/>
          <w:sz w:val="20"/>
          <w:szCs w:val="20"/>
          <w:lang w:val="es-VE"/>
        </w:rPr>
        <w:t>ó</w:t>
      </w:r>
      <w:r w:rsidR="000A7403" w:rsidRPr="008C5093">
        <w:rPr>
          <w:rFonts w:ascii="Cambria" w:hAnsi="Cambria"/>
          <w:sz w:val="20"/>
          <w:szCs w:val="20"/>
          <w:lang w:val="es-VE"/>
        </w:rPr>
        <w:t xml:space="preserve"> que rechaza </w:t>
      </w:r>
      <w:r w:rsidR="00625DE4" w:rsidRPr="008C5093">
        <w:rPr>
          <w:rFonts w:ascii="Cambria" w:hAnsi="Cambria"/>
          <w:sz w:val="20"/>
          <w:szCs w:val="20"/>
          <w:lang w:val="es-VE"/>
        </w:rPr>
        <w:t>la alegada</w:t>
      </w:r>
      <w:r w:rsidR="000A7403" w:rsidRPr="008C5093">
        <w:rPr>
          <w:rFonts w:ascii="Cambria" w:hAnsi="Cambria"/>
          <w:sz w:val="20"/>
          <w:szCs w:val="20"/>
          <w:lang w:val="es-VE"/>
        </w:rPr>
        <w:t xml:space="preserve"> violación de los</w:t>
      </w:r>
      <w:r w:rsidR="00906935" w:rsidRPr="008C5093">
        <w:rPr>
          <w:rFonts w:ascii="Cambria" w:hAnsi="Cambria"/>
          <w:sz w:val="20"/>
          <w:szCs w:val="20"/>
          <w:lang w:val="es-VE"/>
        </w:rPr>
        <w:t xml:space="preserve"> </w:t>
      </w:r>
      <w:r w:rsidR="000A7403" w:rsidRPr="008C5093">
        <w:rPr>
          <w:rFonts w:ascii="Cambria" w:hAnsi="Cambria"/>
          <w:sz w:val="20"/>
          <w:szCs w:val="20"/>
          <w:lang w:val="es-VE"/>
        </w:rPr>
        <w:t>artículos</w:t>
      </w:r>
      <w:r w:rsidR="002B032E" w:rsidRPr="008C5093">
        <w:rPr>
          <w:rFonts w:ascii="Cambria" w:hAnsi="Cambria"/>
          <w:sz w:val="20"/>
          <w:szCs w:val="20"/>
          <w:lang w:val="es-VE"/>
        </w:rPr>
        <w:t xml:space="preserve"> 4 y 5 de la Convención Americana</w:t>
      </w:r>
      <w:r w:rsidR="000A7403" w:rsidRPr="008C5093">
        <w:rPr>
          <w:rFonts w:ascii="Cambria" w:hAnsi="Cambria"/>
          <w:sz w:val="20"/>
          <w:szCs w:val="20"/>
          <w:lang w:val="es-VE"/>
        </w:rPr>
        <w:t xml:space="preserve">, toda vez que la investigación y juicio interno de la causa se encuentra todavía en </w:t>
      </w:r>
      <w:r w:rsidR="004B2581" w:rsidRPr="008C5093">
        <w:rPr>
          <w:rFonts w:ascii="Cambria" w:hAnsi="Cambria"/>
          <w:sz w:val="20"/>
          <w:szCs w:val="20"/>
          <w:lang w:val="es-VE"/>
        </w:rPr>
        <w:t>curso</w:t>
      </w:r>
      <w:r w:rsidR="000A7403" w:rsidRPr="008C5093">
        <w:rPr>
          <w:rFonts w:ascii="Cambria" w:hAnsi="Cambria"/>
          <w:sz w:val="20"/>
          <w:szCs w:val="20"/>
          <w:lang w:val="es-VE"/>
        </w:rPr>
        <w:t>.</w:t>
      </w:r>
      <w:r w:rsidR="00132CE5" w:rsidRPr="008C5093">
        <w:rPr>
          <w:rFonts w:ascii="Cambria" w:hAnsi="Cambria"/>
          <w:sz w:val="20"/>
          <w:szCs w:val="20"/>
          <w:lang w:val="es-VE"/>
        </w:rPr>
        <w:t xml:space="preserve"> </w:t>
      </w:r>
      <w:r w:rsidRPr="008C5093">
        <w:rPr>
          <w:rFonts w:ascii="Cambria" w:hAnsi="Cambria"/>
          <w:sz w:val="20"/>
          <w:szCs w:val="20"/>
          <w:lang w:val="es-VE"/>
        </w:rPr>
        <w:t>A</w:t>
      </w:r>
      <w:r w:rsidR="00132CE5" w:rsidRPr="008C5093">
        <w:rPr>
          <w:rFonts w:ascii="Cambria" w:hAnsi="Cambria"/>
          <w:sz w:val="20"/>
          <w:szCs w:val="20"/>
          <w:lang w:val="es-VE"/>
        </w:rPr>
        <w:t>leg</w:t>
      </w:r>
      <w:r w:rsidR="008C18C1" w:rsidRPr="008C5093">
        <w:rPr>
          <w:rFonts w:ascii="Cambria" w:hAnsi="Cambria"/>
          <w:sz w:val="20"/>
          <w:szCs w:val="20"/>
          <w:lang w:val="es-VE"/>
        </w:rPr>
        <w:t>ó</w:t>
      </w:r>
      <w:r w:rsidR="00132CE5" w:rsidRPr="008C5093">
        <w:rPr>
          <w:rFonts w:ascii="Cambria" w:hAnsi="Cambria"/>
          <w:sz w:val="20"/>
          <w:szCs w:val="20"/>
          <w:lang w:val="es-VE"/>
        </w:rPr>
        <w:t xml:space="preserve"> que “muy a pesar [de] que en un p</w:t>
      </w:r>
      <w:r w:rsidR="00A36369" w:rsidRPr="008C5093">
        <w:rPr>
          <w:rFonts w:ascii="Cambria" w:hAnsi="Cambria"/>
          <w:sz w:val="20"/>
          <w:szCs w:val="20"/>
          <w:lang w:val="es-VE"/>
        </w:rPr>
        <w:t>rincipio se logr[ó]</w:t>
      </w:r>
      <w:r w:rsidR="00132CE5" w:rsidRPr="008C5093">
        <w:rPr>
          <w:rFonts w:ascii="Cambria" w:hAnsi="Cambria"/>
          <w:sz w:val="20"/>
          <w:szCs w:val="20"/>
          <w:lang w:val="es-VE"/>
        </w:rPr>
        <w:t xml:space="preserve"> individualizar a los presuntos autores, todavía el Fiscal de Ministerio Público carecía de elementos de convicción necesarios para llevarlos a juicio”.</w:t>
      </w:r>
      <w:r w:rsidR="00E37AFA" w:rsidRPr="008C5093">
        <w:rPr>
          <w:rFonts w:ascii="Cambria" w:hAnsi="Cambria"/>
          <w:sz w:val="20"/>
          <w:szCs w:val="20"/>
          <w:lang w:val="es-VE"/>
        </w:rPr>
        <w:t xml:space="preserve"> </w:t>
      </w:r>
    </w:p>
    <w:p w14:paraId="608CBD96" w14:textId="77777777" w:rsidR="00E20073" w:rsidRPr="008C5093" w:rsidRDefault="00E20073" w:rsidP="00E20073">
      <w:pPr>
        <w:pStyle w:val="ListParagraph"/>
        <w:rPr>
          <w:color w:val="auto"/>
          <w:sz w:val="20"/>
          <w:szCs w:val="20"/>
          <w:lang w:val="es-VE"/>
        </w:rPr>
      </w:pPr>
    </w:p>
    <w:p w14:paraId="125214DD" w14:textId="560D08CC" w:rsidR="008520D7" w:rsidRDefault="004868C9" w:rsidP="008520D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8C5093">
        <w:rPr>
          <w:rFonts w:ascii="Cambria" w:hAnsi="Cambria"/>
          <w:sz w:val="20"/>
          <w:szCs w:val="20"/>
          <w:lang w:val="es-VE"/>
        </w:rPr>
        <w:t>I</w:t>
      </w:r>
      <w:r w:rsidR="002837E4" w:rsidRPr="008C5093">
        <w:rPr>
          <w:rFonts w:ascii="Cambria" w:hAnsi="Cambria"/>
          <w:sz w:val="20"/>
          <w:szCs w:val="20"/>
          <w:lang w:val="es-VE"/>
        </w:rPr>
        <w:t>nformó</w:t>
      </w:r>
      <w:r w:rsidR="00B30163" w:rsidRPr="008C5093">
        <w:rPr>
          <w:rFonts w:ascii="Cambria" w:hAnsi="Cambria"/>
          <w:sz w:val="20"/>
          <w:szCs w:val="20"/>
          <w:lang w:val="es-VE"/>
        </w:rPr>
        <w:t xml:space="preserve"> </w:t>
      </w:r>
      <w:r w:rsidR="00E20073" w:rsidRPr="008C5093">
        <w:rPr>
          <w:rFonts w:ascii="Cambria" w:hAnsi="Cambria"/>
          <w:sz w:val="20"/>
          <w:szCs w:val="20"/>
          <w:lang w:val="es-VE"/>
        </w:rPr>
        <w:t xml:space="preserve">que el 3 de junio de 2004, </w:t>
      </w:r>
      <w:r w:rsidR="002C13AE">
        <w:rPr>
          <w:rFonts w:ascii="Cambria" w:hAnsi="Cambria"/>
          <w:sz w:val="20"/>
          <w:szCs w:val="20"/>
          <w:lang w:val="es-VE"/>
        </w:rPr>
        <w:t>se</w:t>
      </w:r>
      <w:r w:rsidR="00426CF9" w:rsidRPr="008C5093">
        <w:rPr>
          <w:rFonts w:ascii="Cambria" w:hAnsi="Cambria"/>
          <w:sz w:val="20"/>
          <w:szCs w:val="20"/>
          <w:lang w:val="es-VE"/>
        </w:rPr>
        <w:t xml:space="preserve"> </w:t>
      </w:r>
      <w:r w:rsidR="00E20073" w:rsidRPr="008C5093">
        <w:rPr>
          <w:rFonts w:ascii="Cambria" w:hAnsi="Cambria"/>
          <w:sz w:val="20"/>
          <w:szCs w:val="20"/>
          <w:lang w:val="es-VE"/>
        </w:rPr>
        <w:t xml:space="preserve">decretó la </w:t>
      </w:r>
      <w:r w:rsidRPr="008C5093">
        <w:rPr>
          <w:rFonts w:ascii="Cambria" w:hAnsi="Cambria"/>
          <w:sz w:val="20"/>
          <w:szCs w:val="20"/>
          <w:lang w:val="es-VE"/>
        </w:rPr>
        <w:t>prisión</w:t>
      </w:r>
      <w:r w:rsidR="00E20073" w:rsidRPr="008C5093">
        <w:rPr>
          <w:rFonts w:ascii="Cambria" w:hAnsi="Cambria"/>
          <w:sz w:val="20"/>
          <w:szCs w:val="20"/>
          <w:lang w:val="es-VE"/>
        </w:rPr>
        <w:t xml:space="preserve"> </w:t>
      </w:r>
      <w:r w:rsidR="00A17152" w:rsidRPr="008C5093">
        <w:rPr>
          <w:rFonts w:ascii="Cambria" w:hAnsi="Cambria"/>
          <w:sz w:val="20"/>
          <w:szCs w:val="20"/>
          <w:lang w:val="es-VE"/>
        </w:rPr>
        <w:t>p</w:t>
      </w:r>
      <w:r w:rsidR="00E20073" w:rsidRPr="008C5093">
        <w:rPr>
          <w:rFonts w:ascii="Cambria" w:hAnsi="Cambria"/>
          <w:sz w:val="20"/>
          <w:szCs w:val="20"/>
          <w:lang w:val="es-VE"/>
        </w:rPr>
        <w:t xml:space="preserve">reventiva en contra de los cuatro </w:t>
      </w:r>
      <w:r w:rsidR="000C1DBD" w:rsidRPr="008C5093">
        <w:rPr>
          <w:rFonts w:ascii="Cambria" w:hAnsi="Cambria"/>
          <w:sz w:val="20"/>
          <w:szCs w:val="20"/>
          <w:lang w:val="es-VE"/>
        </w:rPr>
        <w:t xml:space="preserve">imputados </w:t>
      </w:r>
      <w:r w:rsidR="00E20073" w:rsidRPr="008C5093">
        <w:rPr>
          <w:rFonts w:ascii="Cambria" w:hAnsi="Cambria"/>
          <w:sz w:val="20"/>
          <w:szCs w:val="20"/>
          <w:lang w:val="es-VE"/>
        </w:rPr>
        <w:t xml:space="preserve">de la </w:t>
      </w:r>
      <w:r w:rsidR="00625DE4" w:rsidRPr="008C5093">
        <w:rPr>
          <w:rFonts w:ascii="Cambria" w:hAnsi="Cambria"/>
          <w:sz w:val="20"/>
          <w:szCs w:val="20"/>
          <w:lang w:val="es-VE"/>
        </w:rPr>
        <w:t>G</w:t>
      </w:r>
      <w:r w:rsidR="003B218F" w:rsidRPr="008C5093">
        <w:rPr>
          <w:rFonts w:ascii="Cambria" w:hAnsi="Cambria"/>
          <w:sz w:val="20"/>
          <w:szCs w:val="20"/>
          <w:lang w:val="es-VE"/>
        </w:rPr>
        <w:t xml:space="preserve">uardia </w:t>
      </w:r>
      <w:r w:rsidR="00625DE4" w:rsidRPr="008C5093">
        <w:rPr>
          <w:rFonts w:ascii="Cambria" w:hAnsi="Cambria"/>
          <w:sz w:val="20"/>
          <w:szCs w:val="20"/>
          <w:lang w:val="es-VE"/>
        </w:rPr>
        <w:t>N</w:t>
      </w:r>
      <w:r w:rsidR="003B218F" w:rsidRPr="008C5093">
        <w:rPr>
          <w:rFonts w:ascii="Cambria" w:hAnsi="Cambria"/>
          <w:sz w:val="20"/>
          <w:szCs w:val="20"/>
          <w:lang w:val="es-VE"/>
        </w:rPr>
        <w:t>acional</w:t>
      </w:r>
      <w:r w:rsidR="00426CF9" w:rsidRPr="008C5093">
        <w:rPr>
          <w:rFonts w:ascii="Cambria" w:hAnsi="Cambria"/>
          <w:sz w:val="20"/>
          <w:szCs w:val="20"/>
          <w:lang w:val="es-VE"/>
        </w:rPr>
        <w:t>.</w:t>
      </w:r>
      <w:r w:rsidR="002E118B" w:rsidRPr="008C5093">
        <w:rPr>
          <w:rFonts w:ascii="Cambria" w:hAnsi="Cambria"/>
          <w:sz w:val="20"/>
          <w:szCs w:val="20"/>
          <w:lang w:val="es-VE"/>
        </w:rPr>
        <w:t xml:space="preserve"> </w:t>
      </w:r>
      <w:r w:rsidR="006213A4" w:rsidRPr="008C5093">
        <w:rPr>
          <w:rFonts w:ascii="Cambria" w:hAnsi="Cambria"/>
          <w:sz w:val="20"/>
          <w:szCs w:val="20"/>
          <w:lang w:val="es-VE"/>
        </w:rPr>
        <w:t>S</w:t>
      </w:r>
      <w:r w:rsidR="008D2503" w:rsidRPr="008C5093">
        <w:rPr>
          <w:rFonts w:ascii="Cambria" w:hAnsi="Cambria"/>
          <w:sz w:val="20"/>
          <w:szCs w:val="20"/>
          <w:lang w:val="es-VE"/>
        </w:rPr>
        <w:t>ost</w:t>
      </w:r>
      <w:r w:rsidR="002B032E" w:rsidRPr="008C5093">
        <w:rPr>
          <w:rFonts w:ascii="Cambria" w:hAnsi="Cambria"/>
          <w:sz w:val="20"/>
          <w:szCs w:val="20"/>
          <w:lang w:val="es-VE"/>
        </w:rPr>
        <w:t>uvo</w:t>
      </w:r>
      <w:r w:rsidR="008D2503" w:rsidRPr="008C5093">
        <w:rPr>
          <w:rFonts w:ascii="Cambria" w:hAnsi="Cambria"/>
          <w:sz w:val="20"/>
          <w:szCs w:val="20"/>
          <w:lang w:val="es-VE"/>
        </w:rPr>
        <w:t xml:space="preserve"> que los imputados </w:t>
      </w:r>
      <w:r w:rsidR="00E222BB" w:rsidRPr="008C5093">
        <w:rPr>
          <w:rFonts w:ascii="Cambria" w:hAnsi="Cambria"/>
          <w:sz w:val="20"/>
          <w:szCs w:val="20"/>
          <w:lang w:val="es-VE"/>
        </w:rPr>
        <w:t>interpusieron diversos recursos</w:t>
      </w:r>
      <w:r w:rsidR="008D2503" w:rsidRPr="008C5093">
        <w:rPr>
          <w:rFonts w:ascii="Cambria" w:hAnsi="Cambria"/>
          <w:sz w:val="20"/>
          <w:szCs w:val="20"/>
          <w:lang w:val="es-VE"/>
        </w:rPr>
        <w:t xml:space="preserve"> </w:t>
      </w:r>
      <w:r w:rsidR="00023C8B" w:rsidRPr="008C5093">
        <w:rPr>
          <w:rFonts w:ascii="Cambria" w:hAnsi="Cambria"/>
          <w:sz w:val="20"/>
          <w:szCs w:val="20"/>
          <w:lang w:val="es-VE"/>
        </w:rPr>
        <w:t>“</w:t>
      </w:r>
      <w:r w:rsidR="008D2503" w:rsidRPr="008C5093">
        <w:rPr>
          <w:rFonts w:ascii="Cambria" w:hAnsi="Cambria"/>
          <w:sz w:val="20"/>
          <w:szCs w:val="20"/>
          <w:lang w:val="es-VE"/>
        </w:rPr>
        <w:t>con el objeto de dejar impune hechos que perfectament</w:t>
      </w:r>
      <w:r w:rsidR="008D2503">
        <w:rPr>
          <w:rFonts w:ascii="Cambria" w:hAnsi="Cambria"/>
          <w:color w:val="000000" w:themeColor="text1"/>
          <w:sz w:val="20"/>
          <w:szCs w:val="20"/>
          <w:lang w:val="es-VE"/>
        </w:rPr>
        <w:t>e encuadran en ejecuciones extralegales, arbitrarias o sumarias e impedir así su tipificación dentro de nuestro ordenamiento jurídico”</w:t>
      </w:r>
      <w:r w:rsidR="00185003">
        <w:rPr>
          <w:rFonts w:ascii="Cambria" w:hAnsi="Cambria"/>
          <w:color w:val="000000" w:themeColor="text1"/>
          <w:sz w:val="20"/>
          <w:szCs w:val="20"/>
          <w:lang w:val="es-VE"/>
        </w:rPr>
        <w:t>.</w:t>
      </w:r>
      <w:r w:rsidR="008D2503">
        <w:rPr>
          <w:rFonts w:ascii="Cambria" w:hAnsi="Cambria"/>
          <w:color w:val="000000" w:themeColor="text1"/>
          <w:sz w:val="20"/>
          <w:szCs w:val="20"/>
          <w:lang w:val="es-VE"/>
        </w:rPr>
        <w:t xml:space="preserve"> </w:t>
      </w:r>
      <w:r w:rsidR="00D27707">
        <w:rPr>
          <w:rFonts w:ascii="Cambria" w:hAnsi="Cambria"/>
          <w:color w:val="000000" w:themeColor="text1"/>
          <w:sz w:val="20"/>
          <w:szCs w:val="20"/>
          <w:lang w:val="es-VE"/>
        </w:rPr>
        <w:t>Informó</w:t>
      </w:r>
      <w:r w:rsidR="008E70E7">
        <w:rPr>
          <w:rFonts w:ascii="Cambria" w:hAnsi="Cambria"/>
          <w:color w:val="000000" w:themeColor="text1"/>
          <w:sz w:val="20"/>
          <w:szCs w:val="20"/>
          <w:lang w:val="es-VE"/>
        </w:rPr>
        <w:t xml:space="preserve"> que el 20 de mayo de 2005, fueron otorgadas</w:t>
      </w:r>
      <w:r w:rsidR="000C1DBD">
        <w:rPr>
          <w:rFonts w:ascii="Cambria" w:hAnsi="Cambria"/>
          <w:color w:val="000000" w:themeColor="text1"/>
          <w:sz w:val="20"/>
          <w:szCs w:val="20"/>
          <w:lang w:val="es-VE"/>
        </w:rPr>
        <w:t xml:space="preserve"> </w:t>
      </w:r>
      <w:r w:rsidR="008E70E7">
        <w:rPr>
          <w:rFonts w:ascii="Cambria" w:hAnsi="Cambria"/>
          <w:color w:val="000000" w:themeColor="text1"/>
          <w:sz w:val="20"/>
          <w:szCs w:val="20"/>
          <w:lang w:val="es-VE"/>
        </w:rPr>
        <w:t xml:space="preserve">medidas cautelares sustitutivas a la </w:t>
      </w:r>
      <w:r w:rsidR="002C13AE">
        <w:rPr>
          <w:rFonts w:ascii="Cambria" w:hAnsi="Cambria"/>
          <w:color w:val="000000" w:themeColor="text1"/>
          <w:sz w:val="20"/>
          <w:szCs w:val="20"/>
          <w:lang w:val="es-VE"/>
        </w:rPr>
        <w:t>prisión</w:t>
      </w:r>
      <w:r w:rsidR="008E70E7">
        <w:rPr>
          <w:rFonts w:ascii="Cambria" w:hAnsi="Cambria"/>
          <w:color w:val="000000" w:themeColor="text1"/>
          <w:sz w:val="20"/>
          <w:szCs w:val="20"/>
          <w:lang w:val="es-VE"/>
        </w:rPr>
        <w:t xml:space="preserve"> preventiva a los cuatro imputados.</w:t>
      </w:r>
    </w:p>
    <w:p w14:paraId="71F70EF1" w14:textId="77777777" w:rsidR="00B73927" w:rsidRDefault="00B73927" w:rsidP="00B7392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6792D63F" w14:textId="75BCA6C8" w:rsidR="00277EF9" w:rsidRPr="00B30163" w:rsidRDefault="004868C9" w:rsidP="0062719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R</w:t>
      </w:r>
      <w:r w:rsidR="00FC6432">
        <w:rPr>
          <w:rFonts w:ascii="Cambria" w:hAnsi="Cambria"/>
          <w:color w:val="000000" w:themeColor="text1"/>
          <w:sz w:val="20"/>
          <w:szCs w:val="20"/>
          <w:lang w:val="es-VE"/>
        </w:rPr>
        <w:t xml:space="preserve">econoció que </w:t>
      </w:r>
      <w:r w:rsidR="008520D7">
        <w:rPr>
          <w:rFonts w:ascii="Cambria" w:hAnsi="Cambria"/>
          <w:color w:val="000000" w:themeColor="text1"/>
          <w:sz w:val="20"/>
          <w:szCs w:val="20"/>
          <w:lang w:val="es-VE"/>
        </w:rPr>
        <w:t>transcurri</w:t>
      </w:r>
      <w:r w:rsidR="00D27707">
        <w:rPr>
          <w:rFonts w:ascii="Cambria" w:hAnsi="Cambria"/>
          <w:color w:val="000000" w:themeColor="text1"/>
          <w:sz w:val="20"/>
          <w:szCs w:val="20"/>
          <w:lang w:val="es-VE"/>
        </w:rPr>
        <w:t>ó</w:t>
      </w:r>
      <w:r w:rsidR="008520D7">
        <w:rPr>
          <w:rFonts w:ascii="Cambria" w:hAnsi="Cambria"/>
          <w:color w:val="000000" w:themeColor="text1"/>
          <w:sz w:val="20"/>
          <w:szCs w:val="20"/>
          <w:lang w:val="es-VE"/>
        </w:rPr>
        <w:t xml:space="preserve"> más del lapso legalmente otorgado al Ministerio Público para la presentación del acto conclusivo</w:t>
      </w:r>
      <w:r w:rsidR="009E2D51">
        <w:rPr>
          <w:rFonts w:ascii="Cambria" w:hAnsi="Cambria"/>
          <w:color w:val="000000" w:themeColor="text1"/>
          <w:sz w:val="20"/>
          <w:szCs w:val="20"/>
          <w:lang w:val="es-VE"/>
        </w:rPr>
        <w:t xml:space="preserve"> que da inicio a la fase de juicio</w:t>
      </w:r>
      <w:r w:rsidR="00FC6432">
        <w:rPr>
          <w:rFonts w:ascii="Cambria" w:hAnsi="Cambria"/>
          <w:color w:val="000000" w:themeColor="text1"/>
          <w:sz w:val="20"/>
          <w:szCs w:val="20"/>
          <w:lang w:val="es-VE"/>
        </w:rPr>
        <w:t xml:space="preserve">, pero </w:t>
      </w:r>
      <w:r w:rsidR="00D27707">
        <w:rPr>
          <w:rFonts w:ascii="Cambria" w:hAnsi="Cambria"/>
          <w:color w:val="000000" w:themeColor="text1"/>
          <w:sz w:val="20"/>
          <w:szCs w:val="20"/>
          <w:lang w:val="es-VE"/>
        </w:rPr>
        <w:t xml:space="preserve">sostuvo </w:t>
      </w:r>
      <w:r w:rsidR="00FC6432">
        <w:rPr>
          <w:rFonts w:ascii="Cambria" w:hAnsi="Cambria"/>
          <w:color w:val="000000" w:themeColor="text1"/>
          <w:sz w:val="20"/>
          <w:szCs w:val="20"/>
          <w:lang w:val="es-VE"/>
        </w:rPr>
        <w:t>que ello se debe al “</w:t>
      </w:r>
      <w:r w:rsidR="008520D7">
        <w:rPr>
          <w:rFonts w:ascii="Cambria" w:hAnsi="Cambria"/>
          <w:color w:val="000000" w:themeColor="text1"/>
          <w:sz w:val="20"/>
          <w:szCs w:val="20"/>
          <w:lang w:val="es-VE"/>
        </w:rPr>
        <w:t>razonable nivel de complejidad”</w:t>
      </w:r>
      <w:r w:rsidR="00FC6432">
        <w:rPr>
          <w:rFonts w:ascii="Cambria" w:hAnsi="Cambria"/>
          <w:color w:val="000000" w:themeColor="text1"/>
          <w:sz w:val="20"/>
          <w:szCs w:val="20"/>
          <w:lang w:val="es-VE"/>
        </w:rPr>
        <w:t xml:space="preserve"> de la investigación.</w:t>
      </w:r>
      <w:r w:rsidR="00B30163">
        <w:rPr>
          <w:rFonts w:ascii="Cambria" w:hAnsi="Cambria"/>
          <w:color w:val="000000" w:themeColor="text1"/>
          <w:sz w:val="20"/>
          <w:szCs w:val="20"/>
          <w:lang w:val="es-VE"/>
        </w:rPr>
        <w:t xml:space="preserve"> </w:t>
      </w:r>
      <w:r>
        <w:rPr>
          <w:rFonts w:ascii="Cambria" w:hAnsi="Cambria"/>
          <w:color w:val="000000" w:themeColor="text1"/>
          <w:sz w:val="20"/>
          <w:szCs w:val="20"/>
          <w:lang w:val="es-VE"/>
        </w:rPr>
        <w:t>R</w:t>
      </w:r>
      <w:r w:rsidR="00A36369">
        <w:rPr>
          <w:rFonts w:ascii="Cambria" w:hAnsi="Cambria"/>
          <w:color w:val="000000" w:themeColor="text1"/>
          <w:sz w:val="20"/>
          <w:szCs w:val="20"/>
          <w:lang w:val="es-VE"/>
        </w:rPr>
        <w:t>echaz</w:t>
      </w:r>
      <w:r w:rsidR="008C18C1">
        <w:rPr>
          <w:rFonts w:ascii="Cambria" w:hAnsi="Cambria"/>
          <w:color w:val="000000" w:themeColor="text1"/>
          <w:sz w:val="20"/>
          <w:szCs w:val="20"/>
          <w:lang w:val="es-VE"/>
        </w:rPr>
        <w:t>ó</w:t>
      </w:r>
      <w:r w:rsidR="00A36369">
        <w:rPr>
          <w:rFonts w:ascii="Cambria" w:hAnsi="Cambria"/>
          <w:color w:val="000000" w:themeColor="text1"/>
          <w:sz w:val="20"/>
          <w:szCs w:val="20"/>
          <w:lang w:val="es-VE"/>
        </w:rPr>
        <w:t xml:space="preserve"> </w:t>
      </w:r>
      <w:r w:rsidR="00D27707">
        <w:rPr>
          <w:rFonts w:ascii="Cambria" w:hAnsi="Cambria"/>
          <w:color w:val="000000" w:themeColor="text1"/>
          <w:sz w:val="20"/>
          <w:szCs w:val="20"/>
          <w:lang w:val="es-VE"/>
        </w:rPr>
        <w:t>la</w:t>
      </w:r>
      <w:r w:rsidR="00A36369">
        <w:rPr>
          <w:rFonts w:ascii="Cambria" w:hAnsi="Cambria"/>
          <w:color w:val="000000" w:themeColor="text1"/>
          <w:sz w:val="20"/>
          <w:szCs w:val="20"/>
          <w:lang w:val="es-VE"/>
        </w:rPr>
        <w:t xml:space="preserve"> alega</w:t>
      </w:r>
      <w:r w:rsidR="00D27707">
        <w:rPr>
          <w:rFonts w:ascii="Cambria" w:hAnsi="Cambria"/>
          <w:color w:val="000000" w:themeColor="text1"/>
          <w:sz w:val="20"/>
          <w:szCs w:val="20"/>
          <w:lang w:val="es-VE"/>
        </w:rPr>
        <w:t>da</w:t>
      </w:r>
      <w:r w:rsidR="00A36369">
        <w:rPr>
          <w:rFonts w:ascii="Cambria" w:hAnsi="Cambria"/>
          <w:color w:val="000000" w:themeColor="text1"/>
          <w:sz w:val="20"/>
          <w:szCs w:val="20"/>
          <w:lang w:val="es-VE"/>
        </w:rPr>
        <w:t xml:space="preserve"> violación a </w:t>
      </w:r>
      <w:r w:rsidR="00FB648B">
        <w:rPr>
          <w:rFonts w:ascii="Cambria" w:hAnsi="Cambria"/>
          <w:color w:val="000000" w:themeColor="text1"/>
          <w:sz w:val="20"/>
          <w:szCs w:val="20"/>
          <w:lang w:val="es-VE"/>
        </w:rPr>
        <w:t xml:space="preserve">los artículos </w:t>
      </w:r>
      <w:r w:rsidR="00A36369">
        <w:rPr>
          <w:rFonts w:ascii="Cambria" w:hAnsi="Cambria"/>
          <w:color w:val="000000" w:themeColor="text1"/>
          <w:sz w:val="20"/>
          <w:szCs w:val="20"/>
          <w:lang w:val="es-VE"/>
        </w:rPr>
        <w:t>8 y 25</w:t>
      </w:r>
      <w:r w:rsidR="00AE4AC2">
        <w:rPr>
          <w:rFonts w:ascii="Cambria" w:hAnsi="Cambria"/>
          <w:color w:val="000000" w:themeColor="text1"/>
          <w:sz w:val="20"/>
          <w:szCs w:val="20"/>
          <w:lang w:val="es-VE"/>
        </w:rPr>
        <w:t xml:space="preserve"> de la Convención</w:t>
      </w:r>
      <w:r w:rsidR="00A36369">
        <w:rPr>
          <w:rFonts w:ascii="Cambria" w:hAnsi="Cambria"/>
          <w:color w:val="000000" w:themeColor="text1"/>
          <w:sz w:val="20"/>
          <w:szCs w:val="20"/>
          <w:lang w:val="es-VE"/>
        </w:rPr>
        <w:t xml:space="preserve">, toda vez que </w:t>
      </w:r>
      <w:r w:rsidR="001939AC">
        <w:rPr>
          <w:rFonts w:ascii="Cambria" w:hAnsi="Cambria"/>
          <w:color w:val="000000" w:themeColor="text1"/>
          <w:sz w:val="20"/>
          <w:szCs w:val="20"/>
          <w:lang w:val="es-VE"/>
        </w:rPr>
        <w:t>los familiares</w:t>
      </w:r>
      <w:r w:rsidR="00A36369">
        <w:rPr>
          <w:rFonts w:ascii="Cambria" w:hAnsi="Cambria"/>
          <w:color w:val="000000" w:themeColor="text1"/>
          <w:sz w:val="20"/>
          <w:szCs w:val="20"/>
          <w:lang w:val="es-VE"/>
        </w:rPr>
        <w:t xml:space="preserve"> han sido oídas durante el proceso de investigación y</w:t>
      </w:r>
      <w:r w:rsidR="00B52598">
        <w:rPr>
          <w:rFonts w:ascii="Cambria" w:hAnsi="Cambria"/>
          <w:color w:val="000000" w:themeColor="text1"/>
          <w:sz w:val="20"/>
          <w:szCs w:val="20"/>
          <w:lang w:val="es-VE"/>
        </w:rPr>
        <w:t xml:space="preserve"> se</w:t>
      </w:r>
      <w:r w:rsidR="00A36369">
        <w:rPr>
          <w:rFonts w:ascii="Cambria" w:hAnsi="Cambria"/>
          <w:color w:val="000000" w:themeColor="text1"/>
          <w:sz w:val="20"/>
          <w:szCs w:val="20"/>
          <w:lang w:val="es-VE"/>
        </w:rPr>
        <w:t xml:space="preserve"> les ha sido garantizado un recurso sencillo y rápido. </w:t>
      </w:r>
      <w:r w:rsidR="00B52598">
        <w:rPr>
          <w:rFonts w:ascii="Cambria" w:hAnsi="Cambria"/>
          <w:color w:val="000000" w:themeColor="text1"/>
          <w:sz w:val="20"/>
          <w:szCs w:val="20"/>
          <w:lang w:val="es-VE"/>
        </w:rPr>
        <w:t>C</w:t>
      </w:r>
      <w:r w:rsidR="00B73927" w:rsidRPr="00625D98">
        <w:rPr>
          <w:rFonts w:ascii="Cambria" w:hAnsi="Cambria"/>
          <w:color w:val="000000" w:themeColor="text1"/>
          <w:sz w:val="20"/>
          <w:szCs w:val="20"/>
          <w:lang w:val="es-VE"/>
        </w:rPr>
        <w:t>it</w:t>
      </w:r>
      <w:r w:rsidR="008C18C1">
        <w:rPr>
          <w:rFonts w:ascii="Cambria" w:hAnsi="Cambria"/>
          <w:color w:val="000000" w:themeColor="text1"/>
          <w:sz w:val="20"/>
          <w:szCs w:val="20"/>
          <w:lang w:val="es-VE"/>
        </w:rPr>
        <w:t>ó</w:t>
      </w:r>
      <w:r w:rsidR="00B73927" w:rsidRPr="00625D98">
        <w:rPr>
          <w:rFonts w:ascii="Cambria" w:hAnsi="Cambria"/>
          <w:color w:val="000000" w:themeColor="text1"/>
          <w:sz w:val="20"/>
          <w:szCs w:val="20"/>
          <w:lang w:val="es-VE"/>
        </w:rPr>
        <w:t xml:space="preserve"> las dificultades prácticas en asegurar la cooperación</w:t>
      </w:r>
      <w:r w:rsidR="008E2FA8" w:rsidRPr="00625D98">
        <w:rPr>
          <w:rFonts w:ascii="Cambria" w:hAnsi="Cambria"/>
          <w:color w:val="000000" w:themeColor="text1"/>
          <w:sz w:val="20"/>
          <w:szCs w:val="20"/>
          <w:lang w:val="es-VE"/>
        </w:rPr>
        <w:t xml:space="preserve"> de </w:t>
      </w:r>
      <w:r w:rsidR="002B032E">
        <w:rPr>
          <w:rFonts w:ascii="Cambria" w:hAnsi="Cambria"/>
          <w:color w:val="000000" w:themeColor="text1"/>
          <w:sz w:val="20"/>
          <w:szCs w:val="20"/>
          <w:lang w:val="es-VE"/>
        </w:rPr>
        <w:t xml:space="preserve">los internos que fueron </w:t>
      </w:r>
      <w:r w:rsidR="008E2FA8" w:rsidRPr="00625D98">
        <w:rPr>
          <w:rFonts w:ascii="Cambria" w:hAnsi="Cambria"/>
          <w:color w:val="000000" w:themeColor="text1"/>
          <w:sz w:val="20"/>
          <w:szCs w:val="20"/>
          <w:lang w:val="es-VE"/>
        </w:rPr>
        <w:t>testigos de los hechos quienes siguen bajo la custodia de los cuerpos estatales presuntamente responsables</w:t>
      </w:r>
      <w:r w:rsidR="00055673">
        <w:rPr>
          <w:rFonts w:ascii="Cambria" w:hAnsi="Cambria"/>
          <w:color w:val="000000" w:themeColor="text1"/>
          <w:sz w:val="20"/>
          <w:szCs w:val="20"/>
          <w:lang w:val="es-VE"/>
        </w:rPr>
        <w:t xml:space="preserve">, de los que han sido trasladados a otros penales o han sido liberados. </w:t>
      </w:r>
      <w:r w:rsidR="00FC6432">
        <w:rPr>
          <w:rFonts w:ascii="Cambria" w:hAnsi="Cambria"/>
          <w:color w:val="000000" w:themeColor="text1"/>
          <w:sz w:val="20"/>
          <w:szCs w:val="20"/>
          <w:lang w:val="es-VE"/>
        </w:rPr>
        <w:t xml:space="preserve"> </w:t>
      </w:r>
      <w:r>
        <w:rPr>
          <w:rFonts w:ascii="Cambria" w:hAnsi="Cambria"/>
          <w:color w:val="000000" w:themeColor="text1"/>
          <w:sz w:val="20"/>
          <w:szCs w:val="20"/>
          <w:lang w:val="es-VE"/>
        </w:rPr>
        <w:t>A</w:t>
      </w:r>
      <w:r w:rsidR="008C18C1" w:rsidRPr="00B30163">
        <w:rPr>
          <w:rFonts w:ascii="Cambria" w:hAnsi="Cambria"/>
          <w:color w:val="000000" w:themeColor="text1"/>
          <w:sz w:val="20"/>
          <w:szCs w:val="20"/>
          <w:lang w:val="es-VE"/>
        </w:rPr>
        <w:t>legó</w:t>
      </w:r>
      <w:r w:rsidR="00B73927" w:rsidRPr="00B30163">
        <w:rPr>
          <w:rFonts w:ascii="Cambria" w:hAnsi="Cambria"/>
          <w:color w:val="000000" w:themeColor="text1"/>
          <w:sz w:val="20"/>
          <w:szCs w:val="20"/>
          <w:lang w:val="es-VE"/>
        </w:rPr>
        <w:t xml:space="preserve"> que no</w:t>
      </w:r>
      <w:r w:rsidR="002076B1">
        <w:rPr>
          <w:rFonts w:ascii="Cambria" w:hAnsi="Cambria"/>
          <w:color w:val="000000" w:themeColor="text1"/>
          <w:sz w:val="20"/>
          <w:szCs w:val="20"/>
          <w:lang w:val="es-VE"/>
        </w:rPr>
        <w:t xml:space="preserve"> se</w:t>
      </w:r>
      <w:r w:rsidR="00B73927" w:rsidRPr="00B30163">
        <w:rPr>
          <w:rFonts w:ascii="Cambria" w:hAnsi="Cambria"/>
          <w:color w:val="000000" w:themeColor="text1"/>
          <w:sz w:val="20"/>
          <w:szCs w:val="20"/>
          <w:lang w:val="es-VE"/>
        </w:rPr>
        <w:t xml:space="preserve"> puede tratar el Estado como “culpable” mientras no se establece</w:t>
      </w:r>
      <w:r w:rsidR="00152F6A" w:rsidRPr="00B30163">
        <w:rPr>
          <w:rFonts w:ascii="Cambria" w:hAnsi="Cambria"/>
          <w:color w:val="000000" w:themeColor="text1"/>
          <w:sz w:val="20"/>
          <w:szCs w:val="20"/>
          <w:lang w:val="es-VE"/>
        </w:rPr>
        <w:t>n</w:t>
      </w:r>
      <w:r w:rsidR="00B73927" w:rsidRPr="00B30163">
        <w:rPr>
          <w:rFonts w:ascii="Cambria" w:hAnsi="Cambria"/>
          <w:color w:val="000000" w:themeColor="text1"/>
          <w:sz w:val="20"/>
          <w:szCs w:val="20"/>
          <w:lang w:val="es-VE"/>
        </w:rPr>
        <w:t xml:space="preserve"> las responsabilidades penales definitivas mediante sentencia judicial, pues esto violaría el principio de la presunción de inocencia.</w:t>
      </w:r>
      <w:r w:rsidR="000A7403" w:rsidRPr="00B30163">
        <w:rPr>
          <w:rFonts w:ascii="Cambria" w:hAnsi="Cambria"/>
          <w:color w:val="000000" w:themeColor="text1"/>
          <w:sz w:val="20"/>
          <w:szCs w:val="20"/>
          <w:lang w:val="es-VE"/>
        </w:rPr>
        <w:t xml:space="preserve"> </w:t>
      </w:r>
    </w:p>
    <w:p w14:paraId="07322D1B" w14:textId="77777777" w:rsidR="008266A7" w:rsidRPr="000A7403" w:rsidRDefault="008266A7" w:rsidP="000A7403">
      <w:pPr>
        <w:rPr>
          <w:color w:val="FF0000"/>
          <w:sz w:val="20"/>
          <w:szCs w:val="20"/>
          <w:lang w:val="es-AR"/>
        </w:rPr>
      </w:pPr>
    </w:p>
    <w:p w14:paraId="2AF92A7E" w14:textId="77777777" w:rsidR="00D12193" w:rsidRDefault="00D12193" w:rsidP="004F5025">
      <w:pPr>
        <w:pStyle w:val="Heading1"/>
      </w:pPr>
      <w:bookmarkStart w:id="6" w:name="_Toc527708404"/>
      <w:r w:rsidRPr="00E909AA">
        <w:t>DETERMINACIONES DE HECHO</w:t>
      </w:r>
      <w:bookmarkEnd w:id="6"/>
    </w:p>
    <w:p w14:paraId="60A1F847" w14:textId="77777777" w:rsidR="00F91D10" w:rsidRPr="00BA545C" w:rsidRDefault="00F91D10" w:rsidP="00BA545C">
      <w:pPr>
        <w:rPr>
          <w:rFonts w:asciiTheme="majorHAnsi" w:hAnsiTheme="majorHAnsi"/>
          <w:b/>
          <w:sz w:val="20"/>
          <w:szCs w:val="20"/>
          <w:lang w:val="es-ES_tradnl"/>
        </w:rPr>
      </w:pPr>
    </w:p>
    <w:p w14:paraId="47F5B82A" w14:textId="2D738967" w:rsidR="00F91D10" w:rsidRDefault="0094652F" w:rsidP="004F5025">
      <w:pPr>
        <w:pStyle w:val="Heading2"/>
        <w:numPr>
          <w:ilvl w:val="0"/>
          <w:numId w:val="76"/>
        </w:numPr>
        <w:ind w:left="1440" w:hanging="810"/>
      </w:pPr>
      <w:bookmarkStart w:id="7" w:name="_Toc527708405"/>
      <w:r>
        <w:t>Las presuntas víctimas y sus familiares</w:t>
      </w:r>
      <w:bookmarkEnd w:id="7"/>
    </w:p>
    <w:p w14:paraId="70E01A4E" w14:textId="77777777" w:rsidR="0026135D" w:rsidRPr="0026135D" w:rsidRDefault="0026135D" w:rsidP="0026135D">
      <w:pPr>
        <w:jc w:val="both"/>
        <w:rPr>
          <w:rFonts w:asciiTheme="majorHAnsi" w:hAnsiTheme="majorHAnsi"/>
          <w:b/>
          <w:sz w:val="20"/>
          <w:szCs w:val="20"/>
          <w:lang w:val="es-ES_tradnl"/>
        </w:rPr>
      </w:pPr>
    </w:p>
    <w:p w14:paraId="55736BC9" w14:textId="5ECBDFFE" w:rsidR="0026135D" w:rsidRPr="004F5025" w:rsidRDefault="0026135D" w:rsidP="004F5025">
      <w:pPr>
        <w:pStyle w:val="Heading3"/>
      </w:pPr>
      <w:bookmarkStart w:id="8" w:name="_Toc527708406"/>
      <w:r w:rsidRPr="004F5025">
        <w:t>Las presuntas víctimas fallecidas</w:t>
      </w:r>
      <w:bookmarkEnd w:id="8"/>
    </w:p>
    <w:p w14:paraId="1928A95B" w14:textId="77777777" w:rsidR="00F91D10" w:rsidRPr="004F00DC" w:rsidRDefault="00F91D10" w:rsidP="00F91D10">
      <w:pPr>
        <w:pStyle w:val="ListParagraph"/>
        <w:rPr>
          <w:rFonts w:asciiTheme="majorHAnsi" w:hAnsiTheme="majorHAnsi"/>
          <w:b/>
          <w:color w:val="auto"/>
          <w:sz w:val="20"/>
          <w:szCs w:val="20"/>
          <w:lang w:val="es-ES_tradnl"/>
        </w:rPr>
      </w:pPr>
    </w:p>
    <w:p w14:paraId="30FA38D3" w14:textId="1A434189" w:rsidR="004F00DC" w:rsidRPr="001939AC" w:rsidRDefault="008B2B7E" w:rsidP="004F00D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sidRPr="004F00DC">
        <w:rPr>
          <w:rFonts w:ascii="Cambria" w:hAnsi="Cambria"/>
          <w:sz w:val="20"/>
          <w:szCs w:val="20"/>
          <w:lang w:val="es-VE"/>
        </w:rPr>
        <w:t>Orlando Edgardo Olivares Muñoz</w:t>
      </w:r>
      <w:r w:rsidR="009F04EF">
        <w:rPr>
          <w:rFonts w:ascii="Cambria" w:hAnsi="Cambria"/>
          <w:sz w:val="20"/>
          <w:szCs w:val="20"/>
          <w:lang w:val="es-VE"/>
        </w:rPr>
        <w:t xml:space="preserve"> (quien nació </w:t>
      </w:r>
      <w:r w:rsidR="009F04EF" w:rsidRPr="004F00DC">
        <w:rPr>
          <w:rFonts w:ascii="Cambria" w:hAnsi="Cambria"/>
          <w:sz w:val="20"/>
          <w:szCs w:val="20"/>
          <w:lang w:val="es-VE"/>
        </w:rPr>
        <w:t xml:space="preserve">el 29 de diciembre de 1965 en </w:t>
      </w:r>
      <w:r w:rsidR="009F04EF">
        <w:rPr>
          <w:rFonts w:ascii="Cambria" w:hAnsi="Cambria"/>
          <w:sz w:val="20"/>
          <w:szCs w:val="20"/>
          <w:lang w:val="es-VE"/>
        </w:rPr>
        <w:t xml:space="preserve">la República de </w:t>
      </w:r>
      <w:r w:rsidR="009F04EF" w:rsidRPr="004F00DC">
        <w:rPr>
          <w:rFonts w:ascii="Cambria" w:hAnsi="Cambria"/>
          <w:sz w:val="20"/>
          <w:szCs w:val="20"/>
          <w:lang w:val="es-VE"/>
        </w:rPr>
        <w:t>Chile</w:t>
      </w:r>
      <w:r w:rsidR="009F04EF" w:rsidRPr="004F00DC">
        <w:rPr>
          <w:rStyle w:val="FootnoteReference"/>
          <w:rFonts w:ascii="Cambria" w:hAnsi="Cambria"/>
          <w:sz w:val="20"/>
          <w:szCs w:val="20"/>
          <w:lang w:val="es-VE"/>
        </w:rPr>
        <w:footnoteReference w:id="4"/>
      </w:r>
      <w:r w:rsidR="009F04EF">
        <w:rPr>
          <w:rFonts w:ascii="Cambria" w:hAnsi="Cambria"/>
          <w:sz w:val="20"/>
          <w:szCs w:val="20"/>
          <w:lang w:val="es-VE"/>
        </w:rPr>
        <w:t>)</w:t>
      </w:r>
      <w:r w:rsidRPr="004F00DC">
        <w:rPr>
          <w:rFonts w:ascii="Cambria" w:hAnsi="Cambria"/>
          <w:sz w:val="20"/>
          <w:szCs w:val="20"/>
          <w:lang w:val="es-VE"/>
        </w:rPr>
        <w:t>, Joel Rinaldi Reyes Nava</w:t>
      </w:r>
      <w:r w:rsidR="009F04EF">
        <w:rPr>
          <w:rFonts w:ascii="Cambria" w:hAnsi="Cambria"/>
          <w:sz w:val="20"/>
          <w:szCs w:val="20"/>
          <w:lang w:val="es-VE"/>
        </w:rPr>
        <w:t xml:space="preserve"> (quien </w:t>
      </w:r>
      <w:r w:rsidR="009F04EF" w:rsidRPr="004F00DC">
        <w:rPr>
          <w:rFonts w:ascii="Cambria" w:hAnsi="Cambria"/>
          <w:sz w:val="20"/>
          <w:szCs w:val="20"/>
          <w:lang w:val="es-VE"/>
        </w:rPr>
        <w:t>nació el 12 de junio de 1982</w:t>
      </w:r>
      <w:r w:rsidR="009F04EF" w:rsidRPr="004F00DC">
        <w:rPr>
          <w:rStyle w:val="FootnoteReference"/>
          <w:rFonts w:ascii="Cambria" w:hAnsi="Cambria"/>
          <w:sz w:val="20"/>
          <w:szCs w:val="20"/>
          <w:lang w:val="es-VE"/>
        </w:rPr>
        <w:footnoteReference w:id="5"/>
      </w:r>
      <w:r w:rsidR="009F04EF">
        <w:rPr>
          <w:rFonts w:ascii="Cambria" w:hAnsi="Cambria"/>
          <w:sz w:val="20"/>
          <w:szCs w:val="20"/>
          <w:lang w:val="es-VE"/>
        </w:rPr>
        <w:t>)</w:t>
      </w:r>
      <w:r w:rsidRPr="004F00DC">
        <w:rPr>
          <w:rFonts w:ascii="Cambria" w:hAnsi="Cambria"/>
          <w:sz w:val="20"/>
          <w:szCs w:val="20"/>
          <w:lang w:val="es-VE"/>
        </w:rPr>
        <w:t>, Orangel José Figueroa</w:t>
      </w:r>
      <w:r w:rsidR="008E63D2">
        <w:rPr>
          <w:rFonts w:ascii="Cambria" w:hAnsi="Cambria"/>
          <w:sz w:val="20"/>
          <w:szCs w:val="20"/>
          <w:lang w:val="es-VE"/>
        </w:rPr>
        <w:t xml:space="preserve"> (quien </w:t>
      </w:r>
      <w:r w:rsidR="008E63D2" w:rsidRPr="004F00DC">
        <w:rPr>
          <w:rFonts w:ascii="Cambria" w:hAnsi="Cambria"/>
          <w:sz w:val="20"/>
          <w:szCs w:val="20"/>
          <w:lang w:val="es-VE"/>
        </w:rPr>
        <w:t>nació el 7 de octubre de 1982</w:t>
      </w:r>
      <w:r w:rsidR="008E63D2" w:rsidRPr="004F00DC">
        <w:rPr>
          <w:rStyle w:val="FootnoteReference"/>
          <w:rFonts w:ascii="Cambria" w:hAnsi="Cambria"/>
          <w:sz w:val="20"/>
          <w:szCs w:val="20"/>
          <w:lang w:val="es-VE"/>
        </w:rPr>
        <w:footnoteReference w:id="6"/>
      </w:r>
      <w:r w:rsidR="008E63D2">
        <w:rPr>
          <w:rFonts w:ascii="Cambria" w:hAnsi="Cambria"/>
          <w:sz w:val="20"/>
          <w:szCs w:val="20"/>
          <w:lang w:val="es-VE"/>
        </w:rPr>
        <w:t>)</w:t>
      </w:r>
      <w:r w:rsidRPr="004F00DC">
        <w:rPr>
          <w:rFonts w:ascii="Cambria" w:hAnsi="Cambria"/>
          <w:sz w:val="20"/>
          <w:szCs w:val="20"/>
          <w:lang w:val="es-VE"/>
        </w:rPr>
        <w:t xml:space="preserve">, Héctor </w:t>
      </w:r>
      <w:r w:rsidR="00412E35">
        <w:rPr>
          <w:rFonts w:ascii="Cambria" w:hAnsi="Cambria"/>
          <w:sz w:val="20"/>
          <w:szCs w:val="20"/>
          <w:lang w:val="es-VE"/>
        </w:rPr>
        <w:t>Javier</w:t>
      </w:r>
      <w:r w:rsidRPr="004F00DC">
        <w:rPr>
          <w:rFonts w:ascii="Cambria" w:hAnsi="Cambria"/>
          <w:sz w:val="20"/>
          <w:szCs w:val="20"/>
          <w:lang w:val="es-VE"/>
        </w:rPr>
        <w:t xml:space="preserve"> Muñoz Valer</w:t>
      </w:r>
      <w:r w:rsidR="00412E35">
        <w:rPr>
          <w:rFonts w:ascii="Cambria" w:hAnsi="Cambria"/>
          <w:sz w:val="20"/>
          <w:szCs w:val="20"/>
          <w:lang w:val="es-VE"/>
        </w:rPr>
        <w:t>i</w:t>
      </w:r>
      <w:r w:rsidRPr="004F00DC">
        <w:rPr>
          <w:rFonts w:ascii="Cambria" w:hAnsi="Cambria"/>
          <w:sz w:val="20"/>
          <w:szCs w:val="20"/>
          <w:lang w:val="es-VE"/>
        </w:rPr>
        <w:t>o</w:t>
      </w:r>
      <w:r w:rsidR="009F04EF">
        <w:rPr>
          <w:rFonts w:ascii="Cambria" w:hAnsi="Cambria"/>
          <w:sz w:val="20"/>
          <w:szCs w:val="20"/>
          <w:lang w:val="es-VE"/>
        </w:rPr>
        <w:t xml:space="preserve"> (quien </w:t>
      </w:r>
      <w:r w:rsidR="009F04EF" w:rsidRPr="004F00DC">
        <w:rPr>
          <w:rFonts w:ascii="Cambria" w:hAnsi="Cambria"/>
          <w:sz w:val="20"/>
          <w:szCs w:val="20"/>
          <w:lang w:val="es-VE"/>
        </w:rPr>
        <w:t>nació el 16 de octubre de 1981</w:t>
      </w:r>
      <w:r w:rsidR="009F04EF" w:rsidRPr="004F00DC">
        <w:rPr>
          <w:rStyle w:val="FootnoteReference"/>
          <w:rFonts w:ascii="Cambria" w:hAnsi="Cambria"/>
          <w:sz w:val="20"/>
          <w:szCs w:val="20"/>
          <w:lang w:val="es-VE"/>
        </w:rPr>
        <w:footnoteReference w:id="7"/>
      </w:r>
      <w:r w:rsidR="009F04EF">
        <w:rPr>
          <w:rFonts w:ascii="Cambria" w:hAnsi="Cambria"/>
          <w:sz w:val="20"/>
          <w:szCs w:val="20"/>
          <w:lang w:val="es-VE"/>
        </w:rPr>
        <w:t>)</w:t>
      </w:r>
      <w:r w:rsidRPr="004F00DC">
        <w:rPr>
          <w:rFonts w:ascii="Cambria" w:hAnsi="Cambria"/>
          <w:sz w:val="20"/>
          <w:szCs w:val="20"/>
          <w:lang w:val="es-VE"/>
        </w:rPr>
        <w:t xml:space="preserve">, Pedro </w:t>
      </w:r>
      <w:r w:rsidR="00412E35">
        <w:rPr>
          <w:rFonts w:ascii="Cambria" w:hAnsi="Cambria"/>
          <w:sz w:val="20"/>
          <w:szCs w:val="20"/>
          <w:lang w:val="es-VE"/>
        </w:rPr>
        <w:t>Ramón</w:t>
      </w:r>
      <w:r w:rsidRPr="004F00DC">
        <w:rPr>
          <w:rFonts w:ascii="Cambria" w:hAnsi="Cambria"/>
          <w:sz w:val="20"/>
          <w:szCs w:val="20"/>
          <w:lang w:val="es-VE"/>
        </w:rPr>
        <w:t xml:space="preserve"> López Chaurán</w:t>
      </w:r>
      <w:r w:rsidR="000E5012">
        <w:rPr>
          <w:rFonts w:ascii="Cambria" w:hAnsi="Cambria"/>
          <w:sz w:val="20"/>
          <w:szCs w:val="20"/>
          <w:lang w:val="es-VE"/>
        </w:rPr>
        <w:t xml:space="preserve"> (quien </w:t>
      </w:r>
      <w:r w:rsidR="000E5012" w:rsidRPr="004F00DC">
        <w:rPr>
          <w:rFonts w:ascii="Cambria" w:hAnsi="Cambria"/>
          <w:sz w:val="20"/>
          <w:szCs w:val="20"/>
          <w:lang w:val="es-VE"/>
        </w:rPr>
        <w:t>nació en el año 1978</w:t>
      </w:r>
      <w:r w:rsidR="000E5012" w:rsidRPr="004F00DC">
        <w:rPr>
          <w:rStyle w:val="FootnoteReference"/>
          <w:rFonts w:ascii="Cambria" w:hAnsi="Cambria"/>
          <w:sz w:val="20"/>
          <w:szCs w:val="20"/>
          <w:lang w:val="es-VE"/>
        </w:rPr>
        <w:footnoteReference w:id="8"/>
      </w:r>
      <w:r w:rsidR="000E5012">
        <w:rPr>
          <w:rFonts w:ascii="Cambria" w:hAnsi="Cambria"/>
          <w:sz w:val="20"/>
          <w:szCs w:val="20"/>
          <w:lang w:val="es-VE"/>
        </w:rPr>
        <w:t>)</w:t>
      </w:r>
      <w:r w:rsidRPr="004F00DC">
        <w:rPr>
          <w:rFonts w:ascii="Cambria" w:hAnsi="Cambria"/>
          <w:sz w:val="20"/>
          <w:szCs w:val="20"/>
          <w:lang w:val="es-VE"/>
        </w:rPr>
        <w:t>, José Gregorio Bolívar Corro</w:t>
      </w:r>
      <w:r w:rsidR="00CA3E64">
        <w:rPr>
          <w:rFonts w:ascii="Cambria" w:hAnsi="Cambria"/>
          <w:sz w:val="20"/>
          <w:szCs w:val="20"/>
          <w:lang w:val="es-VE"/>
        </w:rPr>
        <w:t xml:space="preserve"> (quien</w:t>
      </w:r>
      <w:r w:rsidR="00CA3E64" w:rsidRPr="00CA3E64">
        <w:rPr>
          <w:rFonts w:ascii="Cambria" w:hAnsi="Cambria"/>
          <w:sz w:val="20"/>
          <w:szCs w:val="20"/>
          <w:lang w:val="es-VE"/>
        </w:rPr>
        <w:t xml:space="preserve"> </w:t>
      </w:r>
      <w:r w:rsidR="00CA3E64" w:rsidRPr="004F00DC">
        <w:rPr>
          <w:rFonts w:ascii="Cambria" w:hAnsi="Cambria"/>
          <w:sz w:val="20"/>
          <w:szCs w:val="20"/>
          <w:lang w:val="es-VE"/>
        </w:rPr>
        <w:t>nació el 19 de mayo de 1975</w:t>
      </w:r>
      <w:r w:rsidR="00CA3E64" w:rsidRPr="004F00DC">
        <w:rPr>
          <w:rStyle w:val="FootnoteReference"/>
          <w:rFonts w:ascii="Cambria" w:hAnsi="Cambria"/>
          <w:sz w:val="20"/>
          <w:szCs w:val="20"/>
          <w:lang w:val="es-VE"/>
        </w:rPr>
        <w:footnoteReference w:id="9"/>
      </w:r>
      <w:r w:rsidR="00CA3E64">
        <w:rPr>
          <w:rFonts w:ascii="Cambria" w:hAnsi="Cambria"/>
          <w:sz w:val="20"/>
          <w:szCs w:val="20"/>
          <w:lang w:val="es-VE"/>
        </w:rPr>
        <w:t>)</w:t>
      </w:r>
      <w:r w:rsidRPr="004F00DC">
        <w:rPr>
          <w:rFonts w:ascii="Cambria" w:hAnsi="Cambria"/>
          <w:sz w:val="20"/>
          <w:szCs w:val="20"/>
          <w:lang w:val="es-VE"/>
        </w:rPr>
        <w:t xml:space="preserve"> y Richard Alexis Núñez Palma</w:t>
      </w:r>
      <w:r w:rsidR="000E5012">
        <w:rPr>
          <w:rFonts w:ascii="Cambria" w:hAnsi="Cambria"/>
          <w:sz w:val="20"/>
          <w:szCs w:val="20"/>
          <w:lang w:val="es-VE"/>
        </w:rPr>
        <w:t xml:space="preserve"> (quien </w:t>
      </w:r>
      <w:r w:rsidR="000E5012" w:rsidRPr="004F00DC">
        <w:rPr>
          <w:rFonts w:ascii="Cambria" w:hAnsi="Cambria"/>
          <w:sz w:val="20"/>
          <w:szCs w:val="20"/>
          <w:lang w:val="es-VE"/>
        </w:rPr>
        <w:t>nació el 28 de mayo de 1978</w:t>
      </w:r>
      <w:r w:rsidR="000E5012" w:rsidRPr="004F00DC">
        <w:rPr>
          <w:rStyle w:val="FootnoteReference"/>
          <w:rFonts w:ascii="Cambria" w:hAnsi="Cambria"/>
          <w:sz w:val="20"/>
          <w:szCs w:val="20"/>
          <w:lang w:val="es-VE"/>
        </w:rPr>
        <w:footnoteReference w:id="10"/>
      </w:r>
      <w:r w:rsidR="000E5012">
        <w:rPr>
          <w:rFonts w:ascii="Cambria" w:hAnsi="Cambria"/>
          <w:sz w:val="20"/>
          <w:szCs w:val="20"/>
          <w:lang w:val="es-VE"/>
        </w:rPr>
        <w:t>)</w:t>
      </w:r>
      <w:r w:rsidR="005569B8">
        <w:rPr>
          <w:rFonts w:ascii="Cambria" w:hAnsi="Cambria"/>
          <w:sz w:val="20"/>
          <w:szCs w:val="20"/>
          <w:lang w:val="es-VE"/>
        </w:rPr>
        <w:t>,</w:t>
      </w:r>
      <w:r w:rsidRPr="004F00DC">
        <w:rPr>
          <w:rFonts w:ascii="Cambria" w:hAnsi="Cambria"/>
          <w:sz w:val="20"/>
          <w:szCs w:val="20"/>
          <w:lang w:val="es-VE"/>
        </w:rPr>
        <w:t xml:space="preserve"> eran internos de la Cárcel de Vista Hermosa, Estado Bolívar</w:t>
      </w:r>
      <w:r w:rsidR="005569B8">
        <w:rPr>
          <w:rFonts w:ascii="Cambria" w:hAnsi="Cambria"/>
          <w:sz w:val="20"/>
          <w:szCs w:val="20"/>
          <w:lang w:val="es-VE"/>
        </w:rPr>
        <w:t xml:space="preserve"> y </w:t>
      </w:r>
      <w:r w:rsidR="00412E35">
        <w:rPr>
          <w:rFonts w:ascii="Cambria" w:hAnsi="Cambria"/>
          <w:sz w:val="20"/>
          <w:szCs w:val="20"/>
          <w:lang w:val="es-VE"/>
        </w:rPr>
        <w:t>fallecieron</w:t>
      </w:r>
      <w:r w:rsidR="004F00DC" w:rsidRPr="004F00DC">
        <w:rPr>
          <w:rFonts w:ascii="Cambria" w:hAnsi="Cambria"/>
          <w:sz w:val="20"/>
          <w:szCs w:val="20"/>
          <w:lang w:val="es-VE"/>
        </w:rPr>
        <w:t xml:space="preserve"> </w:t>
      </w:r>
      <w:r w:rsidR="005569B8">
        <w:rPr>
          <w:rFonts w:ascii="Cambria" w:hAnsi="Cambria"/>
          <w:sz w:val="20"/>
          <w:szCs w:val="20"/>
          <w:lang w:val="es-VE"/>
        </w:rPr>
        <w:t xml:space="preserve">en dicho lugar </w:t>
      </w:r>
      <w:r w:rsidR="004F00DC" w:rsidRPr="004F00DC">
        <w:rPr>
          <w:rFonts w:ascii="Cambria" w:hAnsi="Cambria"/>
          <w:sz w:val="20"/>
          <w:szCs w:val="20"/>
          <w:lang w:val="es-VE"/>
        </w:rPr>
        <w:t>el 10 de noviembre de 2003</w:t>
      </w:r>
      <w:r w:rsidR="004F00DC" w:rsidRPr="004F00DC">
        <w:rPr>
          <w:rStyle w:val="FootnoteReference"/>
          <w:rFonts w:ascii="Cambria" w:hAnsi="Cambria"/>
          <w:sz w:val="20"/>
          <w:szCs w:val="20"/>
          <w:lang w:val="es-VE"/>
        </w:rPr>
        <w:footnoteReference w:id="11"/>
      </w:r>
      <w:r w:rsidR="004F00DC" w:rsidRPr="004F00DC">
        <w:rPr>
          <w:rFonts w:ascii="Cambria" w:hAnsi="Cambria"/>
          <w:sz w:val="20"/>
          <w:szCs w:val="20"/>
          <w:lang w:val="es-VE"/>
        </w:rPr>
        <w:t xml:space="preserve">. </w:t>
      </w:r>
    </w:p>
    <w:p w14:paraId="16AEED0F" w14:textId="77777777" w:rsidR="00284252" w:rsidRPr="001939AC" w:rsidRDefault="00284252" w:rsidP="001939A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
          <w:sz w:val="20"/>
          <w:szCs w:val="20"/>
          <w:lang w:val="es-ES_tradnl"/>
        </w:rPr>
      </w:pPr>
    </w:p>
    <w:p w14:paraId="0A845187" w14:textId="09579B9C" w:rsidR="00284252" w:rsidRPr="00284252" w:rsidRDefault="00284252" w:rsidP="0028425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lastRenderedPageBreak/>
        <w:t>La Comisión cuenta con los nombres de los siguientes familiares:</w:t>
      </w:r>
      <w:r w:rsidRPr="004F00DC">
        <w:rPr>
          <w:rFonts w:asciiTheme="majorHAnsi" w:hAnsiTheme="majorHAnsi"/>
          <w:sz w:val="20"/>
          <w:szCs w:val="20"/>
          <w:lang w:val="es-ES_tradnl"/>
        </w:rPr>
        <w:t xml:space="preserve"> </w:t>
      </w:r>
      <w:r>
        <w:rPr>
          <w:rFonts w:asciiTheme="majorHAnsi" w:hAnsiTheme="majorHAnsi"/>
          <w:sz w:val="20"/>
          <w:szCs w:val="20"/>
          <w:lang w:val="es-ES_tradnl"/>
        </w:rPr>
        <w:t>Lorenza Josefina Pérez de Olivares, esposa de Orlando Olivares</w:t>
      </w:r>
      <w:r>
        <w:rPr>
          <w:rStyle w:val="FootnoteReference"/>
          <w:rFonts w:asciiTheme="majorHAnsi" w:hAnsiTheme="majorHAnsi"/>
          <w:sz w:val="20"/>
          <w:szCs w:val="20"/>
          <w:lang w:val="es-ES_tradnl"/>
        </w:rPr>
        <w:footnoteReference w:id="12"/>
      </w:r>
      <w:r>
        <w:rPr>
          <w:rFonts w:asciiTheme="majorHAnsi" w:hAnsiTheme="majorHAnsi"/>
          <w:sz w:val="20"/>
          <w:szCs w:val="20"/>
          <w:lang w:val="es-ES_tradnl"/>
        </w:rPr>
        <w:t xml:space="preserve">; </w:t>
      </w:r>
      <w:r w:rsidRPr="00953F86">
        <w:rPr>
          <w:rFonts w:asciiTheme="majorHAnsi" w:hAnsiTheme="majorHAnsi"/>
          <w:sz w:val="20"/>
          <w:szCs w:val="20"/>
          <w:lang w:val="es-ES_tradnl"/>
        </w:rPr>
        <w:t>Elizabeth del Carmen Cañizales Palma, hermana de Richard Nuñez; Elías José Aguirre Navas, cuñado de José Gregorio Bolívar; Yngris Lorena Muñoz Valerio, hermana de Héctor Muñoz; José Luis Figueroa, hermano de Orangel Figueroa; Jenny Leomelia Reyes Guzmán, hermana de Joel Reyes</w:t>
      </w:r>
      <w:r>
        <w:rPr>
          <w:rFonts w:asciiTheme="majorHAnsi" w:hAnsiTheme="majorHAnsi"/>
          <w:sz w:val="20"/>
          <w:szCs w:val="20"/>
          <w:lang w:val="es-ES_tradnl"/>
        </w:rPr>
        <w:t xml:space="preserve"> Nava</w:t>
      </w:r>
      <w:r w:rsidRPr="00953F86">
        <w:rPr>
          <w:rFonts w:asciiTheme="majorHAnsi" w:hAnsiTheme="majorHAnsi"/>
          <w:sz w:val="20"/>
          <w:szCs w:val="20"/>
          <w:lang w:val="es-ES_tradnl"/>
        </w:rPr>
        <w:t>;</w:t>
      </w:r>
      <w:r>
        <w:rPr>
          <w:rFonts w:asciiTheme="majorHAnsi" w:hAnsiTheme="majorHAnsi"/>
          <w:sz w:val="20"/>
          <w:szCs w:val="20"/>
          <w:lang w:val="es-ES_tradnl"/>
        </w:rPr>
        <w:t xml:space="preserve"> y</w:t>
      </w:r>
      <w:r w:rsidRPr="00953F86">
        <w:rPr>
          <w:rFonts w:asciiTheme="majorHAnsi" w:hAnsiTheme="majorHAnsi"/>
          <w:sz w:val="20"/>
          <w:szCs w:val="20"/>
          <w:lang w:val="es-ES_tradnl"/>
        </w:rPr>
        <w:t xml:space="preserve"> Johamnata Martínez Coralis, esposa de Pedro López Chaur</w:t>
      </w:r>
      <w:r>
        <w:rPr>
          <w:rFonts w:asciiTheme="majorHAnsi" w:hAnsiTheme="majorHAnsi"/>
          <w:sz w:val="20"/>
          <w:szCs w:val="20"/>
          <w:lang w:val="es-ES_tradnl"/>
        </w:rPr>
        <w:t>á</w:t>
      </w:r>
      <w:r w:rsidRPr="00953F86">
        <w:rPr>
          <w:rFonts w:asciiTheme="majorHAnsi" w:hAnsiTheme="majorHAnsi"/>
          <w:sz w:val="20"/>
          <w:szCs w:val="20"/>
          <w:lang w:val="es-ES_tradnl"/>
        </w:rPr>
        <w:t>n</w:t>
      </w:r>
      <w:r>
        <w:rPr>
          <w:rStyle w:val="FootnoteReference"/>
          <w:rFonts w:asciiTheme="majorHAnsi" w:hAnsiTheme="majorHAnsi"/>
          <w:sz w:val="20"/>
          <w:szCs w:val="20"/>
          <w:lang w:val="es-ES_tradnl"/>
        </w:rPr>
        <w:footnoteReference w:id="13"/>
      </w:r>
      <w:r w:rsidRPr="00953F86">
        <w:rPr>
          <w:rFonts w:asciiTheme="majorHAnsi" w:hAnsiTheme="majorHAnsi"/>
          <w:sz w:val="20"/>
          <w:szCs w:val="20"/>
          <w:lang w:val="es-ES_tradnl"/>
        </w:rPr>
        <w:t>.</w:t>
      </w:r>
    </w:p>
    <w:p w14:paraId="57EAAE34" w14:textId="77777777" w:rsidR="00412E35" w:rsidRPr="00412E35" w:rsidRDefault="00412E35" w:rsidP="00412E3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59CE7B88" w14:textId="77777777" w:rsidR="0026135D" w:rsidRDefault="0026135D" w:rsidP="004F5025">
      <w:pPr>
        <w:pStyle w:val="Heading3"/>
      </w:pPr>
      <w:bookmarkStart w:id="9" w:name="_Toc527708407"/>
      <w:r w:rsidRPr="001939AC">
        <w:t>Las</w:t>
      </w:r>
      <w:r>
        <w:t xml:space="preserve"> presuntas víctimas heridas</w:t>
      </w:r>
      <w:bookmarkEnd w:id="9"/>
    </w:p>
    <w:p w14:paraId="4DE89A30" w14:textId="35D5E428" w:rsidR="003E1DC3" w:rsidRPr="003E1DC3" w:rsidRDefault="003E1DC3" w:rsidP="003E1DC3">
      <w:pPr>
        <w:jc w:val="both"/>
        <w:rPr>
          <w:rFonts w:asciiTheme="majorHAnsi" w:hAnsiTheme="majorHAnsi"/>
          <w:b/>
          <w:sz w:val="20"/>
          <w:szCs w:val="20"/>
          <w:lang w:val="es-ES_tradnl"/>
        </w:rPr>
      </w:pPr>
    </w:p>
    <w:p w14:paraId="6051171E" w14:textId="772EB56E" w:rsidR="005B3A96" w:rsidRPr="003F6F66" w:rsidRDefault="006264FA" w:rsidP="003F6F6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US"/>
        </w:rPr>
        <w:t xml:space="preserve">Las partes </w:t>
      </w:r>
      <w:r w:rsidR="0058717B">
        <w:rPr>
          <w:rFonts w:asciiTheme="majorHAnsi" w:hAnsiTheme="majorHAnsi"/>
          <w:sz w:val="20"/>
          <w:szCs w:val="20"/>
          <w:lang w:val="es-US"/>
        </w:rPr>
        <w:t>identifica</w:t>
      </w:r>
      <w:r w:rsidR="004B2581">
        <w:rPr>
          <w:rFonts w:asciiTheme="majorHAnsi" w:hAnsiTheme="majorHAnsi"/>
          <w:sz w:val="20"/>
          <w:szCs w:val="20"/>
          <w:lang w:val="es-US"/>
        </w:rPr>
        <w:t>ro</w:t>
      </w:r>
      <w:r w:rsidR="0058717B">
        <w:rPr>
          <w:rFonts w:asciiTheme="majorHAnsi" w:hAnsiTheme="majorHAnsi"/>
          <w:sz w:val="20"/>
          <w:szCs w:val="20"/>
          <w:lang w:val="es-US"/>
        </w:rPr>
        <w:t>n “aproximadamente 27 internos lesionados” como resultado de los hechos del 10 de noviembre de 2003</w:t>
      </w:r>
      <w:r w:rsidR="0058717B">
        <w:rPr>
          <w:rStyle w:val="FootnoteReference"/>
          <w:rFonts w:asciiTheme="majorHAnsi" w:hAnsiTheme="majorHAnsi"/>
          <w:sz w:val="20"/>
          <w:szCs w:val="20"/>
          <w:lang w:val="es-US"/>
        </w:rPr>
        <w:footnoteReference w:id="14"/>
      </w:r>
      <w:r w:rsidR="0058717B">
        <w:rPr>
          <w:rFonts w:asciiTheme="majorHAnsi" w:hAnsiTheme="majorHAnsi"/>
          <w:sz w:val="20"/>
          <w:szCs w:val="20"/>
          <w:lang w:val="es-US"/>
        </w:rPr>
        <w:t>. La parte peticionaria identific</w:t>
      </w:r>
      <w:r w:rsidR="00360459">
        <w:rPr>
          <w:rFonts w:asciiTheme="majorHAnsi" w:hAnsiTheme="majorHAnsi"/>
          <w:sz w:val="20"/>
          <w:szCs w:val="20"/>
          <w:lang w:val="es-US"/>
        </w:rPr>
        <w:t>ó a las siguientes 31 personas como presuntas víctimas heridas</w:t>
      </w:r>
      <w:r w:rsidR="003E1DC3" w:rsidRPr="003E1DC3">
        <w:rPr>
          <w:rFonts w:asciiTheme="majorHAnsi" w:hAnsiTheme="majorHAnsi"/>
          <w:sz w:val="20"/>
          <w:szCs w:val="20"/>
          <w:lang w:val="es-US"/>
        </w:rPr>
        <w:t>: Ramón Zambrano, Jovanny Palomo, Carlos Durán, Richard Vallez, Carlos Alberto</w:t>
      </w:r>
      <w:r w:rsidR="0058717B">
        <w:rPr>
          <w:rFonts w:asciiTheme="majorHAnsi" w:hAnsiTheme="majorHAnsi"/>
          <w:sz w:val="20"/>
          <w:szCs w:val="20"/>
          <w:lang w:val="es-US"/>
        </w:rPr>
        <w:t xml:space="preserve"> </w:t>
      </w:r>
      <w:r w:rsidR="0058717B" w:rsidRPr="003E1DC3">
        <w:rPr>
          <w:rFonts w:asciiTheme="majorHAnsi" w:hAnsiTheme="majorHAnsi"/>
          <w:sz w:val="20"/>
          <w:szCs w:val="20"/>
          <w:lang w:val="es-US"/>
        </w:rPr>
        <w:t>Torres</w:t>
      </w:r>
      <w:r w:rsidR="003E1DC3" w:rsidRPr="003E1DC3">
        <w:rPr>
          <w:rFonts w:asciiTheme="majorHAnsi" w:hAnsiTheme="majorHAnsi"/>
          <w:sz w:val="20"/>
          <w:szCs w:val="20"/>
          <w:lang w:val="es-US"/>
        </w:rPr>
        <w:t>, Galindo Urrieta, Edwin David</w:t>
      </w:r>
      <w:r w:rsidR="003B1F25">
        <w:rPr>
          <w:rFonts w:asciiTheme="majorHAnsi" w:hAnsiTheme="majorHAnsi"/>
          <w:sz w:val="20"/>
          <w:szCs w:val="20"/>
          <w:lang w:val="es-US"/>
        </w:rPr>
        <w:t xml:space="preserve"> </w:t>
      </w:r>
      <w:r w:rsidR="003B1F25" w:rsidRPr="003E1DC3">
        <w:rPr>
          <w:rFonts w:asciiTheme="majorHAnsi" w:hAnsiTheme="majorHAnsi"/>
          <w:sz w:val="20"/>
          <w:szCs w:val="20"/>
          <w:lang w:val="es-US"/>
        </w:rPr>
        <w:t>Día</w:t>
      </w:r>
      <w:r w:rsidR="00360459">
        <w:rPr>
          <w:rFonts w:asciiTheme="majorHAnsi" w:hAnsiTheme="majorHAnsi"/>
          <w:sz w:val="20"/>
          <w:szCs w:val="20"/>
          <w:lang w:val="es-US"/>
        </w:rPr>
        <w:t>z</w:t>
      </w:r>
      <w:r w:rsidR="003E1DC3" w:rsidRPr="003E1DC3">
        <w:rPr>
          <w:rFonts w:asciiTheme="majorHAnsi" w:hAnsiTheme="majorHAnsi"/>
          <w:sz w:val="20"/>
          <w:szCs w:val="20"/>
          <w:lang w:val="es-US"/>
        </w:rPr>
        <w:t>, Luis Fi</w:t>
      </w:r>
      <w:r w:rsidR="00360459">
        <w:rPr>
          <w:rFonts w:asciiTheme="majorHAnsi" w:hAnsiTheme="majorHAnsi"/>
          <w:sz w:val="20"/>
          <w:szCs w:val="20"/>
          <w:lang w:val="es-US"/>
        </w:rPr>
        <w:t>l</w:t>
      </w:r>
      <w:r w:rsidR="003E1DC3" w:rsidRPr="003E1DC3">
        <w:rPr>
          <w:rFonts w:asciiTheme="majorHAnsi" w:hAnsiTheme="majorHAnsi"/>
          <w:sz w:val="20"/>
          <w:szCs w:val="20"/>
          <w:lang w:val="es-US"/>
        </w:rPr>
        <w:t>gueira, Oswal Sotillo, Rafael Vera</w:t>
      </w:r>
      <w:r w:rsidR="003B1F25">
        <w:rPr>
          <w:rFonts w:asciiTheme="majorHAnsi" w:hAnsiTheme="majorHAnsi"/>
          <w:sz w:val="20"/>
          <w:szCs w:val="20"/>
          <w:lang w:val="es-US"/>
        </w:rPr>
        <w:t xml:space="preserve"> </w:t>
      </w:r>
      <w:r w:rsidR="003B1F25" w:rsidRPr="003E1DC3">
        <w:rPr>
          <w:rFonts w:asciiTheme="majorHAnsi" w:hAnsiTheme="majorHAnsi"/>
          <w:sz w:val="20"/>
          <w:szCs w:val="20"/>
          <w:lang w:val="es-US"/>
        </w:rPr>
        <w:t>Himi</w:t>
      </w:r>
      <w:r w:rsidR="003E1DC3" w:rsidRPr="003E1DC3">
        <w:rPr>
          <w:rFonts w:asciiTheme="majorHAnsi" w:hAnsiTheme="majorHAnsi"/>
          <w:sz w:val="20"/>
          <w:szCs w:val="20"/>
          <w:lang w:val="es-US"/>
        </w:rPr>
        <w:t>, Miguel Marcano, Marcos Pach</w:t>
      </w:r>
      <w:r w:rsidR="00360459">
        <w:rPr>
          <w:rFonts w:asciiTheme="majorHAnsi" w:hAnsiTheme="majorHAnsi"/>
          <w:sz w:val="20"/>
          <w:szCs w:val="20"/>
          <w:lang w:val="es-US"/>
        </w:rPr>
        <w:t>ec</w:t>
      </w:r>
      <w:r w:rsidR="003E1DC3" w:rsidRPr="003E1DC3">
        <w:rPr>
          <w:rFonts w:asciiTheme="majorHAnsi" w:hAnsiTheme="majorHAnsi"/>
          <w:sz w:val="20"/>
          <w:szCs w:val="20"/>
          <w:lang w:val="es-US"/>
        </w:rPr>
        <w:t xml:space="preserve">o, Alcides Rafael Alcaza Barreto, Jesús Manuel Amaiz Borrome, </w:t>
      </w:r>
      <w:r w:rsidR="00360459">
        <w:rPr>
          <w:rFonts w:asciiTheme="majorHAnsi" w:hAnsiTheme="majorHAnsi"/>
          <w:sz w:val="20"/>
          <w:szCs w:val="20"/>
          <w:lang w:val="es-US"/>
        </w:rPr>
        <w:t>Rafael</w:t>
      </w:r>
      <w:r w:rsidR="003B1F25" w:rsidRPr="003E1DC3">
        <w:rPr>
          <w:rFonts w:asciiTheme="majorHAnsi" w:hAnsiTheme="majorHAnsi"/>
          <w:sz w:val="20"/>
          <w:szCs w:val="20"/>
          <w:lang w:val="es-US"/>
        </w:rPr>
        <w:t xml:space="preserve"> </w:t>
      </w:r>
      <w:r w:rsidR="003E1DC3" w:rsidRPr="003E1DC3">
        <w:rPr>
          <w:rFonts w:asciiTheme="majorHAnsi" w:hAnsiTheme="majorHAnsi"/>
          <w:sz w:val="20"/>
          <w:szCs w:val="20"/>
          <w:lang w:val="es-US"/>
        </w:rPr>
        <w:t>Villa Hermosa, Efraín Cordero, Carlos Alberto</w:t>
      </w:r>
      <w:r w:rsidR="003B1F25">
        <w:rPr>
          <w:rFonts w:asciiTheme="majorHAnsi" w:hAnsiTheme="majorHAnsi"/>
          <w:sz w:val="20"/>
          <w:szCs w:val="20"/>
          <w:lang w:val="es-US"/>
        </w:rPr>
        <w:t xml:space="preserve"> </w:t>
      </w:r>
      <w:r w:rsidR="003B1F25" w:rsidRPr="003E1DC3">
        <w:rPr>
          <w:rFonts w:asciiTheme="majorHAnsi" w:hAnsiTheme="majorHAnsi"/>
          <w:sz w:val="20"/>
          <w:szCs w:val="20"/>
          <w:lang w:val="es-US"/>
        </w:rPr>
        <w:t>Martínez</w:t>
      </w:r>
      <w:r w:rsidR="003E1DC3" w:rsidRPr="003E1DC3">
        <w:rPr>
          <w:rFonts w:asciiTheme="majorHAnsi" w:hAnsiTheme="majorHAnsi"/>
          <w:sz w:val="20"/>
          <w:szCs w:val="20"/>
          <w:lang w:val="es-US"/>
        </w:rPr>
        <w:t xml:space="preserve">, </w:t>
      </w:r>
      <w:r w:rsidR="003B1F25" w:rsidRPr="003E1DC3">
        <w:rPr>
          <w:rFonts w:asciiTheme="majorHAnsi" w:hAnsiTheme="majorHAnsi"/>
          <w:sz w:val="20"/>
          <w:szCs w:val="20"/>
          <w:lang w:val="es-US"/>
        </w:rPr>
        <w:t xml:space="preserve">Pedro de Jesús </w:t>
      </w:r>
      <w:r w:rsidR="003E1DC3" w:rsidRPr="003E1DC3">
        <w:rPr>
          <w:rFonts w:asciiTheme="majorHAnsi" w:hAnsiTheme="majorHAnsi"/>
          <w:sz w:val="20"/>
          <w:szCs w:val="20"/>
          <w:lang w:val="es-US"/>
        </w:rPr>
        <w:t xml:space="preserve">Montes Aguanes, </w:t>
      </w:r>
      <w:r w:rsidR="003B1F25" w:rsidRPr="003E1DC3">
        <w:rPr>
          <w:rFonts w:asciiTheme="majorHAnsi" w:hAnsiTheme="majorHAnsi"/>
          <w:sz w:val="20"/>
          <w:szCs w:val="20"/>
          <w:lang w:val="es-US"/>
        </w:rPr>
        <w:t xml:space="preserve">Santa Jesús </w:t>
      </w:r>
      <w:r w:rsidR="003E1DC3" w:rsidRPr="003E1DC3">
        <w:rPr>
          <w:rFonts w:asciiTheme="majorHAnsi" w:hAnsiTheme="majorHAnsi"/>
          <w:sz w:val="20"/>
          <w:szCs w:val="20"/>
          <w:lang w:val="es-US"/>
        </w:rPr>
        <w:t xml:space="preserve">Gil Osuna, Omar Armando Vásquez, </w:t>
      </w:r>
      <w:r w:rsidR="003B1F25" w:rsidRPr="003E1DC3">
        <w:rPr>
          <w:rFonts w:asciiTheme="majorHAnsi" w:hAnsiTheme="majorHAnsi"/>
          <w:sz w:val="20"/>
          <w:szCs w:val="20"/>
          <w:lang w:val="es-US"/>
        </w:rPr>
        <w:t xml:space="preserve">Getulio </w:t>
      </w:r>
      <w:r w:rsidR="003E1DC3" w:rsidRPr="003E1DC3">
        <w:rPr>
          <w:rFonts w:asciiTheme="majorHAnsi" w:hAnsiTheme="majorHAnsi"/>
          <w:sz w:val="20"/>
          <w:szCs w:val="20"/>
          <w:lang w:val="es-US"/>
        </w:rPr>
        <w:t xml:space="preserve">Piña Laya, Evelio Eugenio Martínez, Enrique José González, </w:t>
      </w:r>
      <w:r w:rsidR="00360459" w:rsidRPr="003E1DC3">
        <w:rPr>
          <w:rFonts w:asciiTheme="majorHAnsi" w:hAnsiTheme="majorHAnsi"/>
          <w:sz w:val="20"/>
          <w:szCs w:val="20"/>
          <w:lang w:val="es-US"/>
        </w:rPr>
        <w:t xml:space="preserve">Javier Omar </w:t>
      </w:r>
      <w:r w:rsidR="003E1DC3" w:rsidRPr="003E1DC3">
        <w:rPr>
          <w:rFonts w:asciiTheme="majorHAnsi" w:hAnsiTheme="majorHAnsi"/>
          <w:sz w:val="20"/>
          <w:szCs w:val="20"/>
          <w:lang w:val="es-US"/>
        </w:rPr>
        <w:t xml:space="preserve">Lara, </w:t>
      </w:r>
      <w:r w:rsidR="00360459" w:rsidRPr="003E1DC3">
        <w:rPr>
          <w:rFonts w:asciiTheme="majorHAnsi" w:hAnsiTheme="majorHAnsi"/>
          <w:sz w:val="20"/>
          <w:szCs w:val="20"/>
          <w:lang w:val="es-US"/>
        </w:rPr>
        <w:t xml:space="preserve">José Efraín </w:t>
      </w:r>
      <w:r w:rsidR="003E1DC3" w:rsidRPr="003E1DC3">
        <w:rPr>
          <w:rFonts w:asciiTheme="majorHAnsi" w:hAnsiTheme="majorHAnsi"/>
          <w:sz w:val="20"/>
          <w:szCs w:val="20"/>
          <w:lang w:val="es-US"/>
        </w:rPr>
        <w:t>Rosales Navas</w:t>
      </w:r>
      <w:r w:rsidR="00454B4B">
        <w:rPr>
          <w:rFonts w:asciiTheme="majorHAnsi" w:hAnsiTheme="majorHAnsi"/>
          <w:sz w:val="20"/>
          <w:szCs w:val="20"/>
          <w:lang w:val="es-US"/>
        </w:rPr>
        <w:t>, Levis Si</w:t>
      </w:r>
      <w:r w:rsidR="003E1DC3" w:rsidRPr="003E1DC3">
        <w:rPr>
          <w:rFonts w:asciiTheme="majorHAnsi" w:hAnsiTheme="majorHAnsi"/>
          <w:sz w:val="20"/>
          <w:szCs w:val="20"/>
          <w:lang w:val="es-US"/>
        </w:rPr>
        <w:t>moza, Marco Antonio Ruíz Sucre, Angelo Barey Acevedo, Alexander Tejera Rodríguez, José Alberto González y Wilmer José Brizuela Veras</w:t>
      </w:r>
      <w:r w:rsidR="003E1DC3">
        <w:rPr>
          <w:rStyle w:val="FootnoteReference"/>
          <w:rFonts w:asciiTheme="majorHAnsi" w:hAnsiTheme="majorHAnsi"/>
          <w:sz w:val="20"/>
          <w:szCs w:val="20"/>
          <w:lang w:val="es-US"/>
        </w:rPr>
        <w:footnoteReference w:id="15"/>
      </w:r>
      <w:r w:rsidR="003E1DC3" w:rsidRPr="003E1DC3">
        <w:rPr>
          <w:rFonts w:asciiTheme="majorHAnsi" w:hAnsiTheme="majorHAnsi"/>
          <w:sz w:val="20"/>
          <w:szCs w:val="20"/>
          <w:lang w:val="es-US"/>
        </w:rPr>
        <w:t xml:space="preserve">. </w:t>
      </w:r>
      <w:r w:rsidR="00740F1C">
        <w:rPr>
          <w:rFonts w:asciiTheme="majorHAnsi" w:hAnsiTheme="majorHAnsi"/>
          <w:sz w:val="20"/>
          <w:szCs w:val="20"/>
          <w:lang w:val="es-US"/>
        </w:rPr>
        <w:t xml:space="preserve">Se </w:t>
      </w:r>
      <w:r w:rsidR="000C6869" w:rsidRPr="003F6F66">
        <w:rPr>
          <w:rFonts w:asciiTheme="majorHAnsi" w:hAnsiTheme="majorHAnsi"/>
          <w:sz w:val="20"/>
          <w:szCs w:val="20"/>
          <w:lang w:val="es-US"/>
        </w:rPr>
        <w:t>constatan</w:t>
      </w:r>
      <w:r w:rsidR="005B3A96" w:rsidRPr="003F6F66">
        <w:rPr>
          <w:rFonts w:asciiTheme="majorHAnsi" w:hAnsiTheme="majorHAnsi"/>
          <w:sz w:val="20"/>
          <w:szCs w:val="20"/>
          <w:lang w:val="es-US"/>
        </w:rPr>
        <w:t xml:space="preserve"> indicios </w:t>
      </w:r>
      <w:r w:rsidR="001939AC">
        <w:rPr>
          <w:rFonts w:asciiTheme="majorHAnsi" w:hAnsiTheme="majorHAnsi"/>
          <w:sz w:val="20"/>
          <w:szCs w:val="20"/>
          <w:lang w:val="es-US"/>
        </w:rPr>
        <w:t>que</w:t>
      </w:r>
      <w:r w:rsidR="005B3A96" w:rsidRPr="003F6F66">
        <w:rPr>
          <w:rFonts w:asciiTheme="majorHAnsi" w:hAnsiTheme="majorHAnsi"/>
          <w:sz w:val="20"/>
          <w:szCs w:val="20"/>
          <w:lang w:val="es-US"/>
        </w:rPr>
        <w:t xml:space="preserve"> las mencionadas personas, con excepción de Angelo Barey Acevedo, Alexander Tejera Rodríguez, José Alberto González y Wilmer José Brizuela Veras, fueron herid</w:t>
      </w:r>
      <w:r w:rsidR="00740F1C">
        <w:rPr>
          <w:rFonts w:asciiTheme="majorHAnsi" w:hAnsiTheme="majorHAnsi"/>
          <w:sz w:val="20"/>
          <w:szCs w:val="20"/>
          <w:lang w:val="es-US"/>
        </w:rPr>
        <w:t>a</w:t>
      </w:r>
      <w:r w:rsidR="005B3A96" w:rsidRPr="003F6F66">
        <w:rPr>
          <w:rFonts w:asciiTheme="majorHAnsi" w:hAnsiTheme="majorHAnsi"/>
          <w:sz w:val="20"/>
          <w:szCs w:val="20"/>
          <w:lang w:val="es-US"/>
        </w:rPr>
        <w:t>s durante los hechos</w:t>
      </w:r>
      <w:r w:rsidR="005B3A96">
        <w:rPr>
          <w:rStyle w:val="FootnoteReference"/>
          <w:rFonts w:asciiTheme="majorHAnsi" w:hAnsiTheme="majorHAnsi"/>
          <w:sz w:val="20"/>
          <w:szCs w:val="20"/>
          <w:lang w:val="es-US"/>
        </w:rPr>
        <w:footnoteReference w:id="16"/>
      </w:r>
      <w:r w:rsidR="005B3A96" w:rsidRPr="003F6F66">
        <w:rPr>
          <w:rFonts w:asciiTheme="majorHAnsi" w:hAnsiTheme="majorHAnsi"/>
          <w:sz w:val="20"/>
          <w:szCs w:val="20"/>
          <w:lang w:val="es-US"/>
        </w:rPr>
        <w:t xml:space="preserve">. </w:t>
      </w:r>
    </w:p>
    <w:p w14:paraId="3680A732" w14:textId="77777777" w:rsidR="0026135D" w:rsidRPr="0026135D" w:rsidRDefault="0026135D" w:rsidP="0026135D">
      <w:pPr>
        <w:jc w:val="both"/>
        <w:rPr>
          <w:rFonts w:asciiTheme="majorHAnsi" w:hAnsiTheme="majorHAnsi"/>
          <w:b/>
          <w:sz w:val="20"/>
          <w:szCs w:val="20"/>
          <w:lang w:val="es-ES_tradnl"/>
        </w:rPr>
      </w:pPr>
    </w:p>
    <w:p w14:paraId="09BFC336" w14:textId="5568C130" w:rsidR="008C18C1" w:rsidRPr="001939AC" w:rsidRDefault="0094652F" w:rsidP="004F5025">
      <w:pPr>
        <w:pStyle w:val="Heading2"/>
      </w:pPr>
      <w:bookmarkStart w:id="10" w:name="_Toc527708408"/>
      <w:r>
        <w:t>Antecedentes: Eventos en octubre de 2003</w:t>
      </w:r>
      <w:bookmarkEnd w:id="10"/>
    </w:p>
    <w:p w14:paraId="1CB09FD9" w14:textId="58C190F7" w:rsidR="008C18C1" w:rsidRPr="008C18C1" w:rsidRDefault="00740F1C" w:rsidP="001939AC">
      <w:pPr>
        <w:pStyle w:val="ListParagraph"/>
        <w:tabs>
          <w:tab w:val="left" w:pos="2379"/>
        </w:tabs>
        <w:rPr>
          <w:rFonts w:asciiTheme="majorHAnsi" w:hAnsiTheme="majorHAnsi"/>
          <w:b/>
          <w:color w:val="FF0000"/>
          <w:sz w:val="20"/>
          <w:szCs w:val="20"/>
          <w:lang w:val="es-ES_tradnl"/>
        </w:rPr>
      </w:pPr>
      <w:r>
        <w:rPr>
          <w:rFonts w:asciiTheme="majorHAnsi" w:hAnsiTheme="majorHAnsi"/>
          <w:b/>
          <w:color w:val="FF0000"/>
          <w:sz w:val="20"/>
          <w:szCs w:val="20"/>
          <w:lang w:val="es-ES_tradnl"/>
        </w:rPr>
        <w:tab/>
      </w:r>
    </w:p>
    <w:p w14:paraId="07E75660" w14:textId="0457D83F" w:rsidR="00FC1EF0" w:rsidRPr="000C6869" w:rsidRDefault="00A87126" w:rsidP="000C686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De acuerdo con notas de prensa y testimonios, los internos de la cárcel de Vista Hermosa hicieron una huelga (también referid</w:t>
      </w:r>
      <w:r w:rsidR="00E74312">
        <w:rPr>
          <w:rFonts w:asciiTheme="majorHAnsi" w:hAnsiTheme="majorHAnsi"/>
          <w:sz w:val="20"/>
          <w:szCs w:val="20"/>
          <w:lang w:val="es-ES_tradnl"/>
        </w:rPr>
        <w:t>a</w:t>
      </w:r>
      <w:r>
        <w:rPr>
          <w:rFonts w:asciiTheme="majorHAnsi" w:hAnsiTheme="majorHAnsi"/>
          <w:sz w:val="20"/>
          <w:szCs w:val="20"/>
          <w:lang w:val="es-ES_tradnl"/>
        </w:rPr>
        <w:t xml:space="preserve"> como un “autosecuestro”) del 8 al 29 de octubre de 2003</w:t>
      </w:r>
      <w:r w:rsidR="0021207E">
        <w:rPr>
          <w:rFonts w:asciiTheme="majorHAnsi" w:hAnsiTheme="majorHAnsi"/>
          <w:sz w:val="20"/>
          <w:szCs w:val="20"/>
          <w:lang w:val="es-ES_tradnl"/>
        </w:rPr>
        <w:t>, con el apoyo de sus familiares</w:t>
      </w:r>
      <w:r w:rsidR="0021207E">
        <w:rPr>
          <w:rStyle w:val="FootnoteReference"/>
          <w:rFonts w:asciiTheme="majorHAnsi" w:hAnsiTheme="majorHAnsi"/>
          <w:sz w:val="20"/>
          <w:szCs w:val="20"/>
          <w:lang w:val="es-ES_tradnl"/>
        </w:rPr>
        <w:footnoteReference w:id="17"/>
      </w:r>
      <w:r>
        <w:rPr>
          <w:rFonts w:asciiTheme="majorHAnsi" w:hAnsiTheme="majorHAnsi"/>
          <w:sz w:val="20"/>
          <w:szCs w:val="20"/>
          <w:lang w:val="es-ES_tradnl"/>
        </w:rPr>
        <w:t>.</w:t>
      </w:r>
      <w:r w:rsidR="00E74312">
        <w:rPr>
          <w:rFonts w:asciiTheme="majorHAnsi" w:hAnsiTheme="majorHAnsi"/>
          <w:sz w:val="20"/>
          <w:szCs w:val="20"/>
          <w:lang w:val="es-ES_tradnl"/>
        </w:rPr>
        <w:t xml:space="preserve"> El vocero de esta huelga fue José Gregorio Bolívar, apodado “Goyo”</w:t>
      </w:r>
      <w:r w:rsidR="00E74312">
        <w:rPr>
          <w:rStyle w:val="FootnoteReference"/>
          <w:rFonts w:asciiTheme="majorHAnsi" w:hAnsiTheme="majorHAnsi"/>
          <w:sz w:val="20"/>
          <w:szCs w:val="20"/>
          <w:lang w:val="es-ES_tradnl"/>
        </w:rPr>
        <w:footnoteReference w:id="18"/>
      </w:r>
      <w:r w:rsidR="00E74312">
        <w:rPr>
          <w:rFonts w:asciiTheme="majorHAnsi" w:hAnsiTheme="majorHAnsi"/>
          <w:sz w:val="20"/>
          <w:szCs w:val="20"/>
          <w:lang w:val="es-ES_tradnl"/>
        </w:rPr>
        <w:t>. También están señalados como líderes de la huelga</w:t>
      </w:r>
      <w:r w:rsidR="0058696B">
        <w:rPr>
          <w:rFonts w:asciiTheme="majorHAnsi" w:hAnsiTheme="majorHAnsi"/>
          <w:sz w:val="20"/>
          <w:szCs w:val="20"/>
          <w:lang w:val="es-ES_tradnl"/>
        </w:rPr>
        <w:t xml:space="preserve"> a</w:t>
      </w:r>
      <w:r w:rsidR="00E74312">
        <w:rPr>
          <w:rFonts w:asciiTheme="majorHAnsi" w:hAnsiTheme="majorHAnsi"/>
          <w:sz w:val="20"/>
          <w:szCs w:val="20"/>
          <w:lang w:val="es-ES_tradnl"/>
        </w:rPr>
        <w:t xml:space="preserve"> Pedro López Chaurán y Orlando Olivares, apodado “El Chileno”</w:t>
      </w:r>
      <w:r w:rsidR="00E74312">
        <w:rPr>
          <w:rStyle w:val="FootnoteReference"/>
          <w:rFonts w:asciiTheme="majorHAnsi" w:hAnsiTheme="majorHAnsi"/>
          <w:sz w:val="20"/>
          <w:szCs w:val="20"/>
          <w:lang w:val="es-ES_tradnl"/>
        </w:rPr>
        <w:footnoteReference w:id="19"/>
      </w:r>
      <w:r w:rsidR="00E74312">
        <w:rPr>
          <w:rFonts w:asciiTheme="majorHAnsi" w:hAnsiTheme="majorHAnsi"/>
          <w:sz w:val="20"/>
          <w:szCs w:val="20"/>
          <w:lang w:val="es-ES_tradnl"/>
        </w:rPr>
        <w:t>.</w:t>
      </w:r>
      <w:r w:rsidR="0021207E">
        <w:rPr>
          <w:rFonts w:asciiTheme="majorHAnsi" w:hAnsiTheme="majorHAnsi"/>
          <w:sz w:val="20"/>
          <w:szCs w:val="20"/>
          <w:lang w:val="es-ES_tradnl"/>
        </w:rPr>
        <w:t xml:space="preserve"> </w:t>
      </w:r>
      <w:r w:rsidR="00893097" w:rsidRPr="00893097">
        <w:rPr>
          <w:rFonts w:asciiTheme="majorHAnsi" w:hAnsiTheme="majorHAnsi"/>
          <w:sz w:val="20"/>
          <w:szCs w:val="20"/>
          <w:lang w:val="es-ES_tradnl"/>
        </w:rPr>
        <w:t xml:space="preserve"> </w:t>
      </w:r>
      <w:r w:rsidR="009E2D51">
        <w:rPr>
          <w:rFonts w:asciiTheme="majorHAnsi" w:hAnsiTheme="majorHAnsi"/>
          <w:sz w:val="20"/>
          <w:szCs w:val="20"/>
          <w:lang w:val="es-ES_tradnl"/>
        </w:rPr>
        <w:t>U</w:t>
      </w:r>
      <w:r w:rsidR="0058696B">
        <w:rPr>
          <w:rFonts w:asciiTheme="majorHAnsi" w:hAnsiTheme="majorHAnsi"/>
          <w:sz w:val="20"/>
          <w:szCs w:val="20"/>
          <w:lang w:val="es-ES_tradnl"/>
        </w:rPr>
        <w:t xml:space="preserve">na </w:t>
      </w:r>
      <w:r w:rsidR="00893097">
        <w:rPr>
          <w:rFonts w:asciiTheme="majorHAnsi" w:hAnsiTheme="majorHAnsi"/>
          <w:sz w:val="20"/>
          <w:szCs w:val="20"/>
          <w:lang w:val="es-ES_tradnl"/>
        </w:rPr>
        <w:t xml:space="preserve">nota de prensa afirma que </w:t>
      </w:r>
      <w:r w:rsidR="00893097" w:rsidRPr="00A87126">
        <w:rPr>
          <w:rFonts w:asciiTheme="majorHAnsi" w:hAnsiTheme="majorHAnsi"/>
          <w:sz w:val="20"/>
          <w:szCs w:val="20"/>
          <w:lang w:val="es-ES_tradnl"/>
        </w:rPr>
        <w:t>“</w:t>
      </w:r>
      <w:r w:rsidR="004931FB">
        <w:rPr>
          <w:rFonts w:asciiTheme="majorHAnsi" w:hAnsiTheme="majorHAnsi"/>
          <w:sz w:val="20"/>
          <w:szCs w:val="20"/>
          <w:lang w:val="es-ES_tradnl"/>
        </w:rPr>
        <w:t>t</w:t>
      </w:r>
      <w:r w:rsidR="00893097" w:rsidRPr="00A87126">
        <w:rPr>
          <w:rFonts w:asciiTheme="majorHAnsi" w:hAnsiTheme="majorHAnsi"/>
          <w:sz w:val="20"/>
          <w:szCs w:val="20"/>
          <w:lang w:val="es-ES_tradnl"/>
        </w:rPr>
        <w:t>odos los testigos aseguran que quienes fueron voceros, o firmaron el acuerdo</w:t>
      </w:r>
      <w:r w:rsidR="0058696B">
        <w:rPr>
          <w:rFonts w:asciiTheme="majorHAnsi" w:hAnsiTheme="majorHAnsi"/>
          <w:sz w:val="20"/>
          <w:szCs w:val="20"/>
          <w:lang w:val="es-ES_tradnl"/>
        </w:rPr>
        <w:t xml:space="preserve"> [para dar fin a la huelga]</w:t>
      </w:r>
      <w:r w:rsidR="00893097" w:rsidRPr="00A87126">
        <w:rPr>
          <w:rFonts w:asciiTheme="majorHAnsi" w:hAnsiTheme="majorHAnsi"/>
          <w:sz w:val="20"/>
          <w:szCs w:val="20"/>
          <w:lang w:val="es-ES_tradnl"/>
        </w:rPr>
        <w:t>, sellaron su sentencia de muerte</w:t>
      </w:r>
      <w:r w:rsidR="0058696B">
        <w:rPr>
          <w:rFonts w:asciiTheme="majorHAnsi" w:hAnsiTheme="majorHAnsi"/>
          <w:sz w:val="20"/>
          <w:szCs w:val="20"/>
          <w:lang w:val="es-ES_tradnl"/>
        </w:rPr>
        <w:t xml:space="preserve">”. </w:t>
      </w:r>
      <w:r w:rsidR="009E2D51">
        <w:rPr>
          <w:rFonts w:asciiTheme="majorHAnsi" w:hAnsiTheme="majorHAnsi"/>
          <w:sz w:val="20"/>
          <w:szCs w:val="20"/>
          <w:lang w:val="es-ES_tradnl"/>
        </w:rPr>
        <w:t>U</w:t>
      </w:r>
      <w:r w:rsidR="0058696B">
        <w:rPr>
          <w:rFonts w:asciiTheme="majorHAnsi" w:hAnsiTheme="majorHAnsi"/>
          <w:sz w:val="20"/>
          <w:szCs w:val="20"/>
          <w:lang w:val="es-ES_tradnl"/>
        </w:rPr>
        <w:t>na</w:t>
      </w:r>
      <w:r w:rsidR="00893097" w:rsidRPr="00A87126">
        <w:rPr>
          <w:rFonts w:asciiTheme="majorHAnsi" w:hAnsiTheme="majorHAnsi"/>
          <w:sz w:val="20"/>
          <w:szCs w:val="20"/>
          <w:lang w:val="es-ES_tradnl"/>
        </w:rPr>
        <w:t xml:space="preserve"> foto de Goyo y Pedro Chaurán firmando el acuerdo</w:t>
      </w:r>
      <w:r w:rsidR="009E2D51">
        <w:rPr>
          <w:rFonts w:asciiTheme="majorHAnsi" w:hAnsiTheme="majorHAnsi"/>
          <w:sz w:val="20"/>
          <w:szCs w:val="20"/>
          <w:lang w:val="es-ES_tradnl"/>
        </w:rPr>
        <w:t xml:space="preserve"> acompaña la nota</w:t>
      </w:r>
      <w:r w:rsidR="00893097">
        <w:rPr>
          <w:rStyle w:val="FootnoteReference"/>
          <w:rFonts w:asciiTheme="majorHAnsi" w:hAnsiTheme="majorHAnsi"/>
          <w:sz w:val="20"/>
          <w:szCs w:val="20"/>
          <w:lang w:val="es-ES_tradnl"/>
        </w:rPr>
        <w:footnoteReference w:id="20"/>
      </w:r>
      <w:r w:rsidR="00893097" w:rsidRPr="00A87126">
        <w:rPr>
          <w:rFonts w:asciiTheme="majorHAnsi" w:hAnsiTheme="majorHAnsi"/>
          <w:sz w:val="20"/>
          <w:szCs w:val="20"/>
          <w:lang w:val="es-ES_tradnl"/>
        </w:rPr>
        <w:t>.</w:t>
      </w:r>
      <w:r w:rsidR="000C6869">
        <w:rPr>
          <w:rFonts w:asciiTheme="majorHAnsi" w:hAnsiTheme="majorHAnsi"/>
          <w:b/>
          <w:sz w:val="20"/>
          <w:szCs w:val="20"/>
          <w:lang w:val="es-ES_tradnl"/>
        </w:rPr>
        <w:t xml:space="preserve"> </w:t>
      </w:r>
      <w:r w:rsidR="00284252">
        <w:rPr>
          <w:rFonts w:asciiTheme="majorHAnsi" w:hAnsiTheme="majorHAnsi"/>
          <w:sz w:val="20"/>
          <w:szCs w:val="20"/>
          <w:lang w:val="es-ES_tradnl"/>
        </w:rPr>
        <w:t xml:space="preserve">Otra nota </w:t>
      </w:r>
      <w:r w:rsidR="004B2581" w:rsidRPr="000C6869">
        <w:rPr>
          <w:rFonts w:asciiTheme="majorHAnsi" w:hAnsiTheme="majorHAnsi"/>
          <w:sz w:val="20"/>
          <w:szCs w:val="20"/>
          <w:lang w:val="es-CO"/>
        </w:rPr>
        <w:t>indica</w:t>
      </w:r>
      <w:r w:rsidR="0058696B" w:rsidRPr="000C6869">
        <w:rPr>
          <w:rFonts w:asciiTheme="majorHAnsi" w:hAnsiTheme="majorHAnsi"/>
          <w:sz w:val="20"/>
          <w:szCs w:val="20"/>
          <w:lang w:val="es-CO"/>
        </w:rPr>
        <w:t xml:space="preserve"> que tanto las huelgas como las represali</w:t>
      </w:r>
      <w:r w:rsidR="004B2581" w:rsidRPr="000C6869">
        <w:rPr>
          <w:rFonts w:asciiTheme="majorHAnsi" w:hAnsiTheme="majorHAnsi"/>
          <w:sz w:val="20"/>
          <w:szCs w:val="20"/>
          <w:lang w:val="es-CO"/>
        </w:rPr>
        <w:t>a</w:t>
      </w:r>
      <w:r w:rsidR="0058696B" w:rsidRPr="000C6869">
        <w:rPr>
          <w:rFonts w:asciiTheme="majorHAnsi" w:hAnsiTheme="majorHAnsi"/>
          <w:sz w:val="20"/>
          <w:szCs w:val="20"/>
          <w:lang w:val="es-CO"/>
        </w:rPr>
        <w:t xml:space="preserve">s por </w:t>
      </w:r>
      <w:r w:rsidR="00284252">
        <w:rPr>
          <w:rFonts w:asciiTheme="majorHAnsi" w:hAnsiTheme="majorHAnsi"/>
          <w:sz w:val="20"/>
          <w:szCs w:val="20"/>
          <w:lang w:val="es-CO"/>
        </w:rPr>
        <w:t xml:space="preserve">ellas </w:t>
      </w:r>
      <w:r w:rsidR="000C6869">
        <w:rPr>
          <w:rFonts w:asciiTheme="majorHAnsi" w:hAnsiTheme="majorHAnsi"/>
          <w:sz w:val="20"/>
          <w:szCs w:val="20"/>
          <w:lang w:val="es-CO"/>
        </w:rPr>
        <w:t>—</w:t>
      </w:r>
      <w:r w:rsidR="000C6869" w:rsidRPr="000C6869">
        <w:rPr>
          <w:rFonts w:asciiTheme="majorHAnsi" w:hAnsiTheme="majorHAnsi"/>
          <w:sz w:val="20"/>
          <w:szCs w:val="20"/>
          <w:lang w:val="es-CO"/>
        </w:rPr>
        <w:t>como por ejemplo, disponer traslados lejos de los familiares</w:t>
      </w:r>
      <w:r w:rsidR="000C6869">
        <w:rPr>
          <w:rFonts w:asciiTheme="majorHAnsi" w:hAnsiTheme="majorHAnsi"/>
          <w:sz w:val="20"/>
          <w:szCs w:val="20"/>
          <w:lang w:val="es-CO"/>
        </w:rPr>
        <w:t>—,</w:t>
      </w:r>
      <w:r w:rsidR="0058696B" w:rsidRPr="000C6869">
        <w:rPr>
          <w:rFonts w:asciiTheme="majorHAnsi" w:hAnsiTheme="majorHAnsi"/>
          <w:sz w:val="20"/>
          <w:szCs w:val="20"/>
          <w:lang w:val="es-CO"/>
        </w:rPr>
        <w:t xml:space="preserve"> </w:t>
      </w:r>
      <w:r w:rsidR="004B2581" w:rsidRPr="000C6869">
        <w:rPr>
          <w:rFonts w:asciiTheme="majorHAnsi" w:hAnsiTheme="majorHAnsi"/>
          <w:sz w:val="20"/>
          <w:szCs w:val="20"/>
          <w:lang w:val="es-CO"/>
        </w:rPr>
        <w:t>solían tener lugar periódicamente en la cárcel</w:t>
      </w:r>
      <w:r w:rsidR="00FC1EF0">
        <w:rPr>
          <w:rStyle w:val="FootnoteReference"/>
          <w:rFonts w:asciiTheme="majorHAnsi" w:hAnsiTheme="majorHAnsi"/>
          <w:sz w:val="20"/>
          <w:szCs w:val="20"/>
          <w:lang w:val="es-CO"/>
        </w:rPr>
        <w:footnoteReference w:id="21"/>
      </w:r>
      <w:r w:rsidR="00D35343" w:rsidRPr="000C6869">
        <w:rPr>
          <w:rFonts w:asciiTheme="majorHAnsi" w:hAnsiTheme="majorHAnsi"/>
          <w:sz w:val="20"/>
          <w:szCs w:val="20"/>
          <w:lang w:val="es-CO"/>
        </w:rPr>
        <w:t>.</w:t>
      </w:r>
    </w:p>
    <w:p w14:paraId="16D1B783" w14:textId="77777777" w:rsidR="00E74312" w:rsidRDefault="00E74312" w:rsidP="00E74312">
      <w:pPr>
        <w:pStyle w:val="ListParagraph"/>
        <w:rPr>
          <w:rFonts w:asciiTheme="majorHAnsi" w:hAnsiTheme="majorHAnsi"/>
          <w:b/>
          <w:sz w:val="20"/>
          <w:szCs w:val="20"/>
          <w:lang w:val="es-ES_tradnl"/>
        </w:rPr>
      </w:pPr>
    </w:p>
    <w:p w14:paraId="56730D4A" w14:textId="67395DD7" w:rsidR="00E74312" w:rsidRPr="002A60FD" w:rsidRDefault="004B2581" w:rsidP="00A8712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D</w:t>
      </w:r>
      <w:r w:rsidR="00E74312">
        <w:rPr>
          <w:rFonts w:asciiTheme="majorHAnsi" w:hAnsiTheme="majorHAnsi"/>
          <w:sz w:val="20"/>
          <w:szCs w:val="20"/>
          <w:lang w:val="es-ES_tradnl"/>
        </w:rPr>
        <w:t>el expediente se desprende que la entrada de la Guardia Nacional al interior del penal</w:t>
      </w:r>
      <w:r w:rsidR="003C0FCC">
        <w:rPr>
          <w:rFonts w:asciiTheme="majorHAnsi" w:hAnsiTheme="majorHAnsi"/>
          <w:sz w:val="20"/>
          <w:szCs w:val="20"/>
          <w:lang w:val="es-ES_tradnl"/>
        </w:rPr>
        <w:t xml:space="preserve"> no era excepcional. Así por ejemplo, </w:t>
      </w:r>
      <w:r w:rsidR="00E74312">
        <w:rPr>
          <w:rFonts w:asciiTheme="majorHAnsi" w:hAnsiTheme="majorHAnsi"/>
          <w:sz w:val="20"/>
          <w:szCs w:val="20"/>
          <w:lang w:val="es-ES_tradnl"/>
        </w:rPr>
        <w:t>los efectivos de la G</w:t>
      </w:r>
      <w:r w:rsidR="00F93A87">
        <w:rPr>
          <w:rFonts w:asciiTheme="majorHAnsi" w:hAnsiTheme="majorHAnsi"/>
          <w:sz w:val="20"/>
          <w:szCs w:val="20"/>
          <w:lang w:val="es-ES_tradnl"/>
        </w:rPr>
        <w:t xml:space="preserve">uardia </w:t>
      </w:r>
      <w:r w:rsidR="00E74312">
        <w:rPr>
          <w:rFonts w:asciiTheme="majorHAnsi" w:hAnsiTheme="majorHAnsi"/>
          <w:sz w:val="20"/>
          <w:szCs w:val="20"/>
          <w:lang w:val="es-ES_tradnl"/>
        </w:rPr>
        <w:t>N</w:t>
      </w:r>
      <w:r w:rsidR="00F93A87">
        <w:rPr>
          <w:rFonts w:asciiTheme="majorHAnsi" w:hAnsiTheme="majorHAnsi"/>
          <w:sz w:val="20"/>
          <w:szCs w:val="20"/>
          <w:lang w:val="es-ES_tradnl"/>
        </w:rPr>
        <w:t>acional</w:t>
      </w:r>
      <w:r w:rsidR="00E74312">
        <w:rPr>
          <w:rFonts w:asciiTheme="majorHAnsi" w:hAnsiTheme="majorHAnsi"/>
          <w:sz w:val="20"/>
          <w:szCs w:val="20"/>
          <w:lang w:val="es-ES_tradnl"/>
        </w:rPr>
        <w:t xml:space="preserve"> que</w:t>
      </w:r>
      <w:r w:rsidR="00EA06BC">
        <w:rPr>
          <w:rFonts w:asciiTheme="majorHAnsi" w:hAnsiTheme="majorHAnsi"/>
          <w:sz w:val="20"/>
          <w:szCs w:val="20"/>
          <w:lang w:val="es-ES_tradnl"/>
        </w:rPr>
        <w:t xml:space="preserve"> fueron imputados por</w:t>
      </w:r>
      <w:r w:rsidR="00E74312">
        <w:rPr>
          <w:rFonts w:asciiTheme="majorHAnsi" w:hAnsiTheme="majorHAnsi"/>
          <w:sz w:val="20"/>
          <w:szCs w:val="20"/>
          <w:lang w:val="es-ES_tradnl"/>
        </w:rPr>
        <w:t xml:space="preserve"> los hechos eran conocidos de los internos</w:t>
      </w:r>
      <w:r w:rsidR="00E74312">
        <w:rPr>
          <w:rStyle w:val="FootnoteReference"/>
          <w:rFonts w:asciiTheme="majorHAnsi" w:hAnsiTheme="majorHAnsi"/>
          <w:sz w:val="20"/>
          <w:szCs w:val="20"/>
          <w:lang w:val="es-ES_tradnl"/>
        </w:rPr>
        <w:footnoteReference w:id="22"/>
      </w:r>
      <w:r w:rsidR="003F6F66">
        <w:rPr>
          <w:rFonts w:asciiTheme="majorHAnsi" w:hAnsiTheme="majorHAnsi"/>
          <w:sz w:val="20"/>
          <w:szCs w:val="20"/>
          <w:lang w:val="es-ES_tradnl"/>
        </w:rPr>
        <w:t>,</w:t>
      </w:r>
      <w:r w:rsidR="00587F72">
        <w:rPr>
          <w:rFonts w:asciiTheme="majorHAnsi" w:hAnsiTheme="majorHAnsi"/>
          <w:sz w:val="20"/>
          <w:szCs w:val="20"/>
          <w:lang w:val="es-ES_tradnl"/>
        </w:rPr>
        <w:t xml:space="preserve"> </w:t>
      </w:r>
      <w:r w:rsidR="003F6F66">
        <w:rPr>
          <w:rFonts w:asciiTheme="majorHAnsi" w:hAnsiTheme="majorHAnsi"/>
          <w:sz w:val="20"/>
          <w:szCs w:val="20"/>
          <w:lang w:val="es-ES_tradnl"/>
        </w:rPr>
        <w:t>y</w:t>
      </w:r>
      <w:r w:rsidR="00587F72">
        <w:rPr>
          <w:rFonts w:asciiTheme="majorHAnsi" w:hAnsiTheme="majorHAnsi"/>
          <w:sz w:val="20"/>
          <w:szCs w:val="20"/>
          <w:lang w:val="es-ES_tradnl"/>
        </w:rPr>
        <w:t xml:space="preserve"> </w:t>
      </w:r>
      <w:r w:rsidR="00E74312">
        <w:rPr>
          <w:rFonts w:asciiTheme="majorHAnsi" w:hAnsiTheme="majorHAnsi"/>
          <w:sz w:val="20"/>
          <w:szCs w:val="20"/>
          <w:lang w:val="es-ES_tradnl"/>
        </w:rPr>
        <w:t xml:space="preserve">una de las demandas de la huelga era el retiro </w:t>
      </w:r>
      <w:r w:rsidR="003F6F66">
        <w:rPr>
          <w:rFonts w:asciiTheme="majorHAnsi" w:hAnsiTheme="majorHAnsi"/>
          <w:sz w:val="20"/>
          <w:szCs w:val="20"/>
          <w:lang w:val="es-ES_tradnl"/>
        </w:rPr>
        <w:t xml:space="preserve">de la cárcel </w:t>
      </w:r>
      <w:r w:rsidR="00E74312">
        <w:rPr>
          <w:rFonts w:asciiTheme="majorHAnsi" w:hAnsiTheme="majorHAnsi"/>
          <w:sz w:val="20"/>
          <w:szCs w:val="20"/>
          <w:lang w:val="es-ES_tradnl"/>
        </w:rPr>
        <w:t>del c</w:t>
      </w:r>
      <w:r w:rsidR="003F6F66">
        <w:rPr>
          <w:rFonts w:asciiTheme="majorHAnsi" w:hAnsiTheme="majorHAnsi"/>
          <w:sz w:val="20"/>
          <w:szCs w:val="20"/>
          <w:lang w:val="es-ES_tradnl"/>
        </w:rPr>
        <w:t xml:space="preserve">apitán a </w:t>
      </w:r>
      <w:r w:rsidR="003F6F66">
        <w:rPr>
          <w:rFonts w:asciiTheme="majorHAnsi" w:hAnsiTheme="majorHAnsi"/>
          <w:sz w:val="20"/>
          <w:szCs w:val="20"/>
          <w:lang w:val="es-ES_tradnl"/>
        </w:rPr>
        <w:lastRenderedPageBreak/>
        <w:t>cargo</w:t>
      </w:r>
      <w:r w:rsidR="00E74312">
        <w:rPr>
          <w:rStyle w:val="FootnoteReference"/>
          <w:rFonts w:asciiTheme="majorHAnsi" w:hAnsiTheme="majorHAnsi"/>
          <w:sz w:val="20"/>
          <w:szCs w:val="20"/>
          <w:lang w:val="es-ES_tradnl"/>
        </w:rPr>
        <w:footnoteReference w:id="23"/>
      </w:r>
      <w:r w:rsidR="00E74312">
        <w:rPr>
          <w:rFonts w:asciiTheme="majorHAnsi" w:hAnsiTheme="majorHAnsi"/>
          <w:sz w:val="20"/>
          <w:szCs w:val="20"/>
          <w:lang w:val="es-ES_tradnl"/>
        </w:rPr>
        <w:t xml:space="preserve">. </w:t>
      </w:r>
      <w:r w:rsidR="004654C3">
        <w:rPr>
          <w:rFonts w:asciiTheme="majorHAnsi" w:hAnsiTheme="majorHAnsi"/>
          <w:sz w:val="20"/>
          <w:szCs w:val="20"/>
          <w:lang w:val="es-ES_tradnl"/>
        </w:rPr>
        <w:t xml:space="preserve">También </w:t>
      </w:r>
      <w:r w:rsidR="003F6F66">
        <w:rPr>
          <w:rFonts w:asciiTheme="majorHAnsi" w:hAnsiTheme="majorHAnsi"/>
          <w:sz w:val="20"/>
          <w:szCs w:val="20"/>
          <w:lang w:val="es-ES_tradnl"/>
        </w:rPr>
        <w:t>hay</w:t>
      </w:r>
      <w:r w:rsidR="004654C3">
        <w:rPr>
          <w:rFonts w:asciiTheme="majorHAnsi" w:hAnsiTheme="majorHAnsi"/>
          <w:sz w:val="20"/>
          <w:szCs w:val="20"/>
          <w:lang w:val="es-ES_tradnl"/>
        </w:rPr>
        <w:t xml:space="preserve"> información sobre</w:t>
      </w:r>
      <w:r w:rsidR="00AE2AD7">
        <w:rPr>
          <w:rFonts w:asciiTheme="majorHAnsi" w:hAnsiTheme="majorHAnsi"/>
          <w:sz w:val="20"/>
          <w:szCs w:val="20"/>
          <w:lang w:val="es-ES_tradnl"/>
        </w:rPr>
        <w:t xml:space="preserve"> </w:t>
      </w:r>
      <w:r w:rsidR="00742450">
        <w:rPr>
          <w:rFonts w:asciiTheme="majorHAnsi" w:hAnsiTheme="majorHAnsi"/>
          <w:sz w:val="20"/>
          <w:szCs w:val="20"/>
          <w:lang w:val="es-ES_tradnl"/>
        </w:rPr>
        <w:t>episodios</w:t>
      </w:r>
      <w:r w:rsidR="00215EAE">
        <w:rPr>
          <w:rFonts w:asciiTheme="majorHAnsi" w:hAnsiTheme="majorHAnsi"/>
          <w:sz w:val="20"/>
          <w:szCs w:val="20"/>
          <w:lang w:val="es-ES_tradnl"/>
        </w:rPr>
        <w:t xml:space="preserve"> de violencia hacia los internos por parte de la </w:t>
      </w:r>
      <w:r w:rsidR="009E2D51">
        <w:rPr>
          <w:rFonts w:asciiTheme="majorHAnsi" w:hAnsiTheme="majorHAnsi"/>
          <w:sz w:val="20"/>
          <w:szCs w:val="20"/>
          <w:lang w:val="es-ES_tradnl"/>
        </w:rPr>
        <w:t>Guardia Nacional</w:t>
      </w:r>
      <w:r w:rsidR="00215EAE">
        <w:rPr>
          <w:rFonts w:asciiTheme="majorHAnsi" w:hAnsiTheme="majorHAnsi"/>
          <w:sz w:val="20"/>
          <w:szCs w:val="20"/>
          <w:lang w:val="es-ES_tradnl"/>
        </w:rPr>
        <w:t xml:space="preserve"> anteriores </w:t>
      </w:r>
      <w:r w:rsidR="00D9289E">
        <w:rPr>
          <w:rFonts w:asciiTheme="majorHAnsi" w:hAnsiTheme="majorHAnsi"/>
          <w:sz w:val="20"/>
          <w:szCs w:val="20"/>
          <w:lang w:val="es-ES_tradnl"/>
        </w:rPr>
        <w:t>a</w:t>
      </w:r>
      <w:r w:rsidR="003F6F66">
        <w:rPr>
          <w:rFonts w:asciiTheme="majorHAnsi" w:hAnsiTheme="majorHAnsi"/>
          <w:sz w:val="20"/>
          <w:szCs w:val="20"/>
          <w:lang w:val="es-ES_tradnl"/>
        </w:rPr>
        <w:t xml:space="preserve"> los hechos</w:t>
      </w:r>
      <w:r w:rsidR="00613CCE">
        <w:rPr>
          <w:rFonts w:asciiTheme="majorHAnsi" w:hAnsiTheme="majorHAnsi"/>
          <w:sz w:val="20"/>
          <w:szCs w:val="20"/>
          <w:lang w:val="es-ES_tradnl"/>
        </w:rPr>
        <w:t>.</w:t>
      </w:r>
      <w:r w:rsidR="00215EAE">
        <w:rPr>
          <w:rFonts w:asciiTheme="majorHAnsi" w:hAnsiTheme="majorHAnsi"/>
          <w:sz w:val="20"/>
          <w:szCs w:val="20"/>
          <w:lang w:val="es-ES_tradnl"/>
        </w:rPr>
        <w:t xml:space="preserve"> </w:t>
      </w:r>
      <w:r w:rsidR="00742450">
        <w:rPr>
          <w:rFonts w:asciiTheme="majorHAnsi" w:hAnsiTheme="majorHAnsi"/>
          <w:sz w:val="20"/>
          <w:szCs w:val="20"/>
          <w:lang w:val="es-ES_tradnl"/>
        </w:rPr>
        <w:t>Según u</w:t>
      </w:r>
      <w:r w:rsidR="00E261FF">
        <w:rPr>
          <w:rFonts w:asciiTheme="majorHAnsi" w:hAnsiTheme="majorHAnsi"/>
          <w:sz w:val="20"/>
          <w:szCs w:val="20"/>
          <w:lang w:val="es-ES_tradnl"/>
        </w:rPr>
        <w:t>n interno “</w:t>
      </w:r>
      <w:r w:rsidR="00E409EE" w:rsidRPr="00E409EE">
        <w:rPr>
          <w:rFonts w:asciiTheme="majorHAnsi" w:hAnsiTheme="majorHAnsi"/>
          <w:sz w:val="20"/>
          <w:szCs w:val="20"/>
          <w:lang w:val="es-CO"/>
        </w:rPr>
        <w:t xml:space="preserve">unos días antes echaron un agua </w:t>
      </w:r>
      <w:r w:rsidR="00E409EE">
        <w:rPr>
          <w:rFonts w:asciiTheme="majorHAnsi" w:hAnsiTheme="majorHAnsi"/>
          <w:sz w:val="20"/>
          <w:szCs w:val="20"/>
          <w:lang w:val="es-CO"/>
        </w:rPr>
        <w:t>[hicieron una requisa]</w:t>
      </w:r>
      <w:r w:rsidR="00E409EE" w:rsidRPr="00E409EE">
        <w:rPr>
          <w:rFonts w:asciiTheme="majorHAnsi" w:hAnsiTheme="majorHAnsi"/>
          <w:sz w:val="20"/>
          <w:szCs w:val="20"/>
          <w:lang w:val="es-CO"/>
        </w:rPr>
        <w:t xml:space="preserve"> y ellos nos golpearon, uno se tiene que quedar callado porque si solo dice a</w:t>
      </w:r>
      <w:r w:rsidR="00215EAE">
        <w:rPr>
          <w:rFonts w:asciiTheme="majorHAnsi" w:hAnsiTheme="majorHAnsi"/>
          <w:sz w:val="20"/>
          <w:szCs w:val="20"/>
          <w:lang w:val="es-CO"/>
        </w:rPr>
        <w:t>y, le dan cinco peinillazos más</w:t>
      </w:r>
      <w:r w:rsidR="00E409EE" w:rsidRPr="00E409EE">
        <w:rPr>
          <w:rFonts w:asciiTheme="majorHAnsi" w:hAnsiTheme="majorHAnsi"/>
          <w:sz w:val="20"/>
          <w:szCs w:val="20"/>
          <w:lang w:val="es-CO"/>
        </w:rPr>
        <w:t>”</w:t>
      </w:r>
      <w:r w:rsidR="00E409EE">
        <w:rPr>
          <w:rStyle w:val="FootnoteReference"/>
          <w:rFonts w:asciiTheme="majorHAnsi" w:hAnsiTheme="majorHAnsi"/>
          <w:sz w:val="20"/>
          <w:szCs w:val="20"/>
          <w:lang w:val="es-CO"/>
        </w:rPr>
        <w:footnoteReference w:id="24"/>
      </w:r>
      <w:r w:rsidR="00E409EE" w:rsidRPr="00E409EE">
        <w:rPr>
          <w:rFonts w:asciiTheme="majorHAnsi" w:hAnsiTheme="majorHAnsi"/>
          <w:sz w:val="20"/>
          <w:szCs w:val="20"/>
          <w:lang w:val="es-CO"/>
        </w:rPr>
        <w:t>.</w:t>
      </w:r>
    </w:p>
    <w:p w14:paraId="49208F53" w14:textId="77777777" w:rsidR="002A60FD" w:rsidRDefault="002A60FD" w:rsidP="002A60FD">
      <w:pPr>
        <w:pStyle w:val="ListParagraph"/>
        <w:rPr>
          <w:rFonts w:asciiTheme="majorHAnsi" w:hAnsiTheme="majorHAnsi"/>
          <w:b/>
          <w:sz w:val="20"/>
          <w:szCs w:val="20"/>
          <w:lang w:val="es-ES_tradnl"/>
        </w:rPr>
      </w:pPr>
    </w:p>
    <w:p w14:paraId="7B496124" w14:textId="27E6AF1F" w:rsidR="002A60FD" w:rsidRPr="00A87126" w:rsidRDefault="00742450" w:rsidP="00A8712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El Estado indicó que </w:t>
      </w:r>
      <w:r w:rsidR="004F3F1B">
        <w:rPr>
          <w:rFonts w:asciiTheme="majorHAnsi" w:hAnsiTheme="majorHAnsi"/>
          <w:sz w:val="20"/>
          <w:szCs w:val="20"/>
          <w:lang w:val="es-ES_tradnl"/>
        </w:rPr>
        <w:t xml:space="preserve">el día de los hechos, el penal </w:t>
      </w:r>
      <w:r w:rsidR="004F3F1B" w:rsidRPr="004F3F1B">
        <w:rPr>
          <w:rFonts w:asciiTheme="majorHAnsi" w:hAnsiTheme="majorHAnsi"/>
          <w:sz w:val="20"/>
          <w:szCs w:val="20"/>
          <w:lang w:val="es-VE"/>
        </w:rPr>
        <w:t>se encontraba intervenid</w:t>
      </w:r>
      <w:r w:rsidR="004F3F1B">
        <w:rPr>
          <w:rFonts w:asciiTheme="majorHAnsi" w:hAnsiTheme="majorHAnsi"/>
          <w:sz w:val="20"/>
          <w:szCs w:val="20"/>
          <w:lang w:val="es-VE"/>
        </w:rPr>
        <w:t>o</w:t>
      </w:r>
      <w:r w:rsidR="004F3F1B" w:rsidRPr="004F3F1B">
        <w:rPr>
          <w:rFonts w:asciiTheme="majorHAnsi" w:hAnsiTheme="majorHAnsi"/>
          <w:sz w:val="20"/>
          <w:szCs w:val="20"/>
          <w:lang w:val="es-VE"/>
        </w:rPr>
        <w:t xml:space="preserve"> por una junta evaluadora</w:t>
      </w:r>
      <w:r w:rsidR="005E01BD">
        <w:rPr>
          <w:rFonts w:asciiTheme="majorHAnsi" w:hAnsiTheme="majorHAnsi"/>
          <w:sz w:val="20"/>
          <w:szCs w:val="20"/>
          <w:lang w:val="es-VE"/>
        </w:rPr>
        <w:t xml:space="preserve"> externa</w:t>
      </w:r>
      <w:r w:rsidR="004F3F1B" w:rsidRPr="004F3F1B">
        <w:rPr>
          <w:rFonts w:asciiTheme="majorHAnsi" w:hAnsiTheme="majorHAnsi"/>
          <w:sz w:val="20"/>
          <w:szCs w:val="20"/>
          <w:lang w:val="es-VE"/>
        </w:rPr>
        <w:t xml:space="preserve"> </w:t>
      </w:r>
      <w:r w:rsidR="004F3F1B">
        <w:rPr>
          <w:rFonts w:asciiTheme="majorHAnsi" w:hAnsiTheme="majorHAnsi"/>
          <w:sz w:val="20"/>
          <w:szCs w:val="20"/>
          <w:lang w:val="es-VE"/>
        </w:rPr>
        <w:t>“</w:t>
      </w:r>
      <w:r w:rsidR="004F3F1B" w:rsidRPr="004F3F1B">
        <w:rPr>
          <w:rFonts w:asciiTheme="majorHAnsi" w:hAnsiTheme="majorHAnsi"/>
          <w:sz w:val="20"/>
          <w:szCs w:val="20"/>
          <w:lang w:val="es-VE"/>
        </w:rPr>
        <w:t>a fin de</w:t>
      </w:r>
      <w:r w:rsidR="004F3F1B">
        <w:rPr>
          <w:rFonts w:asciiTheme="majorHAnsi" w:hAnsiTheme="majorHAnsi"/>
          <w:sz w:val="20"/>
          <w:szCs w:val="20"/>
          <w:lang w:val="es-VE"/>
        </w:rPr>
        <w:t xml:space="preserve"> detectar las carencias del mismo y</w:t>
      </w:r>
      <w:r w:rsidR="004F3F1B" w:rsidRPr="004F3F1B">
        <w:rPr>
          <w:rFonts w:asciiTheme="majorHAnsi" w:hAnsiTheme="majorHAnsi"/>
          <w:sz w:val="20"/>
          <w:szCs w:val="20"/>
          <w:lang w:val="es-VE"/>
        </w:rPr>
        <w:t xml:space="preserve"> solucionar </w:t>
      </w:r>
      <w:r w:rsidR="004F3F1B">
        <w:rPr>
          <w:rFonts w:asciiTheme="majorHAnsi" w:hAnsiTheme="majorHAnsi"/>
          <w:sz w:val="20"/>
          <w:szCs w:val="20"/>
          <w:lang w:val="es-VE"/>
        </w:rPr>
        <w:t>las problemáticas” de la cárcel</w:t>
      </w:r>
      <w:r w:rsidR="004F3F1B">
        <w:rPr>
          <w:rStyle w:val="FootnoteReference"/>
          <w:rFonts w:asciiTheme="majorHAnsi" w:hAnsiTheme="majorHAnsi"/>
          <w:sz w:val="20"/>
          <w:szCs w:val="20"/>
          <w:lang w:val="es-ES_tradnl"/>
        </w:rPr>
        <w:footnoteReference w:id="25"/>
      </w:r>
      <w:r w:rsidR="004F3F1B">
        <w:rPr>
          <w:rFonts w:asciiTheme="majorHAnsi" w:hAnsiTheme="majorHAnsi"/>
          <w:sz w:val="20"/>
          <w:szCs w:val="20"/>
          <w:lang w:val="es-ES_tradnl"/>
        </w:rPr>
        <w:t xml:space="preserve">. </w:t>
      </w:r>
      <w:r w:rsidR="002A60FD">
        <w:rPr>
          <w:rFonts w:asciiTheme="majorHAnsi" w:hAnsiTheme="majorHAnsi"/>
          <w:sz w:val="20"/>
          <w:szCs w:val="20"/>
          <w:lang w:val="es-ES_tradnl"/>
        </w:rPr>
        <w:t xml:space="preserve">En este sentido, del resumen del expediente </w:t>
      </w:r>
      <w:r w:rsidR="004B2581">
        <w:rPr>
          <w:rFonts w:asciiTheme="majorHAnsi" w:hAnsiTheme="majorHAnsi"/>
          <w:sz w:val="20"/>
          <w:szCs w:val="20"/>
          <w:lang w:val="es-ES_tradnl"/>
        </w:rPr>
        <w:t xml:space="preserve">judicial </w:t>
      </w:r>
      <w:r w:rsidR="002A60FD">
        <w:rPr>
          <w:rFonts w:asciiTheme="majorHAnsi" w:hAnsiTheme="majorHAnsi"/>
          <w:sz w:val="20"/>
          <w:szCs w:val="20"/>
          <w:lang w:val="es-ES_tradnl"/>
        </w:rPr>
        <w:t xml:space="preserve">que aportó el Estado, se </w:t>
      </w:r>
      <w:r w:rsidR="00D75065">
        <w:rPr>
          <w:rFonts w:asciiTheme="majorHAnsi" w:hAnsiTheme="majorHAnsi"/>
          <w:sz w:val="20"/>
          <w:szCs w:val="20"/>
          <w:lang w:val="es-ES_tradnl"/>
        </w:rPr>
        <w:t>constata la existencia de un “Informe de la Intervención en el Internado Judicial de Vista Hermosa, de fecha 06-11-2003, realizado por los ciudadanos T.S.P. Alfredo Veloz” y otros</w:t>
      </w:r>
      <w:r w:rsidR="00D75065">
        <w:rPr>
          <w:rStyle w:val="FootnoteReference"/>
          <w:rFonts w:asciiTheme="majorHAnsi" w:hAnsiTheme="majorHAnsi"/>
          <w:sz w:val="20"/>
          <w:szCs w:val="20"/>
          <w:lang w:val="es-ES_tradnl"/>
        </w:rPr>
        <w:footnoteReference w:id="26"/>
      </w:r>
      <w:r w:rsidR="00D75065">
        <w:rPr>
          <w:rFonts w:asciiTheme="majorHAnsi" w:hAnsiTheme="majorHAnsi"/>
          <w:sz w:val="20"/>
          <w:szCs w:val="20"/>
          <w:lang w:val="es-ES_tradnl"/>
        </w:rPr>
        <w:t>, aunque se desconoce</w:t>
      </w:r>
      <w:r w:rsidR="009A163B">
        <w:rPr>
          <w:rFonts w:asciiTheme="majorHAnsi" w:hAnsiTheme="majorHAnsi"/>
          <w:sz w:val="20"/>
          <w:szCs w:val="20"/>
          <w:lang w:val="es-ES_tradnl"/>
        </w:rPr>
        <w:t>n</w:t>
      </w:r>
      <w:r w:rsidR="00D75065">
        <w:rPr>
          <w:rFonts w:asciiTheme="majorHAnsi" w:hAnsiTheme="majorHAnsi"/>
          <w:sz w:val="20"/>
          <w:szCs w:val="20"/>
          <w:lang w:val="es-ES_tradnl"/>
        </w:rPr>
        <w:t xml:space="preserve"> </w:t>
      </w:r>
      <w:r w:rsidR="000C6869">
        <w:rPr>
          <w:rFonts w:asciiTheme="majorHAnsi" w:hAnsiTheme="majorHAnsi"/>
          <w:sz w:val="20"/>
          <w:szCs w:val="20"/>
          <w:lang w:val="es-ES_tradnl"/>
        </w:rPr>
        <w:t>sus contenidos</w:t>
      </w:r>
      <w:r w:rsidR="004B2581">
        <w:rPr>
          <w:rFonts w:asciiTheme="majorHAnsi" w:hAnsiTheme="majorHAnsi"/>
          <w:sz w:val="20"/>
          <w:szCs w:val="20"/>
          <w:lang w:val="es-ES_tradnl"/>
        </w:rPr>
        <w:t xml:space="preserve">. </w:t>
      </w:r>
    </w:p>
    <w:p w14:paraId="65E70F38" w14:textId="77777777" w:rsidR="00D83D73" w:rsidRPr="0021207E" w:rsidRDefault="00D83D73" w:rsidP="0021207E">
      <w:pPr>
        <w:rPr>
          <w:rFonts w:asciiTheme="majorHAnsi" w:hAnsiTheme="majorHAnsi"/>
          <w:b/>
          <w:color w:val="FF0000"/>
          <w:sz w:val="20"/>
          <w:szCs w:val="20"/>
          <w:lang w:val="es-ES_tradnl"/>
        </w:rPr>
      </w:pPr>
    </w:p>
    <w:p w14:paraId="328C7AA1" w14:textId="13E9873E" w:rsidR="0021207E" w:rsidRPr="00DC211F" w:rsidRDefault="0094652F" w:rsidP="004F5025">
      <w:pPr>
        <w:pStyle w:val="Heading2"/>
      </w:pPr>
      <w:bookmarkStart w:id="11" w:name="_Toc527708409"/>
      <w:r>
        <w:t>Los hechos del 10 de noviembre de</w:t>
      </w:r>
      <w:r>
        <w:t xml:space="preserve"> 2003</w:t>
      </w:r>
      <w:bookmarkEnd w:id="11"/>
    </w:p>
    <w:p w14:paraId="6025D260" w14:textId="77777777" w:rsidR="00A87126" w:rsidRPr="0094652F" w:rsidRDefault="00A87126" w:rsidP="00A87126">
      <w:pPr>
        <w:jc w:val="both"/>
        <w:rPr>
          <w:rFonts w:asciiTheme="majorHAnsi" w:hAnsiTheme="majorHAnsi"/>
          <w:b/>
          <w:color w:val="FF0000"/>
          <w:sz w:val="20"/>
          <w:szCs w:val="20"/>
          <w:lang w:val="es-US"/>
        </w:rPr>
      </w:pPr>
    </w:p>
    <w:p w14:paraId="06408B9C" w14:textId="3BB276F9" w:rsidR="004E2CDE" w:rsidRDefault="00A137D2" w:rsidP="001939A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DC7638">
        <w:rPr>
          <w:rFonts w:asciiTheme="majorHAnsi" w:hAnsiTheme="majorHAnsi"/>
          <w:sz w:val="20"/>
          <w:szCs w:val="20"/>
          <w:lang w:val="es-ES_tradnl"/>
        </w:rPr>
        <w:t>Como cuestión preliminar, la Comisión observa que</w:t>
      </w:r>
      <w:r w:rsidR="00F0118C">
        <w:rPr>
          <w:rFonts w:asciiTheme="majorHAnsi" w:hAnsiTheme="majorHAnsi"/>
          <w:sz w:val="20"/>
          <w:szCs w:val="20"/>
          <w:lang w:val="es-ES_tradnl"/>
        </w:rPr>
        <w:t xml:space="preserve"> el Estado no aportó </w:t>
      </w:r>
      <w:r>
        <w:rPr>
          <w:rFonts w:asciiTheme="majorHAnsi" w:hAnsiTheme="majorHAnsi"/>
          <w:sz w:val="20"/>
          <w:szCs w:val="20"/>
          <w:lang w:val="es-ES_tradnl"/>
        </w:rPr>
        <w:t>una versión definitiva sobre las circunstancias</w:t>
      </w:r>
      <w:r w:rsidR="00F0118C">
        <w:rPr>
          <w:rFonts w:asciiTheme="majorHAnsi" w:hAnsiTheme="majorHAnsi"/>
          <w:sz w:val="20"/>
          <w:szCs w:val="20"/>
          <w:lang w:val="es-ES_tradnl"/>
        </w:rPr>
        <w:t xml:space="preserve"> en que tuvieron lugar </w:t>
      </w:r>
      <w:r>
        <w:rPr>
          <w:rFonts w:asciiTheme="majorHAnsi" w:hAnsiTheme="majorHAnsi"/>
          <w:sz w:val="20"/>
          <w:szCs w:val="20"/>
          <w:lang w:val="es-ES_tradnl"/>
        </w:rPr>
        <w:t>las muertes</w:t>
      </w:r>
      <w:r w:rsidR="00F0118C">
        <w:rPr>
          <w:rFonts w:asciiTheme="majorHAnsi" w:hAnsiTheme="majorHAnsi"/>
          <w:sz w:val="20"/>
          <w:szCs w:val="20"/>
          <w:lang w:val="es-ES_tradnl"/>
        </w:rPr>
        <w:t xml:space="preserve"> y heridas</w:t>
      </w:r>
      <w:r>
        <w:rPr>
          <w:rFonts w:asciiTheme="majorHAnsi" w:hAnsiTheme="majorHAnsi"/>
          <w:sz w:val="20"/>
          <w:szCs w:val="20"/>
          <w:lang w:val="es-ES_tradnl"/>
        </w:rPr>
        <w:t xml:space="preserve"> de las presuntas víctimas</w:t>
      </w:r>
      <w:r w:rsidR="005E01BD">
        <w:rPr>
          <w:rFonts w:asciiTheme="majorHAnsi" w:hAnsiTheme="majorHAnsi"/>
          <w:sz w:val="20"/>
          <w:szCs w:val="20"/>
          <w:lang w:val="es-ES_tradnl"/>
        </w:rPr>
        <w:t xml:space="preserve"> el 10 de noviembre de 2003</w:t>
      </w:r>
      <w:r>
        <w:rPr>
          <w:rFonts w:asciiTheme="majorHAnsi" w:hAnsiTheme="majorHAnsi"/>
          <w:sz w:val="20"/>
          <w:szCs w:val="20"/>
          <w:lang w:val="es-ES_tradnl"/>
        </w:rPr>
        <w:t xml:space="preserve">. </w:t>
      </w:r>
      <w:r w:rsidR="00FE5C91">
        <w:rPr>
          <w:rFonts w:asciiTheme="majorHAnsi" w:hAnsiTheme="majorHAnsi"/>
          <w:sz w:val="20"/>
          <w:szCs w:val="20"/>
          <w:lang w:val="es-ES_tradnl"/>
        </w:rPr>
        <w:t>Sin embargo, como se indicó en la sección de posición de las partes, el Estado indicó que el actuar de los Guardias Nacionales se enmarca en</w:t>
      </w:r>
      <w:r w:rsidR="00441B1C">
        <w:rPr>
          <w:rFonts w:asciiTheme="majorHAnsi" w:hAnsiTheme="majorHAnsi"/>
          <w:sz w:val="20"/>
          <w:szCs w:val="20"/>
          <w:lang w:val="es-ES_tradnl"/>
        </w:rPr>
        <w:t xml:space="preserve"> ejecuciones extrajudiciales y el alegato de ausencia de responsabilidad internacional no se basa en una justificación de dicho actuar, sino en la continuidad de las in</w:t>
      </w:r>
      <w:r w:rsidR="001939AC">
        <w:rPr>
          <w:rFonts w:asciiTheme="majorHAnsi" w:hAnsiTheme="majorHAnsi"/>
          <w:sz w:val="20"/>
          <w:szCs w:val="20"/>
          <w:lang w:val="es-ES_tradnl"/>
        </w:rPr>
        <w:t>vestigaciones a nivel interno. I</w:t>
      </w:r>
      <w:r w:rsidR="00441B1C">
        <w:rPr>
          <w:rFonts w:asciiTheme="majorHAnsi" w:hAnsiTheme="majorHAnsi"/>
          <w:sz w:val="20"/>
          <w:szCs w:val="20"/>
          <w:lang w:val="es-ES_tradnl"/>
        </w:rPr>
        <w:t>mplicaciones de lo anterior serán referidas en el análisis de derecho.</w:t>
      </w:r>
      <w:r w:rsidR="004E2CDE">
        <w:rPr>
          <w:rFonts w:asciiTheme="majorHAnsi" w:hAnsiTheme="majorHAnsi"/>
          <w:sz w:val="20"/>
          <w:szCs w:val="20"/>
          <w:lang w:val="es-ES_tradnl"/>
        </w:rPr>
        <w:t xml:space="preserve"> </w:t>
      </w:r>
    </w:p>
    <w:p w14:paraId="13FC66CD" w14:textId="77777777" w:rsidR="004E2CDE" w:rsidRDefault="004E2CDE" w:rsidP="001939A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14:paraId="73A7F295" w14:textId="37776D25" w:rsidR="00B66D27" w:rsidRPr="004E2CDE" w:rsidRDefault="004E2CDE" w:rsidP="00B66D2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B66D27">
        <w:rPr>
          <w:rFonts w:asciiTheme="majorHAnsi" w:hAnsiTheme="majorHAnsi"/>
          <w:sz w:val="20"/>
          <w:szCs w:val="20"/>
          <w:lang w:val="es-ES_tradnl"/>
        </w:rPr>
        <w:t>En este punto la CIDH deja constancia de que de las declaraciones que obran en el expediente, se desprenden</w:t>
      </w:r>
      <w:r w:rsidRPr="004E2CDE">
        <w:rPr>
          <w:rFonts w:asciiTheme="majorHAnsi" w:hAnsiTheme="majorHAnsi"/>
          <w:sz w:val="20"/>
          <w:szCs w:val="20"/>
          <w:lang w:val="es-ES_tradnl"/>
        </w:rPr>
        <w:t xml:space="preserve"> aproximadamente tres versione</w:t>
      </w:r>
      <w:r>
        <w:rPr>
          <w:rFonts w:asciiTheme="majorHAnsi" w:hAnsiTheme="majorHAnsi"/>
          <w:sz w:val="20"/>
          <w:szCs w:val="20"/>
          <w:lang w:val="es-ES_tradnl"/>
        </w:rPr>
        <w:t>s</w:t>
      </w:r>
      <w:r w:rsidRPr="004E2CDE">
        <w:rPr>
          <w:rFonts w:asciiTheme="majorHAnsi" w:hAnsiTheme="majorHAnsi"/>
          <w:sz w:val="20"/>
          <w:szCs w:val="20"/>
          <w:lang w:val="es-ES_tradnl"/>
        </w:rPr>
        <w:t xml:space="preserve">: </w:t>
      </w:r>
      <w:r w:rsidR="001939AC">
        <w:rPr>
          <w:rFonts w:asciiTheme="majorHAnsi" w:hAnsiTheme="majorHAnsi"/>
          <w:sz w:val="20"/>
          <w:szCs w:val="20"/>
          <w:lang w:val="es-ES_tradnl"/>
        </w:rPr>
        <w:t>1</w:t>
      </w:r>
      <w:r w:rsidR="001939AC" w:rsidRPr="00ED550D">
        <w:rPr>
          <w:rFonts w:asciiTheme="majorHAnsi" w:hAnsiTheme="majorHAnsi"/>
          <w:sz w:val="20"/>
          <w:szCs w:val="20"/>
          <w:lang w:val="es-ES_tradnl"/>
        </w:rPr>
        <w:t xml:space="preserve">) la versión de los internos y los medios de comunicación, en cuanto a </w:t>
      </w:r>
      <w:r w:rsidR="001939AC">
        <w:rPr>
          <w:rFonts w:asciiTheme="majorHAnsi" w:hAnsiTheme="majorHAnsi"/>
          <w:sz w:val="20"/>
          <w:szCs w:val="20"/>
          <w:lang w:val="es-ES_tradnl"/>
        </w:rPr>
        <w:t xml:space="preserve">no hubo una riña el día de los hechos sino </w:t>
      </w:r>
      <w:r w:rsidR="001939AC" w:rsidRPr="00ED550D">
        <w:rPr>
          <w:rFonts w:asciiTheme="majorHAnsi" w:hAnsiTheme="majorHAnsi"/>
          <w:sz w:val="20"/>
          <w:szCs w:val="20"/>
          <w:lang w:val="es-ES_tradnl"/>
        </w:rPr>
        <w:t>se trató de un plan previamente acordado por la Guardia Nacional que tenía como finalidad la muerte de las presuntas v</w:t>
      </w:r>
      <w:r w:rsidR="001939AC" w:rsidRPr="00B66D27">
        <w:rPr>
          <w:rFonts w:asciiTheme="majorHAnsi" w:hAnsiTheme="majorHAnsi"/>
          <w:sz w:val="20"/>
          <w:szCs w:val="20"/>
          <w:lang w:val="es-ES_tradnl"/>
        </w:rPr>
        <w:t>íctimas fallecidas y aproximadamente 27 lesionadas</w:t>
      </w:r>
      <w:r w:rsidR="001939AC">
        <w:rPr>
          <w:rFonts w:asciiTheme="majorHAnsi" w:hAnsiTheme="majorHAnsi"/>
          <w:sz w:val="20"/>
          <w:szCs w:val="20"/>
          <w:lang w:val="es-ES_tradnl"/>
        </w:rPr>
        <w:t>;</w:t>
      </w:r>
      <w:r w:rsidR="001939AC" w:rsidRPr="00ED550D">
        <w:rPr>
          <w:rFonts w:asciiTheme="majorHAnsi" w:hAnsiTheme="majorHAnsi"/>
          <w:sz w:val="20"/>
          <w:szCs w:val="20"/>
          <w:lang w:val="es-ES_tradnl"/>
        </w:rPr>
        <w:t xml:space="preserve"> </w:t>
      </w:r>
      <w:r w:rsidR="001939AC">
        <w:rPr>
          <w:rFonts w:asciiTheme="majorHAnsi" w:hAnsiTheme="majorHAnsi"/>
          <w:sz w:val="20"/>
          <w:szCs w:val="20"/>
          <w:lang w:val="es-ES_tradnl"/>
        </w:rPr>
        <w:t>2</w:t>
      </w:r>
      <w:r w:rsidRPr="00ED550D">
        <w:rPr>
          <w:rFonts w:asciiTheme="majorHAnsi" w:hAnsiTheme="majorHAnsi"/>
          <w:sz w:val="20"/>
          <w:szCs w:val="20"/>
          <w:lang w:val="es-ES_tradnl"/>
        </w:rPr>
        <w:t xml:space="preserve">) la versión de los Guardias Nacionales, en cuanto </w:t>
      </w:r>
      <w:r w:rsidR="001939AC">
        <w:rPr>
          <w:rFonts w:asciiTheme="majorHAnsi" w:hAnsiTheme="majorHAnsi"/>
          <w:sz w:val="20"/>
          <w:szCs w:val="20"/>
          <w:lang w:val="es-ES_tradnl"/>
        </w:rPr>
        <w:t>la alegada</w:t>
      </w:r>
      <w:r w:rsidRPr="00ED550D">
        <w:rPr>
          <w:rFonts w:asciiTheme="majorHAnsi" w:hAnsiTheme="majorHAnsi"/>
          <w:sz w:val="20"/>
          <w:szCs w:val="20"/>
          <w:lang w:val="es-ES_tradnl"/>
        </w:rPr>
        <w:t xml:space="preserve"> riña entre los internos ese día dejó un saldo de heridos y muertos, y los efectivos entraron al interior del penal sólo luego de calmada la situación; </w:t>
      </w:r>
      <w:r w:rsidR="001939AC">
        <w:rPr>
          <w:rFonts w:asciiTheme="majorHAnsi" w:hAnsiTheme="majorHAnsi"/>
          <w:sz w:val="20"/>
          <w:szCs w:val="20"/>
          <w:lang w:val="es-ES_tradnl"/>
        </w:rPr>
        <w:t>3)</w:t>
      </w:r>
      <w:r w:rsidRPr="00ED550D">
        <w:rPr>
          <w:rFonts w:asciiTheme="majorHAnsi" w:hAnsiTheme="majorHAnsi"/>
          <w:sz w:val="20"/>
          <w:szCs w:val="20"/>
          <w:lang w:val="es-ES_tradnl"/>
        </w:rPr>
        <w:t xml:space="preserve"> la versión del Ministerio Público y el Director Interventor, en cuanto a que ante tal riña, hubo una intervención por parte de la Guardia Naci</w:t>
      </w:r>
      <w:r w:rsidR="001939AC">
        <w:rPr>
          <w:rFonts w:asciiTheme="majorHAnsi" w:hAnsiTheme="majorHAnsi"/>
          <w:sz w:val="20"/>
          <w:szCs w:val="20"/>
          <w:lang w:val="es-ES_tradnl"/>
        </w:rPr>
        <w:t>onal que dejó heridos y muertos</w:t>
      </w:r>
      <w:r w:rsidRPr="00B66D27">
        <w:rPr>
          <w:rFonts w:asciiTheme="majorHAnsi" w:hAnsiTheme="majorHAnsi"/>
          <w:sz w:val="20"/>
          <w:szCs w:val="20"/>
          <w:lang w:val="es-ES_tradnl"/>
        </w:rPr>
        <w:t xml:space="preserve">. </w:t>
      </w:r>
    </w:p>
    <w:p w14:paraId="40794101" w14:textId="7D0C6D31" w:rsidR="00B66D27" w:rsidRPr="00B66D27" w:rsidRDefault="00B66D27" w:rsidP="004E2C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32575F86" w14:textId="60C5E4A3" w:rsidR="002A60FD" w:rsidRPr="005E01BD" w:rsidRDefault="003E13D4" w:rsidP="001939A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Como se explicó, la </w:t>
      </w:r>
      <w:r w:rsidR="00466922">
        <w:rPr>
          <w:rFonts w:asciiTheme="majorHAnsi" w:hAnsiTheme="majorHAnsi"/>
          <w:sz w:val="20"/>
          <w:szCs w:val="20"/>
          <w:lang w:val="es-ES_tradnl"/>
        </w:rPr>
        <w:t>CIDH</w:t>
      </w:r>
      <w:r w:rsidR="00552B4A">
        <w:rPr>
          <w:rFonts w:asciiTheme="majorHAnsi" w:hAnsiTheme="majorHAnsi"/>
          <w:sz w:val="20"/>
          <w:szCs w:val="20"/>
          <w:lang w:val="es-ES_tradnl"/>
        </w:rPr>
        <w:t xml:space="preserve"> entiende que</w:t>
      </w:r>
      <w:r w:rsidR="00415900">
        <w:rPr>
          <w:rFonts w:asciiTheme="majorHAnsi" w:hAnsiTheme="majorHAnsi"/>
          <w:sz w:val="20"/>
          <w:szCs w:val="20"/>
          <w:lang w:val="es-ES_tradnl"/>
        </w:rPr>
        <w:t xml:space="preserve"> el Estado</w:t>
      </w:r>
      <w:r w:rsidR="00D75065">
        <w:rPr>
          <w:rFonts w:asciiTheme="majorHAnsi" w:hAnsiTheme="majorHAnsi"/>
          <w:sz w:val="20"/>
          <w:szCs w:val="20"/>
          <w:lang w:val="es-ES_tradnl"/>
        </w:rPr>
        <w:t xml:space="preserve"> asume como cierta la </w:t>
      </w:r>
      <w:r w:rsidR="00466922">
        <w:rPr>
          <w:rFonts w:asciiTheme="majorHAnsi" w:hAnsiTheme="majorHAnsi"/>
          <w:sz w:val="20"/>
          <w:szCs w:val="20"/>
          <w:lang w:val="es-ES_tradnl"/>
        </w:rPr>
        <w:t>versión</w:t>
      </w:r>
      <w:r w:rsidR="00D75065">
        <w:rPr>
          <w:rFonts w:asciiTheme="majorHAnsi" w:hAnsiTheme="majorHAnsi"/>
          <w:sz w:val="20"/>
          <w:szCs w:val="20"/>
          <w:lang w:val="es-ES_tradnl"/>
        </w:rPr>
        <w:t xml:space="preserve"> del Ministerio Público (que los cuatro imputados son responsables), pero</w:t>
      </w:r>
      <w:r w:rsidR="00552B4A">
        <w:rPr>
          <w:rFonts w:asciiTheme="majorHAnsi" w:hAnsiTheme="majorHAnsi"/>
          <w:sz w:val="20"/>
          <w:szCs w:val="20"/>
          <w:lang w:val="es-ES_tradnl"/>
        </w:rPr>
        <w:t xml:space="preserve"> destaca</w:t>
      </w:r>
      <w:r w:rsidR="00D75065">
        <w:rPr>
          <w:rFonts w:asciiTheme="majorHAnsi" w:hAnsiTheme="majorHAnsi"/>
          <w:sz w:val="20"/>
          <w:szCs w:val="20"/>
          <w:lang w:val="es-ES_tradnl"/>
        </w:rPr>
        <w:t xml:space="preserve"> la falta de una sentencia judicial definitiva que estable</w:t>
      </w:r>
      <w:r w:rsidR="00B15F69">
        <w:rPr>
          <w:rFonts w:asciiTheme="majorHAnsi" w:hAnsiTheme="majorHAnsi"/>
          <w:sz w:val="20"/>
          <w:szCs w:val="20"/>
          <w:lang w:val="es-ES_tradnl"/>
        </w:rPr>
        <w:t>zca</w:t>
      </w:r>
      <w:r w:rsidR="00D75065">
        <w:rPr>
          <w:rFonts w:asciiTheme="majorHAnsi" w:hAnsiTheme="majorHAnsi"/>
          <w:sz w:val="20"/>
          <w:szCs w:val="20"/>
          <w:lang w:val="es-ES_tradnl"/>
        </w:rPr>
        <w:t xml:space="preserve"> responsabilidades penales.</w:t>
      </w:r>
      <w:r w:rsidR="00466922">
        <w:rPr>
          <w:rFonts w:asciiTheme="majorHAnsi" w:hAnsiTheme="majorHAnsi"/>
          <w:sz w:val="20"/>
          <w:szCs w:val="20"/>
          <w:lang w:val="es-ES_tradnl"/>
        </w:rPr>
        <w:t xml:space="preserve"> Así,</w:t>
      </w:r>
      <w:r w:rsidR="00A137D2">
        <w:rPr>
          <w:rFonts w:asciiTheme="majorHAnsi" w:hAnsiTheme="majorHAnsi"/>
          <w:sz w:val="20"/>
          <w:szCs w:val="20"/>
          <w:lang w:val="es-ES_tradnl"/>
        </w:rPr>
        <w:t xml:space="preserve"> </w:t>
      </w:r>
      <w:r w:rsidR="00466922">
        <w:rPr>
          <w:rFonts w:asciiTheme="majorHAnsi" w:hAnsiTheme="majorHAnsi"/>
          <w:sz w:val="20"/>
          <w:szCs w:val="20"/>
          <w:lang w:val="es-ES_tradnl"/>
        </w:rPr>
        <w:t>l</w:t>
      </w:r>
      <w:r w:rsidR="00B15F69">
        <w:rPr>
          <w:rFonts w:asciiTheme="majorHAnsi" w:hAnsiTheme="majorHAnsi"/>
          <w:sz w:val="20"/>
          <w:szCs w:val="20"/>
          <w:lang w:val="es-ES_tradnl"/>
        </w:rPr>
        <w:t>a CIDH entiende que</w:t>
      </w:r>
      <w:r>
        <w:rPr>
          <w:rFonts w:asciiTheme="majorHAnsi" w:hAnsiTheme="majorHAnsi"/>
          <w:sz w:val="20"/>
          <w:szCs w:val="20"/>
          <w:lang w:val="es-ES_tradnl"/>
        </w:rPr>
        <w:t>, más allá de la calificación jurídica, en términos fácticos,</w:t>
      </w:r>
      <w:r w:rsidR="00B15F69">
        <w:rPr>
          <w:rFonts w:asciiTheme="majorHAnsi" w:hAnsiTheme="majorHAnsi"/>
          <w:sz w:val="20"/>
          <w:szCs w:val="20"/>
          <w:lang w:val="es-ES_tradnl"/>
        </w:rPr>
        <w:t xml:space="preserve"> el Estado reconoce que </w:t>
      </w:r>
      <w:r w:rsidR="002A60FD" w:rsidRPr="005E01BD">
        <w:rPr>
          <w:rFonts w:asciiTheme="majorHAnsi" w:hAnsiTheme="majorHAnsi"/>
          <w:sz w:val="20"/>
          <w:szCs w:val="20"/>
          <w:lang w:val="es-ES_tradnl"/>
        </w:rPr>
        <w:t xml:space="preserve">el día de los hechos hubo una intervención de la Guardia Nacional en la </w:t>
      </w:r>
      <w:r w:rsidR="00B15F69">
        <w:rPr>
          <w:rFonts w:asciiTheme="majorHAnsi" w:hAnsiTheme="majorHAnsi"/>
          <w:sz w:val="20"/>
          <w:szCs w:val="20"/>
          <w:lang w:val="es-ES_tradnl"/>
        </w:rPr>
        <w:t>c</w:t>
      </w:r>
      <w:r w:rsidR="002A60FD" w:rsidRPr="005E01BD">
        <w:rPr>
          <w:rFonts w:asciiTheme="majorHAnsi" w:hAnsiTheme="majorHAnsi"/>
          <w:sz w:val="20"/>
          <w:szCs w:val="20"/>
          <w:lang w:val="es-ES_tradnl"/>
        </w:rPr>
        <w:t xml:space="preserve">árcel de Vista Hermosa y </w:t>
      </w:r>
      <w:r w:rsidR="00466922">
        <w:rPr>
          <w:rFonts w:asciiTheme="majorHAnsi" w:hAnsiTheme="majorHAnsi"/>
          <w:sz w:val="20"/>
          <w:szCs w:val="20"/>
          <w:lang w:val="es-ES_tradnl"/>
        </w:rPr>
        <w:t>“</w:t>
      </w:r>
      <w:r w:rsidR="002A60FD" w:rsidRPr="005E01BD">
        <w:rPr>
          <w:rFonts w:asciiTheme="majorHAnsi" w:hAnsiTheme="majorHAnsi"/>
          <w:sz w:val="20"/>
          <w:szCs w:val="20"/>
          <w:lang w:val="es-ES_tradnl"/>
        </w:rPr>
        <w:t>como resultado de este procedimiento” se produj</w:t>
      </w:r>
      <w:r w:rsidR="00B15F69">
        <w:rPr>
          <w:rFonts w:asciiTheme="majorHAnsi" w:hAnsiTheme="majorHAnsi"/>
          <w:sz w:val="20"/>
          <w:szCs w:val="20"/>
          <w:lang w:val="es-ES_tradnl"/>
        </w:rPr>
        <w:t>eron</w:t>
      </w:r>
      <w:r w:rsidR="002A60FD" w:rsidRPr="005E01BD">
        <w:rPr>
          <w:rFonts w:asciiTheme="majorHAnsi" w:hAnsiTheme="majorHAnsi"/>
          <w:sz w:val="20"/>
          <w:szCs w:val="20"/>
          <w:lang w:val="es-ES_tradnl"/>
        </w:rPr>
        <w:t xml:space="preserve"> las muertes de las siete víctimas fallecidas y aproximadamente 27 lesionadas. </w:t>
      </w:r>
    </w:p>
    <w:p w14:paraId="2ABB1A01" w14:textId="22E13A87" w:rsidR="004E2CDE" w:rsidRDefault="004E2CDE" w:rsidP="001939A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73701A96" w14:textId="5EB79B51" w:rsidR="004E2CDE" w:rsidRDefault="00842408" w:rsidP="004E2CD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4E2CDE">
        <w:rPr>
          <w:rFonts w:asciiTheme="majorHAnsi" w:hAnsiTheme="majorHAnsi"/>
          <w:sz w:val="20"/>
          <w:szCs w:val="20"/>
          <w:lang w:val="es-ES_tradnl"/>
        </w:rPr>
        <w:t>La CIDH</w:t>
      </w:r>
      <w:r w:rsidR="003E13D4" w:rsidRPr="004E2CDE">
        <w:rPr>
          <w:rFonts w:asciiTheme="majorHAnsi" w:hAnsiTheme="majorHAnsi"/>
          <w:sz w:val="20"/>
          <w:szCs w:val="20"/>
          <w:lang w:val="es-ES_tradnl"/>
        </w:rPr>
        <w:t xml:space="preserve"> </w:t>
      </w:r>
      <w:r w:rsidR="00A137D2" w:rsidRPr="004E2CDE">
        <w:rPr>
          <w:rFonts w:asciiTheme="majorHAnsi" w:hAnsiTheme="majorHAnsi"/>
          <w:sz w:val="20"/>
          <w:szCs w:val="20"/>
          <w:lang w:val="es-ES_tradnl"/>
        </w:rPr>
        <w:t>cuenta con</w:t>
      </w:r>
      <w:r w:rsidR="003E13D4" w:rsidRPr="004E2CDE">
        <w:rPr>
          <w:rFonts w:asciiTheme="majorHAnsi" w:hAnsiTheme="majorHAnsi"/>
          <w:sz w:val="20"/>
          <w:szCs w:val="20"/>
          <w:lang w:val="es-ES_tradnl"/>
        </w:rPr>
        <w:t xml:space="preserve"> diversas </w:t>
      </w:r>
      <w:r w:rsidR="00A137D2" w:rsidRPr="004E2CDE">
        <w:rPr>
          <w:rFonts w:asciiTheme="majorHAnsi" w:hAnsiTheme="majorHAnsi"/>
          <w:sz w:val="20"/>
          <w:szCs w:val="20"/>
          <w:lang w:val="es-ES_tradnl"/>
        </w:rPr>
        <w:t>pruebas</w:t>
      </w:r>
      <w:r w:rsidR="003E13D4" w:rsidRPr="004E2CDE">
        <w:rPr>
          <w:rFonts w:asciiTheme="majorHAnsi" w:hAnsiTheme="majorHAnsi"/>
          <w:sz w:val="20"/>
          <w:szCs w:val="20"/>
          <w:lang w:val="es-ES_tradnl"/>
        </w:rPr>
        <w:t xml:space="preserve"> tales como </w:t>
      </w:r>
      <w:r w:rsidR="00A137D2" w:rsidRPr="004E2CDE">
        <w:rPr>
          <w:rFonts w:asciiTheme="majorHAnsi" w:hAnsiTheme="majorHAnsi"/>
          <w:sz w:val="20"/>
          <w:szCs w:val="20"/>
          <w:lang w:val="es-ES_tradnl"/>
        </w:rPr>
        <w:t>informes forenses, entrevistas, resoluciones judiciales y notas de prensa, así como información de público conocimiento</w:t>
      </w:r>
      <w:r w:rsidR="005C5F37" w:rsidRPr="004E2CDE">
        <w:rPr>
          <w:rFonts w:asciiTheme="majorHAnsi" w:hAnsiTheme="majorHAnsi"/>
          <w:sz w:val="20"/>
          <w:szCs w:val="20"/>
          <w:lang w:val="es-ES_tradnl"/>
        </w:rPr>
        <w:t xml:space="preserve">, cuyos contenidos relevantes </w:t>
      </w:r>
      <w:r w:rsidR="00A137D2" w:rsidRPr="004E2CDE">
        <w:rPr>
          <w:rFonts w:asciiTheme="majorHAnsi" w:hAnsiTheme="majorHAnsi"/>
          <w:sz w:val="20"/>
          <w:szCs w:val="20"/>
          <w:lang w:val="es-ES_tradnl"/>
        </w:rPr>
        <w:t>serán referid</w:t>
      </w:r>
      <w:r w:rsidR="005C5F37" w:rsidRPr="004E2CDE">
        <w:rPr>
          <w:rFonts w:asciiTheme="majorHAnsi" w:hAnsiTheme="majorHAnsi"/>
          <w:sz w:val="20"/>
          <w:szCs w:val="20"/>
          <w:lang w:val="es-ES_tradnl"/>
        </w:rPr>
        <w:t>o</w:t>
      </w:r>
      <w:r w:rsidR="00A137D2" w:rsidRPr="004E2CDE">
        <w:rPr>
          <w:rFonts w:asciiTheme="majorHAnsi" w:hAnsiTheme="majorHAnsi"/>
          <w:sz w:val="20"/>
          <w:szCs w:val="20"/>
          <w:lang w:val="es-ES_tradnl"/>
        </w:rPr>
        <w:t xml:space="preserve">s a continuación. </w:t>
      </w:r>
    </w:p>
    <w:p w14:paraId="067464F7" w14:textId="77777777" w:rsidR="004E2CDE" w:rsidRDefault="004E2CDE" w:rsidP="004E2C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1C03B073" w14:textId="57924A57" w:rsidR="0021207E" w:rsidRPr="00496AE4" w:rsidRDefault="00E409EE" w:rsidP="004F5025">
      <w:pPr>
        <w:pStyle w:val="Heading3"/>
        <w:numPr>
          <w:ilvl w:val="0"/>
          <w:numId w:val="77"/>
        </w:numPr>
        <w:ind w:left="1440" w:hanging="810"/>
      </w:pPr>
      <w:bookmarkStart w:id="12" w:name="_Toc527708410"/>
      <w:r w:rsidRPr="00496AE4">
        <w:t>La versión de los internos testigos de los hechos</w:t>
      </w:r>
      <w:bookmarkEnd w:id="12"/>
    </w:p>
    <w:p w14:paraId="1555F771" w14:textId="77777777" w:rsidR="00E409EE" w:rsidRPr="0021207E" w:rsidRDefault="00E409EE" w:rsidP="002120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73F7DE73" w14:textId="568C8340" w:rsidR="00EB7688" w:rsidRPr="00EB7688" w:rsidRDefault="0021207E" w:rsidP="00496A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De acuerdo con testigos internos, </w:t>
      </w:r>
      <w:r w:rsidR="005F14CF">
        <w:rPr>
          <w:rFonts w:asciiTheme="majorHAnsi" w:hAnsiTheme="majorHAnsi"/>
          <w:sz w:val="20"/>
          <w:szCs w:val="20"/>
          <w:lang w:val="es-ES_tradnl"/>
        </w:rPr>
        <w:t>aproximadamente a las 7:30 am</w:t>
      </w:r>
      <w:r w:rsidR="00AF0675">
        <w:rPr>
          <w:rFonts w:asciiTheme="majorHAnsi" w:hAnsiTheme="majorHAnsi"/>
          <w:sz w:val="20"/>
          <w:szCs w:val="20"/>
          <w:lang w:val="es-ES_tradnl"/>
        </w:rPr>
        <w:t xml:space="preserve"> </w:t>
      </w:r>
      <w:r w:rsidR="005F14CF">
        <w:rPr>
          <w:rFonts w:asciiTheme="majorHAnsi" w:hAnsiTheme="majorHAnsi"/>
          <w:sz w:val="20"/>
          <w:szCs w:val="20"/>
          <w:lang w:val="es-ES_tradnl"/>
        </w:rPr>
        <w:t>el penal se encontraba tranquilo después</w:t>
      </w:r>
      <w:r w:rsidR="00526D62">
        <w:rPr>
          <w:rFonts w:asciiTheme="majorHAnsi" w:hAnsiTheme="majorHAnsi"/>
          <w:sz w:val="20"/>
          <w:szCs w:val="20"/>
          <w:lang w:val="es-ES_tradnl"/>
        </w:rPr>
        <w:t xml:space="preserve"> </w:t>
      </w:r>
      <w:r w:rsidR="005F14CF">
        <w:rPr>
          <w:rFonts w:asciiTheme="majorHAnsi" w:hAnsiTheme="majorHAnsi"/>
          <w:sz w:val="20"/>
          <w:szCs w:val="20"/>
          <w:lang w:val="es-ES_tradnl"/>
        </w:rPr>
        <w:t>del “pase y número” de la mañana</w:t>
      </w:r>
      <w:r w:rsidR="005F14CF">
        <w:rPr>
          <w:rStyle w:val="FootnoteReference"/>
          <w:rFonts w:asciiTheme="majorHAnsi" w:hAnsiTheme="majorHAnsi"/>
          <w:sz w:val="20"/>
          <w:szCs w:val="20"/>
          <w:lang w:val="es-ES_tradnl"/>
        </w:rPr>
        <w:footnoteReference w:id="27"/>
      </w:r>
      <w:r w:rsidR="005F14CF">
        <w:rPr>
          <w:rFonts w:asciiTheme="majorHAnsi" w:hAnsiTheme="majorHAnsi"/>
          <w:sz w:val="20"/>
          <w:szCs w:val="20"/>
          <w:lang w:val="es-ES_tradnl"/>
        </w:rPr>
        <w:t>, realizado por la Guardia Nacional. Afirma</w:t>
      </w:r>
      <w:r w:rsidR="00E26EFE">
        <w:rPr>
          <w:rFonts w:asciiTheme="majorHAnsi" w:hAnsiTheme="majorHAnsi"/>
          <w:sz w:val="20"/>
          <w:szCs w:val="20"/>
          <w:lang w:val="es-ES_tradnl"/>
        </w:rPr>
        <w:t>ro</w:t>
      </w:r>
      <w:r w:rsidR="005F14CF">
        <w:rPr>
          <w:rFonts w:asciiTheme="majorHAnsi" w:hAnsiTheme="majorHAnsi"/>
          <w:sz w:val="20"/>
          <w:szCs w:val="20"/>
          <w:lang w:val="es-ES_tradnl"/>
        </w:rPr>
        <w:t xml:space="preserve">n que los </w:t>
      </w:r>
      <w:r w:rsidR="005F14CF">
        <w:rPr>
          <w:rFonts w:asciiTheme="majorHAnsi" w:hAnsiTheme="majorHAnsi"/>
          <w:sz w:val="20"/>
          <w:szCs w:val="20"/>
          <w:lang w:val="es-ES_tradnl"/>
        </w:rPr>
        <w:lastRenderedPageBreak/>
        <w:t>pabellones no se encontraban peleados entre sí en ese entonces</w:t>
      </w:r>
      <w:r w:rsidR="005F14CF">
        <w:rPr>
          <w:rStyle w:val="FootnoteReference"/>
          <w:rFonts w:asciiTheme="majorHAnsi" w:hAnsiTheme="majorHAnsi"/>
          <w:sz w:val="20"/>
          <w:szCs w:val="20"/>
          <w:lang w:val="es-ES_tradnl"/>
        </w:rPr>
        <w:footnoteReference w:id="28"/>
      </w:r>
      <w:r w:rsidR="0008086E">
        <w:rPr>
          <w:rFonts w:asciiTheme="majorHAnsi" w:hAnsiTheme="majorHAnsi"/>
          <w:sz w:val="20"/>
          <w:szCs w:val="20"/>
          <w:lang w:val="es-ES_tradnl"/>
        </w:rPr>
        <w:t xml:space="preserve">. </w:t>
      </w:r>
      <w:r w:rsidR="005F14CF">
        <w:rPr>
          <w:rFonts w:asciiTheme="majorHAnsi" w:hAnsiTheme="majorHAnsi"/>
          <w:sz w:val="20"/>
          <w:szCs w:val="20"/>
          <w:lang w:val="es-ES_tradnl"/>
        </w:rPr>
        <w:t xml:space="preserve"> </w:t>
      </w:r>
      <w:r w:rsidR="000C46DF">
        <w:rPr>
          <w:rFonts w:asciiTheme="majorHAnsi" w:hAnsiTheme="majorHAnsi"/>
          <w:sz w:val="20"/>
          <w:szCs w:val="20"/>
          <w:lang w:val="es-ES_tradnl"/>
        </w:rPr>
        <w:t>Reporta</w:t>
      </w:r>
      <w:r w:rsidR="00E26EFE">
        <w:rPr>
          <w:rFonts w:asciiTheme="majorHAnsi" w:hAnsiTheme="majorHAnsi"/>
          <w:sz w:val="20"/>
          <w:szCs w:val="20"/>
          <w:lang w:val="es-ES_tradnl"/>
        </w:rPr>
        <w:t>ro</w:t>
      </w:r>
      <w:r w:rsidR="000C46DF">
        <w:rPr>
          <w:rFonts w:asciiTheme="majorHAnsi" w:hAnsiTheme="majorHAnsi"/>
          <w:sz w:val="20"/>
          <w:szCs w:val="20"/>
          <w:lang w:val="es-ES_tradnl"/>
        </w:rPr>
        <w:t>n que de repente,</w:t>
      </w:r>
      <w:r w:rsidR="005F14CF">
        <w:rPr>
          <w:rFonts w:asciiTheme="majorHAnsi" w:hAnsiTheme="majorHAnsi"/>
          <w:sz w:val="20"/>
          <w:szCs w:val="20"/>
          <w:lang w:val="es-ES_tradnl"/>
        </w:rPr>
        <w:t xml:space="preserve"> la Guardia Nacional entró </w:t>
      </w:r>
      <w:r w:rsidR="00215EAE">
        <w:rPr>
          <w:rFonts w:asciiTheme="majorHAnsi" w:hAnsiTheme="majorHAnsi"/>
          <w:sz w:val="20"/>
          <w:szCs w:val="20"/>
          <w:lang w:val="es-ES_tradnl"/>
        </w:rPr>
        <w:t xml:space="preserve">al penal </w:t>
      </w:r>
      <w:r w:rsidR="005F14CF">
        <w:rPr>
          <w:rFonts w:asciiTheme="majorHAnsi" w:hAnsiTheme="majorHAnsi"/>
          <w:sz w:val="20"/>
          <w:szCs w:val="20"/>
          <w:lang w:val="es-ES_tradnl"/>
        </w:rPr>
        <w:t>disparando con</w:t>
      </w:r>
      <w:r w:rsidR="00101223">
        <w:rPr>
          <w:rFonts w:asciiTheme="majorHAnsi" w:hAnsiTheme="majorHAnsi"/>
          <w:sz w:val="20"/>
          <w:szCs w:val="20"/>
          <w:lang w:val="es-ES_tradnl"/>
        </w:rPr>
        <w:t xml:space="preserve"> escopetas de perdigones, armas cortas y</w:t>
      </w:r>
      <w:r w:rsidR="005F14CF">
        <w:rPr>
          <w:rFonts w:asciiTheme="majorHAnsi" w:hAnsiTheme="majorHAnsi"/>
          <w:sz w:val="20"/>
          <w:szCs w:val="20"/>
          <w:lang w:val="es-ES_tradnl"/>
        </w:rPr>
        <w:t xml:space="preserve"> fusiles automáticos livianos</w:t>
      </w:r>
      <w:r w:rsidR="00C6126C">
        <w:rPr>
          <w:rFonts w:asciiTheme="majorHAnsi" w:hAnsiTheme="majorHAnsi"/>
          <w:sz w:val="20"/>
          <w:szCs w:val="20"/>
          <w:lang w:val="es-ES_tradnl"/>
        </w:rPr>
        <w:t xml:space="preserve"> (FAL), dejando impactos de </w:t>
      </w:r>
      <w:r w:rsidR="00101223">
        <w:rPr>
          <w:rFonts w:asciiTheme="majorHAnsi" w:hAnsiTheme="majorHAnsi"/>
          <w:sz w:val="20"/>
          <w:szCs w:val="20"/>
          <w:lang w:val="es-ES_tradnl"/>
        </w:rPr>
        <w:t>FAL</w:t>
      </w:r>
      <w:r w:rsidR="000C46DF">
        <w:rPr>
          <w:rFonts w:asciiTheme="majorHAnsi" w:hAnsiTheme="majorHAnsi"/>
          <w:sz w:val="20"/>
          <w:szCs w:val="20"/>
          <w:lang w:val="es-ES_tradnl"/>
        </w:rPr>
        <w:t xml:space="preserve"> en las rejas y paredes</w:t>
      </w:r>
      <w:r w:rsidR="005F14CF">
        <w:rPr>
          <w:rStyle w:val="FootnoteReference"/>
          <w:rFonts w:asciiTheme="majorHAnsi" w:hAnsiTheme="majorHAnsi"/>
          <w:sz w:val="20"/>
          <w:szCs w:val="20"/>
          <w:lang w:val="es-ES_tradnl"/>
        </w:rPr>
        <w:footnoteReference w:id="29"/>
      </w:r>
      <w:r w:rsidR="005F14CF">
        <w:rPr>
          <w:rFonts w:asciiTheme="majorHAnsi" w:hAnsiTheme="majorHAnsi"/>
          <w:sz w:val="20"/>
          <w:szCs w:val="20"/>
          <w:lang w:val="es-ES_tradnl"/>
        </w:rPr>
        <w:t xml:space="preserve"> y sacan</w:t>
      </w:r>
      <w:r w:rsidR="004B7E84">
        <w:rPr>
          <w:rFonts w:asciiTheme="majorHAnsi" w:hAnsiTheme="majorHAnsi"/>
          <w:sz w:val="20"/>
          <w:szCs w:val="20"/>
          <w:lang w:val="es-ES_tradnl"/>
        </w:rPr>
        <w:t>do</w:t>
      </w:r>
      <w:r w:rsidR="005F14CF">
        <w:rPr>
          <w:rFonts w:asciiTheme="majorHAnsi" w:hAnsiTheme="majorHAnsi"/>
          <w:sz w:val="20"/>
          <w:szCs w:val="20"/>
          <w:lang w:val="es-ES_tradnl"/>
        </w:rPr>
        <w:t xml:space="preserve"> a los internos hacia el patio interno de la cárcel</w:t>
      </w:r>
      <w:r w:rsidR="005F14CF">
        <w:rPr>
          <w:rStyle w:val="FootnoteReference"/>
          <w:rFonts w:asciiTheme="majorHAnsi" w:hAnsiTheme="majorHAnsi"/>
          <w:sz w:val="20"/>
          <w:szCs w:val="20"/>
          <w:lang w:val="es-ES_tradnl"/>
        </w:rPr>
        <w:footnoteReference w:id="30"/>
      </w:r>
      <w:r w:rsidR="007E5684">
        <w:rPr>
          <w:rFonts w:asciiTheme="majorHAnsi" w:hAnsiTheme="majorHAnsi"/>
          <w:sz w:val="20"/>
          <w:szCs w:val="20"/>
          <w:lang w:val="es-ES_tradnl"/>
        </w:rPr>
        <w:t xml:space="preserve"> donde les </w:t>
      </w:r>
      <w:r w:rsidR="005F14CF">
        <w:rPr>
          <w:rFonts w:asciiTheme="majorHAnsi" w:hAnsiTheme="majorHAnsi"/>
          <w:sz w:val="20"/>
          <w:szCs w:val="20"/>
          <w:lang w:val="es-ES_tradnl"/>
        </w:rPr>
        <w:t xml:space="preserve">ordenaron </w:t>
      </w:r>
      <w:r w:rsidR="00FC1EF0">
        <w:rPr>
          <w:rFonts w:asciiTheme="majorHAnsi" w:hAnsiTheme="majorHAnsi"/>
          <w:sz w:val="20"/>
          <w:szCs w:val="20"/>
          <w:lang w:val="es-ES_tradnl"/>
        </w:rPr>
        <w:t>ponerse con la cara a la pared o boca abajo y</w:t>
      </w:r>
      <w:r w:rsidR="005F14CF">
        <w:rPr>
          <w:rFonts w:asciiTheme="majorHAnsi" w:hAnsiTheme="majorHAnsi"/>
          <w:sz w:val="20"/>
          <w:szCs w:val="20"/>
          <w:lang w:val="es-ES_tradnl"/>
        </w:rPr>
        <w:t xml:space="preserve"> desnudarse para hacer una requisa</w:t>
      </w:r>
      <w:r w:rsidR="005F14CF">
        <w:rPr>
          <w:rStyle w:val="FootnoteReference"/>
          <w:rFonts w:asciiTheme="majorHAnsi" w:hAnsiTheme="majorHAnsi"/>
          <w:sz w:val="20"/>
          <w:szCs w:val="20"/>
          <w:lang w:val="es-ES_tradnl"/>
        </w:rPr>
        <w:footnoteReference w:id="31"/>
      </w:r>
      <w:r w:rsidR="005F14CF">
        <w:rPr>
          <w:rFonts w:asciiTheme="majorHAnsi" w:hAnsiTheme="majorHAnsi"/>
          <w:sz w:val="20"/>
          <w:szCs w:val="20"/>
          <w:lang w:val="es-ES_tradnl"/>
        </w:rPr>
        <w:t xml:space="preserve"> y empezaron a golpearlos con bates, tubos, peinillas y báculas</w:t>
      </w:r>
      <w:r w:rsidR="005F14CF">
        <w:rPr>
          <w:rStyle w:val="FootnoteReference"/>
          <w:rFonts w:asciiTheme="majorHAnsi" w:hAnsiTheme="majorHAnsi"/>
          <w:sz w:val="20"/>
          <w:szCs w:val="20"/>
          <w:lang w:val="es-ES_tradnl"/>
        </w:rPr>
        <w:footnoteReference w:id="32"/>
      </w:r>
      <w:r w:rsidR="00EB7688">
        <w:rPr>
          <w:rFonts w:asciiTheme="majorHAnsi" w:hAnsiTheme="majorHAnsi"/>
          <w:sz w:val="20"/>
          <w:szCs w:val="20"/>
          <w:lang w:val="es-ES_tradnl"/>
        </w:rPr>
        <w:t>, “con todo lo que tuviera en las manos”</w:t>
      </w:r>
      <w:r w:rsidR="00EB7688">
        <w:rPr>
          <w:rStyle w:val="FootnoteReference"/>
          <w:rFonts w:asciiTheme="majorHAnsi" w:hAnsiTheme="majorHAnsi"/>
          <w:sz w:val="20"/>
          <w:szCs w:val="20"/>
          <w:lang w:val="es-ES_tradnl"/>
        </w:rPr>
        <w:footnoteReference w:id="33"/>
      </w:r>
      <w:r w:rsidR="005F14CF">
        <w:rPr>
          <w:rFonts w:asciiTheme="majorHAnsi" w:hAnsiTheme="majorHAnsi"/>
          <w:sz w:val="20"/>
          <w:szCs w:val="20"/>
          <w:lang w:val="es-ES_tradnl"/>
        </w:rPr>
        <w:t xml:space="preserve">. </w:t>
      </w:r>
      <w:r w:rsidR="00526D62">
        <w:rPr>
          <w:rFonts w:asciiTheme="majorHAnsi" w:hAnsiTheme="majorHAnsi"/>
          <w:sz w:val="20"/>
          <w:szCs w:val="20"/>
          <w:lang w:val="es-ES_tradnl"/>
        </w:rPr>
        <w:t>A un interno de nombre “Santos de Jesús”, “la guardia lo lesionó y lo tuvieron que operar porque estaba reventado por dentro”</w:t>
      </w:r>
      <w:r w:rsidR="00526D62">
        <w:rPr>
          <w:rStyle w:val="FootnoteReference"/>
          <w:rFonts w:asciiTheme="majorHAnsi" w:hAnsiTheme="majorHAnsi"/>
          <w:sz w:val="20"/>
          <w:szCs w:val="20"/>
          <w:lang w:val="es-ES_tradnl"/>
        </w:rPr>
        <w:footnoteReference w:id="34"/>
      </w:r>
      <w:r w:rsidR="00526D62">
        <w:rPr>
          <w:rFonts w:asciiTheme="majorHAnsi" w:hAnsiTheme="majorHAnsi"/>
          <w:sz w:val="20"/>
          <w:szCs w:val="20"/>
          <w:lang w:val="es-ES_tradnl"/>
        </w:rPr>
        <w:t xml:space="preserve">. </w:t>
      </w:r>
      <w:r w:rsidR="001A22EE">
        <w:rPr>
          <w:rFonts w:asciiTheme="majorHAnsi" w:hAnsiTheme="majorHAnsi"/>
          <w:sz w:val="20"/>
          <w:szCs w:val="20"/>
          <w:lang w:val="es-ES_tradnl"/>
        </w:rPr>
        <w:t xml:space="preserve">Un interno de nombre </w:t>
      </w:r>
      <w:r w:rsidR="001A22EE" w:rsidRPr="00BA3549">
        <w:rPr>
          <w:rFonts w:asciiTheme="majorHAnsi" w:hAnsiTheme="majorHAnsi"/>
          <w:sz w:val="20"/>
          <w:szCs w:val="20"/>
          <w:lang w:val="es-ES_tradnl"/>
        </w:rPr>
        <w:t xml:space="preserve">Gervacio Echeverría </w:t>
      </w:r>
      <w:r w:rsidR="001A22EE">
        <w:rPr>
          <w:rFonts w:asciiTheme="majorHAnsi" w:hAnsiTheme="majorHAnsi"/>
          <w:sz w:val="20"/>
          <w:szCs w:val="20"/>
          <w:lang w:val="es-ES_tradnl"/>
        </w:rPr>
        <w:t>declaró</w:t>
      </w:r>
      <w:r w:rsidR="001A22EE" w:rsidRPr="00BA3549">
        <w:rPr>
          <w:rFonts w:asciiTheme="majorHAnsi" w:hAnsiTheme="majorHAnsi"/>
          <w:sz w:val="20"/>
          <w:szCs w:val="20"/>
          <w:lang w:val="es-ES_tradnl"/>
        </w:rPr>
        <w:t>: “…yo no pude ver cuando mataron a los internos, ellos no</w:t>
      </w:r>
      <w:r w:rsidR="000F2219">
        <w:rPr>
          <w:rFonts w:asciiTheme="majorHAnsi" w:hAnsiTheme="majorHAnsi"/>
          <w:sz w:val="20"/>
          <w:szCs w:val="20"/>
          <w:lang w:val="es-ES_tradnl"/>
        </w:rPr>
        <w:t>s sometían para que no viéramos</w:t>
      </w:r>
      <w:r w:rsidR="001A22EE" w:rsidRPr="00BA3549">
        <w:rPr>
          <w:rFonts w:asciiTheme="majorHAnsi" w:hAnsiTheme="majorHAnsi"/>
          <w:sz w:val="20"/>
          <w:szCs w:val="20"/>
          <w:lang w:val="es-ES_tradnl"/>
        </w:rPr>
        <w:t xml:space="preserve"> </w:t>
      </w:r>
      <w:r w:rsidR="000F2219">
        <w:rPr>
          <w:rFonts w:asciiTheme="majorHAnsi" w:hAnsiTheme="majorHAnsi"/>
          <w:sz w:val="20"/>
          <w:szCs w:val="20"/>
          <w:lang w:val="es-ES_tradnl"/>
        </w:rPr>
        <w:t>[…]</w:t>
      </w:r>
      <w:r w:rsidR="001A22EE" w:rsidRPr="00BA3549">
        <w:rPr>
          <w:rFonts w:asciiTheme="majorHAnsi" w:hAnsiTheme="majorHAnsi"/>
          <w:sz w:val="20"/>
          <w:szCs w:val="20"/>
          <w:lang w:val="es-ES_tradnl"/>
        </w:rPr>
        <w:t xml:space="preserve"> pero los funcionarios los </w:t>
      </w:r>
      <w:r w:rsidR="001939AC">
        <w:rPr>
          <w:rFonts w:asciiTheme="majorHAnsi" w:hAnsiTheme="majorHAnsi"/>
          <w:sz w:val="20"/>
          <w:szCs w:val="20"/>
          <w:lang w:val="es-ES_tradnl"/>
        </w:rPr>
        <w:t>[s]</w:t>
      </w:r>
      <w:r w:rsidR="001A22EE" w:rsidRPr="00BA3549">
        <w:rPr>
          <w:rFonts w:asciiTheme="majorHAnsi" w:hAnsiTheme="majorHAnsi"/>
          <w:sz w:val="20"/>
          <w:szCs w:val="20"/>
          <w:lang w:val="es-ES_tradnl"/>
        </w:rPr>
        <w:t>acaban o escondían y los desaparecían para matarlos…”</w:t>
      </w:r>
      <w:r w:rsidR="001A22EE">
        <w:rPr>
          <w:rStyle w:val="FootnoteReference"/>
          <w:rFonts w:asciiTheme="majorHAnsi" w:hAnsiTheme="majorHAnsi"/>
          <w:sz w:val="20"/>
          <w:szCs w:val="20"/>
          <w:lang w:val="es-ES_tradnl"/>
        </w:rPr>
        <w:footnoteReference w:id="35"/>
      </w:r>
      <w:r w:rsidR="001A22EE">
        <w:rPr>
          <w:rFonts w:asciiTheme="majorHAnsi" w:hAnsiTheme="majorHAnsi"/>
          <w:sz w:val="20"/>
          <w:szCs w:val="20"/>
          <w:lang w:val="es-ES_tradnl"/>
        </w:rPr>
        <w:t xml:space="preserve">. </w:t>
      </w:r>
      <w:r w:rsidR="00215EAE">
        <w:rPr>
          <w:rFonts w:asciiTheme="majorHAnsi" w:hAnsiTheme="majorHAnsi"/>
          <w:sz w:val="20"/>
          <w:szCs w:val="20"/>
          <w:lang w:val="es-CO"/>
        </w:rPr>
        <w:t>Los internos d</w:t>
      </w:r>
      <w:r w:rsidR="008649F8">
        <w:rPr>
          <w:rFonts w:asciiTheme="majorHAnsi" w:hAnsiTheme="majorHAnsi"/>
          <w:sz w:val="20"/>
          <w:szCs w:val="20"/>
          <w:lang w:val="es-CO"/>
        </w:rPr>
        <w:t>enuncia</w:t>
      </w:r>
      <w:r w:rsidR="00E26EFE">
        <w:rPr>
          <w:rFonts w:asciiTheme="majorHAnsi" w:hAnsiTheme="majorHAnsi"/>
          <w:sz w:val="20"/>
          <w:szCs w:val="20"/>
          <w:lang w:val="es-CO"/>
        </w:rPr>
        <w:t>ro</w:t>
      </w:r>
      <w:r w:rsidR="008649F8">
        <w:rPr>
          <w:rFonts w:asciiTheme="majorHAnsi" w:hAnsiTheme="majorHAnsi"/>
          <w:sz w:val="20"/>
          <w:szCs w:val="20"/>
          <w:lang w:val="es-CO"/>
        </w:rPr>
        <w:t xml:space="preserve">n en particular </w:t>
      </w:r>
      <w:r w:rsidR="00215EAE">
        <w:rPr>
          <w:rFonts w:asciiTheme="majorHAnsi" w:hAnsiTheme="majorHAnsi"/>
          <w:sz w:val="20"/>
          <w:szCs w:val="20"/>
          <w:lang w:val="es-CO"/>
        </w:rPr>
        <w:t>la violencia de</w:t>
      </w:r>
      <w:r w:rsidR="005B4A40">
        <w:rPr>
          <w:rFonts w:asciiTheme="majorHAnsi" w:hAnsiTheme="majorHAnsi"/>
          <w:sz w:val="20"/>
          <w:szCs w:val="20"/>
          <w:lang w:val="es-CO"/>
        </w:rPr>
        <w:t>l Guardia Nacional</w:t>
      </w:r>
      <w:r w:rsidR="008649F8">
        <w:rPr>
          <w:rFonts w:asciiTheme="majorHAnsi" w:hAnsiTheme="majorHAnsi"/>
          <w:sz w:val="20"/>
          <w:szCs w:val="20"/>
          <w:lang w:val="es-CO"/>
        </w:rPr>
        <w:t xml:space="preserve"> Franchi (referido como “Franchelli”</w:t>
      </w:r>
      <w:r w:rsidR="00B742F3">
        <w:rPr>
          <w:rFonts w:asciiTheme="majorHAnsi" w:hAnsiTheme="majorHAnsi"/>
          <w:sz w:val="20"/>
          <w:szCs w:val="20"/>
          <w:lang w:val="es-CO"/>
        </w:rPr>
        <w:t xml:space="preserve"> o “Apocalipsis”</w:t>
      </w:r>
      <w:r w:rsidR="008649F8">
        <w:rPr>
          <w:rFonts w:asciiTheme="majorHAnsi" w:hAnsiTheme="majorHAnsi"/>
          <w:sz w:val="20"/>
          <w:szCs w:val="20"/>
          <w:lang w:val="es-CO"/>
        </w:rPr>
        <w:t>)</w:t>
      </w:r>
      <w:r w:rsidR="008649F8">
        <w:rPr>
          <w:rStyle w:val="FootnoteReference"/>
          <w:rFonts w:asciiTheme="majorHAnsi" w:hAnsiTheme="majorHAnsi"/>
          <w:sz w:val="20"/>
          <w:szCs w:val="20"/>
          <w:lang w:val="es-CO"/>
        </w:rPr>
        <w:footnoteReference w:id="36"/>
      </w:r>
      <w:r w:rsidR="008649F8">
        <w:rPr>
          <w:rFonts w:asciiTheme="majorHAnsi" w:hAnsiTheme="majorHAnsi"/>
          <w:sz w:val="20"/>
          <w:szCs w:val="20"/>
          <w:lang w:val="es-CO"/>
        </w:rPr>
        <w:t>.</w:t>
      </w:r>
    </w:p>
    <w:p w14:paraId="1F9B958F" w14:textId="77777777" w:rsidR="00EB7688" w:rsidRDefault="00EB7688" w:rsidP="00EB7688">
      <w:pPr>
        <w:pStyle w:val="ListParagraph"/>
        <w:rPr>
          <w:rFonts w:asciiTheme="majorHAnsi" w:hAnsiTheme="majorHAnsi"/>
          <w:sz w:val="20"/>
          <w:szCs w:val="20"/>
          <w:lang w:val="es-ES_tradnl"/>
        </w:rPr>
      </w:pPr>
    </w:p>
    <w:p w14:paraId="4A86DDB0" w14:textId="7285D82F" w:rsidR="0021207E" w:rsidRPr="0059553E" w:rsidRDefault="005B4A40" w:rsidP="00496A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F</w:t>
      </w:r>
      <w:r w:rsidR="00E26EFE">
        <w:rPr>
          <w:rFonts w:asciiTheme="majorHAnsi" w:hAnsiTheme="majorHAnsi"/>
          <w:sz w:val="20"/>
          <w:szCs w:val="20"/>
          <w:lang w:val="es-ES_tradnl"/>
        </w:rPr>
        <w:t>uer</w:t>
      </w:r>
      <w:r w:rsidR="00E261FF" w:rsidRPr="0059553E">
        <w:rPr>
          <w:rFonts w:asciiTheme="majorHAnsi" w:hAnsiTheme="majorHAnsi"/>
          <w:sz w:val="20"/>
          <w:szCs w:val="20"/>
          <w:lang w:val="es-ES_tradnl"/>
        </w:rPr>
        <w:t xml:space="preserve">on </w:t>
      </w:r>
      <w:r w:rsidR="002567F8">
        <w:rPr>
          <w:rFonts w:asciiTheme="majorHAnsi" w:hAnsiTheme="majorHAnsi"/>
          <w:sz w:val="20"/>
          <w:szCs w:val="20"/>
          <w:lang w:val="es-ES_tradnl"/>
        </w:rPr>
        <w:t xml:space="preserve">unánimes </w:t>
      </w:r>
      <w:r>
        <w:rPr>
          <w:rFonts w:asciiTheme="majorHAnsi" w:hAnsiTheme="majorHAnsi"/>
          <w:sz w:val="20"/>
          <w:szCs w:val="20"/>
          <w:lang w:val="es-ES_tradnl"/>
        </w:rPr>
        <w:t xml:space="preserve">en </w:t>
      </w:r>
      <w:r w:rsidR="002567F8">
        <w:rPr>
          <w:rFonts w:asciiTheme="majorHAnsi" w:hAnsiTheme="majorHAnsi"/>
          <w:sz w:val="20"/>
          <w:szCs w:val="20"/>
          <w:lang w:val="es-ES_tradnl"/>
        </w:rPr>
        <w:t>sostener</w:t>
      </w:r>
      <w:r w:rsidR="00EB7688" w:rsidRPr="0059553E">
        <w:rPr>
          <w:rFonts w:asciiTheme="majorHAnsi" w:hAnsiTheme="majorHAnsi"/>
          <w:sz w:val="20"/>
          <w:szCs w:val="20"/>
          <w:lang w:val="es-ES_tradnl"/>
        </w:rPr>
        <w:t xml:space="preserve"> que</w:t>
      </w:r>
      <w:r w:rsidR="002567F8">
        <w:rPr>
          <w:rFonts w:asciiTheme="majorHAnsi" w:hAnsiTheme="majorHAnsi"/>
          <w:sz w:val="20"/>
          <w:szCs w:val="20"/>
          <w:lang w:val="es-ES_tradnl"/>
        </w:rPr>
        <w:t xml:space="preserve"> lo sucedido </w:t>
      </w:r>
      <w:r w:rsidR="00EB7688" w:rsidRPr="0059553E">
        <w:rPr>
          <w:rFonts w:asciiTheme="majorHAnsi" w:hAnsiTheme="majorHAnsi"/>
          <w:sz w:val="20"/>
          <w:szCs w:val="20"/>
          <w:lang w:val="es-ES_tradnl"/>
        </w:rPr>
        <w:t xml:space="preserve">no </w:t>
      </w:r>
      <w:r>
        <w:rPr>
          <w:rFonts w:asciiTheme="majorHAnsi" w:hAnsiTheme="majorHAnsi"/>
          <w:sz w:val="20"/>
          <w:szCs w:val="20"/>
          <w:lang w:val="es-ES_tradnl"/>
        </w:rPr>
        <w:t xml:space="preserve">fue </w:t>
      </w:r>
      <w:r w:rsidR="00EB7688" w:rsidRPr="0059553E">
        <w:rPr>
          <w:rFonts w:asciiTheme="majorHAnsi" w:hAnsiTheme="majorHAnsi"/>
          <w:sz w:val="20"/>
          <w:szCs w:val="20"/>
          <w:lang w:val="es-ES_tradnl"/>
        </w:rPr>
        <w:t xml:space="preserve">un operativo anti-motín. </w:t>
      </w:r>
      <w:r w:rsidR="00E261FF" w:rsidRPr="0059553E">
        <w:rPr>
          <w:rFonts w:asciiTheme="majorHAnsi" w:hAnsiTheme="majorHAnsi"/>
          <w:sz w:val="20"/>
          <w:szCs w:val="20"/>
          <w:lang w:val="es-ES_tradnl"/>
        </w:rPr>
        <w:t>Para ese día, relata</w:t>
      </w:r>
      <w:r w:rsidR="00E26EFE">
        <w:rPr>
          <w:rFonts w:asciiTheme="majorHAnsi" w:hAnsiTheme="majorHAnsi"/>
          <w:sz w:val="20"/>
          <w:szCs w:val="20"/>
          <w:lang w:val="es-ES_tradnl"/>
        </w:rPr>
        <w:t>ro</w:t>
      </w:r>
      <w:r w:rsidR="00E261FF" w:rsidRPr="0059553E">
        <w:rPr>
          <w:rFonts w:asciiTheme="majorHAnsi" w:hAnsiTheme="majorHAnsi"/>
          <w:sz w:val="20"/>
          <w:szCs w:val="20"/>
          <w:lang w:val="es-ES_tradnl"/>
        </w:rPr>
        <w:t>n, “nos habían dicho que el penal iba a ser intervenido”</w:t>
      </w:r>
      <w:r w:rsidR="002567F8">
        <w:rPr>
          <w:rFonts w:asciiTheme="majorHAnsi" w:hAnsiTheme="majorHAnsi"/>
          <w:sz w:val="20"/>
          <w:szCs w:val="20"/>
          <w:lang w:val="es-ES_tradnl"/>
        </w:rPr>
        <w:t xml:space="preserve"> luego de la huelga</w:t>
      </w:r>
      <w:r w:rsidR="00E261FF">
        <w:rPr>
          <w:rStyle w:val="FootnoteReference"/>
          <w:rFonts w:asciiTheme="majorHAnsi" w:hAnsiTheme="majorHAnsi"/>
          <w:sz w:val="20"/>
          <w:szCs w:val="20"/>
          <w:lang w:val="es-ES_tradnl"/>
        </w:rPr>
        <w:footnoteReference w:id="37"/>
      </w:r>
      <w:r w:rsidR="00E26EFE">
        <w:rPr>
          <w:rFonts w:asciiTheme="majorHAnsi" w:hAnsiTheme="majorHAnsi"/>
          <w:sz w:val="20"/>
          <w:szCs w:val="20"/>
          <w:lang w:val="es-ES_tradnl"/>
        </w:rPr>
        <w:t>. Uno relató</w:t>
      </w:r>
      <w:r w:rsidR="0059553E" w:rsidRPr="0059553E">
        <w:rPr>
          <w:rFonts w:asciiTheme="majorHAnsi" w:hAnsiTheme="majorHAnsi"/>
          <w:sz w:val="20"/>
          <w:szCs w:val="20"/>
          <w:lang w:val="es-ES_tradnl"/>
        </w:rPr>
        <w:t xml:space="preserve"> que “[la noche anterior] habl[é] </w:t>
      </w:r>
      <w:r w:rsidR="0059553E" w:rsidRPr="0059553E">
        <w:rPr>
          <w:rFonts w:asciiTheme="majorHAnsi" w:hAnsiTheme="majorHAnsi"/>
          <w:sz w:val="20"/>
          <w:szCs w:val="20"/>
          <w:lang w:val="es-CO"/>
        </w:rPr>
        <w:t>con mi esposa y le dije que el penal estaba intervenido y que nos iban a sacar de traslado, en la mañana estaba mi esposa y los familiares de los demás detenidos” cuando entr</w:t>
      </w:r>
      <w:r w:rsidR="000F2219">
        <w:rPr>
          <w:rFonts w:asciiTheme="majorHAnsi" w:hAnsiTheme="majorHAnsi"/>
          <w:sz w:val="20"/>
          <w:szCs w:val="20"/>
          <w:lang w:val="es-CO"/>
        </w:rPr>
        <w:t>ó</w:t>
      </w:r>
      <w:r w:rsidR="0059553E" w:rsidRPr="0059553E">
        <w:rPr>
          <w:rFonts w:asciiTheme="majorHAnsi" w:hAnsiTheme="majorHAnsi"/>
          <w:sz w:val="20"/>
          <w:szCs w:val="20"/>
          <w:lang w:val="es-CO"/>
        </w:rPr>
        <w:t xml:space="preserve"> el Director</w:t>
      </w:r>
      <w:r w:rsidR="000F2219">
        <w:rPr>
          <w:rFonts w:asciiTheme="majorHAnsi" w:hAnsiTheme="majorHAnsi"/>
          <w:sz w:val="20"/>
          <w:szCs w:val="20"/>
          <w:lang w:val="es-CO"/>
        </w:rPr>
        <w:t xml:space="preserve"> Interventor Veloz</w:t>
      </w:r>
      <w:r w:rsidR="0059553E" w:rsidRPr="0059553E">
        <w:rPr>
          <w:rFonts w:asciiTheme="majorHAnsi" w:hAnsiTheme="majorHAnsi"/>
          <w:sz w:val="20"/>
          <w:szCs w:val="20"/>
          <w:lang w:val="es-CO"/>
        </w:rPr>
        <w:t xml:space="preserve"> y </w:t>
      </w:r>
      <w:r w:rsidR="000F2219">
        <w:rPr>
          <w:rFonts w:asciiTheme="majorHAnsi" w:hAnsiTheme="majorHAnsi"/>
          <w:sz w:val="20"/>
          <w:szCs w:val="20"/>
          <w:lang w:val="es-CO"/>
        </w:rPr>
        <w:t xml:space="preserve">posteriormente </w:t>
      </w:r>
      <w:r w:rsidR="0059553E" w:rsidRPr="0059553E">
        <w:rPr>
          <w:rFonts w:asciiTheme="majorHAnsi" w:hAnsiTheme="majorHAnsi"/>
          <w:sz w:val="20"/>
          <w:szCs w:val="20"/>
          <w:lang w:val="es-CO"/>
        </w:rPr>
        <w:t>la G</w:t>
      </w:r>
      <w:r w:rsidR="000F2219">
        <w:rPr>
          <w:rFonts w:asciiTheme="majorHAnsi" w:hAnsiTheme="majorHAnsi"/>
          <w:sz w:val="20"/>
          <w:szCs w:val="20"/>
          <w:lang w:val="es-CO"/>
        </w:rPr>
        <w:t xml:space="preserve">uardia </w:t>
      </w:r>
      <w:r w:rsidR="0059553E" w:rsidRPr="0059553E">
        <w:rPr>
          <w:rFonts w:asciiTheme="majorHAnsi" w:hAnsiTheme="majorHAnsi"/>
          <w:sz w:val="20"/>
          <w:szCs w:val="20"/>
          <w:lang w:val="es-CO"/>
        </w:rPr>
        <w:t>N</w:t>
      </w:r>
      <w:r w:rsidR="000F2219">
        <w:rPr>
          <w:rFonts w:asciiTheme="majorHAnsi" w:hAnsiTheme="majorHAnsi"/>
          <w:sz w:val="20"/>
          <w:szCs w:val="20"/>
          <w:lang w:val="es-CO"/>
        </w:rPr>
        <w:t>acional,</w:t>
      </w:r>
      <w:r w:rsidR="002567F8">
        <w:rPr>
          <w:rFonts w:asciiTheme="majorHAnsi" w:hAnsiTheme="majorHAnsi"/>
          <w:sz w:val="20"/>
          <w:szCs w:val="20"/>
          <w:lang w:val="es-CO"/>
        </w:rPr>
        <w:t xml:space="preserve"> disparando</w:t>
      </w:r>
      <w:r w:rsidR="0059553E">
        <w:rPr>
          <w:rStyle w:val="FootnoteReference"/>
          <w:rFonts w:asciiTheme="majorHAnsi" w:hAnsiTheme="majorHAnsi"/>
          <w:sz w:val="20"/>
          <w:szCs w:val="20"/>
          <w:lang w:val="es-CO"/>
        </w:rPr>
        <w:footnoteReference w:id="38"/>
      </w:r>
      <w:r w:rsidR="0059553E" w:rsidRPr="0059553E">
        <w:rPr>
          <w:rFonts w:asciiTheme="majorHAnsi" w:hAnsiTheme="majorHAnsi"/>
          <w:sz w:val="20"/>
          <w:szCs w:val="20"/>
          <w:lang w:val="es-CO"/>
        </w:rPr>
        <w:t xml:space="preserve">. </w:t>
      </w:r>
      <w:r w:rsidR="00C04D2F">
        <w:rPr>
          <w:rFonts w:asciiTheme="majorHAnsi" w:hAnsiTheme="majorHAnsi"/>
          <w:sz w:val="20"/>
          <w:szCs w:val="20"/>
          <w:lang w:val="es-CO"/>
        </w:rPr>
        <w:t xml:space="preserve">Insistieron en que </w:t>
      </w:r>
      <w:r w:rsidR="00E26EFE">
        <w:rPr>
          <w:rFonts w:asciiTheme="majorHAnsi" w:hAnsiTheme="majorHAnsi"/>
          <w:sz w:val="20"/>
          <w:szCs w:val="20"/>
          <w:lang w:val="es-CO"/>
        </w:rPr>
        <w:t>no había problemas entre los internos esa mañana</w:t>
      </w:r>
      <w:r w:rsidR="00E26EFE">
        <w:rPr>
          <w:rStyle w:val="FootnoteReference"/>
          <w:rFonts w:asciiTheme="majorHAnsi" w:hAnsiTheme="majorHAnsi"/>
          <w:sz w:val="20"/>
          <w:szCs w:val="20"/>
          <w:lang w:val="es-CO"/>
        </w:rPr>
        <w:footnoteReference w:id="39"/>
      </w:r>
      <w:r w:rsidR="00C04D2F">
        <w:rPr>
          <w:rFonts w:asciiTheme="majorHAnsi" w:hAnsiTheme="majorHAnsi"/>
          <w:sz w:val="20"/>
          <w:szCs w:val="20"/>
          <w:lang w:val="es-CO"/>
        </w:rPr>
        <w:t>,</w:t>
      </w:r>
      <w:r w:rsidR="00E26EFE">
        <w:rPr>
          <w:rFonts w:asciiTheme="majorHAnsi" w:hAnsiTheme="majorHAnsi"/>
          <w:sz w:val="20"/>
          <w:szCs w:val="20"/>
          <w:lang w:val="es-CO"/>
        </w:rPr>
        <w:t xml:space="preserve"> que el penal se encontraba tranquilo</w:t>
      </w:r>
      <w:r w:rsidR="00E26EFE">
        <w:rPr>
          <w:rStyle w:val="FootnoteReference"/>
          <w:rFonts w:asciiTheme="majorHAnsi" w:hAnsiTheme="majorHAnsi"/>
          <w:sz w:val="20"/>
          <w:szCs w:val="20"/>
          <w:lang w:val="es-CO"/>
        </w:rPr>
        <w:footnoteReference w:id="40"/>
      </w:r>
      <w:r w:rsidR="00E26EFE">
        <w:rPr>
          <w:rFonts w:asciiTheme="majorHAnsi" w:hAnsiTheme="majorHAnsi"/>
          <w:sz w:val="20"/>
          <w:szCs w:val="20"/>
          <w:lang w:val="es-CO"/>
        </w:rPr>
        <w:t xml:space="preserve"> y que nadie de los internos estuvo armado ese día</w:t>
      </w:r>
      <w:r w:rsidR="00E26EFE">
        <w:rPr>
          <w:rStyle w:val="FootnoteReference"/>
          <w:rFonts w:asciiTheme="majorHAnsi" w:hAnsiTheme="majorHAnsi"/>
          <w:sz w:val="20"/>
          <w:szCs w:val="20"/>
          <w:lang w:val="es-CO"/>
        </w:rPr>
        <w:footnoteReference w:id="41"/>
      </w:r>
      <w:r w:rsidR="00E26EFE">
        <w:rPr>
          <w:rFonts w:asciiTheme="majorHAnsi" w:hAnsiTheme="majorHAnsi"/>
          <w:sz w:val="20"/>
          <w:szCs w:val="20"/>
          <w:lang w:val="es-CO"/>
        </w:rPr>
        <w:t xml:space="preserve">. </w:t>
      </w:r>
      <w:r w:rsidR="00C04D2F">
        <w:rPr>
          <w:rFonts w:asciiTheme="majorHAnsi" w:hAnsiTheme="majorHAnsi"/>
          <w:sz w:val="20"/>
          <w:szCs w:val="20"/>
          <w:lang w:val="es-ES_tradnl"/>
        </w:rPr>
        <w:t>A</w:t>
      </w:r>
      <w:r w:rsidR="002567F8">
        <w:rPr>
          <w:rFonts w:asciiTheme="majorHAnsi" w:hAnsiTheme="majorHAnsi"/>
          <w:sz w:val="20"/>
          <w:szCs w:val="20"/>
          <w:lang w:val="es-ES_tradnl"/>
        </w:rPr>
        <w:t>firma</w:t>
      </w:r>
      <w:r w:rsidR="00E26EFE">
        <w:rPr>
          <w:rFonts w:asciiTheme="majorHAnsi" w:hAnsiTheme="majorHAnsi"/>
          <w:sz w:val="20"/>
          <w:szCs w:val="20"/>
          <w:lang w:val="es-ES_tradnl"/>
        </w:rPr>
        <w:t>ro</w:t>
      </w:r>
      <w:r w:rsidR="002567F8">
        <w:rPr>
          <w:rFonts w:asciiTheme="majorHAnsi" w:hAnsiTheme="majorHAnsi"/>
          <w:sz w:val="20"/>
          <w:szCs w:val="20"/>
          <w:lang w:val="es-ES_tradnl"/>
        </w:rPr>
        <w:t>n que</w:t>
      </w:r>
      <w:r w:rsidR="00EB7688" w:rsidRPr="0059553E">
        <w:rPr>
          <w:rFonts w:asciiTheme="majorHAnsi" w:hAnsiTheme="majorHAnsi"/>
          <w:sz w:val="20"/>
          <w:szCs w:val="20"/>
          <w:lang w:val="es-ES_tradnl"/>
        </w:rPr>
        <w:t xml:space="preserve"> los GN “estaban vestidos de campaña, entraban disparando”</w:t>
      </w:r>
      <w:r w:rsidR="00EB7688">
        <w:rPr>
          <w:rStyle w:val="FootnoteReference"/>
          <w:rFonts w:asciiTheme="majorHAnsi" w:hAnsiTheme="majorHAnsi"/>
          <w:sz w:val="20"/>
          <w:szCs w:val="20"/>
          <w:lang w:val="es-ES_tradnl"/>
        </w:rPr>
        <w:footnoteReference w:id="42"/>
      </w:r>
      <w:r w:rsidR="00EB7688" w:rsidRPr="0059553E">
        <w:rPr>
          <w:rFonts w:asciiTheme="majorHAnsi" w:hAnsiTheme="majorHAnsi"/>
          <w:sz w:val="20"/>
          <w:szCs w:val="20"/>
          <w:lang w:val="es-ES_tradnl"/>
        </w:rPr>
        <w:t xml:space="preserve">; </w:t>
      </w:r>
      <w:r w:rsidR="00E409EE" w:rsidRPr="0059553E">
        <w:rPr>
          <w:rFonts w:asciiTheme="majorHAnsi" w:hAnsiTheme="majorHAnsi"/>
          <w:sz w:val="20"/>
          <w:szCs w:val="20"/>
          <w:lang w:val="es-ES_tradnl"/>
        </w:rPr>
        <w:t>que no utilizaron equipos antimotines o bombas lacrimógenas, “lo que utilizaron fue pura bala”</w:t>
      </w:r>
      <w:r w:rsidR="00E409EE">
        <w:rPr>
          <w:rStyle w:val="FootnoteReference"/>
          <w:rFonts w:asciiTheme="majorHAnsi" w:hAnsiTheme="majorHAnsi"/>
          <w:sz w:val="20"/>
          <w:szCs w:val="20"/>
          <w:lang w:val="es-ES_tradnl"/>
        </w:rPr>
        <w:footnoteReference w:id="43"/>
      </w:r>
      <w:r w:rsidR="00EB7688" w:rsidRPr="0059553E">
        <w:rPr>
          <w:rFonts w:asciiTheme="majorHAnsi" w:hAnsiTheme="majorHAnsi"/>
          <w:sz w:val="20"/>
          <w:szCs w:val="20"/>
          <w:lang w:val="es-ES_tradnl"/>
        </w:rPr>
        <w:t>.</w:t>
      </w:r>
    </w:p>
    <w:p w14:paraId="2590723F" w14:textId="77777777" w:rsidR="009B4431" w:rsidRDefault="009B4431" w:rsidP="009B4431">
      <w:pPr>
        <w:pStyle w:val="ListParagraph"/>
        <w:rPr>
          <w:rFonts w:asciiTheme="majorHAnsi" w:hAnsiTheme="majorHAnsi"/>
          <w:b/>
          <w:sz w:val="20"/>
          <w:szCs w:val="20"/>
          <w:lang w:val="es-ES_tradnl"/>
        </w:rPr>
      </w:pPr>
    </w:p>
    <w:p w14:paraId="74EC3A96" w14:textId="67988666" w:rsidR="009B4431" w:rsidRPr="009B4431" w:rsidRDefault="00E26EFE" w:rsidP="003D2DE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N</w:t>
      </w:r>
      <w:r w:rsidR="009B4431" w:rsidRPr="009B4431">
        <w:rPr>
          <w:rFonts w:asciiTheme="majorHAnsi" w:hAnsiTheme="majorHAnsi"/>
          <w:sz w:val="20"/>
          <w:szCs w:val="20"/>
          <w:lang w:val="es-ES_tradnl"/>
        </w:rPr>
        <w:t>otas de prensa concuerdan</w:t>
      </w:r>
      <w:r w:rsidR="003D2DE2">
        <w:rPr>
          <w:rFonts w:asciiTheme="majorHAnsi" w:hAnsiTheme="majorHAnsi"/>
          <w:sz w:val="20"/>
          <w:szCs w:val="20"/>
          <w:lang w:val="es-ES_tradnl"/>
        </w:rPr>
        <w:t xml:space="preserve"> en</w:t>
      </w:r>
      <w:r w:rsidR="009B4431" w:rsidRPr="009B4431">
        <w:rPr>
          <w:rFonts w:asciiTheme="majorHAnsi" w:hAnsiTheme="majorHAnsi"/>
          <w:sz w:val="20"/>
          <w:szCs w:val="20"/>
          <w:lang w:val="es-ES_tradnl"/>
        </w:rPr>
        <w:t xml:space="preserve"> que “</w:t>
      </w:r>
      <w:r w:rsidR="003D2DE2">
        <w:rPr>
          <w:rFonts w:asciiTheme="majorHAnsi" w:hAnsiTheme="majorHAnsi"/>
          <w:sz w:val="20"/>
          <w:szCs w:val="20"/>
          <w:lang w:val="es-ES_tradnl"/>
        </w:rPr>
        <w:t>a</w:t>
      </w:r>
      <w:r w:rsidR="009B4431" w:rsidRPr="009B4431">
        <w:rPr>
          <w:rFonts w:asciiTheme="majorHAnsi" w:hAnsiTheme="majorHAnsi"/>
          <w:sz w:val="20"/>
          <w:szCs w:val="20"/>
          <w:lang w:val="es-ES_tradnl"/>
        </w:rPr>
        <w:t>ntes</w:t>
      </w:r>
      <w:r w:rsidR="009B4431" w:rsidRPr="00A87126">
        <w:rPr>
          <w:rFonts w:asciiTheme="majorHAnsi" w:hAnsiTheme="majorHAnsi"/>
          <w:sz w:val="20"/>
          <w:szCs w:val="20"/>
          <w:lang w:val="es-ES_tradnl"/>
        </w:rPr>
        <w:t xml:space="preserve"> del pas</w:t>
      </w:r>
      <w:r>
        <w:rPr>
          <w:rFonts w:asciiTheme="majorHAnsi" w:hAnsiTheme="majorHAnsi"/>
          <w:sz w:val="20"/>
          <w:szCs w:val="20"/>
          <w:lang w:val="es-ES_tradnl"/>
        </w:rPr>
        <w:t>e de número funcionarios de la Guardia Nacional</w:t>
      </w:r>
      <w:r w:rsidR="009B4431" w:rsidRPr="00A87126">
        <w:rPr>
          <w:rFonts w:asciiTheme="majorHAnsi" w:hAnsiTheme="majorHAnsi"/>
          <w:sz w:val="20"/>
          <w:szCs w:val="20"/>
          <w:lang w:val="es-ES_tradnl"/>
        </w:rPr>
        <w:t xml:space="preserve"> y prisiones entraron al </w:t>
      </w:r>
      <w:r w:rsidR="009B4431" w:rsidRPr="00C34F64">
        <w:rPr>
          <w:rFonts w:asciiTheme="majorHAnsi" w:hAnsiTheme="majorHAnsi"/>
          <w:sz w:val="20"/>
          <w:szCs w:val="20"/>
          <w:lang w:val="es-CO"/>
        </w:rPr>
        <w:t>penal</w:t>
      </w:r>
      <w:r w:rsidR="009B4431" w:rsidRPr="00A87126">
        <w:rPr>
          <w:rFonts w:asciiTheme="majorHAnsi" w:hAnsiTheme="majorHAnsi"/>
          <w:sz w:val="20"/>
          <w:szCs w:val="20"/>
          <w:lang w:val="es-ES_tradnl"/>
        </w:rPr>
        <w:t>. Los testigos relatan que les ordenaron desnudarse y les pegaron con peinillas, bates, tubos y objetos de todo tipo. Luego seleccionaron a los líderes y voceros de la protesta que protagonizaron dos semanas antes”</w:t>
      </w:r>
      <w:r w:rsidR="009B4431">
        <w:rPr>
          <w:rStyle w:val="FootnoteReference"/>
          <w:rFonts w:asciiTheme="majorHAnsi" w:hAnsiTheme="majorHAnsi"/>
          <w:sz w:val="20"/>
          <w:szCs w:val="20"/>
          <w:lang w:val="es-ES_tradnl"/>
        </w:rPr>
        <w:footnoteReference w:id="44"/>
      </w:r>
      <w:r w:rsidR="009B4431" w:rsidRPr="00A87126">
        <w:rPr>
          <w:rFonts w:asciiTheme="majorHAnsi" w:hAnsiTheme="majorHAnsi"/>
          <w:sz w:val="20"/>
          <w:szCs w:val="20"/>
          <w:lang w:val="es-ES_tradnl"/>
        </w:rPr>
        <w:t>.</w:t>
      </w:r>
      <w:r w:rsidR="000C46DF">
        <w:rPr>
          <w:rFonts w:asciiTheme="majorHAnsi" w:hAnsiTheme="majorHAnsi"/>
          <w:sz w:val="20"/>
          <w:szCs w:val="20"/>
          <w:lang w:val="es-ES_tradnl"/>
        </w:rPr>
        <w:t xml:space="preserve"> Asimismo,</w:t>
      </w:r>
      <w:r w:rsidR="00FC1EF0">
        <w:rPr>
          <w:rFonts w:asciiTheme="majorHAnsi" w:hAnsiTheme="majorHAnsi"/>
          <w:sz w:val="20"/>
          <w:szCs w:val="20"/>
          <w:lang w:val="es-ES_tradnl"/>
        </w:rPr>
        <w:t xml:space="preserve"> </w:t>
      </w:r>
      <w:r w:rsidR="00FC1EF0" w:rsidRPr="00FC1EF0">
        <w:rPr>
          <w:rFonts w:asciiTheme="majorHAnsi" w:hAnsiTheme="majorHAnsi"/>
          <w:sz w:val="20"/>
          <w:szCs w:val="20"/>
          <w:lang w:val="es-CO"/>
        </w:rPr>
        <w:t>“</w:t>
      </w:r>
      <w:r w:rsidR="000C46DF">
        <w:rPr>
          <w:rFonts w:asciiTheme="majorHAnsi" w:hAnsiTheme="majorHAnsi"/>
          <w:sz w:val="20"/>
          <w:szCs w:val="20"/>
          <w:lang w:val="es-CO"/>
        </w:rPr>
        <w:t>e</w:t>
      </w:r>
      <w:r w:rsidR="00FC1EF0" w:rsidRPr="00FC1EF0">
        <w:rPr>
          <w:rFonts w:asciiTheme="majorHAnsi" w:hAnsiTheme="majorHAnsi"/>
          <w:sz w:val="20"/>
          <w:szCs w:val="20"/>
          <w:lang w:val="es-CO"/>
        </w:rPr>
        <w:t xml:space="preserve">xisten preocupantes versiones según las cuales más de 50 efectivos de la </w:t>
      </w:r>
      <w:r>
        <w:rPr>
          <w:rFonts w:asciiTheme="majorHAnsi" w:hAnsiTheme="majorHAnsi"/>
          <w:sz w:val="20"/>
          <w:szCs w:val="20"/>
          <w:lang w:val="es-CO"/>
        </w:rPr>
        <w:t>Guardia Nacional</w:t>
      </w:r>
      <w:r w:rsidR="00FC1EF0" w:rsidRPr="00FC1EF0">
        <w:rPr>
          <w:rFonts w:asciiTheme="majorHAnsi" w:hAnsiTheme="majorHAnsi"/>
          <w:sz w:val="20"/>
          <w:szCs w:val="20"/>
          <w:lang w:val="es-CO"/>
        </w:rPr>
        <w:t xml:space="preserve"> en complicidad con los custodios internos, habrían arremetido contra la población reclusa, especialmente contra los internos que lideraron el auto secuestro el pasado 20 de octubre, en el cual exigían mejores condiciones de vida, y que resultó en la destitución de la directora del penal y d</w:t>
      </w:r>
      <w:r>
        <w:rPr>
          <w:rFonts w:asciiTheme="majorHAnsi" w:hAnsiTheme="majorHAnsi"/>
          <w:sz w:val="20"/>
          <w:szCs w:val="20"/>
          <w:lang w:val="es-CO"/>
        </w:rPr>
        <w:t>el comandante del puesto de la Guardia Nacional</w:t>
      </w:r>
      <w:r w:rsidR="00FC1EF0" w:rsidRPr="00FC1EF0">
        <w:rPr>
          <w:rFonts w:asciiTheme="majorHAnsi" w:hAnsiTheme="majorHAnsi"/>
          <w:sz w:val="20"/>
          <w:szCs w:val="20"/>
          <w:lang w:val="es-CO"/>
        </w:rPr>
        <w:t>”</w:t>
      </w:r>
      <w:r w:rsidR="00FC1EF0">
        <w:rPr>
          <w:rStyle w:val="FootnoteReference"/>
          <w:rFonts w:asciiTheme="majorHAnsi" w:hAnsiTheme="majorHAnsi"/>
          <w:sz w:val="20"/>
          <w:szCs w:val="20"/>
          <w:lang w:val="es-CO"/>
        </w:rPr>
        <w:footnoteReference w:id="45"/>
      </w:r>
      <w:r w:rsidR="00FC1EF0" w:rsidRPr="00FC1EF0">
        <w:rPr>
          <w:rFonts w:asciiTheme="majorHAnsi" w:hAnsiTheme="majorHAnsi"/>
          <w:sz w:val="20"/>
          <w:szCs w:val="20"/>
          <w:lang w:val="es-CO"/>
        </w:rPr>
        <w:t>.</w:t>
      </w:r>
    </w:p>
    <w:p w14:paraId="725BBD57" w14:textId="77777777" w:rsidR="005F14CF" w:rsidRDefault="005F14CF" w:rsidP="005F14CF">
      <w:pPr>
        <w:pStyle w:val="ListParagraph"/>
        <w:rPr>
          <w:rFonts w:asciiTheme="majorHAnsi" w:hAnsiTheme="majorHAnsi"/>
          <w:b/>
          <w:sz w:val="20"/>
          <w:szCs w:val="20"/>
          <w:lang w:val="es-ES_tradnl"/>
        </w:rPr>
      </w:pPr>
    </w:p>
    <w:p w14:paraId="73309426" w14:textId="47EB8EC1" w:rsidR="004E28DA" w:rsidRPr="00D27DA9" w:rsidRDefault="002567F8" w:rsidP="00C34F6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lastRenderedPageBreak/>
        <w:t>Algunos internos r</w:t>
      </w:r>
      <w:r w:rsidR="005F14CF" w:rsidRPr="005F14CF">
        <w:rPr>
          <w:rFonts w:asciiTheme="majorHAnsi" w:hAnsiTheme="majorHAnsi"/>
          <w:sz w:val="20"/>
          <w:szCs w:val="20"/>
          <w:lang w:val="es-ES_tradnl"/>
        </w:rPr>
        <w:t>elata</w:t>
      </w:r>
      <w:r w:rsidR="00E26EFE">
        <w:rPr>
          <w:rFonts w:asciiTheme="majorHAnsi" w:hAnsiTheme="majorHAnsi"/>
          <w:sz w:val="20"/>
          <w:szCs w:val="20"/>
          <w:lang w:val="es-ES_tradnl"/>
        </w:rPr>
        <w:t>ro</w:t>
      </w:r>
      <w:r w:rsidR="005F14CF" w:rsidRPr="005F14CF">
        <w:rPr>
          <w:rFonts w:asciiTheme="majorHAnsi" w:hAnsiTheme="majorHAnsi"/>
          <w:sz w:val="20"/>
          <w:szCs w:val="20"/>
          <w:lang w:val="es-ES_tradnl"/>
        </w:rPr>
        <w:t>n que el día de los hechos</w:t>
      </w:r>
      <w:r w:rsidR="005F14CF">
        <w:rPr>
          <w:rFonts w:asciiTheme="majorHAnsi" w:hAnsiTheme="majorHAnsi"/>
          <w:sz w:val="20"/>
          <w:szCs w:val="20"/>
          <w:lang w:val="es-ES_tradnl"/>
        </w:rPr>
        <w:t>, “Goyo” Bolívar y el “Chileno”, Orlando Olivares, se encontra</w:t>
      </w:r>
      <w:r w:rsidR="00AE1254">
        <w:rPr>
          <w:rFonts w:asciiTheme="majorHAnsi" w:hAnsiTheme="majorHAnsi"/>
          <w:sz w:val="20"/>
          <w:szCs w:val="20"/>
          <w:lang w:val="es-ES_tradnl"/>
        </w:rPr>
        <w:t>ban</w:t>
      </w:r>
      <w:r w:rsidR="005F14CF">
        <w:rPr>
          <w:rFonts w:asciiTheme="majorHAnsi" w:hAnsiTheme="majorHAnsi"/>
          <w:sz w:val="20"/>
          <w:szCs w:val="20"/>
          <w:lang w:val="es-ES_tradnl"/>
        </w:rPr>
        <w:t xml:space="preserve"> en el área de “mínima”</w:t>
      </w:r>
      <w:r w:rsidR="00534FF6">
        <w:rPr>
          <w:rStyle w:val="FootnoteReference"/>
          <w:rFonts w:asciiTheme="majorHAnsi" w:hAnsiTheme="majorHAnsi"/>
          <w:sz w:val="20"/>
          <w:szCs w:val="20"/>
          <w:lang w:val="es-ES_tradnl"/>
        </w:rPr>
        <w:footnoteReference w:id="46"/>
      </w:r>
      <w:r w:rsidR="005F14CF">
        <w:rPr>
          <w:rFonts w:asciiTheme="majorHAnsi" w:hAnsiTheme="majorHAnsi"/>
          <w:sz w:val="20"/>
          <w:szCs w:val="20"/>
          <w:lang w:val="es-ES_tradnl"/>
        </w:rPr>
        <w:t xml:space="preserve">. Sobre lo ocurrido a </w:t>
      </w:r>
      <w:r w:rsidR="00AE1254">
        <w:rPr>
          <w:rFonts w:asciiTheme="majorHAnsi" w:hAnsiTheme="majorHAnsi"/>
          <w:sz w:val="20"/>
          <w:szCs w:val="20"/>
          <w:lang w:val="es-ES_tradnl"/>
        </w:rPr>
        <w:t>“</w:t>
      </w:r>
      <w:r w:rsidR="005F14CF">
        <w:rPr>
          <w:rFonts w:asciiTheme="majorHAnsi" w:hAnsiTheme="majorHAnsi"/>
          <w:sz w:val="20"/>
          <w:szCs w:val="20"/>
          <w:lang w:val="es-ES_tradnl"/>
        </w:rPr>
        <w:t>Goyo</w:t>
      </w:r>
      <w:r w:rsidR="00AE1254">
        <w:rPr>
          <w:rFonts w:asciiTheme="majorHAnsi" w:hAnsiTheme="majorHAnsi"/>
          <w:sz w:val="20"/>
          <w:szCs w:val="20"/>
          <w:lang w:val="es-ES_tradnl"/>
        </w:rPr>
        <w:t>”</w:t>
      </w:r>
      <w:r w:rsidR="005F14CF">
        <w:rPr>
          <w:rFonts w:asciiTheme="majorHAnsi" w:hAnsiTheme="majorHAnsi"/>
          <w:sz w:val="20"/>
          <w:szCs w:val="20"/>
          <w:lang w:val="es-ES_tradnl"/>
        </w:rPr>
        <w:t xml:space="preserve">, internos </w:t>
      </w:r>
      <w:r w:rsidR="00534FF6">
        <w:rPr>
          <w:rFonts w:asciiTheme="majorHAnsi" w:hAnsiTheme="majorHAnsi"/>
          <w:sz w:val="20"/>
          <w:szCs w:val="20"/>
          <w:lang w:val="es-ES_tradnl"/>
        </w:rPr>
        <w:t>afirma</w:t>
      </w:r>
      <w:r w:rsidR="00E26EFE">
        <w:rPr>
          <w:rFonts w:asciiTheme="majorHAnsi" w:hAnsiTheme="majorHAnsi"/>
          <w:sz w:val="20"/>
          <w:szCs w:val="20"/>
          <w:lang w:val="es-ES_tradnl"/>
        </w:rPr>
        <w:t>ro</w:t>
      </w:r>
      <w:r w:rsidR="00534FF6">
        <w:rPr>
          <w:rFonts w:asciiTheme="majorHAnsi" w:hAnsiTheme="majorHAnsi"/>
          <w:sz w:val="20"/>
          <w:szCs w:val="20"/>
          <w:lang w:val="es-ES_tradnl"/>
        </w:rPr>
        <w:t>n que luego de ser golpeado por un vigilante de nombre “Julio”</w:t>
      </w:r>
      <w:r w:rsidR="00534FF6">
        <w:rPr>
          <w:rStyle w:val="FootnoteReference"/>
          <w:rFonts w:asciiTheme="majorHAnsi" w:hAnsiTheme="majorHAnsi"/>
          <w:sz w:val="20"/>
          <w:szCs w:val="20"/>
          <w:lang w:val="es-ES_tradnl"/>
        </w:rPr>
        <w:footnoteReference w:id="47"/>
      </w:r>
      <w:r w:rsidR="00534FF6">
        <w:rPr>
          <w:rFonts w:asciiTheme="majorHAnsi" w:hAnsiTheme="majorHAnsi"/>
          <w:sz w:val="20"/>
          <w:szCs w:val="20"/>
          <w:lang w:val="es-ES_tradnl"/>
        </w:rPr>
        <w:t xml:space="preserve">, le mató </w:t>
      </w:r>
      <w:r w:rsidR="00526D62">
        <w:rPr>
          <w:rFonts w:asciiTheme="majorHAnsi" w:hAnsiTheme="majorHAnsi"/>
          <w:sz w:val="20"/>
          <w:szCs w:val="20"/>
          <w:lang w:val="es-ES_tradnl"/>
        </w:rPr>
        <w:t xml:space="preserve">un </w:t>
      </w:r>
      <w:r w:rsidR="00312431">
        <w:rPr>
          <w:rFonts w:asciiTheme="majorHAnsi" w:hAnsiTheme="majorHAnsi"/>
          <w:sz w:val="20"/>
          <w:szCs w:val="20"/>
          <w:lang w:val="es-ES_tradnl"/>
        </w:rPr>
        <w:t>Guardia Nacional</w:t>
      </w:r>
      <w:r w:rsidR="00526D62">
        <w:rPr>
          <w:rFonts w:asciiTheme="majorHAnsi" w:hAnsiTheme="majorHAnsi"/>
          <w:sz w:val="20"/>
          <w:szCs w:val="20"/>
          <w:lang w:val="es-ES_tradnl"/>
        </w:rPr>
        <w:t xml:space="preserve"> con disparos a la cabeza; varios afirma</w:t>
      </w:r>
      <w:r w:rsidR="00E26EFE">
        <w:rPr>
          <w:rFonts w:asciiTheme="majorHAnsi" w:hAnsiTheme="majorHAnsi"/>
          <w:sz w:val="20"/>
          <w:szCs w:val="20"/>
          <w:lang w:val="es-ES_tradnl"/>
        </w:rPr>
        <w:t>ro</w:t>
      </w:r>
      <w:r w:rsidR="00526D62">
        <w:rPr>
          <w:rFonts w:asciiTheme="majorHAnsi" w:hAnsiTheme="majorHAnsi"/>
          <w:sz w:val="20"/>
          <w:szCs w:val="20"/>
          <w:lang w:val="es-ES_tradnl"/>
        </w:rPr>
        <w:t>n que</w:t>
      </w:r>
      <w:r w:rsidR="005F3D49">
        <w:rPr>
          <w:rFonts w:asciiTheme="majorHAnsi" w:hAnsiTheme="majorHAnsi"/>
          <w:sz w:val="20"/>
          <w:szCs w:val="20"/>
          <w:lang w:val="es-ES_tradnl"/>
        </w:rPr>
        <w:t xml:space="preserve"> fue </w:t>
      </w:r>
      <w:r w:rsidR="00534FF6">
        <w:rPr>
          <w:rFonts w:asciiTheme="majorHAnsi" w:hAnsiTheme="majorHAnsi"/>
          <w:sz w:val="20"/>
          <w:szCs w:val="20"/>
          <w:lang w:val="es-ES_tradnl"/>
        </w:rPr>
        <w:t>el Capitán Campos</w:t>
      </w:r>
      <w:r w:rsidR="00571859">
        <w:rPr>
          <w:rFonts w:asciiTheme="majorHAnsi" w:hAnsiTheme="majorHAnsi"/>
          <w:sz w:val="20"/>
          <w:szCs w:val="20"/>
          <w:lang w:val="es-ES_tradnl"/>
        </w:rPr>
        <w:t xml:space="preserve"> quien le </w:t>
      </w:r>
      <w:r w:rsidR="00AC2CA4">
        <w:rPr>
          <w:rFonts w:asciiTheme="majorHAnsi" w:hAnsiTheme="majorHAnsi"/>
          <w:sz w:val="20"/>
          <w:szCs w:val="20"/>
          <w:lang w:val="es-ES_tradnl"/>
        </w:rPr>
        <w:t>dio</w:t>
      </w:r>
      <w:r w:rsidR="00571859">
        <w:rPr>
          <w:rFonts w:asciiTheme="majorHAnsi" w:hAnsiTheme="majorHAnsi"/>
          <w:sz w:val="20"/>
          <w:szCs w:val="20"/>
          <w:lang w:val="es-ES_tradnl"/>
        </w:rPr>
        <w:t xml:space="preserve"> primero dos disparos en las piernas</w:t>
      </w:r>
      <w:r w:rsidR="000C46DF">
        <w:rPr>
          <w:rStyle w:val="FootnoteReference"/>
          <w:rFonts w:asciiTheme="majorHAnsi" w:hAnsiTheme="majorHAnsi"/>
          <w:sz w:val="20"/>
          <w:szCs w:val="20"/>
          <w:lang w:val="es-ES_tradnl"/>
        </w:rPr>
        <w:footnoteReference w:id="48"/>
      </w:r>
      <w:r w:rsidR="00526D62">
        <w:rPr>
          <w:rFonts w:asciiTheme="majorHAnsi" w:hAnsiTheme="majorHAnsi"/>
          <w:sz w:val="20"/>
          <w:szCs w:val="20"/>
          <w:lang w:val="es-ES_tradnl"/>
        </w:rPr>
        <w:t xml:space="preserve"> y luego le dispar</w:t>
      </w:r>
      <w:r>
        <w:rPr>
          <w:rFonts w:asciiTheme="majorHAnsi" w:hAnsiTheme="majorHAnsi"/>
          <w:sz w:val="20"/>
          <w:szCs w:val="20"/>
          <w:lang w:val="es-ES_tradnl"/>
        </w:rPr>
        <w:t>ó</w:t>
      </w:r>
      <w:r w:rsidR="00526D62">
        <w:rPr>
          <w:rFonts w:asciiTheme="majorHAnsi" w:hAnsiTheme="majorHAnsi"/>
          <w:sz w:val="20"/>
          <w:szCs w:val="20"/>
          <w:lang w:val="es-ES_tradnl"/>
        </w:rPr>
        <w:t xml:space="preserve"> en la cabeza, y algunos señala</w:t>
      </w:r>
      <w:r w:rsidR="00E26EFE">
        <w:rPr>
          <w:rFonts w:asciiTheme="majorHAnsi" w:hAnsiTheme="majorHAnsi"/>
          <w:sz w:val="20"/>
          <w:szCs w:val="20"/>
          <w:lang w:val="es-ES_tradnl"/>
        </w:rPr>
        <w:t>ro</w:t>
      </w:r>
      <w:r w:rsidR="00526D62">
        <w:rPr>
          <w:rFonts w:asciiTheme="majorHAnsi" w:hAnsiTheme="majorHAnsi"/>
          <w:sz w:val="20"/>
          <w:szCs w:val="20"/>
          <w:lang w:val="es-ES_tradnl"/>
        </w:rPr>
        <w:t>n la participación de</w:t>
      </w:r>
      <w:r w:rsidR="00C34F64">
        <w:rPr>
          <w:rFonts w:asciiTheme="majorHAnsi" w:hAnsiTheme="majorHAnsi"/>
          <w:sz w:val="20"/>
          <w:szCs w:val="20"/>
          <w:lang w:val="es-ES_tradnl"/>
        </w:rPr>
        <w:t xml:space="preserve">l Guardia Nacional </w:t>
      </w:r>
      <w:r w:rsidR="00526D62">
        <w:rPr>
          <w:rFonts w:asciiTheme="majorHAnsi" w:hAnsiTheme="majorHAnsi"/>
          <w:sz w:val="20"/>
          <w:szCs w:val="20"/>
          <w:lang w:val="es-ES_tradnl"/>
        </w:rPr>
        <w:t>Franchi</w:t>
      </w:r>
      <w:r w:rsidR="00534FF6">
        <w:rPr>
          <w:rStyle w:val="FootnoteReference"/>
          <w:rFonts w:asciiTheme="majorHAnsi" w:hAnsiTheme="majorHAnsi"/>
          <w:sz w:val="20"/>
          <w:szCs w:val="20"/>
          <w:lang w:val="es-ES_tradnl"/>
        </w:rPr>
        <w:footnoteReference w:id="49"/>
      </w:r>
      <w:r w:rsidR="00534FF6">
        <w:rPr>
          <w:rFonts w:asciiTheme="majorHAnsi" w:hAnsiTheme="majorHAnsi"/>
          <w:sz w:val="20"/>
          <w:szCs w:val="20"/>
          <w:lang w:val="es-ES_tradnl"/>
        </w:rPr>
        <w:t>.</w:t>
      </w:r>
      <w:r w:rsidR="00AC2CA4">
        <w:rPr>
          <w:rFonts w:asciiTheme="majorHAnsi" w:hAnsiTheme="majorHAnsi"/>
          <w:sz w:val="20"/>
          <w:szCs w:val="20"/>
          <w:lang w:val="es-ES_tradnl"/>
        </w:rPr>
        <w:t xml:space="preserve"> </w:t>
      </w:r>
      <w:r w:rsidR="00BA3173">
        <w:rPr>
          <w:rFonts w:asciiTheme="majorHAnsi" w:hAnsiTheme="majorHAnsi"/>
          <w:sz w:val="20"/>
          <w:szCs w:val="20"/>
          <w:lang w:val="es-ES_tradnl"/>
        </w:rPr>
        <w:t>L</w:t>
      </w:r>
      <w:r w:rsidR="000D351B">
        <w:rPr>
          <w:rFonts w:asciiTheme="majorHAnsi" w:hAnsiTheme="majorHAnsi"/>
          <w:sz w:val="20"/>
          <w:szCs w:val="20"/>
          <w:lang w:val="es-ES_tradnl"/>
        </w:rPr>
        <w:t xml:space="preserve">a tesis del Fiscal del caso es que el autor de la muerte de Goyo </w:t>
      </w:r>
      <w:r w:rsidR="006B4FDC">
        <w:rPr>
          <w:rFonts w:asciiTheme="majorHAnsi" w:hAnsiTheme="majorHAnsi"/>
          <w:sz w:val="20"/>
          <w:szCs w:val="20"/>
          <w:lang w:val="es-ES_tradnl"/>
        </w:rPr>
        <w:t>fue</w:t>
      </w:r>
      <w:r w:rsidR="000D351B">
        <w:rPr>
          <w:rFonts w:asciiTheme="majorHAnsi" w:hAnsiTheme="majorHAnsi"/>
          <w:sz w:val="20"/>
          <w:szCs w:val="20"/>
          <w:lang w:val="es-ES_tradnl"/>
        </w:rPr>
        <w:t xml:space="preserve"> </w:t>
      </w:r>
      <w:r w:rsidR="006B4FDC">
        <w:rPr>
          <w:rFonts w:asciiTheme="majorHAnsi" w:hAnsiTheme="majorHAnsi"/>
          <w:sz w:val="20"/>
          <w:szCs w:val="20"/>
          <w:lang w:val="es-ES_tradnl"/>
        </w:rPr>
        <w:t xml:space="preserve">el Capitán </w:t>
      </w:r>
      <w:r w:rsidR="000D351B">
        <w:rPr>
          <w:rFonts w:asciiTheme="majorHAnsi" w:hAnsiTheme="majorHAnsi"/>
          <w:sz w:val="20"/>
          <w:szCs w:val="20"/>
          <w:lang w:val="es-ES_tradnl"/>
        </w:rPr>
        <w:t>Campos</w:t>
      </w:r>
      <w:r w:rsidR="00526D62">
        <w:rPr>
          <w:rStyle w:val="FootnoteReference"/>
          <w:rFonts w:asciiTheme="majorHAnsi" w:hAnsiTheme="majorHAnsi"/>
          <w:sz w:val="20"/>
          <w:szCs w:val="20"/>
          <w:lang w:val="es-ES_tradnl"/>
        </w:rPr>
        <w:footnoteReference w:id="50"/>
      </w:r>
      <w:r w:rsidR="000D351B">
        <w:rPr>
          <w:rFonts w:asciiTheme="majorHAnsi" w:hAnsiTheme="majorHAnsi"/>
          <w:sz w:val="20"/>
          <w:szCs w:val="20"/>
          <w:lang w:val="es-ES_tradnl"/>
        </w:rPr>
        <w:t xml:space="preserve">. </w:t>
      </w:r>
      <w:r w:rsidR="00526D62">
        <w:rPr>
          <w:rFonts w:asciiTheme="majorHAnsi" w:hAnsiTheme="majorHAnsi"/>
          <w:sz w:val="20"/>
          <w:szCs w:val="20"/>
          <w:lang w:val="es-ES_tradnl"/>
        </w:rPr>
        <w:t>Varios afirma</w:t>
      </w:r>
      <w:r w:rsidR="00E26EFE">
        <w:rPr>
          <w:rFonts w:asciiTheme="majorHAnsi" w:hAnsiTheme="majorHAnsi"/>
          <w:sz w:val="20"/>
          <w:szCs w:val="20"/>
          <w:lang w:val="es-ES_tradnl"/>
        </w:rPr>
        <w:t>ro</w:t>
      </w:r>
      <w:r w:rsidR="00526D62">
        <w:rPr>
          <w:rFonts w:asciiTheme="majorHAnsi" w:hAnsiTheme="majorHAnsi"/>
          <w:sz w:val="20"/>
          <w:szCs w:val="20"/>
          <w:lang w:val="es-ES_tradnl"/>
        </w:rPr>
        <w:t>n que Goyo “estaba pidiendo auxilio”</w:t>
      </w:r>
      <w:r w:rsidR="00526D62">
        <w:rPr>
          <w:rStyle w:val="FootnoteReference"/>
          <w:rFonts w:asciiTheme="majorHAnsi" w:hAnsiTheme="majorHAnsi"/>
          <w:sz w:val="20"/>
          <w:szCs w:val="20"/>
          <w:lang w:val="es-ES_tradnl"/>
        </w:rPr>
        <w:footnoteReference w:id="51"/>
      </w:r>
      <w:r w:rsidR="00526D62">
        <w:rPr>
          <w:rFonts w:asciiTheme="majorHAnsi" w:hAnsiTheme="majorHAnsi"/>
          <w:sz w:val="20"/>
          <w:szCs w:val="20"/>
          <w:lang w:val="es-ES_tradnl"/>
        </w:rPr>
        <w:t>, que gritaba “</w:t>
      </w:r>
      <w:r w:rsidR="00184788">
        <w:rPr>
          <w:rFonts w:asciiTheme="majorHAnsi" w:hAnsiTheme="majorHAnsi"/>
          <w:sz w:val="20"/>
          <w:szCs w:val="20"/>
          <w:lang w:val="es-ES_tradnl"/>
        </w:rPr>
        <w:t>nos están matando, esto es una masacre</w:t>
      </w:r>
      <w:r w:rsidR="00526D62">
        <w:rPr>
          <w:rFonts w:asciiTheme="majorHAnsi" w:hAnsiTheme="majorHAnsi"/>
          <w:sz w:val="20"/>
          <w:szCs w:val="20"/>
          <w:lang w:val="es-ES_tradnl"/>
        </w:rPr>
        <w:t>”</w:t>
      </w:r>
      <w:r w:rsidR="00526D62">
        <w:rPr>
          <w:rStyle w:val="FootnoteReference"/>
          <w:rFonts w:asciiTheme="majorHAnsi" w:hAnsiTheme="majorHAnsi"/>
          <w:sz w:val="20"/>
          <w:szCs w:val="20"/>
          <w:lang w:val="es-ES_tradnl"/>
        </w:rPr>
        <w:footnoteReference w:id="52"/>
      </w:r>
      <w:r w:rsidR="00526D62">
        <w:rPr>
          <w:rFonts w:asciiTheme="majorHAnsi" w:hAnsiTheme="majorHAnsi"/>
          <w:sz w:val="20"/>
          <w:szCs w:val="20"/>
          <w:lang w:val="es-ES_tradnl"/>
        </w:rPr>
        <w:t xml:space="preserve">. </w:t>
      </w:r>
      <w:r w:rsidR="00534FF6">
        <w:rPr>
          <w:rFonts w:asciiTheme="majorHAnsi" w:hAnsiTheme="majorHAnsi"/>
          <w:sz w:val="20"/>
          <w:szCs w:val="20"/>
          <w:lang w:val="es-ES_tradnl"/>
        </w:rPr>
        <w:t>U</w:t>
      </w:r>
      <w:r w:rsidR="00A62A1A">
        <w:rPr>
          <w:rFonts w:asciiTheme="majorHAnsi" w:hAnsiTheme="majorHAnsi"/>
          <w:sz w:val="20"/>
          <w:szCs w:val="20"/>
          <w:lang w:val="es-ES_tradnl"/>
        </w:rPr>
        <w:t>n interno</w:t>
      </w:r>
      <w:r w:rsidR="00534FF6">
        <w:rPr>
          <w:rFonts w:asciiTheme="majorHAnsi" w:hAnsiTheme="majorHAnsi"/>
          <w:sz w:val="20"/>
          <w:szCs w:val="20"/>
          <w:lang w:val="es-ES_tradnl"/>
        </w:rPr>
        <w:t xml:space="preserve"> afirm</w:t>
      </w:r>
      <w:r w:rsidR="00E26EFE">
        <w:rPr>
          <w:rFonts w:asciiTheme="majorHAnsi" w:hAnsiTheme="majorHAnsi"/>
          <w:sz w:val="20"/>
          <w:szCs w:val="20"/>
          <w:lang w:val="es-ES_tradnl"/>
        </w:rPr>
        <w:t>ó</w:t>
      </w:r>
      <w:r w:rsidR="00534FF6">
        <w:rPr>
          <w:rFonts w:asciiTheme="majorHAnsi" w:hAnsiTheme="majorHAnsi"/>
          <w:sz w:val="20"/>
          <w:szCs w:val="20"/>
          <w:lang w:val="es-ES_tradnl"/>
        </w:rPr>
        <w:t xml:space="preserve"> que cuando le dispararon a Olivares “[é]l se encontraba arrodillado” y desnudo</w:t>
      </w:r>
      <w:r w:rsidR="00534FF6">
        <w:rPr>
          <w:rStyle w:val="FootnoteReference"/>
          <w:rFonts w:asciiTheme="majorHAnsi" w:hAnsiTheme="majorHAnsi"/>
          <w:sz w:val="20"/>
          <w:szCs w:val="20"/>
          <w:lang w:val="es-ES_tradnl"/>
        </w:rPr>
        <w:footnoteReference w:id="53"/>
      </w:r>
      <w:r w:rsidR="00534FF6">
        <w:rPr>
          <w:rFonts w:asciiTheme="majorHAnsi" w:hAnsiTheme="majorHAnsi"/>
          <w:sz w:val="20"/>
          <w:szCs w:val="20"/>
          <w:lang w:val="es-ES_tradnl"/>
        </w:rPr>
        <w:t xml:space="preserve">. </w:t>
      </w:r>
      <w:r w:rsidR="00C43A22">
        <w:rPr>
          <w:rFonts w:asciiTheme="majorHAnsi" w:hAnsiTheme="majorHAnsi"/>
          <w:sz w:val="20"/>
          <w:szCs w:val="20"/>
          <w:lang w:val="es-CO"/>
        </w:rPr>
        <w:t>O</w:t>
      </w:r>
      <w:r w:rsidR="00D27DA9">
        <w:rPr>
          <w:rFonts w:asciiTheme="majorHAnsi" w:hAnsiTheme="majorHAnsi"/>
          <w:sz w:val="20"/>
          <w:szCs w:val="20"/>
          <w:lang w:val="es-CO"/>
        </w:rPr>
        <w:t>tro</w:t>
      </w:r>
      <w:r w:rsidRPr="00D27DA9">
        <w:rPr>
          <w:rFonts w:asciiTheme="majorHAnsi" w:hAnsiTheme="majorHAnsi"/>
          <w:sz w:val="20"/>
          <w:szCs w:val="20"/>
          <w:lang w:val="es-CO"/>
        </w:rPr>
        <w:t xml:space="preserve"> afirmó </w:t>
      </w:r>
      <w:r w:rsidR="004E28DA" w:rsidRPr="00D27DA9">
        <w:rPr>
          <w:rFonts w:asciiTheme="majorHAnsi" w:hAnsiTheme="majorHAnsi"/>
          <w:sz w:val="20"/>
          <w:szCs w:val="20"/>
          <w:lang w:val="es-CO"/>
        </w:rPr>
        <w:t>“</w:t>
      </w:r>
      <w:r w:rsidR="00D27DA9" w:rsidRPr="00D27DA9">
        <w:rPr>
          <w:rFonts w:asciiTheme="majorHAnsi" w:hAnsiTheme="majorHAnsi"/>
          <w:sz w:val="20"/>
          <w:szCs w:val="20"/>
          <w:lang w:val="es-CO"/>
        </w:rPr>
        <w:t xml:space="preserve">[Los </w:t>
      </w:r>
      <w:r w:rsidR="00C43A22">
        <w:rPr>
          <w:rFonts w:asciiTheme="majorHAnsi" w:hAnsiTheme="majorHAnsi"/>
          <w:sz w:val="20"/>
          <w:szCs w:val="20"/>
          <w:lang w:val="es-CO"/>
        </w:rPr>
        <w:t>GN</w:t>
      </w:r>
      <w:r w:rsidR="00D27DA9" w:rsidRPr="00D27DA9">
        <w:rPr>
          <w:rFonts w:asciiTheme="majorHAnsi" w:hAnsiTheme="majorHAnsi"/>
          <w:sz w:val="20"/>
          <w:szCs w:val="20"/>
          <w:lang w:val="es-CO"/>
        </w:rPr>
        <w:t>]</w:t>
      </w:r>
      <w:r w:rsidR="004E28DA" w:rsidRPr="00D27DA9">
        <w:rPr>
          <w:rFonts w:asciiTheme="majorHAnsi" w:hAnsiTheme="majorHAnsi"/>
          <w:sz w:val="20"/>
          <w:szCs w:val="20"/>
          <w:lang w:val="es-CO"/>
        </w:rPr>
        <w:t xml:space="preserve"> decían que el difunto Chile era el líder y que estaba escondiendo las armas </w:t>
      </w:r>
      <w:r w:rsidR="00D27DA9">
        <w:rPr>
          <w:rFonts w:asciiTheme="majorHAnsi" w:hAnsiTheme="majorHAnsi"/>
          <w:sz w:val="20"/>
          <w:szCs w:val="20"/>
          <w:lang w:val="es-CO"/>
        </w:rPr>
        <w:t>[…]</w:t>
      </w:r>
      <w:r w:rsidR="004E28DA" w:rsidRPr="00D27DA9">
        <w:rPr>
          <w:rFonts w:asciiTheme="majorHAnsi" w:hAnsiTheme="majorHAnsi"/>
          <w:sz w:val="20"/>
          <w:szCs w:val="20"/>
          <w:lang w:val="es-CO"/>
        </w:rPr>
        <w:t xml:space="preserve"> Le dispararon en la espalda</w:t>
      </w:r>
      <w:r w:rsidR="00D27DA9">
        <w:rPr>
          <w:rFonts w:asciiTheme="majorHAnsi" w:hAnsiTheme="majorHAnsi"/>
          <w:sz w:val="20"/>
          <w:szCs w:val="20"/>
          <w:lang w:val="es-CO"/>
        </w:rPr>
        <w:t xml:space="preserve"> [...]</w:t>
      </w:r>
      <w:r w:rsidR="004E28DA" w:rsidRPr="00D27DA9">
        <w:rPr>
          <w:rFonts w:asciiTheme="majorHAnsi" w:hAnsiTheme="majorHAnsi"/>
          <w:sz w:val="20"/>
          <w:szCs w:val="20"/>
          <w:lang w:val="es-CO"/>
        </w:rPr>
        <w:t>”</w:t>
      </w:r>
      <w:r w:rsidR="004E28DA">
        <w:rPr>
          <w:rStyle w:val="FootnoteReference"/>
          <w:rFonts w:asciiTheme="majorHAnsi" w:hAnsiTheme="majorHAnsi"/>
          <w:sz w:val="20"/>
          <w:szCs w:val="20"/>
          <w:lang w:val="es-CO"/>
        </w:rPr>
        <w:footnoteReference w:id="54"/>
      </w:r>
      <w:r w:rsidR="004E28DA" w:rsidRPr="00D27DA9">
        <w:rPr>
          <w:rFonts w:asciiTheme="majorHAnsi" w:hAnsiTheme="majorHAnsi"/>
          <w:sz w:val="20"/>
          <w:szCs w:val="20"/>
          <w:lang w:val="es-CO"/>
        </w:rPr>
        <w:t>.</w:t>
      </w:r>
    </w:p>
    <w:p w14:paraId="5E31DBF7" w14:textId="77777777" w:rsidR="00A54E9E" w:rsidRPr="00D27DA9" w:rsidRDefault="00A54E9E" w:rsidP="00D27DA9">
      <w:pPr>
        <w:rPr>
          <w:rFonts w:asciiTheme="majorHAnsi" w:hAnsiTheme="majorHAnsi"/>
          <w:sz w:val="20"/>
          <w:szCs w:val="20"/>
          <w:lang w:val="es-ES_tradnl"/>
        </w:rPr>
      </w:pPr>
    </w:p>
    <w:p w14:paraId="6AC30D1C" w14:textId="1566A988" w:rsidR="002567F8" w:rsidRDefault="00A54E9E" w:rsidP="003D2DE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En otra </w:t>
      </w:r>
      <w:r w:rsidR="002567F8">
        <w:rPr>
          <w:rFonts w:asciiTheme="majorHAnsi" w:hAnsiTheme="majorHAnsi"/>
          <w:sz w:val="20"/>
          <w:szCs w:val="20"/>
          <w:lang w:val="es-ES_tradnl"/>
        </w:rPr>
        <w:t>parte</w:t>
      </w:r>
      <w:r>
        <w:rPr>
          <w:rFonts w:asciiTheme="majorHAnsi" w:hAnsiTheme="majorHAnsi"/>
          <w:sz w:val="20"/>
          <w:szCs w:val="20"/>
          <w:lang w:val="es-ES_tradnl"/>
        </w:rPr>
        <w:t xml:space="preserve"> de la cárcel, al sacar a los internos hasta el patio interno los Guardias Nacionales empezaron a “sacar” a los que</w:t>
      </w:r>
      <w:r w:rsidR="00E62D9B">
        <w:rPr>
          <w:rFonts w:asciiTheme="majorHAnsi" w:hAnsiTheme="majorHAnsi"/>
          <w:sz w:val="20"/>
          <w:szCs w:val="20"/>
          <w:lang w:val="es-ES_tradnl"/>
        </w:rPr>
        <w:t xml:space="preserve"> les</w:t>
      </w:r>
      <w:r>
        <w:rPr>
          <w:rFonts w:asciiTheme="majorHAnsi" w:hAnsiTheme="majorHAnsi"/>
          <w:sz w:val="20"/>
          <w:szCs w:val="20"/>
          <w:lang w:val="es-ES_tradnl"/>
        </w:rPr>
        <w:t xml:space="preserve"> dijeron “delicios, ratas, sapos, entre ellos estaba Richard Núñez, el Vereco, […</w:t>
      </w:r>
      <w:r w:rsidR="000D351B">
        <w:rPr>
          <w:rFonts w:asciiTheme="majorHAnsi" w:hAnsiTheme="majorHAnsi"/>
          <w:sz w:val="20"/>
          <w:szCs w:val="20"/>
          <w:lang w:val="es-ES_tradnl"/>
        </w:rPr>
        <w:t>] Mataguardia</w:t>
      </w:r>
      <w:r>
        <w:rPr>
          <w:rFonts w:asciiTheme="majorHAnsi" w:hAnsiTheme="majorHAnsi"/>
          <w:sz w:val="20"/>
          <w:szCs w:val="20"/>
          <w:lang w:val="es-ES_tradnl"/>
        </w:rPr>
        <w:t>”</w:t>
      </w:r>
      <w:r>
        <w:rPr>
          <w:rStyle w:val="FootnoteReference"/>
          <w:rFonts w:asciiTheme="majorHAnsi" w:hAnsiTheme="majorHAnsi"/>
          <w:sz w:val="20"/>
          <w:szCs w:val="20"/>
          <w:lang w:val="es-ES_tradnl"/>
        </w:rPr>
        <w:footnoteReference w:id="55"/>
      </w:r>
      <w:r w:rsidR="000D351B">
        <w:rPr>
          <w:rFonts w:asciiTheme="majorHAnsi" w:hAnsiTheme="majorHAnsi"/>
          <w:sz w:val="20"/>
          <w:szCs w:val="20"/>
          <w:lang w:val="es-ES_tradnl"/>
        </w:rPr>
        <w:t xml:space="preserve">; </w:t>
      </w:r>
      <w:r w:rsidR="00956F39">
        <w:rPr>
          <w:rFonts w:asciiTheme="majorHAnsi" w:hAnsiTheme="majorHAnsi"/>
          <w:sz w:val="20"/>
          <w:szCs w:val="20"/>
          <w:lang w:val="es-ES_tradnl"/>
        </w:rPr>
        <w:t>otro afirmó que</w:t>
      </w:r>
      <w:r w:rsidR="0094728D">
        <w:rPr>
          <w:rFonts w:asciiTheme="majorHAnsi" w:hAnsiTheme="majorHAnsi"/>
          <w:sz w:val="20"/>
          <w:szCs w:val="20"/>
          <w:lang w:val="es-ES_tradnl"/>
        </w:rPr>
        <w:t xml:space="preserve"> los GN</w:t>
      </w:r>
      <w:r w:rsidR="00956F39">
        <w:rPr>
          <w:rFonts w:asciiTheme="majorHAnsi" w:hAnsiTheme="majorHAnsi"/>
          <w:sz w:val="20"/>
          <w:szCs w:val="20"/>
          <w:lang w:val="es-ES_tradnl"/>
        </w:rPr>
        <w:t xml:space="preserve"> </w:t>
      </w:r>
      <w:r w:rsidR="000D351B">
        <w:rPr>
          <w:rFonts w:asciiTheme="majorHAnsi" w:hAnsiTheme="majorHAnsi"/>
          <w:sz w:val="20"/>
          <w:szCs w:val="20"/>
          <w:lang w:val="es-ES_tradnl"/>
        </w:rPr>
        <w:t>“dijeron que sacaran a todos los mata guardias, luego dijeron que mataran a esas ratas que nosotros no valíamos nada”</w:t>
      </w:r>
      <w:r w:rsidR="000D351B">
        <w:rPr>
          <w:rStyle w:val="FootnoteReference"/>
          <w:rFonts w:asciiTheme="majorHAnsi" w:hAnsiTheme="majorHAnsi"/>
          <w:sz w:val="20"/>
          <w:szCs w:val="20"/>
          <w:lang w:val="es-ES_tradnl"/>
        </w:rPr>
        <w:footnoteReference w:id="56"/>
      </w:r>
      <w:r>
        <w:rPr>
          <w:rFonts w:asciiTheme="majorHAnsi" w:hAnsiTheme="majorHAnsi"/>
          <w:sz w:val="20"/>
          <w:szCs w:val="20"/>
          <w:lang w:val="es-ES_tradnl"/>
        </w:rPr>
        <w:t>.</w:t>
      </w:r>
      <w:r w:rsidR="000D351B">
        <w:rPr>
          <w:rFonts w:asciiTheme="majorHAnsi" w:hAnsiTheme="majorHAnsi"/>
          <w:sz w:val="20"/>
          <w:szCs w:val="20"/>
          <w:lang w:val="es-ES_tradnl"/>
        </w:rPr>
        <w:t xml:space="preserve"> </w:t>
      </w:r>
      <w:r w:rsidR="002567F8" w:rsidRPr="002567F8">
        <w:rPr>
          <w:rFonts w:asciiTheme="majorHAnsi" w:hAnsiTheme="majorHAnsi"/>
          <w:sz w:val="20"/>
          <w:szCs w:val="20"/>
          <w:lang w:val="es-US"/>
        </w:rPr>
        <w:t xml:space="preserve">Los Mataguardia </w:t>
      </w:r>
      <w:r w:rsidR="002567F8">
        <w:rPr>
          <w:rFonts w:asciiTheme="majorHAnsi" w:hAnsiTheme="majorHAnsi"/>
          <w:sz w:val="20"/>
          <w:szCs w:val="20"/>
          <w:lang w:val="es-US"/>
        </w:rPr>
        <w:t>“</w:t>
      </w:r>
      <w:r w:rsidR="002567F8" w:rsidRPr="002567F8">
        <w:rPr>
          <w:rFonts w:asciiTheme="majorHAnsi" w:hAnsiTheme="majorHAnsi"/>
          <w:sz w:val="20"/>
          <w:szCs w:val="20"/>
          <w:lang w:val="es-US"/>
        </w:rPr>
        <w:t>eran personas que estaban detenidos y que habían matado a un guardia en un robo, eran tres, Javier Mataguardia, Mato Mataguardia y Renzo Mataguardia, el único que quedó vivo fue Renzo Mataguardia”</w:t>
      </w:r>
      <w:r w:rsidR="002567F8">
        <w:rPr>
          <w:rStyle w:val="FootnoteReference"/>
          <w:rFonts w:asciiTheme="majorHAnsi" w:hAnsiTheme="majorHAnsi"/>
          <w:sz w:val="20"/>
          <w:szCs w:val="20"/>
          <w:lang w:val="es-US"/>
        </w:rPr>
        <w:footnoteReference w:id="57"/>
      </w:r>
      <w:r w:rsidR="002567F8" w:rsidRPr="002567F8">
        <w:rPr>
          <w:rFonts w:asciiTheme="majorHAnsi" w:hAnsiTheme="majorHAnsi"/>
          <w:sz w:val="20"/>
          <w:szCs w:val="20"/>
          <w:lang w:val="es-US"/>
        </w:rPr>
        <w:t xml:space="preserve">. </w:t>
      </w:r>
      <w:r w:rsidR="00956F39">
        <w:rPr>
          <w:rFonts w:asciiTheme="majorHAnsi" w:hAnsiTheme="majorHAnsi"/>
          <w:sz w:val="20"/>
          <w:szCs w:val="20"/>
          <w:lang w:val="es-ES_tradnl"/>
        </w:rPr>
        <w:t>Un interno afirmó</w:t>
      </w:r>
      <w:r w:rsidR="000D351B">
        <w:rPr>
          <w:rFonts w:asciiTheme="majorHAnsi" w:hAnsiTheme="majorHAnsi"/>
          <w:sz w:val="20"/>
          <w:szCs w:val="20"/>
          <w:lang w:val="es-ES_tradnl"/>
        </w:rPr>
        <w:t xml:space="preserve"> que “Mato Mataguardia” fue el primer muerto, “el teniente Puerta le dijo cállate maldito y le propin[ó] los disparos delante de todo el mundo [con] una nueve milímetros”</w:t>
      </w:r>
      <w:r w:rsidR="000D351B">
        <w:rPr>
          <w:rStyle w:val="FootnoteReference"/>
          <w:rFonts w:asciiTheme="majorHAnsi" w:hAnsiTheme="majorHAnsi"/>
          <w:sz w:val="20"/>
          <w:szCs w:val="20"/>
          <w:lang w:val="es-ES_tradnl"/>
        </w:rPr>
        <w:footnoteReference w:id="58"/>
      </w:r>
      <w:r w:rsidR="000D351B">
        <w:rPr>
          <w:rFonts w:asciiTheme="majorHAnsi" w:hAnsiTheme="majorHAnsi"/>
          <w:sz w:val="20"/>
          <w:szCs w:val="20"/>
          <w:lang w:val="es-ES_tradnl"/>
        </w:rPr>
        <w:t xml:space="preserve">. </w:t>
      </w:r>
    </w:p>
    <w:p w14:paraId="02C427BA" w14:textId="77777777" w:rsidR="002567F8" w:rsidRDefault="002567F8" w:rsidP="002567F8">
      <w:pPr>
        <w:pStyle w:val="ListParagraph"/>
        <w:rPr>
          <w:rFonts w:asciiTheme="majorHAnsi" w:hAnsiTheme="majorHAnsi"/>
          <w:sz w:val="20"/>
          <w:szCs w:val="20"/>
          <w:lang w:val="es-ES_tradnl"/>
        </w:rPr>
      </w:pPr>
    </w:p>
    <w:p w14:paraId="033252E3" w14:textId="094A3C98" w:rsidR="000D351B" w:rsidRDefault="000D351B" w:rsidP="00E62D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Se afirma que dos policías, “el pequeño Juan” y “Julio” mataron al “Vereco”</w:t>
      </w:r>
      <w:r>
        <w:rPr>
          <w:rStyle w:val="FootnoteReference"/>
          <w:rFonts w:asciiTheme="majorHAnsi" w:hAnsiTheme="majorHAnsi"/>
          <w:sz w:val="20"/>
          <w:szCs w:val="20"/>
          <w:lang w:val="es-ES_tradnl"/>
        </w:rPr>
        <w:footnoteReference w:id="59"/>
      </w:r>
      <w:r>
        <w:rPr>
          <w:rFonts w:asciiTheme="majorHAnsi" w:hAnsiTheme="majorHAnsi"/>
          <w:sz w:val="20"/>
          <w:szCs w:val="20"/>
          <w:lang w:val="es-ES_tradnl"/>
        </w:rPr>
        <w:t>.</w:t>
      </w:r>
      <w:r w:rsidR="003C52A6">
        <w:rPr>
          <w:rFonts w:asciiTheme="majorHAnsi" w:hAnsiTheme="majorHAnsi"/>
          <w:sz w:val="20"/>
          <w:szCs w:val="20"/>
          <w:lang w:val="es-ES_tradnl"/>
        </w:rPr>
        <w:t xml:space="preserve"> </w:t>
      </w:r>
      <w:r w:rsidR="00956F39">
        <w:rPr>
          <w:rFonts w:asciiTheme="majorHAnsi" w:hAnsiTheme="majorHAnsi"/>
          <w:sz w:val="20"/>
          <w:szCs w:val="20"/>
          <w:lang w:val="es-ES_tradnl"/>
        </w:rPr>
        <w:t xml:space="preserve">Otro interno agregó, </w:t>
      </w:r>
      <w:r w:rsidR="003C52A6">
        <w:rPr>
          <w:rFonts w:asciiTheme="majorHAnsi" w:hAnsiTheme="majorHAnsi"/>
          <w:sz w:val="20"/>
          <w:szCs w:val="20"/>
          <w:lang w:val="es-ES_tradnl"/>
        </w:rPr>
        <w:t>“</w:t>
      </w:r>
      <w:r w:rsidR="003C52A6" w:rsidRPr="003C52A6">
        <w:rPr>
          <w:rFonts w:asciiTheme="majorHAnsi" w:hAnsiTheme="majorHAnsi"/>
          <w:sz w:val="20"/>
          <w:szCs w:val="20"/>
          <w:lang w:val="es-CO"/>
        </w:rPr>
        <w:t xml:space="preserve">Julio llegó </w:t>
      </w:r>
      <w:r w:rsidR="007235F2">
        <w:rPr>
          <w:rFonts w:asciiTheme="majorHAnsi" w:hAnsiTheme="majorHAnsi"/>
          <w:sz w:val="20"/>
          <w:szCs w:val="20"/>
          <w:lang w:val="es-CO"/>
        </w:rPr>
        <w:t>[</w:t>
      </w:r>
      <w:r w:rsidR="007235F2" w:rsidRPr="00C34F64">
        <w:rPr>
          <w:rFonts w:asciiTheme="majorHAnsi" w:hAnsiTheme="majorHAnsi"/>
          <w:sz w:val="20"/>
          <w:szCs w:val="20"/>
          <w:lang w:val="es-ES_tradnl"/>
        </w:rPr>
        <w:t>cerca</w:t>
      </w:r>
      <w:r w:rsidR="007235F2">
        <w:rPr>
          <w:rFonts w:asciiTheme="majorHAnsi" w:hAnsiTheme="majorHAnsi"/>
          <w:sz w:val="20"/>
          <w:szCs w:val="20"/>
          <w:lang w:val="es-CO"/>
        </w:rPr>
        <w:t xml:space="preserve"> de la capilla de la virgen]</w:t>
      </w:r>
      <w:r w:rsidR="003C52A6" w:rsidRPr="003C52A6">
        <w:rPr>
          <w:rFonts w:asciiTheme="majorHAnsi" w:hAnsiTheme="majorHAnsi"/>
          <w:sz w:val="20"/>
          <w:szCs w:val="20"/>
          <w:lang w:val="es-CO"/>
        </w:rPr>
        <w:t xml:space="preserve"> donde </w:t>
      </w:r>
      <w:r w:rsidR="002567F8">
        <w:rPr>
          <w:rFonts w:asciiTheme="majorHAnsi" w:hAnsiTheme="majorHAnsi"/>
          <w:sz w:val="20"/>
          <w:szCs w:val="20"/>
          <w:lang w:val="es-CO"/>
        </w:rPr>
        <w:t>[está]</w:t>
      </w:r>
      <w:r w:rsidR="003C52A6" w:rsidRPr="003C52A6">
        <w:rPr>
          <w:rFonts w:asciiTheme="majorHAnsi" w:hAnsiTheme="majorHAnsi"/>
          <w:sz w:val="20"/>
          <w:szCs w:val="20"/>
          <w:lang w:val="es-CO"/>
        </w:rPr>
        <w:t xml:space="preserve"> el área administrativa y le dio dos disparos en la cabeza al Vereco con un 38. [El Vereco] esta</w:t>
      </w:r>
      <w:r w:rsidR="002567F8">
        <w:rPr>
          <w:rFonts w:asciiTheme="majorHAnsi" w:hAnsiTheme="majorHAnsi"/>
          <w:sz w:val="20"/>
          <w:szCs w:val="20"/>
          <w:lang w:val="es-CO"/>
        </w:rPr>
        <w:t>ba desnudo porque lo habían tra[í]</w:t>
      </w:r>
      <w:r w:rsidR="003C52A6" w:rsidRPr="003C52A6">
        <w:rPr>
          <w:rFonts w:asciiTheme="majorHAnsi" w:hAnsiTheme="majorHAnsi"/>
          <w:sz w:val="20"/>
          <w:szCs w:val="20"/>
          <w:lang w:val="es-CO"/>
        </w:rPr>
        <w:t>do del campo</w:t>
      </w:r>
      <w:r w:rsidR="003C52A6">
        <w:rPr>
          <w:rFonts w:asciiTheme="majorHAnsi" w:hAnsiTheme="majorHAnsi"/>
          <w:sz w:val="20"/>
          <w:szCs w:val="20"/>
          <w:lang w:val="es-CO"/>
        </w:rPr>
        <w:t>”</w:t>
      </w:r>
      <w:r w:rsidR="003C52A6">
        <w:rPr>
          <w:rStyle w:val="FootnoteReference"/>
          <w:rFonts w:asciiTheme="majorHAnsi" w:hAnsiTheme="majorHAnsi"/>
          <w:sz w:val="20"/>
          <w:szCs w:val="20"/>
          <w:lang w:val="es-CO"/>
        </w:rPr>
        <w:footnoteReference w:id="60"/>
      </w:r>
      <w:r w:rsidR="003C52A6">
        <w:rPr>
          <w:rFonts w:asciiTheme="majorHAnsi" w:hAnsiTheme="majorHAnsi"/>
          <w:sz w:val="20"/>
          <w:szCs w:val="20"/>
          <w:lang w:val="es-CO"/>
        </w:rPr>
        <w:t>.</w:t>
      </w:r>
    </w:p>
    <w:p w14:paraId="4A253129" w14:textId="77777777" w:rsidR="00415F58" w:rsidRDefault="00415F58" w:rsidP="00415F58">
      <w:pPr>
        <w:pStyle w:val="ListParagraph"/>
        <w:rPr>
          <w:rFonts w:asciiTheme="majorHAnsi" w:hAnsiTheme="majorHAnsi"/>
          <w:sz w:val="20"/>
          <w:szCs w:val="20"/>
          <w:lang w:val="es-ES_tradnl"/>
        </w:rPr>
      </w:pPr>
    </w:p>
    <w:p w14:paraId="4B0A34B8" w14:textId="32D0683E" w:rsidR="000D351B" w:rsidRPr="000D351B" w:rsidRDefault="00956F39" w:rsidP="00E62D9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L</w:t>
      </w:r>
      <w:r w:rsidR="000D351B">
        <w:rPr>
          <w:rFonts w:asciiTheme="majorHAnsi" w:hAnsiTheme="majorHAnsi"/>
          <w:sz w:val="20"/>
          <w:szCs w:val="20"/>
          <w:lang w:val="es-ES_tradnl"/>
        </w:rPr>
        <w:t xml:space="preserve">a CIDH carece de elementos para determinar a quién corresponde </w:t>
      </w:r>
      <w:r>
        <w:rPr>
          <w:rFonts w:asciiTheme="majorHAnsi" w:hAnsiTheme="majorHAnsi"/>
          <w:sz w:val="20"/>
          <w:szCs w:val="20"/>
          <w:lang w:val="es-ES_tradnl"/>
        </w:rPr>
        <w:t>el</w:t>
      </w:r>
      <w:r w:rsidR="000D351B">
        <w:rPr>
          <w:rFonts w:asciiTheme="majorHAnsi" w:hAnsiTheme="majorHAnsi"/>
          <w:sz w:val="20"/>
          <w:szCs w:val="20"/>
          <w:lang w:val="es-ES_tradnl"/>
        </w:rPr>
        <w:t xml:space="preserve"> apodo</w:t>
      </w:r>
      <w:r>
        <w:rPr>
          <w:rFonts w:asciiTheme="majorHAnsi" w:hAnsiTheme="majorHAnsi"/>
          <w:sz w:val="20"/>
          <w:szCs w:val="20"/>
          <w:lang w:val="es-ES_tradnl"/>
        </w:rPr>
        <w:t xml:space="preserve"> “el Vereco”</w:t>
      </w:r>
      <w:r w:rsidR="007235F2">
        <w:rPr>
          <w:rStyle w:val="FootnoteReference"/>
          <w:rFonts w:asciiTheme="majorHAnsi" w:hAnsiTheme="majorHAnsi"/>
          <w:sz w:val="20"/>
          <w:szCs w:val="20"/>
          <w:lang w:val="es-ES_tradnl"/>
        </w:rPr>
        <w:footnoteReference w:id="61"/>
      </w:r>
      <w:r w:rsidR="000D351B">
        <w:rPr>
          <w:rFonts w:asciiTheme="majorHAnsi" w:hAnsiTheme="majorHAnsi"/>
          <w:sz w:val="20"/>
          <w:szCs w:val="20"/>
          <w:lang w:val="es-ES_tradnl"/>
        </w:rPr>
        <w:t xml:space="preserve">. Respecto de la identidad de los tres “Mataguardia”, hay indicios </w:t>
      </w:r>
      <w:r w:rsidR="00DD34BA">
        <w:rPr>
          <w:rFonts w:asciiTheme="majorHAnsi" w:hAnsiTheme="majorHAnsi"/>
          <w:sz w:val="20"/>
          <w:szCs w:val="20"/>
          <w:lang w:val="es-ES_tradnl"/>
        </w:rPr>
        <w:t xml:space="preserve">de </w:t>
      </w:r>
      <w:r w:rsidR="000D351B">
        <w:rPr>
          <w:rFonts w:asciiTheme="majorHAnsi" w:hAnsiTheme="majorHAnsi"/>
          <w:sz w:val="20"/>
          <w:szCs w:val="20"/>
          <w:lang w:val="es-ES_tradnl"/>
        </w:rPr>
        <w:t xml:space="preserve">que Orangel José Figueroa se apodaba “Mataguardia” por encontrarse </w:t>
      </w:r>
      <w:r w:rsidR="000D351B" w:rsidRPr="00A54E9E">
        <w:rPr>
          <w:rFonts w:asciiTheme="majorHAnsi" w:hAnsiTheme="majorHAnsi"/>
          <w:sz w:val="20"/>
          <w:szCs w:val="20"/>
          <w:lang w:val="es-CO"/>
        </w:rPr>
        <w:t>preso por el presunto homicidio de un Guardia en la calle</w:t>
      </w:r>
      <w:r w:rsidR="007235F2">
        <w:rPr>
          <w:rStyle w:val="FootnoteReference"/>
          <w:rFonts w:asciiTheme="majorHAnsi" w:hAnsiTheme="majorHAnsi"/>
          <w:sz w:val="20"/>
          <w:szCs w:val="20"/>
          <w:lang w:val="es-ES_tradnl"/>
        </w:rPr>
        <w:footnoteReference w:id="62"/>
      </w:r>
      <w:r w:rsidR="000D351B">
        <w:rPr>
          <w:rFonts w:asciiTheme="majorHAnsi" w:hAnsiTheme="majorHAnsi"/>
          <w:sz w:val="20"/>
          <w:szCs w:val="20"/>
          <w:lang w:val="es-ES_tradnl"/>
        </w:rPr>
        <w:t xml:space="preserve">, pero se desconoce cuál de los “Mataguardia” </w:t>
      </w:r>
      <w:r w:rsidR="002567F8">
        <w:rPr>
          <w:rFonts w:asciiTheme="majorHAnsi" w:hAnsiTheme="majorHAnsi"/>
          <w:sz w:val="20"/>
          <w:szCs w:val="20"/>
          <w:lang w:val="es-ES_tradnl"/>
        </w:rPr>
        <w:t>sería</w:t>
      </w:r>
      <w:r w:rsidR="000D351B">
        <w:rPr>
          <w:rFonts w:asciiTheme="majorHAnsi" w:hAnsiTheme="majorHAnsi"/>
          <w:sz w:val="20"/>
          <w:szCs w:val="20"/>
          <w:lang w:val="es-ES_tradnl"/>
        </w:rPr>
        <w:t>.</w:t>
      </w:r>
    </w:p>
    <w:p w14:paraId="373127AA" w14:textId="77777777" w:rsidR="000D351B" w:rsidRDefault="000D351B" w:rsidP="000D351B">
      <w:pPr>
        <w:pStyle w:val="ListParagraph"/>
        <w:rPr>
          <w:rFonts w:asciiTheme="majorHAnsi" w:hAnsiTheme="majorHAnsi"/>
          <w:sz w:val="20"/>
          <w:szCs w:val="20"/>
          <w:lang w:val="es-ES_tradnl"/>
        </w:rPr>
      </w:pPr>
    </w:p>
    <w:p w14:paraId="1C3CEF29" w14:textId="1377B986" w:rsidR="00AC2CA4" w:rsidRDefault="007235F2" w:rsidP="00DD3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Los testimonios concuerdan que el </w:t>
      </w:r>
      <w:r w:rsidR="00956F39">
        <w:rPr>
          <w:rFonts w:asciiTheme="majorHAnsi" w:hAnsiTheme="majorHAnsi"/>
          <w:sz w:val="20"/>
          <w:szCs w:val="20"/>
          <w:lang w:val="es-ES_tradnl"/>
        </w:rPr>
        <w:t>Guardia Nacional</w:t>
      </w:r>
      <w:r>
        <w:rPr>
          <w:rFonts w:asciiTheme="majorHAnsi" w:hAnsiTheme="majorHAnsi"/>
          <w:sz w:val="20"/>
          <w:szCs w:val="20"/>
          <w:lang w:val="es-ES_tradnl"/>
        </w:rPr>
        <w:t xml:space="preserve"> Belisario, apodado “Planetario”, mató a Pedr</w:t>
      </w:r>
      <w:r w:rsidR="00AC2CA4">
        <w:rPr>
          <w:rFonts w:asciiTheme="majorHAnsi" w:hAnsiTheme="majorHAnsi"/>
          <w:sz w:val="20"/>
          <w:szCs w:val="20"/>
          <w:lang w:val="es-ES_tradnl"/>
        </w:rPr>
        <w:t>o</w:t>
      </w:r>
      <w:r w:rsidR="00956F39">
        <w:rPr>
          <w:rFonts w:asciiTheme="majorHAnsi" w:hAnsiTheme="majorHAnsi"/>
          <w:sz w:val="20"/>
          <w:szCs w:val="20"/>
          <w:lang w:val="es-ES_tradnl"/>
        </w:rPr>
        <w:t xml:space="preserve"> López</w:t>
      </w:r>
      <w:r w:rsidR="000D351B">
        <w:rPr>
          <w:rFonts w:asciiTheme="majorHAnsi" w:hAnsiTheme="majorHAnsi"/>
          <w:sz w:val="20"/>
          <w:szCs w:val="20"/>
          <w:lang w:val="es-ES_tradnl"/>
        </w:rPr>
        <w:t xml:space="preserve"> Chaurán</w:t>
      </w:r>
      <w:r>
        <w:rPr>
          <w:rStyle w:val="FootnoteReference"/>
          <w:rFonts w:asciiTheme="majorHAnsi" w:hAnsiTheme="majorHAnsi"/>
          <w:sz w:val="20"/>
          <w:szCs w:val="20"/>
          <w:lang w:val="es-ES_tradnl"/>
        </w:rPr>
        <w:footnoteReference w:id="63"/>
      </w:r>
      <w:r>
        <w:rPr>
          <w:rFonts w:asciiTheme="majorHAnsi" w:hAnsiTheme="majorHAnsi"/>
          <w:sz w:val="20"/>
          <w:szCs w:val="20"/>
          <w:lang w:val="es-ES_tradnl"/>
        </w:rPr>
        <w:t>.</w:t>
      </w:r>
      <w:r w:rsidR="00B42997">
        <w:rPr>
          <w:rFonts w:asciiTheme="majorHAnsi" w:hAnsiTheme="majorHAnsi"/>
          <w:sz w:val="20"/>
          <w:szCs w:val="20"/>
          <w:lang w:val="es-ES_tradnl"/>
        </w:rPr>
        <w:t xml:space="preserve"> </w:t>
      </w:r>
      <w:r w:rsidR="00956F39">
        <w:rPr>
          <w:rFonts w:asciiTheme="majorHAnsi" w:hAnsiTheme="majorHAnsi"/>
          <w:sz w:val="20"/>
          <w:szCs w:val="20"/>
          <w:lang w:val="es-ES_tradnl"/>
        </w:rPr>
        <w:t>U</w:t>
      </w:r>
      <w:r w:rsidR="00C31160">
        <w:rPr>
          <w:rFonts w:asciiTheme="majorHAnsi" w:hAnsiTheme="majorHAnsi"/>
          <w:sz w:val="20"/>
          <w:szCs w:val="20"/>
          <w:lang w:val="es-ES_tradnl"/>
        </w:rPr>
        <w:t>n</w:t>
      </w:r>
      <w:r w:rsidR="00893097">
        <w:rPr>
          <w:rFonts w:asciiTheme="majorHAnsi" w:hAnsiTheme="majorHAnsi"/>
          <w:sz w:val="20"/>
          <w:szCs w:val="20"/>
          <w:lang w:val="es-ES_tradnl"/>
        </w:rPr>
        <w:t xml:space="preserve"> </w:t>
      </w:r>
      <w:r w:rsidR="00956F39">
        <w:rPr>
          <w:rFonts w:asciiTheme="majorHAnsi" w:hAnsiTheme="majorHAnsi"/>
          <w:sz w:val="20"/>
          <w:szCs w:val="20"/>
          <w:lang w:val="es-ES_tradnl"/>
        </w:rPr>
        <w:t>interno</w:t>
      </w:r>
      <w:r w:rsidR="00893097">
        <w:rPr>
          <w:rFonts w:asciiTheme="majorHAnsi" w:hAnsiTheme="majorHAnsi"/>
          <w:sz w:val="20"/>
          <w:szCs w:val="20"/>
          <w:lang w:val="es-ES_tradnl"/>
        </w:rPr>
        <w:t xml:space="preserve"> afirm</w:t>
      </w:r>
      <w:r w:rsidR="00956F39">
        <w:rPr>
          <w:rFonts w:asciiTheme="majorHAnsi" w:hAnsiTheme="majorHAnsi"/>
          <w:sz w:val="20"/>
          <w:szCs w:val="20"/>
          <w:lang w:val="es-ES_tradnl"/>
        </w:rPr>
        <w:t>ó</w:t>
      </w:r>
      <w:r w:rsidR="00893097">
        <w:rPr>
          <w:rFonts w:asciiTheme="majorHAnsi" w:hAnsiTheme="majorHAnsi"/>
          <w:sz w:val="20"/>
          <w:szCs w:val="20"/>
          <w:lang w:val="es-ES_tradnl"/>
        </w:rPr>
        <w:t xml:space="preserve"> que Belisario “</w:t>
      </w:r>
      <w:r w:rsidR="00893097" w:rsidRPr="00B40709">
        <w:rPr>
          <w:rFonts w:ascii="Cambria" w:hAnsi="Cambria"/>
          <w:color w:val="000000" w:themeColor="text1"/>
          <w:sz w:val="20"/>
          <w:szCs w:val="20"/>
          <w:lang w:val="es-VE"/>
        </w:rPr>
        <w:t xml:space="preserve">le dijo a Pedro Chaurán, que se parara, lo llevó hacia </w:t>
      </w:r>
      <w:r w:rsidR="00893097" w:rsidRPr="00B40709">
        <w:rPr>
          <w:rFonts w:ascii="Cambria" w:hAnsi="Cambria"/>
          <w:color w:val="000000" w:themeColor="text1"/>
          <w:sz w:val="20"/>
          <w:szCs w:val="20"/>
          <w:lang w:val="es-VE"/>
        </w:rPr>
        <w:lastRenderedPageBreak/>
        <w:t>la pared y se escucharon unos tiros y luego el mismo Belisario llamó a los vigilantes y le dijo que trajeran la camilla porque ya había terminado con ese mito</w:t>
      </w:r>
      <w:r w:rsidR="00893097">
        <w:rPr>
          <w:rFonts w:ascii="Cambria" w:hAnsi="Cambria"/>
          <w:color w:val="000000" w:themeColor="text1"/>
          <w:sz w:val="20"/>
          <w:szCs w:val="20"/>
          <w:lang w:val="es-VE"/>
        </w:rPr>
        <w:t>”</w:t>
      </w:r>
      <w:r w:rsidR="00893097">
        <w:rPr>
          <w:rStyle w:val="FootnoteReference"/>
          <w:rFonts w:ascii="Cambria" w:hAnsi="Cambria"/>
          <w:color w:val="000000" w:themeColor="text1"/>
          <w:sz w:val="20"/>
          <w:szCs w:val="20"/>
          <w:lang w:val="es-VE"/>
        </w:rPr>
        <w:footnoteReference w:id="64"/>
      </w:r>
      <w:r w:rsidR="00893097">
        <w:rPr>
          <w:rFonts w:ascii="Cambria" w:hAnsi="Cambria"/>
          <w:color w:val="000000" w:themeColor="text1"/>
          <w:sz w:val="20"/>
          <w:szCs w:val="20"/>
          <w:lang w:val="es-VE"/>
        </w:rPr>
        <w:t>.</w:t>
      </w:r>
      <w:r w:rsidR="00AC2CA4">
        <w:rPr>
          <w:rFonts w:asciiTheme="majorHAnsi" w:hAnsiTheme="majorHAnsi"/>
          <w:sz w:val="20"/>
          <w:szCs w:val="20"/>
          <w:lang w:val="es-ES_tradnl"/>
        </w:rPr>
        <w:t xml:space="preserve"> </w:t>
      </w:r>
    </w:p>
    <w:p w14:paraId="37E09B14" w14:textId="77777777" w:rsidR="00AC2CA4" w:rsidRDefault="00AC2CA4" w:rsidP="00AC2CA4">
      <w:pPr>
        <w:pStyle w:val="ListParagraph"/>
        <w:rPr>
          <w:rFonts w:asciiTheme="majorHAnsi" w:hAnsiTheme="majorHAnsi"/>
          <w:sz w:val="20"/>
          <w:szCs w:val="20"/>
          <w:lang w:val="es-ES_tradnl"/>
        </w:rPr>
      </w:pPr>
    </w:p>
    <w:p w14:paraId="4B468AC4" w14:textId="434A51C6" w:rsidR="00415F58" w:rsidRPr="00415F58" w:rsidRDefault="00893097" w:rsidP="00C34F6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893097">
        <w:rPr>
          <w:rFonts w:asciiTheme="majorHAnsi" w:hAnsiTheme="majorHAnsi"/>
          <w:sz w:val="20"/>
          <w:szCs w:val="20"/>
          <w:lang w:val="es-ES_tradnl"/>
        </w:rPr>
        <w:t xml:space="preserve">Respecto de la muerte de Orangel Figueroa, únicamente se cuenta con un extracto de testimonio que dice </w:t>
      </w:r>
      <w:r w:rsidRPr="00893097">
        <w:rPr>
          <w:rFonts w:ascii="Cambria" w:hAnsi="Cambria"/>
          <w:color w:val="000000" w:themeColor="text1"/>
          <w:sz w:val="20"/>
          <w:szCs w:val="20"/>
          <w:lang w:val="es-VE"/>
        </w:rPr>
        <w:t xml:space="preserve">“…uno de los policías sacó del grupo a un interno llamado Orangel, y el policía le efectuó tres disparos y un </w:t>
      </w:r>
      <w:r w:rsidRPr="00C34F64">
        <w:rPr>
          <w:rFonts w:asciiTheme="majorHAnsi" w:hAnsiTheme="majorHAnsi"/>
          <w:sz w:val="20"/>
          <w:szCs w:val="20"/>
          <w:lang w:val="es-ES_tradnl"/>
        </w:rPr>
        <w:t>teniente</w:t>
      </w:r>
      <w:r w:rsidRPr="00893097">
        <w:rPr>
          <w:rFonts w:ascii="Cambria" w:hAnsi="Cambria"/>
          <w:color w:val="000000" w:themeColor="text1"/>
          <w:sz w:val="20"/>
          <w:szCs w:val="20"/>
          <w:lang w:val="es-VE"/>
        </w:rPr>
        <w:t xml:space="preserve"> de la </w:t>
      </w:r>
      <w:r w:rsidR="008F4FF9">
        <w:rPr>
          <w:rFonts w:ascii="Cambria" w:hAnsi="Cambria"/>
          <w:color w:val="000000" w:themeColor="text1"/>
          <w:sz w:val="20"/>
          <w:szCs w:val="20"/>
          <w:lang w:val="es-VE"/>
        </w:rPr>
        <w:t>Guardia Nacional</w:t>
      </w:r>
      <w:r w:rsidRPr="00893097">
        <w:rPr>
          <w:rFonts w:ascii="Cambria" w:hAnsi="Cambria"/>
          <w:color w:val="000000" w:themeColor="text1"/>
          <w:sz w:val="20"/>
          <w:szCs w:val="20"/>
          <w:lang w:val="es-VE"/>
        </w:rPr>
        <w:t xml:space="preserve"> que desconozco el nombre le decía al policía que lo llevara hasta donde estaba y le </w:t>
      </w:r>
      <w:r w:rsidRPr="00C34F64">
        <w:rPr>
          <w:rFonts w:asciiTheme="majorHAnsi" w:hAnsiTheme="majorHAnsi"/>
          <w:sz w:val="20"/>
          <w:szCs w:val="20"/>
          <w:lang w:val="es-ES_tradnl"/>
        </w:rPr>
        <w:t>dio</w:t>
      </w:r>
      <w:r w:rsidRPr="00893097">
        <w:rPr>
          <w:rFonts w:ascii="Cambria" w:hAnsi="Cambria"/>
          <w:color w:val="000000" w:themeColor="text1"/>
          <w:sz w:val="20"/>
          <w:szCs w:val="20"/>
          <w:lang w:val="es-VE"/>
        </w:rPr>
        <w:t xml:space="preserve"> dos tiros en la cabeza y otro tiro en la espalda…”</w:t>
      </w:r>
      <w:r>
        <w:rPr>
          <w:rStyle w:val="FootnoteReference"/>
          <w:rFonts w:ascii="Cambria" w:hAnsi="Cambria"/>
          <w:color w:val="000000" w:themeColor="text1"/>
          <w:sz w:val="20"/>
          <w:szCs w:val="20"/>
          <w:lang w:val="es-VE"/>
        </w:rPr>
        <w:footnoteReference w:id="65"/>
      </w:r>
      <w:r>
        <w:rPr>
          <w:rFonts w:ascii="Cambria" w:hAnsi="Cambria"/>
          <w:color w:val="000000" w:themeColor="text1"/>
          <w:sz w:val="20"/>
          <w:szCs w:val="20"/>
          <w:lang w:val="es-VE"/>
        </w:rPr>
        <w:t>.</w:t>
      </w:r>
      <w:r>
        <w:rPr>
          <w:rFonts w:asciiTheme="majorHAnsi" w:hAnsiTheme="majorHAnsi"/>
          <w:sz w:val="20"/>
          <w:szCs w:val="20"/>
          <w:lang w:val="es-VE"/>
        </w:rPr>
        <w:t xml:space="preserve"> </w:t>
      </w:r>
      <w:r w:rsidR="00DA423E">
        <w:rPr>
          <w:rFonts w:asciiTheme="majorHAnsi" w:hAnsiTheme="majorHAnsi"/>
          <w:sz w:val="20"/>
          <w:szCs w:val="20"/>
          <w:lang w:val="es-ES_tradnl"/>
        </w:rPr>
        <w:t xml:space="preserve">Respecto de la muerte de Richard Núñez, se cuenta con el siguiente testimonio: </w:t>
      </w:r>
      <w:r w:rsidR="00415F58">
        <w:rPr>
          <w:rFonts w:asciiTheme="majorHAnsi" w:hAnsiTheme="majorHAnsi"/>
          <w:sz w:val="20"/>
          <w:szCs w:val="20"/>
          <w:lang w:val="es-ES_tradnl"/>
        </w:rPr>
        <w:t xml:space="preserve">“[A] Richard Núñez </w:t>
      </w:r>
      <w:r w:rsidR="00415F58" w:rsidRPr="00415F58">
        <w:rPr>
          <w:rFonts w:asciiTheme="majorHAnsi" w:hAnsiTheme="majorHAnsi"/>
          <w:sz w:val="20"/>
          <w:szCs w:val="20"/>
          <w:lang w:val="es-CO"/>
        </w:rPr>
        <w:t xml:space="preserve">lo pararon cuando salió de traslado estaba en observación, los </w:t>
      </w:r>
      <w:r w:rsidR="008F4FF9">
        <w:rPr>
          <w:rFonts w:asciiTheme="majorHAnsi" w:hAnsiTheme="majorHAnsi"/>
          <w:sz w:val="20"/>
          <w:szCs w:val="20"/>
          <w:lang w:val="es-CO"/>
        </w:rPr>
        <w:t>Guardias Nacionales</w:t>
      </w:r>
      <w:r w:rsidR="00415F58" w:rsidRPr="00415F58">
        <w:rPr>
          <w:rFonts w:asciiTheme="majorHAnsi" w:hAnsiTheme="majorHAnsi"/>
          <w:sz w:val="20"/>
          <w:szCs w:val="20"/>
          <w:lang w:val="es-CO"/>
        </w:rPr>
        <w:t xml:space="preserve"> lo pararon y le dieron los disparos al lado de nosotros, escuchamos seis disparos, le dieron en el pecho y en la cara. Le dispar</w:t>
      </w:r>
      <w:r w:rsidR="00CD3289">
        <w:rPr>
          <w:rFonts w:asciiTheme="majorHAnsi" w:hAnsiTheme="majorHAnsi"/>
          <w:sz w:val="20"/>
          <w:szCs w:val="20"/>
          <w:lang w:val="es-CO"/>
        </w:rPr>
        <w:t>ó</w:t>
      </w:r>
      <w:r w:rsidR="00415F58" w:rsidRPr="00415F58">
        <w:rPr>
          <w:rFonts w:asciiTheme="majorHAnsi" w:hAnsiTheme="majorHAnsi"/>
          <w:sz w:val="20"/>
          <w:szCs w:val="20"/>
          <w:lang w:val="es-CO"/>
        </w:rPr>
        <w:t xml:space="preserve"> un efectivo de la </w:t>
      </w:r>
      <w:r w:rsidR="008F4FF9">
        <w:rPr>
          <w:rFonts w:asciiTheme="majorHAnsi" w:hAnsiTheme="majorHAnsi"/>
          <w:sz w:val="20"/>
          <w:szCs w:val="20"/>
          <w:lang w:val="es-CO"/>
        </w:rPr>
        <w:t>Guardia Nacional,</w:t>
      </w:r>
      <w:r w:rsidR="00415F58" w:rsidRPr="00415F58">
        <w:rPr>
          <w:rFonts w:asciiTheme="majorHAnsi" w:hAnsiTheme="majorHAnsi"/>
          <w:sz w:val="20"/>
          <w:szCs w:val="20"/>
          <w:lang w:val="es-CO"/>
        </w:rPr>
        <w:t xml:space="preserve"> había uno que se llama Belisario</w:t>
      </w:r>
      <w:r w:rsidR="00415F58">
        <w:rPr>
          <w:rFonts w:asciiTheme="majorHAnsi" w:hAnsiTheme="majorHAnsi"/>
          <w:sz w:val="20"/>
          <w:szCs w:val="20"/>
          <w:lang w:val="es-CO"/>
        </w:rPr>
        <w:t>”</w:t>
      </w:r>
      <w:r w:rsidR="00415F58">
        <w:rPr>
          <w:rStyle w:val="FootnoteReference"/>
          <w:rFonts w:asciiTheme="majorHAnsi" w:hAnsiTheme="majorHAnsi"/>
          <w:sz w:val="20"/>
          <w:szCs w:val="20"/>
          <w:lang w:val="es-CO"/>
        </w:rPr>
        <w:footnoteReference w:id="66"/>
      </w:r>
      <w:r w:rsidR="00415F58">
        <w:rPr>
          <w:rFonts w:asciiTheme="majorHAnsi" w:hAnsiTheme="majorHAnsi"/>
          <w:sz w:val="20"/>
          <w:szCs w:val="20"/>
          <w:lang w:val="es-CO"/>
        </w:rPr>
        <w:t>.</w:t>
      </w:r>
    </w:p>
    <w:p w14:paraId="3D33184C" w14:textId="77777777" w:rsidR="00893097" w:rsidRDefault="00893097" w:rsidP="00C34F6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_tradnl"/>
        </w:rPr>
      </w:pPr>
    </w:p>
    <w:p w14:paraId="32AC1381" w14:textId="5D1BF0E8" w:rsidR="005C39D7" w:rsidRPr="001A22EE" w:rsidRDefault="00CD3289" w:rsidP="003D1F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Cambria" w:hAnsi="Cambria"/>
          <w:color w:val="000000" w:themeColor="text1"/>
          <w:sz w:val="20"/>
          <w:szCs w:val="20"/>
          <w:lang w:val="es-VE"/>
        </w:rPr>
        <w:t>En cuanto a</w:t>
      </w:r>
      <w:r w:rsidR="00D470C2">
        <w:rPr>
          <w:rFonts w:ascii="Cambria" w:hAnsi="Cambria"/>
          <w:color w:val="000000" w:themeColor="text1"/>
          <w:sz w:val="20"/>
          <w:szCs w:val="20"/>
          <w:lang w:val="es-VE"/>
        </w:rPr>
        <w:t xml:space="preserve"> todos estos hechos, la</w:t>
      </w:r>
      <w:r w:rsidR="005C39D7" w:rsidRPr="000C682F">
        <w:rPr>
          <w:rFonts w:ascii="Cambria" w:hAnsi="Cambria"/>
          <w:color w:val="000000" w:themeColor="text1"/>
          <w:sz w:val="20"/>
          <w:szCs w:val="20"/>
          <w:lang w:val="es-VE"/>
        </w:rPr>
        <w:t xml:space="preserve"> tesis </w:t>
      </w:r>
      <w:r w:rsidR="00D470C2">
        <w:rPr>
          <w:rFonts w:ascii="Cambria" w:hAnsi="Cambria"/>
          <w:color w:val="000000" w:themeColor="text1"/>
          <w:sz w:val="20"/>
          <w:szCs w:val="20"/>
          <w:lang w:val="es-VE"/>
        </w:rPr>
        <w:t xml:space="preserve">del Ministerio Público </w:t>
      </w:r>
      <w:r w:rsidR="005C39D7" w:rsidRPr="000C682F">
        <w:rPr>
          <w:rFonts w:ascii="Cambria" w:hAnsi="Cambria"/>
          <w:color w:val="000000" w:themeColor="text1"/>
          <w:sz w:val="20"/>
          <w:szCs w:val="20"/>
          <w:lang w:val="es-VE"/>
        </w:rPr>
        <w:t xml:space="preserve">es que quien mató a Orlando Olivares fue </w:t>
      </w:r>
      <w:r>
        <w:rPr>
          <w:rFonts w:ascii="Cambria" w:hAnsi="Cambria"/>
          <w:color w:val="000000" w:themeColor="text1"/>
          <w:sz w:val="20"/>
          <w:szCs w:val="20"/>
          <w:lang w:val="es-VE"/>
        </w:rPr>
        <w:t xml:space="preserve">el GN </w:t>
      </w:r>
      <w:r w:rsidR="005C39D7" w:rsidRPr="000C682F">
        <w:rPr>
          <w:rFonts w:ascii="Cambria" w:hAnsi="Cambria"/>
          <w:color w:val="000000" w:themeColor="text1"/>
          <w:sz w:val="20"/>
          <w:szCs w:val="20"/>
          <w:lang w:val="es-VE"/>
        </w:rPr>
        <w:t>Franchi</w:t>
      </w:r>
      <w:r w:rsidR="002567F8">
        <w:rPr>
          <w:rFonts w:ascii="Cambria" w:hAnsi="Cambria"/>
          <w:color w:val="000000" w:themeColor="text1"/>
          <w:sz w:val="20"/>
          <w:szCs w:val="20"/>
          <w:lang w:val="es-VE"/>
        </w:rPr>
        <w:t xml:space="preserve">; a Pedro Chaurán, </w:t>
      </w:r>
      <w:r>
        <w:rPr>
          <w:rFonts w:ascii="Cambria" w:hAnsi="Cambria"/>
          <w:color w:val="000000" w:themeColor="text1"/>
          <w:sz w:val="20"/>
          <w:szCs w:val="20"/>
          <w:lang w:val="es-VE"/>
        </w:rPr>
        <w:t xml:space="preserve">el GN </w:t>
      </w:r>
      <w:r w:rsidR="002567F8">
        <w:rPr>
          <w:rFonts w:ascii="Cambria" w:hAnsi="Cambria"/>
          <w:color w:val="000000" w:themeColor="text1"/>
          <w:sz w:val="20"/>
          <w:szCs w:val="20"/>
          <w:lang w:val="es-VE"/>
        </w:rPr>
        <w:t xml:space="preserve">Belisario; a </w:t>
      </w:r>
      <w:r>
        <w:rPr>
          <w:rFonts w:ascii="Cambria" w:hAnsi="Cambria"/>
          <w:color w:val="000000" w:themeColor="text1"/>
          <w:sz w:val="20"/>
          <w:szCs w:val="20"/>
          <w:lang w:val="es-VE"/>
        </w:rPr>
        <w:t>“</w:t>
      </w:r>
      <w:r w:rsidR="002567F8">
        <w:rPr>
          <w:rFonts w:ascii="Cambria" w:hAnsi="Cambria"/>
          <w:color w:val="000000" w:themeColor="text1"/>
          <w:sz w:val="20"/>
          <w:szCs w:val="20"/>
          <w:lang w:val="es-VE"/>
        </w:rPr>
        <w:t>Goyo</w:t>
      </w:r>
      <w:r>
        <w:rPr>
          <w:rFonts w:ascii="Cambria" w:hAnsi="Cambria"/>
          <w:color w:val="000000" w:themeColor="text1"/>
          <w:sz w:val="20"/>
          <w:szCs w:val="20"/>
          <w:lang w:val="es-VE"/>
        </w:rPr>
        <w:t>”</w:t>
      </w:r>
      <w:r w:rsidR="002567F8">
        <w:rPr>
          <w:rFonts w:ascii="Cambria" w:hAnsi="Cambria"/>
          <w:color w:val="000000" w:themeColor="text1"/>
          <w:sz w:val="20"/>
          <w:szCs w:val="20"/>
          <w:lang w:val="es-VE"/>
        </w:rPr>
        <w:t>, el capitán Campos;</w:t>
      </w:r>
      <w:r w:rsidR="005C39D7" w:rsidRPr="000C682F">
        <w:rPr>
          <w:rFonts w:ascii="Cambria" w:hAnsi="Cambria"/>
          <w:color w:val="000000" w:themeColor="text1"/>
          <w:sz w:val="20"/>
          <w:szCs w:val="20"/>
          <w:lang w:val="es-VE"/>
        </w:rPr>
        <w:t xml:space="preserve"> y a Orangel</w:t>
      </w:r>
      <w:r w:rsidR="00956F39">
        <w:rPr>
          <w:rFonts w:ascii="Cambria" w:hAnsi="Cambria"/>
          <w:color w:val="000000" w:themeColor="text1"/>
          <w:sz w:val="20"/>
          <w:szCs w:val="20"/>
          <w:lang w:val="es-VE"/>
        </w:rPr>
        <w:t xml:space="preserve"> Figueroa</w:t>
      </w:r>
      <w:r w:rsidR="005C39D7" w:rsidRPr="000C682F">
        <w:rPr>
          <w:rFonts w:ascii="Cambria" w:hAnsi="Cambria"/>
          <w:color w:val="000000" w:themeColor="text1"/>
          <w:sz w:val="20"/>
          <w:szCs w:val="20"/>
          <w:lang w:val="es-VE"/>
        </w:rPr>
        <w:t xml:space="preserve">, </w:t>
      </w:r>
      <w:r>
        <w:rPr>
          <w:rFonts w:ascii="Cambria" w:hAnsi="Cambria"/>
          <w:color w:val="000000" w:themeColor="text1"/>
          <w:sz w:val="20"/>
          <w:szCs w:val="20"/>
          <w:lang w:val="es-VE"/>
        </w:rPr>
        <w:t xml:space="preserve">el GN </w:t>
      </w:r>
      <w:r w:rsidR="005C39D7" w:rsidRPr="000C682F">
        <w:rPr>
          <w:rFonts w:ascii="Cambria" w:hAnsi="Cambria"/>
          <w:color w:val="000000" w:themeColor="text1"/>
          <w:sz w:val="20"/>
          <w:szCs w:val="20"/>
          <w:lang w:val="es-VE"/>
        </w:rPr>
        <w:t>Puerta</w:t>
      </w:r>
      <w:r w:rsidR="005C39D7">
        <w:rPr>
          <w:rStyle w:val="FootnoteReference"/>
          <w:rFonts w:ascii="Cambria" w:hAnsi="Cambria"/>
          <w:color w:val="000000" w:themeColor="text1"/>
          <w:sz w:val="20"/>
          <w:szCs w:val="20"/>
          <w:lang w:val="es-VE"/>
        </w:rPr>
        <w:footnoteReference w:id="67"/>
      </w:r>
      <w:r w:rsidR="005C39D7" w:rsidRPr="000C682F">
        <w:rPr>
          <w:rFonts w:ascii="Cambria" w:hAnsi="Cambria"/>
          <w:color w:val="000000" w:themeColor="text1"/>
          <w:sz w:val="20"/>
          <w:szCs w:val="20"/>
          <w:lang w:val="es-VE"/>
        </w:rPr>
        <w:t>.</w:t>
      </w:r>
      <w:r w:rsidR="001A22EE">
        <w:rPr>
          <w:rFonts w:ascii="Cambria" w:hAnsi="Cambria"/>
          <w:color w:val="000000" w:themeColor="text1"/>
          <w:sz w:val="20"/>
          <w:szCs w:val="20"/>
          <w:lang w:val="es-VE"/>
        </w:rPr>
        <w:t xml:space="preserve"> </w:t>
      </w:r>
      <w:r>
        <w:rPr>
          <w:rFonts w:ascii="Cambria" w:hAnsi="Cambria"/>
          <w:color w:val="000000" w:themeColor="text1"/>
          <w:sz w:val="20"/>
          <w:szCs w:val="20"/>
          <w:lang w:val="es-VE"/>
        </w:rPr>
        <w:t>E</w:t>
      </w:r>
      <w:r w:rsidR="001A22EE">
        <w:rPr>
          <w:rFonts w:ascii="Cambria" w:hAnsi="Cambria"/>
          <w:color w:val="000000" w:themeColor="text1"/>
          <w:sz w:val="20"/>
          <w:szCs w:val="20"/>
          <w:lang w:val="es-VE"/>
        </w:rPr>
        <w:t xml:space="preserve">l Estado informó que a raíz de la investigación llevada a cabo, “se desprende la </w:t>
      </w:r>
      <w:r w:rsidR="001A22EE" w:rsidRPr="00C34F64">
        <w:rPr>
          <w:rFonts w:asciiTheme="majorHAnsi" w:hAnsiTheme="majorHAnsi"/>
          <w:sz w:val="20"/>
          <w:szCs w:val="20"/>
          <w:lang w:val="es-CO"/>
        </w:rPr>
        <w:t>responsabilidad</w:t>
      </w:r>
      <w:r w:rsidR="001A22EE">
        <w:rPr>
          <w:rFonts w:ascii="Cambria" w:hAnsi="Cambria"/>
          <w:color w:val="000000" w:themeColor="text1"/>
          <w:sz w:val="20"/>
          <w:szCs w:val="20"/>
          <w:lang w:val="es-VE"/>
        </w:rPr>
        <w:t xml:space="preserve"> [del] grupo de efectivos de la Guardia Nacional adscritos a la Segunda Compañía del Destacamento No. 81”, integrados por </w:t>
      </w:r>
      <w:r w:rsidR="00DA423E">
        <w:rPr>
          <w:rFonts w:ascii="Cambria" w:hAnsi="Cambria"/>
          <w:color w:val="000000" w:themeColor="text1"/>
          <w:sz w:val="20"/>
          <w:szCs w:val="20"/>
          <w:lang w:val="es-VE"/>
        </w:rPr>
        <w:t>los oficiales nombrados</w:t>
      </w:r>
      <w:r w:rsidR="001A22EE">
        <w:rPr>
          <w:rFonts w:ascii="Cambria" w:hAnsi="Cambria"/>
          <w:color w:val="000000" w:themeColor="text1"/>
          <w:sz w:val="20"/>
          <w:szCs w:val="20"/>
          <w:lang w:val="es-VE"/>
        </w:rPr>
        <w:t xml:space="preserve"> </w:t>
      </w:r>
      <w:r w:rsidR="00DA423E">
        <w:rPr>
          <w:rFonts w:ascii="Cambria" w:hAnsi="Cambria"/>
          <w:color w:val="000000" w:themeColor="text1"/>
          <w:sz w:val="20"/>
          <w:szCs w:val="20"/>
          <w:lang w:val="es-VE"/>
        </w:rPr>
        <w:t>“</w:t>
      </w:r>
      <w:r w:rsidR="001A22EE">
        <w:rPr>
          <w:rFonts w:ascii="Cambria" w:hAnsi="Cambria"/>
          <w:color w:val="000000" w:themeColor="text1"/>
          <w:sz w:val="20"/>
          <w:szCs w:val="20"/>
          <w:lang w:val="es-VE"/>
        </w:rPr>
        <w:t xml:space="preserve">[y] veinticinco efectivos”. </w:t>
      </w:r>
      <w:r w:rsidR="00C31160">
        <w:rPr>
          <w:rFonts w:ascii="Cambria" w:hAnsi="Cambria"/>
          <w:color w:val="000000" w:themeColor="text1"/>
          <w:sz w:val="20"/>
          <w:szCs w:val="20"/>
          <w:lang w:val="es-VE"/>
        </w:rPr>
        <w:t>Asimismo,</w:t>
      </w:r>
      <w:r w:rsidR="001A22EE">
        <w:rPr>
          <w:rFonts w:ascii="Cambria" w:hAnsi="Cambria"/>
          <w:color w:val="000000" w:themeColor="text1"/>
          <w:sz w:val="20"/>
          <w:szCs w:val="20"/>
          <w:lang w:val="es-VE"/>
        </w:rPr>
        <w:t xml:space="preserve"> </w:t>
      </w:r>
      <w:r w:rsidR="00C31160">
        <w:rPr>
          <w:rFonts w:ascii="Cambria" w:hAnsi="Cambria"/>
          <w:color w:val="000000" w:themeColor="text1"/>
          <w:sz w:val="20"/>
          <w:szCs w:val="20"/>
          <w:lang w:val="es-VE"/>
        </w:rPr>
        <w:t>“</w:t>
      </w:r>
      <w:r w:rsidR="001A22EE">
        <w:rPr>
          <w:rFonts w:ascii="Cambria" w:hAnsi="Cambria"/>
          <w:color w:val="000000" w:themeColor="text1"/>
          <w:sz w:val="20"/>
          <w:szCs w:val="20"/>
          <w:lang w:val="es-VE"/>
        </w:rPr>
        <w:t>emergen elementos de convicción que comprometen la responsabilidad penal</w:t>
      </w:r>
      <w:r w:rsidR="00C31160">
        <w:rPr>
          <w:rFonts w:ascii="Cambria" w:hAnsi="Cambria"/>
          <w:color w:val="000000" w:themeColor="text1"/>
          <w:sz w:val="20"/>
          <w:szCs w:val="20"/>
          <w:lang w:val="es-VE"/>
        </w:rPr>
        <w:t>”</w:t>
      </w:r>
      <w:r w:rsidR="001A22EE">
        <w:rPr>
          <w:rFonts w:ascii="Cambria" w:hAnsi="Cambria"/>
          <w:color w:val="000000" w:themeColor="text1"/>
          <w:sz w:val="20"/>
          <w:szCs w:val="20"/>
          <w:lang w:val="es-VE"/>
        </w:rPr>
        <w:t xml:space="preserve"> de </w:t>
      </w:r>
      <w:r w:rsidR="00C31160">
        <w:rPr>
          <w:rFonts w:ascii="Cambria" w:hAnsi="Cambria"/>
          <w:color w:val="000000" w:themeColor="text1"/>
          <w:sz w:val="20"/>
          <w:szCs w:val="20"/>
          <w:lang w:val="es-VE"/>
        </w:rPr>
        <w:t>los cuatro imputados en la causa</w:t>
      </w:r>
      <w:r w:rsidR="00C31160">
        <w:rPr>
          <w:rStyle w:val="FootnoteReference"/>
          <w:rFonts w:ascii="Cambria" w:hAnsi="Cambria"/>
          <w:color w:val="000000" w:themeColor="text1"/>
          <w:sz w:val="20"/>
          <w:szCs w:val="20"/>
          <w:lang w:val="es-VE"/>
        </w:rPr>
        <w:footnoteReference w:id="68"/>
      </w:r>
      <w:r w:rsidR="001A22EE">
        <w:rPr>
          <w:rFonts w:ascii="Cambria" w:hAnsi="Cambria"/>
          <w:color w:val="000000" w:themeColor="text1"/>
          <w:sz w:val="20"/>
          <w:szCs w:val="20"/>
          <w:lang w:val="es-VE"/>
        </w:rPr>
        <w:t>.</w:t>
      </w:r>
    </w:p>
    <w:p w14:paraId="037F9F1B" w14:textId="77777777" w:rsidR="001A22EE" w:rsidRDefault="001A22EE" w:rsidP="001A22EE">
      <w:pPr>
        <w:pStyle w:val="ListParagraph"/>
        <w:rPr>
          <w:rFonts w:asciiTheme="majorHAnsi" w:hAnsiTheme="majorHAnsi"/>
          <w:b/>
          <w:sz w:val="20"/>
          <w:szCs w:val="20"/>
          <w:lang w:val="es-ES_tradnl"/>
        </w:rPr>
      </w:pPr>
    </w:p>
    <w:p w14:paraId="72B882EF" w14:textId="5C6399B8" w:rsidR="001A22EE" w:rsidRPr="008422BB" w:rsidRDefault="001A22EE" w:rsidP="003D1FF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ES_tradnl"/>
        </w:rPr>
      </w:pPr>
      <w:r>
        <w:rPr>
          <w:rFonts w:asciiTheme="majorHAnsi" w:hAnsiTheme="majorHAnsi"/>
          <w:sz w:val="20"/>
          <w:szCs w:val="20"/>
          <w:lang w:val="es-ES_tradnl"/>
        </w:rPr>
        <w:t>U</w:t>
      </w:r>
      <w:r w:rsidR="00956F39">
        <w:rPr>
          <w:rFonts w:asciiTheme="majorHAnsi" w:hAnsiTheme="majorHAnsi"/>
          <w:sz w:val="20"/>
          <w:szCs w:val="20"/>
          <w:lang w:val="es-ES_tradnl"/>
        </w:rPr>
        <w:t>na nota de prensa precisó</w:t>
      </w:r>
      <w:r w:rsidRPr="00F97A27">
        <w:rPr>
          <w:rFonts w:asciiTheme="majorHAnsi" w:hAnsiTheme="majorHAnsi"/>
          <w:sz w:val="20"/>
          <w:szCs w:val="20"/>
          <w:lang w:val="es-ES_tradnl"/>
        </w:rPr>
        <w:t xml:space="preserve">: </w:t>
      </w:r>
      <w:r w:rsidRPr="00F97A27">
        <w:rPr>
          <w:rFonts w:asciiTheme="majorHAnsi" w:hAnsiTheme="majorHAnsi"/>
          <w:sz w:val="20"/>
          <w:szCs w:val="20"/>
          <w:lang w:val="es-CO"/>
        </w:rPr>
        <w:t xml:space="preserve">“Marichales, que tomó las gráficas de los presos muertos el 10 de </w:t>
      </w:r>
      <w:r w:rsidRPr="00C34F64">
        <w:rPr>
          <w:rFonts w:ascii="Cambria" w:hAnsi="Cambria"/>
          <w:color w:val="000000" w:themeColor="text1"/>
          <w:sz w:val="20"/>
          <w:szCs w:val="20"/>
          <w:lang w:val="es-VE"/>
        </w:rPr>
        <w:t>noviembre</w:t>
      </w:r>
      <w:r w:rsidRPr="00F97A27">
        <w:rPr>
          <w:rFonts w:asciiTheme="majorHAnsi" w:hAnsiTheme="majorHAnsi"/>
          <w:sz w:val="20"/>
          <w:szCs w:val="20"/>
          <w:lang w:val="es-CO"/>
        </w:rPr>
        <w:t xml:space="preserve"> en la cárcel, [dijo] [...] Me pareció extraño ver que estaban desnudos. Yo he visto algunos traslados de cadáveres por motines y siempre llegan vestidos. También me llamó la atención </w:t>
      </w:r>
      <w:r w:rsidR="00DA423E">
        <w:rPr>
          <w:rFonts w:asciiTheme="majorHAnsi" w:hAnsiTheme="majorHAnsi"/>
          <w:sz w:val="20"/>
          <w:szCs w:val="20"/>
          <w:lang w:val="es-CO"/>
        </w:rPr>
        <w:t xml:space="preserve">[la] </w:t>
      </w:r>
      <w:r w:rsidRPr="00F97A27">
        <w:rPr>
          <w:rFonts w:asciiTheme="majorHAnsi" w:hAnsiTheme="majorHAnsi"/>
          <w:sz w:val="20"/>
          <w:szCs w:val="20"/>
          <w:lang w:val="es-CO"/>
        </w:rPr>
        <w:t>cantidad de marcas de peinilla y perdigones que traían todos los cadáveres, y eso fue lo que traté de fotografiar. Enseguida pensé que no podía ser un enfrentamiento entre bandas”</w:t>
      </w:r>
      <w:r>
        <w:rPr>
          <w:rStyle w:val="FootnoteReference"/>
          <w:rFonts w:asciiTheme="majorHAnsi" w:hAnsiTheme="majorHAnsi"/>
          <w:sz w:val="20"/>
          <w:szCs w:val="20"/>
          <w:lang w:val="es-CO"/>
        </w:rPr>
        <w:footnoteReference w:id="69"/>
      </w:r>
      <w:r w:rsidRPr="00F97A27">
        <w:rPr>
          <w:rFonts w:asciiTheme="majorHAnsi" w:hAnsiTheme="majorHAnsi"/>
          <w:sz w:val="20"/>
          <w:szCs w:val="20"/>
          <w:lang w:val="es-CO"/>
        </w:rPr>
        <w:t>.</w:t>
      </w:r>
      <w:r w:rsidR="00522BEE">
        <w:rPr>
          <w:rFonts w:asciiTheme="majorHAnsi" w:hAnsiTheme="majorHAnsi"/>
          <w:sz w:val="20"/>
          <w:szCs w:val="20"/>
          <w:lang w:val="es-CO"/>
        </w:rPr>
        <w:t xml:space="preserve"> </w:t>
      </w:r>
      <w:r w:rsidR="00522BEE" w:rsidRPr="008422BB">
        <w:rPr>
          <w:rFonts w:asciiTheme="majorHAnsi" w:hAnsiTheme="majorHAnsi"/>
          <w:color w:val="000000" w:themeColor="text1"/>
          <w:sz w:val="20"/>
          <w:szCs w:val="20"/>
          <w:lang w:val="es-CO"/>
        </w:rPr>
        <w:t xml:space="preserve">No se cuenta con las fotografías. </w:t>
      </w:r>
    </w:p>
    <w:p w14:paraId="2B3357AC" w14:textId="77777777" w:rsidR="00D470C2" w:rsidRDefault="00D470C2" w:rsidP="00D470C2">
      <w:pPr>
        <w:pStyle w:val="ListParagraph"/>
        <w:rPr>
          <w:rFonts w:asciiTheme="majorHAnsi" w:hAnsiTheme="majorHAnsi"/>
          <w:b/>
          <w:sz w:val="20"/>
          <w:szCs w:val="20"/>
          <w:lang w:val="es-ES_tradnl"/>
        </w:rPr>
      </w:pPr>
    </w:p>
    <w:p w14:paraId="538A6AEE" w14:textId="4E1D3521" w:rsidR="009B4431" w:rsidRPr="00415F58" w:rsidRDefault="001A2AC9" w:rsidP="00C34F6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Esa tarde</w:t>
      </w:r>
      <w:r w:rsidR="00D470C2" w:rsidRPr="00D470C2">
        <w:rPr>
          <w:rFonts w:asciiTheme="majorHAnsi" w:hAnsiTheme="majorHAnsi"/>
          <w:sz w:val="20"/>
          <w:szCs w:val="20"/>
          <w:lang w:val="es-ES_tradnl"/>
        </w:rPr>
        <w:t>, se empezaron a efectuar traslados de los internos sobrevivientes hacia otras cárceles</w:t>
      </w:r>
      <w:r w:rsidR="00D470C2">
        <w:rPr>
          <w:rStyle w:val="FootnoteReference"/>
          <w:rFonts w:asciiTheme="majorHAnsi" w:hAnsiTheme="majorHAnsi"/>
          <w:sz w:val="20"/>
          <w:szCs w:val="20"/>
          <w:lang w:val="es-ES_tradnl"/>
        </w:rPr>
        <w:footnoteReference w:id="70"/>
      </w:r>
      <w:r w:rsidR="00D470C2" w:rsidRPr="00D470C2">
        <w:rPr>
          <w:rFonts w:asciiTheme="majorHAnsi" w:hAnsiTheme="majorHAnsi"/>
          <w:sz w:val="20"/>
          <w:szCs w:val="20"/>
          <w:lang w:val="es-ES_tradnl"/>
        </w:rPr>
        <w:t xml:space="preserve">. </w:t>
      </w:r>
      <w:r w:rsidR="00526D62">
        <w:rPr>
          <w:rFonts w:asciiTheme="majorHAnsi" w:hAnsiTheme="majorHAnsi"/>
          <w:sz w:val="20"/>
          <w:szCs w:val="20"/>
          <w:lang w:val="es-ES_tradnl"/>
        </w:rPr>
        <w:t xml:space="preserve">Algunos </w:t>
      </w:r>
      <w:r w:rsidR="00526D62" w:rsidRPr="00C34F64">
        <w:rPr>
          <w:rFonts w:ascii="Cambria" w:hAnsi="Cambria"/>
          <w:color w:val="000000" w:themeColor="text1"/>
          <w:sz w:val="20"/>
          <w:szCs w:val="20"/>
          <w:lang w:val="es-VE"/>
        </w:rPr>
        <w:t>denuncia</w:t>
      </w:r>
      <w:r w:rsidRPr="00C34F64">
        <w:rPr>
          <w:rFonts w:ascii="Cambria" w:hAnsi="Cambria"/>
          <w:color w:val="000000" w:themeColor="text1"/>
          <w:sz w:val="20"/>
          <w:szCs w:val="20"/>
          <w:lang w:val="es-VE"/>
        </w:rPr>
        <w:t>ro</w:t>
      </w:r>
      <w:r w:rsidR="00526D62" w:rsidRPr="00C34F64">
        <w:rPr>
          <w:rFonts w:ascii="Cambria" w:hAnsi="Cambria"/>
          <w:color w:val="000000" w:themeColor="text1"/>
          <w:sz w:val="20"/>
          <w:szCs w:val="20"/>
          <w:lang w:val="es-VE"/>
        </w:rPr>
        <w:t>n</w:t>
      </w:r>
      <w:r w:rsidR="00526D62">
        <w:rPr>
          <w:rFonts w:asciiTheme="majorHAnsi" w:hAnsiTheme="majorHAnsi"/>
          <w:sz w:val="20"/>
          <w:szCs w:val="20"/>
          <w:lang w:val="es-ES_tradnl"/>
        </w:rPr>
        <w:t xml:space="preserve"> que los hechos de violencia continuaron: “empezaron a salir traslados […] para Puente Ayala y la Pica, nos pusieron en el sol a recibir </w:t>
      </w:r>
      <w:r w:rsidR="00526D62" w:rsidRPr="00526D62">
        <w:rPr>
          <w:rFonts w:asciiTheme="majorHAnsi" w:hAnsiTheme="majorHAnsi"/>
          <w:sz w:val="20"/>
          <w:szCs w:val="20"/>
          <w:lang w:val="es-CO"/>
        </w:rPr>
        <w:t>patadas y peinillazos desnudos, a mí me pusieron el FAL en el cuello y cuando m</w:t>
      </w:r>
      <w:r w:rsidR="00804910">
        <w:rPr>
          <w:rFonts w:asciiTheme="majorHAnsi" w:hAnsiTheme="majorHAnsi"/>
          <w:sz w:val="20"/>
          <w:szCs w:val="20"/>
          <w:lang w:val="es-CO"/>
        </w:rPr>
        <w:t>e</w:t>
      </w:r>
      <w:r w:rsidR="00526D62" w:rsidRPr="00526D62">
        <w:rPr>
          <w:rFonts w:asciiTheme="majorHAnsi" w:hAnsiTheme="majorHAnsi"/>
          <w:sz w:val="20"/>
          <w:szCs w:val="20"/>
          <w:lang w:val="es-CO"/>
        </w:rPr>
        <w:t xml:space="preserve"> iban a matar no sé porque se arrepintió, será dios que lo paró”</w:t>
      </w:r>
      <w:r w:rsidR="00526D62">
        <w:rPr>
          <w:rStyle w:val="FootnoteReference"/>
          <w:rFonts w:asciiTheme="majorHAnsi" w:hAnsiTheme="majorHAnsi"/>
          <w:sz w:val="20"/>
          <w:szCs w:val="20"/>
          <w:lang w:val="es-CO"/>
        </w:rPr>
        <w:footnoteReference w:id="71"/>
      </w:r>
      <w:r w:rsidR="00526D62" w:rsidRPr="00526D62">
        <w:rPr>
          <w:rFonts w:asciiTheme="majorHAnsi" w:hAnsiTheme="majorHAnsi"/>
          <w:sz w:val="20"/>
          <w:szCs w:val="20"/>
          <w:lang w:val="es-CO"/>
        </w:rPr>
        <w:t xml:space="preserve">. </w:t>
      </w:r>
      <w:r w:rsidR="00D470C2" w:rsidRPr="00D470C2">
        <w:rPr>
          <w:rFonts w:asciiTheme="majorHAnsi" w:hAnsiTheme="majorHAnsi"/>
          <w:sz w:val="20"/>
          <w:szCs w:val="20"/>
          <w:lang w:val="es-ES_tradnl"/>
        </w:rPr>
        <w:t>Varios internos expresaron temor por sus vidas</w:t>
      </w:r>
      <w:r w:rsidR="002567F8">
        <w:rPr>
          <w:rFonts w:asciiTheme="majorHAnsi" w:hAnsiTheme="majorHAnsi"/>
          <w:sz w:val="20"/>
          <w:szCs w:val="20"/>
          <w:lang w:val="es-ES_tradnl"/>
        </w:rPr>
        <w:t xml:space="preserve"> luego de los hechos,</w:t>
      </w:r>
      <w:r w:rsidR="00D470C2" w:rsidRPr="00D470C2">
        <w:rPr>
          <w:rFonts w:asciiTheme="majorHAnsi" w:hAnsiTheme="majorHAnsi"/>
          <w:sz w:val="20"/>
          <w:szCs w:val="20"/>
          <w:lang w:val="es-ES_tradnl"/>
        </w:rPr>
        <w:t xml:space="preserve"> ya que ellos y sus familias habían sido amenazados por los Guardias Nacionales, y en particular por los tenientes Puerta y Franchi y el capitán Campos, razón por la que también expresaron temor al momento de rendir sus declaraciones</w:t>
      </w:r>
      <w:r w:rsidR="00D470C2">
        <w:rPr>
          <w:rStyle w:val="FootnoteReference"/>
          <w:rFonts w:asciiTheme="majorHAnsi" w:hAnsiTheme="majorHAnsi"/>
          <w:sz w:val="20"/>
          <w:szCs w:val="20"/>
          <w:lang w:val="es-ES_tradnl"/>
        </w:rPr>
        <w:footnoteReference w:id="72"/>
      </w:r>
      <w:r w:rsidR="00D470C2" w:rsidRPr="00D470C2">
        <w:rPr>
          <w:rFonts w:asciiTheme="majorHAnsi" w:hAnsiTheme="majorHAnsi"/>
          <w:sz w:val="20"/>
          <w:szCs w:val="20"/>
          <w:lang w:val="es-ES_tradnl"/>
        </w:rPr>
        <w:t>.</w:t>
      </w:r>
      <w:r w:rsidR="004E28DA">
        <w:rPr>
          <w:rFonts w:asciiTheme="majorHAnsi" w:hAnsiTheme="majorHAnsi"/>
          <w:sz w:val="20"/>
          <w:szCs w:val="20"/>
          <w:lang w:val="es-ES_tradnl"/>
        </w:rPr>
        <w:t xml:space="preserve"> </w:t>
      </w:r>
      <w:r w:rsidR="003C52A6">
        <w:rPr>
          <w:rFonts w:asciiTheme="majorHAnsi" w:hAnsiTheme="majorHAnsi"/>
          <w:sz w:val="20"/>
          <w:szCs w:val="20"/>
          <w:lang w:val="es-ES_tradnl"/>
        </w:rPr>
        <w:t>Incluso uno expres</w:t>
      </w:r>
      <w:r w:rsidR="002567F8">
        <w:rPr>
          <w:rFonts w:asciiTheme="majorHAnsi" w:hAnsiTheme="majorHAnsi"/>
          <w:sz w:val="20"/>
          <w:szCs w:val="20"/>
          <w:lang w:val="es-ES_tradnl"/>
        </w:rPr>
        <w:t>ó</w:t>
      </w:r>
      <w:r w:rsidR="003C52A6">
        <w:rPr>
          <w:rFonts w:asciiTheme="majorHAnsi" w:hAnsiTheme="majorHAnsi"/>
          <w:sz w:val="20"/>
          <w:szCs w:val="20"/>
          <w:lang w:val="es-ES_tradnl"/>
        </w:rPr>
        <w:t xml:space="preserve"> que “mi familia se tuvo que ir de Bolívar” a raíz de las amenazas recibidas</w:t>
      </w:r>
      <w:r w:rsidR="003C52A6">
        <w:rPr>
          <w:rStyle w:val="FootnoteReference"/>
          <w:rFonts w:asciiTheme="majorHAnsi" w:hAnsiTheme="majorHAnsi"/>
          <w:sz w:val="20"/>
          <w:szCs w:val="20"/>
          <w:lang w:val="es-ES_tradnl"/>
        </w:rPr>
        <w:footnoteReference w:id="73"/>
      </w:r>
      <w:r w:rsidR="003C52A6">
        <w:rPr>
          <w:rFonts w:asciiTheme="majorHAnsi" w:hAnsiTheme="majorHAnsi"/>
          <w:sz w:val="20"/>
          <w:szCs w:val="20"/>
          <w:lang w:val="es-ES_tradnl"/>
        </w:rPr>
        <w:t xml:space="preserve">. </w:t>
      </w:r>
      <w:r w:rsidR="00D470C2" w:rsidRPr="00D470C2">
        <w:rPr>
          <w:rFonts w:asciiTheme="majorHAnsi" w:hAnsiTheme="majorHAnsi"/>
          <w:sz w:val="20"/>
          <w:szCs w:val="20"/>
          <w:lang w:val="es-ES_tradnl"/>
        </w:rPr>
        <w:t>Asimismo, expresaron que no les practicaron reconocimientos médico legales sino hasta una semana después</w:t>
      </w:r>
      <w:r w:rsidR="00C739AB">
        <w:rPr>
          <w:rFonts w:asciiTheme="majorHAnsi" w:hAnsiTheme="majorHAnsi"/>
          <w:sz w:val="20"/>
          <w:szCs w:val="20"/>
          <w:lang w:val="es-ES_tradnl"/>
        </w:rPr>
        <w:t xml:space="preserve"> de los hechos</w:t>
      </w:r>
      <w:r w:rsidR="00D470C2">
        <w:rPr>
          <w:rStyle w:val="FootnoteReference"/>
          <w:rFonts w:asciiTheme="majorHAnsi" w:hAnsiTheme="majorHAnsi"/>
          <w:sz w:val="20"/>
          <w:szCs w:val="20"/>
          <w:lang w:val="es-ES_tradnl"/>
        </w:rPr>
        <w:footnoteReference w:id="74"/>
      </w:r>
      <w:r w:rsidR="00D470C2" w:rsidRPr="00D470C2">
        <w:rPr>
          <w:rFonts w:asciiTheme="majorHAnsi" w:hAnsiTheme="majorHAnsi"/>
          <w:sz w:val="20"/>
          <w:szCs w:val="20"/>
          <w:lang w:val="es-ES_tradnl"/>
        </w:rPr>
        <w:t xml:space="preserve">. </w:t>
      </w:r>
    </w:p>
    <w:p w14:paraId="2FBFB7A5" w14:textId="77777777" w:rsidR="00415F58" w:rsidRDefault="00415F58" w:rsidP="00415F58">
      <w:pPr>
        <w:pStyle w:val="ListParagraph"/>
        <w:rPr>
          <w:rFonts w:asciiTheme="majorHAnsi" w:hAnsiTheme="majorHAnsi"/>
          <w:b/>
          <w:sz w:val="20"/>
          <w:szCs w:val="20"/>
          <w:lang w:val="es-ES_tradnl"/>
        </w:rPr>
      </w:pPr>
    </w:p>
    <w:p w14:paraId="66621A51" w14:textId="112ECA20" w:rsidR="002567F8" w:rsidRDefault="007747CD" w:rsidP="003228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Respecto de los principales autores, </w:t>
      </w:r>
      <w:r w:rsidR="002567F8">
        <w:rPr>
          <w:rFonts w:asciiTheme="majorHAnsi" w:hAnsiTheme="majorHAnsi"/>
          <w:sz w:val="20"/>
          <w:szCs w:val="20"/>
          <w:lang w:val="es-ES_tradnl"/>
        </w:rPr>
        <w:t>indica</w:t>
      </w:r>
      <w:r w:rsidR="00C739AB">
        <w:rPr>
          <w:rFonts w:asciiTheme="majorHAnsi" w:hAnsiTheme="majorHAnsi"/>
          <w:sz w:val="20"/>
          <w:szCs w:val="20"/>
          <w:lang w:val="es-ES_tradnl"/>
        </w:rPr>
        <w:t>ro</w:t>
      </w:r>
      <w:r w:rsidR="002567F8">
        <w:rPr>
          <w:rFonts w:asciiTheme="majorHAnsi" w:hAnsiTheme="majorHAnsi"/>
          <w:sz w:val="20"/>
          <w:szCs w:val="20"/>
          <w:lang w:val="es-ES_tradnl"/>
        </w:rPr>
        <w:t>n que</w:t>
      </w:r>
      <w:r w:rsidR="004E28DA">
        <w:rPr>
          <w:rFonts w:asciiTheme="majorHAnsi" w:hAnsiTheme="majorHAnsi"/>
          <w:sz w:val="20"/>
          <w:szCs w:val="20"/>
          <w:lang w:val="es-ES_tradnl"/>
        </w:rPr>
        <w:t xml:space="preserve"> quien daba órdenes </w:t>
      </w:r>
      <w:r w:rsidR="002567F8">
        <w:rPr>
          <w:rFonts w:asciiTheme="majorHAnsi" w:hAnsiTheme="majorHAnsi"/>
          <w:sz w:val="20"/>
          <w:szCs w:val="20"/>
          <w:lang w:val="es-ES_tradnl"/>
        </w:rPr>
        <w:t xml:space="preserve">ese día </w:t>
      </w:r>
      <w:r w:rsidR="004E28DA">
        <w:rPr>
          <w:rFonts w:asciiTheme="majorHAnsi" w:hAnsiTheme="majorHAnsi"/>
          <w:sz w:val="20"/>
          <w:szCs w:val="20"/>
          <w:lang w:val="es-ES_tradnl"/>
        </w:rPr>
        <w:t>era “[u]</w:t>
      </w:r>
      <w:r w:rsidR="004E28DA" w:rsidRPr="004E28DA">
        <w:rPr>
          <w:rFonts w:asciiTheme="majorHAnsi" w:hAnsiTheme="majorHAnsi"/>
          <w:sz w:val="20"/>
          <w:szCs w:val="20"/>
          <w:lang w:val="es-CO"/>
        </w:rPr>
        <w:t xml:space="preserve">n capitán </w:t>
      </w:r>
      <w:r w:rsidR="004E28DA" w:rsidRPr="00C34F64">
        <w:rPr>
          <w:rFonts w:asciiTheme="majorHAnsi" w:hAnsiTheme="majorHAnsi"/>
          <w:sz w:val="20"/>
          <w:szCs w:val="20"/>
          <w:lang w:val="es-ES_tradnl"/>
        </w:rPr>
        <w:t>que</w:t>
      </w:r>
      <w:r w:rsidR="004E28DA" w:rsidRPr="004E28DA">
        <w:rPr>
          <w:rFonts w:asciiTheme="majorHAnsi" w:hAnsiTheme="majorHAnsi"/>
          <w:sz w:val="20"/>
          <w:szCs w:val="20"/>
          <w:lang w:val="es-CO"/>
        </w:rPr>
        <w:t xml:space="preserve"> habían sacado por </w:t>
      </w:r>
      <w:r w:rsidR="005E1772">
        <w:rPr>
          <w:rFonts w:asciiTheme="majorHAnsi" w:hAnsiTheme="majorHAnsi"/>
          <w:sz w:val="20"/>
          <w:szCs w:val="20"/>
          <w:lang w:val="es-CO"/>
        </w:rPr>
        <w:t>[la huelga]</w:t>
      </w:r>
      <w:r w:rsidR="004E28DA" w:rsidRPr="004E28DA">
        <w:rPr>
          <w:rFonts w:asciiTheme="majorHAnsi" w:hAnsiTheme="majorHAnsi"/>
          <w:sz w:val="20"/>
          <w:szCs w:val="20"/>
          <w:lang w:val="es-CO"/>
        </w:rPr>
        <w:t>, se había ido y cuando hubo la m</w:t>
      </w:r>
      <w:r w:rsidR="004E28DA">
        <w:rPr>
          <w:rFonts w:asciiTheme="majorHAnsi" w:hAnsiTheme="majorHAnsi"/>
          <w:sz w:val="20"/>
          <w:szCs w:val="20"/>
          <w:lang w:val="es-CO"/>
        </w:rPr>
        <w:t xml:space="preserve">asacre era el que estaba dando </w:t>
      </w:r>
      <w:r w:rsidR="004E28DA">
        <w:rPr>
          <w:rFonts w:asciiTheme="majorHAnsi" w:hAnsiTheme="majorHAnsi"/>
          <w:sz w:val="20"/>
          <w:szCs w:val="20"/>
          <w:lang w:val="es-CO"/>
        </w:rPr>
        <w:lastRenderedPageBreak/>
        <w:t>[ó]</w:t>
      </w:r>
      <w:r w:rsidR="004E28DA" w:rsidRPr="004E28DA">
        <w:rPr>
          <w:rFonts w:asciiTheme="majorHAnsi" w:hAnsiTheme="majorHAnsi"/>
          <w:sz w:val="20"/>
          <w:szCs w:val="20"/>
          <w:lang w:val="es-CO"/>
        </w:rPr>
        <w:t>rdenes en la planta”</w:t>
      </w:r>
      <w:r w:rsidR="004E28DA">
        <w:rPr>
          <w:rStyle w:val="FootnoteReference"/>
          <w:rFonts w:asciiTheme="majorHAnsi" w:hAnsiTheme="majorHAnsi"/>
          <w:sz w:val="20"/>
          <w:szCs w:val="20"/>
          <w:lang w:val="es-CO"/>
        </w:rPr>
        <w:footnoteReference w:id="75"/>
      </w:r>
      <w:r w:rsidR="005E1772">
        <w:rPr>
          <w:rFonts w:asciiTheme="majorHAnsi" w:hAnsiTheme="majorHAnsi"/>
          <w:sz w:val="20"/>
          <w:szCs w:val="20"/>
          <w:lang w:val="es-CO"/>
        </w:rPr>
        <w:t xml:space="preserve">; se </w:t>
      </w:r>
      <w:r w:rsidR="0032283D">
        <w:rPr>
          <w:rFonts w:asciiTheme="majorHAnsi" w:hAnsiTheme="majorHAnsi"/>
          <w:sz w:val="20"/>
          <w:szCs w:val="20"/>
          <w:lang w:val="es-CO"/>
        </w:rPr>
        <w:t xml:space="preserve">entiende </w:t>
      </w:r>
      <w:r w:rsidR="005E1772">
        <w:rPr>
          <w:rFonts w:asciiTheme="majorHAnsi" w:hAnsiTheme="majorHAnsi"/>
          <w:sz w:val="20"/>
          <w:szCs w:val="20"/>
          <w:lang w:val="es-CO"/>
        </w:rPr>
        <w:t xml:space="preserve">que se trata del </w:t>
      </w:r>
      <w:r w:rsidR="0032283D">
        <w:rPr>
          <w:rFonts w:asciiTheme="majorHAnsi" w:hAnsiTheme="majorHAnsi"/>
          <w:sz w:val="20"/>
          <w:szCs w:val="20"/>
          <w:lang w:val="es-CO"/>
        </w:rPr>
        <w:t>c</w:t>
      </w:r>
      <w:r w:rsidR="005E1772">
        <w:rPr>
          <w:rFonts w:asciiTheme="majorHAnsi" w:hAnsiTheme="majorHAnsi"/>
          <w:sz w:val="20"/>
          <w:szCs w:val="20"/>
          <w:lang w:val="es-CO"/>
        </w:rPr>
        <w:t>apitán Campos</w:t>
      </w:r>
      <w:r w:rsidR="004E28DA" w:rsidRPr="004E28DA">
        <w:rPr>
          <w:rFonts w:asciiTheme="majorHAnsi" w:hAnsiTheme="majorHAnsi"/>
          <w:sz w:val="20"/>
          <w:szCs w:val="20"/>
          <w:lang w:val="es-CO"/>
        </w:rPr>
        <w:t>.</w:t>
      </w:r>
      <w:r w:rsidR="0032283D">
        <w:rPr>
          <w:rFonts w:asciiTheme="majorHAnsi" w:hAnsiTheme="majorHAnsi"/>
          <w:sz w:val="20"/>
          <w:szCs w:val="20"/>
          <w:lang w:val="es-CO"/>
        </w:rPr>
        <w:t xml:space="preserve"> Se indica también que</w:t>
      </w:r>
      <w:r w:rsidR="004E28DA" w:rsidRPr="004E28DA">
        <w:rPr>
          <w:rFonts w:asciiTheme="majorHAnsi" w:hAnsiTheme="majorHAnsi"/>
          <w:sz w:val="20"/>
          <w:szCs w:val="20"/>
          <w:lang w:val="es-CO"/>
        </w:rPr>
        <w:t xml:space="preserve"> </w:t>
      </w:r>
      <w:r w:rsidR="002567F8">
        <w:rPr>
          <w:rFonts w:asciiTheme="majorHAnsi" w:hAnsiTheme="majorHAnsi"/>
          <w:sz w:val="20"/>
          <w:szCs w:val="20"/>
          <w:lang w:val="es-ES_tradnl"/>
        </w:rPr>
        <w:t>“</w:t>
      </w:r>
      <w:r w:rsidR="002567F8">
        <w:rPr>
          <w:rFonts w:asciiTheme="majorHAnsi" w:hAnsiTheme="majorHAnsi"/>
          <w:sz w:val="20"/>
          <w:szCs w:val="20"/>
          <w:lang w:val="es-CO"/>
        </w:rPr>
        <w:t>[L]</w:t>
      </w:r>
      <w:r w:rsidR="002567F8" w:rsidRPr="007747CD">
        <w:rPr>
          <w:rFonts w:asciiTheme="majorHAnsi" w:hAnsiTheme="majorHAnsi"/>
          <w:sz w:val="20"/>
          <w:szCs w:val="20"/>
          <w:lang w:val="es-CO"/>
        </w:rPr>
        <w:t xml:space="preserve">os tenientes Puerta, Franchelli y otro que estaba antes de la huelga estaban metidos en la masacre, otro que estaba metido era </w:t>
      </w:r>
      <w:r w:rsidR="005E1772">
        <w:rPr>
          <w:rFonts w:asciiTheme="majorHAnsi" w:hAnsiTheme="majorHAnsi"/>
          <w:sz w:val="20"/>
          <w:szCs w:val="20"/>
          <w:lang w:val="es-CO"/>
        </w:rPr>
        <w:t xml:space="preserve">[el vigilante] </w:t>
      </w:r>
      <w:r w:rsidR="002567F8" w:rsidRPr="007747CD">
        <w:rPr>
          <w:rFonts w:asciiTheme="majorHAnsi" w:hAnsiTheme="majorHAnsi"/>
          <w:sz w:val="20"/>
          <w:szCs w:val="20"/>
          <w:lang w:val="es-CO"/>
        </w:rPr>
        <w:t>Julio</w:t>
      </w:r>
      <w:r w:rsidR="002567F8">
        <w:rPr>
          <w:rFonts w:asciiTheme="majorHAnsi" w:hAnsiTheme="majorHAnsi"/>
          <w:sz w:val="20"/>
          <w:szCs w:val="20"/>
          <w:lang w:val="es-CO"/>
        </w:rPr>
        <w:t>”</w:t>
      </w:r>
      <w:r w:rsidR="002567F8">
        <w:rPr>
          <w:rStyle w:val="FootnoteReference"/>
          <w:rFonts w:asciiTheme="majorHAnsi" w:hAnsiTheme="majorHAnsi"/>
          <w:sz w:val="20"/>
          <w:szCs w:val="20"/>
          <w:lang w:val="es-CO"/>
        </w:rPr>
        <w:footnoteReference w:id="76"/>
      </w:r>
      <w:r w:rsidR="002567F8">
        <w:rPr>
          <w:rFonts w:asciiTheme="majorHAnsi" w:hAnsiTheme="majorHAnsi"/>
          <w:sz w:val="20"/>
          <w:szCs w:val="20"/>
          <w:lang w:val="es-CO"/>
        </w:rPr>
        <w:t>.</w:t>
      </w:r>
      <w:r w:rsidR="0032283D">
        <w:rPr>
          <w:rFonts w:asciiTheme="majorHAnsi" w:hAnsiTheme="majorHAnsi"/>
          <w:sz w:val="20"/>
          <w:szCs w:val="20"/>
          <w:lang w:val="es-CO"/>
        </w:rPr>
        <w:t xml:space="preserve"> Un interno señaló que </w:t>
      </w:r>
      <w:r w:rsidR="004E28DA" w:rsidRPr="004E28DA">
        <w:rPr>
          <w:rFonts w:asciiTheme="majorHAnsi" w:hAnsiTheme="majorHAnsi"/>
          <w:sz w:val="20"/>
          <w:szCs w:val="20"/>
          <w:lang w:val="es-CO"/>
        </w:rPr>
        <w:t>part</w:t>
      </w:r>
      <w:r w:rsidR="004E28DA">
        <w:rPr>
          <w:rFonts w:asciiTheme="majorHAnsi" w:hAnsiTheme="majorHAnsi"/>
          <w:sz w:val="20"/>
          <w:szCs w:val="20"/>
          <w:lang w:val="es-CO"/>
        </w:rPr>
        <w:t xml:space="preserve">iciparon “como 30 funcionarios […] </w:t>
      </w:r>
      <w:r w:rsidR="004E28DA" w:rsidRPr="004E28DA">
        <w:rPr>
          <w:rFonts w:asciiTheme="majorHAnsi" w:hAnsiTheme="majorHAnsi"/>
          <w:sz w:val="20"/>
          <w:szCs w:val="20"/>
          <w:lang w:val="es-CO"/>
        </w:rPr>
        <w:t>Los capitanes, los subtenientes de la [GN] [daban las ordenes en esa requisa], los vigilantes hacían lo que querían”</w:t>
      </w:r>
      <w:r w:rsidR="004E28DA">
        <w:rPr>
          <w:rStyle w:val="FootnoteReference"/>
          <w:rFonts w:asciiTheme="majorHAnsi" w:hAnsiTheme="majorHAnsi"/>
          <w:sz w:val="20"/>
          <w:szCs w:val="20"/>
          <w:lang w:val="es-CO"/>
        </w:rPr>
        <w:footnoteReference w:id="77"/>
      </w:r>
      <w:r w:rsidR="004E28DA">
        <w:rPr>
          <w:rFonts w:asciiTheme="majorHAnsi" w:hAnsiTheme="majorHAnsi"/>
          <w:sz w:val="20"/>
          <w:szCs w:val="20"/>
          <w:lang w:val="es-CO"/>
        </w:rPr>
        <w:t>.</w:t>
      </w:r>
      <w:r>
        <w:rPr>
          <w:rFonts w:asciiTheme="majorHAnsi" w:hAnsiTheme="majorHAnsi"/>
          <w:sz w:val="20"/>
          <w:szCs w:val="20"/>
          <w:lang w:val="es-ES_tradnl"/>
        </w:rPr>
        <w:t xml:space="preserve"> </w:t>
      </w:r>
    </w:p>
    <w:p w14:paraId="6029374E" w14:textId="77777777" w:rsidR="002567F8" w:rsidRDefault="002567F8" w:rsidP="002567F8">
      <w:pPr>
        <w:pStyle w:val="ListParagraph"/>
        <w:rPr>
          <w:rFonts w:asciiTheme="majorHAnsi" w:hAnsiTheme="majorHAnsi"/>
          <w:sz w:val="20"/>
          <w:szCs w:val="20"/>
          <w:lang w:val="es-ES_tradnl"/>
        </w:rPr>
      </w:pPr>
    </w:p>
    <w:p w14:paraId="28671E9A" w14:textId="78EBCE67" w:rsidR="002567F8" w:rsidRPr="007747CD" w:rsidRDefault="0032283D" w:rsidP="003228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En cuanto a </w:t>
      </w:r>
      <w:r w:rsidR="002567F8" w:rsidRPr="005E1772">
        <w:rPr>
          <w:rFonts w:asciiTheme="majorHAnsi" w:hAnsiTheme="majorHAnsi"/>
          <w:sz w:val="20"/>
          <w:szCs w:val="20"/>
          <w:lang w:val="es-ES_tradnl"/>
        </w:rPr>
        <w:t>los motivos de la violencia, varios internos y medios indica</w:t>
      </w:r>
      <w:r w:rsidR="001A2AC9">
        <w:rPr>
          <w:rFonts w:asciiTheme="majorHAnsi" w:hAnsiTheme="majorHAnsi"/>
          <w:sz w:val="20"/>
          <w:szCs w:val="20"/>
          <w:lang w:val="es-ES_tradnl"/>
        </w:rPr>
        <w:t>ro</w:t>
      </w:r>
      <w:r w:rsidR="002567F8" w:rsidRPr="005E1772">
        <w:rPr>
          <w:rFonts w:asciiTheme="majorHAnsi" w:hAnsiTheme="majorHAnsi"/>
          <w:sz w:val="20"/>
          <w:szCs w:val="20"/>
          <w:lang w:val="es-ES_tradnl"/>
        </w:rPr>
        <w:t>n que se trataba de una represalia</w:t>
      </w:r>
      <w:r w:rsidR="005E1772" w:rsidRPr="005E1772">
        <w:rPr>
          <w:rFonts w:asciiTheme="majorHAnsi" w:hAnsiTheme="majorHAnsi"/>
          <w:sz w:val="20"/>
          <w:szCs w:val="20"/>
          <w:lang w:val="es-ES_tradnl"/>
        </w:rPr>
        <w:t xml:space="preserve"> en contra de la población de la cárcel</w:t>
      </w:r>
      <w:r w:rsidR="002567F8" w:rsidRPr="005E1772">
        <w:rPr>
          <w:rFonts w:asciiTheme="majorHAnsi" w:hAnsiTheme="majorHAnsi"/>
          <w:sz w:val="20"/>
          <w:szCs w:val="20"/>
          <w:lang w:val="es-ES_tradnl"/>
        </w:rPr>
        <w:t xml:space="preserve"> por la huelga</w:t>
      </w:r>
      <w:r w:rsidR="005E1772" w:rsidRPr="005E1772">
        <w:rPr>
          <w:rFonts w:asciiTheme="majorHAnsi" w:hAnsiTheme="majorHAnsi"/>
          <w:sz w:val="20"/>
          <w:szCs w:val="20"/>
          <w:lang w:val="es-ES_tradnl"/>
        </w:rPr>
        <w:t xml:space="preserve">; </w:t>
      </w:r>
      <w:r w:rsidR="001A2AC9">
        <w:rPr>
          <w:rFonts w:asciiTheme="majorHAnsi" w:hAnsiTheme="majorHAnsi"/>
          <w:sz w:val="20"/>
          <w:szCs w:val="20"/>
          <w:lang w:val="es-ES_tradnl"/>
        </w:rPr>
        <w:t>que</w:t>
      </w:r>
      <w:r w:rsidR="005E1772" w:rsidRPr="005E1772">
        <w:rPr>
          <w:rFonts w:asciiTheme="majorHAnsi" w:hAnsiTheme="majorHAnsi"/>
          <w:sz w:val="20"/>
          <w:szCs w:val="20"/>
          <w:lang w:val="es-ES_tradnl"/>
        </w:rPr>
        <w:t xml:space="preserve"> “</w:t>
      </w:r>
      <w:r w:rsidR="005E1772" w:rsidRPr="005E1772">
        <w:rPr>
          <w:rFonts w:asciiTheme="majorHAnsi" w:hAnsiTheme="majorHAnsi"/>
          <w:sz w:val="20"/>
          <w:szCs w:val="20"/>
          <w:lang w:val="es-CO"/>
        </w:rPr>
        <w:t>esa masacre ya venía premeditada”</w:t>
      </w:r>
      <w:r w:rsidR="005E1772">
        <w:rPr>
          <w:rStyle w:val="FootnoteReference"/>
          <w:rFonts w:asciiTheme="majorHAnsi" w:hAnsiTheme="majorHAnsi"/>
          <w:sz w:val="20"/>
          <w:szCs w:val="20"/>
          <w:lang w:val="es-CO"/>
        </w:rPr>
        <w:footnoteReference w:id="78"/>
      </w:r>
      <w:r w:rsidR="002567F8" w:rsidRPr="005E1772">
        <w:rPr>
          <w:rFonts w:asciiTheme="majorHAnsi" w:hAnsiTheme="majorHAnsi"/>
          <w:sz w:val="20"/>
          <w:szCs w:val="20"/>
          <w:lang w:val="es-ES_tradnl"/>
        </w:rPr>
        <w:t>.</w:t>
      </w:r>
      <w:r w:rsidR="005E1772" w:rsidRPr="005E1772">
        <w:rPr>
          <w:rFonts w:asciiTheme="majorHAnsi" w:hAnsiTheme="majorHAnsi"/>
          <w:sz w:val="20"/>
          <w:szCs w:val="20"/>
          <w:lang w:val="es-ES_tradnl"/>
        </w:rPr>
        <w:t xml:space="preserve"> </w:t>
      </w:r>
      <w:r w:rsidR="00965261">
        <w:rPr>
          <w:rFonts w:asciiTheme="majorHAnsi" w:hAnsiTheme="majorHAnsi"/>
          <w:sz w:val="20"/>
          <w:szCs w:val="20"/>
          <w:lang w:val="es-ES_tradnl"/>
        </w:rPr>
        <w:t>L</w:t>
      </w:r>
      <w:r w:rsidR="005E1772">
        <w:rPr>
          <w:rFonts w:asciiTheme="majorHAnsi" w:hAnsiTheme="majorHAnsi"/>
          <w:sz w:val="20"/>
          <w:szCs w:val="20"/>
          <w:lang w:val="es-ES_tradnl"/>
        </w:rPr>
        <w:t>os</w:t>
      </w:r>
      <w:r w:rsidR="005E1772" w:rsidRPr="005E1772">
        <w:rPr>
          <w:rFonts w:asciiTheme="majorHAnsi" w:hAnsiTheme="majorHAnsi"/>
          <w:sz w:val="20"/>
          <w:szCs w:val="20"/>
          <w:lang w:val="es-ES_tradnl"/>
        </w:rPr>
        <w:t xml:space="preserve"> internos indicaron que “</w:t>
      </w:r>
      <w:r w:rsidR="00415F58" w:rsidRPr="005E1772">
        <w:rPr>
          <w:rFonts w:asciiTheme="majorHAnsi" w:hAnsiTheme="majorHAnsi"/>
          <w:sz w:val="20"/>
          <w:szCs w:val="20"/>
          <w:lang w:val="es-ES_tradnl"/>
        </w:rPr>
        <w:t>los muertos eran reclusos normales, Goyo era vocero cuando sucedió la huelga”</w:t>
      </w:r>
      <w:r w:rsidR="00415F58">
        <w:rPr>
          <w:rStyle w:val="FootnoteReference"/>
          <w:rFonts w:asciiTheme="majorHAnsi" w:hAnsiTheme="majorHAnsi"/>
          <w:sz w:val="20"/>
          <w:szCs w:val="20"/>
          <w:lang w:val="es-ES_tradnl"/>
        </w:rPr>
        <w:footnoteReference w:id="79"/>
      </w:r>
      <w:r w:rsidR="00415F58" w:rsidRPr="005E1772">
        <w:rPr>
          <w:rFonts w:asciiTheme="majorHAnsi" w:hAnsiTheme="majorHAnsi"/>
          <w:sz w:val="20"/>
          <w:szCs w:val="20"/>
          <w:lang w:val="es-ES_tradnl"/>
        </w:rPr>
        <w:t xml:space="preserve">. </w:t>
      </w:r>
    </w:p>
    <w:p w14:paraId="0018D405" w14:textId="77777777" w:rsidR="009B4431" w:rsidRDefault="009B4431" w:rsidP="009B44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0034FF43" w14:textId="03F30A39" w:rsidR="009B4431" w:rsidRPr="00C34F64" w:rsidRDefault="009B4431" w:rsidP="004F5025">
      <w:pPr>
        <w:pStyle w:val="Heading3"/>
      </w:pPr>
      <w:bookmarkStart w:id="13" w:name="_Toc527708411"/>
      <w:r w:rsidRPr="00C34F64">
        <w:t>La versión de la Guardia Nacional, los vigilantes y otros empleados de la cárcel</w:t>
      </w:r>
      <w:bookmarkEnd w:id="13"/>
    </w:p>
    <w:p w14:paraId="5494DC2E" w14:textId="77777777" w:rsidR="0021207E" w:rsidRPr="0021207E" w:rsidRDefault="0021207E" w:rsidP="002120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294C50FB" w14:textId="2F98CB3A" w:rsidR="00BA3549" w:rsidRDefault="0021207E" w:rsidP="003228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De acuerdo con los Guardias Nacionales cuyas declaraciones </w:t>
      </w:r>
      <w:r w:rsidR="00DA33F5">
        <w:rPr>
          <w:rFonts w:asciiTheme="majorHAnsi" w:hAnsiTheme="majorHAnsi"/>
          <w:sz w:val="20"/>
          <w:szCs w:val="20"/>
          <w:lang w:val="es-ES_tradnl"/>
        </w:rPr>
        <w:t xml:space="preserve">parciales </w:t>
      </w:r>
      <w:r>
        <w:rPr>
          <w:rFonts w:asciiTheme="majorHAnsi" w:hAnsiTheme="majorHAnsi"/>
          <w:sz w:val="20"/>
          <w:szCs w:val="20"/>
          <w:lang w:val="es-ES_tradnl"/>
        </w:rPr>
        <w:t xml:space="preserve">obran en el expediente, </w:t>
      </w:r>
      <w:r w:rsidR="00F87A78">
        <w:rPr>
          <w:rFonts w:asciiTheme="majorHAnsi" w:hAnsiTheme="majorHAnsi"/>
          <w:sz w:val="20"/>
          <w:szCs w:val="20"/>
          <w:lang w:val="es-ES_tradnl"/>
        </w:rPr>
        <w:t>se encontraron en el destacamento al lado</w:t>
      </w:r>
      <w:r w:rsidR="00D26305">
        <w:rPr>
          <w:rFonts w:asciiTheme="majorHAnsi" w:hAnsiTheme="majorHAnsi"/>
          <w:sz w:val="20"/>
          <w:szCs w:val="20"/>
          <w:lang w:val="es-ES_tradnl"/>
        </w:rPr>
        <w:t xml:space="preserve"> del</w:t>
      </w:r>
      <w:r w:rsidR="00F87A78">
        <w:rPr>
          <w:rFonts w:asciiTheme="majorHAnsi" w:hAnsiTheme="majorHAnsi"/>
          <w:sz w:val="20"/>
          <w:szCs w:val="20"/>
          <w:lang w:val="es-ES_tradnl"/>
        </w:rPr>
        <w:t xml:space="preserve"> penal cuando a aproximadamente las 7:20 de la mañana, escucharon detonaciones provenientes del penal</w:t>
      </w:r>
      <w:r w:rsidR="009917DA">
        <w:rPr>
          <w:rStyle w:val="FootnoteReference"/>
          <w:rFonts w:asciiTheme="majorHAnsi" w:hAnsiTheme="majorHAnsi"/>
          <w:sz w:val="20"/>
          <w:szCs w:val="20"/>
          <w:lang w:val="es-ES_tradnl"/>
        </w:rPr>
        <w:footnoteReference w:id="80"/>
      </w:r>
      <w:r w:rsidR="00F87A78">
        <w:rPr>
          <w:rFonts w:asciiTheme="majorHAnsi" w:hAnsiTheme="majorHAnsi"/>
          <w:sz w:val="20"/>
          <w:szCs w:val="20"/>
          <w:lang w:val="es-ES_tradnl"/>
        </w:rPr>
        <w:t>. Enseguida, el Capitán C</w:t>
      </w:r>
      <w:r w:rsidR="00715B99">
        <w:rPr>
          <w:rFonts w:asciiTheme="majorHAnsi" w:hAnsiTheme="majorHAnsi"/>
          <w:sz w:val="20"/>
          <w:szCs w:val="20"/>
          <w:lang w:val="es-ES_tradnl"/>
        </w:rPr>
        <w:t>árdenas Trillo los informó</w:t>
      </w:r>
      <w:r w:rsidR="00F87A78">
        <w:rPr>
          <w:rFonts w:asciiTheme="majorHAnsi" w:hAnsiTheme="majorHAnsi"/>
          <w:sz w:val="20"/>
          <w:szCs w:val="20"/>
          <w:lang w:val="es-ES_tradnl"/>
        </w:rPr>
        <w:t xml:space="preserve"> que </w:t>
      </w:r>
      <w:r w:rsidR="00715B99">
        <w:rPr>
          <w:rFonts w:asciiTheme="majorHAnsi" w:hAnsiTheme="majorHAnsi"/>
          <w:sz w:val="20"/>
          <w:szCs w:val="20"/>
          <w:lang w:val="es-ES_tradnl"/>
        </w:rPr>
        <w:t>el Director había solicitado su intervención, por lo que sacaron los equipos anti-motín y se dirigieron hacia el penal</w:t>
      </w:r>
      <w:r w:rsidR="009917DA">
        <w:rPr>
          <w:rStyle w:val="FootnoteReference"/>
          <w:rFonts w:asciiTheme="majorHAnsi" w:hAnsiTheme="majorHAnsi"/>
          <w:sz w:val="20"/>
          <w:szCs w:val="20"/>
          <w:lang w:val="es-ES_tradnl"/>
        </w:rPr>
        <w:footnoteReference w:id="81"/>
      </w:r>
      <w:r w:rsidR="00715B99">
        <w:rPr>
          <w:rFonts w:asciiTheme="majorHAnsi" w:hAnsiTheme="majorHAnsi"/>
          <w:sz w:val="20"/>
          <w:szCs w:val="20"/>
          <w:lang w:val="es-ES_tradnl"/>
        </w:rPr>
        <w:t>. Entraron</w:t>
      </w:r>
      <w:r w:rsidR="00636A11">
        <w:rPr>
          <w:rFonts w:asciiTheme="majorHAnsi" w:hAnsiTheme="majorHAnsi"/>
          <w:sz w:val="20"/>
          <w:szCs w:val="20"/>
          <w:lang w:val="es-ES_tradnl"/>
        </w:rPr>
        <w:t xml:space="preserve">, </w:t>
      </w:r>
      <w:r w:rsidR="00715B99">
        <w:rPr>
          <w:rFonts w:asciiTheme="majorHAnsi" w:hAnsiTheme="majorHAnsi"/>
          <w:sz w:val="20"/>
          <w:szCs w:val="20"/>
          <w:lang w:val="es-ES_tradnl"/>
        </w:rPr>
        <w:t>pero se mantenían al margen hasta que cesaron las detonaciones</w:t>
      </w:r>
      <w:r w:rsidR="009917DA">
        <w:rPr>
          <w:rFonts w:asciiTheme="majorHAnsi" w:hAnsiTheme="majorHAnsi"/>
          <w:sz w:val="20"/>
          <w:szCs w:val="20"/>
          <w:lang w:val="es-ES_tradnl"/>
        </w:rPr>
        <w:t>;</w:t>
      </w:r>
      <w:r w:rsidR="00715B99">
        <w:rPr>
          <w:rFonts w:asciiTheme="majorHAnsi" w:hAnsiTheme="majorHAnsi"/>
          <w:sz w:val="20"/>
          <w:szCs w:val="20"/>
          <w:lang w:val="es-ES_tradnl"/>
        </w:rPr>
        <w:t xml:space="preserve"> </w:t>
      </w:r>
      <w:r w:rsidR="009917DA">
        <w:rPr>
          <w:rFonts w:asciiTheme="majorHAnsi" w:hAnsiTheme="majorHAnsi"/>
          <w:sz w:val="20"/>
          <w:szCs w:val="20"/>
          <w:lang w:val="es-ES_tradnl"/>
        </w:rPr>
        <w:t>s</w:t>
      </w:r>
      <w:r w:rsidR="00715B99">
        <w:rPr>
          <w:rFonts w:asciiTheme="majorHAnsi" w:hAnsiTheme="majorHAnsi"/>
          <w:sz w:val="20"/>
          <w:szCs w:val="20"/>
          <w:lang w:val="es-ES_tradnl"/>
        </w:rPr>
        <w:t xml:space="preserve">olo entonces </w:t>
      </w:r>
      <w:r w:rsidR="00636A11">
        <w:rPr>
          <w:rFonts w:asciiTheme="majorHAnsi" w:hAnsiTheme="majorHAnsi"/>
          <w:sz w:val="20"/>
          <w:szCs w:val="20"/>
          <w:lang w:val="es-ES_tradnl"/>
        </w:rPr>
        <w:t xml:space="preserve">fueron </w:t>
      </w:r>
      <w:r w:rsidR="00715B99">
        <w:rPr>
          <w:rFonts w:asciiTheme="majorHAnsi" w:hAnsiTheme="majorHAnsi"/>
          <w:sz w:val="20"/>
          <w:szCs w:val="20"/>
          <w:lang w:val="es-ES_tradnl"/>
        </w:rPr>
        <w:t>al interior, donde encontraron a los siete muertos y heridos, y procedieron a pasar el número y hacer una requisa de los pabellones, en la cual confiscaron varias armas</w:t>
      </w:r>
      <w:r w:rsidR="00715B99">
        <w:rPr>
          <w:rStyle w:val="FootnoteReference"/>
          <w:rFonts w:asciiTheme="majorHAnsi" w:hAnsiTheme="majorHAnsi"/>
          <w:sz w:val="20"/>
          <w:szCs w:val="20"/>
          <w:lang w:val="es-ES_tradnl"/>
        </w:rPr>
        <w:footnoteReference w:id="82"/>
      </w:r>
      <w:r w:rsidR="00715B99">
        <w:rPr>
          <w:rFonts w:asciiTheme="majorHAnsi" w:hAnsiTheme="majorHAnsi"/>
          <w:sz w:val="20"/>
          <w:szCs w:val="20"/>
          <w:lang w:val="es-ES_tradnl"/>
        </w:rPr>
        <w:t>.</w:t>
      </w:r>
      <w:r>
        <w:rPr>
          <w:rFonts w:asciiTheme="majorHAnsi" w:hAnsiTheme="majorHAnsi"/>
          <w:sz w:val="20"/>
          <w:szCs w:val="20"/>
          <w:lang w:val="es-ES_tradnl"/>
        </w:rPr>
        <w:t xml:space="preserve"> </w:t>
      </w:r>
      <w:r w:rsidR="00636A11">
        <w:rPr>
          <w:rFonts w:asciiTheme="majorHAnsi" w:hAnsiTheme="majorHAnsi"/>
          <w:sz w:val="20"/>
          <w:szCs w:val="20"/>
          <w:lang w:val="es-ES_tradnl"/>
        </w:rPr>
        <w:t>E</w:t>
      </w:r>
      <w:r w:rsidR="009917DA">
        <w:rPr>
          <w:rFonts w:asciiTheme="majorHAnsi" w:hAnsiTheme="majorHAnsi"/>
          <w:sz w:val="20"/>
          <w:szCs w:val="20"/>
          <w:lang w:val="es-ES_tradnl"/>
        </w:rPr>
        <w:t xml:space="preserve">xpresaron que no vieron a ningún </w:t>
      </w:r>
      <w:r w:rsidR="00C31160">
        <w:rPr>
          <w:rFonts w:asciiTheme="majorHAnsi" w:hAnsiTheme="majorHAnsi"/>
          <w:sz w:val="20"/>
          <w:szCs w:val="20"/>
          <w:lang w:val="es-ES_tradnl"/>
        </w:rPr>
        <w:t>militar</w:t>
      </w:r>
      <w:r w:rsidR="009917DA">
        <w:rPr>
          <w:rFonts w:asciiTheme="majorHAnsi" w:hAnsiTheme="majorHAnsi"/>
          <w:sz w:val="20"/>
          <w:szCs w:val="20"/>
          <w:lang w:val="es-ES_tradnl"/>
        </w:rPr>
        <w:t xml:space="preserve"> disparar un arma que no fuera anti-motín</w:t>
      </w:r>
      <w:r w:rsidR="009917DA">
        <w:rPr>
          <w:rStyle w:val="FootnoteReference"/>
          <w:rFonts w:asciiTheme="majorHAnsi" w:hAnsiTheme="majorHAnsi"/>
          <w:sz w:val="20"/>
          <w:szCs w:val="20"/>
          <w:lang w:val="es-ES_tradnl"/>
        </w:rPr>
        <w:footnoteReference w:id="83"/>
      </w:r>
      <w:r w:rsidR="009917DA">
        <w:rPr>
          <w:rFonts w:asciiTheme="majorHAnsi" w:hAnsiTheme="majorHAnsi"/>
          <w:sz w:val="20"/>
          <w:szCs w:val="20"/>
          <w:lang w:val="es-ES_tradnl"/>
        </w:rPr>
        <w:t>, y que presumen que los muertos fueron entre los mismos internos por el control del interior del penal</w:t>
      </w:r>
      <w:r w:rsidR="009917DA">
        <w:rPr>
          <w:rStyle w:val="FootnoteReference"/>
          <w:rFonts w:asciiTheme="majorHAnsi" w:hAnsiTheme="majorHAnsi"/>
          <w:sz w:val="20"/>
          <w:szCs w:val="20"/>
          <w:lang w:val="es-ES_tradnl"/>
        </w:rPr>
        <w:footnoteReference w:id="84"/>
      </w:r>
      <w:r w:rsidR="009917DA">
        <w:rPr>
          <w:rFonts w:asciiTheme="majorHAnsi" w:hAnsiTheme="majorHAnsi"/>
          <w:sz w:val="20"/>
          <w:szCs w:val="20"/>
          <w:lang w:val="es-ES_tradnl"/>
        </w:rPr>
        <w:t xml:space="preserve">. </w:t>
      </w:r>
      <w:r>
        <w:rPr>
          <w:rFonts w:asciiTheme="majorHAnsi" w:hAnsiTheme="majorHAnsi"/>
          <w:sz w:val="20"/>
          <w:szCs w:val="20"/>
          <w:lang w:val="es-ES_tradnl"/>
        </w:rPr>
        <w:t xml:space="preserve">De acuerdo con los vigilantes cuyas declaraciones obran en el expediente, se quedaron afuera del penal por instrucciones de la </w:t>
      </w:r>
      <w:r w:rsidR="00C31160">
        <w:rPr>
          <w:rFonts w:asciiTheme="majorHAnsi" w:hAnsiTheme="majorHAnsi"/>
          <w:sz w:val="20"/>
          <w:szCs w:val="20"/>
          <w:lang w:val="es-ES_tradnl"/>
        </w:rPr>
        <w:t>Guardia Nacional</w:t>
      </w:r>
      <w:r>
        <w:rPr>
          <w:rFonts w:asciiTheme="majorHAnsi" w:hAnsiTheme="majorHAnsi"/>
          <w:sz w:val="20"/>
          <w:szCs w:val="20"/>
          <w:lang w:val="es-ES_tradnl"/>
        </w:rPr>
        <w:t>, y no presenciaron los hechos ni tienen conocimiento de cómo fallecieron las presuntas víctimas</w:t>
      </w:r>
      <w:r w:rsidR="00715B99">
        <w:rPr>
          <w:rStyle w:val="FootnoteReference"/>
          <w:rFonts w:asciiTheme="majorHAnsi" w:hAnsiTheme="majorHAnsi"/>
          <w:sz w:val="20"/>
          <w:szCs w:val="20"/>
          <w:lang w:val="es-ES_tradnl"/>
        </w:rPr>
        <w:footnoteReference w:id="85"/>
      </w:r>
      <w:r>
        <w:rPr>
          <w:rFonts w:asciiTheme="majorHAnsi" w:hAnsiTheme="majorHAnsi"/>
          <w:sz w:val="20"/>
          <w:szCs w:val="20"/>
          <w:lang w:val="es-ES_tradnl"/>
        </w:rPr>
        <w:t xml:space="preserve">. </w:t>
      </w:r>
    </w:p>
    <w:p w14:paraId="4E992B0A" w14:textId="77777777" w:rsidR="00BA3549" w:rsidRDefault="00BA3549" w:rsidP="00BA3549">
      <w:pPr>
        <w:pStyle w:val="ListParagraph"/>
        <w:rPr>
          <w:rFonts w:asciiTheme="majorHAnsi" w:hAnsiTheme="majorHAnsi"/>
          <w:sz w:val="20"/>
          <w:szCs w:val="20"/>
          <w:lang w:val="es-ES_tradnl"/>
        </w:rPr>
      </w:pPr>
    </w:p>
    <w:p w14:paraId="3FE9B157" w14:textId="0AD87E0D" w:rsidR="00BA3549" w:rsidRPr="00A15BBB" w:rsidRDefault="001A22EE" w:rsidP="004F5025">
      <w:pPr>
        <w:pStyle w:val="Heading3"/>
      </w:pPr>
      <w:bookmarkStart w:id="14" w:name="_Toc527708412"/>
      <w:r w:rsidRPr="00A15BBB">
        <w:t>La versión del Director Interventor Alfredo Veloz</w:t>
      </w:r>
      <w:bookmarkEnd w:id="14"/>
    </w:p>
    <w:p w14:paraId="551A3D5C" w14:textId="77777777" w:rsidR="00F97A27" w:rsidRPr="00F97A27" w:rsidRDefault="00F97A27" w:rsidP="00F97A2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lang w:val="es-ES_tradnl"/>
        </w:rPr>
      </w:pPr>
    </w:p>
    <w:p w14:paraId="0D314E6C" w14:textId="49BBA4EE" w:rsidR="001A22EE" w:rsidRPr="001A22EE" w:rsidRDefault="001A22EE" w:rsidP="00A15BB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Alfredo Velo</w:t>
      </w:r>
      <w:r w:rsidR="00A72CA9">
        <w:rPr>
          <w:rFonts w:asciiTheme="majorHAnsi" w:hAnsiTheme="majorHAnsi"/>
          <w:sz w:val="20"/>
          <w:szCs w:val="20"/>
          <w:lang w:val="es-ES_tradnl"/>
        </w:rPr>
        <w:t xml:space="preserve">z </w:t>
      </w:r>
      <w:r>
        <w:rPr>
          <w:rFonts w:asciiTheme="majorHAnsi" w:hAnsiTheme="majorHAnsi"/>
          <w:sz w:val="20"/>
          <w:szCs w:val="20"/>
          <w:lang w:val="es-ES_tradnl"/>
        </w:rPr>
        <w:t>sost</w:t>
      </w:r>
      <w:r w:rsidR="00CF3733">
        <w:rPr>
          <w:rFonts w:asciiTheme="majorHAnsi" w:hAnsiTheme="majorHAnsi"/>
          <w:sz w:val="20"/>
          <w:szCs w:val="20"/>
          <w:lang w:val="es-ES_tradnl"/>
        </w:rPr>
        <w:t>uvo</w:t>
      </w:r>
      <w:r>
        <w:rPr>
          <w:rFonts w:asciiTheme="majorHAnsi" w:hAnsiTheme="majorHAnsi"/>
          <w:sz w:val="20"/>
          <w:szCs w:val="20"/>
          <w:lang w:val="es-ES_tradnl"/>
        </w:rPr>
        <w:t xml:space="preserve"> que los </w:t>
      </w:r>
      <w:r w:rsidR="00CF3733">
        <w:rPr>
          <w:rFonts w:asciiTheme="majorHAnsi" w:hAnsiTheme="majorHAnsi"/>
          <w:sz w:val="20"/>
          <w:szCs w:val="20"/>
          <w:lang w:val="es-ES_tradnl"/>
        </w:rPr>
        <w:t>militares</w:t>
      </w:r>
      <w:r>
        <w:rPr>
          <w:rFonts w:asciiTheme="majorHAnsi" w:hAnsiTheme="majorHAnsi"/>
          <w:sz w:val="20"/>
          <w:szCs w:val="20"/>
          <w:lang w:val="es-ES_tradnl"/>
        </w:rPr>
        <w:t xml:space="preserve"> entraron al penal antes de calmadas las detonaciones</w:t>
      </w:r>
      <w:r w:rsidRPr="00BA3549">
        <w:rPr>
          <w:rFonts w:asciiTheme="majorHAnsi" w:hAnsiTheme="majorHAnsi"/>
          <w:sz w:val="20"/>
          <w:szCs w:val="20"/>
          <w:lang w:val="es-ES_tradnl"/>
        </w:rPr>
        <w:t xml:space="preserve">: “En el momento que ingresa la </w:t>
      </w:r>
      <w:r w:rsidR="00CF3733">
        <w:rPr>
          <w:rFonts w:asciiTheme="majorHAnsi" w:hAnsiTheme="majorHAnsi"/>
          <w:sz w:val="20"/>
          <w:szCs w:val="20"/>
          <w:lang w:val="es-ES_tradnl"/>
        </w:rPr>
        <w:t>Guardia Nacional</w:t>
      </w:r>
      <w:r w:rsidRPr="00BA3549">
        <w:rPr>
          <w:rFonts w:asciiTheme="majorHAnsi" w:hAnsiTheme="majorHAnsi"/>
          <w:sz w:val="20"/>
          <w:szCs w:val="20"/>
          <w:lang w:val="es-ES_tradnl"/>
        </w:rPr>
        <w:t>, se escuchan aun detonaciones en el interior del penal, y cuando ellas ingresan se increment</w:t>
      </w:r>
      <w:r w:rsidR="00C34F64">
        <w:rPr>
          <w:rFonts w:asciiTheme="majorHAnsi" w:hAnsiTheme="majorHAnsi"/>
          <w:sz w:val="20"/>
          <w:szCs w:val="20"/>
          <w:lang w:val="es-ES_tradnl"/>
        </w:rPr>
        <w:t>[a]</w:t>
      </w:r>
      <w:r w:rsidRPr="00BA3549">
        <w:rPr>
          <w:rFonts w:asciiTheme="majorHAnsi" w:hAnsiTheme="majorHAnsi"/>
          <w:sz w:val="20"/>
          <w:szCs w:val="20"/>
          <w:lang w:val="es-ES_tradnl"/>
        </w:rPr>
        <w:t xml:space="preserve">. La </w:t>
      </w:r>
      <w:r w:rsidR="00CF3733">
        <w:rPr>
          <w:rFonts w:asciiTheme="majorHAnsi" w:hAnsiTheme="majorHAnsi"/>
          <w:sz w:val="20"/>
          <w:szCs w:val="20"/>
          <w:lang w:val="es-ES_tradnl"/>
        </w:rPr>
        <w:t>Guardia Nacional</w:t>
      </w:r>
      <w:r w:rsidRPr="00BA3549">
        <w:rPr>
          <w:rFonts w:asciiTheme="majorHAnsi" w:hAnsiTheme="majorHAnsi"/>
          <w:sz w:val="20"/>
          <w:szCs w:val="20"/>
          <w:lang w:val="es-ES_tradnl"/>
        </w:rPr>
        <w:t xml:space="preserve"> ingresó, con cascos, escopetas, con equipos antimotín</w:t>
      </w:r>
      <w:r w:rsidR="00C31160">
        <w:rPr>
          <w:rFonts w:asciiTheme="majorHAnsi" w:hAnsiTheme="majorHAnsi"/>
          <w:sz w:val="20"/>
          <w:szCs w:val="20"/>
          <w:lang w:val="es-ES_tradnl"/>
        </w:rPr>
        <w:t xml:space="preserve"> [y]</w:t>
      </w:r>
      <w:r w:rsidRPr="00BA3549">
        <w:rPr>
          <w:rFonts w:asciiTheme="majorHAnsi" w:hAnsiTheme="majorHAnsi"/>
          <w:sz w:val="20"/>
          <w:szCs w:val="20"/>
          <w:lang w:val="es-ES_tradnl"/>
        </w:rPr>
        <w:t xml:space="preserve"> también estaban disparando con los FAL. Después que </w:t>
      </w:r>
      <w:r w:rsidR="00C31160">
        <w:rPr>
          <w:rFonts w:asciiTheme="majorHAnsi" w:hAnsiTheme="majorHAnsi"/>
          <w:sz w:val="20"/>
          <w:szCs w:val="20"/>
          <w:lang w:val="es-ES_tradnl"/>
        </w:rPr>
        <w:t>[…</w:t>
      </w:r>
      <w:r w:rsidRPr="00BA3549">
        <w:rPr>
          <w:rFonts w:asciiTheme="majorHAnsi" w:hAnsiTheme="majorHAnsi"/>
          <w:sz w:val="20"/>
          <w:szCs w:val="20"/>
          <w:lang w:val="es-ES_tradnl"/>
        </w:rPr>
        <w:t>] ingresaron se incrementaron la</w:t>
      </w:r>
      <w:r w:rsidR="00C31160">
        <w:rPr>
          <w:rFonts w:asciiTheme="majorHAnsi" w:hAnsiTheme="majorHAnsi"/>
          <w:sz w:val="20"/>
          <w:szCs w:val="20"/>
          <w:lang w:val="es-ES_tradnl"/>
        </w:rPr>
        <w:t>s</w:t>
      </w:r>
      <w:r w:rsidRPr="00BA3549">
        <w:rPr>
          <w:rFonts w:asciiTheme="majorHAnsi" w:hAnsiTheme="majorHAnsi"/>
          <w:sz w:val="20"/>
          <w:szCs w:val="20"/>
          <w:lang w:val="es-ES_tradnl"/>
        </w:rPr>
        <w:t xml:space="preserve"> detona</w:t>
      </w:r>
      <w:r w:rsidR="00CF3733">
        <w:rPr>
          <w:rFonts w:asciiTheme="majorHAnsi" w:hAnsiTheme="majorHAnsi"/>
          <w:sz w:val="20"/>
          <w:szCs w:val="20"/>
          <w:lang w:val="es-ES_tradnl"/>
        </w:rPr>
        <w:t>ciones y eso duró un rato largo</w:t>
      </w:r>
      <w:r w:rsidRPr="00BA3549">
        <w:rPr>
          <w:rFonts w:asciiTheme="majorHAnsi" w:hAnsiTheme="majorHAnsi"/>
          <w:sz w:val="20"/>
          <w:szCs w:val="20"/>
          <w:lang w:val="es-ES_tradnl"/>
        </w:rPr>
        <w:t xml:space="preserve"> </w:t>
      </w:r>
      <w:r w:rsidR="00C31160">
        <w:rPr>
          <w:rFonts w:asciiTheme="majorHAnsi" w:hAnsiTheme="majorHAnsi"/>
          <w:sz w:val="20"/>
          <w:szCs w:val="20"/>
          <w:lang w:val="es-ES_tradnl"/>
        </w:rPr>
        <w:t>[…]</w:t>
      </w:r>
      <w:r w:rsidRPr="00BA3549">
        <w:rPr>
          <w:rFonts w:asciiTheme="majorHAnsi" w:hAnsiTheme="majorHAnsi"/>
          <w:sz w:val="20"/>
          <w:szCs w:val="20"/>
          <w:lang w:val="es-ES_tradnl"/>
        </w:rPr>
        <w:t xml:space="preserve"> Durante los sucesos solo estaba adentro la </w:t>
      </w:r>
      <w:r w:rsidR="00C31160">
        <w:rPr>
          <w:rFonts w:asciiTheme="majorHAnsi" w:hAnsiTheme="majorHAnsi"/>
          <w:sz w:val="20"/>
          <w:szCs w:val="20"/>
          <w:lang w:val="es-ES_tradnl"/>
        </w:rPr>
        <w:t>Guardia Nacional</w:t>
      </w:r>
      <w:r w:rsidRPr="00BA3549">
        <w:rPr>
          <w:rFonts w:asciiTheme="majorHAnsi" w:hAnsiTheme="majorHAnsi"/>
          <w:sz w:val="20"/>
          <w:szCs w:val="20"/>
          <w:lang w:val="es-ES_tradnl"/>
        </w:rPr>
        <w:t>. Yo giré instrucciones de retirar al personal de custodia y administrativa del área administrativa, en virtud de que era muy insegura la zona para el momento. Luego se calmó la situación, se procedió a un pase de lista y número…”</w:t>
      </w:r>
      <w:r>
        <w:rPr>
          <w:rStyle w:val="FootnoteReference"/>
          <w:rFonts w:asciiTheme="majorHAnsi" w:hAnsiTheme="majorHAnsi"/>
          <w:sz w:val="20"/>
          <w:szCs w:val="20"/>
          <w:lang w:val="es-ES_tradnl"/>
        </w:rPr>
        <w:footnoteReference w:id="86"/>
      </w:r>
      <w:r>
        <w:rPr>
          <w:rFonts w:asciiTheme="majorHAnsi" w:hAnsiTheme="majorHAnsi"/>
          <w:sz w:val="20"/>
          <w:szCs w:val="20"/>
          <w:lang w:val="es-ES_tradnl"/>
        </w:rPr>
        <w:t>.</w:t>
      </w:r>
    </w:p>
    <w:p w14:paraId="45FF94A9" w14:textId="77777777" w:rsidR="00F97A27" w:rsidRDefault="00F97A27" w:rsidP="00F97A27">
      <w:pPr>
        <w:pStyle w:val="ListParagraph"/>
        <w:rPr>
          <w:rFonts w:asciiTheme="majorHAnsi" w:hAnsiTheme="majorHAnsi"/>
          <w:b/>
          <w:sz w:val="20"/>
          <w:szCs w:val="20"/>
          <w:lang w:val="es-ES_tradnl"/>
        </w:rPr>
      </w:pPr>
    </w:p>
    <w:p w14:paraId="4E9C9DC1" w14:textId="7C8FD677" w:rsidR="004D195F" w:rsidRPr="00A15BBB" w:rsidRDefault="0094652F" w:rsidP="004F5025">
      <w:pPr>
        <w:pStyle w:val="Heading2"/>
      </w:pPr>
      <w:bookmarkStart w:id="15" w:name="_Toc527708413"/>
      <w:r>
        <w:t>Procesos internos</w:t>
      </w:r>
      <w:bookmarkEnd w:id="15"/>
    </w:p>
    <w:p w14:paraId="695CE774" w14:textId="77777777" w:rsidR="005D401E" w:rsidRPr="005D401E" w:rsidRDefault="005D401E" w:rsidP="005D401E">
      <w:pPr>
        <w:pStyle w:val="ListParagraph"/>
        <w:rPr>
          <w:rFonts w:asciiTheme="majorHAnsi" w:hAnsiTheme="majorHAnsi"/>
          <w:b/>
          <w:color w:val="FF0000"/>
          <w:sz w:val="20"/>
          <w:szCs w:val="20"/>
          <w:lang w:val="es-ES_tradnl"/>
        </w:rPr>
      </w:pPr>
    </w:p>
    <w:p w14:paraId="2C282E06" w14:textId="61BEAD93" w:rsidR="005D401E" w:rsidRPr="00784888" w:rsidRDefault="005D401E" w:rsidP="004F5025">
      <w:pPr>
        <w:pStyle w:val="Heading3"/>
        <w:numPr>
          <w:ilvl w:val="0"/>
          <w:numId w:val="78"/>
        </w:numPr>
        <w:ind w:left="1440" w:hanging="810"/>
      </w:pPr>
      <w:bookmarkStart w:id="16" w:name="_Toc527708414"/>
      <w:r w:rsidRPr="00784888">
        <w:t>Investigación de los hechos</w:t>
      </w:r>
      <w:bookmarkEnd w:id="16"/>
    </w:p>
    <w:p w14:paraId="086FB5BF" w14:textId="77777777" w:rsidR="002E118B" w:rsidRDefault="002E118B" w:rsidP="002E118B">
      <w:pPr>
        <w:jc w:val="both"/>
        <w:rPr>
          <w:rFonts w:asciiTheme="majorHAnsi" w:hAnsiTheme="majorHAnsi"/>
          <w:b/>
          <w:color w:val="FF0000"/>
          <w:sz w:val="20"/>
          <w:szCs w:val="20"/>
          <w:lang w:val="es-ES_tradnl"/>
        </w:rPr>
      </w:pPr>
    </w:p>
    <w:p w14:paraId="72604B64" w14:textId="09634631" w:rsidR="00424705" w:rsidRPr="00D3548F" w:rsidRDefault="00784888" w:rsidP="00C34F6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Pr>
          <w:rFonts w:ascii="Cambria" w:hAnsi="Cambria"/>
          <w:color w:val="000000" w:themeColor="text1"/>
          <w:sz w:val="20"/>
          <w:szCs w:val="20"/>
          <w:lang w:val="es-VE"/>
        </w:rPr>
        <w:t>L</w:t>
      </w:r>
      <w:r w:rsidR="00454FB2">
        <w:rPr>
          <w:rFonts w:ascii="Cambria" w:hAnsi="Cambria"/>
          <w:color w:val="000000" w:themeColor="text1"/>
          <w:sz w:val="20"/>
          <w:szCs w:val="20"/>
          <w:lang w:val="es-VE"/>
        </w:rPr>
        <w:t xml:space="preserve">a investigación </w:t>
      </w:r>
      <w:r>
        <w:rPr>
          <w:rFonts w:ascii="Cambria" w:hAnsi="Cambria"/>
          <w:color w:val="000000" w:themeColor="text1"/>
          <w:sz w:val="20"/>
          <w:szCs w:val="20"/>
          <w:lang w:val="es-VE"/>
        </w:rPr>
        <w:t xml:space="preserve">inició </w:t>
      </w:r>
      <w:r w:rsidR="00CF3733">
        <w:rPr>
          <w:rFonts w:ascii="Cambria" w:hAnsi="Cambria"/>
          <w:color w:val="000000" w:themeColor="text1"/>
          <w:sz w:val="20"/>
          <w:szCs w:val="20"/>
          <w:lang w:val="es-VE"/>
        </w:rPr>
        <w:t>el mismo día de los hechos</w:t>
      </w:r>
      <w:r w:rsidR="00D75065">
        <w:rPr>
          <w:rStyle w:val="FootnoteReference"/>
          <w:rFonts w:ascii="Cambria" w:hAnsi="Cambria"/>
          <w:color w:val="000000" w:themeColor="text1"/>
          <w:sz w:val="20"/>
          <w:szCs w:val="20"/>
          <w:lang w:val="es-VE"/>
        </w:rPr>
        <w:footnoteReference w:id="87"/>
      </w:r>
      <w:r w:rsidR="00454FB2">
        <w:rPr>
          <w:rFonts w:ascii="Cambria" w:hAnsi="Cambria"/>
          <w:color w:val="000000" w:themeColor="text1"/>
          <w:sz w:val="20"/>
          <w:szCs w:val="20"/>
          <w:lang w:val="es-VE"/>
        </w:rPr>
        <w:t xml:space="preserve">. </w:t>
      </w:r>
      <w:r w:rsidR="00D75065">
        <w:rPr>
          <w:rFonts w:ascii="Cambria" w:hAnsi="Cambria"/>
          <w:color w:val="000000" w:themeColor="text1"/>
          <w:sz w:val="20"/>
          <w:szCs w:val="20"/>
          <w:lang w:val="es-VE"/>
        </w:rPr>
        <w:t xml:space="preserve">Del listado de pruebas que obran en el expediente del Ministerio Público aportado por el Estado, se constata </w:t>
      </w:r>
      <w:r w:rsidR="00D3548F">
        <w:rPr>
          <w:rFonts w:ascii="Cambria" w:hAnsi="Cambria"/>
          <w:color w:val="000000" w:themeColor="text1"/>
          <w:sz w:val="20"/>
          <w:szCs w:val="20"/>
          <w:lang w:val="es-VE"/>
        </w:rPr>
        <w:t>la siguiente actividad probatoria</w:t>
      </w:r>
      <w:r w:rsidR="00D3548F">
        <w:rPr>
          <w:rFonts w:ascii="Cambria" w:hAnsi="Cambria"/>
          <w:color w:val="000000" w:themeColor="text1"/>
          <w:sz w:val="20"/>
          <w:szCs w:val="20"/>
          <w:lang w:val="es-CO"/>
        </w:rPr>
        <w:t xml:space="preserve">: </w:t>
      </w:r>
      <w:r w:rsidR="009152F1" w:rsidRPr="00D3548F">
        <w:rPr>
          <w:rFonts w:ascii="Cambria" w:hAnsi="Cambria"/>
          <w:color w:val="000000" w:themeColor="text1"/>
          <w:sz w:val="20"/>
          <w:szCs w:val="20"/>
          <w:lang w:val="es-VE"/>
        </w:rPr>
        <w:t xml:space="preserve">aproximadamente </w:t>
      </w:r>
      <w:r w:rsidR="00424705" w:rsidRPr="00D3548F">
        <w:rPr>
          <w:rFonts w:ascii="Cambria" w:hAnsi="Cambria"/>
          <w:color w:val="000000" w:themeColor="text1"/>
          <w:sz w:val="20"/>
          <w:szCs w:val="20"/>
          <w:lang w:val="es-CO"/>
        </w:rPr>
        <w:t>145 actas de entrevista y 18 actas de declaración bajo la figura de prueba anticipada</w:t>
      </w:r>
      <w:r w:rsidR="00D75065" w:rsidRPr="00D3548F">
        <w:rPr>
          <w:rFonts w:ascii="Cambria" w:hAnsi="Cambria"/>
          <w:color w:val="000000" w:themeColor="text1"/>
          <w:sz w:val="20"/>
          <w:szCs w:val="20"/>
          <w:lang w:val="es-CO"/>
        </w:rPr>
        <w:t xml:space="preserve">; </w:t>
      </w:r>
      <w:r w:rsidR="00D75065" w:rsidRPr="00D3548F">
        <w:rPr>
          <w:rFonts w:ascii="Cambria" w:hAnsi="Cambria"/>
          <w:color w:val="000000" w:themeColor="text1"/>
          <w:sz w:val="20"/>
          <w:szCs w:val="20"/>
          <w:lang w:val="es-CO"/>
        </w:rPr>
        <w:lastRenderedPageBreak/>
        <w:t>inspecciones</w:t>
      </w:r>
      <w:r w:rsidR="00D75065" w:rsidRPr="00A00081">
        <w:rPr>
          <w:rFonts w:ascii="Cambria" w:hAnsi="Cambria"/>
          <w:color w:val="000000" w:themeColor="text1"/>
          <w:sz w:val="20"/>
          <w:szCs w:val="20"/>
          <w:lang w:val="es-CO"/>
        </w:rPr>
        <w:t xml:space="preserve"> oculares; siete autopsias practicadas el 11/11/2003; siete actas de entrevista con familiares </w:t>
      </w:r>
      <w:r w:rsidR="00424705" w:rsidRPr="00A00081">
        <w:rPr>
          <w:rFonts w:ascii="Cambria" w:hAnsi="Cambria"/>
          <w:color w:val="000000" w:themeColor="text1"/>
          <w:sz w:val="20"/>
          <w:szCs w:val="20"/>
          <w:lang w:val="es-CO"/>
        </w:rPr>
        <w:t xml:space="preserve">de los fallecidos; </w:t>
      </w:r>
      <w:r w:rsidR="00D75065" w:rsidRPr="00D3548F">
        <w:rPr>
          <w:rFonts w:ascii="Cambria" w:hAnsi="Cambria"/>
          <w:color w:val="000000" w:themeColor="text1"/>
          <w:sz w:val="20"/>
          <w:szCs w:val="20"/>
          <w:lang w:val="es-CO"/>
        </w:rPr>
        <w:t xml:space="preserve">dos reconocimientos </w:t>
      </w:r>
      <w:r w:rsidR="00424705" w:rsidRPr="00D3548F">
        <w:rPr>
          <w:rFonts w:ascii="Cambria" w:hAnsi="Cambria"/>
          <w:color w:val="000000" w:themeColor="text1"/>
          <w:sz w:val="20"/>
          <w:szCs w:val="20"/>
          <w:lang w:val="es-CO"/>
        </w:rPr>
        <w:t>médico-</w:t>
      </w:r>
      <w:r w:rsidR="00D75065" w:rsidRPr="00D3548F">
        <w:rPr>
          <w:rFonts w:ascii="Cambria" w:hAnsi="Cambria"/>
          <w:color w:val="000000" w:themeColor="text1"/>
          <w:sz w:val="20"/>
          <w:szCs w:val="20"/>
          <w:lang w:val="es-CO"/>
        </w:rPr>
        <w:t>legal</w:t>
      </w:r>
      <w:r w:rsidR="00424705" w:rsidRPr="00D3548F">
        <w:rPr>
          <w:rFonts w:ascii="Cambria" w:hAnsi="Cambria"/>
          <w:color w:val="000000" w:themeColor="text1"/>
          <w:sz w:val="20"/>
          <w:szCs w:val="20"/>
          <w:lang w:val="es-CO"/>
        </w:rPr>
        <w:t>es</w:t>
      </w:r>
      <w:r w:rsidR="00D75065" w:rsidRPr="00D3548F">
        <w:rPr>
          <w:rFonts w:ascii="Cambria" w:hAnsi="Cambria"/>
          <w:color w:val="000000" w:themeColor="text1"/>
          <w:sz w:val="20"/>
          <w:szCs w:val="20"/>
          <w:lang w:val="es-CO"/>
        </w:rPr>
        <w:t xml:space="preserve"> de los vigilantes heridos; orden de servicio para</w:t>
      </w:r>
      <w:r w:rsidR="00602FC7" w:rsidRPr="00D3548F">
        <w:rPr>
          <w:rFonts w:ascii="Cambria" w:hAnsi="Cambria"/>
          <w:color w:val="000000" w:themeColor="text1"/>
          <w:sz w:val="20"/>
          <w:szCs w:val="20"/>
          <w:lang w:val="es-CO"/>
        </w:rPr>
        <w:t xml:space="preserve"> la cárcel</w:t>
      </w:r>
      <w:r w:rsidR="00D75065" w:rsidRPr="00D3548F">
        <w:rPr>
          <w:rFonts w:ascii="Cambria" w:hAnsi="Cambria"/>
          <w:color w:val="000000" w:themeColor="text1"/>
          <w:sz w:val="20"/>
          <w:szCs w:val="20"/>
          <w:lang w:val="es-CO"/>
        </w:rPr>
        <w:t xml:space="preserve"> el día 10/11</w:t>
      </w:r>
      <w:r w:rsidR="00424705" w:rsidRPr="00D3548F">
        <w:rPr>
          <w:rFonts w:ascii="Cambria" w:hAnsi="Cambria"/>
          <w:color w:val="000000" w:themeColor="text1"/>
          <w:sz w:val="20"/>
          <w:szCs w:val="20"/>
          <w:lang w:val="es-CO"/>
        </w:rPr>
        <w:t>/2003</w:t>
      </w:r>
      <w:r w:rsidR="00D75065" w:rsidRPr="00D3548F">
        <w:rPr>
          <w:rFonts w:ascii="Cambria" w:hAnsi="Cambria"/>
          <w:color w:val="000000" w:themeColor="text1"/>
          <w:sz w:val="20"/>
          <w:szCs w:val="20"/>
          <w:lang w:val="es-CO"/>
        </w:rPr>
        <w:t>; copias de</w:t>
      </w:r>
      <w:r w:rsidR="00424705" w:rsidRPr="00D3548F">
        <w:rPr>
          <w:rFonts w:ascii="Cambria" w:hAnsi="Cambria"/>
          <w:color w:val="000000" w:themeColor="text1"/>
          <w:sz w:val="20"/>
          <w:szCs w:val="20"/>
          <w:lang w:val="es-CO"/>
        </w:rPr>
        <w:t>l</w:t>
      </w:r>
      <w:r w:rsidR="00D75065" w:rsidRPr="00D3548F">
        <w:rPr>
          <w:rFonts w:ascii="Cambria" w:hAnsi="Cambria"/>
          <w:color w:val="000000" w:themeColor="text1"/>
          <w:sz w:val="20"/>
          <w:szCs w:val="20"/>
          <w:lang w:val="es-CO"/>
        </w:rPr>
        <w:t xml:space="preserve"> libro de novedades, listado de personal del Destacamento </w:t>
      </w:r>
      <w:r w:rsidR="00424705" w:rsidRPr="00D3548F">
        <w:rPr>
          <w:rFonts w:ascii="Cambria" w:hAnsi="Cambria"/>
          <w:color w:val="000000" w:themeColor="text1"/>
          <w:sz w:val="20"/>
          <w:szCs w:val="20"/>
          <w:lang w:val="es-CO"/>
        </w:rPr>
        <w:t xml:space="preserve">No. </w:t>
      </w:r>
      <w:r w:rsidR="00D75065" w:rsidRPr="00D3548F">
        <w:rPr>
          <w:rFonts w:ascii="Cambria" w:hAnsi="Cambria"/>
          <w:color w:val="000000" w:themeColor="text1"/>
          <w:sz w:val="20"/>
          <w:szCs w:val="20"/>
          <w:lang w:val="es-CO"/>
        </w:rPr>
        <w:t>81</w:t>
      </w:r>
      <w:r w:rsidR="00424705" w:rsidRPr="00D3548F">
        <w:rPr>
          <w:rFonts w:ascii="Cambria" w:hAnsi="Cambria"/>
          <w:color w:val="000000" w:themeColor="text1"/>
          <w:sz w:val="20"/>
          <w:szCs w:val="20"/>
          <w:lang w:val="es-CO"/>
        </w:rPr>
        <w:t xml:space="preserve"> de la </w:t>
      </w:r>
      <w:r w:rsidR="00CF3733" w:rsidRPr="00D3548F">
        <w:rPr>
          <w:rFonts w:ascii="Cambria" w:hAnsi="Cambria"/>
          <w:color w:val="000000" w:themeColor="text1"/>
          <w:sz w:val="20"/>
          <w:szCs w:val="20"/>
          <w:lang w:val="es-CO"/>
        </w:rPr>
        <w:t>Guardia Nacional</w:t>
      </w:r>
      <w:r w:rsidR="00D75065" w:rsidRPr="00D3548F">
        <w:rPr>
          <w:rFonts w:ascii="Cambria" w:hAnsi="Cambria"/>
          <w:color w:val="000000" w:themeColor="text1"/>
          <w:sz w:val="20"/>
          <w:szCs w:val="20"/>
          <w:lang w:val="es-CO"/>
        </w:rPr>
        <w:t>,</w:t>
      </w:r>
      <w:r w:rsidR="00424705" w:rsidRPr="00D3548F">
        <w:rPr>
          <w:rFonts w:ascii="Cambria" w:hAnsi="Cambria"/>
          <w:color w:val="000000" w:themeColor="text1"/>
          <w:sz w:val="20"/>
          <w:szCs w:val="20"/>
          <w:lang w:val="es-CO"/>
        </w:rPr>
        <w:t xml:space="preserve"> y listado de armas asignadas a los efectivos</w:t>
      </w:r>
      <w:r w:rsidR="00D75065" w:rsidRPr="00D3548F">
        <w:rPr>
          <w:rFonts w:ascii="Cambria" w:hAnsi="Cambria"/>
          <w:color w:val="000000" w:themeColor="text1"/>
          <w:sz w:val="20"/>
          <w:szCs w:val="20"/>
          <w:lang w:val="es-CO"/>
        </w:rPr>
        <w:t>; experticia</w:t>
      </w:r>
      <w:r w:rsidR="00424705" w:rsidRPr="00D3548F">
        <w:rPr>
          <w:rFonts w:ascii="Cambria" w:hAnsi="Cambria"/>
          <w:color w:val="000000" w:themeColor="text1"/>
          <w:sz w:val="20"/>
          <w:szCs w:val="20"/>
          <w:lang w:val="es-CO"/>
        </w:rPr>
        <w:t>s</w:t>
      </w:r>
      <w:r w:rsidR="00D75065" w:rsidRPr="00D3548F">
        <w:rPr>
          <w:rFonts w:ascii="Cambria" w:hAnsi="Cambria"/>
          <w:color w:val="000000" w:themeColor="text1"/>
          <w:sz w:val="20"/>
          <w:szCs w:val="20"/>
          <w:lang w:val="es-CO"/>
        </w:rPr>
        <w:t xml:space="preserve"> de reconocimiento de armas, de balas</w:t>
      </w:r>
      <w:r w:rsidR="00424705" w:rsidRPr="00D3548F">
        <w:rPr>
          <w:rFonts w:ascii="Cambria" w:hAnsi="Cambria"/>
          <w:color w:val="000000" w:themeColor="text1"/>
          <w:sz w:val="20"/>
          <w:szCs w:val="20"/>
          <w:lang w:val="es-CO"/>
        </w:rPr>
        <w:t xml:space="preserve"> y </w:t>
      </w:r>
      <w:r w:rsidR="00D75065" w:rsidRPr="00D3548F">
        <w:rPr>
          <w:rFonts w:ascii="Cambria" w:hAnsi="Cambria"/>
          <w:color w:val="000000" w:themeColor="text1"/>
          <w:sz w:val="20"/>
          <w:szCs w:val="20"/>
          <w:lang w:val="es-CO"/>
        </w:rPr>
        <w:t xml:space="preserve">proyectiles, y comparación balística; reconocimientos de medicina legal </w:t>
      </w:r>
      <w:r w:rsidR="00CF3733" w:rsidRPr="00D3548F">
        <w:rPr>
          <w:rFonts w:ascii="Cambria" w:hAnsi="Cambria"/>
          <w:color w:val="000000" w:themeColor="text1"/>
          <w:sz w:val="20"/>
          <w:szCs w:val="20"/>
          <w:lang w:val="es-CO"/>
        </w:rPr>
        <w:t>a</w:t>
      </w:r>
      <w:r w:rsidR="00D75065" w:rsidRPr="00D3548F">
        <w:rPr>
          <w:rFonts w:ascii="Cambria" w:hAnsi="Cambria"/>
          <w:color w:val="000000" w:themeColor="text1"/>
          <w:sz w:val="20"/>
          <w:szCs w:val="20"/>
          <w:lang w:val="es-CO"/>
        </w:rPr>
        <w:t xml:space="preserve"> </w:t>
      </w:r>
      <w:r w:rsidR="00424705" w:rsidRPr="00D3548F">
        <w:rPr>
          <w:rFonts w:ascii="Cambria" w:hAnsi="Cambria"/>
          <w:color w:val="000000" w:themeColor="text1"/>
          <w:sz w:val="20"/>
          <w:szCs w:val="20"/>
          <w:lang w:val="es-CO"/>
        </w:rPr>
        <w:t xml:space="preserve">los </w:t>
      </w:r>
      <w:r w:rsidR="00D75065" w:rsidRPr="00D3548F">
        <w:rPr>
          <w:rFonts w:ascii="Cambria" w:hAnsi="Cambria"/>
          <w:color w:val="000000" w:themeColor="text1"/>
          <w:sz w:val="20"/>
          <w:szCs w:val="20"/>
          <w:lang w:val="es-CO"/>
        </w:rPr>
        <w:t>internos heridos; solicitud</w:t>
      </w:r>
      <w:r w:rsidR="00424705" w:rsidRPr="00D3548F">
        <w:rPr>
          <w:rFonts w:ascii="Cambria" w:hAnsi="Cambria"/>
          <w:color w:val="000000" w:themeColor="text1"/>
          <w:sz w:val="20"/>
          <w:szCs w:val="20"/>
          <w:lang w:val="es-CO"/>
        </w:rPr>
        <w:t>es</w:t>
      </w:r>
      <w:r w:rsidR="00D75065" w:rsidRPr="00D3548F">
        <w:rPr>
          <w:rFonts w:ascii="Cambria" w:hAnsi="Cambria"/>
          <w:color w:val="000000" w:themeColor="text1"/>
          <w:sz w:val="20"/>
          <w:szCs w:val="20"/>
          <w:lang w:val="es-CO"/>
        </w:rPr>
        <w:t xml:space="preserve"> de exhumación</w:t>
      </w:r>
      <w:r w:rsidR="00424705" w:rsidRPr="00A00081">
        <w:rPr>
          <w:rFonts w:ascii="Cambria" w:hAnsi="Cambria"/>
          <w:color w:val="000000" w:themeColor="text1"/>
          <w:sz w:val="20"/>
          <w:szCs w:val="20"/>
          <w:lang w:val="es-CO"/>
        </w:rPr>
        <w:t xml:space="preserve"> de</w:t>
      </w:r>
      <w:r w:rsidR="00D75065" w:rsidRPr="00A00081">
        <w:rPr>
          <w:rFonts w:ascii="Cambria" w:hAnsi="Cambria"/>
          <w:color w:val="000000" w:themeColor="text1"/>
          <w:sz w:val="20"/>
          <w:szCs w:val="20"/>
          <w:lang w:val="es-CO"/>
        </w:rPr>
        <w:t xml:space="preserve"> </w:t>
      </w:r>
      <w:r w:rsidR="00424705" w:rsidRPr="00A00081">
        <w:rPr>
          <w:rFonts w:ascii="Cambria" w:hAnsi="Cambria"/>
          <w:color w:val="000000" w:themeColor="text1"/>
          <w:sz w:val="20"/>
          <w:szCs w:val="20"/>
          <w:lang w:val="es-CO"/>
        </w:rPr>
        <w:t>las presuntas víctimas y autopsias de seis de ellos, faltando Pedro López Chaurán</w:t>
      </w:r>
      <w:r w:rsidR="00FC1EF0">
        <w:rPr>
          <w:rStyle w:val="FootnoteReference"/>
          <w:rFonts w:ascii="Cambria" w:hAnsi="Cambria"/>
          <w:color w:val="000000" w:themeColor="text1"/>
          <w:sz w:val="20"/>
          <w:szCs w:val="20"/>
          <w:lang w:val="es-CO"/>
        </w:rPr>
        <w:footnoteReference w:id="88"/>
      </w:r>
      <w:r w:rsidR="00D75065" w:rsidRPr="00D3548F">
        <w:rPr>
          <w:rFonts w:ascii="Cambria" w:hAnsi="Cambria"/>
          <w:color w:val="000000" w:themeColor="text1"/>
          <w:sz w:val="20"/>
          <w:szCs w:val="20"/>
          <w:lang w:val="es-CO"/>
        </w:rPr>
        <w:t xml:space="preserve">; </w:t>
      </w:r>
      <w:r w:rsidR="00424705" w:rsidRPr="00D3548F">
        <w:rPr>
          <w:rFonts w:ascii="Cambria" w:hAnsi="Cambria"/>
          <w:color w:val="000000" w:themeColor="text1"/>
          <w:sz w:val="20"/>
          <w:szCs w:val="20"/>
          <w:lang w:val="es-CO"/>
        </w:rPr>
        <w:t xml:space="preserve">y </w:t>
      </w:r>
      <w:r w:rsidR="00D75065" w:rsidRPr="00D3548F">
        <w:rPr>
          <w:rFonts w:ascii="Cambria" w:hAnsi="Cambria"/>
          <w:color w:val="000000" w:themeColor="text1"/>
          <w:sz w:val="20"/>
          <w:szCs w:val="20"/>
          <w:lang w:val="es-CO"/>
        </w:rPr>
        <w:t>escritos</w:t>
      </w:r>
      <w:r w:rsidR="00424705" w:rsidRPr="00D3548F">
        <w:rPr>
          <w:rFonts w:ascii="Cambria" w:hAnsi="Cambria"/>
          <w:color w:val="000000" w:themeColor="text1"/>
          <w:sz w:val="20"/>
          <w:szCs w:val="20"/>
          <w:lang w:val="es-CO"/>
        </w:rPr>
        <w:t xml:space="preserve"> y resoluciones relacionados con el</w:t>
      </w:r>
      <w:r w:rsidR="00D75065" w:rsidRPr="00D3548F">
        <w:rPr>
          <w:rFonts w:ascii="Cambria" w:hAnsi="Cambria"/>
          <w:color w:val="000000" w:themeColor="text1"/>
          <w:sz w:val="20"/>
          <w:szCs w:val="20"/>
          <w:lang w:val="es-CO"/>
        </w:rPr>
        <w:t xml:space="preserve"> trámite </w:t>
      </w:r>
      <w:r w:rsidR="00424705" w:rsidRPr="00D3548F">
        <w:rPr>
          <w:rFonts w:ascii="Cambria" w:hAnsi="Cambria"/>
          <w:color w:val="000000" w:themeColor="text1"/>
          <w:sz w:val="20"/>
          <w:szCs w:val="20"/>
          <w:lang w:val="es-CO"/>
        </w:rPr>
        <w:t xml:space="preserve">del caso ante las instancias judiciales. Sin embargo, </w:t>
      </w:r>
      <w:r w:rsidR="00CF3733" w:rsidRPr="00D3548F">
        <w:rPr>
          <w:rFonts w:ascii="Cambria" w:hAnsi="Cambria"/>
          <w:color w:val="000000" w:themeColor="text1"/>
          <w:sz w:val="20"/>
          <w:szCs w:val="20"/>
          <w:lang w:val="es-CO"/>
        </w:rPr>
        <w:t>la CIDH</w:t>
      </w:r>
      <w:r w:rsidR="00602FC7" w:rsidRPr="00D3548F">
        <w:rPr>
          <w:rFonts w:ascii="Cambria" w:hAnsi="Cambria"/>
          <w:color w:val="000000" w:themeColor="text1"/>
          <w:sz w:val="20"/>
          <w:szCs w:val="20"/>
          <w:lang w:val="es-CO"/>
        </w:rPr>
        <w:t xml:space="preserve"> </w:t>
      </w:r>
      <w:r w:rsidR="00424705" w:rsidRPr="00D3548F">
        <w:rPr>
          <w:rFonts w:ascii="Cambria" w:hAnsi="Cambria"/>
          <w:color w:val="000000" w:themeColor="text1"/>
          <w:sz w:val="20"/>
          <w:szCs w:val="20"/>
          <w:lang w:val="es-CO"/>
        </w:rPr>
        <w:t>cuenta con siete declaraciones bajo la figura de prueba anticipada, 45 extractos</w:t>
      </w:r>
      <w:r w:rsidR="00602FC7" w:rsidRPr="00D3548F">
        <w:rPr>
          <w:rFonts w:ascii="Cambria" w:hAnsi="Cambria"/>
          <w:color w:val="000000" w:themeColor="text1"/>
          <w:sz w:val="20"/>
          <w:szCs w:val="20"/>
          <w:lang w:val="es-CO"/>
        </w:rPr>
        <w:t xml:space="preserve"> incompletos</w:t>
      </w:r>
      <w:r w:rsidR="00424705" w:rsidRPr="00D3548F">
        <w:rPr>
          <w:rFonts w:ascii="Cambria" w:hAnsi="Cambria"/>
          <w:color w:val="000000" w:themeColor="text1"/>
          <w:sz w:val="20"/>
          <w:szCs w:val="20"/>
          <w:lang w:val="es-CO"/>
        </w:rPr>
        <w:t xml:space="preserve"> de actas de entrevista, </w:t>
      </w:r>
      <w:r w:rsidR="00D3548F">
        <w:rPr>
          <w:rFonts w:ascii="Cambria" w:hAnsi="Cambria"/>
          <w:color w:val="000000" w:themeColor="text1"/>
          <w:sz w:val="20"/>
          <w:szCs w:val="20"/>
          <w:lang w:val="es-CO"/>
        </w:rPr>
        <w:t xml:space="preserve">y </w:t>
      </w:r>
      <w:r w:rsidR="00424705" w:rsidRPr="00D3548F">
        <w:rPr>
          <w:rFonts w:ascii="Cambria" w:hAnsi="Cambria"/>
          <w:color w:val="000000" w:themeColor="text1"/>
          <w:sz w:val="20"/>
          <w:szCs w:val="20"/>
          <w:lang w:val="es-CO"/>
        </w:rPr>
        <w:t xml:space="preserve">los resultados completos de cuatro autopsias practicadas luego de las exhumaciones. </w:t>
      </w:r>
    </w:p>
    <w:p w14:paraId="755D25C5" w14:textId="77777777" w:rsidR="00424705" w:rsidRDefault="00424705" w:rsidP="0042470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CO"/>
        </w:rPr>
      </w:pPr>
    </w:p>
    <w:p w14:paraId="3F988412" w14:textId="42909660" w:rsidR="00424705" w:rsidRPr="00424705" w:rsidRDefault="00CF3733" w:rsidP="0078488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Pr>
          <w:rFonts w:ascii="Cambria" w:hAnsi="Cambria"/>
          <w:color w:val="000000" w:themeColor="text1"/>
          <w:sz w:val="20"/>
          <w:szCs w:val="20"/>
          <w:lang w:val="es-CO"/>
        </w:rPr>
        <w:t xml:space="preserve">La </w:t>
      </w:r>
      <w:r w:rsidRPr="00784888">
        <w:rPr>
          <w:rFonts w:ascii="Cambria" w:hAnsi="Cambria"/>
          <w:color w:val="000000" w:themeColor="text1"/>
          <w:sz w:val="20"/>
          <w:szCs w:val="20"/>
          <w:lang w:val="es-VE"/>
        </w:rPr>
        <w:t>CIDH</w:t>
      </w:r>
      <w:r>
        <w:rPr>
          <w:rFonts w:ascii="Cambria" w:hAnsi="Cambria"/>
          <w:color w:val="000000" w:themeColor="text1"/>
          <w:sz w:val="20"/>
          <w:szCs w:val="20"/>
          <w:lang w:val="es-CO"/>
        </w:rPr>
        <w:t xml:space="preserve"> cuenta con</w:t>
      </w:r>
      <w:r w:rsidR="00F97A27">
        <w:rPr>
          <w:rFonts w:ascii="Cambria" w:hAnsi="Cambria"/>
          <w:color w:val="000000" w:themeColor="text1"/>
          <w:sz w:val="20"/>
          <w:szCs w:val="20"/>
          <w:lang w:val="es-CO"/>
        </w:rPr>
        <w:t xml:space="preserve"> notas de prensa exponiendo presuntas irregularidades en el proceso de investigación</w:t>
      </w:r>
      <w:r>
        <w:rPr>
          <w:rFonts w:ascii="Cambria" w:hAnsi="Cambria"/>
          <w:color w:val="000000" w:themeColor="text1"/>
          <w:sz w:val="20"/>
          <w:szCs w:val="20"/>
          <w:lang w:val="es-CO"/>
        </w:rPr>
        <w:t>, y en particular sobre la presión que habría ejercido la Guardia Nacional sobre los cuerpos investigativos</w:t>
      </w:r>
      <w:r w:rsidR="00D3548F">
        <w:rPr>
          <w:rFonts w:ascii="Cambria" w:hAnsi="Cambria"/>
          <w:color w:val="000000" w:themeColor="text1"/>
          <w:sz w:val="20"/>
          <w:szCs w:val="20"/>
          <w:lang w:val="es-CO"/>
        </w:rPr>
        <w:t>,</w:t>
      </w:r>
      <w:r>
        <w:rPr>
          <w:rFonts w:ascii="Cambria" w:hAnsi="Cambria"/>
          <w:color w:val="000000" w:themeColor="text1"/>
          <w:sz w:val="20"/>
          <w:szCs w:val="20"/>
          <w:lang w:val="es-CO"/>
        </w:rPr>
        <w:t xml:space="preserve"> los internos y sus familiares durante la investigación</w:t>
      </w:r>
      <w:r>
        <w:rPr>
          <w:rStyle w:val="FootnoteReference"/>
          <w:rFonts w:ascii="Cambria" w:hAnsi="Cambria"/>
          <w:color w:val="000000" w:themeColor="text1"/>
          <w:sz w:val="20"/>
          <w:szCs w:val="20"/>
          <w:lang w:val="es-CO"/>
        </w:rPr>
        <w:footnoteReference w:id="89"/>
      </w:r>
      <w:r w:rsidR="00D3548F">
        <w:rPr>
          <w:rFonts w:ascii="Cambria" w:hAnsi="Cambria"/>
          <w:color w:val="000000" w:themeColor="text1"/>
          <w:sz w:val="20"/>
          <w:szCs w:val="20"/>
          <w:lang w:val="es-CO"/>
        </w:rPr>
        <w:t>.</w:t>
      </w:r>
      <w:r w:rsidR="00F97A27">
        <w:rPr>
          <w:rFonts w:ascii="Cambria" w:hAnsi="Cambria"/>
          <w:color w:val="000000" w:themeColor="text1"/>
          <w:sz w:val="20"/>
          <w:szCs w:val="20"/>
          <w:lang w:val="es-CO"/>
        </w:rPr>
        <w:t xml:space="preserve"> </w:t>
      </w:r>
      <w:r w:rsidR="00D3548F">
        <w:rPr>
          <w:rFonts w:ascii="Cambria" w:hAnsi="Cambria"/>
          <w:color w:val="000000" w:themeColor="text1"/>
          <w:sz w:val="20"/>
          <w:szCs w:val="20"/>
          <w:lang w:val="es-CO"/>
        </w:rPr>
        <w:t xml:space="preserve">Del </w:t>
      </w:r>
      <w:r w:rsidR="002E118B" w:rsidRPr="00424705">
        <w:rPr>
          <w:rFonts w:ascii="Cambria" w:hAnsi="Cambria"/>
          <w:color w:val="000000" w:themeColor="text1"/>
          <w:sz w:val="20"/>
          <w:szCs w:val="20"/>
          <w:lang w:val="es-VE"/>
        </w:rPr>
        <w:t xml:space="preserve">listado de pruebas que obran en el expediente </w:t>
      </w:r>
      <w:r w:rsidR="00602FC7">
        <w:rPr>
          <w:rFonts w:ascii="Cambria" w:hAnsi="Cambria"/>
          <w:color w:val="000000" w:themeColor="text1"/>
          <w:sz w:val="20"/>
          <w:szCs w:val="20"/>
          <w:lang w:val="es-VE"/>
        </w:rPr>
        <w:t>remitido</w:t>
      </w:r>
      <w:r w:rsidR="002E118B" w:rsidRPr="00424705">
        <w:rPr>
          <w:rFonts w:ascii="Cambria" w:hAnsi="Cambria"/>
          <w:color w:val="000000" w:themeColor="text1"/>
          <w:sz w:val="20"/>
          <w:szCs w:val="20"/>
          <w:lang w:val="es-VE"/>
        </w:rPr>
        <w:t xml:space="preserve"> por el Estado</w:t>
      </w:r>
      <w:r w:rsidR="00602FC7">
        <w:rPr>
          <w:rFonts w:ascii="Cambria" w:hAnsi="Cambria"/>
          <w:color w:val="000000" w:themeColor="text1"/>
          <w:sz w:val="20"/>
          <w:szCs w:val="20"/>
          <w:lang w:val="es-VE"/>
        </w:rPr>
        <w:t xml:space="preserve"> en 2013</w:t>
      </w:r>
      <w:r w:rsidR="002E118B" w:rsidRPr="00424705">
        <w:rPr>
          <w:rFonts w:ascii="Cambria" w:hAnsi="Cambria"/>
          <w:color w:val="000000" w:themeColor="text1"/>
          <w:sz w:val="20"/>
          <w:szCs w:val="20"/>
          <w:lang w:val="es-VE"/>
        </w:rPr>
        <w:t>, se desprende que no se ha solicitado o practicado ninguna prueba en el caso desde el año 2006.</w:t>
      </w:r>
    </w:p>
    <w:p w14:paraId="13BDCE62" w14:textId="77777777" w:rsidR="00424705" w:rsidRDefault="00424705" w:rsidP="00424705">
      <w:pPr>
        <w:pStyle w:val="ListParagraph"/>
        <w:rPr>
          <w:color w:val="000000" w:themeColor="text1"/>
          <w:sz w:val="20"/>
          <w:szCs w:val="20"/>
          <w:lang w:val="es-CO"/>
        </w:rPr>
      </w:pPr>
    </w:p>
    <w:p w14:paraId="16678963" w14:textId="57C13299" w:rsidR="00FD7FE9" w:rsidRPr="00C34F64" w:rsidRDefault="00FD7FE9" w:rsidP="004F5025">
      <w:pPr>
        <w:pStyle w:val="Heading3"/>
      </w:pPr>
      <w:bookmarkStart w:id="17" w:name="_Toc527708415"/>
      <w:r w:rsidRPr="00C34F64">
        <w:t>Las autopsias de las personas fallecidas</w:t>
      </w:r>
      <w:bookmarkEnd w:id="17"/>
    </w:p>
    <w:p w14:paraId="49AB1733" w14:textId="77777777" w:rsidR="00FD7FE9" w:rsidRDefault="00FD7FE9" w:rsidP="00FD7FE9">
      <w:pPr>
        <w:jc w:val="both"/>
        <w:rPr>
          <w:rFonts w:asciiTheme="majorHAnsi" w:hAnsiTheme="majorHAnsi"/>
          <w:b/>
          <w:sz w:val="20"/>
          <w:szCs w:val="20"/>
          <w:lang w:val="es-ES_tradnl"/>
        </w:rPr>
      </w:pPr>
    </w:p>
    <w:p w14:paraId="4A4065E7" w14:textId="3277AE26" w:rsidR="00FD7FE9" w:rsidRDefault="00FD7FE9" w:rsidP="004F57A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Se exhumaron y se les practicaron autopsias a cinco de los fallecidos el 22 de marzo de 2004. </w:t>
      </w:r>
      <w:r w:rsidRPr="00E50DFE">
        <w:rPr>
          <w:rFonts w:asciiTheme="majorHAnsi" w:hAnsiTheme="majorHAnsi"/>
          <w:sz w:val="20"/>
          <w:szCs w:val="20"/>
          <w:lang w:val="es-ES_tradnl"/>
        </w:rPr>
        <w:t xml:space="preserve">La exhumación y </w:t>
      </w:r>
      <w:r w:rsidRPr="004F57A9">
        <w:rPr>
          <w:rFonts w:ascii="Cambria" w:hAnsi="Cambria"/>
          <w:color w:val="000000" w:themeColor="text1"/>
          <w:sz w:val="20"/>
          <w:szCs w:val="20"/>
          <w:lang w:val="es-CO"/>
        </w:rPr>
        <w:t>autopsia</w:t>
      </w:r>
      <w:r w:rsidRPr="00E50DFE">
        <w:rPr>
          <w:rFonts w:asciiTheme="majorHAnsi" w:hAnsiTheme="majorHAnsi"/>
          <w:sz w:val="20"/>
          <w:szCs w:val="20"/>
          <w:lang w:val="es-ES_tradnl"/>
        </w:rPr>
        <w:t xml:space="preserve"> de Richard Núñez indica</w:t>
      </w:r>
      <w:r>
        <w:rPr>
          <w:rFonts w:asciiTheme="majorHAnsi" w:hAnsiTheme="majorHAnsi"/>
          <w:sz w:val="20"/>
          <w:szCs w:val="20"/>
          <w:lang w:val="es-ES_tradnl"/>
        </w:rPr>
        <w:t xml:space="preserve"> que </w:t>
      </w:r>
      <w:r w:rsidRPr="00E50DFE">
        <w:rPr>
          <w:rFonts w:asciiTheme="majorHAnsi" w:hAnsiTheme="majorHAnsi"/>
          <w:sz w:val="20"/>
          <w:szCs w:val="20"/>
          <w:lang w:val="es-ES_tradnl"/>
        </w:rPr>
        <w:t>la causa de muerte es “[f]ractura de cráneo debido a herida por arma de fuego a la cabeza”</w:t>
      </w:r>
      <w:r>
        <w:rPr>
          <w:rFonts w:asciiTheme="majorHAnsi" w:hAnsiTheme="majorHAnsi"/>
          <w:sz w:val="20"/>
          <w:szCs w:val="20"/>
          <w:lang w:val="es-ES_tradnl"/>
        </w:rPr>
        <w:t>.</w:t>
      </w:r>
      <w:r w:rsidRPr="00E50DFE">
        <w:rPr>
          <w:rFonts w:asciiTheme="majorHAnsi" w:hAnsiTheme="majorHAnsi"/>
          <w:sz w:val="20"/>
          <w:szCs w:val="20"/>
          <w:lang w:val="es-ES_tradnl"/>
        </w:rPr>
        <w:t xml:space="preserve"> </w:t>
      </w:r>
      <w:r>
        <w:rPr>
          <w:rFonts w:asciiTheme="majorHAnsi" w:hAnsiTheme="majorHAnsi"/>
          <w:sz w:val="20"/>
          <w:szCs w:val="20"/>
          <w:lang w:val="es-ES_tradnl"/>
        </w:rPr>
        <w:t>En particular, el proyectil “</w:t>
      </w:r>
      <w:r w:rsidRPr="00E50DFE">
        <w:rPr>
          <w:rFonts w:asciiTheme="majorHAnsi" w:hAnsiTheme="majorHAnsi"/>
          <w:sz w:val="20"/>
          <w:szCs w:val="20"/>
          <w:lang w:val="es-ES_tradnl"/>
        </w:rPr>
        <w:t>produ</w:t>
      </w:r>
      <w:r>
        <w:rPr>
          <w:rFonts w:asciiTheme="majorHAnsi" w:hAnsiTheme="majorHAnsi"/>
          <w:sz w:val="20"/>
          <w:szCs w:val="20"/>
          <w:lang w:val="es-ES_tradnl"/>
        </w:rPr>
        <w:t>[jo]</w:t>
      </w:r>
      <w:r w:rsidRPr="00E50DFE">
        <w:rPr>
          <w:rFonts w:asciiTheme="majorHAnsi" w:hAnsiTheme="majorHAnsi"/>
          <w:sz w:val="20"/>
          <w:szCs w:val="20"/>
          <w:lang w:val="es-ES_tradnl"/>
        </w:rPr>
        <w:t xml:space="preserve"> una trayectoria </w:t>
      </w:r>
      <w:r>
        <w:rPr>
          <w:rFonts w:asciiTheme="majorHAnsi" w:hAnsiTheme="majorHAnsi"/>
          <w:sz w:val="20"/>
          <w:szCs w:val="20"/>
          <w:lang w:val="es-ES_tradnl"/>
        </w:rPr>
        <w:t>de atrás adelante, de derecha a izquierda y de abajo arriba”, y “[s]</w:t>
      </w:r>
      <w:r w:rsidRPr="00E50DFE">
        <w:rPr>
          <w:rFonts w:asciiTheme="majorHAnsi" w:hAnsiTheme="majorHAnsi"/>
          <w:sz w:val="20"/>
          <w:szCs w:val="20"/>
          <w:lang w:val="es-ES_tradnl"/>
        </w:rPr>
        <w:t>e aprecia […] signos de hemorragia” en el cráneo. No se aprecian lesiones traumáticas en el resto del cuerpo</w:t>
      </w:r>
      <w:r>
        <w:rPr>
          <w:rStyle w:val="FootnoteReference"/>
          <w:rFonts w:asciiTheme="majorHAnsi" w:hAnsiTheme="majorHAnsi"/>
          <w:sz w:val="20"/>
          <w:szCs w:val="20"/>
          <w:lang w:val="es-ES_tradnl"/>
        </w:rPr>
        <w:footnoteReference w:id="90"/>
      </w:r>
      <w:r w:rsidRPr="00E50DFE">
        <w:rPr>
          <w:rFonts w:asciiTheme="majorHAnsi" w:hAnsiTheme="majorHAnsi"/>
          <w:sz w:val="20"/>
          <w:szCs w:val="20"/>
          <w:lang w:val="es-ES_tradnl"/>
        </w:rPr>
        <w:t xml:space="preserve">. </w:t>
      </w:r>
    </w:p>
    <w:p w14:paraId="23923C77" w14:textId="77777777" w:rsidR="00FD7FE9" w:rsidRDefault="00FD7FE9" w:rsidP="00FD7FE9">
      <w:pPr>
        <w:pStyle w:val="ListParagraph"/>
        <w:rPr>
          <w:rFonts w:asciiTheme="majorHAnsi" w:hAnsiTheme="majorHAnsi"/>
          <w:sz w:val="20"/>
          <w:szCs w:val="20"/>
          <w:lang w:val="es-ES_tradnl"/>
        </w:rPr>
      </w:pPr>
    </w:p>
    <w:p w14:paraId="3C266A23" w14:textId="3460A925" w:rsidR="00FD7FE9" w:rsidRDefault="00FD7FE9" w:rsidP="004F57A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E50DFE">
        <w:rPr>
          <w:rFonts w:asciiTheme="majorHAnsi" w:hAnsiTheme="majorHAnsi"/>
          <w:sz w:val="20"/>
          <w:szCs w:val="20"/>
          <w:lang w:val="es-ES_tradnl"/>
        </w:rPr>
        <w:t>La exhumación y autopsia de Orangel Figueroa indica</w:t>
      </w:r>
      <w:r>
        <w:rPr>
          <w:rFonts w:asciiTheme="majorHAnsi" w:hAnsiTheme="majorHAnsi"/>
          <w:sz w:val="20"/>
          <w:szCs w:val="20"/>
          <w:lang w:val="es-ES_tradnl"/>
        </w:rPr>
        <w:t xml:space="preserve"> </w:t>
      </w:r>
      <w:r w:rsidRPr="00E50DFE">
        <w:rPr>
          <w:rFonts w:asciiTheme="majorHAnsi" w:hAnsiTheme="majorHAnsi"/>
          <w:sz w:val="20"/>
          <w:szCs w:val="20"/>
          <w:lang w:val="es-ES_tradnl"/>
        </w:rPr>
        <w:t>que la causa de muerte es</w:t>
      </w:r>
      <w:r>
        <w:rPr>
          <w:rFonts w:asciiTheme="majorHAnsi" w:hAnsiTheme="majorHAnsi"/>
          <w:sz w:val="20"/>
          <w:szCs w:val="20"/>
          <w:lang w:val="es-ES_tradnl"/>
        </w:rPr>
        <w:t xml:space="preserve"> “[s]</w:t>
      </w:r>
      <w:r w:rsidRPr="00E50DFE">
        <w:rPr>
          <w:rFonts w:asciiTheme="majorHAnsi" w:hAnsiTheme="majorHAnsi"/>
          <w:sz w:val="20"/>
          <w:szCs w:val="20"/>
          <w:lang w:val="es-ES_tradnl"/>
        </w:rPr>
        <w:t>hock hipovolémico debido a herida por arma de fuego”.</w:t>
      </w:r>
      <w:r>
        <w:rPr>
          <w:rFonts w:asciiTheme="majorHAnsi" w:hAnsiTheme="majorHAnsi"/>
          <w:sz w:val="20"/>
          <w:szCs w:val="20"/>
          <w:lang w:val="es-ES_tradnl"/>
        </w:rPr>
        <w:t xml:space="preserve"> No se observaron lesiones traumáticas en la cabeza o cuello. Se observaron “</w:t>
      </w:r>
      <w:r w:rsidRPr="00E50DFE">
        <w:rPr>
          <w:rFonts w:asciiTheme="majorHAnsi" w:hAnsiTheme="majorHAnsi"/>
          <w:sz w:val="20"/>
          <w:szCs w:val="20"/>
          <w:lang w:val="es-ES_tradnl"/>
        </w:rPr>
        <w:t xml:space="preserve">fracturas de arcos costales derechos e izquierdo </w:t>
      </w:r>
      <w:r>
        <w:rPr>
          <w:rFonts w:asciiTheme="majorHAnsi" w:hAnsiTheme="majorHAnsi"/>
          <w:sz w:val="20"/>
          <w:szCs w:val="20"/>
          <w:lang w:val="es-ES_tradnl"/>
        </w:rPr>
        <w:t xml:space="preserve">[que] </w:t>
      </w:r>
      <w:r w:rsidRPr="00E50DFE">
        <w:rPr>
          <w:rFonts w:asciiTheme="majorHAnsi" w:hAnsiTheme="majorHAnsi"/>
          <w:sz w:val="20"/>
          <w:szCs w:val="20"/>
          <w:lang w:val="es-ES_tradnl"/>
        </w:rPr>
        <w:t>podrían corresponder al trayecto de un proyectil que entra fracturando cuarto arco costal izquierdo y sale fracturando octa</w:t>
      </w:r>
      <w:r>
        <w:rPr>
          <w:rFonts w:asciiTheme="majorHAnsi" w:hAnsiTheme="majorHAnsi"/>
          <w:sz w:val="20"/>
          <w:szCs w:val="20"/>
          <w:lang w:val="es-ES_tradnl"/>
        </w:rPr>
        <w:t>vo y decimo costal derecho</w:t>
      </w:r>
      <w:r w:rsidRPr="00E50DFE">
        <w:rPr>
          <w:rFonts w:asciiTheme="majorHAnsi" w:hAnsiTheme="majorHAnsi"/>
          <w:sz w:val="20"/>
          <w:szCs w:val="20"/>
          <w:lang w:val="es-ES_tradnl"/>
        </w:rPr>
        <w:t>”</w:t>
      </w:r>
      <w:r>
        <w:rPr>
          <w:rFonts w:asciiTheme="majorHAnsi" w:hAnsiTheme="majorHAnsi"/>
          <w:sz w:val="20"/>
          <w:szCs w:val="20"/>
          <w:lang w:val="es-ES_tradnl"/>
        </w:rPr>
        <w:t>. Asimismo, “[a]</w:t>
      </w:r>
      <w:r w:rsidRPr="00E50DFE">
        <w:rPr>
          <w:rFonts w:asciiTheme="majorHAnsi" w:hAnsiTheme="majorHAnsi"/>
          <w:sz w:val="20"/>
          <w:szCs w:val="20"/>
          <w:lang w:val="es-ES_tradnl"/>
        </w:rPr>
        <w:t xml:space="preserve"> nivel de pelvis ósea se observan dos orificios de entrada producidos por el paso del proyec</w:t>
      </w:r>
      <w:r>
        <w:rPr>
          <w:rFonts w:asciiTheme="majorHAnsi" w:hAnsiTheme="majorHAnsi"/>
          <w:sz w:val="20"/>
          <w:szCs w:val="20"/>
          <w:lang w:val="es-ES_tradnl"/>
        </w:rPr>
        <w:t>to [sic], disparado por arma de fuego</w:t>
      </w:r>
      <w:r w:rsidRPr="00E50DFE">
        <w:rPr>
          <w:rFonts w:asciiTheme="majorHAnsi" w:hAnsiTheme="majorHAnsi"/>
          <w:sz w:val="20"/>
          <w:szCs w:val="20"/>
          <w:lang w:val="es-ES_tradnl"/>
        </w:rPr>
        <w:t>”</w:t>
      </w:r>
      <w:r>
        <w:rPr>
          <w:rFonts w:asciiTheme="majorHAnsi" w:hAnsiTheme="majorHAnsi"/>
          <w:sz w:val="20"/>
          <w:szCs w:val="20"/>
          <w:lang w:val="es-ES_tradnl"/>
        </w:rPr>
        <w:t>.</w:t>
      </w:r>
      <w:r w:rsidRPr="00E50DFE">
        <w:rPr>
          <w:rFonts w:asciiTheme="majorHAnsi" w:hAnsiTheme="majorHAnsi"/>
          <w:sz w:val="20"/>
          <w:szCs w:val="20"/>
          <w:lang w:val="es-ES_tradnl"/>
        </w:rPr>
        <w:t xml:space="preserve"> En radiografía, “se observó proyecto</w:t>
      </w:r>
      <w:r>
        <w:rPr>
          <w:rFonts w:asciiTheme="majorHAnsi" w:hAnsiTheme="majorHAnsi"/>
          <w:sz w:val="20"/>
          <w:szCs w:val="20"/>
          <w:lang w:val="es-ES_tradnl"/>
        </w:rPr>
        <w:t xml:space="preserve"> [sic]</w:t>
      </w:r>
      <w:r w:rsidRPr="00E50DFE">
        <w:rPr>
          <w:rFonts w:asciiTheme="majorHAnsi" w:hAnsiTheme="majorHAnsi"/>
          <w:sz w:val="20"/>
          <w:szCs w:val="20"/>
          <w:lang w:val="es-ES_tradnl"/>
        </w:rPr>
        <w:t xml:space="preserve"> (plomo y blindaj</w:t>
      </w:r>
      <w:r>
        <w:rPr>
          <w:rFonts w:asciiTheme="majorHAnsi" w:hAnsiTheme="majorHAnsi"/>
          <w:sz w:val="20"/>
          <w:szCs w:val="20"/>
          <w:lang w:val="es-ES_tradnl"/>
        </w:rPr>
        <w:t>e) en cabeza de fémur izquierdo</w:t>
      </w:r>
      <w:r w:rsidRPr="00E50DFE">
        <w:rPr>
          <w:rFonts w:asciiTheme="majorHAnsi" w:hAnsiTheme="majorHAnsi"/>
          <w:sz w:val="20"/>
          <w:szCs w:val="20"/>
          <w:lang w:val="es-ES_tradnl"/>
        </w:rPr>
        <w:t>”</w:t>
      </w:r>
      <w:r>
        <w:rPr>
          <w:rStyle w:val="FootnoteReference"/>
          <w:rFonts w:asciiTheme="majorHAnsi" w:hAnsiTheme="majorHAnsi"/>
          <w:sz w:val="20"/>
          <w:szCs w:val="20"/>
          <w:lang w:val="es-ES_tradnl"/>
        </w:rPr>
        <w:footnoteReference w:id="91"/>
      </w:r>
      <w:r w:rsidRPr="00E50DFE">
        <w:rPr>
          <w:rFonts w:asciiTheme="majorHAnsi" w:hAnsiTheme="majorHAnsi"/>
          <w:sz w:val="20"/>
          <w:szCs w:val="20"/>
          <w:lang w:val="es-ES_tradnl"/>
        </w:rPr>
        <w:t xml:space="preserve">. </w:t>
      </w:r>
    </w:p>
    <w:p w14:paraId="28C29071" w14:textId="77777777" w:rsidR="00FD7FE9" w:rsidRDefault="00FD7FE9" w:rsidP="00FD7FE9">
      <w:pPr>
        <w:pStyle w:val="ListParagraph"/>
        <w:rPr>
          <w:rFonts w:asciiTheme="majorHAnsi" w:hAnsiTheme="majorHAnsi"/>
          <w:sz w:val="20"/>
          <w:szCs w:val="20"/>
          <w:lang w:val="es-ES_tradnl"/>
        </w:rPr>
      </w:pPr>
    </w:p>
    <w:p w14:paraId="4B2BFCB7" w14:textId="7B45B2E6" w:rsidR="00FD7FE9" w:rsidRDefault="00FD7FE9" w:rsidP="004F57A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E50DFE">
        <w:rPr>
          <w:rFonts w:asciiTheme="majorHAnsi" w:hAnsiTheme="majorHAnsi"/>
          <w:sz w:val="20"/>
          <w:szCs w:val="20"/>
          <w:lang w:val="es-ES_tradnl"/>
        </w:rPr>
        <w:t>La exhumación y autopsia de José Gregorio Bolívar indica</w:t>
      </w:r>
      <w:r>
        <w:rPr>
          <w:rFonts w:asciiTheme="majorHAnsi" w:hAnsiTheme="majorHAnsi"/>
          <w:sz w:val="20"/>
          <w:szCs w:val="20"/>
          <w:lang w:val="es-ES_tradnl"/>
        </w:rPr>
        <w:t xml:space="preserve"> </w:t>
      </w:r>
      <w:r w:rsidRPr="00E50DFE">
        <w:rPr>
          <w:rFonts w:asciiTheme="majorHAnsi" w:hAnsiTheme="majorHAnsi"/>
          <w:sz w:val="20"/>
          <w:szCs w:val="20"/>
          <w:lang w:val="es-ES_tradnl"/>
        </w:rPr>
        <w:t>que la causa de muerte es</w:t>
      </w:r>
      <w:r>
        <w:rPr>
          <w:rFonts w:asciiTheme="majorHAnsi" w:hAnsiTheme="majorHAnsi"/>
          <w:sz w:val="20"/>
          <w:szCs w:val="20"/>
          <w:lang w:val="es-ES_tradnl"/>
        </w:rPr>
        <w:t xml:space="preserve"> “[f]</w:t>
      </w:r>
      <w:r w:rsidRPr="00E50DFE">
        <w:rPr>
          <w:rFonts w:asciiTheme="majorHAnsi" w:hAnsiTheme="majorHAnsi"/>
          <w:sz w:val="20"/>
          <w:szCs w:val="20"/>
          <w:lang w:val="es-ES_tradnl"/>
        </w:rPr>
        <w:t>ractura de cráneo debido a herida por arma de fuego en la cabeza”.</w:t>
      </w:r>
      <w:r>
        <w:rPr>
          <w:rFonts w:asciiTheme="majorHAnsi" w:hAnsiTheme="majorHAnsi"/>
          <w:sz w:val="20"/>
          <w:szCs w:val="20"/>
          <w:lang w:val="es-ES_tradnl"/>
        </w:rPr>
        <w:t xml:space="preserve"> En particular, se observaron en el cráneo f</w:t>
      </w:r>
      <w:r w:rsidRPr="00E50DFE">
        <w:rPr>
          <w:rFonts w:asciiTheme="majorHAnsi" w:hAnsiTheme="majorHAnsi"/>
          <w:sz w:val="20"/>
          <w:szCs w:val="20"/>
          <w:lang w:val="es-ES_tradnl"/>
        </w:rPr>
        <w:t>racturas ocasionadas por proyectil</w:t>
      </w:r>
      <w:r>
        <w:rPr>
          <w:rFonts w:asciiTheme="majorHAnsi" w:hAnsiTheme="majorHAnsi"/>
          <w:sz w:val="20"/>
          <w:szCs w:val="20"/>
          <w:lang w:val="es-ES_tradnl"/>
        </w:rPr>
        <w:t>, con “trayectoria de delante [sic] atrás, de izquierda a derecha y de arriba abajo”</w:t>
      </w:r>
      <w:r w:rsidRPr="00E50DFE">
        <w:rPr>
          <w:rFonts w:asciiTheme="majorHAnsi" w:hAnsiTheme="majorHAnsi"/>
          <w:sz w:val="20"/>
          <w:szCs w:val="20"/>
          <w:lang w:val="es-ES_tradnl"/>
        </w:rPr>
        <w:t>.</w:t>
      </w:r>
      <w:r>
        <w:rPr>
          <w:rFonts w:asciiTheme="majorHAnsi" w:hAnsiTheme="majorHAnsi"/>
          <w:sz w:val="20"/>
          <w:szCs w:val="20"/>
          <w:lang w:val="es-ES_tradnl"/>
        </w:rPr>
        <w:t xml:space="preserve"> Asimismo, </w:t>
      </w:r>
      <w:r w:rsidRPr="00E50DFE">
        <w:rPr>
          <w:rFonts w:asciiTheme="majorHAnsi" w:hAnsiTheme="majorHAnsi"/>
          <w:sz w:val="20"/>
          <w:szCs w:val="20"/>
          <w:lang w:val="es-ES_tradnl"/>
        </w:rPr>
        <w:t>“</w:t>
      </w:r>
      <w:r>
        <w:rPr>
          <w:rFonts w:asciiTheme="majorHAnsi" w:hAnsiTheme="majorHAnsi"/>
          <w:sz w:val="20"/>
          <w:szCs w:val="20"/>
          <w:lang w:val="es-ES_tradnl"/>
        </w:rPr>
        <w:t>[a]</w:t>
      </w:r>
      <w:r w:rsidRPr="00E50DFE">
        <w:rPr>
          <w:rFonts w:asciiTheme="majorHAnsi" w:hAnsiTheme="majorHAnsi"/>
          <w:sz w:val="20"/>
          <w:szCs w:val="20"/>
          <w:lang w:val="es-ES_tradnl"/>
        </w:rPr>
        <w:t xml:space="preserve"> nivel de hemitórax anterior izquierdo </w:t>
      </w:r>
      <w:r>
        <w:rPr>
          <w:rFonts w:asciiTheme="majorHAnsi" w:hAnsiTheme="majorHAnsi"/>
          <w:sz w:val="20"/>
          <w:szCs w:val="20"/>
          <w:lang w:val="es-ES_tradnl"/>
        </w:rPr>
        <w:t>[…]</w:t>
      </w:r>
      <w:r w:rsidRPr="00E50DFE">
        <w:rPr>
          <w:rFonts w:asciiTheme="majorHAnsi" w:hAnsiTheme="majorHAnsi"/>
          <w:sz w:val="20"/>
          <w:szCs w:val="20"/>
          <w:lang w:val="es-ES_tradnl"/>
        </w:rPr>
        <w:t xml:space="preserve"> se aprecia pérdida de tejido de 4 cm, el cual corresponde a </w:t>
      </w:r>
      <w:r>
        <w:rPr>
          <w:rFonts w:asciiTheme="majorHAnsi" w:hAnsiTheme="majorHAnsi"/>
          <w:sz w:val="20"/>
          <w:szCs w:val="20"/>
          <w:lang w:val="es-ES_tradnl"/>
        </w:rPr>
        <w:t>[…]</w:t>
      </w:r>
      <w:r w:rsidRPr="00E50DFE">
        <w:rPr>
          <w:rFonts w:asciiTheme="majorHAnsi" w:hAnsiTheme="majorHAnsi"/>
          <w:sz w:val="20"/>
          <w:szCs w:val="20"/>
          <w:lang w:val="es-ES_tradnl"/>
        </w:rPr>
        <w:t xml:space="preserve"> paso de proyectiles múltiples (perdigones)</w:t>
      </w:r>
      <w:r>
        <w:rPr>
          <w:rFonts w:asciiTheme="majorHAnsi" w:hAnsiTheme="majorHAnsi"/>
          <w:sz w:val="20"/>
          <w:szCs w:val="20"/>
          <w:lang w:val="es-ES_tradnl"/>
        </w:rPr>
        <w:t xml:space="preserve"> […]</w:t>
      </w:r>
      <w:r w:rsidRPr="00E50DFE">
        <w:rPr>
          <w:rFonts w:asciiTheme="majorHAnsi" w:hAnsiTheme="majorHAnsi"/>
          <w:sz w:val="20"/>
          <w:szCs w:val="20"/>
          <w:lang w:val="es-ES_tradnl"/>
        </w:rPr>
        <w:t xml:space="preserve">”. Se aprecian perdigones a lo largo del tórax, </w:t>
      </w:r>
      <w:r>
        <w:rPr>
          <w:rFonts w:asciiTheme="majorHAnsi" w:hAnsiTheme="majorHAnsi"/>
          <w:sz w:val="20"/>
          <w:szCs w:val="20"/>
          <w:lang w:val="es-ES_tradnl"/>
        </w:rPr>
        <w:t>así como</w:t>
      </w:r>
      <w:r w:rsidRPr="00E50DFE">
        <w:rPr>
          <w:rFonts w:asciiTheme="majorHAnsi" w:hAnsiTheme="majorHAnsi"/>
          <w:sz w:val="20"/>
          <w:szCs w:val="20"/>
          <w:lang w:val="es-ES_tradnl"/>
        </w:rPr>
        <w:t xml:space="preserve"> cinco arcos costales fracturados. “Estas fracturas no son producidas por proyectiles, en vista a la amplitud de la pérdida de tejido [...] dichas fracturas deben haber sido producto de traumatismos contundentes”. Sin lesiones traumáticas que describir en el resto del cuerpo</w:t>
      </w:r>
      <w:r>
        <w:rPr>
          <w:rStyle w:val="FootnoteReference"/>
          <w:rFonts w:asciiTheme="majorHAnsi" w:hAnsiTheme="majorHAnsi"/>
          <w:sz w:val="20"/>
          <w:szCs w:val="20"/>
          <w:lang w:val="es-ES_tradnl"/>
        </w:rPr>
        <w:footnoteReference w:id="92"/>
      </w:r>
      <w:r w:rsidRPr="00E50DFE">
        <w:rPr>
          <w:rFonts w:asciiTheme="majorHAnsi" w:hAnsiTheme="majorHAnsi"/>
          <w:sz w:val="20"/>
          <w:szCs w:val="20"/>
          <w:lang w:val="es-ES_tradnl"/>
        </w:rPr>
        <w:t xml:space="preserve">. </w:t>
      </w:r>
    </w:p>
    <w:p w14:paraId="718AE520" w14:textId="77777777" w:rsidR="00FD7FE9" w:rsidRDefault="00FD7FE9" w:rsidP="00FD7FE9">
      <w:pPr>
        <w:pStyle w:val="ListParagraph"/>
        <w:rPr>
          <w:rFonts w:asciiTheme="majorHAnsi" w:hAnsiTheme="majorHAnsi"/>
          <w:sz w:val="20"/>
          <w:szCs w:val="20"/>
          <w:lang w:val="es-ES_tradnl"/>
        </w:rPr>
      </w:pPr>
    </w:p>
    <w:p w14:paraId="7884E4FF" w14:textId="13DE79AC" w:rsidR="00FD7FE9" w:rsidRDefault="00FD7FE9" w:rsidP="004F57A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E50DFE">
        <w:rPr>
          <w:rFonts w:asciiTheme="majorHAnsi" w:hAnsiTheme="majorHAnsi"/>
          <w:sz w:val="20"/>
          <w:szCs w:val="20"/>
          <w:lang w:val="es-ES_tradnl"/>
        </w:rPr>
        <w:t>La exhumación y autopsia de Héctor Muñoz indica</w:t>
      </w:r>
      <w:r>
        <w:rPr>
          <w:rFonts w:asciiTheme="majorHAnsi" w:hAnsiTheme="majorHAnsi"/>
          <w:sz w:val="20"/>
          <w:szCs w:val="20"/>
          <w:lang w:val="es-ES_tradnl"/>
        </w:rPr>
        <w:t xml:space="preserve"> “</w:t>
      </w:r>
      <w:r w:rsidRPr="00E50DFE">
        <w:rPr>
          <w:rFonts w:asciiTheme="majorHAnsi" w:hAnsiTheme="majorHAnsi"/>
          <w:sz w:val="20"/>
          <w:szCs w:val="20"/>
          <w:lang w:val="es-ES_tradnl"/>
        </w:rPr>
        <w:t>tres orificios producidos por el paso de proyectil disparado por arma de fuego”</w:t>
      </w:r>
      <w:r>
        <w:rPr>
          <w:rFonts w:asciiTheme="majorHAnsi" w:hAnsiTheme="majorHAnsi"/>
          <w:sz w:val="20"/>
          <w:szCs w:val="20"/>
          <w:lang w:val="es-ES_tradnl"/>
        </w:rPr>
        <w:t xml:space="preserve">, y concluye </w:t>
      </w:r>
      <w:r w:rsidRPr="00E50DFE">
        <w:rPr>
          <w:rFonts w:asciiTheme="majorHAnsi" w:hAnsiTheme="majorHAnsi"/>
          <w:sz w:val="20"/>
          <w:szCs w:val="20"/>
          <w:lang w:val="es-ES_tradnl"/>
        </w:rPr>
        <w:t>que la causa de muerte es</w:t>
      </w:r>
      <w:r>
        <w:rPr>
          <w:rFonts w:asciiTheme="majorHAnsi" w:hAnsiTheme="majorHAnsi"/>
          <w:sz w:val="20"/>
          <w:szCs w:val="20"/>
          <w:lang w:val="es-ES_tradnl"/>
        </w:rPr>
        <w:t xml:space="preserve"> “[f]</w:t>
      </w:r>
      <w:r w:rsidRPr="00E50DFE">
        <w:rPr>
          <w:rFonts w:asciiTheme="majorHAnsi" w:hAnsiTheme="majorHAnsi"/>
          <w:sz w:val="20"/>
          <w:szCs w:val="20"/>
          <w:lang w:val="es-ES_tradnl"/>
        </w:rPr>
        <w:t>ractura poli</w:t>
      </w:r>
      <w:r>
        <w:rPr>
          <w:rFonts w:asciiTheme="majorHAnsi" w:hAnsiTheme="majorHAnsi"/>
          <w:sz w:val="20"/>
          <w:szCs w:val="20"/>
          <w:lang w:val="es-ES_tradnl"/>
        </w:rPr>
        <w:t>-</w:t>
      </w:r>
      <w:r w:rsidRPr="00E50DFE">
        <w:rPr>
          <w:rFonts w:asciiTheme="majorHAnsi" w:hAnsiTheme="majorHAnsi"/>
          <w:sz w:val="20"/>
          <w:szCs w:val="20"/>
          <w:lang w:val="es-ES_tradnl"/>
        </w:rPr>
        <w:t xml:space="preserve">fragmentaria de </w:t>
      </w:r>
      <w:r w:rsidRPr="00E50DFE">
        <w:rPr>
          <w:rFonts w:asciiTheme="majorHAnsi" w:hAnsiTheme="majorHAnsi"/>
          <w:sz w:val="20"/>
          <w:szCs w:val="20"/>
          <w:lang w:val="es-ES_tradnl"/>
        </w:rPr>
        <w:lastRenderedPageBreak/>
        <w:t>cráneo debido a heridas por arma de fuego en la cabeza</w:t>
      </w:r>
      <w:r>
        <w:rPr>
          <w:rFonts w:asciiTheme="majorHAnsi" w:hAnsiTheme="majorHAnsi"/>
          <w:sz w:val="20"/>
          <w:szCs w:val="20"/>
          <w:lang w:val="es-ES_tradnl"/>
        </w:rPr>
        <w:t>”</w:t>
      </w:r>
      <w:r w:rsidRPr="00E50DFE">
        <w:rPr>
          <w:rFonts w:asciiTheme="majorHAnsi" w:hAnsiTheme="majorHAnsi"/>
          <w:sz w:val="20"/>
          <w:szCs w:val="20"/>
          <w:lang w:val="es-ES_tradnl"/>
        </w:rPr>
        <w:t>.</w:t>
      </w:r>
      <w:r>
        <w:rPr>
          <w:rFonts w:asciiTheme="majorHAnsi" w:hAnsiTheme="majorHAnsi"/>
          <w:sz w:val="20"/>
          <w:szCs w:val="20"/>
          <w:lang w:val="es-ES_tradnl"/>
        </w:rPr>
        <w:t xml:space="preserve"> Trayectoria “de atrás adelante, de derecha a izquierda y ligeramente descendente”. </w:t>
      </w:r>
      <w:r w:rsidRPr="00E50DFE">
        <w:rPr>
          <w:rFonts w:asciiTheme="majorHAnsi" w:hAnsiTheme="majorHAnsi"/>
          <w:sz w:val="20"/>
          <w:szCs w:val="20"/>
          <w:lang w:val="es-ES_tradnl"/>
        </w:rPr>
        <w:t>Sin lesiones traumáticas que describir en el resto del cuerpo</w:t>
      </w:r>
      <w:r>
        <w:rPr>
          <w:rStyle w:val="FootnoteReference"/>
          <w:rFonts w:asciiTheme="majorHAnsi" w:hAnsiTheme="majorHAnsi"/>
          <w:sz w:val="20"/>
          <w:szCs w:val="20"/>
          <w:lang w:val="es-ES_tradnl"/>
        </w:rPr>
        <w:footnoteReference w:id="93"/>
      </w:r>
      <w:r w:rsidRPr="00E50DFE">
        <w:rPr>
          <w:rFonts w:asciiTheme="majorHAnsi" w:hAnsiTheme="majorHAnsi"/>
          <w:sz w:val="20"/>
          <w:szCs w:val="20"/>
          <w:lang w:val="es-ES_tradnl"/>
        </w:rPr>
        <w:t xml:space="preserve">. </w:t>
      </w:r>
    </w:p>
    <w:p w14:paraId="1D520BE4" w14:textId="77777777" w:rsidR="00FD7FE9" w:rsidRDefault="00FD7FE9" w:rsidP="00FD7FE9">
      <w:pPr>
        <w:pStyle w:val="ListParagraph"/>
        <w:rPr>
          <w:rFonts w:asciiTheme="majorHAnsi" w:hAnsiTheme="majorHAnsi"/>
          <w:sz w:val="20"/>
          <w:szCs w:val="20"/>
          <w:lang w:val="es-ES_tradnl"/>
        </w:rPr>
      </w:pPr>
    </w:p>
    <w:p w14:paraId="6F9EEA0A" w14:textId="6D5DC7D2" w:rsidR="00FD7FE9" w:rsidRDefault="00FD7FE9" w:rsidP="004F57A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La documentación de la </w:t>
      </w:r>
      <w:r w:rsidRPr="00E50DFE">
        <w:rPr>
          <w:rFonts w:asciiTheme="majorHAnsi" w:hAnsiTheme="majorHAnsi"/>
          <w:sz w:val="20"/>
          <w:szCs w:val="20"/>
          <w:lang w:val="es-ES_tradnl"/>
        </w:rPr>
        <w:t>exhumación y autopsia de</w:t>
      </w:r>
      <w:r>
        <w:rPr>
          <w:rFonts w:asciiTheme="majorHAnsi" w:hAnsiTheme="majorHAnsi"/>
          <w:sz w:val="20"/>
          <w:szCs w:val="20"/>
          <w:lang w:val="es-ES_tradnl"/>
        </w:rPr>
        <w:t xml:space="preserve"> </w:t>
      </w:r>
      <w:r w:rsidRPr="00E50DFE">
        <w:rPr>
          <w:rFonts w:asciiTheme="majorHAnsi" w:hAnsiTheme="majorHAnsi"/>
          <w:sz w:val="20"/>
          <w:szCs w:val="20"/>
          <w:lang w:val="es-ES_tradnl"/>
        </w:rPr>
        <w:t>Joel Reyes</w:t>
      </w:r>
      <w:r w:rsidRPr="003E1DC3">
        <w:rPr>
          <w:rFonts w:asciiTheme="majorHAnsi" w:hAnsiTheme="majorHAnsi"/>
          <w:sz w:val="20"/>
          <w:szCs w:val="20"/>
          <w:lang w:val="es-ES_tradnl"/>
        </w:rPr>
        <w:t xml:space="preserve"> </w:t>
      </w:r>
      <w:r>
        <w:rPr>
          <w:rFonts w:asciiTheme="majorHAnsi" w:hAnsiTheme="majorHAnsi"/>
          <w:sz w:val="20"/>
          <w:szCs w:val="20"/>
          <w:lang w:val="es-ES_tradnl"/>
        </w:rPr>
        <w:t xml:space="preserve">está incompleta. </w:t>
      </w:r>
      <w:r w:rsidRPr="003E1DC3">
        <w:rPr>
          <w:rFonts w:asciiTheme="majorHAnsi" w:hAnsiTheme="majorHAnsi"/>
          <w:sz w:val="20"/>
          <w:szCs w:val="20"/>
          <w:lang w:val="es-ES_tradnl"/>
        </w:rPr>
        <w:t xml:space="preserve">Se cuenta </w:t>
      </w:r>
      <w:r>
        <w:rPr>
          <w:rFonts w:asciiTheme="majorHAnsi" w:hAnsiTheme="majorHAnsi"/>
          <w:sz w:val="20"/>
          <w:szCs w:val="20"/>
          <w:lang w:val="es-ES_tradnl"/>
        </w:rPr>
        <w:t xml:space="preserve">únicamente </w:t>
      </w:r>
      <w:r w:rsidRPr="003E1DC3">
        <w:rPr>
          <w:rFonts w:asciiTheme="majorHAnsi" w:hAnsiTheme="majorHAnsi"/>
          <w:sz w:val="20"/>
          <w:szCs w:val="20"/>
          <w:lang w:val="es-ES_tradnl"/>
        </w:rPr>
        <w:t xml:space="preserve">con algunas de las fotos de su cadáver y la autopsia que muestran en el cráneo un orificio </w:t>
      </w:r>
      <w:r>
        <w:rPr>
          <w:rFonts w:asciiTheme="majorHAnsi" w:hAnsiTheme="majorHAnsi"/>
          <w:sz w:val="20"/>
          <w:szCs w:val="20"/>
          <w:lang w:val="es-ES_tradnl"/>
        </w:rPr>
        <w:t xml:space="preserve">de entrada de aproximadamente 1.5 x 1 cm a la altura del ojo izquierdo y orificio de salida de 4.3 x 3 cm cerca de la oreja derecha, </w:t>
      </w:r>
      <w:r w:rsidRPr="003E1DC3">
        <w:rPr>
          <w:rFonts w:asciiTheme="majorHAnsi" w:hAnsiTheme="majorHAnsi"/>
          <w:sz w:val="20"/>
          <w:szCs w:val="20"/>
          <w:lang w:val="es-ES_tradnl"/>
        </w:rPr>
        <w:t>presuntamente producido por arma de fuego</w:t>
      </w:r>
      <w:r>
        <w:rPr>
          <w:rStyle w:val="FootnoteReference"/>
          <w:rFonts w:asciiTheme="majorHAnsi" w:hAnsiTheme="majorHAnsi"/>
          <w:sz w:val="20"/>
          <w:szCs w:val="20"/>
          <w:lang w:val="es-ES_tradnl"/>
        </w:rPr>
        <w:footnoteReference w:id="94"/>
      </w:r>
      <w:r w:rsidRPr="003E1DC3">
        <w:rPr>
          <w:rFonts w:asciiTheme="majorHAnsi" w:hAnsiTheme="majorHAnsi"/>
          <w:sz w:val="20"/>
          <w:szCs w:val="20"/>
          <w:lang w:val="es-ES_tradnl"/>
        </w:rPr>
        <w:t>.</w:t>
      </w:r>
    </w:p>
    <w:p w14:paraId="3E857506" w14:textId="77777777" w:rsidR="00FD7FE9" w:rsidRDefault="00FD7FE9" w:rsidP="00FD7FE9">
      <w:pPr>
        <w:pStyle w:val="ListParagraph"/>
        <w:rPr>
          <w:rFonts w:asciiTheme="majorHAnsi" w:hAnsiTheme="majorHAnsi"/>
          <w:sz w:val="20"/>
          <w:szCs w:val="20"/>
          <w:lang w:val="es-ES_tradnl"/>
        </w:rPr>
      </w:pPr>
    </w:p>
    <w:p w14:paraId="33A0621C" w14:textId="073DC784" w:rsidR="00FD7FE9" w:rsidRPr="004F57A9" w:rsidRDefault="00FD7FE9" w:rsidP="004F57A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4F57A9">
        <w:rPr>
          <w:rFonts w:asciiTheme="majorHAnsi" w:hAnsiTheme="majorHAnsi"/>
          <w:sz w:val="20"/>
          <w:szCs w:val="20"/>
          <w:lang w:val="es-ES_tradnl"/>
        </w:rPr>
        <w:t xml:space="preserve">No se cuenta con documentación de las autopsias de </w:t>
      </w:r>
      <w:r w:rsidRPr="004F57A9">
        <w:rPr>
          <w:rFonts w:asciiTheme="majorHAnsi" w:hAnsiTheme="majorHAnsi"/>
          <w:sz w:val="20"/>
          <w:szCs w:val="20"/>
          <w:lang w:val="es-CO"/>
        </w:rPr>
        <w:t>Orlando Olivares y Pedro Chaurán. El Estado indicó que las autopsias practicadas el 11 de noviembre de 200</w:t>
      </w:r>
      <w:r w:rsidR="00706FDA" w:rsidRPr="004F57A9">
        <w:rPr>
          <w:rFonts w:asciiTheme="majorHAnsi" w:hAnsiTheme="majorHAnsi"/>
          <w:sz w:val="20"/>
          <w:szCs w:val="20"/>
          <w:lang w:val="es-CO"/>
        </w:rPr>
        <w:t xml:space="preserve">3 determinaron que </w:t>
      </w:r>
      <w:r w:rsidRPr="004F57A9">
        <w:rPr>
          <w:rFonts w:asciiTheme="majorHAnsi" w:hAnsiTheme="majorHAnsi"/>
          <w:sz w:val="20"/>
          <w:szCs w:val="20"/>
          <w:lang w:val="es-CO"/>
        </w:rPr>
        <w:t>la causa de muerte de Pedro Chaurán es “Traumatismo cráneo encefálico por 1 herida de arma de fuego” y de Orlando Olivares, “Shock hipovolémico por hemorragia interna debido a heridas por arma de fuego y herida por arma blanca”</w:t>
      </w:r>
      <w:r w:rsidRPr="00E50DFE">
        <w:rPr>
          <w:rFonts w:asciiTheme="majorHAnsi" w:hAnsiTheme="majorHAnsi"/>
          <w:sz w:val="20"/>
          <w:szCs w:val="20"/>
          <w:vertAlign w:val="superscript"/>
          <w:lang w:val="es-CO"/>
        </w:rPr>
        <w:footnoteReference w:id="95"/>
      </w:r>
      <w:r w:rsidR="004F57A9">
        <w:rPr>
          <w:rFonts w:asciiTheme="majorHAnsi" w:hAnsiTheme="majorHAnsi"/>
          <w:sz w:val="20"/>
          <w:szCs w:val="20"/>
          <w:lang w:val="es-CO"/>
        </w:rPr>
        <w:t>.</w:t>
      </w:r>
      <w:r w:rsidRPr="004F57A9">
        <w:rPr>
          <w:rFonts w:asciiTheme="majorHAnsi" w:hAnsiTheme="majorHAnsi"/>
          <w:sz w:val="20"/>
          <w:szCs w:val="20"/>
          <w:lang w:val="es-CO"/>
        </w:rPr>
        <w:t xml:space="preserve"> Sobre las exhumaciones y autopsias de estos dos, una nota de prensa reportó </w:t>
      </w:r>
      <w:r w:rsidR="004F57A9">
        <w:rPr>
          <w:rFonts w:asciiTheme="majorHAnsi" w:hAnsiTheme="majorHAnsi"/>
          <w:sz w:val="20"/>
          <w:szCs w:val="20"/>
          <w:lang w:val="es-CO"/>
        </w:rPr>
        <w:t>“</w:t>
      </w:r>
      <w:r w:rsidRPr="004F57A9">
        <w:rPr>
          <w:rFonts w:asciiTheme="majorHAnsi" w:hAnsiTheme="majorHAnsi"/>
          <w:sz w:val="20"/>
          <w:szCs w:val="20"/>
          <w:lang w:val="es-CO"/>
        </w:rPr>
        <w:t>algunos disparos se realizaron desde muy cerca y otros a quemarropa, pues hay rasgos de tatuaje. Asimismo, según el examen, los cuerpos estaban muy golpeados. Al igual que los primeros cinco exhumaciones [sic], estos dos tenían fracturas de cráneo y extremidades, así como las mandíbulas desprendidas. Estos hallazgos no están registrados en el primer informe forense que se presentó”</w:t>
      </w:r>
      <w:r>
        <w:rPr>
          <w:rStyle w:val="FootnoteReference"/>
          <w:rFonts w:asciiTheme="majorHAnsi" w:hAnsiTheme="majorHAnsi"/>
          <w:sz w:val="20"/>
          <w:szCs w:val="20"/>
          <w:lang w:val="es-CO"/>
        </w:rPr>
        <w:footnoteReference w:id="96"/>
      </w:r>
      <w:r w:rsidRPr="004F57A9">
        <w:rPr>
          <w:rFonts w:asciiTheme="majorHAnsi" w:hAnsiTheme="majorHAnsi"/>
          <w:sz w:val="20"/>
          <w:szCs w:val="20"/>
          <w:lang w:val="es-CO"/>
        </w:rPr>
        <w:t xml:space="preserve">. </w:t>
      </w:r>
      <w:r w:rsidR="00706FDA" w:rsidRPr="004F57A9">
        <w:rPr>
          <w:rFonts w:asciiTheme="majorHAnsi" w:hAnsiTheme="majorHAnsi"/>
          <w:sz w:val="20"/>
          <w:szCs w:val="20"/>
          <w:lang w:val="es-CO"/>
        </w:rPr>
        <w:t>Se</w:t>
      </w:r>
      <w:r w:rsidRPr="004F57A9">
        <w:rPr>
          <w:rFonts w:asciiTheme="majorHAnsi" w:hAnsiTheme="majorHAnsi"/>
          <w:sz w:val="20"/>
          <w:szCs w:val="20"/>
          <w:lang w:val="es-CO"/>
        </w:rPr>
        <w:t xml:space="preserve"> indica que los resultados de las segundas autopsias no coinciden con las primeras autopsias</w:t>
      </w:r>
      <w:r>
        <w:rPr>
          <w:rStyle w:val="FootnoteReference"/>
          <w:rFonts w:asciiTheme="majorHAnsi" w:hAnsiTheme="majorHAnsi"/>
          <w:sz w:val="20"/>
          <w:szCs w:val="20"/>
          <w:lang w:val="es-CO"/>
        </w:rPr>
        <w:footnoteReference w:id="97"/>
      </w:r>
      <w:r w:rsidR="008B198B">
        <w:rPr>
          <w:rFonts w:asciiTheme="majorHAnsi" w:hAnsiTheme="majorHAnsi"/>
          <w:sz w:val="20"/>
          <w:szCs w:val="20"/>
          <w:lang w:val="es-CO"/>
        </w:rPr>
        <w:t>.</w:t>
      </w:r>
      <w:r w:rsidRPr="004F57A9">
        <w:rPr>
          <w:rFonts w:asciiTheme="majorHAnsi" w:hAnsiTheme="majorHAnsi"/>
          <w:sz w:val="20"/>
          <w:szCs w:val="20"/>
          <w:lang w:val="es-CO"/>
        </w:rPr>
        <w:t xml:space="preserve"> El Estado no controvirtió </w:t>
      </w:r>
      <w:r w:rsidR="008B198B">
        <w:rPr>
          <w:rFonts w:asciiTheme="majorHAnsi" w:hAnsiTheme="majorHAnsi"/>
          <w:sz w:val="20"/>
          <w:szCs w:val="20"/>
          <w:lang w:val="es-CO"/>
        </w:rPr>
        <w:t>esta</w:t>
      </w:r>
      <w:r w:rsidRPr="004F57A9">
        <w:rPr>
          <w:rFonts w:asciiTheme="majorHAnsi" w:hAnsiTheme="majorHAnsi"/>
          <w:sz w:val="20"/>
          <w:szCs w:val="20"/>
          <w:lang w:val="es-CO"/>
        </w:rPr>
        <w:t xml:space="preserve"> información. </w:t>
      </w:r>
    </w:p>
    <w:p w14:paraId="0F40F695" w14:textId="77777777" w:rsidR="00FD7FE9" w:rsidRPr="00FD7FE9" w:rsidRDefault="00FD7FE9" w:rsidP="00FD7FE9">
      <w:pPr>
        <w:jc w:val="both"/>
        <w:rPr>
          <w:rFonts w:asciiTheme="majorHAnsi" w:hAnsiTheme="majorHAnsi"/>
          <w:b/>
          <w:sz w:val="20"/>
          <w:szCs w:val="20"/>
          <w:lang w:val="es-CO"/>
        </w:rPr>
      </w:pPr>
    </w:p>
    <w:p w14:paraId="73A33CD2" w14:textId="366C2C8B" w:rsidR="00424705" w:rsidRPr="00A00081" w:rsidRDefault="00424705" w:rsidP="004F5025">
      <w:pPr>
        <w:pStyle w:val="Heading3"/>
      </w:pPr>
      <w:bookmarkStart w:id="18" w:name="_Toc527708416"/>
      <w:r w:rsidRPr="00A00081">
        <w:t>Procesos judiciales</w:t>
      </w:r>
      <w:bookmarkEnd w:id="18"/>
    </w:p>
    <w:p w14:paraId="417529A7" w14:textId="77777777" w:rsidR="00424705" w:rsidRDefault="00424705" w:rsidP="00424705">
      <w:pPr>
        <w:pStyle w:val="ListParagraph"/>
        <w:rPr>
          <w:color w:val="000000" w:themeColor="text1"/>
          <w:sz w:val="20"/>
          <w:szCs w:val="20"/>
          <w:lang w:val="es-VE"/>
        </w:rPr>
      </w:pPr>
    </w:p>
    <w:p w14:paraId="3C9FE876" w14:textId="6B402902" w:rsidR="00424705" w:rsidRPr="00922E1D" w:rsidRDefault="006426FD" w:rsidP="007D5C7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Pr>
          <w:rFonts w:ascii="Cambria" w:hAnsi="Cambria"/>
          <w:color w:val="000000" w:themeColor="text1"/>
          <w:sz w:val="20"/>
          <w:szCs w:val="20"/>
          <w:lang w:val="es-VE"/>
        </w:rPr>
        <w:t>E</w:t>
      </w:r>
      <w:r w:rsidR="00365D81">
        <w:rPr>
          <w:rFonts w:ascii="Cambria" w:hAnsi="Cambria"/>
          <w:color w:val="000000" w:themeColor="text1"/>
          <w:sz w:val="20"/>
          <w:szCs w:val="20"/>
          <w:lang w:val="es-VE"/>
        </w:rPr>
        <w:t>l 28 de marzo de 2004</w:t>
      </w:r>
      <w:r w:rsidR="0056358F" w:rsidRPr="00424705">
        <w:rPr>
          <w:rFonts w:ascii="Cambria" w:hAnsi="Cambria"/>
          <w:color w:val="000000" w:themeColor="text1"/>
          <w:sz w:val="20"/>
          <w:szCs w:val="20"/>
          <w:lang w:val="es-VE"/>
        </w:rPr>
        <w:t xml:space="preserve"> se </w:t>
      </w:r>
      <w:r w:rsidR="00706FDA">
        <w:rPr>
          <w:rFonts w:ascii="Cambria" w:hAnsi="Cambria"/>
          <w:color w:val="000000" w:themeColor="text1"/>
          <w:sz w:val="20"/>
          <w:szCs w:val="20"/>
          <w:lang w:val="es-VE"/>
        </w:rPr>
        <w:t>realizó</w:t>
      </w:r>
      <w:r w:rsidR="0056358F" w:rsidRPr="00424705">
        <w:rPr>
          <w:rFonts w:ascii="Cambria" w:hAnsi="Cambria"/>
          <w:color w:val="000000" w:themeColor="text1"/>
          <w:sz w:val="20"/>
          <w:szCs w:val="20"/>
          <w:lang w:val="es-VE"/>
        </w:rPr>
        <w:t xml:space="preserve"> la audiencia de presentación de </w:t>
      </w:r>
      <w:r w:rsidRPr="00424705">
        <w:rPr>
          <w:rFonts w:ascii="Cambria" w:hAnsi="Cambria"/>
          <w:color w:val="000000" w:themeColor="text1"/>
          <w:sz w:val="20"/>
          <w:szCs w:val="20"/>
          <w:lang w:val="es-VE"/>
        </w:rPr>
        <w:t xml:space="preserve">los cuatro </w:t>
      </w:r>
      <w:r w:rsidR="0056358F" w:rsidRPr="00424705">
        <w:rPr>
          <w:rFonts w:ascii="Cambria" w:hAnsi="Cambria"/>
          <w:color w:val="000000" w:themeColor="text1"/>
          <w:sz w:val="20"/>
          <w:szCs w:val="20"/>
          <w:lang w:val="es-VE"/>
        </w:rPr>
        <w:t>imputados y se solicitó la prisión preventiva</w:t>
      </w:r>
      <w:r w:rsidR="00365D81">
        <w:rPr>
          <w:rFonts w:ascii="Cambria" w:hAnsi="Cambria"/>
          <w:color w:val="000000" w:themeColor="text1"/>
          <w:sz w:val="20"/>
          <w:szCs w:val="20"/>
          <w:lang w:val="es-VE"/>
        </w:rPr>
        <w:t xml:space="preserve">, </w:t>
      </w:r>
      <w:r w:rsidR="00454FB2" w:rsidRPr="00424705">
        <w:rPr>
          <w:rFonts w:ascii="Cambria" w:hAnsi="Cambria"/>
          <w:color w:val="000000" w:themeColor="text1"/>
          <w:sz w:val="20"/>
          <w:szCs w:val="20"/>
          <w:lang w:val="es-VE"/>
        </w:rPr>
        <w:t xml:space="preserve">solicitud </w:t>
      </w:r>
      <w:r w:rsidR="00365D81">
        <w:rPr>
          <w:rFonts w:ascii="Cambria" w:hAnsi="Cambria"/>
          <w:color w:val="000000" w:themeColor="text1"/>
          <w:sz w:val="20"/>
          <w:szCs w:val="20"/>
          <w:lang w:val="es-VE"/>
        </w:rPr>
        <w:t xml:space="preserve">que </w:t>
      </w:r>
      <w:r w:rsidR="00454FB2" w:rsidRPr="00424705">
        <w:rPr>
          <w:rFonts w:ascii="Cambria" w:hAnsi="Cambria"/>
          <w:color w:val="000000" w:themeColor="text1"/>
          <w:sz w:val="20"/>
          <w:szCs w:val="20"/>
          <w:lang w:val="es-VE"/>
        </w:rPr>
        <w:t>fue rechazada</w:t>
      </w:r>
      <w:r w:rsidR="0056358F" w:rsidRPr="00424705">
        <w:rPr>
          <w:rFonts w:ascii="Cambria" w:hAnsi="Cambria"/>
          <w:color w:val="000000" w:themeColor="text1"/>
          <w:sz w:val="20"/>
          <w:szCs w:val="20"/>
          <w:lang w:val="es-VE"/>
        </w:rPr>
        <w:t xml:space="preserve"> por el juez de control </w:t>
      </w:r>
      <w:r w:rsidR="00365D81">
        <w:rPr>
          <w:rFonts w:ascii="Cambria" w:hAnsi="Cambria"/>
          <w:color w:val="000000" w:themeColor="text1"/>
          <w:sz w:val="20"/>
          <w:szCs w:val="20"/>
          <w:lang w:val="es-VE"/>
        </w:rPr>
        <w:t>a</w:t>
      </w:r>
      <w:r w:rsidR="0056358F" w:rsidRPr="00424705">
        <w:rPr>
          <w:rFonts w:ascii="Cambria" w:hAnsi="Cambria"/>
          <w:color w:val="000000" w:themeColor="text1"/>
          <w:sz w:val="20"/>
          <w:szCs w:val="20"/>
          <w:lang w:val="es-VE"/>
        </w:rPr>
        <w:t>l día siguiente</w:t>
      </w:r>
      <w:r w:rsidR="00412E35">
        <w:rPr>
          <w:rStyle w:val="FootnoteReference"/>
          <w:rFonts w:ascii="Cambria" w:hAnsi="Cambria"/>
          <w:color w:val="000000" w:themeColor="text1"/>
          <w:sz w:val="20"/>
          <w:szCs w:val="20"/>
          <w:lang w:val="es-VE"/>
        </w:rPr>
        <w:footnoteReference w:id="98"/>
      </w:r>
      <w:r w:rsidR="0056358F" w:rsidRPr="00424705">
        <w:rPr>
          <w:rFonts w:ascii="Cambria" w:hAnsi="Cambria"/>
          <w:color w:val="000000" w:themeColor="text1"/>
          <w:sz w:val="20"/>
          <w:szCs w:val="20"/>
          <w:lang w:val="es-VE"/>
        </w:rPr>
        <w:t xml:space="preserve">. </w:t>
      </w:r>
      <w:r w:rsidR="002D4628" w:rsidRPr="00424705">
        <w:rPr>
          <w:rFonts w:ascii="Cambria" w:hAnsi="Cambria"/>
          <w:color w:val="000000" w:themeColor="text1"/>
          <w:sz w:val="20"/>
          <w:szCs w:val="20"/>
          <w:lang w:val="es-VE"/>
        </w:rPr>
        <w:t>La parte peticionaria solicitó intervenir como querellante el 1 de abril de 2004</w:t>
      </w:r>
      <w:r w:rsidR="002D4628">
        <w:rPr>
          <w:rStyle w:val="FootnoteReference"/>
          <w:rFonts w:ascii="Cambria" w:hAnsi="Cambria"/>
          <w:color w:val="000000" w:themeColor="text1"/>
          <w:sz w:val="20"/>
          <w:szCs w:val="20"/>
          <w:lang w:val="es-VE"/>
        </w:rPr>
        <w:footnoteReference w:id="99"/>
      </w:r>
      <w:r w:rsidR="002D4628" w:rsidRPr="00424705">
        <w:rPr>
          <w:rFonts w:ascii="Cambria" w:hAnsi="Cambria"/>
          <w:color w:val="000000" w:themeColor="text1"/>
          <w:sz w:val="20"/>
          <w:szCs w:val="20"/>
          <w:lang w:val="es-VE"/>
        </w:rPr>
        <w:t>.</w:t>
      </w:r>
      <w:r w:rsidR="00847018">
        <w:rPr>
          <w:rFonts w:ascii="Cambria" w:hAnsi="Cambria"/>
          <w:color w:val="000000" w:themeColor="text1"/>
          <w:sz w:val="20"/>
          <w:szCs w:val="20"/>
          <w:lang w:val="es-VE"/>
        </w:rPr>
        <w:t xml:space="preserve"> </w:t>
      </w:r>
      <w:r w:rsidR="00706FDA">
        <w:rPr>
          <w:rFonts w:ascii="Cambria" w:hAnsi="Cambria"/>
          <w:color w:val="000000" w:themeColor="text1"/>
          <w:sz w:val="20"/>
          <w:szCs w:val="20"/>
          <w:lang w:val="es-VE"/>
        </w:rPr>
        <w:t>Se apeló l</w:t>
      </w:r>
      <w:r>
        <w:rPr>
          <w:rFonts w:ascii="Cambria" w:hAnsi="Cambria"/>
          <w:color w:val="000000" w:themeColor="text1"/>
          <w:sz w:val="20"/>
          <w:szCs w:val="20"/>
          <w:lang w:val="es-VE"/>
        </w:rPr>
        <w:t xml:space="preserve">a decisión de libertad </w:t>
      </w:r>
      <w:r w:rsidR="00847018">
        <w:rPr>
          <w:rFonts w:ascii="Cambria" w:hAnsi="Cambria"/>
          <w:color w:val="000000" w:themeColor="text1"/>
          <w:sz w:val="20"/>
          <w:szCs w:val="20"/>
          <w:lang w:val="es-VE"/>
        </w:rPr>
        <w:t>y</w:t>
      </w:r>
      <w:r w:rsidR="00706FDA">
        <w:rPr>
          <w:rFonts w:ascii="Cambria" w:hAnsi="Cambria"/>
          <w:color w:val="000000" w:themeColor="text1"/>
          <w:sz w:val="20"/>
          <w:szCs w:val="20"/>
          <w:lang w:val="es-VE"/>
        </w:rPr>
        <w:t xml:space="preserve"> la Corte de Apelaciones la</w:t>
      </w:r>
      <w:r w:rsidR="0056358F" w:rsidRPr="00424705">
        <w:rPr>
          <w:rFonts w:ascii="Cambria" w:hAnsi="Cambria"/>
          <w:color w:val="000000" w:themeColor="text1"/>
          <w:sz w:val="20"/>
          <w:szCs w:val="20"/>
          <w:lang w:val="es-VE"/>
        </w:rPr>
        <w:t xml:space="preserve"> declar</w:t>
      </w:r>
      <w:r w:rsidR="00706FDA">
        <w:rPr>
          <w:rFonts w:ascii="Cambria" w:hAnsi="Cambria"/>
          <w:color w:val="000000" w:themeColor="text1"/>
          <w:sz w:val="20"/>
          <w:szCs w:val="20"/>
          <w:lang w:val="es-VE"/>
        </w:rPr>
        <w:t>ó</w:t>
      </w:r>
      <w:r w:rsidR="0056358F" w:rsidRPr="00424705">
        <w:rPr>
          <w:rFonts w:ascii="Cambria" w:hAnsi="Cambria"/>
          <w:color w:val="000000" w:themeColor="text1"/>
          <w:sz w:val="20"/>
          <w:szCs w:val="20"/>
          <w:lang w:val="es-VE"/>
        </w:rPr>
        <w:t xml:space="preserve"> con lugar el </w:t>
      </w:r>
      <w:r w:rsidR="00412E35" w:rsidRPr="00424705">
        <w:rPr>
          <w:rFonts w:ascii="Cambria" w:hAnsi="Cambria"/>
          <w:color w:val="000000" w:themeColor="text1"/>
          <w:sz w:val="20"/>
          <w:szCs w:val="20"/>
          <w:lang w:val="es-VE"/>
        </w:rPr>
        <w:t>3</w:t>
      </w:r>
      <w:r w:rsidR="0056358F" w:rsidRPr="00424705">
        <w:rPr>
          <w:rFonts w:ascii="Cambria" w:hAnsi="Cambria"/>
          <w:color w:val="000000" w:themeColor="text1"/>
          <w:sz w:val="20"/>
          <w:szCs w:val="20"/>
          <w:lang w:val="es-VE"/>
        </w:rPr>
        <w:t xml:space="preserve"> de junio de 2004</w:t>
      </w:r>
      <w:r w:rsidR="00847018">
        <w:rPr>
          <w:rFonts w:ascii="Cambria" w:hAnsi="Cambria"/>
          <w:color w:val="000000" w:themeColor="text1"/>
          <w:sz w:val="20"/>
          <w:szCs w:val="20"/>
          <w:lang w:val="es-VE"/>
        </w:rPr>
        <w:t>, decretando detención preventiva a</w:t>
      </w:r>
      <w:r w:rsidR="00412E35" w:rsidRPr="00424705">
        <w:rPr>
          <w:rFonts w:ascii="Cambria" w:hAnsi="Cambria"/>
          <w:color w:val="000000" w:themeColor="text1"/>
          <w:sz w:val="20"/>
          <w:szCs w:val="20"/>
          <w:lang w:val="es-VE"/>
        </w:rPr>
        <w:t xml:space="preserve"> los cuatro imputados</w:t>
      </w:r>
      <w:r w:rsidR="00FD23A7">
        <w:rPr>
          <w:rFonts w:ascii="Cambria" w:hAnsi="Cambria"/>
          <w:color w:val="000000" w:themeColor="text1"/>
          <w:sz w:val="20"/>
          <w:szCs w:val="20"/>
          <w:lang w:val="es-VE"/>
        </w:rPr>
        <w:t>.</w:t>
      </w:r>
      <w:r w:rsidR="00412E35" w:rsidRPr="00424705">
        <w:rPr>
          <w:rFonts w:ascii="Cambria" w:hAnsi="Cambria"/>
          <w:color w:val="000000" w:themeColor="text1"/>
          <w:sz w:val="20"/>
          <w:szCs w:val="20"/>
          <w:lang w:val="es-VE"/>
        </w:rPr>
        <w:t xml:space="preserve"> </w:t>
      </w:r>
      <w:r w:rsidR="00FD23A7">
        <w:rPr>
          <w:rFonts w:ascii="Cambria" w:hAnsi="Cambria"/>
          <w:color w:val="000000" w:themeColor="text1"/>
          <w:sz w:val="20"/>
          <w:szCs w:val="20"/>
          <w:lang w:val="es-VE"/>
        </w:rPr>
        <w:t>A</w:t>
      </w:r>
      <w:r w:rsidR="00412E35" w:rsidRPr="00424705">
        <w:rPr>
          <w:rFonts w:ascii="Cambria" w:hAnsi="Cambria"/>
          <w:color w:val="000000" w:themeColor="text1"/>
          <w:sz w:val="20"/>
          <w:szCs w:val="20"/>
          <w:lang w:val="es-VE"/>
        </w:rPr>
        <w:t xml:space="preserve">simismo, instó al Ministerio Público a ampliar las investigaciones para considerar </w:t>
      </w:r>
      <w:r w:rsidR="00602FC7">
        <w:rPr>
          <w:rFonts w:ascii="Cambria" w:hAnsi="Cambria"/>
          <w:color w:val="000000" w:themeColor="text1"/>
          <w:sz w:val="20"/>
          <w:szCs w:val="20"/>
          <w:lang w:val="es-VE"/>
        </w:rPr>
        <w:t xml:space="preserve">la eventual responsabilidad penal de otros </w:t>
      </w:r>
      <w:r w:rsidR="00A94D2D">
        <w:rPr>
          <w:rFonts w:ascii="Cambria" w:hAnsi="Cambria"/>
          <w:color w:val="000000" w:themeColor="text1"/>
          <w:sz w:val="20"/>
          <w:szCs w:val="20"/>
          <w:lang w:val="es-VE"/>
        </w:rPr>
        <w:t>Guardias Nacionales</w:t>
      </w:r>
      <w:r w:rsidR="00602FC7">
        <w:rPr>
          <w:rFonts w:ascii="Cambria" w:hAnsi="Cambria"/>
          <w:color w:val="000000" w:themeColor="text1"/>
          <w:sz w:val="20"/>
          <w:szCs w:val="20"/>
          <w:lang w:val="es-VE"/>
        </w:rPr>
        <w:t xml:space="preserve"> y </w:t>
      </w:r>
      <w:r w:rsidR="00412E35" w:rsidRPr="00424705">
        <w:rPr>
          <w:rFonts w:ascii="Cambria" w:hAnsi="Cambria"/>
          <w:color w:val="000000" w:themeColor="text1"/>
          <w:sz w:val="20"/>
          <w:szCs w:val="20"/>
          <w:lang w:val="es-VE"/>
        </w:rPr>
        <w:t>policías nombrados en las declaraciones</w:t>
      </w:r>
      <w:r w:rsidR="00412E35">
        <w:rPr>
          <w:rStyle w:val="FootnoteReference"/>
          <w:rFonts w:ascii="Cambria" w:hAnsi="Cambria"/>
          <w:color w:val="000000" w:themeColor="text1"/>
          <w:sz w:val="20"/>
          <w:szCs w:val="20"/>
          <w:lang w:val="es-VE"/>
        </w:rPr>
        <w:footnoteReference w:id="100"/>
      </w:r>
      <w:r w:rsidR="00412E35" w:rsidRPr="00424705">
        <w:rPr>
          <w:rFonts w:ascii="Cambria" w:hAnsi="Cambria"/>
          <w:color w:val="000000" w:themeColor="text1"/>
          <w:sz w:val="20"/>
          <w:szCs w:val="20"/>
          <w:lang w:val="es-VE"/>
        </w:rPr>
        <w:t>.</w:t>
      </w:r>
      <w:r>
        <w:rPr>
          <w:rFonts w:ascii="Cambria" w:hAnsi="Cambria"/>
          <w:color w:val="000000" w:themeColor="text1"/>
          <w:sz w:val="20"/>
          <w:szCs w:val="20"/>
          <w:lang w:val="es-VE"/>
        </w:rPr>
        <w:t xml:space="preserve"> </w:t>
      </w:r>
      <w:r w:rsidR="00FD23A7">
        <w:rPr>
          <w:rFonts w:ascii="Cambria" w:hAnsi="Cambria"/>
          <w:color w:val="000000" w:themeColor="text1"/>
          <w:sz w:val="20"/>
          <w:szCs w:val="20"/>
          <w:lang w:val="es-VE"/>
        </w:rPr>
        <w:t>Entre junio de 2004 y abril de 2005 la defensa de los imputados interpuso solicitud de avocamiento de la causa y acción de amparo, ambas rechazadas.</w:t>
      </w:r>
      <w:r w:rsidR="000C682F">
        <w:rPr>
          <w:rStyle w:val="FootnoteReference"/>
          <w:rFonts w:ascii="Cambria" w:hAnsi="Cambria"/>
          <w:color w:val="000000" w:themeColor="text1"/>
          <w:sz w:val="20"/>
          <w:szCs w:val="20"/>
          <w:lang w:val="es-US"/>
        </w:rPr>
        <w:footnoteReference w:id="101"/>
      </w:r>
      <w:r w:rsidR="00454FB2" w:rsidRPr="00424705">
        <w:rPr>
          <w:rFonts w:ascii="Cambria" w:hAnsi="Cambria"/>
          <w:color w:val="000000" w:themeColor="text1"/>
          <w:sz w:val="20"/>
          <w:szCs w:val="20"/>
          <w:lang w:val="es-US"/>
        </w:rPr>
        <w:t>.</w:t>
      </w:r>
      <w:r w:rsidR="000C682F" w:rsidRPr="00424705">
        <w:rPr>
          <w:rFonts w:ascii="Cambria" w:hAnsi="Cambria"/>
          <w:color w:val="000000" w:themeColor="text1"/>
          <w:sz w:val="20"/>
          <w:szCs w:val="20"/>
          <w:lang w:val="es-US"/>
        </w:rPr>
        <w:t xml:space="preserve"> </w:t>
      </w:r>
      <w:r w:rsidR="00602FC7">
        <w:rPr>
          <w:rFonts w:ascii="Cambria" w:hAnsi="Cambria"/>
          <w:color w:val="000000" w:themeColor="text1"/>
          <w:sz w:val="20"/>
          <w:szCs w:val="20"/>
          <w:lang w:val="es-VE"/>
        </w:rPr>
        <w:t>E</w:t>
      </w:r>
      <w:r w:rsidR="000C682F" w:rsidRPr="00424705">
        <w:rPr>
          <w:rFonts w:ascii="Cambria" w:hAnsi="Cambria"/>
          <w:color w:val="000000" w:themeColor="text1"/>
          <w:sz w:val="20"/>
          <w:szCs w:val="20"/>
          <w:lang w:val="es-VE"/>
        </w:rPr>
        <w:t xml:space="preserve">l 20 de mayo de 2005, </w:t>
      </w:r>
      <w:r>
        <w:rPr>
          <w:rFonts w:ascii="Cambria" w:hAnsi="Cambria"/>
          <w:color w:val="000000" w:themeColor="text1"/>
          <w:sz w:val="20"/>
          <w:szCs w:val="20"/>
          <w:lang w:val="es-VE"/>
        </w:rPr>
        <w:t>se otorgaron</w:t>
      </w:r>
      <w:r w:rsidR="000C682F" w:rsidRPr="00424705">
        <w:rPr>
          <w:rFonts w:ascii="Cambria" w:hAnsi="Cambria"/>
          <w:color w:val="000000" w:themeColor="text1"/>
          <w:sz w:val="20"/>
          <w:szCs w:val="20"/>
          <w:lang w:val="es-VE"/>
        </w:rPr>
        <w:t xml:space="preserve"> medidas cautelares sustitutivas a </w:t>
      </w:r>
      <w:r w:rsidR="00A94D2D">
        <w:rPr>
          <w:rFonts w:ascii="Cambria" w:hAnsi="Cambria"/>
          <w:color w:val="000000" w:themeColor="text1"/>
          <w:sz w:val="20"/>
          <w:szCs w:val="20"/>
          <w:lang w:val="es-VE"/>
        </w:rPr>
        <w:t>prisión</w:t>
      </w:r>
      <w:r w:rsidR="000C682F" w:rsidRPr="00424705">
        <w:rPr>
          <w:rFonts w:ascii="Cambria" w:hAnsi="Cambria"/>
          <w:color w:val="000000" w:themeColor="text1"/>
          <w:sz w:val="20"/>
          <w:szCs w:val="20"/>
          <w:lang w:val="es-VE"/>
        </w:rPr>
        <w:t xml:space="preserve"> preventiva</w:t>
      </w:r>
      <w:r w:rsidR="000C682F">
        <w:rPr>
          <w:rStyle w:val="FootnoteReference"/>
          <w:rFonts w:ascii="Cambria" w:hAnsi="Cambria"/>
          <w:color w:val="000000" w:themeColor="text1"/>
          <w:sz w:val="20"/>
          <w:szCs w:val="20"/>
          <w:lang w:val="es-VE"/>
        </w:rPr>
        <w:footnoteReference w:id="102"/>
      </w:r>
      <w:r w:rsidR="000C682F" w:rsidRPr="00424705">
        <w:rPr>
          <w:rFonts w:ascii="Cambria" w:hAnsi="Cambria"/>
          <w:color w:val="000000" w:themeColor="text1"/>
          <w:sz w:val="20"/>
          <w:szCs w:val="20"/>
          <w:lang w:val="es-VE"/>
        </w:rPr>
        <w:t xml:space="preserve">. </w:t>
      </w:r>
      <w:r w:rsidR="007D5C72">
        <w:rPr>
          <w:rFonts w:ascii="Cambria" w:hAnsi="Cambria"/>
          <w:color w:val="000000" w:themeColor="text1"/>
          <w:sz w:val="20"/>
          <w:szCs w:val="20"/>
          <w:lang w:val="es-VE"/>
        </w:rPr>
        <w:t xml:space="preserve">Cabe </w:t>
      </w:r>
      <w:r w:rsidR="000C682F" w:rsidRPr="00424705">
        <w:rPr>
          <w:rFonts w:ascii="Cambria" w:hAnsi="Cambria"/>
          <w:color w:val="000000" w:themeColor="text1"/>
          <w:sz w:val="20"/>
          <w:szCs w:val="20"/>
          <w:lang w:val="es-VE"/>
        </w:rPr>
        <w:t xml:space="preserve">destacar que </w:t>
      </w:r>
      <w:r>
        <w:rPr>
          <w:rFonts w:ascii="Cambria" w:hAnsi="Cambria"/>
          <w:color w:val="000000" w:themeColor="text1"/>
          <w:sz w:val="20"/>
          <w:szCs w:val="20"/>
          <w:lang w:val="es-VE"/>
        </w:rPr>
        <w:t>el Ministerio Público solicitó</w:t>
      </w:r>
      <w:r w:rsidR="000C682F" w:rsidRPr="00424705">
        <w:rPr>
          <w:rFonts w:ascii="Cambria" w:hAnsi="Cambria"/>
          <w:color w:val="000000" w:themeColor="text1"/>
          <w:sz w:val="20"/>
          <w:szCs w:val="20"/>
          <w:lang w:val="es-VE"/>
        </w:rPr>
        <w:t xml:space="preserve"> como parte de la medida que los </w:t>
      </w:r>
      <w:r w:rsidR="00A94D2D">
        <w:rPr>
          <w:rFonts w:ascii="Cambria" w:hAnsi="Cambria"/>
          <w:color w:val="000000" w:themeColor="text1"/>
          <w:sz w:val="20"/>
          <w:szCs w:val="20"/>
          <w:lang w:val="es-VE"/>
        </w:rPr>
        <w:t xml:space="preserve">cuatro </w:t>
      </w:r>
      <w:r w:rsidR="000C682F" w:rsidRPr="00424705">
        <w:rPr>
          <w:rFonts w:ascii="Cambria" w:hAnsi="Cambria"/>
          <w:color w:val="000000" w:themeColor="text1"/>
          <w:sz w:val="20"/>
          <w:szCs w:val="20"/>
          <w:lang w:val="es-VE"/>
        </w:rPr>
        <w:t>imputados no sean asignados a</w:t>
      </w:r>
      <w:r w:rsidR="00602FC7">
        <w:rPr>
          <w:rFonts w:ascii="Cambria" w:hAnsi="Cambria"/>
          <w:color w:val="000000" w:themeColor="text1"/>
          <w:sz w:val="20"/>
          <w:szCs w:val="20"/>
          <w:lang w:val="es-VE"/>
        </w:rPr>
        <w:t xml:space="preserve"> trabajar en</w:t>
      </w:r>
      <w:r w:rsidR="000C682F" w:rsidRPr="00424705">
        <w:rPr>
          <w:rFonts w:ascii="Cambria" w:hAnsi="Cambria"/>
          <w:color w:val="000000" w:themeColor="text1"/>
          <w:sz w:val="20"/>
          <w:szCs w:val="20"/>
          <w:lang w:val="es-VE"/>
        </w:rPr>
        <w:t xml:space="preserve"> ninguna cárcel</w:t>
      </w:r>
      <w:r w:rsidR="00A94D2D">
        <w:rPr>
          <w:rFonts w:ascii="Cambria" w:hAnsi="Cambria"/>
          <w:color w:val="000000" w:themeColor="text1"/>
          <w:sz w:val="20"/>
          <w:szCs w:val="20"/>
          <w:lang w:val="es-VE"/>
        </w:rPr>
        <w:t>, solicitud que no fue acogida</w:t>
      </w:r>
      <w:r w:rsidR="000C682F">
        <w:rPr>
          <w:rStyle w:val="FootnoteReference"/>
          <w:rFonts w:ascii="Cambria" w:hAnsi="Cambria"/>
          <w:color w:val="000000" w:themeColor="text1"/>
          <w:sz w:val="20"/>
          <w:szCs w:val="20"/>
          <w:lang w:val="es-VE"/>
        </w:rPr>
        <w:footnoteReference w:id="103"/>
      </w:r>
      <w:r w:rsidR="000C682F" w:rsidRPr="00424705">
        <w:rPr>
          <w:rFonts w:ascii="Cambria" w:hAnsi="Cambria"/>
          <w:color w:val="000000" w:themeColor="text1"/>
          <w:sz w:val="20"/>
          <w:szCs w:val="20"/>
          <w:lang w:val="es-VE"/>
        </w:rPr>
        <w:t>.</w:t>
      </w:r>
    </w:p>
    <w:p w14:paraId="6B877C30" w14:textId="77777777" w:rsidR="00922E1D" w:rsidRDefault="00922E1D" w:rsidP="00922E1D">
      <w:pPr>
        <w:pStyle w:val="ListParagraph"/>
        <w:rPr>
          <w:color w:val="000000" w:themeColor="text1"/>
          <w:sz w:val="20"/>
          <w:szCs w:val="20"/>
          <w:lang w:val="es-CO"/>
        </w:rPr>
      </w:pPr>
    </w:p>
    <w:p w14:paraId="2D5D622B" w14:textId="77777777" w:rsidR="008264DF" w:rsidRDefault="006426FD" w:rsidP="00D2765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Pr>
          <w:rFonts w:ascii="Cambria" w:hAnsi="Cambria"/>
          <w:color w:val="000000" w:themeColor="text1"/>
          <w:sz w:val="20"/>
          <w:szCs w:val="20"/>
          <w:lang w:val="es-CO"/>
        </w:rPr>
        <w:t>Se cuenta con</w:t>
      </w:r>
      <w:r w:rsidR="00922E1D" w:rsidRPr="00424705">
        <w:rPr>
          <w:rFonts w:ascii="Cambria" w:hAnsi="Cambria"/>
          <w:color w:val="000000" w:themeColor="text1"/>
          <w:sz w:val="20"/>
          <w:szCs w:val="20"/>
          <w:lang w:val="es-VE"/>
        </w:rPr>
        <w:t xml:space="preserve"> una serie de actas judiciales de los años 2005 y 2006 que sirvieron para prolongar la fase de investigación y postergar el acto conclusivo (acto para terminar la fase de investigación y abrir la causa a juicio)</w:t>
      </w:r>
      <w:r w:rsidR="00C0412A" w:rsidRPr="00C0412A">
        <w:rPr>
          <w:rFonts w:ascii="Cambria" w:hAnsi="Cambria"/>
          <w:color w:val="000000" w:themeColor="text1"/>
          <w:sz w:val="20"/>
          <w:szCs w:val="20"/>
          <w:lang w:val="es-VE"/>
        </w:rPr>
        <w:t xml:space="preserve"> </w:t>
      </w:r>
      <w:r w:rsidR="00C0412A" w:rsidRPr="00424705">
        <w:rPr>
          <w:rFonts w:ascii="Cambria" w:hAnsi="Cambria"/>
          <w:color w:val="000000" w:themeColor="text1"/>
          <w:sz w:val="20"/>
          <w:szCs w:val="20"/>
          <w:lang w:val="es-VE"/>
        </w:rPr>
        <w:t>en el caso</w:t>
      </w:r>
      <w:r w:rsidR="00922E1D" w:rsidRPr="00424705">
        <w:rPr>
          <w:rFonts w:ascii="Cambria" w:hAnsi="Cambria"/>
          <w:color w:val="000000" w:themeColor="text1"/>
          <w:sz w:val="20"/>
          <w:szCs w:val="20"/>
          <w:lang w:val="es-VE"/>
        </w:rPr>
        <w:t>. En una oportunidad, el Ministerio Público solicitó prórroga para seguir practicando pruebas, entre otras de balística, y reconstrucción de hechos</w:t>
      </w:r>
      <w:r w:rsidR="00922E1D">
        <w:rPr>
          <w:rStyle w:val="FootnoteReference"/>
          <w:rFonts w:ascii="Cambria" w:hAnsi="Cambria"/>
          <w:color w:val="000000" w:themeColor="text1"/>
          <w:sz w:val="20"/>
          <w:szCs w:val="20"/>
          <w:lang w:val="es-VE"/>
        </w:rPr>
        <w:footnoteReference w:id="104"/>
      </w:r>
      <w:r w:rsidR="00922E1D" w:rsidRPr="00424705">
        <w:rPr>
          <w:rFonts w:ascii="Cambria" w:hAnsi="Cambria"/>
          <w:color w:val="000000" w:themeColor="text1"/>
          <w:sz w:val="20"/>
          <w:szCs w:val="20"/>
          <w:lang w:val="es-VE"/>
        </w:rPr>
        <w:t xml:space="preserve">. Ante esta situación, la parte </w:t>
      </w:r>
      <w:r w:rsidR="00922E1D" w:rsidRPr="00424705">
        <w:rPr>
          <w:rFonts w:ascii="Cambria" w:hAnsi="Cambria"/>
          <w:color w:val="000000" w:themeColor="text1"/>
          <w:sz w:val="20"/>
          <w:szCs w:val="20"/>
          <w:lang w:val="es-VE"/>
        </w:rPr>
        <w:lastRenderedPageBreak/>
        <w:t>peticionaria solicitó al Tribunal por escrito y en una audiencia que se fije al Ministerio Público un lapso prudencial a efectos de la presentación de los actos conclusivos en la causa</w:t>
      </w:r>
      <w:r w:rsidR="00922E1D">
        <w:rPr>
          <w:rStyle w:val="FootnoteReference"/>
          <w:rFonts w:ascii="Cambria" w:hAnsi="Cambria"/>
          <w:color w:val="000000" w:themeColor="text1"/>
          <w:sz w:val="20"/>
          <w:szCs w:val="20"/>
          <w:lang w:val="es-VE"/>
        </w:rPr>
        <w:footnoteReference w:id="105"/>
      </w:r>
      <w:r w:rsidR="00922E1D" w:rsidRPr="00424705">
        <w:rPr>
          <w:rFonts w:ascii="Cambria" w:hAnsi="Cambria"/>
          <w:color w:val="000000" w:themeColor="text1"/>
          <w:sz w:val="20"/>
          <w:szCs w:val="20"/>
          <w:lang w:val="es-VE"/>
        </w:rPr>
        <w:t>. El 19 de junio de 2006, el Tribunal negó esta solicitud</w:t>
      </w:r>
      <w:r w:rsidR="007D5C72">
        <w:rPr>
          <w:rFonts w:ascii="Cambria" w:hAnsi="Cambria"/>
          <w:color w:val="000000" w:themeColor="text1"/>
          <w:sz w:val="20"/>
          <w:szCs w:val="20"/>
          <w:lang w:val="es-VE"/>
        </w:rPr>
        <w:t xml:space="preserve"> con base en el </w:t>
      </w:r>
      <w:r w:rsidR="00922E1D" w:rsidRPr="00424705">
        <w:rPr>
          <w:rFonts w:ascii="Cambria" w:hAnsi="Cambria"/>
          <w:color w:val="000000" w:themeColor="text1"/>
          <w:sz w:val="20"/>
          <w:szCs w:val="20"/>
          <w:lang w:val="es-VE"/>
        </w:rPr>
        <w:t>artículo</w:t>
      </w:r>
      <w:r w:rsidR="00922E1D" w:rsidRPr="00424705">
        <w:rPr>
          <w:rFonts w:ascii="Cambria" w:hAnsi="Cambria"/>
          <w:color w:val="000000" w:themeColor="text1"/>
          <w:sz w:val="20"/>
          <w:szCs w:val="20"/>
          <w:lang w:val="es-CO"/>
        </w:rPr>
        <w:t xml:space="preserve"> 313 del</w:t>
      </w:r>
      <w:r w:rsidR="00A94D2D">
        <w:rPr>
          <w:rFonts w:ascii="Cambria" w:hAnsi="Cambria"/>
          <w:color w:val="000000" w:themeColor="text1"/>
          <w:sz w:val="20"/>
          <w:szCs w:val="20"/>
          <w:lang w:val="es-CO"/>
        </w:rPr>
        <w:t xml:space="preserve"> Código Orgánico Procesal Penal</w:t>
      </w:r>
      <w:r w:rsidR="007D5C72">
        <w:rPr>
          <w:rFonts w:ascii="Cambria" w:hAnsi="Cambria"/>
          <w:color w:val="000000" w:themeColor="text1"/>
          <w:sz w:val="20"/>
          <w:szCs w:val="20"/>
          <w:lang w:val="es-CO"/>
        </w:rPr>
        <w:t xml:space="preserve"> y atendiendo a la naturaleza del delito</w:t>
      </w:r>
      <w:r w:rsidR="00757291" w:rsidRPr="00757291">
        <w:rPr>
          <w:rStyle w:val="FootnoteReference"/>
          <w:rFonts w:ascii="Cambria" w:hAnsi="Cambria"/>
          <w:color w:val="000000" w:themeColor="text1"/>
          <w:sz w:val="20"/>
          <w:szCs w:val="20"/>
          <w:lang w:val="es-VE"/>
        </w:rPr>
        <w:t xml:space="preserve"> </w:t>
      </w:r>
      <w:r w:rsidR="00757291">
        <w:rPr>
          <w:rStyle w:val="FootnoteReference"/>
          <w:rFonts w:ascii="Cambria" w:hAnsi="Cambria"/>
          <w:color w:val="000000" w:themeColor="text1"/>
          <w:sz w:val="20"/>
          <w:szCs w:val="20"/>
          <w:lang w:val="es-VE"/>
        </w:rPr>
        <w:footnoteReference w:id="106"/>
      </w:r>
      <w:r w:rsidR="00757291" w:rsidRPr="00424705">
        <w:rPr>
          <w:rFonts w:ascii="Cambria" w:hAnsi="Cambria"/>
          <w:color w:val="000000" w:themeColor="text1"/>
          <w:sz w:val="20"/>
          <w:szCs w:val="20"/>
          <w:lang w:val="es-VE"/>
        </w:rPr>
        <w:t xml:space="preserve">. </w:t>
      </w:r>
    </w:p>
    <w:p w14:paraId="7C8FAA4B" w14:textId="77777777" w:rsidR="008264DF" w:rsidRDefault="008264DF" w:rsidP="008264DF">
      <w:pPr>
        <w:pStyle w:val="ListParagraph"/>
        <w:rPr>
          <w:color w:val="000000" w:themeColor="text1"/>
          <w:sz w:val="20"/>
          <w:szCs w:val="20"/>
          <w:lang w:val="es-VE"/>
        </w:rPr>
      </w:pPr>
    </w:p>
    <w:p w14:paraId="29833F1F" w14:textId="728BE9A7" w:rsidR="00424705" w:rsidRPr="008264DF" w:rsidRDefault="00922E1D" w:rsidP="008264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sidRPr="008264DF">
        <w:rPr>
          <w:rFonts w:ascii="Cambria" w:hAnsi="Cambria"/>
          <w:color w:val="000000" w:themeColor="text1"/>
          <w:sz w:val="20"/>
          <w:szCs w:val="20"/>
          <w:lang w:val="es-VE"/>
        </w:rPr>
        <w:t xml:space="preserve">La parte peticionaria informó que el acto conclusivo se presentó y el proceso penal inició “justo después” de </w:t>
      </w:r>
      <w:r w:rsidRPr="008264DF">
        <w:rPr>
          <w:rFonts w:ascii="Cambria" w:hAnsi="Cambria"/>
          <w:color w:val="000000" w:themeColor="text1"/>
          <w:sz w:val="20"/>
          <w:szCs w:val="20"/>
          <w:lang w:val="es-CO"/>
        </w:rPr>
        <w:t>notificado</w:t>
      </w:r>
      <w:r w:rsidRPr="008264DF">
        <w:rPr>
          <w:rFonts w:ascii="Cambria" w:hAnsi="Cambria"/>
          <w:color w:val="000000" w:themeColor="text1"/>
          <w:sz w:val="20"/>
          <w:szCs w:val="20"/>
          <w:lang w:val="es-VE"/>
        </w:rPr>
        <w:t xml:space="preserve"> el Informe de Admisibilidad de </w:t>
      </w:r>
      <w:r w:rsidR="00757291" w:rsidRPr="008264DF">
        <w:rPr>
          <w:rFonts w:ascii="Cambria" w:hAnsi="Cambria"/>
          <w:color w:val="000000" w:themeColor="text1"/>
          <w:sz w:val="20"/>
          <w:szCs w:val="20"/>
          <w:lang w:val="es-VE"/>
        </w:rPr>
        <w:t xml:space="preserve">la </w:t>
      </w:r>
      <w:r w:rsidR="008264DF" w:rsidRPr="008264DF">
        <w:rPr>
          <w:rFonts w:ascii="Cambria" w:hAnsi="Cambria"/>
          <w:color w:val="000000" w:themeColor="text1"/>
          <w:sz w:val="20"/>
          <w:szCs w:val="20"/>
          <w:lang w:val="es-VE"/>
        </w:rPr>
        <w:t>CIDH</w:t>
      </w:r>
      <w:r>
        <w:rPr>
          <w:rStyle w:val="FootnoteReference"/>
          <w:rFonts w:ascii="Cambria" w:hAnsi="Cambria"/>
          <w:color w:val="000000" w:themeColor="text1"/>
          <w:sz w:val="20"/>
          <w:szCs w:val="20"/>
          <w:lang w:val="es-VE"/>
        </w:rPr>
        <w:footnoteReference w:id="107"/>
      </w:r>
      <w:r w:rsidRPr="008264DF">
        <w:rPr>
          <w:rFonts w:ascii="Cambria" w:hAnsi="Cambria"/>
          <w:color w:val="000000" w:themeColor="text1"/>
          <w:sz w:val="20"/>
          <w:szCs w:val="20"/>
          <w:lang w:val="es-VE"/>
        </w:rPr>
        <w:t>.</w:t>
      </w:r>
      <w:r w:rsidR="001A22EE" w:rsidRPr="008264DF">
        <w:rPr>
          <w:rFonts w:ascii="Cambria" w:hAnsi="Cambria"/>
          <w:color w:val="000000" w:themeColor="text1"/>
          <w:sz w:val="20"/>
          <w:szCs w:val="20"/>
          <w:lang w:val="es-VE"/>
        </w:rPr>
        <w:t xml:space="preserve"> Aunque no se cuenta con prueba documental al respecto, de las actas de </w:t>
      </w:r>
      <w:r w:rsidR="00A95F38" w:rsidRPr="008264DF">
        <w:rPr>
          <w:rFonts w:ascii="Cambria" w:hAnsi="Cambria"/>
          <w:color w:val="000000" w:themeColor="text1"/>
          <w:sz w:val="20"/>
          <w:szCs w:val="20"/>
          <w:lang w:val="es-VE"/>
        </w:rPr>
        <w:t>diferimiento</w:t>
      </w:r>
      <w:r w:rsidR="001A22EE" w:rsidRPr="008264DF">
        <w:rPr>
          <w:rFonts w:ascii="Cambria" w:hAnsi="Cambria"/>
          <w:color w:val="000000" w:themeColor="text1"/>
          <w:sz w:val="20"/>
          <w:szCs w:val="20"/>
          <w:lang w:val="es-VE"/>
        </w:rPr>
        <w:t xml:space="preserve"> de audiencia posteriores a esta época se desprende que el acto se habría </w:t>
      </w:r>
      <w:r w:rsidR="001A22EE" w:rsidRPr="008264DF">
        <w:rPr>
          <w:rFonts w:ascii="Cambria" w:hAnsi="Cambria"/>
          <w:color w:val="000000" w:themeColor="text1"/>
          <w:sz w:val="20"/>
          <w:szCs w:val="20"/>
          <w:lang w:val="es-US"/>
        </w:rPr>
        <w:t xml:space="preserve">presentado para poder convocar una audiencia preliminar. </w:t>
      </w:r>
      <w:r w:rsidRPr="008264DF">
        <w:rPr>
          <w:rFonts w:ascii="Cambria" w:hAnsi="Cambria"/>
          <w:color w:val="000000" w:themeColor="text1"/>
          <w:sz w:val="20"/>
          <w:szCs w:val="20"/>
          <w:lang w:val="es-US"/>
        </w:rPr>
        <w:t>Otras fuentes de información de público conocimiento indican que el mismo se presentó en noviembre de 2012</w:t>
      </w:r>
      <w:r w:rsidRPr="008264DF">
        <w:rPr>
          <w:rFonts w:asciiTheme="majorHAnsi" w:hAnsiTheme="majorHAnsi"/>
          <w:sz w:val="20"/>
          <w:szCs w:val="20"/>
          <w:vertAlign w:val="superscript"/>
          <w:lang w:val="es-US"/>
        </w:rPr>
        <w:footnoteReference w:id="108"/>
      </w:r>
      <w:r w:rsidRPr="008264DF">
        <w:rPr>
          <w:rFonts w:ascii="Cambria" w:hAnsi="Cambria"/>
          <w:color w:val="000000" w:themeColor="text1"/>
          <w:sz w:val="20"/>
          <w:szCs w:val="20"/>
          <w:lang w:val="es-US"/>
        </w:rPr>
        <w:t>.</w:t>
      </w:r>
      <w:r w:rsidR="001D3E9C" w:rsidRPr="008264DF">
        <w:rPr>
          <w:rFonts w:ascii="Cambria" w:hAnsi="Cambria"/>
          <w:color w:val="000000" w:themeColor="text1"/>
          <w:sz w:val="20"/>
          <w:szCs w:val="20"/>
          <w:lang w:val="es-US"/>
        </w:rPr>
        <w:t xml:space="preserve"> </w:t>
      </w:r>
      <w:r w:rsidR="00744463" w:rsidRPr="008264DF">
        <w:rPr>
          <w:rFonts w:ascii="Cambria" w:hAnsi="Cambria"/>
          <w:color w:val="000000" w:themeColor="text1"/>
          <w:sz w:val="20"/>
          <w:szCs w:val="20"/>
          <w:lang w:val="es-US"/>
        </w:rPr>
        <w:t>L</w:t>
      </w:r>
      <w:r w:rsidR="00454FB2" w:rsidRPr="008264DF">
        <w:rPr>
          <w:rFonts w:ascii="Cambria" w:hAnsi="Cambria"/>
          <w:color w:val="000000" w:themeColor="text1"/>
          <w:sz w:val="20"/>
          <w:szCs w:val="20"/>
          <w:lang w:val="es-US"/>
        </w:rPr>
        <w:t xml:space="preserve">a parte peticionaria indicó que </w:t>
      </w:r>
      <w:r w:rsidR="0056358F" w:rsidRPr="008264DF">
        <w:rPr>
          <w:rFonts w:ascii="Cambria" w:hAnsi="Cambria"/>
          <w:color w:val="000000" w:themeColor="text1"/>
          <w:sz w:val="20"/>
          <w:szCs w:val="20"/>
          <w:lang w:val="es-US"/>
        </w:rPr>
        <w:t>hasta el año 2013, todavía no se había celebrado la audiencia preliminar,</w:t>
      </w:r>
      <w:r w:rsidRPr="008264DF">
        <w:rPr>
          <w:rFonts w:ascii="Cambria" w:hAnsi="Cambria"/>
          <w:color w:val="000000" w:themeColor="text1"/>
          <w:sz w:val="20"/>
          <w:szCs w:val="20"/>
          <w:lang w:val="es-US"/>
        </w:rPr>
        <w:t xml:space="preserve"> </w:t>
      </w:r>
      <w:r w:rsidR="0056358F" w:rsidRPr="008264DF">
        <w:rPr>
          <w:rFonts w:ascii="Cambria" w:hAnsi="Cambria"/>
          <w:color w:val="000000" w:themeColor="text1"/>
          <w:sz w:val="20"/>
          <w:szCs w:val="20"/>
          <w:lang w:val="es-US"/>
        </w:rPr>
        <w:t xml:space="preserve">en violación del procedimiento </w:t>
      </w:r>
      <w:r w:rsidR="001D3E9C" w:rsidRPr="008264DF">
        <w:rPr>
          <w:rFonts w:ascii="Cambria" w:hAnsi="Cambria"/>
          <w:color w:val="000000" w:themeColor="text1"/>
          <w:sz w:val="20"/>
          <w:szCs w:val="20"/>
          <w:lang w:val="es-US"/>
        </w:rPr>
        <w:t>legal</w:t>
      </w:r>
      <w:r w:rsidR="0056358F" w:rsidRPr="008264DF">
        <w:rPr>
          <w:rFonts w:ascii="Cambria" w:hAnsi="Cambria"/>
          <w:color w:val="000000" w:themeColor="text1"/>
          <w:sz w:val="20"/>
          <w:szCs w:val="20"/>
          <w:lang w:val="es-US"/>
        </w:rPr>
        <w:t xml:space="preserve">. </w:t>
      </w:r>
      <w:r w:rsidR="00454FB2" w:rsidRPr="008264DF">
        <w:rPr>
          <w:rFonts w:ascii="Cambria" w:hAnsi="Cambria"/>
          <w:color w:val="000000" w:themeColor="text1"/>
          <w:sz w:val="20"/>
          <w:szCs w:val="20"/>
          <w:lang w:val="es-US"/>
        </w:rPr>
        <w:t>Señ</w:t>
      </w:r>
      <w:r w:rsidRPr="008264DF">
        <w:rPr>
          <w:rFonts w:ascii="Cambria" w:hAnsi="Cambria"/>
          <w:color w:val="000000" w:themeColor="text1"/>
          <w:sz w:val="20"/>
          <w:szCs w:val="20"/>
          <w:lang w:val="es-US"/>
        </w:rPr>
        <w:t>aló</w:t>
      </w:r>
      <w:r w:rsidR="00454FB2" w:rsidRPr="008264DF">
        <w:rPr>
          <w:rFonts w:ascii="Cambria" w:hAnsi="Cambria"/>
          <w:color w:val="000000" w:themeColor="text1"/>
          <w:sz w:val="20"/>
          <w:szCs w:val="20"/>
          <w:lang w:val="es-US"/>
        </w:rPr>
        <w:t xml:space="preserve"> que la audiencia </w:t>
      </w:r>
      <w:r w:rsidRPr="008264DF">
        <w:rPr>
          <w:rFonts w:ascii="Cambria" w:hAnsi="Cambria"/>
          <w:color w:val="000000" w:themeColor="text1"/>
          <w:sz w:val="20"/>
          <w:szCs w:val="20"/>
          <w:lang w:val="es-US"/>
        </w:rPr>
        <w:t>fue</w:t>
      </w:r>
      <w:r w:rsidR="00454FB2" w:rsidRPr="008264DF">
        <w:rPr>
          <w:rFonts w:ascii="Cambria" w:hAnsi="Cambria"/>
          <w:color w:val="000000" w:themeColor="text1"/>
          <w:sz w:val="20"/>
          <w:szCs w:val="20"/>
          <w:lang w:val="es-US"/>
        </w:rPr>
        <w:t xml:space="preserve"> convocada reiteradas veces y diferida debido a la incomparecencia de la defensa</w:t>
      </w:r>
      <w:r w:rsidRPr="008264DF">
        <w:rPr>
          <w:rFonts w:asciiTheme="majorHAnsi" w:hAnsiTheme="majorHAnsi"/>
          <w:sz w:val="20"/>
          <w:szCs w:val="20"/>
          <w:vertAlign w:val="superscript"/>
          <w:lang w:val="es-US"/>
        </w:rPr>
        <w:footnoteReference w:id="109"/>
      </w:r>
      <w:r w:rsidR="00744463" w:rsidRPr="008264DF">
        <w:rPr>
          <w:rFonts w:ascii="Cambria" w:hAnsi="Cambria"/>
          <w:color w:val="000000" w:themeColor="text1"/>
          <w:sz w:val="20"/>
          <w:szCs w:val="20"/>
          <w:lang w:val="es-US"/>
        </w:rPr>
        <w:t xml:space="preserve"> pero </w:t>
      </w:r>
      <w:r w:rsidR="00454FB2" w:rsidRPr="008264DF">
        <w:rPr>
          <w:rFonts w:ascii="Cambria" w:hAnsi="Cambria"/>
          <w:color w:val="000000" w:themeColor="text1"/>
          <w:sz w:val="20"/>
          <w:szCs w:val="20"/>
          <w:lang w:val="es-US"/>
        </w:rPr>
        <w:t xml:space="preserve">el juez no ordenó </w:t>
      </w:r>
      <w:r w:rsidR="00744463" w:rsidRPr="008264DF">
        <w:rPr>
          <w:rFonts w:ascii="Cambria" w:hAnsi="Cambria"/>
          <w:color w:val="000000" w:themeColor="text1"/>
          <w:sz w:val="20"/>
          <w:szCs w:val="20"/>
          <w:lang w:val="es-US"/>
        </w:rPr>
        <w:t>las sanciones correspondientes</w:t>
      </w:r>
      <w:r w:rsidR="00744463" w:rsidRPr="008264DF">
        <w:rPr>
          <w:rFonts w:asciiTheme="majorHAnsi" w:hAnsiTheme="majorHAnsi"/>
          <w:sz w:val="20"/>
          <w:szCs w:val="20"/>
          <w:vertAlign w:val="superscript"/>
        </w:rPr>
        <w:footnoteReference w:id="110"/>
      </w:r>
      <w:r w:rsidR="00454FB2" w:rsidRPr="008264DF">
        <w:rPr>
          <w:rFonts w:ascii="Cambria" w:hAnsi="Cambria"/>
          <w:color w:val="000000" w:themeColor="text1"/>
          <w:sz w:val="20"/>
          <w:szCs w:val="20"/>
          <w:lang w:val="es-US"/>
        </w:rPr>
        <w:t xml:space="preserve">. </w:t>
      </w:r>
      <w:r w:rsidR="00744463" w:rsidRPr="008264DF">
        <w:rPr>
          <w:rFonts w:ascii="Cambria" w:hAnsi="Cambria"/>
          <w:color w:val="000000" w:themeColor="text1"/>
          <w:sz w:val="20"/>
          <w:szCs w:val="20"/>
          <w:lang w:val="es-US"/>
        </w:rPr>
        <w:t>S</w:t>
      </w:r>
      <w:r w:rsidR="00C0412A" w:rsidRPr="008264DF">
        <w:rPr>
          <w:rFonts w:ascii="Cambria" w:hAnsi="Cambria"/>
          <w:color w:val="000000" w:themeColor="text1"/>
          <w:sz w:val="20"/>
          <w:szCs w:val="20"/>
          <w:lang w:val="es-US"/>
        </w:rPr>
        <w:t>ostuvo</w:t>
      </w:r>
      <w:r w:rsidR="00744463" w:rsidRPr="008264DF">
        <w:rPr>
          <w:rFonts w:ascii="Cambria" w:hAnsi="Cambria"/>
          <w:color w:val="000000" w:themeColor="text1"/>
          <w:sz w:val="20"/>
          <w:szCs w:val="20"/>
          <w:lang w:val="es-US"/>
        </w:rPr>
        <w:t>, además,</w:t>
      </w:r>
      <w:r w:rsidR="00C0412A" w:rsidRPr="008264DF">
        <w:rPr>
          <w:rFonts w:ascii="Cambria" w:hAnsi="Cambria"/>
          <w:color w:val="000000" w:themeColor="text1"/>
          <w:sz w:val="20"/>
          <w:szCs w:val="20"/>
          <w:lang w:val="es-US"/>
        </w:rPr>
        <w:t xml:space="preserve"> h</w:t>
      </w:r>
      <w:r w:rsidRPr="008264DF">
        <w:rPr>
          <w:rFonts w:ascii="Cambria" w:hAnsi="Cambria"/>
          <w:color w:val="000000" w:themeColor="text1"/>
          <w:sz w:val="20"/>
          <w:szCs w:val="20"/>
          <w:lang w:val="es-US"/>
        </w:rPr>
        <w:t>aber</w:t>
      </w:r>
      <w:r w:rsidR="00454FB2" w:rsidRPr="008264DF">
        <w:rPr>
          <w:rFonts w:ascii="Cambria" w:hAnsi="Cambria"/>
          <w:color w:val="000000" w:themeColor="text1"/>
          <w:sz w:val="20"/>
          <w:szCs w:val="20"/>
          <w:lang w:val="es-US"/>
        </w:rPr>
        <w:t xml:space="preserve"> observado </w:t>
      </w:r>
      <w:r w:rsidR="00C0412A" w:rsidRPr="008264DF">
        <w:rPr>
          <w:rFonts w:ascii="Cambria" w:hAnsi="Cambria"/>
          <w:color w:val="000000" w:themeColor="text1"/>
          <w:sz w:val="20"/>
          <w:szCs w:val="20"/>
          <w:lang w:val="es-US"/>
        </w:rPr>
        <w:t xml:space="preserve">una relación muy cercana </w:t>
      </w:r>
      <w:r w:rsidR="00454FB2" w:rsidRPr="008264DF">
        <w:rPr>
          <w:rFonts w:ascii="Cambria" w:hAnsi="Cambria"/>
          <w:color w:val="000000" w:themeColor="text1"/>
          <w:sz w:val="20"/>
          <w:szCs w:val="20"/>
          <w:lang w:val="es-US"/>
        </w:rPr>
        <w:t>entre el juez, los imputados y sus defensores en la sala de audiencias. Por est</w:t>
      </w:r>
      <w:r w:rsidR="00C0412A" w:rsidRPr="008264DF">
        <w:rPr>
          <w:rFonts w:ascii="Cambria" w:hAnsi="Cambria"/>
          <w:color w:val="000000" w:themeColor="text1"/>
          <w:sz w:val="20"/>
          <w:szCs w:val="20"/>
          <w:lang w:val="es-US"/>
        </w:rPr>
        <w:t>as razones</w:t>
      </w:r>
      <w:r w:rsidR="00454FB2" w:rsidRPr="008264DF">
        <w:rPr>
          <w:rFonts w:ascii="Cambria" w:hAnsi="Cambria"/>
          <w:color w:val="000000" w:themeColor="text1"/>
          <w:sz w:val="20"/>
          <w:szCs w:val="20"/>
          <w:lang w:val="es-US"/>
        </w:rPr>
        <w:t>, entiende que la dilación en el proceso es intencional</w:t>
      </w:r>
      <w:r w:rsidR="000C682F">
        <w:rPr>
          <w:rStyle w:val="FootnoteReference"/>
          <w:rFonts w:ascii="Cambria" w:hAnsi="Cambria"/>
          <w:color w:val="000000" w:themeColor="text1"/>
          <w:sz w:val="20"/>
          <w:szCs w:val="20"/>
          <w:lang w:val="es-US"/>
        </w:rPr>
        <w:footnoteReference w:id="111"/>
      </w:r>
      <w:r w:rsidR="00454FB2" w:rsidRPr="008264DF">
        <w:rPr>
          <w:rFonts w:ascii="Cambria" w:hAnsi="Cambria"/>
          <w:color w:val="000000" w:themeColor="text1"/>
          <w:sz w:val="20"/>
          <w:szCs w:val="20"/>
          <w:lang w:val="es-US"/>
        </w:rPr>
        <w:t xml:space="preserve">. </w:t>
      </w:r>
    </w:p>
    <w:p w14:paraId="4C4BAD67" w14:textId="77777777" w:rsidR="001D3E9C" w:rsidRDefault="001D3E9C" w:rsidP="00424705">
      <w:pPr>
        <w:pStyle w:val="ListParagraph"/>
        <w:rPr>
          <w:color w:val="000000" w:themeColor="text1"/>
          <w:sz w:val="20"/>
          <w:szCs w:val="20"/>
          <w:lang w:val="es-VE"/>
        </w:rPr>
      </w:pPr>
    </w:p>
    <w:p w14:paraId="7982EC70" w14:textId="375BEE5A" w:rsidR="00F97A27" w:rsidRPr="00F30AB7" w:rsidRDefault="0056358F" w:rsidP="008264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sidRPr="00424705">
        <w:rPr>
          <w:rFonts w:ascii="Cambria" w:hAnsi="Cambria"/>
          <w:color w:val="000000" w:themeColor="text1"/>
          <w:sz w:val="20"/>
          <w:szCs w:val="20"/>
          <w:lang w:val="es-VE"/>
        </w:rPr>
        <w:t>La parte peticionaria alegó que</w:t>
      </w:r>
      <w:r w:rsidR="005C39D7" w:rsidRPr="00424705">
        <w:rPr>
          <w:rFonts w:ascii="Cambria" w:hAnsi="Cambria"/>
          <w:color w:val="000000" w:themeColor="text1"/>
          <w:sz w:val="20"/>
          <w:szCs w:val="20"/>
          <w:lang w:val="es-VE"/>
        </w:rPr>
        <w:t xml:space="preserve"> </w:t>
      </w:r>
      <w:r w:rsidRPr="00424705">
        <w:rPr>
          <w:rFonts w:ascii="Cambria" w:hAnsi="Cambria"/>
          <w:color w:val="000000" w:themeColor="text1"/>
          <w:sz w:val="20"/>
          <w:szCs w:val="20"/>
          <w:lang w:val="es-VE"/>
        </w:rPr>
        <w:t xml:space="preserve">la audiencia preliminar se llevó a cabo el 3 de junio de 2014, día en que no podía acudir a la audiencia. Informó que ese día, </w:t>
      </w:r>
      <w:r w:rsidR="00454FB2" w:rsidRPr="00424705">
        <w:rPr>
          <w:rFonts w:ascii="Cambria" w:hAnsi="Cambria"/>
          <w:color w:val="000000" w:themeColor="text1"/>
          <w:sz w:val="20"/>
          <w:szCs w:val="20"/>
          <w:lang w:val="es-VE"/>
        </w:rPr>
        <w:t>“</w:t>
      </w:r>
      <w:r w:rsidR="00454FB2" w:rsidRPr="00424705">
        <w:rPr>
          <w:rFonts w:ascii="Cambria" w:hAnsi="Cambria"/>
          <w:color w:val="000000" w:themeColor="text1"/>
          <w:sz w:val="20"/>
          <w:szCs w:val="20"/>
          <w:lang w:val="es-US"/>
        </w:rPr>
        <w:t xml:space="preserve">el Juzgado por primera vez tom[ó] una decisión, emitiendo una sentencia de </w:t>
      </w:r>
      <w:r w:rsidR="00454FB2" w:rsidRPr="00F30AB7">
        <w:rPr>
          <w:rFonts w:ascii="Cambria" w:hAnsi="Cambria"/>
          <w:color w:val="000000" w:themeColor="text1"/>
          <w:sz w:val="20"/>
          <w:szCs w:val="20"/>
          <w:lang w:val="es-VE"/>
        </w:rPr>
        <w:t>sobreseimiento</w:t>
      </w:r>
      <w:r w:rsidR="00454FB2" w:rsidRPr="00424705">
        <w:rPr>
          <w:rFonts w:ascii="Cambria" w:hAnsi="Cambria"/>
          <w:color w:val="000000" w:themeColor="text1"/>
          <w:sz w:val="20"/>
          <w:szCs w:val="20"/>
          <w:lang w:val="es-US"/>
        </w:rPr>
        <w:t xml:space="preserve"> a la pretensión de querellarse interpuesta por los abogados del Observatorio”</w:t>
      </w:r>
      <w:r>
        <w:rPr>
          <w:rStyle w:val="FootnoteReference"/>
          <w:rFonts w:ascii="Cambria" w:hAnsi="Cambria"/>
          <w:color w:val="000000" w:themeColor="text1"/>
          <w:sz w:val="20"/>
          <w:szCs w:val="20"/>
          <w:lang w:val="es-VE"/>
        </w:rPr>
        <w:footnoteReference w:id="112"/>
      </w:r>
      <w:r w:rsidRPr="00424705">
        <w:rPr>
          <w:rFonts w:ascii="Cambria" w:hAnsi="Cambria"/>
          <w:color w:val="000000" w:themeColor="text1"/>
          <w:sz w:val="20"/>
          <w:szCs w:val="20"/>
          <w:lang w:val="es-VE"/>
        </w:rPr>
        <w:t xml:space="preserve">, por lo que se entiende que el juzgado se negó a acreditarlos como parte coadyuvante en el caso ante las instancias internas. Informó que se interpuso un recurso de apelación en contra de esta decisión el 10 de junio de 2014. </w:t>
      </w:r>
      <w:r w:rsidR="00922E1D">
        <w:rPr>
          <w:rFonts w:ascii="Cambria" w:hAnsi="Cambria"/>
          <w:color w:val="000000" w:themeColor="text1"/>
          <w:sz w:val="20"/>
          <w:szCs w:val="20"/>
          <w:lang w:val="es-VE"/>
        </w:rPr>
        <w:t xml:space="preserve">No se cuenta con </w:t>
      </w:r>
      <w:r w:rsidR="00F30AB7">
        <w:rPr>
          <w:rFonts w:ascii="Cambria" w:hAnsi="Cambria"/>
          <w:color w:val="000000" w:themeColor="text1"/>
          <w:sz w:val="20"/>
          <w:szCs w:val="20"/>
          <w:lang w:val="es-VE"/>
        </w:rPr>
        <w:t>mayor información al respecto.</w:t>
      </w:r>
      <w:r w:rsidR="00F30AB7">
        <w:rPr>
          <w:rFonts w:ascii="Cambria" w:hAnsi="Cambria"/>
          <w:color w:val="000000" w:themeColor="text1"/>
          <w:sz w:val="20"/>
          <w:szCs w:val="20"/>
          <w:lang w:val="es-CO"/>
        </w:rPr>
        <w:t xml:space="preserve"> </w:t>
      </w:r>
      <w:r w:rsidR="00744463" w:rsidRPr="00F30AB7">
        <w:rPr>
          <w:rFonts w:ascii="Cambria" w:hAnsi="Cambria"/>
          <w:color w:val="000000" w:themeColor="text1"/>
          <w:sz w:val="20"/>
          <w:szCs w:val="20"/>
          <w:lang w:val="es-VE"/>
        </w:rPr>
        <w:t>L</w:t>
      </w:r>
      <w:r w:rsidRPr="00F30AB7">
        <w:rPr>
          <w:rFonts w:ascii="Cambria" w:hAnsi="Cambria"/>
          <w:color w:val="000000" w:themeColor="text1"/>
          <w:sz w:val="20"/>
          <w:szCs w:val="20"/>
          <w:lang w:val="es-VE"/>
        </w:rPr>
        <w:t>a parte peticionaria indicó que hasta marzo del 2015, todavía no se había celebrado la audiencia de j</w:t>
      </w:r>
      <w:r w:rsidR="00F30AB7">
        <w:rPr>
          <w:rFonts w:ascii="Cambria" w:hAnsi="Cambria"/>
          <w:color w:val="000000" w:themeColor="text1"/>
          <w:sz w:val="20"/>
          <w:szCs w:val="20"/>
          <w:lang w:val="es-VE"/>
        </w:rPr>
        <w:t>uicio a las personas imputadas. Esta es la última información disponible en el expediente.</w:t>
      </w:r>
    </w:p>
    <w:p w14:paraId="01CF8914" w14:textId="77777777" w:rsidR="00F97A27" w:rsidRPr="00744463" w:rsidRDefault="00F97A27" w:rsidP="00744463">
      <w:pPr>
        <w:rPr>
          <w:rFonts w:asciiTheme="majorHAnsi" w:hAnsiTheme="majorHAnsi"/>
          <w:sz w:val="20"/>
          <w:szCs w:val="20"/>
          <w:lang w:val="es-CO"/>
        </w:rPr>
      </w:pPr>
    </w:p>
    <w:p w14:paraId="28BA334E" w14:textId="6F849A90" w:rsidR="004D2720" w:rsidRPr="008264DF" w:rsidRDefault="0094652F" w:rsidP="004F5025">
      <w:pPr>
        <w:pStyle w:val="Heading2"/>
      </w:pPr>
      <w:bookmarkStart w:id="19" w:name="_Toc527708417"/>
      <w:r>
        <w:t>Información de contexto sobre la situación en la cárcel de Vista Hermosa después de los hechos</w:t>
      </w:r>
      <w:bookmarkEnd w:id="19"/>
    </w:p>
    <w:p w14:paraId="6251983D" w14:textId="77777777" w:rsidR="00DC2130" w:rsidRDefault="00DC2130" w:rsidP="00DC2130">
      <w:pPr>
        <w:jc w:val="both"/>
        <w:rPr>
          <w:rFonts w:asciiTheme="majorHAnsi" w:hAnsiTheme="majorHAnsi"/>
          <w:b/>
          <w:color w:val="FF0000"/>
          <w:sz w:val="20"/>
          <w:szCs w:val="20"/>
          <w:lang w:val="es-ES_tradnl"/>
        </w:rPr>
      </w:pPr>
    </w:p>
    <w:p w14:paraId="225EDA1A" w14:textId="0478A153" w:rsidR="00A95F38" w:rsidRPr="00A95F38" w:rsidRDefault="00744463" w:rsidP="008264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Pr>
          <w:rFonts w:asciiTheme="majorHAnsi" w:hAnsiTheme="majorHAnsi"/>
          <w:sz w:val="20"/>
          <w:szCs w:val="20"/>
          <w:lang w:val="es-CO"/>
        </w:rPr>
        <w:t>En junio de 2004</w:t>
      </w:r>
      <w:r w:rsidR="00F97A27">
        <w:rPr>
          <w:rFonts w:asciiTheme="majorHAnsi" w:hAnsiTheme="majorHAnsi"/>
          <w:sz w:val="20"/>
          <w:szCs w:val="20"/>
          <w:lang w:val="es-CO"/>
        </w:rPr>
        <w:t xml:space="preserve">, </w:t>
      </w:r>
      <w:r w:rsidR="00A95F38">
        <w:rPr>
          <w:rFonts w:asciiTheme="majorHAnsi" w:hAnsiTheme="majorHAnsi"/>
          <w:sz w:val="20"/>
          <w:szCs w:val="20"/>
          <w:lang w:val="es-CO"/>
        </w:rPr>
        <w:t>se</w:t>
      </w:r>
      <w:r w:rsidR="00F97A27">
        <w:rPr>
          <w:rFonts w:asciiTheme="majorHAnsi" w:hAnsiTheme="majorHAnsi"/>
          <w:sz w:val="20"/>
          <w:szCs w:val="20"/>
          <w:lang w:val="es-CO"/>
        </w:rPr>
        <w:t xml:space="preserve"> report</w:t>
      </w:r>
      <w:r w:rsidR="00A95F38">
        <w:rPr>
          <w:rFonts w:asciiTheme="majorHAnsi" w:hAnsiTheme="majorHAnsi"/>
          <w:sz w:val="20"/>
          <w:szCs w:val="20"/>
          <w:lang w:val="es-CO"/>
        </w:rPr>
        <w:t>ó</w:t>
      </w:r>
      <w:r w:rsidR="00F97A27">
        <w:rPr>
          <w:rFonts w:asciiTheme="majorHAnsi" w:hAnsiTheme="majorHAnsi"/>
          <w:sz w:val="20"/>
          <w:szCs w:val="20"/>
          <w:lang w:val="es-CO"/>
        </w:rPr>
        <w:t xml:space="preserve"> en medios locales que el teniente </w:t>
      </w:r>
      <w:r w:rsidR="00F97A27" w:rsidRPr="00F97A27">
        <w:rPr>
          <w:rFonts w:asciiTheme="majorHAnsi" w:hAnsiTheme="majorHAnsi"/>
          <w:sz w:val="20"/>
          <w:szCs w:val="20"/>
          <w:lang w:val="es-CO"/>
        </w:rPr>
        <w:t xml:space="preserve">Puerta y </w:t>
      </w:r>
      <w:r w:rsidR="00F97A27">
        <w:rPr>
          <w:rFonts w:asciiTheme="majorHAnsi" w:hAnsiTheme="majorHAnsi"/>
          <w:sz w:val="20"/>
          <w:szCs w:val="20"/>
          <w:lang w:val="es-CO"/>
        </w:rPr>
        <w:t xml:space="preserve">el capitán </w:t>
      </w:r>
      <w:r w:rsidR="00F97A27" w:rsidRPr="00F97A27">
        <w:rPr>
          <w:rFonts w:asciiTheme="majorHAnsi" w:hAnsiTheme="majorHAnsi"/>
          <w:sz w:val="20"/>
          <w:szCs w:val="20"/>
          <w:lang w:val="es-CO"/>
        </w:rPr>
        <w:t>Campos recib</w:t>
      </w:r>
      <w:r w:rsidR="00F97A27">
        <w:rPr>
          <w:rFonts w:asciiTheme="majorHAnsi" w:hAnsiTheme="majorHAnsi"/>
          <w:sz w:val="20"/>
          <w:szCs w:val="20"/>
          <w:lang w:val="es-CO"/>
        </w:rPr>
        <w:t>iero</w:t>
      </w:r>
      <w:r w:rsidR="00F97A27" w:rsidRPr="00F97A27">
        <w:rPr>
          <w:rFonts w:asciiTheme="majorHAnsi" w:hAnsiTheme="majorHAnsi"/>
          <w:sz w:val="20"/>
          <w:szCs w:val="20"/>
          <w:lang w:val="es-CO"/>
        </w:rPr>
        <w:t xml:space="preserve">n </w:t>
      </w:r>
      <w:r w:rsidR="00F97A27" w:rsidRPr="008264DF">
        <w:rPr>
          <w:rFonts w:ascii="Cambria" w:hAnsi="Cambria"/>
          <w:color w:val="000000" w:themeColor="text1"/>
          <w:sz w:val="20"/>
          <w:szCs w:val="20"/>
          <w:lang w:val="es-VE"/>
        </w:rPr>
        <w:t>promociones</w:t>
      </w:r>
      <w:r w:rsidR="00F97A27" w:rsidRPr="00F97A27">
        <w:rPr>
          <w:rFonts w:asciiTheme="majorHAnsi" w:hAnsiTheme="majorHAnsi"/>
          <w:sz w:val="20"/>
          <w:szCs w:val="20"/>
          <w:lang w:val="es-CO"/>
        </w:rPr>
        <w:t xml:space="preserve"> en la </w:t>
      </w:r>
      <w:r w:rsidR="00A94D2D">
        <w:rPr>
          <w:rFonts w:asciiTheme="majorHAnsi" w:hAnsiTheme="majorHAnsi"/>
          <w:sz w:val="20"/>
          <w:szCs w:val="20"/>
          <w:lang w:val="es-CO"/>
        </w:rPr>
        <w:t>Guardia Nacional</w:t>
      </w:r>
      <w:r w:rsidR="00F97A27" w:rsidRPr="00F97A27">
        <w:rPr>
          <w:rFonts w:asciiTheme="majorHAnsi" w:hAnsiTheme="majorHAnsi"/>
          <w:sz w:val="20"/>
          <w:szCs w:val="20"/>
          <w:lang w:val="es-CO"/>
        </w:rPr>
        <w:t xml:space="preserve">. </w:t>
      </w:r>
      <w:r>
        <w:rPr>
          <w:rFonts w:asciiTheme="majorHAnsi" w:hAnsiTheme="majorHAnsi"/>
          <w:sz w:val="20"/>
          <w:szCs w:val="20"/>
          <w:lang w:val="es-CO"/>
        </w:rPr>
        <w:t>E</w:t>
      </w:r>
      <w:r w:rsidR="00F97A27">
        <w:rPr>
          <w:rFonts w:asciiTheme="majorHAnsi" w:hAnsiTheme="majorHAnsi"/>
          <w:sz w:val="20"/>
          <w:szCs w:val="20"/>
          <w:lang w:val="es-CO"/>
        </w:rPr>
        <w:t xml:space="preserve">l </w:t>
      </w:r>
      <w:r w:rsidR="00F97A27" w:rsidRPr="00F97A27">
        <w:rPr>
          <w:rFonts w:asciiTheme="majorHAnsi" w:hAnsiTheme="majorHAnsi"/>
          <w:sz w:val="20"/>
          <w:szCs w:val="20"/>
          <w:lang w:val="es-CO"/>
        </w:rPr>
        <w:t>Comité de Fam</w:t>
      </w:r>
      <w:r w:rsidR="00F97A27">
        <w:rPr>
          <w:rFonts w:asciiTheme="majorHAnsi" w:hAnsiTheme="majorHAnsi"/>
          <w:sz w:val="20"/>
          <w:szCs w:val="20"/>
          <w:lang w:val="es-CO"/>
        </w:rPr>
        <w:t>iliares de Vista Hermosa expresó que la decisión era</w:t>
      </w:r>
      <w:r w:rsidR="00F97A27" w:rsidRPr="00F97A27">
        <w:rPr>
          <w:rFonts w:asciiTheme="majorHAnsi" w:hAnsiTheme="majorHAnsi"/>
          <w:sz w:val="20"/>
          <w:szCs w:val="20"/>
          <w:lang w:val="es-CO"/>
        </w:rPr>
        <w:t xml:space="preserve"> una “grosería y un insulto para los familiares de los </w:t>
      </w:r>
      <w:r w:rsidR="00F97A27">
        <w:rPr>
          <w:rFonts w:asciiTheme="majorHAnsi" w:hAnsiTheme="majorHAnsi"/>
          <w:sz w:val="20"/>
          <w:szCs w:val="20"/>
          <w:lang w:val="es-CO"/>
        </w:rPr>
        <w:t>reclusos muertos en los hechos”</w:t>
      </w:r>
      <w:r w:rsidR="00F97A27">
        <w:rPr>
          <w:rStyle w:val="FootnoteReference"/>
          <w:rFonts w:asciiTheme="majorHAnsi" w:hAnsiTheme="majorHAnsi"/>
          <w:sz w:val="20"/>
          <w:szCs w:val="20"/>
          <w:lang w:val="es-CO"/>
        </w:rPr>
        <w:footnoteReference w:id="113"/>
      </w:r>
      <w:r w:rsidR="00F97A27" w:rsidRPr="00F97A27">
        <w:rPr>
          <w:rFonts w:asciiTheme="majorHAnsi" w:hAnsiTheme="majorHAnsi"/>
          <w:sz w:val="20"/>
          <w:szCs w:val="20"/>
          <w:lang w:val="es-CO"/>
        </w:rPr>
        <w:t>.</w:t>
      </w:r>
      <w:r w:rsidR="00F30AB7">
        <w:rPr>
          <w:rFonts w:asciiTheme="majorHAnsi" w:hAnsiTheme="majorHAnsi"/>
          <w:sz w:val="20"/>
          <w:szCs w:val="20"/>
          <w:lang w:val="es-CO"/>
        </w:rPr>
        <w:t xml:space="preserve"> </w:t>
      </w:r>
      <w:r w:rsidR="00A95F38">
        <w:rPr>
          <w:rFonts w:asciiTheme="majorHAnsi" w:hAnsiTheme="majorHAnsi"/>
          <w:sz w:val="20"/>
          <w:szCs w:val="20"/>
          <w:lang w:val="es-CO"/>
        </w:rPr>
        <w:t xml:space="preserve">De información de público conocimiento, se sabe que a partir del año 2005 la cárcel fue tomada por los </w:t>
      </w:r>
      <w:r w:rsidR="00A95F38" w:rsidRPr="008264DF">
        <w:rPr>
          <w:rFonts w:ascii="Cambria" w:hAnsi="Cambria"/>
          <w:color w:val="000000" w:themeColor="text1"/>
          <w:sz w:val="20"/>
          <w:szCs w:val="20"/>
          <w:lang w:val="es-VE"/>
        </w:rPr>
        <w:t>mismos</w:t>
      </w:r>
      <w:r w:rsidR="00A95F38">
        <w:rPr>
          <w:rFonts w:asciiTheme="majorHAnsi" w:hAnsiTheme="majorHAnsi"/>
          <w:sz w:val="20"/>
          <w:szCs w:val="20"/>
          <w:lang w:val="es-CO"/>
        </w:rPr>
        <w:t xml:space="preserve"> internos </w:t>
      </w:r>
      <w:r w:rsidR="00F30AB7">
        <w:rPr>
          <w:rFonts w:asciiTheme="majorHAnsi" w:hAnsiTheme="majorHAnsi"/>
          <w:sz w:val="20"/>
          <w:szCs w:val="20"/>
          <w:lang w:val="es-CO"/>
        </w:rPr>
        <w:t xml:space="preserve">quedando </w:t>
      </w:r>
      <w:r w:rsidR="00A95F38">
        <w:rPr>
          <w:rFonts w:asciiTheme="majorHAnsi" w:hAnsiTheme="majorHAnsi"/>
          <w:sz w:val="20"/>
          <w:szCs w:val="20"/>
          <w:lang w:val="es-CO"/>
        </w:rPr>
        <w:t xml:space="preserve">bajo </w:t>
      </w:r>
      <w:r w:rsidR="00F30AB7">
        <w:rPr>
          <w:rFonts w:asciiTheme="majorHAnsi" w:hAnsiTheme="majorHAnsi"/>
          <w:sz w:val="20"/>
          <w:szCs w:val="20"/>
          <w:lang w:val="es-CO"/>
        </w:rPr>
        <w:t xml:space="preserve">su </w:t>
      </w:r>
      <w:r w:rsidR="00A95F38">
        <w:rPr>
          <w:rFonts w:asciiTheme="majorHAnsi" w:hAnsiTheme="majorHAnsi"/>
          <w:sz w:val="20"/>
          <w:szCs w:val="20"/>
          <w:lang w:val="es-CO"/>
        </w:rPr>
        <w:t>control</w:t>
      </w:r>
      <w:r w:rsidR="00E25FA7">
        <w:rPr>
          <w:rStyle w:val="FootnoteReference"/>
          <w:rFonts w:asciiTheme="majorHAnsi" w:hAnsiTheme="majorHAnsi"/>
          <w:sz w:val="20"/>
          <w:szCs w:val="20"/>
          <w:lang w:val="es-CO"/>
        </w:rPr>
        <w:footnoteReference w:id="114"/>
      </w:r>
      <w:r w:rsidR="00F30AB7">
        <w:rPr>
          <w:rFonts w:asciiTheme="majorHAnsi" w:hAnsiTheme="majorHAnsi"/>
          <w:sz w:val="20"/>
          <w:szCs w:val="20"/>
          <w:lang w:val="es-CO"/>
        </w:rPr>
        <w:t>.</w:t>
      </w:r>
      <w:r w:rsidR="00A95F38">
        <w:rPr>
          <w:rFonts w:asciiTheme="majorHAnsi" w:hAnsiTheme="majorHAnsi"/>
          <w:sz w:val="20"/>
          <w:szCs w:val="20"/>
          <w:lang w:val="es-CO"/>
        </w:rPr>
        <w:t xml:space="preserve"> </w:t>
      </w:r>
      <w:r w:rsidR="00F30AB7">
        <w:rPr>
          <w:rFonts w:asciiTheme="majorHAnsi" w:hAnsiTheme="majorHAnsi"/>
          <w:sz w:val="20"/>
          <w:szCs w:val="20"/>
          <w:lang w:val="es-CO"/>
        </w:rPr>
        <w:t>E</w:t>
      </w:r>
      <w:r w:rsidR="00C0412A">
        <w:rPr>
          <w:rFonts w:asciiTheme="majorHAnsi" w:hAnsiTheme="majorHAnsi"/>
          <w:sz w:val="20"/>
          <w:szCs w:val="20"/>
          <w:lang w:val="es-CO"/>
        </w:rPr>
        <w:t xml:space="preserve">n este sentido, se reporta que </w:t>
      </w:r>
      <w:r w:rsidR="00A95F38">
        <w:rPr>
          <w:rFonts w:asciiTheme="majorHAnsi" w:hAnsiTheme="majorHAnsi"/>
          <w:sz w:val="20"/>
          <w:szCs w:val="20"/>
          <w:lang w:val="es-CO"/>
        </w:rPr>
        <w:t xml:space="preserve">la </w:t>
      </w:r>
      <w:r w:rsidR="00A94D2D">
        <w:rPr>
          <w:rFonts w:asciiTheme="majorHAnsi" w:hAnsiTheme="majorHAnsi"/>
          <w:sz w:val="20"/>
          <w:szCs w:val="20"/>
          <w:lang w:val="es-CO"/>
        </w:rPr>
        <w:t xml:space="preserve">Guardia Nacional </w:t>
      </w:r>
      <w:r w:rsidR="00A95F38">
        <w:rPr>
          <w:rFonts w:asciiTheme="majorHAnsi" w:hAnsiTheme="majorHAnsi"/>
          <w:sz w:val="20"/>
          <w:szCs w:val="20"/>
          <w:lang w:val="es-CO"/>
        </w:rPr>
        <w:t>sigue encargada de la vigilancia exterior del penal, pero no entra al interior.</w:t>
      </w:r>
    </w:p>
    <w:p w14:paraId="3666B215" w14:textId="77777777" w:rsidR="00A95F38" w:rsidRPr="00A95F38" w:rsidRDefault="00A95F38" w:rsidP="00A95F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CO"/>
        </w:rPr>
      </w:pPr>
    </w:p>
    <w:p w14:paraId="0C86F1E0" w14:textId="20B3DD08" w:rsidR="00A95F38" w:rsidRPr="00E25FA7" w:rsidRDefault="00C85F6F" w:rsidP="008264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CO"/>
        </w:rPr>
      </w:pPr>
      <w:r>
        <w:rPr>
          <w:rFonts w:asciiTheme="majorHAnsi" w:hAnsiTheme="majorHAnsi"/>
          <w:sz w:val="20"/>
          <w:szCs w:val="20"/>
          <w:lang w:val="es-CO"/>
        </w:rPr>
        <w:t>La situación en la c</w:t>
      </w:r>
      <w:r w:rsidR="00A95F38">
        <w:rPr>
          <w:rFonts w:asciiTheme="majorHAnsi" w:hAnsiTheme="majorHAnsi"/>
          <w:sz w:val="20"/>
          <w:szCs w:val="20"/>
          <w:lang w:val="es-CO"/>
        </w:rPr>
        <w:t xml:space="preserve">árcel de Vista Hermosa ha sido de gran preocupación </w:t>
      </w:r>
      <w:r w:rsidR="00744463">
        <w:rPr>
          <w:rFonts w:asciiTheme="majorHAnsi" w:hAnsiTheme="majorHAnsi"/>
          <w:sz w:val="20"/>
          <w:szCs w:val="20"/>
          <w:lang w:val="es-CO"/>
        </w:rPr>
        <w:t>para</w:t>
      </w:r>
      <w:r w:rsidR="00A95F38">
        <w:rPr>
          <w:rFonts w:asciiTheme="majorHAnsi" w:hAnsiTheme="majorHAnsi"/>
          <w:sz w:val="20"/>
          <w:szCs w:val="20"/>
          <w:lang w:val="es-CO"/>
        </w:rPr>
        <w:t xml:space="preserve"> la Comisión en </w:t>
      </w:r>
      <w:r w:rsidR="00744463">
        <w:rPr>
          <w:rFonts w:asciiTheme="majorHAnsi" w:hAnsiTheme="majorHAnsi"/>
          <w:sz w:val="20"/>
          <w:szCs w:val="20"/>
          <w:lang w:val="es-CO"/>
        </w:rPr>
        <w:t>años recientes</w:t>
      </w:r>
      <w:r w:rsidR="00F30AB7">
        <w:rPr>
          <w:rFonts w:asciiTheme="majorHAnsi" w:hAnsiTheme="majorHAnsi"/>
          <w:sz w:val="20"/>
          <w:szCs w:val="20"/>
          <w:lang w:val="es-CO"/>
        </w:rPr>
        <w:t>.</w:t>
      </w:r>
      <w:r w:rsidR="00A95F38">
        <w:rPr>
          <w:rFonts w:asciiTheme="majorHAnsi" w:hAnsiTheme="majorHAnsi"/>
          <w:sz w:val="20"/>
          <w:szCs w:val="20"/>
          <w:lang w:val="es-CO"/>
        </w:rPr>
        <w:t xml:space="preserve"> </w:t>
      </w:r>
      <w:r w:rsidR="00F30AB7">
        <w:rPr>
          <w:rFonts w:asciiTheme="majorHAnsi" w:hAnsiTheme="majorHAnsi"/>
          <w:sz w:val="20"/>
          <w:szCs w:val="20"/>
          <w:lang w:val="es-CO"/>
        </w:rPr>
        <w:t>L</w:t>
      </w:r>
      <w:r w:rsidR="00A95F38">
        <w:rPr>
          <w:rFonts w:asciiTheme="majorHAnsi" w:hAnsiTheme="majorHAnsi"/>
          <w:sz w:val="20"/>
          <w:szCs w:val="20"/>
          <w:lang w:val="es-CO"/>
        </w:rPr>
        <w:t xml:space="preserve">a </w:t>
      </w:r>
      <w:r w:rsidR="00744463">
        <w:rPr>
          <w:rFonts w:asciiTheme="majorHAnsi" w:hAnsiTheme="majorHAnsi"/>
          <w:sz w:val="20"/>
          <w:szCs w:val="20"/>
          <w:lang w:val="es-CO"/>
        </w:rPr>
        <w:t>CIDH</w:t>
      </w:r>
      <w:r w:rsidR="00A95F38">
        <w:rPr>
          <w:rFonts w:asciiTheme="majorHAnsi" w:hAnsiTheme="majorHAnsi"/>
          <w:sz w:val="20"/>
          <w:szCs w:val="20"/>
          <w:lang w:val="es-CO"/>
        </w:rPr>
        <w:t xml:space="preserve"> solicitó medidas provisionales a la Corte Interamericana en 2010, </w:t>
      </w:r>
      <w:r>
        <w:rPr>
          <w:rFonts w:asciiTheme="majorHAnsi" w:hAnsiTheme="majorHAnsi"/>
          <w:sz w:val="20"/>
          <w:szCs w:val="20"/>
          <w:lang w:val="es-CO"/>
        </w:rPr>
        <w:t>en vista de</w:t>
      </w:r>
      <w:r w:rsidR="00A95F38">
        <w:rPr>
          <w:rFonts w:asciiTheme="majorHAnsi" w:hAnsiTheme="majorHAnsi"/>
          <w:sz w:val="20"/>
          <w:szCs w:val="20"/>
          <w:lang w:val="es-CO"/>
        </w:rPr>
        <w:t xml:space="preserve"> la situación de hacinamiento, violencia, y falta de control efectivo del Estado dentro del penal. Estas fueron otorgadas en el 2011</w:t>
      </w:r>
      <w:r w:rsidR="00E25FA7">
        <w:rPr>
          <w:rStyle w:val="FootnoteReference"/>
          <w:rFonts w:asciiTheme="majorHAnsi" w:hAnsiTheme="majorHAnsi"/>
          <w:sz w:val="20"/>
          <w:szCs w:val="20"/>
          <w:lang w:val="es-CO"/>
        </w:rPr>
        <w:footnoteReference w:id="115"/>
      </w:r>
      <w:r w:rsidR="00F30AB7">
        <w:rPr>
          <w:rFonts w:asciiTheme="majorHAnsi" w:hAnsiTheme="majorHAnsi"/>
          <w:sz w:val="20"/>
          <w:szCs w:val="20"/>
          <w:lang w:val="es-CO"/>
        </w:rPr>
        <w:t xml:space="preserve"> y siguen vigentes. </w:t>
      </w:r>
      <w:r w:rsidR="00E25FA7">
        <w:rPr>
          <w:rFonts w:asciiTheme="majorHAnsi" w:hAnsiTheme="majorHAnsi"/>
          <w:sz w:val="20"/>
          <w:szCs w:val="20"/>
          <w:lang w:val="es-CO"/>
        </w:rPr>
        <w:t>La Resolución tomó en cuenta en particular:</w:t>
      </w:r>
    </w:p>
    <w:p w14:paraId="7BEF4AEF" w14:textId="77777777" w:rsidR="00E25FA7" w:rsidRDefault="00E25FA7">
      <w:pPr>
        <w:pStyle w:val="ListParagraph"/>
        <w:rPr>
          <w:color w:val="000000" w:themeColor="text1"/>
          <w:sz w:val="20"/>
          <w:szCs w:val="20"/>
          <w:lang w:val="es-CO"/>
        </w:rPr>
      </w:pPr>
    </w:p>
    <w:p w14:paraId="4B8C6A95" w14:textId="001B9CAC" w:rsidR="00E25FA7" w:rsidRDefault="00E25FA7" w:rsidP="008264DF">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CO"/>
        </w:rPr>
      </w:pPr>
      <w:r>
        <w:rPr>
          <w:rFonts w:ascii="Cambria" w:hAnsi="Cambria"/>
          <w:color w:val="000000" w:themeColor="text1"/>
          <w:sz w:val="20"/>
          <w:szCs w:val="20"/>
          <w:lang w:val="es-CO"/>
        </w:rPr>
        <w:t xml:space="preserve">El hacinamiento de la cárcel, que en </w:t>
      </w:r>
      <w:r w:rsidR="005D3117">
        <w:rPr>
          <w:rFonts w:ascii="Cambria" w:hAnsi="Cambria"/>
          <w:color w:val="000000" w:themeColor="text1"/>
          <w:sz w:val="20"/>
          <w:szCs w:val="20"/>
          <w:lang w:val="es-CO"/>
        </w:rPr>
        <w:t>2011</w:t>
      </w:r>
      <w:r>
        <w:rPr>
          <w:rFonts w:ascii="Cambria" w:hAnsi="Cambria"/>
          <w:color w:val="000000" w:themeColor="text1"/>
          <w:sz w:val="20"/>
          <w:szCs w:val="20"/>
          <w:lang w:val="es-CO"/>
        </w:rPr>
        <w:t xml:space="preserve"> contó con una capacidad instalada para 310 reclusos, mientras la población actual era de aproximadamente 930 internos;</w:t>
      </w:r>
    </w:p>
    <w:p w14:paraId="687574AC" w14:textId="0B56F065" w:rsidR="00E25FA7" w:rsidRPr="00E25FA7" w:rsidRDefault="00C0412A" w:rsidP="008264DF">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CO"/>
        </w:rPr>
      </w:pPr>
      <w:r>
        <w:rPr>
          <w:rFonts w:asciiTheme="majorHAnsi" w:hAnsiTheme="majorHAnsi"/>
          <w:sz w:val="20"/>
          <w:szCs w:val="20"/>
          <w:lang w:val="es-CO"/>
        </w:rPr>
        <w:t xml:space="preserve">Que </w:t>
      </w:r>
      <w:r w:rsidR="00DC2130" w:rsidRPr="00E25FA7">
        <w:rPr>
          <w:rFonts w:asciiTheme="majorHAnsi" w:hAnsiTheme="majorHAnsi"/>
          <w:sz w:val="20"/>
          <w:szCs w:val="20"/>
          <w:lang w:val="es-US"/>
        </w:rPr>
        <w:t xml:space="preserve">la situación en la </w:t>
      </w:r>
      <w:r w:rsidR="005D3117">
        <w:rPr>
          <w:rFonts w:asciiTheme="majorHAnsi" w:hAnsiTheme="majorHAnsi"/>
          <w:sz w:val="20"/>
          <w:szCs w:val="20"/>
          <w:lang w:val="es-US"/>
        </w:rPr>
        <w:t>c</w:t>
      </w:r>
      <w:r w:rsidR="00DC2130" w:rsidRPr="00E25FA7">
        <w:rPr>
          <w:rFonts w:asciiTheme="majorHAnsi" w:hAnsiTheme="majorHAnsi"/>
          <w:sz w:val="20"/>
          <w:szCs w:val="20"/>
          <w:lang w:val="es-US"/>
        </w:rPr>
        <w:t>árcel de Vista Hermosa se caracteriza por “la lucha permanente entre bandas internas que se disputan mediante el uso y control de las armas el control territorial del penal”, existiendo entre otras condiciones un “hacinamiento crítico”</w:t>
      </w:r>
      <w:r w:rsidR="00E25FA7">
        <w:rPr>
          <w:rFonts w:asciiTheme="majorHAnsi" w:hAnsiTheme="majorHAnsi"/>
          <w:sz w:val="20"/>
          <w:szCs w:val="20"/>
          <w:lang w:val="es-US"/>
        </w:rPr>
        <w:t>”</w:t>
      </w:r>
      <w:r w:rsidR="00DC2130" w:rsidRPr="00E25FA7">
        <w:rPr>
          <w:rFonts w:asciiTheme="majorHAnsi" w:hAnsiTheme="majorHAnsi"/>
          <w:sz w:val="20"/>
          <w:szCs w:val="20"/>
          <w:lang w:val="es-US"/>
        </w:rPr>
        <w:t xml:space="preserve">; </w:t>
      </w:r>
    </w:p>
    <w:p w14:paraId="03ED33B3" w14:textId="555AC1BA" w:rsidR="00D30778" w:rsidRPr="00D30778" w:rsidRDefault="00E25FA7" w:rsidP="008264DF">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CO"/>
        </w:rPr>
      </w:pPr>
      <w:r>
        <w:rPr>
          <w:rFonts w:asciiTheme="majorHAnsi" w:hAnsiTheme="majorHAnsi"/>
          <w:sz w:val="20"/>
          <w:szCs w:val="20"/>
          <w:lang w:val="es-US"/>
        </w:rPr>
        <w:t xml:space="preserve">Varios hechos de violencia en los años anteriores, incluidos </w:t>
      </w:r>
      <w:r w:rsidR="003A1969">
        <w:rPr>
          <w:rFonts w:asciiTheme="majorHAnsi" w:hAnsiTheme="majorHAnsi"/>
          <w:sz w:val="20"/>
          <w:szCs w:val="20"/>
          <w:lang w:val="es-US"/>
        </w:rPr>
        <w:t>por lo menos dos mot</w:t>
      </w:r>
      <w:r w:rsidR="008837D5">
        <w:rPr>
          <w:rFonts w:asciiTheme="majorHAnsi" w:hAnsiTheme="majorHAnsi"/>
          <w:sz w:val="20"/>
          <w:szCs w:val="20"/>
          <w:lang w:val="es-US"/>
        </w:rPr>
        <w:t>i</w:t>
      </w:r>
      <w:r w:rsidR="003A1969">
        <w:rPr>
          <w:rFonts w:asciiTheme="majorHAnsi" w:hAnsiTheme="majorHAnsi"/>
          <w:sz w:val="20"/>
          <w:szCs w:val="20"/>
          <w:lang w:val="es-US"/>
        </w:rPr>
        <w:t>nes en 2010 y 2011</w:t>
      </w:r>
      <w:r>
        <w:rPr>
          <w:rFonts w:asciiTheme="majorHAnsi" w:hAnsiTheme="majorHAnsi"/>
          <w:sz w:val="20"/>
          <w:szCs w:val="20"/>
          <w:lang w:val="es-US"/>
        </w:rPr>
        <w:t xml:space="preserve">, </w:t>
      </w:r>
      <w:r w:rsidR="00D30778">
        <w:rPr>
          <w:rFonts w:asciiTheme="majorHAnsi" w:hAnsiTheme="majorHAnsi"/>
          <w:sz w:val="20"/>
          <w:szCs w:val="20"/>
          <w:lang w:val="es-US"/>
        </w:rPr>
        <w:t xml:space="preserve">dejando un saldo de por lo menos </w:t>
      </w:r>
      <w:r w:rsidR="005D3117">
        <w:rPr>
          <w:rFonts w:asciiTheme="majorHAnsi" w:hAnsiTheme="majorHAnsi"/>
          <w:sz w:val="20"/>
          <w:szCs w:val="20"/>
          <w:lang w:val="es-US"/>
        </w:rPr>
        <w:t>diez</w:t>
      </w:r>
      <w:r w:rsidR="00D30778">
        <w:rPr>
          <w:rFonts w:asciiTheme="majorHAnsi" w:hAnsiTheme="majorHAnsi"/>
          <w:sz w:val="20"/>
          <w:szCs w:val="20"/>
          <w:lang w:val="es-US"/>
        </w:rPr>
        <w:t xml:space="preserve"> muertos, así como “</w:t>
      </w:r>
      <w:r w:rsidR="00DC2130" w:rsidRPr="00E25FA7">
        <w:rPr>
          <w:rFonts w:asciiTheme="majorHAnsi" w:hAnsiTheme="majorHAnsi"/>
          <w:sz w:val="20"/>
          <w:szCs w:val="20"/>
          <w:lang w:val="es-US"/>
        </w:rPr>
        <w:t>numerosas protestas y huelgas de hambre por parte de internos y sus familiares</w:t>
      </w:r>
      <w:r w:rsidR="00D30778">
        <w:rPr>
          <w:rFonts w:asciiTheme="majorHAnsi" w:hAnsiTheme="majorHAnsi"/>
          <w:sz w:val="20"/>
          <w:szCs w:val="20"/>
          <w:lang w:val="es-US"/>
        </w:rPr>
        <w:t>”</w:t>
      </w:r>
      <w:r w:rsidR="00DC2130" w:rsidRPr="00E25FA7">
        <w:rPr>
          <w:rFonts w:asciiTheme="majorHAnsi" w:hAnsiTheme="majorHAnsi"/>
          <w:sz w:val="20"/>
          <w:szCs w:val="20"/>
          <w:lang w:val="es-US"/>
        </w:rPr>
        <w:t xml:space="preserve">; </w:t>
      </w:r>
    </w:p>
    <w:p w14:paraId="07EF62AB" w14:textId="11726654" w:rsidR="008422BB" w:rsidRPr="008264DF" w:rsidRDefault="00D30778" w:rsidP="008264DF">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000000" w:themeColor="text1"/>
          <w:sz w:val="20"/>
          <w:szCs w:val="20"/>
          <w:lang w:val="es-CO"/>
        </w:rPr>
      </w:pPr>
      <w:r>
        <w:rPr>
          <w:rFonts w:asciiTheme="majorHAnsi" w:hAnsiTheme="majorHAnsi"/>
          <w:sz w:val="20"/>
          <w:szCs w:val="20"/>
          <w:lang w:val="es-US"/>
        </w:rPr>
        <w:t>Una variedad de</w:t>
      </w:r>
      <w:r w:rsidR="00DC2130" w:rsidRPr="00E25FA7">
        <w:rPr>
          <w:rFonts w:asciiTheme="majorHAnsi" w:hAnsiTheme="majorHAnsi"/>
          <w:sz w:val="20"/>
          <w:szCs w:val="20"/>
          <w:lang w:val="es-US"/>
        </w:rPr>
        <w:t xml:space="preserve"> </w:t>
      </w:r>
      <w:r>
        <w:rPr>
          <w:rFonts w:asciiTheme="majorHAnsi" w:hAnsiTheme="majorHAnsi"/>
          <w:sz w:val="20"/>
          <w:szCs w:val="20"/>
          <w:lang w:val="es-US"/>
        </w:rPr>
        <w:t>“</w:t>
      </w:r>
      <w:r w:rsidR="00DC2130" w:rsidRPr="00E25FA7">
        <w:rPr>
          <w:rFonts w:asciiTheme="majorHAnsi" w:hAnsiTheme="majorHAnsi"/>
          <w:sz w:val="20"/>
          <w:szCs w:val="20"/>
          <w:lang w:val="es-US"/>
        </w:rPr>
        <w:t>condiciones que causan las muertes de los internos y propician un ambiente de extrema violencia en el interior del penal</w:t>
      </w:r>
      <w:r>
        <w:rPr>
          <w:rFonts w:asciiTheme="majorHAnsi" w:hAnsiTheme="majorHAnsi"/>
          <w:sz w:val="20"/>
          <w:szCs w:val="20"/>
          <w:lang w:val="es-US"/>
        </w:rPr>
        <w:t>”</w:t>
      </w:r>
      <w:r w:rsidR="00DC2130" w:rsidRPr="00E25FA7">
        <w:rPr>
          <w:rFonts w:asciiTheme="majorHAnsi" w:hAnsiTheme="majorHAnsi"/>
          <w:sz w:val="20"/>
          <w:szCs w:val="20"/>
          <w:lang w:val="es-US"/>
        </w:rPr>
        <w:t xml:space="preserve">, </w:t>
      </w:r>
      <w:r>
        <w:rPr>
          <w:rFonts w:asciiTheme="majorHAnsi" w:hAnsiTheme="majorHAnsi"/>
          <w:sz w:val="20"/>
          <w:szCs w:val="20"/>
          <w:lang w:val="es-US"/>
        </w:rPr>
        <w:t>incluidas</w:t>
      </w:r>
      <w:r w:rsidR="00DC2130" w:rsidRPr="00E25FA7">
        <w:rPr>
          <w:rFonts w:asciiTheme="majorHAnsi" w:hAnsiTheme="majorHAnsi"/>
          <w:sz w:val="20"/>
          <w:szCs w:val="20"/>
          <w:lang w:val="es-US"/>
        </w:rPr>
        <w:t xml:space="preserve"> “la falta de control efectivo de la cárcel”, así como al “t</w:t>
      </w:r>
      <w:r w:rsidR="003A1969">
        <w:rPr>
          <w:rFonts w:asciiTheme="majorHAnsi" w:hAnsiTheme="majorHAnsi"/>
          <w:sz w:val="20"/>
          <w:szCs w:val="20"/>
          <w:lang w:val="es-US"/>
        </w:rPr>
        <w:t>ráfico de armas que no ha sido</w:t>
      </w:r>
      <w:r w:rsidR="00DC2130" w:rsidRPr="00E25FA7">
        <w:rPr>
          <w:rFonts w:asciiTheme="majorHAnsi" w:hAnsiTheme="majorHAnsi"/>
          <w:sz w:val="20"/>
          <w:szCs w:val="20"/>
          <w:lang w:val="es-US"/>
        </w:rPr>
        <w:t xml:space="preserve"> controlado por el Estado”, aunado al “‘hacinamiento crítico’, las pésimas condiciones de infraestructura física, servicios de salud y alimentación, así como la falta de personal ‘debidamente calificado para evitar los </w:t>
      </w:r>
      <w:r w:rsidR="003A1969">
        <w:rPr>
          <w:rFonts w:asciiTheme="majorHAnsi" w:hAnsiTheme="majorHAnsi"/>
          <w:sz w:val="20"/>
          <w:szCs w:val="20"/>
          <w:lang w:val="es-US"/>
        </w:rPr>
        <w:t>continuos brotes de violencia’”.</w:t>
      </w:r>
    </w:p>
    <w:p w14:paraId="0A4EF096" w14:textId="77777777" w:rsidR="004D2720" w:rsidRPr="003F2B50" w:rsidRDefault="004D2720" w:rsidP="004D2720">
      <w:pPr>
        <w:pStyle w:val="ListParagraph"/>
        <w:rPr>
          <w:rFonts w:asciiTheme="majorHAnsi" w:hAnsiTheme="majorHAnsi"/>
          <w:b/>
          <w:color w:val="auto"/>
          <w:sz w:val="20"/>
          <w:szCs w:val="20"/>
          <w:lang w:val="es-ES_tradnl"/>
        </w:rPr>
      </w:pPr>
    </w:p>
    <w:p w14:paraId="11705548" w14:textId="77777777" w:rsidR="00D12193" w:rsidRPr="003F2B50" w:rsidRDefault="00D12193" w:rsidP="004F5025">
      <w:pPr>
        <w:pStyle w:val="Heading1"/>
      </w:pPr>
      <w:bookmarkStart w:id="20" w:name="_Toc527708418"/>
      <w:r w:rsidRPr="003F2B50">
        <w:t>ANÁLISIS DE DERECHO</w:t>
      </w:r>
      <w:bookmarkEnd w:id="20"/>
    </w:p>
    <w:p w14:paraId="30B16365" w14:textId="77777777" w:rsidR="00976545" w:rsidRPr="00976545" w:rsidRDefault="00976545" w:rsidP="00976545">
      <w:pPr>
        <w:suppressAutoHyphens/>
        <w:rPr>
          <w:rFonts w:asciiTheme="majorHAnsi" w:hAnsiTheme="majorHAnsi"/>
          <w:b/>
          <w:sz w:val="20"/>
          <w:szCs w:val="20"/>
          <w:lang w:val="es-ES_tradnl"/>
        </w:rPr>
      </w:pPr>
    </w:p>
    <w:p w14:paraId="0FDD17C4" w14:textId="5A8DD96F" w:rsidR="00F902EB" w:rsidRPr="005E1772" w:rsidRDefault="0094652F" w:rsidP="004F5025">
      <w:pPr>
        <w:pStyle w:val="Heading2"/>
        <w:numPr>
          <w:ilvl w:val="0"/>
          <w:numId w:val="79"/>
        </w:numPr>
        <w:ind w:left="1440" w:hanging="810"/>
      </w:pPr>
      <w:bookmarkStart w:id="21" w:name="_Toc527708419"/>
      <w:r>
        <w:t>Cuestión previa</w:t>
      </w:r>
      <w:bookmarkEnd w:id="21"/>
    </w:p>
    <w:p w14:paraId="4686E960" w14:textId="77777777" w:rsidR="000A6B98" w:rsidRDefault="000A6B98" w:rsidP="000A6B98">
      <w:pPr>
        <w:rPr>
          <w:rFonts w:asciiTheme="majorHAnsi" w:hAnsiTheme="majorHAnsi"/>
          <w:b/>
          <w:color w:val="FF0000"/>
          <w:sz w:val="20"/>
          <w:szCs w:val="20"/>
          <w:lang w:val="es-ES_tradnl"/>
        </w:rPr>
      </w:pPr>
    </w:p>
    <w:p w14:paraId="53D8FE0B" w14:textId="7DE070B9" w:rsidR="000A6B98" w:rsidRPr="00E1296F" w:rsidRDefault="000A6B98" w:rsidP="00EB661A">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sz w:val="20"/>
          <w:szCs w:val="20"/>
          <w:lang w:val="es-ES_tradnl"/>
        </w:rPr>
      </w:pPr>
      <w:r w:rsidRPr="00E1296F">
        <w:rPr>
          <w:rFonts w:asciiTheme="majorHAnsi" w:hAnsiTheme="majorHAnsi"/>
          <w:sz w:val="20"/>
          <w:szCs w:val="20"/>
          <w:lang w:val="es-ES_tradnl"/>
        </w:rPr>
        <w:t xml:space="preserve">La Comisión </w:t>
      </w:r>
      <w:r w:rsidR="007B3E6B">
        <w:rPr>
          <w:rFonts w:asciiTheme="majorHAnsi" w:hAnsiTheme="majorHAnsi"/>
          <w:sz w:val="20"/>
          <w:szCs w:val="20"/>
          <w:lang w:val="es-ES_tradnl"/>
        </w:rPr>
        <w:t xml:space="preserve">observa que en </w:t>
      </w:r>
      <w:r w:rsidR="005D3117">
        <w:rPr>
          <w:rFonts w:asciiTheme="majorHAnsi" w:hAnsiTheme="majorHAnsi"/>
          <w:sz w:val="20"/>
          <w:szCs w:val="20"/>
          <w:lang w:val="es-ES_tradnl"/>
        </w:rPr>
        <w:t>la etapa de</w:t>
      </w:r>
      <w:r w:rsidR="007B3E6B">
        <w:rPr>
          <w:rFonts w:asciiTheme="majorHAnsi" w:hAnsiTheme="majorHAnsi"/>
          <w:sz w:val="20"/>
          <w:szCs w:val="20"/>
          <w:lang w:val="es-ES_tradnl"/>
        </w:rPr>
        <w:t xml:space="preserve"> fondo, tanto la parte peticionaria como el Estado hi</w:t>
      </w:r>
      <w:r w:rsidR="00E06506">
        <w:rPr>
          <w:rFonts w:asciiTheme="majorHAnsi" w:hAnsiTheme="majorHAnsi"/>
          <w:sz w:val="20"/>
          <w:szCs w:val="20"/>
          <w:lang w:val="es-ES_tradnl"/>
        </w:rPr>
        <w:t xml:space="preserve">cieron </w:t>
      </w:r>
      <w:r w:rsidR="007B3E6B">
        <w:rPr>
          <w:rFonts w:asciiTheme="majorHAnsi" w:hAnsiTheme="majorHAnsi"/>
          <w:sz w:val="20"/>
          <w:szCs w:val="20"/>
          <w:lang w:val="es-ES_tradnl"/>
        </w:rPr>
        <w:t xml:space="preserve">referencia a los internos lesionados en el marco de los hechos del presente caso. La CIDH </w:t>
      </w:r>
      <w:r w:rsidRPr="00E1296F">
        <w:rPr>
          <w:rFonts w:asciiTheme="majorHAnsi" w:hAnsiTheme="majorHAnsi"/>
          <w:sz w:val="20"/>
          <w:szCs w:val="20"/>
          <w:lang w:val="es-ES_tradnl"/>
        </w:rPr>
        <w:t xml:space="preserve">considera </w:t>
      </w:r>
      <w:r w:rsidR="007B3E6B">
        <w:rPr>
          <w:rFonts w:asciiTheme="majorHAnsi" w:hAnsiTheme="majorHAnsi"/>
          <w:sz w:val="20"/>
          <w:szCs w:val="20"/>
          <w:lang w:val="es-ES_tradnl"/>
        </w:rPr>
        <w:t xml:space="preserve">procedente analizar </w:t>
      </w:r>
      <w:r w:rsidR="00A9264E">
        <w:rPr>
          <w:rFonts w:asciiTheme="majorHAnsi" w:hAnsiTheme="majorHAnsi"/>
          <w:sz w:val="20"/>
          <w:szCs w:val="20"/>
          <w:lang w:val="es-ES_tradnl"/>
        </w:rPr>
        <w:t xml:space="preserve">las posibles </w:t>
      </w:r>
      <w:r w:rsidR="007B3E6B">
        <w:rPr>
          <w:rFonts w:asciiTheme="majorHAnsi" w:hAnsiTheme="majorHAnsi"/>
          <w:sz w:val="20"/>
          <w:szCs w:val="20"/>
          <w:lang w:val="es-ES_tradnl"/>
        </w:rPr>
        <w:t>violaciones a los derechos de estas presuntas</w:t>
      </w:r>
      <w:r w:rsidRPr="00E1296F">
        <w:rPr>
          <w:rFonts w:asciiTheme="majorHAnsi" w:hAnsiTheme="majorHAnsi"/>
          <w:sz w:val="20"/>
          <w:szCs w:val="20"/>
          <w:lang w:val="es-ES_tradnl"/>
        </w:rPr>
        <w:t xml:space="preserve"> víctimas directas en esta etapa  </w:t>
      </w:r>
      <w:r w:rsidR="003D37C0">
        <w:rPr>
          <w:rFonts w:asciiTheme="majorHAnsi" w:hAnsiTheme="majorHAnsi"/>
          <w:sz w:val="20"/>
          <w:szCs w:val="20"/>
          <w:lang w:val="es-ES_tradnl"/>
        </w:rPr>
        <w:t xml:space="preserve">tomando en cuenta que </w:t>
      </w:r>
      <w:r w:rsidRPr="00E1296F">
        <w:rPr>
          <w:rFonts w:asciiTheme="majorHAnsi" w:hAnsiTheme="majorHAnsi"/>
          <w:sz w:val="20"/>
          <w:szCs w:val="20"/>
          <w:lang w:val="es-ES_tradnl"/>
        </w:rPr>
        <w:t>las lesiones sufridas por dichos internos guardan un fuerte nexo causal y temporal con los</w:t>
      </w:r>
      <w:r w:rsidR="003D37C0">
        <w:rPr>
          <w:rFonts w:asciiTheme="majorHAnsi" w:hAnsiTheme="majorHAnsi"/>
          <w:sz w:val="20"/>
          <w:szCs w:val="20"/>
          <w:lang w:val="es-ES_tradnl"/>
        </w:rPr>
        <w:t xml:space="preserve"> el objeto del caso admitido, </w:t>
      </w:r>
      <w:r w:rsidR="00E1296F">
        <w:rPr>
          <w:rFonts w:asciiTheme="majorHAnsi" w:hAnsiTheme="majorHAnsi"/>
          <w:sz w:val="20"/>
          <w:szCs w:val="20"/>
          <w:lang w:val="es-ES_tradnl"/>
        </w:rPr>
        <w:t>es decir que</w:t>
      </w:r>
      <w:r w:rsidRPr="00E1296F">
        <w:rPr>
          <w:rFonts w:asciiTheme="majorHAnsi" w:hAnsiTheme="majorHAnsi"/>
          <w:sz w:val="20"/>
          <w:szCs w:val="20"/>
          <w:lang w:val="es-ES_tradnl"/>
        </w:rPr>
        <w:t xml:space="preserve"> se produjeron en el mismo contexto de</w:t>
      </w:r>
      <w:r w:rsidR="00E1296F">
        <w:rPr>
          <w:rFonts w:asciiTheme="majorHAnsi" w:hAnsiTheme="majorHAnsi"/>
          <w:sz w:val="20"/>
          <w:szCs w:val="20"/>
          <w:lang w:val="es-ES_tradnl"/>
        </w:rPr>
        <w:t xml:space="preserve"> las muertes de las siete </w:t>
      </w:r>
      <w:r w:rsidR="00E1296F" w:rsidRPr="00EB661A">
        <w:rPr>
          <w:rFonts w:ascii="Cambria" w:hAnsi="Cambria"/>
          <w:color w:val="000000" w:themeColor="text1"/>
          <w:sz w:val="20"/>
          <w:szCs w:val="20"/>
          <w:lang w:val="es-VE"/>
        </w:rPr>
        <w:t>presuntas</w:t>
      </w:r>
      <w:r w:rsidR="00E1296F">
        <w:rPr>
          <w:rFonts w:asciiTheme="majorHAnsi" w:hAnsiTheme="majorHAnsi"/>
          <w:sz w:val="20"/>
          <w:szCs w:val="20"/>
          <w:lang w:val="es-ES_tradnl"/>
        </w:rPr>
        <w:t xml:space="preserve"> víctimas</w:t>
      </w:r>
      <w:r w:rsidR="000174E5">
        <w:rPr>
          <w:rFonts w:asciiTheme="majorHAnsi" w:hAnsiTheme="majorHAnsi"/>
          <w:sz w:val="20"/>
          <w:szCs w:val="20"/>
          <w:lang w:val="es-ES_tradnl"/>
        </w:rPr>
        <w:t xml:space="preserve"> indicadas en el informe de admisibilidad</w:t>
      </w:r>
      <w:r w:rsidR="00E1296F">
        <w:rPr>
          <w:rFonts w:asciiTheme="majorHAnsi" w:hAnsiTheme="majorHAnsi"/>
          <w:sz w:val="20"/>
          <w:szCs w:val="20"/>
          <w:lang w:val="es-ES_tradnl"/>
        </w:rPr>
        <w:t xml:space="preserve"> </w:t>
      </w:r>
      <w:r w:rsidR="003B0D61">
        <w:rPr>
          <w:rFonts w:asciiTheme="majorHAnsi" w:hAnsiTheme="majorHAnsi"/>
          <w:sz w:val="20"/>
          <w:szCs w:val="20"/>
          <w:lang w:val="es-ES_tradnl"/>
        </w:rPr>
        <w:t xml:space="preserve">La Comisión toma en especial consideración que </w:t>
      </w:r>
      <w:r w:rsidR="007B3E6B" w:rsidRPr="00E1296F">
        <w:rPr>
          <w:rFonts w:asciiTheme="majorHAnsi" w:hAnsiTheme="majorHAnsi"/>
          <w:sz w:val="20"/>
          <w:szCs w:val="20"/>
          <w:lang w:val="es-ES_tradnl"/>
        </w:rPr>
        <w:t xml:space="preserve">el Estado </w:t>
      </w:r>
      <w:r w:rsidR="003B0D61">
        <w:rPr>
          <w:rFonts w:asciiTheme="majorHAnsi" w:hAnsiTheme="majorHAnsi"/>
          <w:sz w:val="20"/>
          <w:szCs w:val="20"/>
          <w:lang w:val="es-ES_tradnl"/>
        </w:rPr>
        <w:t xml:space="preserve">no formuló objeción alguna a </w:t>
      </w:r>
      <w:r w:rsidR="007B3E6B">
        <w:rPr>
          <w:rFonts w:asciiTheme="majorHAnsi" w:hAnsiTheme="majorHAnsi"/>
          <w:sz w:val="20"/>
          <w:szCs w:val="20"/>
          <w:lang w:val="es-ES_tradnl"/>
        </w:rPr>
        <w:t>su inclusión como</w:t>
      </w:r>
      <w:r w:rsidR="003B0D61">
        <w:rPr>
          <w:rFonts w:asciiTheme="majorHAnsi" w:hAnsiTheme="majorHAnsi"/>
          <w:sz w:val="20"/>
          <w:szCs w:val="20"/>
          <w:lang w:val="es-ES_tradnl"/>
        </w:rPr>
        <w:t xml:space="preserve"> presuntas</w:t>
      </w:r>
      <w:r w:rsidR="007B3E6B">
        <w:rPr>
          <w:rFonts w:asciiTheme="majorHAnsi" w:hAnsiTheme="majorHAnsi"/>
          <w:sz w:val="20"/>
          <w:szCs w:val="20"/>
          <w:lang w:val="es-ES_tradnl"/>
        </w:rPr>
        <w:t xml:space="preserve"> víctimas, e incluso reconoció</w:t>
      </w:r>
      <w:r w:rsidR="007B3E6B" w:rsidRPr="00E1296F">
        <w:rPr>
          <w:rFonts w:asciiTheme="majorHAnsi" w:hAnsiTheme="majorHAnsi"/>
          <w:sz w:val="20"/>
          <w:szCs w:val="20"/>
          <w:lang w:val="es-ES_tradnl"/>
        </w:rPr>
        <w:t xml:space="preserve"> que hubo “aproximadamente 27 internos lesionados” como resultado de los hechos del 10 de novi</w:t>
      </w:r>
      <w:r w:rsidR="007B3E6B">
        <w:rPr>
          <w:rFonts w:asciiTheme="majorHAnsi" w:hAnsiTheme="majorHAnsi"/>
          <w:sz w:val="20"/>
          <w:szCs w:val="20"/>
          <w:lang w:val="es-ES_tradnl"/>
        </w:rPr>
        <w:t>embre de 2003.</w:t>
      </w:r>
    </w:p>
    <w:p w14:paraId="2FE564EA" w14:textId="77777777" w:rsidR="00204B61" w:rsidRDefault="00204B61" w:rsidP="00204B61">
      <w:pPr>
        <w:pStyle w:val="ListParagraph"/>
        <w:ind w:left="1440"/>
        <w:rPr>
          <w:rFonts w:asciiTheme="majorHAnsi" w:hAnsiTheme="majorHAnsi"/>
          <w:b/>
          <w:color w:val="FF0000"/>
          <w:sz w:val="20"/>
          <w:szCs w:val="20"/>
          <w:lang w:val="es-ES_tradnl"/>
        </w:rPr>
      </w:pPr>
    </w:p>
    <w:p w14:paraId="0E5D2D04" w14:textId="1AD96832" w:rsidR="004D6618" w:rsidRPr="005E1772" w:rsidRDefault="0094652F" w:rsidP="004F5025">
      <w:pPr>
        <w:pStyle w:val="Heading2"/>
      </w:pPr>
      <w:bookmarkStart w:id="22" w:name="_Toc527708420"/>
      <w:r>
        <w:t>Derechos a la vida</w:t>
      </w:r>
      <w:r w:rsidR="00B80C6A" w:rsidRPr="005E1772">
        <w:rPr>
          <w:rStyle w:val="FootnoteReference"/>
          <w:color w:val="auto"/>
          <w:lang w:val="es-ES"/>
        </w:rPr>
        <w:footnoteReference w:id="116"/>
      </w:r>
      <w:r>
        <w:t xml:space="preserve"> e integridad personal</w:t>
      </w:r>
      <w:r w:rsidR="00B80C6A" w:rsidRPr="005E1772">
        <w:rPr>
          <w:rStyle w:val="FootnoteReference"/>
          <w:color w:val="auto"/>
          <w:lang w:val="es-ES"/>
        </w:rPr>
        <w:footnoteReference w:id="117"/>
      </w:r>
      <w:r>
        <w:t xml:space="preserve"> en relación con el artículo 1.1</w:t>
      </w:r>
      <w:r w:rsidR="00B80C6A" w:rsidRPr="005E1772">
        <w:rPr>
          <w:rStyle w:val="FootnoteReference"/>
          <w:color w:val="auto"/>
          <w:lang w:val="es-ES"/>
        </w:rPr>
        <w:footnoteReference w:id="118"/>
      </w:r>
      <w:r w:rsidR="00B80C6A" w:rsidRPr="005E1772">
        <w:t xml:space="preserve">  </w:t>
      </w:r>
      <w:r>
        <w:t>y</w:t>
      </w:r>
      <w:r w:rsidR="00582759">
        <w:t xml:space="preserve"> 2</w:t>
      </w:r>
      <w:r w:rsidR="00582759" w:rsidRPr="005E1772">
        <w:rPr>
          <w:rStyle w:val="FootnoteReference"/>
          <w:color w:val="auto"/>
          <w:lang w:val="es-ES"/>
        </w:rPr>
        <w:footnoteReference w:id="119"/>
      </w:r>
      <w:r w:rsidR="00582759">
        <w:t xml:space="preserve"> </w:t>
      </w:r>
      <w:r>
        <w:t>de la Convención Americana</w:t>
      </w:r>
      <w:bookmarkEnd w:id="22"/>
      <w:r w:rsidR="00BA461E" w:rsidRPr="005E1772">
        <w:t xml:space="preserve"> </w:t>
      </w:r>
    </w:p>
    <w:p w14:paraId="0825A172" w14:textId="77777777" w:rsidR="008A5B8E" w:rsidRDefault="008A5B8E" w:rsidP="008A5B8E">
      <w:pPr>
        <w:jc w:val="both"/>
        <w:rPr>
          <w:b/>
          <w:sz w:val="20"/>
          <w:szCs w:val="20"/>
          <w:lang w:val="es-ES"/>
        </w:rPr>
      </w:pPr>
    </w:p>
    <w:p w14:paraId="7DFCC1BE" w14:textId="77777777" w:rsidR="008A5B8E" w:rsidRPr="008A5B8E" w:rsidRDefault="008A5B8E" w:rsidP="004F5025">
      <w:pPr>
        <w:pStyle w:val="Heading3"/>
        <w:numPr>
          <w:ilvl w:val="0"/>
          <w:numId w:val="80"/>
        </w:numPr>
        <w:ind w:left="1440" w:hanging="810"/>
      </w:pPr>
      <w:bookmarkStart w:id="23" w:name="_Toc527708421"/>
      <w:r w:rsidRPr="008A5B8E">
        <w:t>La presencia de fuerzas militares dentro de recintos penales</w:t>
      </w:r>
      <w:bookmarkEnd w:id="23"/>
      <w:r w:rsidRPr="008A5B8E">
        <w:t xml:space="preserve"> </w:t>
      </w:r>
    </w:p>
    <w:p w14:paraId="64A1A044" w14:textId="77777777" w:rsidR="008A5B8E" w:rsidRDefault="008A5B8E" w:rsidP="008A5B8E">
      <w:pPr>
        <w:jc w:val="both"/>
        <w:rPr>
          <w:b/>
          <w:color w:val="FF0000"/>
          <w:sz w:val="20"/>
          <w:szCs w:val="20"/>
          <w:lang w:val="es-ES"/>
        </w:rPr>
      </w:pPr>
    </w:p>
    <w:p w14:paraId="278E2F7D" w14:textId="377F9787" w:rsidR="008A5B8E" w:rsidRPr="00DA0727" w:rsidRDefault="008A5B8E"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Tal como han señalado la Comisión y la Corte en reiteradas ocasiones, </w:t>
      </w:r>
      <w:r w:rsidRPr="00DA0727">
        <w:rPr>
          <w:rFonts w:ascii="Cambria" w:hAnsi="Cambria"/>
          <w:color w:val="000000" w:themeColor="text1"/>
          <w:sz w:val="20"/>
          <w:szCs w:val="20"/>
          <w:lang w:val="es-US"/>
        </w:rPr>
        <w:t xml:space="preserve">los Estados deben limitar al máximo el uso de las Fuerzas Armadas para </w:t>
      </w:r>
      <w:r>
        <w:rPr>
          <w:rFonts w:ascii="Cambria" w:hAnsi="Cambria"/>
          <w:color w:val="000000" w:themeColor="text1"/>
          <w:sz w:val="20"/>
          <w:szCs w:val="20"/>
          <w:lang w:val="es-US"/>
        </w:rPr>
        <w:t>labores de orden público</w:t>
      </w:r>
      <w:r w:rsidRPr="00DA0727">
        <w:rPr>
          <w:rFonts w:ascii="Cambria" w:hAnsi="Cambria"/>
          <w:color w:val="000000" w:themeColor="text1"/>
          <w:sz w:val="20"/>
          <w:szCs w:val="20"/>
          <w:lang w:val="es-US"/>
        </w:rPr>
        <w:t xml:space="preserve">, puesto que el entrenamiento que reciben está dirigido a derrotar un </w:t>
      </w:r>
      <w:r w:rsidR="00C85F6F">
        <w:rPr>
          <w:rFonts w:ascii="Cambria" w:hAnsi="Cambria"/>
          <w:color w:val="000000" w:themeColor="text1"/>
          <w:sz w:val="20"/>
          <w:szCs w:val="20"/>
          <w:lang w:val="es-US"/>
        </w:rPr>
        <w:t>enemigo</w:t>
      </w:r>
      <w:r w:rsidRPr="00DA0727">
        <w:rPr>
          <w:rFonts w:ascii="Cambria" w:hAnsi="Cambria"/>
          <w:color w:val="000000" w:themeColor="text1"/>
          <w:sz w:val="20"/>
          <w:szCs w:val="20"/>
          <w:lang w:val="es-US"/>
        </w:rPr>
        <w:t>, y no a la</w:t>
      </w:r>
      <w:r>
        <w:rPr>
          <w:rFonts w:ascii="Cambria" w:hAnsi="Cambria"/>
          <w:color w:val="000000" w:themeColor="text1"/>
          <w:sz w:val="20"/>
          <w:szCs w:val="20"/>
          <w:lang w:val="es-US"/>
        </w:rPr>
        <w:t xml:space="preserve"> protección y control de civiles</w:t>
      </w:r>
      <w:r>
        <w:rPr>
          <w:rStyle w:val="FootnoteReference"/>
          <w:rFonts w:ascii="Cambria" w:hAnsi="Cambria"/>
          <w:color w:val="000000" w:themeColor="text1"/>
          <w:sz w:val="20"/>
          <w:szCs w:val="20"/>
          <w:lang w:val="es-US"/>
        </w:rPr>
        <w:footnoteReference w:id="120"/>
      </w:r>
      <w:r w:rsidRPr="00DA0727">
        <w:rPr>
          <w:rFonts w:ascii="Cambria" w:hAnsi="Cambria"/>
          <w:color w:val="000000" w:themeColor="text1"/>
          <w:sz w:val="20"/>
          <w:szCs w:val="20"/>
          <w:lang w:val="es-US"/>
        </w:rPr>
        <w:t xml:space="preserve">. </w:t>
      </w:r>
      <w:r w:rsidR="00C85F6F">
        <w:rPr>
          <w:rFonts w:ascii="Cambria" w:hAnsi="Cambria"/>
          <w:color w:val="000000" w:themeColor="text1"/>
          <w:sz w:val="20"/>
          <w:szCs w:val="20"/>
          <w:lang w:val="es-US"/>
        </w:rPr>
        <w:t>Por lo tanto</w:t>
      </w:r>
      <w:r>
        <w:rPr>
          <w:rFonts w:ascii="Cambria" w:hAnsi="Cambria"/>
          <w:color w:val="000000" w:themeColor="text1"/>
          <w:sz w:val="20"/>
          <w:szCs w:val="20"/>
          <w:lang w:val="es-US"/>
        </w:rPr>
        <w:t>,</w:t>
      </w:r>
      <w:r w:rsidRPr="00DA0727">
        <w:rPr>
          <w:rFonts w:ascii="Cambria" w:hAnsi="Cambria"/>
          <w:color w:val="000000" w:themeColor="text1"/>
          <w:sz w:val="20"/>
          <w:szCs w:val="20"/>
          <w:lang w:val="es-US"/>
        </w:rPr>
        <w:t xml:space="preserve"> </w:t>
      </w:r>
      <w:r>
        <w:rPr>
          <w:rFonts w:ascii="Cambria" w:hAnsi="Cambria"/>
          <w:color w:val="000000" w:themeColor="text1"/>
          <w:sz w:val="20"/>
          <w:szCs w:val="20"/>
          <w:lang w:val="es-US"/>
        </w:rPr>
        <w:t>“</w:t>
      </w:r>
      <w:r w:rsidRPr="00DA0727">
        <w:rPr>
          <w:rFonts w:ascii="Cambria" w:hAnsi="Cambria"/>
          <w:color w:val="000000" w:themeColor="text1"/>
          <w:sz w:val="20"/>
          <w:szCs w:val="20"/>
          <w:lang w:val="es-US"/>
        </w:rPr>
        <w:t>la posibilidad de otorgar a las Fuerzas Armadas funciones dirigidas a la restricción de la libertad personal de civiles, además de atender a los requisitos de estricta proporcionalidad en la restricción de un derecho, debe responder, a su vez, a criterios estrictos de excepcionalidad y debida diligencia en la salvaguarda de las garantías con</w:t>
      </w:r>
      <w:r>
        <w:rPr>
          <w:rFonts w:ascii="Cambria" w:hAnsi="Cambria"/>
          <w:color w:val="000000" w:themeColor="text1"/>
          <w:sz w:val="20"/>
          <w:szCs w:val="20"/>
          <w:lang w:val="es-US"/>
        </w:rPr>
        <w:t>vencionales, teniendo en cuenta […]</w:t>
      </w:r>
      <w:r w:rsidRPr="00DA0727">
        <w:rPr>
          <w:rFonts w:ascii="Cambria" w:hAnsi="Cambria"/>
          <w:color w:val="000000" w:themeColor="text1"/>
          <w:sz w:val="20"/>
          <w:szCs w:val="20"/>
          <w:lang w:val="es-US"/>
        </w:rPr>
        <w:t xml:space="preserve"> que el régimen propio de las fuerzas militares </w:t>
      </w:r>
      <w:r>
        <w:rPr>
          <w:rFonts w:ascii="Cambria" w:hAnsi="Cambria"/>
          <w:color w:val="000000" w:themeColor="text1"/>
          <w:sz w:val="20"/>
          <w:szCs w:val="20"/>
          <w:lang w:val="es-US"/>
        </w:rPr>
        <w:t xml:space="preserve">[…] </w:t>
      </w:r>
      <w:r w:rsidRPr="00DA0727">
        <w:rPr>
          <w:rFonts w:ascii="Cambria" w:hAnsi="Cambria"/>
          <w:color w:val="000000" w:themeColor="text1"/>
          <w:sz w:val="20"/>
          <w:szCs w:val="20"/>
          <w:lang w:val="es-US"/>
        </w:rPr>
        <w:t>no se concilia con las funciones propias de las autoridades civiles</w:t>
      </w:r>
      <w:r>
        <w:rPr>
          <w:rFonts w:ascii="Cambria" w:hAnsi="Cambria"/>
          <w:color w:val="000000" w:themeColor="text1"/>
          <w:sz w:val="20"/>
          <w:szCs w:val="20"/>
          <w:lang w:val="es-US"/>
        </w:rPr>
        <w:t>”</w:t>
      </w:r>
      <w:r>
        <w:rPr>
          <w:rStyle w:val="FootnoteReference"/>
          <w:rFonts w:ascii="Cambria" w:hAnsi="Cambria"/>
          <w:color w:val="000000" w:themeColor="text1"/>
          <w:sz w:val="20"/>
          <w:szCs w:val="20"/>
          <w:lang w:val="es-US"/>
        </w:rPr>
        <w:footnoteReference w:id="121"/>
      </w:r>
      <w:r w:rsidRPr="00DA0727">
        <w:rPr>
          <w:rFonts w:ascii="Cambria" w:hAnsi="Cambria"/>
          <w:color w:val="000000" w:themeColor="text1"/>
          <w:sz w:val="20"/>
          <w:szCs w:val="20"/>
          <w:lang w:val="es-US"/>
        </w:rPr>
        <w:t>.</w:t>
      </w:r>
    </w:p>
    <w:p w14:paraId="14C09FA3" w14:textId="77777777" w:rsidR="008A5B8E" w:rsidRDefault="008A5B8E" w:rsidP="008A5B8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 </w:t>
      </w:r>
    </w:p>
    <w:p w14:paraId="3CB8DFCB" w14:textId="645BA8D9" w:rsidR="008A5B8E" w:rsidRPr="00893430" w:rsidRDefault="00DA74C7"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lang w:val="es-VE"/>
        </w:rPr>
      </w:pPr>
      <w:r>
        <w:rPr>
          <w:rFonts w:ascii="Cambria" w:hAnsi="Cambria"/>
          <w:color w:val="000000" w:themeColor="text1"/>
          <w:sz w:val="20"/>
          <w:szCs w:val="20"/>
          <w:lang w:val="es-US"/>
        </w:rPr>
        <w:lastRenderedPageBreak/>
        <w:t xml:space="preserve">Por su parte, </w:t>
      </w:r>
      <w:r w:rsidR="008A5B8E">
        <w:rPr>
          <w:rFonts w:ascii="Cambria" w:hAnsi="Cambria"/>
          <w:color w:val="000000" w:themeColor="text1"/>
          <w:sz w:val="20"/>
          <w:szCs w:val="20"/>
          <w:lang w:val="es-US"/>
        </w:rPr>
        <w:t xml:space="preserve">para cumplir con el deber de garantizar los derechos de las personas privadas de libertad, es esencial que </w:t>
      </w:r>
      <w:r w:rsidR="008A5B8E" w:rsidRPr="00893430">
        <w:rPr>
          <w:rFonts w:ascii="Cambria" w:hAnsi="Cambria"/>
          <w:color w:val="000000" w:themeColor="text1"/>
          <w:sz w:val="20"/>
          <w:szCs w:val="20"/>
          <w:lang w:val="es-US"/>
        </w:rPr>
        <w:t>el personal penitenciario sea idóneo y capacitado</w:t>
      </w:r>
      <w:r w:rsidR="008A5B8E">
        <w:rPr>
          <w:rStyle w:val="FootnoteReference"/>
          <w:rFonts w:ascii="Cambria" w:hAnsi="Cambria"/>
          <w:color w:val="000000" w:themeColor="text1"/>
          <w:sz w:val="20"/>
          <w:szCs w:val="20"/>
          <w:lang w:val="es-US"/>
        </w:rPr>
        <w:footnoteReference w:id="122"/>
      </w:r>
      <w:r w:rsidR="008A5B8E" w:rsidRPr="00893430">
        <w:rPr>
          <w:rFonts w:ascii="Cambria" w:hAnsi="Cambria"/>
          <w:color w:val="000000" w:themeColor="text1"/>
          <w:sz w:val="20"/>
          <w:szCs w:val="20"/>
          <w:lang w:val="es-US"/>
        </w:rPr>
        <w:t xml:space="preserve">. En este sentido, </w:t>
      </w:r>
      <w:r w:rsidR="008A5B8E">
        <w:rPr>
          <w:rFonts w:ascii="Cambria" w:hAnsi="Cambria"/>
          <w:color w:val="000000" w:themeColor="text1"/>
          <w:sz w:val="20"/>
          <w:szCs w:val="20"/>
          <w:lang w:val="es-US"/>
        </w:rPr>
        <w:t xml:space="preserve">la CIDH </w:t>
      </w:r>
      <w:r w:rsidR="008A5B8E" w:rsidRPr="00893430">
        <w:rPr>
          <w:rFonts w:ascii="Cambria" w:hAnsi="Cambria"/>
          <w:color w:val="000000" w:themeColor="text1"/>
          <w:sz w:val="20"/>
          <w:szCs w:val="20"/>
          <w:lang w:val="es-US"/>
        </w:rPr>
        <w:t>ha considerado que</w:t>
      </w:r>
      <w:r w:rsidR="001721CE">
        <w:rPr>
          <w:rFonts w:ascii="Cambria" w:hAnsi="Cambria"/>
          <w:color w:val="000000" w:themeColor="text1"/>
          <w:sz w:val="20"/>
          <w:szCs w:val="20"/>
          <w:lang w:val="es-US"/>
        </w:rPr>
        <w:t>:</w:t>
      </w:r>
    </w:p>
    <w:p w14:paraId="1B6E55B3" w14:textId="77777777" w:rsidR="008A5B8E" w:rsidRDefault="008A5B8E" w:rsidP="008A5B8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US"/>
        </w:rPr>
      </w:pPr>
    </w:p>
    <w:p w14:paraId="72DA7D87" w14:textId="77777777" w:rsidR="008A5B8E" w:rsidRPr="00893430" w:rsidRDefault="008A5B8E" w:rsidP="008A5B8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US"/>
        </w:rPr>
      </w:pPr>
      <w:r w:rsidRPr="00893430">
        <w:rPr>
          <w:rFonts w:ascii="Cambria" w:hAnsi="Cambria"/>
          <w:color w:val="000000" w:themeColor="text1"/>
          <w:sz w:val="20"/>
          <w:szCs w:val="20"/>
          <w:lang w:val="es-US"/>
        </w:rPr>
        <w:t>los Estados deberán garantizar que los centros penitenciarios sean administrados y custodiados por personal penitenciario especializado, de carácter civil y con carácter de funcionarios públicos. Es decir, estas funciones deben ser encomendadas a un estamento de seguridad independiente de las fuerzas militares y policiales, y que reciba capacitación y entrenamiento especializado en materia penitenciaria. Además, deberán ser profesionales formados en programas, escuelas o academias penitenciarias establecidas específicamente a tales efectos, pertenecientes a la estructura institucional de la autoridad encargada de la administración del sistema penitenciario</w:t>
      </w:r>
      <w:r>
        <w:rPr>
          <w:rStyle w:val="FootnoteReference"/>
          <w:rFonts w:ascii="Cambria" w:hAnsi="Cambria"/>
          <w:color w:val="000000" w:themeColor="text1"/>
          <w:sz w:val="20"/>
          <w:szCs w:val="20"/>
          <w:lang w:val="es-US"/>
        </w:rPr>
        <w:footnoteReference w:id="123"/>
      </w:r>
      <w:r w:rsidRPr="00893430">
        <w:rPr>
          <w:rFonts w:ascii="Cambria" w:hAnsi="Cambria"/>
          <w:color w:val="000000" w:themeColor="text1"/>
          <w:sz w:val="20"/>
          <w:szCs w:val="20"/>
          <w:lang w:val="es-US"/>
        </w:rPr>
        <w:t>.</w:t>
      </w:r>
    </w:p>
    <w:p w14:paraId="430EAB83" w14:textId="77777777" w:rsidR="008A5B8E" w:rsidRDefault="008A5B8E" w:rsidP="008A5B8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416CA410" w14:textId="7E977BE8" w:rsidR="00582759" w:rsidRDefault="00582759"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Asimismo, </w:t>
      </w:r>
      <w:r w:rsidRPr="00582759">
        <w:rPr>
          <w:rFonts w:ascii="Cambria" w:hAnsi="Cambria"/>
          <w:color w:val="000000" w:themeColor="text1"/>
          <w:sz w:val="20"/>
          <w:szCs w:val="20"/>
          <w:lang w:val="es-VE"/>
        </w:rPr>
        <w:t xml:space="preserve">en el caso </w:t>
      </w:r>
      <w:r w:rsidR="00D84F11">
        <w:rPr>
          <w:rFonts w:ascii="Cambria" w:hAnsi="Cambria"/>
          <w:i/>
          <w:color w:val="000000" w:themeColor="text1"/>
          <w:sz w:val="20"/>
          <w:szCs w:val="20"/>
          <w:lang w:val="es-VE"/>
        </w:rPr>
        <w:t>Montero Aranguren y otros (</w:t>
      </w:r>
      <w:r w:rsidRPr="00582759">
        <w:rPr>
          <w:rFonts w:ascii="Cambria" w:hAnsi="Cambria"/>
          <w:i/>
          <w:color w:val="000000" w:themeColor="text1"/>
          <w:sz w:val="20"/>
          <w:szCs w:val="20"/>
          <w:lang w:val="es-VE"/>
        </w:rPr>
        <w:t>Retén de Catia</w:t>
      </w:r>
      <w:r w:rsidR="00D84F11">
        <w:rPr>
          <w:rFonts w:ascii="Cambria" w:hAnsi="Cambria"/>
          <w:i/>
          <w:color w:val="000000" w:themeColor="text1"/>
          <w:sz w:val="20"/>
          <w:szCs w:val="20"/>
          <w:lang w:val="es-VE"/>
        </w:rPr>
        <w:t>)</w:t>
      </w:r>
      <w:r w:rsidR="00072D27">
        <w:rPr>
          <w:rFonts w:ascii="Cambria" w:hAnsi="Cambria"/>
          <w:i/>
          <w:color w:val="000000" w:themeColor="text1"/>
          <w:sz w:val="20"/>
          <w:szCs w:val="20"/>
          <w:lang w:val="es-VE"/>
        </w:rPr>
        <w:t xml:space="preserve"> vs. Venezuela</w:t>
      </w:r>
      <w:r w:rsidRPr="00582759">
        <w:rPr>
          <w:rFonts w:ascii="Cambria" w:hAnsi="Cambria"/>
          <w:color w:val="000000" w:themeColor="text1"/>
          <w:sz w:val="20"/>
          <w:szCs w:val="20"/>
          <w:lang w:val="es-VE"/>
        </w:rPr>
        <w:t xml:space="preserve">, </w:t>
      </w:r>
      <w:r>
        <w:rPr>
          <w:rFonts w:ascii="Cambria" w:hAnsi="Cambria"/>
          <w:color w:val="000000" w:themeColor="text1"/>
          <w:sz w:val="20"/>
          <w:szCs w:val="20"/>
          <w:lang w:val="es-VE"/>
        </w:rPr>
        <w:t xml:space="preserve">la Corte Interamericana </w:t>
      </w:r>
      <w:r w:rsidRPr="00582759">
        <w:rPr>
          <w:rFonts w:ascii="Cambria" w:hAnsi="Cambria"/>
          <w:color w:val="000000" w:themeColor="text1"/>
          <w:sz w:val="20"/>
          <w:szCs w:val="20"/>
          <w:lang w:val="es-VE"/>
        </w:rPr>
        <w:t>dispuso como medida de no-repetición que el Estado</w:t>
      </w:r>
      <w:r>
        <w:rPr>
          <w:rFonts w:ascii="Cambria" w:hAnsi="Cambria"/>
          <w:color w:val="000000" w:themeColor="text1"/>
          <w:sz w:val="20"/>
          <w:szCs w:val="20"/>
          <w:lang w:val="es-VE"/>
        </w:rPr>
        <w:t xml:space="preserve"> venezolano</w:t>
      </w:r>
      <w:r w:rsidRPr="00582759">
        <w:rPr>
          <w:rFonts w:ascii="Cambria" w:hAnsi="Cambria"/>
          <w:color w:val="000000" w:themeColor="text1"/>
          <w:sz w:val="20"/>
          <w:szCs w:val="20"/>
          <w:lang w:val="es-VE"/>
        </w:rPr>
        <w:t xml:space="preserve"> debe “pon[er] en funcionamiento un cuerpo de vigilancia penitenciaria eminentemente de carácter civil”</w:t>
      </w:r>
      <w:r w:rsidRPr="00582759">
        <w:rPr>
          <w:rFonts w:ascii="Cambria" w:hAnsi="Cambria"/>
          <w:color w:val="000000" w:themeColor="text1"/>
          <w:sz w:val="20"/>
          <w:szCs w:val="20"/>
          <w:vertAlign w:val="superscript"/>
          <w:lang w:val="es-VE"/>
        </w:rPr>
        <w:footnoteReference w:id="124"/>
      </w:r>
      <w:r w:rsidRPr="00582759">
        <w:rPr>
          <w:rFonts w:ascii="Cambria" w:hAnsi="Cambria"/>
          <w:color w:val="000000" w:themeColor="text1"/>
          <w:sz w:val="20"/>
          <w:szCs w:val="20"/>
          <w:lang w:val="es-VE"/>
        </w:rPr>
        <w:t xml:space="preserve">. </w:t>
      </w:r>
      <w:r w:rsidR="00C85F6F">
        <w:rPr>
          <w:rFonts w:ascii="Cambria" w:hAnsi="Cambria"/>
          <w:color w:val="000000" w:themeColor="text1"/>
          <w:sz w:val="20"/>
          <w:szCs w:val="20"/>
          <w:lang w:val="es-VE"/>
        </w:rPr>
        <w:t>Hasta la fecha</w:t>
      </w:r>
      <w:r>
        <w:rPr>
          <w:rFonts w:ascii="Cambria" w:hAnsi="Cambria"/>
          <w:color w:val="000000" w:themeColor="text1"/>
          <w:sz w:val="20"/>
          <w:szCs w:val="20"/>
          <w:lang w:val="es-VE"/>
        </w:rPr>
        <w:t xml:space="preserve">, dicho cambio no </w:t>
      </w:r>
      <w:r w:rsidR="00C85F6F">
        <w:rPr>
          <w:rFonts w:ascii="Cambria" w:hAnsi="Cambria"/>
          <w:color w:val="000000" w:themeColor="text1"/>
          <w:sz w:val="20"/>
          <w:szCs w:val="20"/>
          <w:lang w:val="es-VE"/>
        </w:rPr>
        <w:t>ha</w:t>
      </w:r>
      <w:r>
        <w:rPr>
          <w:rFonts w:ascii="Cambria" w:hAnsi="Cambria"/>
          <w:color w:val="000000" w:themeColor="text1"/>
          <w:sz w:val="20"/>
          <w:szCs w:val="20"/>
          <w:lang w:val="es-VE"/>
        </w:rPr>
        <w:t xml:space="preserve"> materializado en la ley o en la práctica. </w:t>
      </w:r>
      <w:r w:rsidR="00407E66" w:rsidRPr="00407E66">
        <w:rPr>
          <w:rFonts w:ascii="Cambria" w:hAnsi="Cambria"/>
          <w:color w:val="000000" w:themeColor="text1"/>
          <w:sz w:val="20"/>
          <w:szCs w:val="20"/>
          <w:lang w:val="es-VE"/>
        </w:rPr>
        <w:t xml:space="preserve">En </w:t>
      </w:r>
      <w:r w:rsidR="00C85F6F">
        <w:rPr>
          <w:rFonts w:ascii="Cambria" w:hAnsi="Cambria"/>
          <w:color w:val="000000" w:themeColor="text1"/>
          <w:sz w:val="20"/>
          <w:szCs w:val="20"/>
          <w:lang w:val="es-VE"/>
        </w:rPr>
        <w:t>el presente caso</w:t>
      </w:r>
      <w:r w:rsidR="00407E66" w:rsidRPr="00407E66">
        <w:rPr>
          <w:rFonts w:ascii="Cambria" w:hAnsi="Cambria"/>
          <w:color w:val="000000" w:themeColor="text1"/>
          <w:sz w:val="20"/>
          <w:szCs w:val="20"/>
          <w:lang w:val="es-VE"/>
        </w:rPr>
        <w:t xml:space="preserve">, la CIDH </w:t>
      </w:r>
      <w:r w:rsidR="00C85F6F">
        <w:rPr>
          <w:rFonts w:ascii="Cambria" w:hAnsi="Cambria"/>
          <w:color w:val="000000" w:themeColor="text1"/>
          <w:sz w:val="20"/>
          <w:szCs w:val="20"/>
          <w:lang w:val="es-VE"/>
        </w:rPr>
        <w:t>ha establecido</w:t>
      </w:r>
      <w:r w:rsidR="00407E66" w:rsidRPr="00407E66">
        <w:rPr>
          <w:rFonts w:ascii="Cambria" w:hAnsi="Cambria"/>
          <w:color w:val="000000" w:themeColor="text1"/>
          <w:sz w:val="20"/>
          <w:szCs w:val="20"/>
          <w:lang w:val="es-VE"/>
        </w:rPr>
        <w:t xml:space="preserve"> que la Guardia Nacional entraba regularmente a la cárcel de Vista Hermosa, sobre todo para practicar las requisas. Dicha situación da cuenta que la Guardia Nacional ejerció una función regular de custodia dentro de la misma cárcel, función </w:t>
      </w:r>
      <w:r w:rsidR="00C169DA">
        <w:rPr>
          <w:rFonts w:ascii="Cambria" w:hAnsi="Cambria"/>
          <w:color w:val="000000" w:themeColor="text1"/>
          <w:sz w:val="20"/>
          <w:szCs w:val="20"/>
          <w:lang w:val="es-VE"/>
        </w:rPr>
        <w:t xml:space="preserve">respecto de la cual no consta en el expediente información alguna que indique que estaba </w:t>
      </w:r>
      <w:r w:rsidR="00407E66" w:rsidRPr="00407E66">
        <w:rPr>
          <w:rFonts w:ascii="Cambria" w:hAnsi="Cambria"/>
          <w:color w:val="000000" w:themeColor="text1"/>
          <w:sz w:val="20"/>
          <w:szCs w:val="20"/>
          <w:lang w:val="es-VE"/>
        </w:rPr>
        <w:t xml:space="preserve">debidamente capacitada y a raíz de la cual varios de los internos indicaron que sufrieron </w:t>
      </w:r>
      <w:r w:rsidR="003449B6">
        <w:rPr>
          <w:rFonts w:ascii="Cambria" w:hAnsi="Cambria"/>
          <w:color w:val="000000" w:themeColor="text1"/>
          <w:sz w:val="20"/>
          <w:szCs w:val="20"/>
          <w:lang w:val="es-VE"/>
        </w:rPr>
        <w:t xml:space="preserve">usualmente </w:t>
      </w:r>
      <w:r w:rsidR="00D47E30">
        <w:rPr>
          <w:rFonts w:ascii="Cambria" w:hAnsi="Cambria"/>
          <w:color w:val="000000" w:themeColor="text1"/>
          <w:sz w:val="20"/>
          <w:szCs w:val="20"/>
          <w:lang w:val="es-VE"/>
        </w:rPr>
        <w:t>hechos de violencia</w:t>
      </w:r>
      <w:r w:rsidR="00407E66" w:rsidRPr="00407E66">
        <w:rPr>
          <w:rFonts w:ascii="Cambria" w:hAnsi="Cambria"/>
          <w:color w:val="000000" w:themeColor="text1"/>
          <w:sz w:val="20"/>
          <w:szCs w:val="20"/>
          <w:lang w:val="es-VE"/>
        </w:rPr>
        <w:t xml:space="preserve"> de parte de los efectivos militares durante las requisas.</w:t>
      </w:r>
    </w:p>
    <w:p w14:paraId="3FE9393E" w14:textId="77777777" w:rsidR="00582759" w:rsidRDefault="00582759" w:rsidP="005827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24D6AA04" w14:textId="40469576" w:rsidR="008A5B8E" w:rsidRDefault="008A5B8E"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lang w:val="es-VE"/>
        </w:rPr>
      </w:pPr>
      <w:r>
        <w:rPr>
          <w:rFonts w:ascii="Cambria" w:hAnsi="Cambria"/>
          <w:color w:val="000000" w:themeColor="text1"/>
          <w:sz w:val="20"/>
          <w:szCs w:val="20"/>
          <w:lang w:val="es-VE"/>
        </w:rPr>
        <w:t>De acuerdo con</w:t>
      </w:r>
      <w:r w:rsidR="001A02D9">
        <w:rPr>
          <w:rFonts w:ascii="Cambria" w:hAnsi="Cambria"/>
          <w:color w:val="000000" w:themeColor="text1"/>
          <w:sz w:val="20"/>
          <w:szCs w:val="20"/>
          <w:lang w:val="es-VE"/>
        </w:rPr>
        <w:t xml:space="preserve"> los hechos probados,</w:t>
      </w:r>
      <w:r>
        <w:rPr>
          <w:rFonts w:ascii="Cambria" w:hAnsi="Cambria"/>
          <w:color w:val="000000" w:themeColor="text1"/>
          <w:sz w:val="20"/>
          <w:szCs w:val="20"/>
          <w:lang w:val="es-VE"/>
        </w:rPr>
        <w:t xml:space="preserve"> la Guardia Nacional ingresó a la cárcel de Vista Hermosa el día de los hechos de conformidad con el </w:t>
      </w:r>
      <w:r w:rsidR="001A02D9">
        <w:rPr>
          <w:rFonts w:ascii="Cambria" w:hAnsi="Cambria"/>
          <w:color w:val="000000" w:themeColor="text1"/>
          <w:sz w:val="20"/>
          <w:szCs w:val="20"/>
          <w:lang w:val="es-VE"/>
        </w:rPr>
        <w:t xml:space="preserve">artículo </w:t>
      </w:r>
      <w:r>
        <w:rPr>
          <w:rFonts w:ascii="Cambria" w:hAnsi="Cambria"/>
          <w:color w:val="000000" w:themeColor="text1"/>
          <w:sz w:val="20"/>
          <w:szCs w:val="20"/>
          <w:lang w:val="es-VE"/>
        </w:rPr>
        <w:t xml:space="preserve">8 de la Ley de Régimen Penitenciario, lo cual dispone: </w:t>
      </w:r>
    </w:p>
    <w:p w14:paraId="5A4524BB" w14:textId="77777777" w:rsidR="008A5B8E" w:rsidRDefault="008A5B8E" w:rsidP="008A5B8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r>
        <w:rPr>
          <w:rFonts w:ascii="Cambria" w:hAnsi="Cambria"/>
          <w:color w:val="000000" w:themeColor="text1"/>
          <w:sz w:val="20"/>
          <w:szCs w:val="20"/>
          <w:lang w:val="es-VE"/>
        </w:rPr>
        <w:tab/>
      </w:r>
    </w:p>
    <w:p w14:paraId="299F0C80" w14:textId="77777777" w:rsidR="008A5B8E" w:rsidRDefault="008A5B8E" w:rsidP="009652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r>
        <w:rPr>
          <w:rFonts w:ascii="Cambria" w:hAnsi="Cambria"/>
          <w:color w:val="000000" w:themeColor="text1"/>
          <w:sz w:val="20"/>
          <w:szCs w:val="20"/>
          <w:lang w:val="es-VE"/>
        </w:rPr>
        <w:t>La vigilancia exterior de los establecimientos podrá ser encomendada a organismos militares, quienes se abstendrán de toda intervención en el régimen y vigilancia interior, salvo en los casos en que sean expresamente requeridos por el director del establecimiento o quien haga sus veces.</w:t>
      </w:r>
    </w:p>
    <w:p w14:paraId="55AF59EC" w14:textId="77777777" w:rsidR="008A5B8E" w:rsidRDefault="008A5B8E" w:rsidP="008A5B8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14:paraId="72EBF096" w14:textId="6EDFECFC" w:rsidR="00582759" w:rsidRPr="00D47E30" w:rsidRDefault="008A5B8E"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000000" w:themeColor="text1"/>
          <w:sz w:val="20"/>
          <w:szCs w:val="20"/>
          <w:lang w:val="es-VE"/>
        </w:rPr>
      </w:pPr>
      <w:r>
        <w:rPr>
          <w:color w:val="000000" w:themeColor="text1"/>
          <w:sz w:val="20"/>
          <w:szCs w:val="20"/>
          <w:lang w:val="es-VE"/>
        </w:rPr>
        <w:t xml:space="preserve">La Comisión considera que dicha normativa </w:t>
      </w:r>
      <w:r w:rsidRPr="00D47E30">
        <w:rPr>
          <w:rFonts w:asciiTheme="majorHAnsi" w:hAnsiTheme="majorHAnsi"/>
          <w:color w:val="000000" w:themeColor="text1"/>
          <w:sz w:val="20"/>
          <w:szCs w:val="20"/>
          <w:lang w:val="es-VE"/>
        </w:rPr>
        <w:t xml:space="preserve">no delimita con suficiente claridad las causales que podrían motivar una solicitud de ingreso de la Guardia Nacional a </w:t>
      </w:r>
      <w:r w:rsidR="00C85F6F" w:rsidRPr="00D47E30">
        <w:rPr>
          <w:rFonts w:asciiTheme="majorHAnsi" w:hAnsiTheme="majorHAnsi"/>
          <w:color w:val="000000" w:themeColor="text1"/>
          <w:sz w:val="20"/>
          <w:szCs w:val="20"/>
          <w:lang w:val="es-VE"/>
        </w:rPr>
        <w:t>una cárcel</w:t>
      </w:r>
      <w:r w:rsidR="00582759" w:rsidRPr="00D47E30">
        <w:rPr>
          <w:rFonts w:asciiTheme="majorHAnsi" w:hAnsiTheme="majorHAnsi"/>
          <w:color w:val="000000" w:themeColor="text1"/>
          <w:sz w:val="20"/>
          <w:szCs w:val="20"/>
          <w:lang w:val="es-VE"/>
        </w:rPr>
        <w:t>, en estricto apego a</w:t>
      </w:r>
      <w:r w:rsidR="00396D6B" w:rsidRPr="00D47E30">
        <w:rPr>
          <w:rFonts w:asciiTheme="majorHAnsi" w:hAnsiTheme="majorHAnsi"/>
          <w:color w:val="000000" w:themeColor="text1"/>
          <w:sz w:val="20"/>
          <w:szCs w:val="20"/>
          <w:lang w:val="es-VE"/>
        </w:rPr>
        <w:t>l deber primordial de</w:t>
      </w:r>
      <w:r w:rsidR="00582759" w:rsidRPr="00D47E30">
        <w:rPr>
          <w:rFonts w:asciiTheme="majorHAnsi" w:hAnsiTheme="majorHAnsi"/>
          <w:color w:val="000000" w:themeColor="text1"/>
          <w:sz w:val="20"/>
          <w:szCs w:val="20"/>
          <w:lang w:val="es-VE"/>
        </w:rPr>
        <w:t xml:space="preserve"> salvaguarda</w:t>
      </w:r>
      <w:r w:rsidR="00396D6B" w:rsidRPr="00D47E30">
        <w:rPr>
          <w:rFonts w:asciiTheme="majorHAnsi" w:hAnsiTheme="majorHAnsi"/>
          <w:color w:val="000000" w:themeColor="text1"/>
          <w:sz w:val="20"/>
          <w:szCs w:val="20"/>
          <w:lang w:val="es-VE"/>
        </w:rPr>
        <w:t>r</w:t>
      </w:r>
      <w:r w:rsidR="00582759" w:rsidRPr="00D47E30">
        <w:rPr>
          <w:rFonts w:asciiTheme="majorHAnsi" w:hAnsiTheme="majorHAnsi"/>
          <w:color w:val="000000" w:themeColor="text1"/>
          <w:sz w:val="20"/>
          <w:szCs w:val="20"/>
          <w:lang w:val="es-VE"/>
        </w:rPr>
        <w:t xml:space="preserve"> los derechos humanos de las personas privadas de libertad</w:t>
      </w:r>
      <w:r w:rsidR="00396D6B" w:rsidRPr="00D47E30">
        <w:rPr>
          <w:rFonts w:asciiTheme="majorHAnsi" w:hAnsiTheme="majorHAnsi"/>
          <w:color w:val="000000" w:themeColor="text1"/>
          <w:sz w:val="20"/>
          <w:szCs w:val="20"/>
          <w:lang w:val="es-VE"/>
        </w:rPr>
        <w:t>.</w:t>
      </w:r>
      <w:r w:rsidR="00FE1C3B">
        <w:rPr>
          <w:rFonts w:asciiTheme="majorHAnsi" w:hAnsiTheme="majorHAnsi"/>
          <w:color w:val="000000" w:themeColor="text1"/>
          <w:sz w:val="20"/>
          <w:szCs w:val="20"/>
          <w:lang w:val="es-VE"/>
        </w:rPr>
        <w:t xml:space="preserve"> Más bien, otorga un amplio margen de discrecionalidad al Director del centro para determinar la pertinencia y necesidad del ingreso que, como se indicó, en el caso de Vista Hermosa era habitual. </w:t>
      </w:r>
      <w:r w:rsidR="00396D6B" w:rsidRPr="00D47E30">
        <w:rPr>
          <w:rFonts w:asciiTheme="majorHAnsi" w:hAnsiTheme="majorHAnsi"/>
          <w:color w:val="000000" w:themeColor="text1"/>
          <w:sz w:val="20"/>
          <w:szCs w:val="20"/>
          <w:lang w:val="es-VE"/>
        </w:rPr>
        <w:t>D</w:t>
      </w:r>
      <w:r w:rsidR="00582759" w:rsidRPr="00D47E30">
        <w:rPr>
          <w:rFonts w:asciiTheme="majorHAnsi" w:hAnsiTheme="majorHAnsi"/>
          <w:color w:val="000000" w:themeColor="text1"/>
          <w:sz w:val="20"/>
          <w:szCs w:val="20"/>
          <w:lang w:val="es-VE"/>
        </w:rPr>
        <w:t>e acuerdo con los estándares del sistema interamericano, el ingreso de efectivos militares a un recinto penal</w:t>
      </w:r>
      <w:r w:rsidR="00C75123">
        <w:rPr>
          <w:rFonts w:asciiTheme="majorHAnsi" w:hAnsiTheme="majorHAnsi"/>
          <w:color w:val="000000" w:themeColor="text1"/>
          <w:sz w:val="20"/>
          <w:szCs w:val="20"/>
          <w:lang w:val="es-VE"/>
        </w:rPr>
        <w:t>, de ser permitido,</w:t>
      </w:r>
      <w:r w:rsidR="00582759" w:rsidRPr="00D47E30">
        <w:rPr>
          <w:rFonts w:asciiTheme="majorHAnsi" w:hAnsiTheme="majorHAnsi"/>
          <w:color w:val="000000" w:themeColor="text1"/>
          <w:sz w:val="20"/>
          <w:szCs w:val="20"/>
          <w:lang w:val="es-VE"/>
        </w:rPr>
        <w:t xml:space="preserve"> debe responder a un criterio de “estricta excepcionalidad”, </w:t>
      </w:r>
      <w:r w:rsidR="00396D6B" w:rsidRPr="00D47E30">
        <w:rPr>
          <w:rFonts w:asciiTheme="majorHAnsi" w:hAnsiTheme="majorHAnsi"/>
          <w:color w:val="000000" w:themeColor="text1"/>
          <w:sz w:val="20"/>
          <w:szCs w:val="20"/>
          <w:lang w:val="es-VE"/>
        </w:rPr>
        <w:t>y debe ser destinado</w:t>
      </w:r>
      <w:r w:rsidR="00DE2A4B">
        <w:rPr>
          <w:rFonts w:asciiTheme="majorHAnsi" w:hAnsiTheme="majorHAnsi"/>
          <w:color w:val="000000" w:themeColor="text1"/>
          <w:sz w:val="20"/>
          <w:szCs w:val="20"/>
          <w:lang w:val="es-VE"/>
        </w:rPr>
        <w:t xml:space="preserve"> únicamente </w:t>
      </w:r>
      <w:r w:rsidR="00396D6B" w:rsidRPr="00D47E30">
        <w:rPr>
          <w:rFonts w:asciiTheme="majorHAnsi" w:hAnsiTheme="majorHAnsi"/>
          <w:color w:val="000000" w:themeColor="text1"/>
          <w:sz w:val="20"/>
          <w:szCs w:val="20"/>
          <w:lang w:val="es-VE"/>
        </w:rPr>
        <w:t>a la salvaguarda de los derechos fundamentales de los mismos internos.</w:t>
      </w:r>
      <w:r w:rsidR="00AC02E7">
        <w:rPr>
          <w:rFonts w:asciiTheme="majorHAnsi" w:hAnsiTheme="majorHAnsi"/>
          <w:color w:val="000000" w:themeColor="text1"/>
          <w:sz w:val="20"/>
          <w:szCs w:val="20"/>
          <w:lang w:val="es-VE"/>
        </w:rPr>
        <w:t xml:space="preserve"> </w:t>
      </w:r>
      <w:r w:rsidR="00AC02E7" w:rsidRPr="00212246">
        <w:rPr>
          <w:rFonts w:asciiTheme="majorHAnsi" w:hAnsiTheme="majorHAnsi"/>
          <w:color w:val="000000" w:themeColor="text1"/>
          <w:sz w:val="20"/>
          <w:szCs w:val="20"/>
          <w:lang w:val="es-VE"/>
        </w:rPr>
        <w:t>L</w:t>
      </w:r>
      <w:r w:rsidR="00AC02E7" w:rsidRPr="0086760F">
        <w:rPr>
          <w:rFonts w:asciiTheme="majorHAnsi" w:hAnsiTheme="majorHAnsi"/>
          <w:color w:val="000000" w:themeColor="text1"/>
          <w:sz w:val="20"/>
          <w:szCs w:val="20"/>
          <w:lang w:val="es-VE"/>
        </w:rPr>
        <w:t xml:space="preserve">a Comisión considera que la norma citada no ofrece salvaguardas para cumplir con </w:t>
      </w:r>
      <w:r w:rsidR="00AC02E7" w:rsidRPr="00302D19">
        <w:rPr>
          <w:rFonts w:asciiTheme="majorHAnsi" w:hAnsiTheme="majorHAnsi"/>
          <w:color w:val="000000" w:themeColor="text1"/>
          <w:sz w:val="20"/>
          <w:szCs w:val="20"/>
          <w:lang w:val="es-VE"/>
        </w:rPr>
        <w:t>dicho est</w:t>
      </w:r>
      <w:r w:rsidR="00EF0BE7" w:rsidRPr="000D55F1">
        <w:rPr>
          <w:rFonts w:asciiTheme="majorHAnsi" w:hAnsiTheme="majorHAnsi"/>
          <w:color w:val="000000" w:themeColor="text1"/>
          <w:sz w:val="20"/>
          <w:szCs w:val="20"/>
          <w:lang w:val="es-VE"/>
        </w:rPr>
        <w:t>ándar</w:t>
      </w:r>
      <w:r w:rsidR="00EF0BE7" w:rsidRPr="00F50FFD">
        <w:rPr>
          <w:rFonts w:asciiTheme="majorHAnsi" w:hAnsiTheme="majorHAnsi"/>
          <w:color w:val="000000" w:themeColor="text1"/>
          <w:sz w:val="20"/>
          <w:szCs w:val="20"/>
          <w:lang w:val="es-VE"/>
        </w:rPr>
        <w:t xml:space="preserve"> y crea las </w:t>
      </w:r>
      <w:r w:rsidR="00EF0BE7" w:rsidRPr="00BF76BC">
        <w:rPr>
          <w:rFonts w:asciiTheme="majorHAnsi" w:hAnsiTheme="majorHAnsi"/>
          <w:color w:val="000000" w:themeColor="text1"/>
          <w:sz w:val="20"/>
          <w:szCs w:val="20"/>
          <w:lang w:val="es-VE"/>
        </w:rPr>
        <w:t>condiciones para que ocurran situaciones como las del presente caso, en los t</w:t>
      </w:r>
      <w:r w:rsidR="00EF0BE7" w:rsidRPr="0086760F">
        <w:rPr>
          <w:rFonts w:asciiTheme="majorHAnsi" w:hAnsiTheme="majorHAnsi" w:cs="Times New Roman"/>
          <w:color w:val="000000" w:themeColor="text1"/>
          <w:sz w:val="20"/>
          <w:szCs w:val="20"/>
          <w:lang w:val="es-VE"/>
        </w:rPr>
        <w:t xml:space="preserve">érminos en que se analiza más adelante. </w:t>
      </w:r>
    </w:p>
    <w:p w14:paraId="360686E1" w14:textId="77777777" w:rsidR="00582759" w:rsidRPr="00D47E30" w:rsidRDefault="00582759" w:rsidP="0058275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0FE1A847" w14:textId="6D656D6C" w:rsidR="00FD5A99" w:rsidRPr="00D47E30" w:rsidRDefault="007117FB" w:rsidP="00B70FC5">
      <w:pPr>
        <w:pStyle w:val="Heading3"/>
      </w:pPr>
      <w:bookmarkStart w:id="24" w:name="_Toc527708422"/>
      <w:r w:rsidRPr="00D47E30">
        <w:t>La posición especial de garante del Estado frente a</w:t>
      </w:r>
      <w:r w:rsidR="0086760F">
        <w:t xml:space="preserve"> las</w:t>
      </w:r>
      <w:r w:rsidRPr="00D47E30">
        <w:t xml:space="preserve"> personas privadas de libertad</w:t>
      </w:r>
      <w:bookmarkEnd w:id="24"/>
    </w:p>
    <w:p w14:paraId="5434084F" w14:textId="77777777" w:rsidR="007117FB" w:rsidRPr="00D47E30" w:rsidRDefault="007117FB" w:rsidP="007117FB">
      <w:pPr>
        <w:jc w:val="both"/>
        <w:rPr>
          <w:rFonts w:asciiTheme="majorHAnsi" w:hAnsiTheme="majorHAnsi"/>
          <w:b/>
          <w:color w:val="FF0000"/>
          <w:sz w:val="20"/>
          <w:szCs w:val="20"/>
          <w:lang w:val="es-ES"/>
        </w:rPr>
      </w:pPr>
    </w:p>
    <w:p w14:paraId="7AE9908D" w14:textId="737FE57B" w:rsidR="007117FB" w:rsidRPr="00D47E30" w:rsidRDefault="007117FB"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US"/>
        </w:rPr>
      </w:pPr>
      <w:r w:rsidRPr="00D47E30">
        <w:rPr>
          <w:rFonts w:asciiTheme="majorHAnsi" w:hAnsiTheme="majorHAnsi"/>
          <w:sz w:val="20"/>
          <w:szCs w:val="20"/>
          <w:lang w:val="es-US"/>
        </w:rPr>
        <w:t xml:space="preserve">La jurisprudencia reiterada del </w:t>
      </w:r>
      <w:r w:rsidR="00D47E30" w:rsidRPr="00D47E30">
        <w:rPr>
          <w:rFonts w:asciiTheme="majorHAnsi" w:hAnsiTheme="majorHAnsi"/>
          <w:sz w:val="20"/>
          <w:szCs w:val="20"/>
          <w:lang w:val="es-US"/>
        </w:rPr>
        <w:t>s</w:t>
      </w:r>
      <w:r w:rsidRPr="00D47E30">
        <w:rPr>
          <w:rFonts w:asciiTheme="majorHAnsi" w:hAnsiTheme="majorHAnsi"/>
          <w:sz w:val="20"/>
          <w:szCs w:val="20"/>
          <w:lang w:val="es-US"/>
        </w:rPr>
        <w:t xml:space="preserve">istema </w:t>
      </w:r>
      <w:r w:rsidR="00D47E30" w:rsidRPr="00D47E30">
        <w:rPr>
          <w:rFonts w:asciiTheme="majorHAnsi" w:hAnsiTheme="majorHAnsi"/>
          <w:sz w:val="20"/>
          <w:szCs w:val="20"/>
          <w:lang w:val="es-US"/>
        </w:rPr>
        <w:t>i</w:t>
      </w:r>
      <w:r w:rsidRPr="00D47E30">
        <w:rPr>
          <w:rFonts w:asciiTheme="majorHAnsi" w:hAnsiTheme="majorHAnsi"/>
          <w:sz w:val="20"/>
          <w:szCs w:val="20"/>
          <w:lang w:val="es-US"/>
        </w:rPr>
        <w:t>nteramericano establec</w:t>
      </w:r>
      <w:r w:rsidR="00D47E30" w:rsidRPr="00D47E30">
        <w:rPr>
          <w:rFonts w:asciiTheme="majorHAnsi" w:hAnsiTheme="majorHAnsi"/>
          <w:sz w:val="20"/>
          <w:szCs w:val="20"/>
          <w:lang w:val="es-US"/>
        </w:rPr>
        <w:t>e</w:t>
      </w:r>
      <w:r w:rsidRPr="00D47E30">
        <w:rPr>
          <w:rFonts w:asciiTheme="majorHAnsi" w:hAnsiTheme="majorHAnsi"/>
          <w:sz w:val="20"/>
          <w:szCs w:val="20"/>
          <w:lang w:val="es-US"/>
        </w:rPr>
        <w:t xml:space="preserve"> que frente a las personas privadas de libertad, el Estado asume una posición especial de garante de sus derechos</w:t>
      </w:r>
      <w:r w:rsidRPr="00D47E30">
        <w:rPr>
          <w:rStyle w:val="FootnoteReference"/>
          <w:rFonts w:asciiTheme="majorHAnsi" w:hAnsiTheme="majorHAnsi"/>
          <w:sz w:val="20"/>
          <w:szCs w:val="20"/>
        </w:rPr>
        <w:footnoteReference w:id="125"/>
      </w:r>
      <w:r w:rsidRPr="00D47E30">
        <w:rPr>
          <w:rFonts w:asciiTheme="majorHAnsi" w:hAnsiTheme="majorHAnsi"/>
          <w:sz w:val="20"/>
          <w:szCs w:val="20"/>
          <w:lang w:val="es-US"/>
        </w:rPr>
        <w:t>.</w:t>
      </w:r>
      <w:r w:rsidRPr="00D47E30">
        <w:rPr>
          <w:rFonts w:asciiTheme="majorHAnsi" w:hAnsiTheme="majorHAnsi"/>
          <w:sz w:val="20"/>
          <w:szCs w:val="20"/>
          <w:lang w:val="es-ES_tradnl"/>
        </w:rPr>
        <w:t xml:space="preserve"> </w:t>
      </w:r>
      <w:r w:rsidR="00A02CF0" w:rsidRPr="00D47E30">
        <w:rPr>
          <w:rFonts w:asciiTheme="majorHAnsi" w:hAnsiTheme="majorHAnsi"/>
          <w:sz w:val="20"/>
          <w:szCs w:val="20"/>
          <w:lang w:val="es-ES_tradnl"/>
        </w:rPr>
        <w:t>En razón de ello, “</w:t>
      </w:r>
      <w:r w:rsidR="00A02CF0" w:rsidRPr="00D47E30">
        <w:rPr>
          <w:rFonts w:asciiTheme="majorHAnsi" w:hAnsiTheme="majorHAnsi"/>
          <w:sz w:val="20"/>
          <w:szCs w:val="20"/>
          <w:lang w:val="es-US"/>
        </w:rPr>
        <w:t xml:space="preserve">el Estado tiene el deber de adoptar las medidas necesarias para proteger y garantizar el derecho a la vida y a </w:t>
      </w:r>
      <w:r w:rsidR="00A02CF0" w:rsidRPr="00D47E30">
        <w:rPr>
          <w:rFonts w:asciiTheme="majorHAnsi" w:hAnsiTheme="majorHAnsi"/>
          <w:sz w:val="20"/>
          <w:szCs w:val="20"/>
          <w:lang w:val="es-US"/>
        </w:rPr>
        <w:lastRenderedPageBreak/>
        <w:t>la integridad personal de las personas privadas de libertad y de abstenerse, bajo cualquier circunstancia, de actuar de manera tal que se vulnere la vida y la integridad de las mismas”</w:t>
      </w:r>
      <w:r w:rsidR="00A02CF0" w:rsidRPr="00D47E30">
        <w:rPr>
          <w:rStyle w:val="FootnoteReference"/>
          <w:rFonts w:asciiTheme="majorHAnsi" w:hAnsiTheme="majorHAnsi"/>
          <w:sz w:val="20"/>
          <w:szCs w:val="20"/>
          <w:lang w:val="es-US"/>
        </w:rPr>
        <w:footnoteReference w:id="126"/>
      </w:r>
      <w:r w:rsidR="00021152" w:rsidRPr="00D47E30">
        <w:rPr>
          <w:rFonts w:asciiTheme="majorHAnsi" w:hAnsiTheme="majorHAnsi"/>
          <w:sz w:val="20"/>
          <w:szCs w:val="20"/>
          <w:lang w:val="es-US"/>
        </w:rPr>
        <w:t xml:space="preserve">. </w:t>
      </w:r>
    </w:p>
    <w:p w14:paraId="7331759E" w14:textId="77777777" w:rsidR="00834A54" w:rsidRPr="00D47E30" w:rsidRDefault="00834A54" w:rsidP="00834A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US"/>
        </w:rPr>
      </w:pPr>
    </w:p>
    <w:p w14:paraId="41F81FE7" w14:textId="572A2B4D" w:rsidR="00834A54" w:rsidRPr="00D47E30" w:rsidRDefault="00D47E30"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US"/>
        </w:rPr>
      </w:pPr>
      <w:r>
        <w:rPr>
          <w:rFonts w:asciiTheme="majorHAnsi" w:hAnsiTheme="majorHAnsi"/>
          <w:sz w:val="20"/>
          <w:szCs w:val="20"/>
          <w:lang w:val="es-US"/>
        </w:rPr>
        <w:t>L</w:t>
      </w:r>
      <w:r w:rsidR="00834A54" w:rsidRPr="00D47E30">
        <w:rPr>
          <w:rFonts w:asciiTheme="majorHAnsi" w:hAnsiTheme="majorHAnsi"/>
          <w:sz w:val="20"/>
          <w:szCs w:val="20"/>
          <w:lang w:val="es-US"/>
        </w:rPr>
        <w:t xml:space="preserve">a Corte ha </w:t>
      </w:r>
      <w:r>
        <w:rPr>
          <w:rFonts w:asciiTheme="majorHAnsi" w:hAnsiTheme="majorHAnsi"/>
          <w:sz w:val="20"/>
          <w:szCs w:val="20"/>
          <w:lang w:val="es-US"/>
        </w:rPr>
        <w:t>establecido</w:t>
      </w:r>
      <w:r w:rsidR="00834A54" w:rsidRPr="00D47E30">
        <w:rPr>
          <w:rFonts w:asciiTheme="majorHAnsi" w:hAnsiTheme="majorHAnsi"/>
          <w:sz w:val="20"/>
          <w:szCs w:val="20"/>
          <w:lang w:val="es-US"/>
        </w:rPr>
        <w:t xml:space="preserve"> que esta obligación incluye “la adopción de las medidas que puedan favorecer al mantenimiento de un clima de respeto de los derechos humanos de las personas privadas de libertad entre sí, evitar la presencia de armas dentro de los establecimientos en poder de los internos, reducir el hacinamiento, procurar las condiciones de detención mínimas compatibles con su dignidad, y proveer personal capacitado y en número suficiente para asegurar el adecuado y efectivo control, custodia y vigilancia del centro penitenciario”</w:t>
      </w:r>
      <w:r w:rsidR="00834A54" w:rsidRPr="00D47E30">
        <w:rPr>
          <w:rStyle w:val="FootnoteReference"/>
          <w:rFonts w:asciiTheme="majorHAnsi" w:hAnsiTheme="majorHAnsi"/>
          <w:sz w:val="20"/>
          <w:szCs w:val="20"/>
          <w:lang w:val="es-US"/>
        </w:rPr>
        <w:footnoteReference w:id="127"/>
      </w:r>
      <w:r w:rsidR="00834A54" w:rsidRPr="00D47E30">
        <w:rPr>
          <w:rFonts w:asciiTheme="majorHAnsi" w:hAnsiTheme="majorHAnsi"/>
          <w:sz w:val="20"/>
          <w:szCs w:val="20"/>
          <w:lang w:val="es-US"/>
        </w:rPr>
        <w:t>.</w:t>
      </w:r>
    </w:p>
    <w:p w14:paraId="64D6B9E7" w14:textId="77777777" w:rsidR="007117FB" w:rsidRPr="00D47E30" w:rsidRDefault="007117FB" w:rsidP="007117F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US"/>
        </w:rPr>
      </w:pPr>
    </w:p>
    <w:p w14:paraId="0385DB51" w14:textId="4C08384A" w:rsidR="008A5B8E" w:rsidRDefault="007117FB"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47E30">
        <w:rPr>
          <w:rFonts w:asciiTheme="majorHAnsi" w:hAnsiTheme="majorHAnsi"/>
          <w:sz w:val="20"/>
          <w:szCs w:val="20"/>
          <w:lang w:val="es-US"/>
        </w:rPr>
        <w:t>En este orden de ideas, “siempre que una persona es privada de la libertad en un estado de salud normal y posteriormente aparece con afectaciones a su salud, corresponde al Estado proveer una explicación satisfactoria y convincente de esa situación</w:t>
      </w:r>
      <w:r w:rsidRPr="00D47E30">
        <w:rPr>
          <w:rStyle w:val="FootnoteReference"/>
          <w:rFonts w:asciiTheme="majorHAnsi" w:hAnsiTheme="majorHAnsi"/>
          <w:sz w:val="20"/>
          <w:szCs w:val="20"/>
          <w:lang w:val="es-US"/>
        </w:rPr>
        <w:footnoteReference w:id="128"/>
      </w:r>
      <w:r w:rsidRPr="00D47E30">
        <w:rPr>
          <w:rFonts w:asciiTheme="majorHAnsi" w:hAnsiTheme="majorHAnsi"/>
          <w:sz w:val="20"/>
          <w:szCs w:val="20"/>
          <w:lang w:val="es-US"/>
        </w:rPr>
        <w:t xml:space="preserve"> y desvirtuar alega</w:t>
      </w:r>
      <w:r w:rsidR="005D7ACB">
        <w:rPr>
          <w:rFonts w:asciiTheme="majorHAnsi" w:hAnsiTheme="majorHAnsi"/>
          <w:sz w:val="20"/>
          <w:szCs w:val="20"/>
          <w:lang w:val="es-US"/>
        </w:rPr>
        <w:t>to</w:t>
      </w:r>
      <w:r w:rsidRPr="00D47E30">
        <w:rPr>
          <w:rFonts w:asciiTheme="majorHAnsi" w:hAnsiTheme="majorHAnsi"/>
          <w:sz w:val="20"/>
          <w:szCs w:val="20"/>
          <w:lang w:val="es-US"/>
        </w:rPr>
        <w:t>s sobre su responsabilidad, mediante elementos probatorios adecuados”</w:t>
      </w:r>
      <w:r w:rsidRPr="00D47E30">
        <w:rPr>
          <w:rStyle w:val="FootnoteReference"/>
          <w:rFonts w:asciiTheme="majorHAnsi" w:hAnsiTheme="majorHAnsi"/>
          <w:sz w:val="20"/>
          <w:szCs w:val="20"/>
          <w:lang w:val="es-US"/>
        </w:rPr>
        <w:footnoteReference w:id="129"/>
      </w:r>
      <w:r w:rsidRPr="00D47E30">
        <w:rPr>
          <w:rFonts w:asciiTheme="majorHAnsi" w:hAnsiTheme="majorHAnsi"/>
          <w:sz w:val="20"/>
          <w:szCs w:val="20"/>
          <w:lang w:val="es-US"/>
        </w:rPr>
        <w:t>.</w:t>
      </w:r>
      <w:r w:rsidR="00021152" w:rsidRPr="00D47E30">
        <w:rPr>
          <w:rFonts w:asciiTheme="majorHAnsi" w:hAnsiTheme="majorHAnsi"/>
          <w:sz w:val="20"/>
          <w:szCs w:val="20"/>
          <w:lang w:val="es-US"/>
        </w:rPr>
        <w:t xml:space="preserve"> </w:t>
      </w:r>
      <w:r w:rsidRPr="007117FB">
        <w:rPr>
          <w:rFonts w:ascii="Cambria" w:hAnsi="Cambria"/>
          <w:sz w:val="20"/>
          <w:szCs w:val="20"/>
          <w:lang w:val="es-US"/>
        </w:rPr>
        <w:t>Por consiguiente, la ausencia de una explicación satisfactoria llevaría a la presunción de responsabilidad estatal por las lesiones que exhibe una persona que ha estado bajo la custodia de agentes estatales</w:t>
      </w:r>
      <w:r w:rsidRPr="00435F5F">
        <w:rPr>
          <w:rStyle w:val="FootnoteReference"/>
          <w:rFonts w:ascii="Cambria" w:hAnsi="Cambria"/>
          <w:sz w:val="20"/>
          <w:szCs w:val="20"/>
          <w:lang w:val="es-US"/>
        </w:rPr>
        <w:footnoteReference w:id="130"/>
      </w:r>
      <w:r w:rsidRPr="007117FB">
        <w:rPr>
          <w:rFonts w:ascii="Cambria" w:hAnsi="Cambria"/>
          <w:sz w:val="20"/>
          <w:szCs w:val="20"/>
          <w:lang w:val="es-US"/>
        </w:rPr>
        <w:t>.</w:t>
      </w:r>
      <w:r w:rsidR="00AF4129">
        <w:rPr>
          <w:rFonts w:ascii="Cambria" w:hAnsi="Cambria"/>
          <w:sz w:val="20"/>
          <w:szCs w:val="20"/>
          <w:lang w:val="es-US"/>
        </w:rPr>
        <w:t xml:space="preserve"> Evidentemente, esto resulta aplicable a situaciones en las cuales una persona pierde la vida estando bajo custodia del Estado. </w:t>
      </w:r>
    </w:p>
    <w:p w14:paraId="4229324B" w14:textId="77777777" w:rsidR="00200657" w:rsidRDefault="00200657" w:rsidP="00200657">
      <w:pPr>
        <w:pStyle w:val="ListParagraph"/>
        <w:rPr>
          <w:sz w:val="20"/>
          <w:szCs w:val="20"/>
          <w:lang w:val="es-US"/>
        </w:rPr>
      </w:pPr>
    </w:p>
    <w:p w14:paraId="417B4402" w14:textId="0A8CAF45" w:rsidR="00200657" w:rsidRPr="00D47E30" w:rsidRDefault="00200657" w:rsidP="00B70FC5">
      <w:pPr>
        <w:pStyle w:val="Heading3"/>
      </w:pPr>
      <w:bookmarkStart w:id="25" w:name="_Toc527708423"/>
      <w:r>
        <w:t>Análisis del caso</w:t>
      </w:r>
      <w:bookmarkEnd w:id="25"/>
    </w:p>
    <w:p w14:paraId="57CDCA93" w14:textId="77777777" w:rsidR="00200657" w:rsidRDefault="00200657" w:rsidP="002006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4BF03841" w14:textId="1DE69253" w:rsidR="00C32599" w:rsidRDefault="0028537F" w:rsidP="000206A0">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Pr>
          <w:rFonts w:ascii="Cambria" w:hAnsi="Cambria"/>
          <w:sz w:val="20"/>
          <w:szCs w:val="20"/>
          <w:lang w:val="es-US"/>
        </w:rPr>
        <w:t>L</w:t>
      </w:r>
      <w:r w:rsidRPr="008A5B8E">
        <w:rPr>
          <w:rFonts w:ascii="Cambria" w:hAnsi="Cambria"/>
          <w:sz w:val="20"/>
          <w:szCs w:val="20"/>
          <w:lang w:val="es-VE"/>
        </w:rPr>
        <w:t>a Comisión observa que en este caso existe una presunción de responsabilidad del Estado por las muertes de los siete internos</w:t>
      </w:r>
      <w:r w:rsidR="000206A0">
        <w:rPr>
          <w:rFonts w:ascii="Cambria" w:hAnsi="Cambria"/>
          <w:sz w:val="20"/>
          <w:szCs w:val="20"/>
          <w:lang w:val="es-VE"/>
        </w:rPr>
        <w:t xml:space="preserve"> y las heridas de los 26 internos</w:t>
      </w:r>
      <w:r w:rsidRPr="008A5B8E">
        <w:rPr>
          <w:rFonts w:ascii="Cambria" w:hAnsi="Cambria"/>
          <w:sz w:val="20"/>
          <w:szCs w:val="20"/>
          <w:lang w:val="es-VE"/>
        </w:rPr>
        <w:t xml:space="preserve"> bajo su custodia, la cual no ha sido desvirtuada en este caso, dado que el Estado no ha aportado una “explicación satisfactoria” e incluso </w:t>
      </w:r>
      <w:r>
        <w:rPr>
          <w:rFonts w:ascii="Cambria" w:hAnsi="Cambria"/>
          <w:sz w:val="20"/>
          <w:szCs w:val="20"/>
          <w:lang w:val="es-VE"/>
        </w:rPr>
        <w:t>sostiene</w:t>
      </w:r>
      <w:r w:rsidRPr="008A5B8E">
        <w:rPr>
          <w:rFonts w:ascii="Cambria" w:hAnsi="Cambria"/>
          <w:sz w:val="20"/>
          <w:szCs w:val="20"/>
          <w:lang w:val="es-VE"/>
        </w:rPr>
        <w:t xml:space="preserve"> que efectivos de la Guardia Nacional produjeron la muerte de los siete fallecidos, de manera que “perfectamente encuadran en ejecuciones extralegales, arbitrarias o sumarias”.</w:t>
      </w:r>
      <w:r>
        <w:rPr>
          <w:rFonts w:ascii="Cambria" w:hAnsi="Cambria"/>
          <w:sz w:val="20"/>
          <w:szCs w:val="20"/>
          <w:lang w:val="es-VE"/>
        </w:rPr>
        <w:t xml:space="preserve"> La Comisión </w:t>
      </w:r>
      <w:r w:rsidRPr="008A5B8E">
        <w:rPr>
          <w:rFonts w:ascii="Cambria" w:hAnsi="Cambria"/>
          <w:sz w:val="20"/>
          <w:szCs w:val="20"/>
          <w:lang w:val="es-VE"/>
        </w:rPr>
        <w:t xml:space="preserve">observa que no ha sido debidamente esclarecido en el expediente del caso la forma </w:t>
      </w:r>
      <w:r>
        <w:rPr>
          <w:rFonts w:ascii="Cambria" w:hAnsi="Cambria"/>
          <w:sz w:val="20"/>
          <w:szCs w:val="20"/>
          <w:lang w:val="es-VE"/>
        </w:rPr>
        <w:t xml:space="preserve">concreta </w:t>
      </w:r>
      <w:r w:rsidRPr="008A5B8E">
        <w:rPr>
          <w:rFonts w:ascii="Cambria" w:hAnsi="Cambria"/>
          <w:sz w:val="20"/>
          <w:szCs w:val="20"/>
          <w:lang w:val="es-VE"/>
        </w:rPr>
        <w:t xml:space="preserve">en que se produjeron estas muertes y lesiones, y el rol </w:t>
      </w:r>
      <w:r>
        <w:rPr>
          <w:rFonts w:ascii="Cambria" w:hAnsi="Cambria"/>
          <w:sz w:val="20"/>
          <w:szCs w:val="20"/>
          <w:lang w:val="es-VE"/>
        </w:rPr>
        <w:t xml:space="preserve">puntual </w:t>
      </w:r>
      <w:r w:rsidRPr="008A5B8E">
        <w:rPr>
          <w:rFonts w:ascii="Cambria" w:hAnsi="Cambria"/>
          <w:sz w:val="20"/>
          <w:szCs w:val="20"/>
          <w:lang w:val="es-VE"/>
        </w:rPr>
        <w:t>que habrían tenido todos los efectivos militares y custodios presentes en la cárcel ese día.</w:t>
      </w:r>
      <w:r>
        <w:rPr>
          <w:rFonts w:ascii="Cambria" w:hAnsi="Cambria"/>
          <w:sz w:val="20"/>
          <w:szCs w:val="20"/>
          <w:lang w:val="es-VE"/>
        </w:rPr>
        <w:t xml:space="preserve"> Sin perjuicio de que esta presunción no desvirtuada por el Estado sería suficiente para establecer su responsabilidad internacional, a continuación la Comisión analiza los elementos adicionales que surgen del expediente y que fortalecen tal conclusión. </w:t>
      </w:r>
    </w:p>
    <w:p w14:paraId="75D4BC28" w14:textId="77777777" w:rsidR="00333784" w:rsidRDefault="00333784" w:rsidP="003337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US"/>
        </w:rPr>
      </w:pPr>
    </w:p>
    <w:p w14:paraId="784E7D6D" w14:textId="77777777" w:rsidR="000D6850" w:rsidRDefault="000206A0" w:rsidP="000206A0">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C32599">
        <w:rPr>
          <w:rFonts w:ascii="Cambria" w:hAnsi="Cambria"/>
          <w:sz w:val="20"/>
          <w:szCs w:val="20"/>
          <w:lang w:val="es-US"/>
        </w:rPr>
        <w:t>El Estado debe “vigilar que sus cuerpos de seguridad, a quienes les está atribuido el uso de la fuerza legítima, respeten el derecho a la vida de quienes se encuentren bajo su jurisdicción”</w:t>
      </w:r>
      <w:r>
        <w:rPr>
          <w:rStyle w:val="FootnoteReference"/>
          <w:rFonts w:ascii="Cambria" w:hAnsi="Cambria"/>
          <w:sz w:val="20"/>
          <w:szCs w:val="20"/>
          <w:lang w:val="es-US"/>
        </w:rPr>
        <w:footnoteReference w:id="131"/>
      </w:r>
      <w:r w:rsidRPr="00C32599">
        <w:rPr>
          <w:rFonts w:ascii="Cambria" w:hAnsi="Cambria"/>
          <w:sz w:val="20"/>
          <w:szCs w:val="20"/>
          <w:lang w:val="es-US"/>
        </w:rPr>
        <w:t>. En este sentido, los cuerpos de seguridad estatales solamente pueden recurrir al uso de armas letales cuando sea “estrictamente inevitable para proteger una vida” y cuando resulten ineficaces medidas menos extremas</w:t>
      </w:r>
      <w:r>
        <w:rPr>
          <w:rStyle w:val="FootnoteReference"/>
          <w:rFonts w:ascii="Cambria" w:hAnsi="Cambria"/>
          <w:sz w:val="20"/>
          <w:szCs w:val="20"/>
          <w:lang w:val="es-US"/>
        </w:rPr>
        <w:footnoteReference w:id="132"/>
      </w:r>
      <w:r w:rsidRPr="00C32599">
        <w:rPr>
          <w:rFonts w:ascii="Cambria" w:hAnsi="Cambria"/>
          <w:sz w:val="20"/>
          <w:szCs w:val="20"/>
          <w:lang w:val="es-US"/>
        </w:rPr>
        <w:t>. El uso de la fuerza por parte de las fuerzas de seguridad “debe atenerse a criterios de motivos legítimos, necesidad</w:t>
      </w:r>
      <w:r w:rsidR="00A15F46">
        <w:rPr>
          <w:rFonts w:ascii="Cambria" w:hAnsi="Cambria"/>
          <w:sz w:val="20"/>
          <w:szCs w:val="20"/>
          <w:lang w:val="es-US"/>
        </w:rPr>
        <w:t xml:space="preserve"> (…) </w:t>
      </w:r>
      <w:r w:rsidRPr="00C32599">
        <w:rPr>
          <w:rFonts w:ascii="Cambria" w:hAnsi="Cambria"/>
          <w:sz w:val="20"/>
          <w:szCs w:val="20"/>
          <w:lang w:val="es-US"/>
        </w:rPr>
        <w:t>y proporcionalidad”</w:t>
      </w:r>
      <w:r>
        <w:rPr>
          <w:rStyle w:val="FootnoteReference"/>
          <w:rFonts w:ascii="Cambria" w:hAnsi="Cambria"/>
          <w:sz w:val="20"/>
          <w:szCs w:val="20"/>
          <w:lang w:val="es-US"/>
        </w:rPr>
        <w:footnoteReference w:id="133"/>
      </w:r>
      <w:r w:rsidRPr="00C32599">
        <w:rPr>
          <w:rFonts w:ascii="Cambria" w:hAnsi="Cambria"/>
          <w:sz w:val="20"/>
          <w:szCs w:val="20"/>
          <w:lang w:val="es-US"/>
        </w:rPr>
        <w:t>. Asimismo, “todo uso de la fuerza que no sea estrictamente necesario por el propio comportamiento de la persona detenida constituye un atentado a la dignidad humana”</w:t>
      </w:r>
      <w:r>
        <w:rPr>
          <w:rStyle w:val="FootnoteReference"/>
          <w:rFonts w:ascii="Cambria" w:hAnsi="Cambria"/>
          <w:sz w:val="20"/>
          <w:szCs w:val="20"/>
          <w:lang w:val="es-US"/>
        </w:rPr>
        <w:footnoteReference w:id="134"/>
      </w:r>
      <w:r w:rsidRPr="00C32599">
        <w:rPr>
          <w:rFonts w:ascii="Cambria" w:hAnsi="Cambria"/>
          <w:sz w:val="20"/>
          <w:szCs w:val="20"/>
          <w:lang w:val="es-US"/>
        </w:rPr>
        <w:t xml:space="preserve">. </w:t>
      </w:r>
    </w:p>
    <w:p w14:paraId="76E2581A" w14:textId="77777777" w:rsidR="000D6850" w:rsidRDefault="000D6850" w:rsidP="000D6850">
      <w:pPr>
        <w:pStyle w:val="ListParagraph"/>
        <w:rPr>
          <w:rFonts w:asciiTheme="majorHAnsi" w:hAnsiTheme="majorHAnsi"/>
          <w:sz w:val="20"/>
          <w:szCs w:val="20"/>
          <w:lang w:val="es-US"/>
        </w:rPr>
      </w:pPr>
    </w:p>
    <w:p w14:paraId="0FD43E02" w14:textId="762EA7A5" w:rsidR="000206A0" w:rsidRPr="000D6850" w:rsidRDefault="000206A0" w:rsidP="000206A0">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0D6850">
        <w:rPr>
          <w:rFonts w:asciiTheme="majorHAnsi" w:hAnsiTheme="majorHAnsi"/>
          <w:sz w:val="20"/>
          <w:szCs w:val="20"/>
          <w:lang w:val="es-US"/>
        </w:rPr>
        <w:t xml:space="preserve">En el contexto del mantenimiento del orden público dentro de las cárceles, la Corte ha establecido que el Estado debe hacer uso de la fuerza “con apego y en aplicación de la normativa interna en procura de la satisfacción del orden público, siempre que esta normativa y las acciones tomadas en aplicación </w:t>
      </w:r>
      <w:r w:rsidRPr="000D6850">
        <w:rPr>
          <w:rFonts w:asciiTheme="majorHAnsi" w:hAnsiTheme="majorHAnsi"/>
          <w:sz w:val="20"/>
          <w:szCs w:val="20"/>
          <w:lang w:val="es-US"/>
        </w:rPr>
        <w:lastRenderedPageBreak/>
        <w:t>de ella se ajusten, a su vez, a las normas de protección de los derechos humanos aplicables a la materia”. En este sentido, el poder estatal no es ilimitado</w:t>
      </w:r>
      <w:r>
        <w:rPr>
          <w:rStyle w:val="FootnoteReference"/>
          <w:rFonts w:asciiTheme="majorHAnsi" w:hAnsiTheme="majorHAnsi"/>
          <w:sz w:val="20"/>
          <w:szCs w:val="20"/>
          <w:lang w:val="es-US"/>
        </w:rPr>
        <w:footnoteReference w:id="135"/>
      </w:r>
      <w:r w:rsidRPr="000D6850">
        <w:rPr>
          <w:rFonts w:asciiTheme="majorHAnsi" w:hAnsiTheme="majorHAnsi"/>
          <w:sz w:val="20"/>
          <w:szCs w:val="20"/>
          <w:lang w:val="es-US"/>
        </w:rPr>
        <w:t>.</w:t>
      </w:r>
    </w:p>
    <w:p w14:paraId="5C5B8740" w14:textId="77777777" w:rsidR="000206A0" w:rsidRPr="00E4208A" w:rsidRDefault="000206A0" w:rsidP="000206A0">
      <w:pPr>
        <w:suppressAutoHyphens/>
        <w:jc w:val="both"/>
        <w:rPr>
          <w:rFonts w:asciiTheme="majorHAnsi" w:hAnsiTheme="majorHAnsi"/>
          <w:b/>
          <w:sz w:val="20"/>
          <w:szCs w:val="20"/>
          <w:lang w:val="es-ES_tradnl"/>
        </w:rPr>
      </w:pPr>
    </w:p>
    <w:p w14:paraId="3E6088C1" w14:textId="578AAC27" w:rsidR="000206A0" w:rsidRPr="00BF76BC" w:rsidRDefault="000206A0" w:rsidP="00520BA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sidRPr="00BF76BC">
        <w:rPr>
          <w:rFonts w:asciiTheme="majorHAnsi" w:hAnsiTheme="majorHAnsi"/>
          <w:sz w:val="20"/>
          <w:szCs w:val="20"/>
          <w:lang w:val="es-ES_tradnl"/>
        </w:rPr>
        <w:t xml:space="preserve">En </w:t>
      </w:r>
      <w:r w:rsidR="00195422">
        <w:rPr>
          <w:rFonts w:asciiTheme="majorHAnsi" w:hAnsiTheme="majorHAnsi"/>
          <w:sz w:val="20"/>
          <w:szCs w:val="20"/>
          <w:lang w:val="es-ES_tradnl"/>
        </w:rPr>
        <w:t xml:space="preserve">el presente </w:t>
      </w:r>
      <w:r w:rsidRPr="00BF76BC">
        <w:rPr>
          <w:rFonts w:asciiTheme="majorHAnsi" w:hAnsiTheme="majorHAnsi"/>
          <w:sz w:val="20"/>
          <w:szCs w:val="20"/>
          <w:lang w:val="es-ES_tradnl"/>
        </w:rPr>
        <w:t xml:space="preserve">caso, la Comisión observa que no cuenta con elementos suficientes para determinar </w:t>
      </w:r>
      <w:r w:rsidR="00D51925">
        <w:rPr>
          <w:rFonts w:asciiTheme="majorHAnsi" w:hAnsiTheme="majorHAnsi"/>
          <w:sz w:val="20"/>
          <w:szCs w:val="20"/>
          <w:lang w:val="es-ES_tradnl"/>
        </w:rPr>
        <w:t xml:space="preserve">con certeza </w:t>
      </w:r>
      <w:r w:rsidRPr="00BF76BC">
        <w:rPr>
          <w:rFonts w:asciiTheme="majorHAnsi" w:hAnsiTheme="majorHAnsi"/>
          <w:sz w:val="20"/>
          <w:szCs w:val="20"/>
          <w:lang w:val="es-ES_tradnl"/>
        </w:rPr>
        <w:t xml:space="preserve">la existencia de un motín dentro de la cárcel la mañana de los hechos. Esta falta de </w:t>
      </w:r>
      <w:r w:rsidR="0016719D">
        <w:rPr>
          <w:rFonts w:asciiTheme="majorHAnsi" w:hAnsiTheme="majorHAnsi"/>
          <w:sz w:val="20"/>
          <w:szCs w:val="20"/>
          <w:lang w:val="es-ES_tradnl"/>
        </w:rPr>
        <w:t xml:space="preserve">esclarecimiento </w:t>
      </w:r>
      <w:r w:rsidRPr="00BF76BC">
        <w:rPr>
          <w:rFonts w:asciiTheme="majorHAnsi" w:hAnsiTheme="majorHAnsi"/>
          <w:sz w:val="20"/>
          <w:szCs w:val="20"/>
          <w:lang w:val="es-ES_tradnl"/>
        </w:rPr>
        <w:t>s</w:t>
      </w:r>
      <w:r w:rsidRPr="00520BA6">
        <w:rPr>
          <w:rFonts w:asciiTheme="majorHAnsi" w:hAnsiTheme="majorHAnsi"/>
          <w:sz w:val="20"/>
          <w:szCs w:val="20"/>
          <w:lang w:val="es-US"/>
        </w:rPr>
        <w:t xml:space="preserve">e </w:t>
      </w:r>
      <w:r w:rsidRPr="00BF76BC">
        <w:rPr>
          <w:rFonts w:asciiTheme="majorHAnsi" w:hAnsiTheme="majorHAnsi"/>
          <w:sz w:val="20"/>
          <w:szCs w:val="20"/>
          <w:lang w:val="es-ES_tradnl"/>
        </w:rPr>
        <w:t xml:space="preserve">da fundamentalmente en el contexto de la falta de debida diligencia en la investigación de los hechos, la cual se </w:t>
      </w:r>
      <w:r w:rsidRPr="00520BA6">
        <w:rPr>
          <w:rFonts w:asciiTheme="majorHAnsi" w:hAnsiTheme="majorHAnsi"/>
          <w:sz w:val="20"/>
          <w:szCs w:val="20"/>
          <w:lang w:val="es-US"/>
        </w:rPr>
        <w:t>analizará</w:t>
      </w:r>
      <w:r w:rsidRPr="00BF76BC">
        <w:rPr>
          <w:rFonts w:asciiTheme="majorHAnsi" w:hAnsiTheme="majorHAnsi"/>
          <w:sz w:val="20"/>
          <w:szCs w:val="20"/>
          <w:lang w:val="es-ES_tradnl"/>
        </w:rPr>
        <w:t xml:space="preserve">  en la próxima sección. Mientras los testigos internos de la cárcel son </w:t>
      </w:r>
      <w:r w:rsidR="00DF1C33">
        <w:rPr>
          <w:rFonts w:asciiTheme="majorHAnsi" w:hAnsiTheme="majorHAnsi"/>
          <w:sz w:val="20"/>
          <w:szCs w:val="20"/>
          <w:lang w:val="es-ES_tradnl"/>
        </w:rPr>
        <w:t xml:space="preserve">consistentes en </w:t>
      </w:r>
      <w:r w:rsidRPr="00BF76BC">
        <w:rPr>
          <w:rFonts w:asciiTheme="majorHAnsi" w:hAnsiTheme="majorHAnsi"/>
          <w:sz w:val="20"/>
          <w:szCs w:val="20"/>
          <w:lang w:val="es-ES_tradnl"/>
        </w:rPr>
        <w:t>sostener que la cárcel estaba tranquila esa mañana mientras se esperaba la requisa a ser efectuada luego de la huelga de la semana anterior, el Director Interventor y otras autoridades sostienen que sí hubieron disturbios dentro de la cárcel que motivaron la solicitud de ingreso a la cárcel de la Guardia Nacional.</w:t>
      </w:r>
      <w:r w:rsidR="00622A2F">
        <w:rPr>
          <w:rFonts w:asciiTheme="majorHAnsi" w:hAnsiTheme="majorHAnsi"/>
          <w:sz w:val="20"/>
          <w:szCs w:val="20"/>
          <w:lang w:val="es-ES_tradnl"/>
        </w:rPr>
        <w:t xml:space="preserve"> En todo caso, la Comisión observa que sólo los Guardias Nacionales indicaron que las muertes y heridas ocurrieron antes de su ingreso. Esta versión no fue sostenida ni siquiera por el Director Interventor. </w:t>
      </w:r>
      <w:r w:rsidR="00595931">
        <w:rPr>
          <w:rFonts w:asciiTheme="majorHAnsi" w:hAnsiTheme="majorHAnsi"/>
          <w:sz w:val="20"/>
          <w:szCs w:val="20"/>
          <w:lang w:val="es-ES_tradnl"/>
        </w:rPr>
        <w:t>Así, l</w:t>
      </w:r>
      <w:r w:rsidRPr="00BF76BC">
        <w:rPr>
          <w:rFonts w:asciiTheme="majorHAnsi" w:hAnsiTheme="majorHAnsi"/>
          <w:sz w:val="20"/>
          <w:szCs w:val="20"/>
          <w:lang w:val="es-ES_tradnl"/>
        </w:rPr>
        <w:t xml:space="preserve">a Comisión considera que, de probarse que no hubo motín dentro de la cárcel esa mañana, cualquier posterior uso de la fuerza por parte de agentes estatales en contra de los internos de la cárcel resultaría claramente </w:t>
      </w:r>
      <w:r w:rsidR="00863614">
        <w:rPr>
          <w:rFonts w:asciiTheme="majorHAnsi" w:hAnsiTheme="majorHAnsi"/>
          <w:sz w:val="20"/>
          <w:szCs w:val="20"/>
          <w:lang w:val="es-ES_tradnl"/>
        </w:rPr>
        <w:t>arbitrario</w:t>
      </w:r>
      <w:r w:rsidRPr="00BF76BC">
        <w:rPr>
          <w:rFonts w:asciiTheme="majorHAnsi" w:hAnsiTheme="majorHAnsi"/>
          <w:sz w:val="20"/>
          <w:szCs w:val="20"/>
          <w:lang w:val="es-ES_tradnl"/>
        </w:rPr>
        <w:t>, por carecer de una finalidad legítima y por ser</w:t>
      </w:r>
      <w:r w:rsidR="00090A65">
        <w:rPr>
          <w:rFonts w:asciiTheme="majorHAnsi" w:hAnsiTheme="majorHAnsi"/>
          <w:sz w:val="20"/>
          <w:szCs w:val="20"/>
          <w:lang w:val="es-ES_tradnl"/>
        </w:rPr>
        <w:t xml:space="preserve"> innecesario</w:t>
      </w:r>
      <w:r>
        <w:rPr>
          <w:rStyle w:val="FootnoteReference"/>
          <w:rFonts w:asciiTheme="majorHAnsi" w:hAnsiTheme="majorHAnsi"/>
          <w:sz w:val="20"/>
          <w:szCs w:val="20"/>
          <w:lang w:val="es-ES_tradnl"/>
        </w:rPr>
        <w:footnoteReference w:id="136"/>
      </w:r>
      <w:r w:rsidRPr="00BF76BC">
        <w:rPr>
          <w:rFonts w:asciiTheme="majorHAnsi" w:hAnsiTheme="majorHAnsi"/>
          <w:sz w:val="20"/>
          <w:szCs w:val="20"/>
          <w:lang w:val="es-ES_tradnl"/>
        </w:rPr>
        <w:t xml:space="preserve">. </w:t>
      </w:r>
    </w:p>
    <w:p w14:paraId="186B1A2D" w14:textId="77777777" w:rsidR="000206A0" w:rsidRPr="007D46C1" w:rsidRDefault="000206A0" w:rsidP="000206A0">
      <w:pPr>
        <w:pStyle w:val="ListParagraph"/>
        <w:rPr>
          <w:rFonts w:asciiTheme="majorHAnsi" w:hAnsiTheme="majorHAnsi"/>
          <w:b/>
          <w:sz w:val="20"/>
          <w:szCs w:val="20"/>
          <w:lang w:val="es-ES_tradnl"/>
        </w:rPr>
      </w:pPr>
    </w:p>
    <w:p w14:paraId="5FD7DD74" w14:textId="6D0CF652" w:rsidR="000206A0" w:rsidRPr="00BF76BC" w:rsidRDefault="004D1523" w:rsidP="00520BA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Ahora bien, </w:t>
      </w:r>
      <w:r w:rsidR="00BA341B">
        <w:rPr>
          <w:rFonts w:asciiTheme="majorHAnsi" w:hAnsiTheme="majorHAnsi"/>
          <w:sz w:val="20"/>
          <w:szCs w:val="20"/>
          <w:lang w:val="es-ES_tradnl"/>
        </w:rPr>
        <w:t>aun</w:t>
      </w:r>
      <w:r>
        <w:rPr>
          <w:rFonts w:asciiTheme="majorHAnsi" w:hAnsiTheme="majorHAnsi"/>
          <w:sz w:val="20"/>
          <w:szCs w:val="20"/>
          <w:lang w:val="es-ES_tradnl"/>
        </w:rPr>
        <w:t xml:space="preserve"> aceptando </w:t>
      </w:r>
      <w:r w:rsidR="000206A0" w:rsidRPr="00BF76BC">
        <w:rPr>
          <w:rFonts w:asciiTheme="majorHAnsi" w:hAnsiTheme="majorHAnsi"/>
          <w:sz w:val="20"/>
          <w:szCs w:val="20"/>
          <w:lang w:val="es-ES_tradnl"/>
        </w:rPr>
        <w:t xml:space="preserve">que la acción de las autoridades estatales el día de los hechos respondía a un fin legítimo de controlar un motín que se estaba suscitando dentro de la cárcel y así proteger las vidas de los internos, la </w:t>
      </w:r>
      <w:r w:rsidR="000206A0" w:rsidRPr="00520BA6">
        <w:rPr>
          <w:rFonts w:asciiTheme="majorHAnsi" w:hAnsiTheme="majorHAnsi"/>
          <w:sz w:val="20"/>
          <w:szCs w:val="20"/>
          <w:lang w:val="es-US"/>
        </w:rPr>
        <w:t>Comisión</w:t>
      </w:r>
      <w:r w:rsidR="000206A0" w:rsidRPr="00BF76BC">
        <w:rPr>
          <w:rFonts w:asciiTheme="majorHAnsi" w:hAnsiTheme="majorHAnsi"/>
          <w:sz w:val="20"/>
          <w:szCs w:val="20"/>
          <w:lang w:val="es-ES_tradnl"/>
        </w:rPr>
        <w:t xml:space="preserve"> considera que, no obstante, </w:t>
      </w:r>
      <w:r w:rsidR="005C6885">
        <w:rPr>
          <w:rFonts w:asciiTheme="majorHAnsi" w:hAnsiTheme="majorHAnsi"/>
          <w:sz w:val="20"/>
          <w:szCs w:val="20"/>
          <w:lang w:val="es-ES_tradnl"/>
        </w:rPr>
        <w:t xml:space="preserve">existen múltiples elementos que apuntan a que el </w:t>
      </w:r>
      <w:r w:rsidR="000206A0" w:rsidRPr="00BF76BC">
        <w:rPr>
          <w:rFonts w:asciiTheme="majorHAnsi" w:hAnsiTheme="majorHAnsi"/>
          <w:sz w:val="20"/>
          <w:szCs w:val="20"/>
          <w:lang w:val="es-ES_tradnl"/>
        </w:rPr>
        <w:t>uso de la fuerza fue</w:t>
      </w:r>
      <w:r w:rsidR="005C6885">
        <w:rPr>
          <w:rFonts w:asciiTheme="majorHAnsi" w:hAnsiTheme="majorHAnsi"/>
          <w:sz w:val="20"/>
          <w:szCs w:val="20"/>
          <w:lang w:val="es-ES_tradnl"/>
        </w:rPr>
        <w:t xml:space="preserve"> desproporcionado. </w:t>
      </w:r>
      <w:r w:rsidR="000206A0" w:rsidRPr="00BF76BC">
        <w:rPr>
          <w:rFonts w:asciiTheme="majorHAnsi" w:hAnsiTheme="majorHAnsi"/>
          <w:sz w:val="20"/>
          <w:szCs w:val="20"/>
          <w:lang w:val="es-ES_tradnl"/>
        </w:rPr>
        <w:t xml:space="preserve">En este sentido, destaca los testimonios de internos que las Guardias Nacionales entraron al recinto disparando con fusiles automáticos livianos; que golpearon indiscriminadamente a los internos en el patio interno; el testimonio que un interno resultó “reventado por dentro” por los golpes que le proporcionaron las autoridades, por lo que tenía que ser operado; y los indicios de que los efectivos que ingresaron al recinto no utilizaron equipos anti-motín ni medios menos letales para controlar la situación dentro del penal. </w:t>
      </w:r>
      <w:r w:rsidR="00633417">
        <w:rPr>
          <w:rFonts w:asciiTheme="majorHAnsi" w:hAnsiTheme="majorHAnsi"/>
          <w:sz w:val="20"/>
          <w:szCs w:val="20"/>
          <w:lang w:val="es-ES_tradnl"/>
        </w:rPr>
        <w:t xml:space="preserve">Todos estos elementos no fueron desvirtuados por el Estado mediante una investigación diligente que demostrara que el uso de la fuerza fue estrictamente proporcional a los riesgos derivados del supuesto motín. </w:t>
      </w:r>
    </w:p>
    <w:p w14:paraId="77579250" w14:textId="77777777" w:rsidR="000206A0" w:rsidRPr="00190F5A" w:rsidRDefault="000206A0" w:rsidP="000206A0">
      <w:pPr>
        <w:pStyle w:val="ListParagraph"/>
        <w:rPr>
          <w:rFonts w:asciiTheme="majorHAnsi" w:hAnsiTheme="majorHAnsi"/>
          <w:sz w:val="20"/>
          <w:szCs w:val="20"/>
          <w:lang w:val="es-ES_tradnl"/>
        </w:rPr>
      </w:pPr>
    </w:p>
    <w:p w14:paraId="75950BD5" w14:textId="2A08E6FF" w:rsidR="000206A0" w:rsidRDefault="006450C1" w:rsidP="00520BA6">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lang w:val="es-ES_tradnl"/>
        </w:rPr>
      </w:pPr>
      <w:r>
        <w:rPr>
          <w:rFonts w:asciiTheme="majorHAnsi" w:hAnsiTheme="majorHAnsi"/>
          <w:sz w:val="20"/>
          <w:szCs w:val="20"/>
          <w:lang w:val="es-ES_tradnl"/>
        </w:rPr>
        <w:t xml:space="preserve">A lo anterior se suman </w:t>
      </w:r>
      <w:r w:rsidR="000206A0" w:rsidRPr="00BF76BC">
        <w:rPr>
          <w:rFonts w:asciiTheme="majorHAnsi" w:hAnsiTheme="majorHAnsi"/>
          <w:sz w:val="20"/>
          <w:szCs w:val="20"/>
          <w:lang w:val="es-ES_tradnl"/>
        </w:rPr>
        <w:t xml:space="preserve">indicaciones tanto de las autopsias que se practicaron—las cuales encontraron que varios de los internos fallecieron a causa de disparos a la cabeza con trayectoria de </w:t>
      </w:r>
      <w:r w:rsidR="00965261">
        <w:rPr>
          <w:rFonts w:asciiTheme="majorHAnsi" w:hAnsiTheme="majorHAnsi"/>
          <w:sz w:val="20"/>
          <w:szCs w:val="20"/>
          <w:lang w:val="es-ES_tradnl"/>
        </w:rPr>
        <w:t>atrás para adelante</w:t>
      </w:r>
      <w:r w:rsidR="000206A0" w:rsidRPr="00BF76BC">
        <w:rPr>
          <w:rFonts w:asciiTheme="majorHAnsi" w:hAnsiTheme="majorHAnsi"/>
          <w:sz w:val="20"/>
          <w:szCs w:val="20"/>
          <w:lang w:val="es-ES_tradnl"/>
        </w:rPr>
        <w:t xml:space="preserve">—como de los internos testigos de los hechos y el propio Estado y Ministerio Público de que las muertes de los siete fallecidos “perfectamente encuadran en ejecuciones extrajudiciales” y estuvieron acompañados de </w:t>
      </w:r>
      <w:r w:rsidR="00030A0E">
        <w:rPr>
          <w:rFonts w:asciiTheme="majorHAnsi" w:hAnsiTheme="majorHAnsi"/>
          <w:sz w:val="20"/>
          <w:szCs w:val="20"/>
          <w:lang w:val="es-ES_tradnl"/>
        </w:rPr>
        <w:t xml:space="preserve">fuertes golpes y </w:t>
      </w:r>
      <w:r w:rsidR="000206A0" w:rsidRPr="00BF76BC">
        <w:rPr>
          <w:rFonts w:asciiTheme="majorHAnsi" w:hAnsiTheme="majorHAnsi"/>
          <w:sz w:val="20"/>
          <w:szCs w:val="20"/>
          <w:lang w:val="es-ES_tradnl"/>
        </w:rPr>
        <w:t xml:space="preserve">malos tratos a los fallecidos antes de su muerte y los otros internos. </w:t>
      </w:r>
    </w:p>
    <w:p w14:paraId="71F3E57C" w14:textId="77777777" w:rsidR="000206A0" w:rsidRPr="00BF76BC" w:rsidRDefault="000206A0" w:rsidP="000206A0">
      <w:pPr>
        <w:suppressAutoHyphens/>
        <w:jc w:val="both"/>
        <w:rPr>
          <w:rFonts w:asciiTheme="majorHAnsi" w:hAnsiTheme="majorHAnsi"/>
          <w:sz w:val="20"/>
          <w:szCs w:val="20"/>
          <w:lang w:val="es-ES_tradnl"/>
        </w:rPr>
      </w:pPr>
    </w:p>
    <w:p w14:paraId="3365D4DA" w14:textId="77777777" w:rsidR="00A1295D" w:rsidRDefault="000206A0" w:rsidP="00725FA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BF76BC">
        <w:rPr>
          <w:rFonts w:asciiTheme="majorHAnsi" w:hAnsiTheme="majorHAnsi"/>
          <w:sz w:val="20"/>
          <w:szCs w:val="20"/>
          <w:lang w:val="es-ES_tradnl"/>
        </w:rPr>
        <w:t xml:space="preserve">Asimismo, la Comisión destaca los </w:t>
      </w:r>
      <w:r w:rsidR="005A791F">
        <w:rPr>
          <w:rFonts w:asciiTheme="majorHAnsi" w:hAnsiTheme="majorHAnsi"/>
          <w:sz w:val="20"/>
          <w:szCs w:val="20"/>
          <w:lang w:val="es-ES_tradnl"/>
        </w:rPr>
        <w:t xml:space="preserve">reiterados </w:t>
      </w:r>
      <w:r w:rsidRPr="00BF76BC">
        <w:rPr>
          <w:rFonts w:asciiTheme="majorHAnsi" w:hAnsiTheme="majorHAnsi"/>
          <w:sz w:val="20"/>
          <w:szCs w:val="20"/>
          <w:lang w:val="es-ES_tradnl"/>
        </w:rPr>
        <w:t>alegatos a lo largo del relato</w:t>
      </w:r>
      <w:r w:rsidR="005A791F">
        <w:rPr>
          <w:rFonts w:asciiTheme="majorHAnsi" w:hAnsiTheme="majorHAnsi"/>
          <w:sz w:val="20"/>
          <w:szCs w:val="20"/>
          <w:lang w:val="es-ES_tradnl"/>
        </w:rPr>
        <w:t xml:space="preserve"> en cuanto a </w:t>
      </w:r>
      <w:r w:rsidRPr="00BF76BC">
        <w:rPr>
          <w:rFonts w:asciiTheme="majorHAnsi" w:hAnsiTheme="majorHAnsi"/>
          <w:sz w:val="20"/>
          <w:szCs w:val="20"/>
          <w:lang w:val="es-ES_tradnl"/>
        </w:rPr>
        <w:t xml:space="preserve">que el operativo llevado a cabo el día de los hechos se trataría de una represalia en contra de los dirigentes de una huelga realizado por los internos. </w:t>
      </w:r>
      <w:r w:rsidR="008F0E46">
        <w:rPr>
          <w:rFonts w:asciiTheme="majorHAnsi" w:hAnsiTheme="majorHAnsi"/>
          <w:sz w:val="20"/>
          <w:szCs w:val="20"/>
          <w:lang w:val="es-ES_tradnl"/>
        </w:rPr>
        <w:t xml:space="preserve">La Comisión considera que la coincidencia temporal entre la culminación de la huelga y el hecho de que </w:t>
      </w:r>
      <w:r w:rsidR="000C07C9">
        <w:rPr>
          <w:rFonts w:asciiTheme="majorHAnsi" w:hAnsiTheme="majorHAnsi"/>
          <w:sz w:val="20"/>
          <w:szCs w:val="20"/>
          <w:lang w:val="es-ES_tradnl"/>
        </w:rPr>
        <w:t xml:space="preserve">de </w:t>
      </w:r>
      <w:r w:rsidR="008F0E46">
        <w:rPr>
          <w:rFonts w:asciiTheme="majorHAnsi" w:hAnsiTheme="majorHAnsi"/>
          <w:sz w:val="20"/>
          <w:szCs w:val="20"/>
          <w:lang w:val="es-ES_tradnl"/>
        </w:rPr>
        <w:t>toda la población penitenciaria</w:t>
      </w:r>
      <w:r w:rsidR="00A1295D">
        <w:rPr>
          <w:rFonts w:asciiTheme="majorHAnsi" w:hAnsiTheme="majorHAnsi"/>
          <w:sz w:val="20"/>
          <w:szCs w:val="20"/>
          <w:lang w:val="es-ES_tradnl"/>
        </w:rPr>
        <w:t>—</w:t>
      </w:r>
      <w:r w:rsidR="004B7176">
        <w:rPr>
          <w:rFonts w:asciiTheme="majorHAnsi" w:hAnsiTheme="majorHAnsi"/>
          <w:sz w:val="20"/>
          <w:szCs w:val="20"/>
          <w:lang w:val="es-ES_tradnl"/>
        </w:rPr>
        <w:t>que ascendía al menos a cientos de internos</w:t>
      </w:r>
      <w:r w:rsidR="00A1295D">
        <w:rPr>
          <w:rFonts w:asciiTheme="majorHAnsi" w:hAnsiTheme="majorHAnsi"/>
          <w:sz w:val="20"/>
          <w:szCs w:val="20"/>
          <w:lang w:val="es-ES_tradnl"/>
        </w:rPr>
        <w:t>—</w:t>
      </w:r>
      <w:r w:rsidR="004B7176">
        <w:rPr>
          <w:rFonts w:asciiTheme="majorHAnsi" w:hAnsiTheme="majorHAnsi"/>
          <w:sz w:val="20"/>
          <w:szCs w:val="20"/>
          <w:lang w:val="es-ES_tradnl"/>
        </w:rPr>
        <w:t xml:space="preserve">justamente hayan resultado fallecidos tres que lideraron la huelga, eran suficientes indicios que debieron ser tomados seriamente por las autoridades investigativas a fin de diseñar una línea de investigación al respecto, lo que, de la información disponible, no ocurrió. En ese sentido, tomando en cuenta la presunción en contra del Estado cuando se trata de personas bajo su custodia y del uso de la fuerza letal, la Comisión </w:t>
      </w:r>
      <w:r w:rsidRPr="00BF76BC">
        <w:rPr>
          <w:rFonts w:asciiTheme="majorHAnsi" w:hAnsiTheme="majorHAnsi"/>
          <w:sz w:val="20"/>
          <w:szCs w:val="20"/>
          <w:lang w:val="es-ES_tradnl"/>
        </w:rPr>
        <w:t xml:space="preserve">considera que la falta de esclarecimiento al respecto constituye </w:t>
      </w:r>
      <w:r w:rsidR="004B7176">
        <w:rPr>
          <w:rFonts w:asciiTheme="majorHAnsi" w:hAnsiTheme="majorHAnsi"/>
          <w:sz w:val="20"/>
          <w:szCs w:val="20"/>
          <w:lang w:val="es-ES_tradnl"/>
        </w:rPr>
        <w:t>un elemento adicional a tomar en cuenta en cuanto a la arbitrariedad de la actuación de los Guardias Nacionales</w:t>
      </w:r>
      <w:r w:rsidRPr="00BF76BC">
        <w:rPr>
          <w:rFonts w:asciiTheme="majorHAnsi" w:hAnsiTheme="majorHAnsi"/>
          <w:sz w:val="20"/>
          <w:szCs w:val="20"/>
          <w:lang w:val="es-ES_tradnl"/>
        </w:rPr>
        <w:t>.</w:t>
      </w:r>
    </w:p>
    <w:p w14:paraId="6E548C64" w14:textId="77777777" w:rsidR="00A1295D" w:rsidRDefault="00A1295D" w:rsidP="00A1295D">
      <w:pPr>
        <w:pStyle w:val="ListParagraph"/>
        <w:rPr>
          <w:rFonts w:asciiTheme="majorHAnsi" w:hAnsiTheme="majorHAnsi"/>
          <w:sz w:val="20"/>
          <w:szCs w:val="20"/>
          <w:lang w:val="es-US"/>
        </w:rPr>
      </w:pPr>
    </w:p>
    <w:p w14:paraId="1049B476" w14:textId="64A3788C" w:rsidR="00F50FFD" w:rsidRPr="00A1295D" w:rsidRDefault="000206A0" w:rsidP="00725FA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A1295D">
        <w:rPr>
          <w:rFonts w:asciiTheme="majorHAnsi" w:hAnsiTheme="majorHAnsi"/>
          <w:sz w:val="20"/>
          <w:szCs w:val="20"/>
          <w:lang w:val="es-US"/>
        </w:rPr>
        <w:t xml:space="preserve">En conclusión, la Comisión </w:t>
      </w:r>
      <w:r w:rsidRPr="00A1295D">
        <w:rPr>
          <w:rFonts w:asciiTheme="majorHAnsi" w:hAnsiTheme="majorHAnsi"/>
          <w:sz w:val="20"/>
          <w:szCs w:val="20"/>
          <w:lang w:val="es-ES_tradnl"/>
        </w:rPr>
        <w:t>observa</w:t>
      </w:r>
      <w:r w:rsidRPr="00A1295D">
        <w:rPr>
          <w:rFonts w:asciiTheme="majorHAnsi" w:hAnsiTheme="majorHAnsi"/>
          <w:sz w:val="20"/>
          <w:szCs w:val="20"/>
          <w:lang w:val="es-US"/>
        </w:rPr>
        <w:t xml:space="preserve"> que</w:t>
      </w:r>
      <w:r w:rsidR="00A1295D" w:rsidRPr="00A1295D">
        <w:rPr>
          <w:rFonts w:asciiTheme="majorHAnsi" w:hAnsiTheme="majorHAnsi"/>
          <w:sz w:val="20"/>
          <w:szCs w:val="20"/>
          <w:lang w:val="es-US"/>
        </w:rPr>
        <w:t xml:space="preserve"> </w:t>
      </w:r>
      <w:r w:rsidRPr="00A1295D">
        <w:rPr>
          <w:rFonts w:asciiTheme="majorHAnsi" w:hAnsiTheme="majorHAnsi"/>
          <w:sz w:val="20"/>
          <w:szCs w:val="20"/>
          <w:lang w:val="es-US"/>
        </w:rPr>
        <w:t xml:space="preserve">el Estado no ha brindado una explicación definitiva sobre </w:t>
      </w:r>
      <w:r w:rsidR="008F3C99" w:rsidRPr="00A1295D">
        <w:rPr>
          <w:rFonts w:asciiTheme="majorHAnsi" w:hAnsiTheme="majorHAnsi"/>
          <w:sz w:val="20"/>
          <w:szCs w:val="20"/>
          <w:lang w:val="es-US"/>
        </w:rPr>
        <w:t>las muertes y lesiones ocurridas bajo su custodia, de manera que pudiera desvirtuar la presunción de responsabilidad internacional. Además, existen múltiples indicios que, tomados en su conjunto y ante la falta de un esclarecimiento adecuado de los hechos, permite concluir que el uso de la fuerza fue ilegítimo, innecesario y desproporcionado.</w:t>
      </w:r>
      <w:r w:rsidR="00A1295D" w:rsidRPr="00A1295D">
        <w:rPr>
          <w:rFonts w:asciiTheme="majorHAnsi" w:hAnsiTheme="majorHAnsi"/>
          <w:sz w:val="20"/>
          <w:szCs w:val="20"/>
          <w:lang w:val="es-US"/>
        </w:rPr>
        <w:t xml:space="preserve"> </w:t>
      </w:r>
      <w:r w:rsidR="004A6D0C" w:rsidRPr="00A1295D">
        <w:rPr>
          <w:rFonts w:asciiTheme="majorHAnsi" w:hAnsiTheme="majorHAnsi"/>
          <w:sz w:val="20"/>
          <w:szCs w:val="20"/>
          <w:lang w:val="es-CL"/>
        </w:rPr>
        <w:t>En consecuencia, la</w:t>
      </w:r>
      <w:r w:rsidRPr="00A1295D">
        <w:rPr>
          <w:rFonts w:asciiTheme="majorHAnsi" w:hAnsiTheme="majorHAnsi"/>
          <w:sz w:val="20"/>
          <w:szCs w:val="20"/>
          <w:lang w:val="es-CL"/>
        </w:rPr>
        <w:t xml:space="preserve"> Comisión concluye que el Estado venezolano es responsable por la violación de los derechos a la vida y a la integridad personal establecidos en los artículos 4</w:t>
      </w:r>
      <w:r w:rsidR="004A6D0C" w:rsidRPr="00A1295D">
        <w:rPr>
          <w:rFonts w:asciiTheme="majorHAnsi" w:hAnsiTheme="majorHAnsi"/>
          <w:sz w:val="20"/>
          <w:szCs w:val="20"/>
          <w:lang w:val="es-CL"/>
        </w:rPr>
        <w:t>.1,</w:t>
      </w:r>
      <w:r w:rsidRPr="00A1295D">
        <w:rPr>
          <w:rFonts w:asciiTheme="majorHAnsi" w:hAnsiTheme="majorHAnsi"/>
          <w:sz w:val="20"/>
          <w:szCs w:val="20"/>
          <w:lang w:val="es-CL"/>
        </w:rPr>
        <w:t xml:space="preserve"> 5</w:t>
      </w:r>
      <w:r w:rsidR="004A6D0C" w:rsidRPr="00A1295D">
        <w:rPr>
          <w:rFonts w:asciiTheme="majorHAnsi" w:hAnsiTheme="majorHAnsi"/>
          <w:sz w:val="20"/>
          <w:szCs w:val="20"/>
          <w:lang w:val="es-CL"/>
        </w:rPr>
        <w:t>.1 y 5.2</w:t>
      </w:r>
      <w:r w:rsidRPr="00A1295D">
        <w:rPr>
          <w:rFonts w:asciiTheme="majorHAnsi" w:hAnsiTheme="majorHAnsi"/>
          <w:sz w:val="20"/>
          <w:szCs w:val="20"/>
          <w:lang w:val="es-CL"/>
        </w:rPr>
        <w:t xml:space="preserve"> de la Convención Americana, en relación con las obligaciones establecidas en los artículos 1.1 y 2 </w:t>
      </w:r>
      <w:r w:rsidRPr="00A1295D">
        <w:rPr>
          <w:rFonts w:asciiTheme="majorHAnsi" w:hAnsiTheme="majorHAnsi"/>
          <w:sz w:val="20"/>
          <w:szCs w:val="20"/>
          <w:lang w:val="es-CL"/>
        </w:rPr>
        <w:lastRenderedPageBreak/>
        <w:t xml:space="preserve">del mismo instrumento, en perjuicio de </w:t>
      </w:r>
      <w:r w:rsidR="00A1295D" w:rsidRPr="00A1295D">
        <w:rPr>
          <w:rFonts w:asciiTheme="majorHAnsi" w:hAnsiTheme="majorHAnsi"/>
          <w:sz w:val="20"/>
          <w:szCs w:val="20"/>
          <w:lang w:val="es-CL"/>
        </w:rPr>
        <w:t xml:space="preserve">Orlando Edgardo Olivares Muñoz, Joel Rinaldi Reyes Nava, Orangel José Figueroa, Héctor Javier Muñoz Valerio, Pedro Ramón López Chaurán, José Gregorio Bolívar Corro, Richard Alexis Núñez Palma, Ramón Zambrano, Jovanny Palomo, Carlos Durán, Richard Vallez, Carlos Alberto Torres, Galindo Urrieta, Edwin David Díaz, Luis Filgueira, Oswal Sotillo, Rafael Vera Himi, Miguel Marcano, Marcos Pacheco, Alcides Rafael Alcaza Barreto, Jesús Manuel Amaiz Borrome, Rafael Villa Hermosa, Efraín Cordero, Carlos Alberto Martínez, Pedro de Jesús Montes Aguanes, Santa Jesús Gil Osuna, Omar Armando Vásquez, Getulio Piña Laya, Evelio Eugenio Martínez, Enrique José González, Javier Omar Lara, José Efraín Rosales Navas, Levis Simoza y Marco Antonio Ruíz Sucre. </w:t>
      </w:r>
    </w:p>
    <w:p w14:paraId="67D27DDD" w14:textId="77777777" w:rsidR="00A1295D" w:rsidRDefault="00A1295D" w:rsidP="00725F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color w:val="000000"/>
          <w:sz w:val="20"/>
          <w:szCs w:val="20"/>
          <w:u w:color="000000"/>
          <w:lang w:val="es-CL" w:eastAsia="es-ES"/>
        </w:rPr>
      </w:pPr>
    </w:p>
    <w:p w14:paraId="4B2FCDEE" w14:textId="35336C0A" w:rsidR="00B80C6A" w:rsidRPr="00725FAD" w:rsidRDefault="0094652F" w:rsidP="00B70FC5">
      <w:pPr>
        <w:pStyle w:val="Heading2"/>
      </w:pPr>
      <w:bookmarkStart w:id="26" w:name="_Toc527708424"/>
      <w:r>
        <w:t>Derechos a las garantías judiciales</w:t>
      </w:r>
      <w:r w:rsidR="00B80C6A" w:rsidRPr="00725FAD">
        <w:rPr>
          <w:rStyle w:val="FootnoteReference"/>
          <w:b w:val="0"/>
          <w:color w:val="auto"/>
          <w:lang w:val="es-ES"/>
        </w:rPr>
        <w:footnoteReference w:id="137"/>
      </w:r>
      <w:r w:rsidR="00B80C6A" w:rsidRPr="00725FAD">
        <w:t xml:space="preserve"> </w:t>
      </w:r>
      <w:r>
        <w:t>y a la protección judicial</w:t>
      </w:r>
      <w:r w:rsidR="00B80C6A" w:rsidRPr="00725FAD">
        <w:rPr>
          <w:rStyle w:val="FootnoteReference"/>
          <w:b w:val="0"/>
          <w:color w:val="auto"/>
          <w:lang w:val="es-ES"/>
        </w:rPr>
        <w:footnoteReference w:id="138"/>
      </w:r>
      <w:r w:rsidR="00B80C6A" w:rsidRPr="00725FAD">
        <w:t xml:space="preserve"> </w:t>
      </w:r>
      <w:r>
        <w:t>en relación con el artículo 1.1 de la Convención Americana</w:t>
      </w:r>
      <w:bookmarkEnd w:id="26"/>
    </w:p>
    <w:p w14:paraId="6C742FEA" w14:textId="77777777" w:rsidR="00BD175F" w:rsidRDefault="00BD175F" w:rsidP="00BD175F">
      <w:pPr>
        <w:jc w:val="both"/>
        <w:rPr>
          <w:b/>
          <w:color w:val="FF0000"/>
          <w:sz w:val="20"/>
          <w:szCs w:val="20"/>
          <w:lang w:val="es-ES"/>
        </w:rPr>
      </w:pPr>
    </w:p>
    <w:p w14:paraId="6AE6FD7F" w14:textId="77777777" w:rsidR="00BD175F" w:rsidRPr="008B1EC3" w:rsidRDefault="00BD175F" w:rsidP="00B70FC5">
      <w:pPr>
        <w:pStyle w:val="Heading3"/>
        <w:numPr>
          <w:ilvl w:val="0"/>
          <w:numId w:val="81"/>
        </w:numPr>
        <w:ind w:left="1440" w:hanging="810"/>
      </w:pPr>
      <w:bookmarkStart w:id="27" w:name="_Toc527708425"/>
      <w:r w:rsidRPr="008B1EC3">
        <w:t>Estándares de debida diligencia</w:t>
      </w:r>
      <w:r>
        <w:t>, oficiosidad y plazo razonable</w:t>
      </w:r>
      <w:bookmarkEnd w:id="27"/>
    </w:p>
    <w:p w14:paraId="3879B8D2" w14:textId="77777777" w:rsidR="008B5CA9" w:rsidRDefault="008B5CA9" w:rsidP="008B5CA9">
      <w:pPr>
        <w:jc w:val="both"/>
        <w:rPr>
          <w:b/>
          <w:color w:val="FF0000"/>
          <w:sz w:val="20"/>
          <w:szCs w:val="20"/>
          <w:lang w:val="es-ES"/>
        </w:rPr>
      </w:pPr>
    </w:p>
    <w:p w14:paraId="3F8A0D48" w14:textId="77777777" w:rsidR="00BD175F" w:rsidRPr="008B1EC3" w:rsidRDefault="00BD175F"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mbria" w:hAnsiTheme="majorHAnsi" w:cs="Cambria"/>
          <w:b/>
          <w:color w:val="000000"/>
          <w:sz w:val="20"/>
          <w:szCs w:val="20"/>
          <w:u w:color="000000"/>
          <w:lang w:val="es-MX" w:eastAsia="es-ES"/>
        </w:rPr>
      </w:pPr>
      <w:r w:rsidRPr="008B1EC3">
        <w:rPr>
          <w:rFonts w:asciiTheme="majorHAnsi" w:eastAsia="Cambria" w:hAnsiTheme="majorHAnsi" w:cs="Cambria"/>
          <w:color w:val="000000"/>
          <w:sz w:val="20"/>
          <w:szCs w:val="20"/>
          <w:u w:color="000000"/>
          <w:lang w:val="es-MX" w:eastAsia="es-ES"/>
        </w:rPr>
        <w:t>La Corte Interamericana ha establecido que “en virtud de la protección otorgada por los artículos 8 y 25 de la Convención, los Estados están obligados a suministrar recursos judiciales efectivos a las víctimas de violaciones de los derechos humanos, que deben ser sustanciados de conformidad con las reglas del debido proceso legal”</w:t>
      </w:r>
      <w:r w:rsidRPr="008B1EC3">
        <w:rPr>
          <w:rFonts w:asciiTheme="majorHAnsi" w:eastAsia="Cambria" w:hAnsiTheme="majorHAnsi" w:cs="Cambria"/>
          <w:color w:val="000000"/>
          <w:sz w:val="20"/>
          <w:szCs w:val="20"/>
          <w:u w:color="000000"/>
          <w:vertAlign w:val="superscript"/>
          <w:lang w:eastAsia="es-ES"/>
        </w:rPr>
        <w:footnoteReference w:id="139"/>
      </w:r>
      <w:r w:rsidRPr="008B1EC3">
        <w:rPr>
          <w:rFonts w:asciiTheme="majorHAnsi" w:eastAsia="Cambria" w:hAnsiTheme="majorHAnsi" w:cs="Cambria"/>
          <w:color w:val="000000"/>
          <w:sz w:val="20"/>
          <w:szCs w:val="20"/>
          <w:u w:color="000000"/>
          <w:lang w:val="es-MX" w:eastAsia="es-ES"/>
        </w:rPr>
        <w:t xml:space="preserve">. </w:t>
      </w:r>
    </w:p>
    <w:p w14:paraId="2E2C65C3" w14:textId="77777777" w:rsidR="00BD175F" w:rsidRPr="008B1EC3" w:rsidRDefault="00BD175F" w:rsidP="00BD175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mbria" w:hAnsiTheme="majorHAnsi" w:cs="Cambria"/>
          <w:b/>
          <w:color w:val="000000"/>
          <w:sz w:val="20"/>
          <w:szCs w:val="20"/>
          <w:u w:color="000000"/>
          <w:lang w:val="es-MX" w:eastAsia="es-ES"/>
        </w:rPr>
      </w:pPr>
      <w:r w:rsidRPr="008B1EC3">
        <w:rPr>
          <w:rFonts w:asciiTheme="majorHAnsi" w:eastAsia="Cambria" w:hAnsiTheme="majorHAnsi" w:cs="Cambria"/>
          <w:b/>
          <w:color w:val="000000"/>
          <w:sz w:val="20"/>
          <w:szCs w:val="20"/>
          <w:u w:color="000000"/>
          <w:lang w:val="es-MX" w:eastAsia="es-ES"/>
        </w:rPr>
        <w:t xml:space="preserve"> </w:t>
      </w:r>
    </w:p>
    <w:p w14:paraId="04E27890" w14:textId="59353918" w:rsidR="0044273D" w:rsidRPr="00304A40" w:rsidRDefault="00BD175F"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44273D">
        <w:rPr>
          <w:rFonts w:asciiTheme="majorHAnsi" w:eastAsia="Cambria" w:hAnsiTheme="majorHAnsi" w:cs="Cambria"/>
          <w:color w:val="000000"/>
          <w:sz w:val="20"/>
          <w:szCs w:val="20"/>
          <w:u w:color="000000"/>
          <w:lang w:val="es-MX" w:eastAsia="es-ES"/>
        </w:rPr>
        <w:t>La jurisprudencia del sistema interamericano contempla que el Estado está obligado, una vez tenga conocimiento de una violación de derechos humanos, en particular de los derechos a la vida, integridad personal y libertad personal</w:t>
      </w:r>
      <w:r w:rsidRPr="008B1EC3">
        <w:rPr>
          <w:rFonts w:asciiTheme="majorHAnsi" w:eastAsia="Cambria" w:hAnsiTheme="majorHAnsi" w:cs="Cambria"/>
          <w:color w:val="000000"/>
          <w:sz w:val="20"/>
          <w:szCs w:val="20"/>
          <w:u w:color="000000"/>
          <w:vertAlign w:val="superscript"/>
          <w:lang w:eastAsia="es-ES"/>
        </w:rPr>
        <w:footnoteReference w:id="140"/>
      </w:r>
      <w:r w:rsidRPr="0044273D">
        <w:rPr>
          <w:rFonts w:asciiTheme="majorHAnsi" w:eastAsia="Cambria" w:hAnsiTheme="majorHAnsi" w:cs="Cambria"/>
          <w:color w:val="000000"/>
          <w:sz w:val="20"/>
          <w:szCs w:val="20"/>
          <w:u w:color="000000"/>
          <w:lang w:val="es-MX" w:eastAsia="es-ES"/>
        </w:rPr>
        <w:t xml:space="preserve">, a iniciar </w:t>
      </w:r>
      <w:r w:rsidRPr="0044273D">
        <w:rPr>
          <w:rFonts w:asciiTheme="majorHAnsi" w:eastAsia="Cambria" w:hAnsiTheme="majorHAnsi" w:cs="Cambria"/>
          <w:i/>
          <w:color w:val="000000"/>
          <w:sz w:val="20"/>
          <w:szCs w:val="20"/>
          <w:u w:color="000000"/>
          <w:lang w:val="es-MX" w:eastAsia="es-ES"/>
        </w:rPr>
        <w:t>ex officio</w:t>
      </w:r>
      <w:r w:rsidRPr="0044273D">
        <w:rPr>
          <w:rFonts w:asciiTheme="majorHAnsi" w:eastAsia="Cambria" w:hAnsiTheme="majorHAnsi" w:cs="Cambria"/>
          <w:color w:val="000000"/>
          <w:sz w:val="20"/>
          <w:szCs w:val="20"/>
          <w:u w:color="000000"/>
          <w:lang w:val="es-MX" w:eastAsia="es-ES"/>
        </w:rPr>
        <w:t xml:space="preserve"> y sin dilación, una investigación seria, imparcial y efectiva</w:t>
      </w:r>
      <w:r w:rsidRPr="008B1EC3">
        <w:rPr>
          <w:rFonts w:asciiTheme="majorHAnsi" w:eastAsia="Cambria" w:hAnsiTheme="majorHAnsi" w:cs="Cambria"/>
          <w:color w:val="000000"/>
          <w:sz w:val="20"/>
          <w:szCs w:val="20"/>
          <w:u w:color="000000"/>
          <w:vertAlign w:val="superscript"/>
          <w:lang w:eastAsia="es-ES"/>
        </w:rPr>
        <w:footnoteReference w:id="141"/>
      </w:r>
      <w:r w:rsidRPr="0044273D">
        <w:rPr>
          <w:rFonts w:asciiTheme="majorHAnsi" w:eastAsia="Cambria" w:hAnsiTheme="majorHAnsi" w:cs="Cambria"/>
          <w:color w:val="000000"/>
          <w:sz w:val="20"/>
          <w:szCs w:val="20"/>
          <w:u w:color="000000"/>
          <w:lang w:val="es-MX" w:eastAsia="es-ES"/>
        </w:rPr>
        <w:t>, la cual debe llevarse a cabo en un plazo razonable</w:t>
      </w:r>
      <w:r w:rsidRPr="008B1EC3">
        <w:rPr>
          <w:rFonts w:asciiTheme="majorHAnsi" w:eastAsia="Cambria" w:hAnsiTheme="majorHAnsi" w:cs="Cambria"/>
          <w:color w:val="000000"/>
          <w:sz w:val="20"/>
          <w:szCs w:val="20"/>
          <w:u w:color="000000"/>
          <w:vertAlign w:val="superscript"/>
          <w:lang w:eastAsia="es-ES"/>
        </w:rPr>
        <w:footnoteReference w:id="142"/>
      </w:r>
      <w:r w:rsidRPr="0044273D">
        <w:rPr>
          <w:rFonts w:asciiTheme="majorHAnsi" w:eastAsia="Cambria" w:hAnsiTheme="majorHAnsi" w:cs="Cambria"/>
          <w:color w:val="000000"/>
          <w:sz w:val="20"/>
          <w:szCs w:val="20"/>
          <w:u w:color="000000"/>
          <w:vertAlign w:val="superscript"/>
          <w:lang w:val="es-MX" w:eastAsia="es-ES"/>
        </w:rPr>
        <w:t>.</w:t>
      </w:r>
      <w:r w:rsidRPr="0044273D">
        <w:rPr>
          <w:rFonts w:asciiTheme="majorHAnsi" w:eastAsia="Cambria" w:hAnsiTheme="majorHAnsi" w:cs="Cambria"/>
          <w:color w:val="000000"/>
          <w:sz w:val="20"/>
          <w:szCs w:val="20"/>
          <w:u w:color="000000"/>
          <w:lang w:val="es-MX" w:eastAsia="es-ES"/>
        </w:rPr>
        <w:t xml:space="preserve"> </w:t>
      </w:r>
      <w:r w:rsidRPr="0044273D">
        <w:rPr>
          <w:rFonts w:asciiTheme="majorHAnsi" w:eastAsia="Cambria" w:hAnsiTheme="majorHAnsi" w:cs="Cambria"/>
          <w:sz w:val="20"/>
          <w:szCs w:val="20"/>
          <w:u w:color="000000"/>
          <w:lang w:val="es-MX" w:eastAsia="es-ES"/>
        </w:rPr>
        <w:t>Esto implica el derecho de las víctimas y sus familiares a que las autoridades estatales inicien un proceso contra los presuntos responsables; en su caso, se les impongan las sanciones pertinentes, y se reparen los daños y perjuicios que se hayan sufrido</w:t>
      </w:r>
      <w:r w:rsidRPr="008B1EC3">
        <w:rPr>
          <w:rFonts w:asciiTheme="majorHAnsi" w:eastAsia="Cambria" w:hAnsiTheme="majorHAnsi" w:cs="Cambria"/>
          <w:sz w:val="20"/>
          <w:szCs w:val="20"/>
          <w:u w:color="000000"/>
          <w:vertAlign w:val="superscript"/>
          <w:lang w:eastAsia="es-ES"/>
        </w:rPr>
        <w:footnoteReference w:id="143"/>
      </w:r>
      <w:r w:rsidR="0044273D" w:rsidRPr="0044273D">
        <w:rPr>
          <w:rFonts w:asciiTheme="majorHAnsi" w:eastAsia="Cambria" w:hAnsiTheme="majorHAnsi" w:cs="Cambria"/>
          <w:sz w:val="20"/>
          <w:szCs w:val="20"/>
          <w:u w:color="000000"/>
          <w:lang w:val="es-MX" w:eastAsia="es-ES"/>
        </w:rPr>
        <w:t>.</w:t>
      </w:r>
    </w:p>
    <w:p w14:paraId="05EA0D01" w14:textId="77777777" w:rsidR="00304A40" w:rsidRDefault="00304A40" w:rsidP="00304A40">
      <w:pPr>
        <w:pStyle w:val="ListParagraph"/>
        <w:rPr>
          <w:rFonts w:asciiTheme="majorHAnsi" w:hAnsiTheme="majorHAnsi"/>
          <w:sz w:val="20"/>
          <w:szCs w:val="20"/>
          <w:lang w:val="es-ES_tradnl"/>
        </w:rPr>
      </w:pPr>
    </w:p>
    <w:p w14:paraId="14D9E31A" w14:textId="53149F6F" w:rsidR="00304A40" w:rsidRDefault="00304A40"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8B1EC3">
        <w:rPr>
          <w:rFonts w:asciiTheme="majorHAnsi" w:eastAsia="Cambria" w:hAnsiTheme="majorHAnsi" w:cs="Cambria"/>
          <w:sz w:val="20"/>
          <w:szCs w:val="20"/>
          <w:u w:color="000000"/>
          <w:lang w:val="es-MX" w:eastAsia="es-ES"/>
        </w:rPr>
        <w:t>La Corte ha indicado que el</w:t>
      </w:r>
      <w:r w:rsidRPr="008500D5">
        <w:rPr>
          <w:rFonts w:asciiTheme="majorHAnsi" w:eastAsia="Cambria" w:hAnsiTheme="majorHAnsi" w:cs="Cambria"/>
          <w:sz w:val="20"/>
          <w:szCs w:val="20"/>
          <w:u w:color="000000"/>
          <w:lang w:val="es-MX" w:eastAsia="es-ES"/>
        </w:rPr>
        <w:t xml:space="preserve"> </w:t>
      </w:r>
      <w:r w:rsidRPr="008B1EC3">
        <w:rPr>
          <w:rFonts w:asciiTheme="majorHAnsi" w:eastAsia="Cambria" w:hAnsiTheme="majorHAnsi" w:cs="Cambria"/>
          <w:sz w:val="20"/>
          <w:szCs w:val="20"/>
          <w:u w:color="000000"/>
          <w:lang w:val="es-MX" w:eastAsia="es-ES"/>
        </w:rPr>
        <w:t xml:space="preserve">deber de investigar con la debida diligencia implica que las averiguaciones deben ser realizadas por todos los medios legales disponibles </w:t>
      </w:r>
      <w:r w:rsidRPr="008B1EC3">
        <w:rPr>
          <w:rFonts w:asciiTheme="majorHAnsi" w:eastAsia="Cambria" w:hAnsiTheme="majorHAnsi" w:cs="Cambria"/>
          <w:color w:val="000000"/>
          <w:sz w:val="20"/>
          <w:szCs w:val="20"/>
          <w:u w:color="000000"/>
          <w:lang w:val="es-MX" w:eastAsia="es-ES"/>
        </w:rPr>
        <w:t>y deben estar orientadas a la determinación de la verdad</w:t>
      </w:r>
      <w:r w:rsidRPr="008B1EC3">
        <w:rPr>
          <w:rFonts w:asciiTheme="majorHAnsi" w:eastAsia="Cambria" w:hAnsiTheme="majorHAnsi" w:cs="Cambria"/>
          <w:color w:val="000000"/>
          <w:sz w:val="20"/>
          <w:szCs w:val="20"/>
          <w:u w:color="000000"/>
          <w:vertAlign w:val="superscript"/>
          <w:lang w:eastAsia="es-ES"/>
        </w:rPr>
        <w:footnoteReference w:id="144"/>
      </w:r>
      <w:r w:rsidRPr="008B1EC3">
        <w:rPr>
          <w:rFonts w:asciiTheme="majorHAnsi" w:eastAsia="Cambria" w:hAnsiTheme="majorHAnsi" w:cs="Cambria"/>
          <w:color w:val="000000"/>
          <w:sz w:val="20"/>
          <w:szCs w:val="20"/>
          <w:u w:color="000000"/>
          <w:lang w:val="es-MX" w:eastAsia="es-ES"/>
        </w:rPr>
        <w:t xml:space="preserve">.  Asimismo, la Comisión y la Corte han especificado que en casos de violaciones de derechos humanos, el Estado puede ser hallado responsable en caso de no ordenar y practicar pruebas pertinentes conforme al deber de debida diligencia y que la investigación debe estar orientada a explorar todas las </w:t>
      </w:r>
      <w:r w:rsidRPr="008B1EC3">
        <w:rPr>
          <w:rFonts w:asciiTheme="majorHAnsi" w:hAnsiTheme="majorHAnsi"/>
          <w:sz w:val="20"/>
          <w:szCs w:val="20"/>
          <w:lang w:val="es-US"/>
        </w:rPr>
        <w:t>las líneas investigativas posibles, que permitan la identificación de los autores de dicha violación</w:t>
      </w:r>
      <w:r w:rsidRPr="008B1EC3">
        <w:rPr>
          <w:rFonts w:asciiTheme="majorHAnsi" w:hAnsiTheme="majorHAnsi"/>
          <w:sz w:val="20"/>
          <w:szCs w:val="20"/>
          <w:vertAlign w:val="superscript"/>
        </w:rPr>
        <w:footnoteReference w:id="145"/>
      </w:r>
      <w:r w:rsidRPr="008B1EC3">
        <w:rPr>
          <w:rFonts w:asciiTheme="majorHAnsi" w:hAnsiTheme="majorHAnsi"/>
          <w:sz w:val="20"/>
          <w:szCs w:val="20"/>
          <w:lang w:val="es-US"/>
        </w:rPr>
        <w:t xml:space="preserve">. </w:t>
      </w:r>
    </w:p>
    <w:p w14:paraId="1AA5BBAF" w14:textId="77777777" w:rsidR="0044273D" w:rsidRDefault="0044273D" w:rsidP="0044273D">
      <w:pPr>
        <w:pStyle w:val="ListParagraph"/>
        <w:rPr>
          <w:rFonts w:asciiTheme="majorHAnsi" w:hAnsiTheme="majorHAnsi" w:cs="Verdana"/>
          <w:sz w:val="20"/>
          <w:szCs w:val="20"/>
          <w:lang w:val="es-ES"/>
        </w:rPr>
      </w:pPr>
    </w:p>
    <w:p w14:paraId="2100AE6E" w14:textId="4101B4CF" w:rsidR="0044273D" w:rsidRDefault="0044273D"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44273D">
        <w:rPr>
          <w:rFonts w:asciiTheme="majorHAnsi" w:hAnsiTheme="majorHAnsi" w:cs="Verdana"/>
          <w:sz w:val="20"/>
          <w:szCs w:val="20"/>
          <w:lang w:val="es-ES"/>
        </w:rPr>
        <w:t xml:space="preserve">Con la finalidad de garantizar la debida diligencia en la investigación exhaustiva e imparcial de una muerte en circunstancias sospechosas que involucra a agentes estatales, la Comisión ha destacado la relevancia de los estándares contenidos en el Protocolo de Minnesota, </w:t>
      </w:r>
      <w:r w:rsidRPr="0044273D">
        <w:rPr>
          <w:rFonts w:asciiTheme="majorHAnsi" w:hAnsiTheme="majorHAnsi" w:cs="Tahoma"/>
          <w:sz w:val="20"/>
          <w:szCs w:val="20"/>
          <w:lang w:val="es-MX"/>
        </w:rPr>
        <w:t>que incluyen</w:t>
      </w:r>
      <w:r w:rsidRPr="0044273D">
        <w:rPr>
          <w:rFonts w:asciiTheme="majorHAnsi" w:hAnsiTheme="majorHAnsi" w:cs="Tahoma"/>
          <w:color w:val="000000"/>
          <w:sz w:val="20"/>
          <w:szCs w:val="20"/>
          <w:lang w:val="es-MX"/>
        </w:rPr>
        <w:t xml:space="preserve">: la identificación de la </w:t>
      </w:r>
      <w:r w:rsidRPr="0044273D">
        <w:rPr>
          <w:rFonts w:asciiTheme="majorHAnsi" w:hAnsiTheme="majorHAnsi" w:cs="Tahoma"/>
          <w:color w:val="000000"/>
          <w:sz w:val="20"/>
          <w:szCs w:val="20"/>
          <w:lang w:val="es-MX"/>
        </w:rPr>
        <w:lastRenderedPageBreak/>
        <w:t>víctima</w:t>
      </w:r>
      <w:r w:rsidR="008E2EB8">
        <w:rPr>
          <w:rFonts w:asciiTheme="majorHAnsi" w:hAnsiTheme="majorHAnsi" w:cs="Tahoma"/>
          <w:color w:val="000000"/>
          <w:sz w:val="20"/>
          <w:szCs w:val="20"/>
          <w:lang w:val="es-MX"/>
        </w:rPr>
        <w:t>;</w:t>
      </w:r>
      <w:r w:rsidRPr="0044273D">
        <w:rPr>
          <w:rFonts w:asciiTheme="majorHAnsi" w:hAnsiTheme="majorHAnsi" w:cs="Tahoma"/>
          <w:color w:val="000000"/>
          <w:sz w:val="20"/>
          <w:szCs w:val="20"/>
          <w:lang w:val="es-MX"/>
        </w:rPr>
        <w:t xml:space="preserve"> la recolección y preservación de pruebas relacionadas con la muerte</w:t>
      </w:r>
      <w:r w:rsidR="008E2EB8">
        <w:rPr>
          <w:rFonts w:asciiTheme="majorHAnsi" w:hAnsiTheme="majorHAnsi" w:cs="Tahoma"/>
          <w:color w:val="000000"/>
          <w:sz w:val="20"/>
          <w:szCs w:val="20"/>
          <w:lang w:val="es-MX"/>
        </w:rPr>
        <w:t>;</w:t>
      </w:r>
      <w:r w:rsidRPr="0044273D">
        <w:rPr>
          <w:rFonts w:asciiTheme="majorHAnsi" w:hAnsiTheme="majorHAnsi" w:cs="Tahoma"/>
          <w:color w:val="000000"/>
          <w:sz w:val="20"/>
          <w:szCs w:val="20"/>
          <w:lang w:val="es-MX"/>
        </w:rPr>
        <w:t xml:space="preserve"> la identificación de posibles testigos y la obtención de sus declaraciones</w:t>
      </w:r>
      <w:r w:rsidR="008E2EB8">
        <w:rPr>
          <w:rFonts w:asciiTheme="majorHAnsi" w:hAnsiTheme="majorHAnsi" w:cs="Tahoma"/>
          <w:color w:val="000000"/>
          <w:sz w:val="20"/>
          <w:szCs w:val="20"/>
          <w:lang w:val="es-MX"/>
        </w:rPr>
        <w:t>;</w:t>
      </w:r>
      <w:r w:rsidRPr="0044273D">
        <w:rPr>
          <w:rFonts w:asciiTheme="majorHAnsi" w:hAnsiTheme="majorHAnsi" w:cs="Tahoma"/>
          <w:color w:val="000000"/>
          <w:sz w:val="20"/>
          <w:szCs w:val="20"/>
          <w:lang w:val="es-MX"/>
        </w:rPr>
        <w:t xml:space="preserve"> la determinación de la causa, manera, lugar y tiempo de la muerte, así como cualquier patrón o práctica que pueda haber provocado la muerte</w:t>
      </w:r>
      <w:r w:rsidR="008E2EB8">
        <w:rPr>
          <w:rFonts w:asciiTheme="majorHAnsi" w:hAnsiTheme="majorHAnsi" w:cs="Tahoma"/>
          <w:color w:val="000000"/>
          <w:sz w:val="20"/>
          <w:szCs w:val="20"/>
          <w:lang w:val="es-MX"/>
        </w:rPr>
        <w:t>;</w:t>
      </w:r>
      <w:r w:rsidRPr="0044273D">
        <w:rPr>
          <w:rFonts w:asciiTheme="majorHAnsi" w:hAnsiTheme="majorHAnsi" w:cs="Tahoma"/>
          <w:color w:val="000000"/>
          <w:sz w:val="20"/>
          <w:szCs w:val="20"/>
          <w:lang w:val="es-MX"/>
        </w:rPr>
        <w:t xml:space="preserve"> la distinción entre muerte natural, suicidio y homicidio</w:t>
      </w:r>
      <w:r w:rsidR="008E2EB8">
        <w:rPr>
          <w:rFonts w:asciiTheme="majorHAnsi" w:hAnsiTheme="majorHAnsi" w:cs="Tahoma"/>
          <w:color w:val="000000"/>
          <w:sz w:val="20"/>
          <w:szCs w:val="20"/>
          <w:lang w:val="es-MX"/>
        </w:rPr>
        <w:t>;</w:t>
      </w:r>
      <w:r w:rsidRPr="0044273D">
        <w:rPr>
          <w:rFonts w:asciiTheme="majorHAnsi" w:hAnsiTheme="majorHAnsi" w:cs="Tahoma"/>
          <w:color w:val="000000"/>
          <w:sz w:val="20"/>
          <w:szCs w:val="20"/>
          <w:lang w:val="es-MX"/>
        </w:rPr>
        <w:t xml:space="preserve"> la identificación y aprehensión de la o las personas involucradas en la muerte y la presentación de los presuntos perpetradores ante un tribunal competente establecido por ley</w:t>
      </w:r>
      <w:r w:rsidRPr="00361C78">
        <w:rPr>
          <w:rStyle w:val="FootnoteReference"/>
          <w:rFonts w:asciiTheme="majorHAnsi" w:hAnsiTheme="majorHAnsi"/>
          <w:sz w:val="20"/>
          <w:szCs w:val="20"/>
        </w:rPr>
        <w:footnoteReference w:id="146"/>
      </w:r>
      <w:r w:rsidRPr="0044273D">
        <w:rPr>
          <w:rFonts w:asciiTheme="majorHAnsi" w:hAnsiTheme="majorHAnsi"/>
          <w:sz w:val="20"/>
          <w:szCs w:val="20"/>
          <w:lang w:val="es-ES"/>
        </w:rPr>
        <w:t>. De acuerdo con dichos estándares</w:t>
      </w:r>
      <w:r w:rsidR="008E2EB8">
        <w:rPr>
          <w:rFonts w:asciiTheme="majorHAnsi" w:hAnsiTheme="majorHAnsi"/>
          <w:sz w:val="20"/>
          <w:szCs w:val="20"/>
          <w:lang w:val="es-ES"/>
        </w:rPr>
        <w:t>,</w:t>
      </w:r>
      <w:r w:rsidRPr="0044273D">
        <w:rPr>
          <w:rFonts w:asciiTheme="majorHAnsi" w:hAnsiTheme="majorHAnsi"/>
          <w:sz w:val="20"/>
          <w:szCs w:val="20"/>
          <w:lang w:val="es-ES"/>
        </w:rPr>
        <w:t xml:space="preserve"> </w:t>
      </w:r>
      <w:r w:rsidRPr="0044273D">
        <w:rPr>
          <w:rFonts w:asciiTheme="majorHAnsi" w:hAnsiTheme="majorHAnsi" w:cs="Verdana"/>
          <w:sz w:val="20"/>
          <w:szCs w:val="20"/>
          <w:lang w:val="es-ES"/>
        </w:rPr>
        <w:t>“</w:t>
      </w:r>
      <w:r w:rsidR="008E2EB8" w:rsidRPr="008E2EB8">
        <w:rPr>
          <w:rFonts w:asciiTheme="majorHAnsi" w:hAnsiTheme="majorHAnsi" w:cs="Verdana"/>
          <w:sz w:val="20"/>
          <w:szCs w:val="20"/>
          <w:lang w:val="es-US"/>
        </w:rPr>
        <w:t>Cuando sea necesario, y siempre que se cuente con el consentimiento de la persona o personas interesadas, los investigadores deben adoptar medidas para proteger a la persona entrevistada y a otras contra malos tratos o intimidación como consecuencia de haber aportado información</w:t>
      </w:r>
      <w:r w:rsidRPr="0044273D">
        <w:rPr>
          <w:rFonts w:asciiTheme="majorHAnsi" w:hAnsiTheme="majorHAnsi" w:cs="Verdana"/>
          <w:sz w:val="20"/>
          <w:szCs w:val="20"/>
          <w:lang w:val="es-ES"/>
        </w:rPr>
        <w:t>”</w:t>
      </w:r>
      <w:r w:rsidRPr="00361C78">
        <w:rPr>
          <w:rStyle w:val="FootnoteReference"/>
          <w:rFonts w:asciiTheme="majorHAnsi" w:hAnsiTheme="majorHAnsi" w:cs="Verdana"/>
          <w:sz w:val="20"/>
          <w:szCs w:val="20"/>
          <w:lang w:val="es-ES"/>
        </w:rPr>
        <w:footnoteReference w:id="147"/>
      </w:r>
      <w:r w:rsidRPr="0044273D">
        <w:rPr>
          <w:rFonts w:asciiTheme="majorHAnsi" w:hAnsiTheme="majorHAnsi" w:cs="Verdana"/>
          <w:sz w:val="20"/>
          <w:szCs w:val="20"/>
          <w:lang w:val="es-ES"/>
        </w:rPr>
        <w:t xml:space="preserve">. </w:t>
      </w:r>
    </w:p>
    <w:p w14:paraId="05CA2A33" w14:textId="77777777" w:rsidR="0044273D" w:rsidRDefault="0044273D" w:rsidP="004427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1854B8EB" w14:textId="2032AC9C" w:rsidR="00BD175F" w:rsidRPr="00304A40" w:rsidRDefault="0044273D"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44273D">
        <w:rPr>
          <w:rFonts w:asciiTheme="majorHAnsi" w:hAnsiTheme="majorHAnsi" w:cs="Verdana"/>
          <w:sz w:val="20"/>
          <w:szCs w:val="20"/>
          <w:lang w:val="es-ES"/>
        </w:rPr>
        <w:t xml:space="preserve">Asimismo, </w:t>
      </w:r>
      <w:r w:rsidR="008E2EB8" w:rsidRPr="0044273D">
        <w:rPr>
          <w:rFonts w:asciiTheme="majorHAnsi" w:hAnsiTheme="majorHAnsi" w:cs="Verdana"/>
          <w:sz w:val="20"/>
          <w:szCs w:val="20"/>
          <w:lang w:val="es-ES"/>
        </w:rPr>
        <w:t>el Protocolo de Minnesota</w:t>
      </w:r>
      <w:r w:rsidRPr="0044273D">
        <w:rPr>
          <w:rFonts w:asciiTheme="majorHAnsi" w:hAnsiTheme="majorHAnsi" w:cs="Verdana"/>
          <w:sz w:val="20"/>
          <w:szCs w:val="20"/>
          <w:lang w:val="es-ES"/>
        </w:rPr>
        <w:t xml:space="preserve"> establece como prin</w:t>
      </w:r>
      <w:r w:rsidR="008E2EB8">
        <w:rPr>
          <w:rFonts w:asciiTheme="majorHAnsi" w:hAnsiTheme="majorHAnsi" w:cs="Verdana"/>
          <w:sz w:val="20"/>
          <w:szCs w:val="20"/>
          <w:lang w:val="es-ES"/>
        </w:rPr>
        <w:t xml:space="preserve">cipio general de las autopsias </w:t>
      </w:r>
      <w:r w:rsidRPr="0044273D">
        <w:rPr>
          <w:rFonts w:asciiTheme="majorHAnsi" w:hAnsiTheme="majorHAnsi" w:cs="Verdana"/>
          <w:sz w:val="20"/>
          <w:szCs w:val="20"/>
          <w:lang w:val="es-ES"/>
        </w:rPr>
        <w:t xml:space="preserve">que la labor del personal forense, entre otras, es ayudar a asegurar que las causas y circunstancias de la muerte sean reveladas de modo tal que se cumpla con presentar conclusiones sobre la causa de muerte y las circunstancias que contribuyeron a ella. En esta línea, el Protocolo reconoce que son pocos los casos la causa de la muerte puede ser determinada solamente a partir de la autopsia sin otra información adicional sobre la muerte, por lo que el reporte de autopsia, debe contener la lista de hallazgos de las lesiones y brindar una interpretación respecto de las mismas. </w:t>
      </w:r>
      <w:r w:rsidR="00965261">
        <w:rPr>
          <w:rFonts w:asciiTheme="majorHAnsi" w:hAnsiTheme="majorHAnsi" w:cs="Verdana"/>
          <w:sz w:val="20"/>
          <w:szCs w:val="20"/>
          <w:lang w:val="es-ES"/>
        </w:rPr>
        <w:t>E</w:t>
      </w:r>
      <w:r w:rsidRPr="0044273D">
        <w:rPr>
          <w:rFonts w:asciiTheme="majorHAnsi" w:hAnsiTheme="majorHAnsi" w:cs="Verdana"/>
          <w:sz w:val="20"/>
          <w:szCs w:val="20"/>
          <w:lang w:val="es-ES"/>
        </w:rPr>
        <w:t>l Protocolo establece la particular importancia en este tipo de autopsias de la conformación de un registro en imágenes de la misma, tanto mediante la toma de fotografías adecuadas para la documentación y revisión independiente, como la toma de rayos-x de todo el cuerpo</w:t>
      </w:r>
      <w:r w:rsidRPr="00361C78">
        <w:rPr>
          <w:rStyle w:val="FootnoteReference"/>
          <w:rFonts w:asciiTheme="majorHAnsi" w:hAnsiTheme="majorHAnsi" w:cs="Verdana"/>
          <w:sz w:val="20"/>
          <w:szCs w:val="20"/>
          <w:lang w:val="es-ES"/>
        </w:rPr>
        <w:footnoteReference w:id="148"/>
      </w:r>
      <w:r w:rsidRPr="0044273D">
        <w:rPr>
          <w:rFonts w:asciiTheme="majorHAnsi" w:hAnsiTheme="majorHAnsi" w:cs="Verdana"/>
          <w:sz w:val="20"/>
          <w:szCs w:val="20"/>
          <w:lang w:val="es-ES"/>
        </w:rPr>
        <w:t>.</w:t>
      </w:r>
    </w:p>
    <w:p w14:paraId="0546D6A2" w14:textId="77777777" w:rsidR="00BD175F" w:rsidRDefault="00BD175F" w:rsidP="00BD175F">
      <w:pPr>
        <w:pStyle w:val="ListParagraph"/>
        <w:rPr>
          <w:rFonts w:cs="Verdana"/>
          <w:sz w:val="20"/>
          <w:szCs w:val="20"/>
          <w:lang w:val="es-ES"/>
        </w:rPr>
      </w:pPr>
    </w:p>
    <w:p w14:paraId="693B77B1" w14:textId="09A4AE5E" w:rsidR="00BD175F" w:rsidRPr="00BD175F" w:rsidRDefault="00BD175F"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r w:rsidRPr="003735A5">
        <w:rPr>
          <w:rFonts w:cs="Verdana"/>
          <w:sz w:val="20"/>
          <w:szCs w:val="20"/>
          <w:lang w:val="es-ES"/>
        </w:rPr>
        <w:t>Finalmente, con respecto al principio de plazo razonable contemplado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8B1EC3">
        <w:rPr>
          <w:rFonts w:cs="Verdana"/>
          <w:sz w:val="20"/>
          <w:szCs w:val="20"/>
          <w:vertAlign w:val="superscript"/>
        </w:rPr>
        <w:footnoteReference w:id="149"/>
      </w:r>
      <w:r w:rsidRPr="003735A5">
        <w:rPr>
          <w:rFonts w:cs="Verdana"/>
          <w:sz w:val="20"/>
          <w:szCs w:val="20"/>
          <w:lang w:val="es-ES"/>
        </w:rPr>
        <w:t>. Asimismo, la Comisión y la Corte han considerado que también es necesario que se tome en consideración el interés afectado</w:t>
      </w:r>
      <w:r w:rsidRPr="008B1EC3">
        <w:rPr>
          <w:rFonts w:cs="Verdana"/>
          <w:sz w:val="20"/>
          <w:szCs w:val="20"/>
          <w:vertAlign w:val="superscript"/>
          <w:lang w:val="es-ES"/>
        </w:rPr>
        <w:footnoteReference w:id="150"/>
      </w:r>
      <w:r w:rsidRPr="003735A5">
        <w:rPr>
          <w:rFonts w:cs="Verdana"/>
          <w:sz w:val="20"/>
          <w:szCs w:val="20"/>
          <w:lang w:val="es-ES"/>
        </w:rPr>
        <w:t>.</w:t>
      </w:r>
    </w:p>
    <w:p w14:paraId="08ED5D2B" w14:textId="77777777" w:rsidR="008B5CA9" w:rsidRPr="0044273D" w:rsidRDefault="008B5CA9" w:rsidP="0044273D">
      <w:pPr>
        <w:rPr>
          <w:rFonts w:asciiTheme="majorHAnsi" w:hAnsiTheme="majorHAnsi"/>
          <w:sz w:val="20"/>
          <w:szCs w:val="20"/>
          <w:lang w:val="es-CL"/>
        </w:rPr>
      </w:pPr>
    </w:p>
    <w:p w14:paraId="3A97D04C" w14:textId="71732410" w:rsidR="00BD175F" w:rsidRPr="008B1EC3" w:rsidRDefault="00BD175F" w:rsidP="00B70FC5">
      <w:pPr>
        <w:pStyle w:val="Heading3"/>
      </w:pPr>
      <w:bookmarkStart w:id="28" w:name="_Toc527708426"/>
      <w:r>
        <w:t>Análisis del caso</w:t>
      </w:r>
      <w:bookmarkEnd w:id="28"/>
    </w:p>
    <w:p w14:paraId="65B5D0FA" w14:textId="77777777" w:rsidR="00BD175F" w:rsidRPr="00BD175F" w:rsidRDefault="00BD175F" w:rsidP="003D67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14:paraId="53CD7B01" w14:textId="36436698" w:rsidR="00C31160" w:rsidRPr="00D315DC" w:rsidRDefault="00D315DC"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sz w:val="20"/>
          <w:szCs w:val="20"/>
          <w:lang w:val="es-CL"/>
        </w:rPr>
      </w:pPr>
      <w:r w:rsidRPr="00D315DC">
        <w:rPr>
          <w:rFonts w:asciiTheme="majorHAnsi" w:hAnsiTheme="majorHAnsi"/>
          <w:color w:val="auto"/>
          <w:sz w:val="20"/>
          <w:szCs w:val="20"/>
          <w:lang w:val="es-CL"/>
        </w:rPr>
        <w:t xml:space="preserve">La Comisión toma nota </w:t>
      </w:r>
      <w:r w:rsidR="003F558B">
        <w:rPr>
          <w:rFonts w:asciiTheme="majorHAnsi" w:hAnsiTheme="majorHAnsi"/>
          <w:color w:val="auto"/>
          <w:sz w:val="20"/>
          <w:szCs w:val="20"/>
          <w:lang w:val="es-CL"/>
        </w:rPr>
        <w:t xml:space="preserve">de </w:t>
      </w:r>
      <w:r w:rsidRPr="00D315DC">
        <w:rPr>
          <w:rFonts w:asciiTheme="majorHAnsi" w:hAnsiTheme="majorHAnsi"/>
          <w:color w:val="auto"/>
          <w:sz w:val="20"/>
          <w:szCs w:val="20"/>
          <w:lang w:val="es-CL"/>
        </w:rPr>
        <w:t xml:space="preserve">que la investigación </w:t>
      </w:r>
      <w:r w:rsidR="00965261">
        <w:rPr>
          <w:rFonts w:asciiTheme="majorHAnsi" w:hAnsiTheme="majorHAnsi"/>
          <w:color w:val="auto"/>
          <w:sz w:val="20"/>
          <w:szCs w:val="20"/>
          <w:lang w:val="es-CL"/>
        </w:rPr>
        <w:t>inició el mismo día de los hechos</w:t>
      </w:r>
      <w:r w:rsidRPr="00D315DC">
        <w:rPr>
          <w:rFonts w:asciiTheme="majorHAnsi" w:hAnsiTheme="majorHAnsi"/>
          <w:color w:val="auto"/>
          <w:sz w:val="20"/>
          <w:szCs w:val="20"/>
          <w:lang w:val="es-CL"/>
        </w:rPr>
        <w:t xml:space="preserve">. </w:t>
      </w:r>
      <w:r w:rsidR="00304A40">
        <w:rPr>
          <w:rFonts w:asciiTheme="majorHAnsi" w:hAnsiTheme="majorHAnsi"/>
          <w:sz w:val="20"/>
          <w:szCs w:val="20"/>
          <w:lang w:val="es-MX"/>
        </w:rPr>
        <w:t xml:space="preserve">De las diligencias practicadas, </w:t>
      </w:r>
      <w:r w:rsidR="00017F67">
        <w:rPr>
          <w:rFonts w:asciiTheme="majorHAnsi" w:hAnsiTheme="majorHAnsi"/>
          <w:sz w:val="20"/>
          <w:szCs w:val="20"/>
          <w:lang w:val="es-MX"/>
        </w:rPr>
        <w:t xml:space="preserve">el Ministerio Público logró individualizar a los cuatro imputados. Sin embargo, la Comisión considera que la investigación llevada a cabo hasta la fecha no ha sido exhaustiva, en el sentido de que no consta que se investigó seriamente las acusaciones en contra del resto de </w:t>
      </w:r>
      <w:r w:rsidR="00522EF8">
        <w:rPr>
          <w:rFonts w:asciiTheme="majorHAnsi" w:hAnsiTheme="majorHAnsi"/>
          <w:sz w:val="20"/>
          <w:szCs w:val="20"/>
          <w:lang w:val="es-MX"/>
        </w:rPr>
        <w:t xml:space="preserve">los </w:t>
      </w:r>
      <w:r w:rsidR="002C13AE">
        <w:rPr>
          <w:rFonts w:asciiTheme="majorHAnsi" w:hAnsiTheme="majorHAnsi"/>
          <w:sz w:val="20"/>
          <w:szCs w:val="20"/>
          <w:lang w:val="es-MX"/>
        </w:rPr>
        <w:t>militares presentes</w:t>
      </w:r>
      <w:r w:rsidR="00017F67">
        <w:rPr>
          <w:rFonts w:asciiTheme="majorHAnsi" w:hAnsiTheme="majorHAnsi"/>
          <w:sz w:val="20"/>
          <w:szCs w:val="20"/>
          <w:lang w:val="es-MX"/>
        </w:rPr>
        <w:t xml:space="preserve"> </w:t>
      </w:r>
      <w:r w:rsidR="00304A40">
        <w:rPr>
          <w:rFonts w:asciiTheme="majorHAnsi" w:hAnsiTheme="majorHAnsi"/>
          <w:sz w:val="20"/>
          <w:szCs w:val="20"/>
          <w:lang w:val="es-MX"/>
        </w:rPr>
        <w:t>en</w:t>
      </w:r>
      <w:r w:rsidR="00017F67">
        <w:rPr>
          <w:rFonts w:asciiTheme="majorHAnsi" w:hAnsiTheme="majorHAnsi"/>
          <w:sz w:val="20"/>
          <w:szCs w:val="20"/>
          <w:lang w:val="es-MX"/>
        </w:rPr>
        <w:t xml:space="preserve"> la cárcel ese día, así como los custodios implicados en los hechos. </w:t>
      </w:r>
      <w:r w:rsidR="002D4628">
        <w:rPr>
          <w:rFonts w:asciiTheme="majorHAnsi" w:hAnsiTheme="majorHAnsi"/>
          <w:sz w:val="20"/>
          <w:szCs w:val="20"/>
          <w:lang w:val="es-MX"/>
        </w:rPr>
        <w:t xml:space="preserve">Asimismo, </w:t>
      </w:r>
      <w:r w:rsidR="002D4628" w:rsidRPr="00D315DC">
        <w:rPr>
          <w:rFonts w:asciiTheme="majorHAnsi" w:hAnsiTheme="majorHAnsi"/>
          <w:sz w:val="20"/>
          <w:szCs w:val="20"/>
          <w:lang w:val="es-US"/>
        </w:rPr>
        <w:t xml:space="preserve">frente a las evidencias y denuncia de </w:t>
      </w:r>
      <w:r w:rsidR="002D4628">
        <w:rPr>
          <w:rFonts w:asciiTheme="majorHAnsi" w:hAnsiTheme="majorHAnsi"/>
          <w:sz w:val="20"/>
          <w:szCs w:val="20"/>
          <w:lang w:val="es-US"/>
        </w:rPr>
        <w:t>violaciones a</w:t>
      </w:r>
      <w:r w:rsidR="002D4628" w:rsidRPr="00D315DC">
        <w:rPr>
          <w:rFonts w:asciiTheme="majorHAnsi" w:hAnsiTheme="majorHAnsi"/>
          <w:sz w:val="20"/>
          <w:szCs w:val="20"/>
          <w:lang w:val="es-US"/>
        </w:rPr>
        <w:t xml:space="preserve"> la integridad personal</w:t>
      </w:r>
      <w:r w:rsidR="00316512">
        <w:rPr>
          <w:rFonts w:asciiTheme="majorHAnsi" w:hAnsiTheme="majorHAnsi"/>
          <w:sz w:val="20"/>
          <w:szCs w:val="20"/>
          <w:lang w:val="es-US"/>
        </w:rPr>
        <w:t xml:space="preserve"> ese día</w:t>
      </w:r>
      <w:r w:rsidR="002D4628" w:rsidRPr="00D315DC">
        <w:rPr>
          <w:rFonts w:asciiTheme="majorHAnsi" w:hAnsiTheme="majorHAnsi"/>
          <w:sz w:val="20"/>
          <w:szCs w:val="20"/>
          <w:lang w:val="es-US"/>
        </w:rPr>
        <w:t>,</w:t>
      </w:r>
      <w:r w:rsidR="00316512">
        <w:rPr>
          <w:rFonts w:asciiTheme="majorHAnsi" w:hAnsiTheme="majorHAnsi"/>
          <w:sz w:val="20"/>
          <w:szCs w:val="20"/>
          <w:lang w:val="es-US"/>
        </w:rPr>
        <w:t xml:space="preserve"> no consta que</w:t>
      </w:r>
      <w:r w:rsidR="002D4628" w:rsidRPr="00D315DC">
        <w:rPr>
          <w:rFonts w:asciiTheme="majorHAnsi" w:hAnsiTheme="majorHAnsi"/>
          <w:sz w:val="20"/>
          <w:szCs w:val="20"/>
          <w:lang w:val="es-US"/>
        </w:rPr>
        <w:t xml:space="preserve"> el Estado realizó investigación alguna para esclarecer los hechos y, en su caso, establecer responsabilidad de las personas involucradas</w:t>
      </w:r>
      <w:r w:rsidR="002D4628" w:rsidRPr="00D315DC">
        <w:rPr>
          <w:rStyle w:val="FootnoteReference"/>
          <w:rFonts w:asciiTheme="majorHAnsi" w:hAnsiTheme="majorHAnsi"/>
          <w:sz w:val="20"/>
          <w:szCs w:val="20"/>
          <w:lang w:val="es-US"/>
        </w:rPr>
        <w:footnoteReference w:id="151"/>
      </w:r>
      <w:r w:rsidR="002D4628" w:rsidRPr="00D315DC">
        <w:rPr>
          <w:rFonts w:asciiTheme="majorHAnsi" w:hAnsiTheme="majorHAnsi"/>
          <w:sz w:val="20"/>
          <w:szCs w:val="20"/>
          <w:lang w:val="es-US"/>
        </w:rPr>
        <w:t>.</w:t>
      </w:r>
      <w:r w:rsidR="002D4628">
        <w:rPr>
          <w:rFonts w:asciiTheme="majorHAnsi" w:hAnsiTheme="majorHAnsi"/>
          <w:sz w:val="20"/>
          <w:szCs w:val="20"/>
          <w:lang w:val="es-US"/>
        </w:rPr>
        <w:t xml:space="preserve"> </w:t>
      </w:r>
    </w:p>
    <w:p w14:paraId="4C341273" w14:textId="77777777" w:rsidR="00D315DC" w:rsidRPr="00D315DC" w:rsidRDefault="00D315DC" w:rsidP="00D315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_tradnl"/>
        </w:rPr>
      </w:pPr>
    </w:p>
    <w:p w14:paraId="3A49E29A" w14:textId="213B10DB" w:rsidR="00D315DC" w:rsidRPr="00D315DC" w:rsidRDefault="001F4977"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bookmarkStart w:id="29" w:name="_GoBack"/>
      <w:r>
        <w:rPr>
          <w:rFonts w:asciiTheme="majorHAnsi" w:hAnsiTheme="majorHAnsi" w:cs="Verdana"/>
          <w:sz w:val="20"/>
          <w:szCs w:val="20"/>
          <w:lang w:val="es-ES"/>
        </w:rPr>
        <w:t>Además</w:t>
      </w:r>
      <w:bookmarkEnd w:id="29"/>
      <w:r>
        <w:rPr>
          <w:rFonts w:asciiTheme="majorHAnsi" w:hAnsiTheme="majorHAnsi" w:cs="Verdana"/>
          <w:sz w:val="20"/>
          <w:szCs w:val="20"/>
          <w:lang w:val="es-ES"/>
        </w:rPr>
        <w:t xml:space="preserve">, </w:t>
      </w:r>
      <w:r w:rsidR="00BD426F">
        <w:rPr>
          <w:rFonts w:asciiTheme="majorHAnsi" w:hAnsiTheme="majorHAnsi" w:cs="Verdana"/>
          <w:sz w:val="20"/>
          <w:szCs w:val="20"/>
          <w:lang w:val="es-ES"/>
        </w:rPr>
        <w:t>l</w:t>
      </w:r>
      <w:r w:rsidR="008E7ACC">
        <w:rPr>
          <w:rFonts w:asciiTheme="majorHAnsi" w:hAnsiTheme="majorHAnsi" w:cs="Verdana"/>
          <w:sz w:val="20"/>
          <w:szCs w:val="20"/>
          <w:lang w:val="es-ES"/>
        </w:rPr>
        <w:t>a Comisión observa que las autopsias llevadas a cabo no</w:t>
      </w:r>
      <w:r w:rsidR="005B70FF">
        <w:rPr>
          <w:rFonts w:asciiTheme="majorHAnsi" w:hAnsiTheme="majorHAnsi" w:cs="Verdana"/>
          <w:sz w:val="20"/>
          <w:szCs w:val="20"/>
          <w:lang w:val="es-ES"/>
        </w:rPr>
        <w:t xml:space="preserve"> son compatibles con </w:t>
      </w:r>
      <w:r w:rsidR="008E7ACC">
        <w:rPr>
          <w:rFonts w:asciiTheme="majorHAnsi" w:hAnsiTheme="majorHAnsi" w:cs="Verdana"/>
          <w:sz w:val="20"/>
          <w:szCs w:val="20"/>
          <w:lang w:val="es-ES"/>
        </w:rPr>
        <w:t xml:space="preserve">los estándares señalados en el Protocolo de Minnesota. En particular, </w:t>
      </w:r>
      <w:r w:rsidR="00A138BD">
        <w:rPr>
          <w:rFonts w:asciiTheme="majorHAnsi" w:hAnsiTheme="majorHAnsi" w:cs="Verdana"/>
          <w:sz w:val="20"/>
          <w:szCs w:val="20"/>
          <w:lang w:val="es-ES"/>
        </w:rPr>
        <w:t>la Comisión destaca la falta de análisis de contexto de las muertes —incluyendo la determinación de eventuales patrones entre las lesiones producidas en los cuerpos, el calibre de las armas de fuego que produjeron las lesiones y la distancia a que fueron disparadas, así como la falta de fotos en color y radiografías a todo el cuerpo— que podrían ayudar a esclarecer las circunstancias de las muertes y sus autores materiales</w:t>
      </w:r>
      <w:r w:rsidR="00D315DC" w:rsidRPr="00D315DC">
        <w:rPr>
          <w:rFonts w:asciiTheme="majorHAnsi" w:hAnsiTheme="majorHAnsi" w:cs="Verdana"/>
          <w:sz w:val="20"/>
          <w:szCs w:val="20"/>
          <w:lang w:val="es-ES"/>
        </w:rPr>
        <w:t>.</w:t>
      </w:r>
      <w:r w:rsidR="00A138BD">
        <w:rPr>
          <w:rFonts w:asciiTheme="majorHAnsi" w:hAnsiTheme="majorHAnsi" w:cs="Verdana"/>
          <w:sz w:val="20"/>
          <w:szCs w:val="20"/>
          <w:lang w:val="es-ES"/>
        </w:rPr>
        <w:t xml:space="preserve"> La CIDH entiende que reconocimientos y pruebas de balística obran en el expediente del Ministerio Público; sin embargo, no tiene acceso a los mismos.</w:t>
      </w:r>
      <w:r w:rsidR="00A56F08">
        <w:rPr>
          <w:rFonts w:asciiTheme="majorHAnsi" w:hAnsiTheme="majorHAnsi" w:cs="Verdana"/>
          <w:sz w:val="20"/>
          <w:szCs w:val="20"/>
          <w:lang w:val="es-ES"/>
        </w:rPr>
        <w:t xml:space="preserve"> En todo caso, las</w:t>
      </w:r>
      <w:r w:rsidR="00A1295D">
        <w:rPr>
          <w:rFonts w:asciiTheme="majorHAnsi" w:hAnsiTheme="majorHAnsi" w:cs="Verdana"/>
          <w:sz w:val="20"/>
          <w:szCs w:val="20"/>
          <w:lang w:val="es-ES"/>
        </w:rPr>
        <w:t xml:space="preserve"> deficiencias en las autopsias s</w:t>
      </w:r>
      <w:r w:rsidR="00A56F08">
        <w:rPr>
          <w:rFonts w:asciiTheme="majorHAnsi" w:hAnsiTheme="majorHAnsi" w:cs="Verdana"/>
          <w:sz w:val="20"/>
          <w:szCs w:val="20"/>
          <w:lang w:val="es-ES"/>
        </w:rPr>
        <w:t>on un obstáculo en el esclarecimiento de los hechos a la luz de las demás pruebas técnicas que pudieran haberse practicado.</w:t>
      </w:r>
    </w:p>
    <w:p w14:paraId="3F8713B3" w14:textId="77777777" w:rsidR="00D315DC" w:rsidRPr="00D315DC" w:rsidRDefault="00D315DC" w:rsidP="00D315DC">
      <w:pPr>
        <w:pStyle w:val="ListParagraph"/>
        <w:rPr>
          <w:rFonts w:asciiTheme="majorHAnsi" w:hAnsiTheme="majorHAnsi"/>
          <w:sz w:val="20"/>
          <w:szCs w:val="20"/>
          <w:lang w:val="es-ES_tradnl"/>
        </w:rPr>
      </w:pPr>
    </w:p>
    <w:p w14:paraId="362C81F8" w14:textId="653D6C54" w:rsidR="001056E0" w:rsidRPr="00D315DC" w:rsidRDefault="008E7ACC"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r>
        <w:rPr>
          <w:rFonts w:asciiTheme="majorHAnsi" w:hAnsiTheme="majorHAnsi"/>
          <w:sz w:val="20"/>
          <w:szCs w:val="20"/>
          <w:lang w:val="es-ES_tradnl"/>
        </w:rPr>
        <w:t xml:space="preserve">La Comisión observa que </w:t>
      </w:r>
      <w:r w:rsidR="00A138BD">
        <w:rPr>
          <w:rFonts w:asciiTheme="majorHAnsi" w:hAnsiTheme="majorHAnsi"/>
          <w:sz w:val="20"/>
          <w:szCs w:val="20"/>
          <w:lang w:val="es-ES_tradnl"/>
        </w:rPr>
        <w:t xml:space="preserve">en </w:t>
      </w:r>
      <w:r w:rsidR="00C31160" w:rsidRPr="00D315DC">
        <w:rPr>
          <w:rFonts w:asciiTheme="majorHAnsi" w:hAnsiTheme="majorHAnsi"/>
          <w:sz w:val="20"/>
          <w:szCs w:val="20"/>
          <w:lang w:val="es-ES_tradnl"/>
        </w:rPr>
        <w:t xml:space="preserve">las declaraciones de </w:t>
      </w:r>
      <w:r w:rsidR="00A138BD">
        <w:rPr>
          <w:rFonts w:asciiTheme="majorHAnsi" w:hAnsiTheme="majorHAnsi"/>
          <w:sz w:val="20"/>
          <w:szCs w:val="20"/>
          <w:lang w:val="es-ES_tradnl"/>
        </w:rPr>
        <w:t>los Guardias Nacionales</w:t>
      </w:r>
      <w:r>
        <w:rPr>
          <w:rFonts w:asciiTheme="majorHAnsi" w:hAnsiTheme="majorHAnsi"/>
          <w:sz w:val="20"/>
          <w:szCs w:val="20"/>
          <w:lang w:val="es-ES_tradnl"/>
        </w:rPr>
        <w:t xml:space="preserve"> (citados en el escrito de fondo del Estado)</w:t>
      </w:r>
      <w:r w:rsidR="00C31160" w:rsidRPr="00D315DC">
        <w:rPr>
          <w:rFonts w:asciiTheme="majorHAnsi" w:hAnsiTheme="majorHAnsi"/>
          <w:sz w:val="20"/>
          <w:szCs w:val="20"/>
          <w:lang w:val="es-ES_tradnl"/>
        </w:rPr>
        <w:t xml:space="preserve">, se nota </w:t>
      </w:r>
      <w:r w:rsidR="00A138BD">
        <w:rPr>
          <w:rFonts w:asciiTheme="majorHAnsi" w:hAnsiTheme="majorHAnsi"/>
          <w:sz w:val="20"/>
          <w:szCs w:val="20"/>
          <w:lang w:val="es-ES_tradnl"/>
        </w:rPr>
        <w:t>un</w:t>
      </w:r>
      <w:r w:rsidR="00C31160" w:rsidRPr="00D315DC">
        <w:rPr>
          <w:rFonts w:asciiTheme="majorHAnsi" w:hAnsiTheme="majorHAnsi"/>
          <w:sz w:val="20"/>
          <w:szCs w:val="20"/>
          <w:lang w:val="es-ES_tradnl"/>
        </w:rPr>
        <w:t xml:space="preserve"> uso de lenguaje y valoraciones idénticas, </w:t>
      </w:r>
      <w:r>
        <w:rPr>
          <w:rFonts w:asciiTheme="majorHAnsi" w:hAnsiTheme="majorHAnsi"/>
          <w:sz w:val="20"/>
          <w:szCs w:val="20"/>
          <w:lang w:val="es-ES_tradnl"/>
        </w:rPr>
        <w:t xml:space="preserve">por ejemplo respecto de la </w:t>
      </w:r>
      <w:r>
        <w:rPr>
          <w:rFonts w:asciiTheme="majorHAnsi" w:hAnsiTheme="majorHAnsi"/>
          <w:sz w:val="20"/>
          <w:szCs w:val="20"/>
          <w:lang w:val="es-ES_tradnl"/>
        </w:rPr>
        <w:lastRenderedPageBreak/>
        <w:t xml:space="preserve">probable causa de la muerte de las víctimas, </w:t>
      </w:r>
      <w:r w:rsidR="00C31160" w:rsidRPr="00D315DC">
        <w:rPr>
          <w:rFonts w:asciiTheme="majorHAnsi" w:hAnsiTheme="majorHAnsi"/>
          <w:sz w:val="20"/>
          <w:szCs w:val="20"/>
          <w:lang w:val="es-ES_tradnl"/>
        </w:rPr>
        <w:t xml:space="preserve">lo cual presenta </w:t>
      </w:r>
      <w:r w:rsidR="009C3E15">
        <w:rPr>
          <w:rFonts w:asciiTheme="majorHAnsi" w:hAnsiTheme="majorHAnsi"/>
          <w:sz w:val="20"/>
          <w:szCs w:val="20"/>
          <w:lang w:val="es-ES_tradnl"/>
        </w:rPr>
        <w:t>dudas</w:t>
      </w:r>
      <w:r w:rsidR="00C31160" w:rsidRPr="00D315DC">
        <w:rPr>
          <w:rFonts w:asciiTheme="majorHAnsi" w:hAnsiTheme="majorHAnsi"/>
          <w:sz w:val="20"/>
          <w:szCs w:val="20"/>
          <w:lang w:val="es-ES_tradnl"/>
        </w:rPr>
        <w:t xml:space="preserve"> acerca de la posible preparación conjunta que podrían haber tenido los </w:t>
      </w:r>
      <w:r>
        <w:rPr>
          <w:rFonts w:asciiTheme="majorHAnsi" w:hAnsiTheme="majorHAnsi"/>
          <w:sz w:val="20"/>
          <w:szCs w:val="20"/>
          <w:lang w:val="es-ES_tradnl"/>
        </w:rPr>
        <w:t>Guardias Nacionales</w:t>
      </w:r>
      <w:r w:rsidR="00C31160" w:rsidRPr="00D315DC">
        <w:rPr>
          <w:rFonts w:asciiTheme="majorHAnsi" w:hAnsiTheme="majorHAnsi"/>
          <w:sz w:val="20"/>
          <w:szCs w:val="20"/>
          <w:lang w:val="es-ES_tradnl"/>
        </w:rPr>
        <w:t xml:space="preserve"> antes de declarar ante el Ministerio Público. </w:t>
      </w:r>
      <w:r w:rsidR="00A138BD">
        <w:rPr>
          <w:rFonts w:asciiTheme="majorHAnsi" w:hAnsiTheme="majorHAnsi"/>
          <w:sz w:val="20"/>
          <w:szCs w:val="20"/>
          <w:lang w:val="es-ES_tradnl"/>
        </w:rPr>
        <w:t xml:space="preserve">Asimismo, la CIDH observa que los alegatos que la Guardia Nacional tuvo acceso indebido a pruebas practicadas </w:t>
      </w:r>
      <w:r w:rsidR="009C3E15">
        <w:rPr>
          <w:rFonts w:asciiTheme="majorHAnsi" w:hAnsiTheme="majorHAnsi"/>
          <w:sz w:val="20"/>
          <w:szCs w:val="20"/>
          <w:lang w:val="es-ES_tradnl"/>
        </w:rPr>
        <w:t>por el CICPC</w:t>
      </w:r>
      <w:r w:rsidR="00A138BD">
        <w:rPr>
          <w:rFonts w:asciiTheme="majorHAnsi" w:hAnsiTheme="majorHAnsi"/>
          <w:sz w:val="20"/>
          <w:szCs w:val="20"/>
          <w:lang w:val="es-ES_tradnl"/>
        </w:rPr>
        <w:t>, así como respecto de amenazas en contra de testigos de los hechos, no han sido</w:t>
      </w:r>
      <w:r>
        <w:rPr>
          <w:rFonts w:asciiTheme="majorHAnsi" w:hAnsiTheme="majorHAnsi"/>
          <w:sz w:val="20"/>
          <w:szCs w:val="20"/>
          <w:lang w:val="es-ES_tradnl"/>
        </w:rPr>
        <w:t xml:space="preserve"> debidamente esclarecidas. </w:t>
      </w:r>
      <w:r w:rsidR="008D79A3">
        <w:rPr>
          <w:rFonts w:asciiTheme="majorHAnsi" w:hAnsiTheme="majorHAnsi"/>
          <w:sz w:val="20"/>
          <w:szCs w:val="20"/>
          <w:lang w:val="es-ES_tradnl"/>
        </w:rPr>
        <w:t xml:space="preserve">Este tema aparece en varias partes del expediente e incluso fue referido por </w:t>
      </w:r>
      <w:r w:rsidR="0060718E">
        <w:rPr>
          <w:rFonts w:asciiTheme="majorHAnsi" w:hAnsiTheme="majorHAnsi"/>
          <w:sz w:val="20"/>
          <w:szCs w:val="20"/>
          <w:lang w:val="es-ES_tradnl"/>
        </w:rPr>
        <w:t xml:space="preserve">el propio Ministerio Público al momento de solicitar la detención preventiva de los imputados. </w:t>
      </w:r>
      <w:r w:rsidR="003E567E">
        <w:rPr>
          <w:rFonts w:asciiTheme="majorHAnsi" w:hAnsiTheme="majorHAnsi"/>
          <w:sz w:val="20"/>
          <w:szCs w:val="20"/>
          <w:lang w:val="es-US"/>
        </w:rPr>
        <w:t xml:space="preserve">Además, como se indicó arriba, no se diseñó y agotó </w:t>
      </w:r>
      <w:r w:rsidR="00A1295D">
        <w:rPr>
          <w:rFonts w:asciiTheme="majorHAnsi" w:hAnsiTheme="majorHAnsi"/>
          <w:sz w:val="20"/>
          <w:szCs w:val="20"/>
          <w:lang w:val="es-US"/>
        </w:rPr>
        <w:t>exhaustivamente</w:t>
      </w:r>
      <w:r w:rsidR="003E567E">
        <w:rPr>
          <w:rFonts w:asciiTheme="majorHAnsi" w:hAnsiTheme="majorHAnsi"/>
          <w:sz w:val="20"/>
          <w:szCs w:val="20"/>
          <w:lang w:val="es-US"/>
        </w:rPr>
        <w:t xml:space="preserve"> una línea de investigación relacionada con los diversos indicios en cuanto a que las muertes y lesiones pudieron ser una represalia por la huelga que había tenido lugar días antes. </w:t>
      </w:r>
    </w:p>
    <w:p w14:paraId="4ABBCB07" w14:textId="77777777" w:rsidR="001056E0" w:rsidRPr="00D315DC" w:rsidRDefault="001056E0" w:rsidP="00190F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14:paraId="1C2166DD" w14:textId="19F02A3E" w:rsidR="00D315DC" w:rsidRDefault="001056E0"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r>
        <w:rPr>
          <w:rFonts w:asciiTheme="majorHAnsi" w:hAnsiTheme="majorHAnsi"/>
          <w:color w:val="auto"/>
          <w:sz w:val="20"/>
          <w:szCs w:val="20"/>
          <w:lang w:val="es-CL"/>
        </w:rPr>
        <w:t xml:space="preserve">Respecto del plazo razonable, la Comisión encuentra que si bien la investigación inició el día de los hechos, </w:t>
      </w:r>
      <w:r w:rsidR="00D315DC">
        <w:rPr>
          <w:rFonts w:asciiTheme="majorHAnsi" w:hAnsiTheme="majorHAnsi"/>
          <w:color w:val="auto"/>
          <w:sz w:val="20"/>
          <w:szCs w:val="20"/>
          <w:lang w:val="es-CL"/>
        </w:rPr>
        <w:t>la audiencia preliminar del caso se llevó a ca</w:t>
      </w:r>
      <w:r w:rsidR="009C3E15">
        <w:rPr>
          <w:rFonts w:asciiTheme="majorHAnsi" w:hAnsiTheme="majorHAnsi"/>
          <w:color w:val="auto"/>
          <w:sz w:val="20"/>
          <w:szCs w:val="20"/>
          <w:lang w:val="es-CL"/>
        </w:rPr>
        <w:t>bo apenas hasta el 3 de junio de 2014</w:t>
      </w:r>
      <w:r w:rsidR="008F74C5">
        <w:rPr>
          <w:rFonts w:asciiTheme="majorHAnsi" w:hAnsiTheme="majorHAnsi"/>
          <w:color w:val="auto"/>
          <w:sz w:val="20"/>
          <w:szCs w:val="20"/>
          <w:lang w:val="es-CL"/>
        </w:rPr>
        <w:t xml:space="preserve">, y no se tiene información </w:t>
      </w:r>
      <w:r w:rsidR="00B924F9">
        <w:rPr>
          <w:rFonts w:asciiTheme="majorHAnsi" w:hAnsiTheme="majorHAnsi"/>
          <w:color w:val="auto"/>
          <w:sz w:val="20"/>
          <w:szCs w:val="20"/>
          <w:lang w:val="es-CL"/>
        </w:rPr>
        <w:t xml:space="preserve">en cuanto a </w:t>
      </w:r>
      <w:r w:rsidR="008F74C5">
        <w:rPr>
          <w:rFonts w:asciiTheme="majorHAnsi" w:hAnsiTheme="majorHAnsi"/>
          <w:color w:val="auto"/>
          <w:sz w:val="20"/>
          <w:szCs w:val="20"/>
          <w:lang w:val="es-CL"/>
        </w:rPr>
        <w:t>que el juicio haya ocurrido hasta la fecha</w:t>
      </w:r>
      <w:r w:rsidR="00D315DC">
        <w:rPr>
          <w:rFonts w:asciiTheme="majorHAnsi" w:hAnsiTheme="majorHAnsi"/>
          <w:color w:val="auto"/>
          <w:sz w:val="20"/>
          <w:szCs w:val="20"/>
          <w:lang w:val="es-CL"/>
        </w:rPr>
        <w:t xml:space="preserve">. Si bien el Estado argumentó que las demoras en el juicio se debían a las actuaciones procesales de los imputados y sus defensores, la CIDH </w:t>
      </w:r>
      <w:r w:rsidR="00522EF8">
        <w:rPr>
          <w:rFonts w:asciiTheme="majorHAnsi" w:hAnsiTheme="majorHAnsi"/>
          <w:color w:val="auto"/>
          <w:sz w:val="20"/>
          <w:szCs w:val="20"/>
          <w:lang w:val="es-CL"/>
        </w:rPr>
        <w:t>recuerda</w:t>
      </w:r>
      <w:r w:rsidR="00D315DC">
        <w:rPr>
          <w:rFonts w:asciiTheme="majorHAnsi" w:hAnsiTheme="majorHAnsi"/>
          <w:color w:val="auto"/>
          <w:sz w:val="20"/>
          <w:szCs w:val="20"/>
          <w:lang w:val="es-CL"/>
        </w:rPr>
        <w:t xml:space="preserve"> que dichos recursos fueron resueltos en 2005</w:t>
      </w:r>
      <w:r w:rsidR="00522EF8">
        <w:rPr>
          <w:rFonts w:asciiTheme="majorHAnsi" w:hAnsiTheme="majorHAnsi"/>
          <w:color w:val="auto"/>
          <w:sz w:val="20"/>
          <w:szCs w:val="20"/>
          <w:lang w:val="es-CL"/>
        </w:rPr>
        <w:t xml:space="preserve">, y que </w:t>
      </w:r>
      <w:r w:rsidR="00522EF8" w:rsidRPr="00424705">
        <w:rPr>
          <w:color w:val="000000" w:themeColor="text1"/>
          <w:sz w:val="20"/>
          <w:szCs w:val="20"/>
          <w:lang w:val="es-VE"/>
        </w:rPr>
        <w:t>no se ha solicitado o practicado ninguna prueba en el caso desde el 2006.</w:t>
      </w:r>
      <w:r w:rsidR="00522EF8">
        <w:rPr>
          <w:color w:val="000000" w:themeColor="text1"/>
          <w:sz w:val="20"/>
          <w:szCs w:val="20"/>
          <w:lang w:val="es-VE"/>
        </w:rPr>
        <w:t xml:space="preserve"> En este sentido, </w:t>
      </w:r>
      <w:r w:rsidR="00CA3BC3">
        <w:rPr>
          <w:color w:val="000000" w:themeColor="text1"/>
          <w:sz w:val="20"/>
          <w:szCs w:val="20"/>
          <w:lang w:val="es-VE"/>
        </w:rPr>
        <w:t>no es razonable</w:t>
      </w:r>
      <w:r w:rsidR="00522EF8">
        <w:rPr>
          <w:color w:val="000000" w:themeColor="text1"/>
          <w:sz w:val="20"/>
          <w:szCs w:val="20"/>
          <w:lang w:val="es-VE"/>
        </w:rPr>
        <w:t xml:space="preserve"> que el acto conclusivo de la investigación se haya presentado hasta 2012. Desde 2012, no se tiene información de que el juicio a los imputados haya sido llevado a cabo, por lo que la Comisión considera que la violación al plazo razonable en este caso es manifiesta.</w:t>
      </w:r>
    </w:p>
    <w:p w14:paraId="23220D92" w14:textId="77777777" w:rsidR="00D315DC" w:rsidRPr="00D315DC" w:rsidRDefault="00D315DC" w:rsidP="00D315DC">
      <w:pPr>
        <w:pStyle w:val="ListParagraph"/>
        <w:rPr>
          <w:rFonts w:asciiTheme="majorHAnsi" w:hAnsiTheme="majorHAnsi"/>
          <w:color w:val="auto"/>
          <w:sz w:val="20"/>
          <w:szCs w:val="20"/>
          <w:lang w:val="es-CL"/>
        </w:rPr>
      </w:pPr>
    </w:p>
    <w:p w14:paraId="5D70E016" w14:textId="2A4D2837" w:rsidR="00CA3BC3" w:rsidRPr="00CA3BC3" w:rsidRDefault="00D315DC"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r w:rsidRPr="00CA3F97">
        <w:rPr>
          <w:rFonts w:asciiTheme="majorHAnsi" w:hAnsiTheme="majorHAnsi"/>
          <w:color w:val="auto"/>
          <w:sz w:val="20"/>
          <w:szCs w:val="20"/>
          <w:lang w:val="es-CL"/>
        </w:rPr>
        <w:t xml:space="preserve">El Estado argumentó que el presente asunto tiene un “razonable nivel de complejidad”, y consideró que </w:t>
      </w:r>
      <w:r w:rsidR="00D877A2">
        <w:rPr>
          <w:rFonts w:asciiTheme="majorHAnsi" w:hAnsiTheme="majorHAnsi"/>
          <w:color w:val="auto"/>
          <w:sz w:val="20"/>
          <w:szCs w:val="20"/>
          <w:lang w:val="es-CL"/>
        </w:rPr>
        <w:t>han habido</w:t>
      </w:r>
      <w:r w:rsidRPr="00CA3F97">
        <w:rPr>
          <w:rFonts w:asciiTheme="majorHAnsi" w:hAnsiTheme="majorHAnsi"/>
          <w:color w:val="auto"/>
          <w:sz w:val="20"/>
          <w:szCs w:val="20"/>
          <w:lang w:val="es-CL"/>
        </w:rPr>
        <w:t xml:space="preserve"> dificultades </w:t>
      </w:r>
      <w:r w:rsidR="00D877A2">
        <w:rPr>
          <w:rFonts w:asciiTheme="majorHAnsi" w:hAnsiTheme="majorHAnsi"/>
          <w:color w:val="auto"/>
          <w:sz w:val="20"/>
          <w:szCs w:val="20"/>
          <w:lang w:val="es-CL"/>
        </w:rPr>
        <w:t>para</w:t>
      </w:r>
      <w:r w:rsidRPr="00CA3F97">
        <w:rPr>
          <w:rFonts w:asciiTheme="majorHAnsi" w:hAnsiTheme="majorHAnsi"/>
          <w:color w:val="auto"/>
          <w:sz w:val="20"/>
          <w:szCs w:val="20"/>
          <w:lang w:val="es-CL"/>
        </w:rPr>
        <w:t xml:space="preserve"> asegurar la cooperación de testigos que siguen bajo la custodia de los cuerpos estatales presuntamente responsables de los hechos, así como para asegurar la comparecencia de los mismos una vez liberados o trasladados dificultaron la investigación y juicio del caso</w:t>
      </w:r>
      <w:r w:rsidR="001056E0" w:rsidRPr="00CA3F97">
        <w:rPr>
          <w:rFonts w:asciiTheme="majorHAnsi" w:hAnsiTheme="majorHAnsi"/>
          <w:sz w:val="20"/>
          <w:szCs w:val="20"/>
          <w:lang w:val="es-ES"/>
        </w:rPr>
        <w:t>.</w:t>
      </w:r>
      <w:r w:rsidRPr="00CA3F97">
        <w:rPr>
          <w:rFonts w:asciiTheme="majorHAnsi" w:hAnsiTheme="majorHAnsi"/>
          <w:sz w:val="20"/>
          <w:szCs w:val="20"/>
          <w:lang w:val="es-ES"/>
        </w:rPr>
        <w:t xml:space="preserve"> Al respecto, la Comisión nota que, estando bajo </w:t>
      </w:r>
      <w:r w:rsidR="00CA3F97" w:rsidRPr="00CA3F97">
        <w:rPr>
          <w:rFonts w:asciiTheme="majorHAnsi" w:hAnsiTheme="majorHAnsi"/>
          <w:sz w:val="20"/>
          <w:szCs w:val="20"/>
          <w:lang w:val="es-ES"/>
        </w:rPr>
        <w:t>la custodia</w:t>
      </w:r>
      <w:r w:rsidRPr="00CA3F97">
        <w:rPr>
          <w:rFonts w:asciiTheme="majorHAnsi" w:hAnsiTheme="majorHAnsi"/>
          <w:sz w:val="20"/>
          <w:szCs w:val="20"/>
          <w:lang w:val="es-ES"/>
        </w:rPr>
        <w:t xml:space="preserve"> del Estado, el Estado tenía</w:t>
      </w:r>
      <w:r w:rsidR="00671FF4">
        <w:rPr>
          <w:rFonts w:asciiTheme="majorHAnsi" w:hAnsiTheme="majorHAnsi"/>
          <w:sz w:val="20"/>
          <w:szCs w:val="20"/>
          <w:lang w:val="es-ES"/>
        </w:rPr>
        <w:t xml:space="preserve"> no sólo la </w:t>
      </w:r>
      <w:r w:rsidRPr="00CA3F97">
        <w:rPr>
          <w:rFonts w:asciiTheme="majorHAnsi" w:hAnsiTheme="majorHAnsi"/>
          <w:sz w:val="20"/>
          <w:szCs w:val="20"/>
          <w:lang w:val="es-ES"/>
        </w:rPr>
        <w:t>posibilidad</w:t>
      </w:r>
      <w:r w:rsidR="00671FF4">
        <w:rPr>
          <w:rFonts w:asciiTheme="majorHAnsi" w:hAnsiTheme="majorHAnsi"/>
          <w:sz w:val="20"/>
          <w:szCs w:val="20"/>
          <w:lang w:val="es-ES"/>
        </w:rPr>
        <w:t xml:space="preserve"> sino </w:t>
      </w:r>
      <w:r w:rsidRPr="00CA3F97">
        <w:rPr>
          <w:rFonts w:asciiTheme="majorHAnsi" w:hAnsiTheme="majorHAnsi"/>
          <w:sz w:val="20"/>
          <w:szCs w:val="20"/>
          <w:lang w:val="es-ES"/>
        </w:rPr>
        <w:t>el deber</w:t>
      </w:r>
      <w:r w:rsidR="00156A2F">
        <w:rPr>
          <w:rFonts w:asciiTheme="majorHAnsi" w:hAnsiTheme="majorHAnsi"/>
          <w:sz w:val="20"/>
          <w:szCs w:val="20"/>
          <w:lang w:val="es-ES"/>
        </w:rPr>
        <w:t xml:space="preserve"> </w:t>
      </w:r>
      <w:r w:rsidRPr="00CA3F97">
        <w:rPr>
          <w:rFonts w:asciiTheme="majorHAnsi" w:hAnsiTheme="majorHAnsi"/>
          <w:sz w:val="20"/>
          <w:szCs w:val="20"/>
          <w:lang w:val="es-ES"/>
        </w:rPr>
        <w:t xml:space="preserve">de tomar las medidas necesarias para </w:t>
      </w:r>
      <w:r w:rsidR="00CA3F97" w:rsidRPr="00CA3F97">
        <w:rPr>
          <w:rFonts w:asciiTheme="majorHAnsi" w:hAnsiTheme="majorHAnsi"/>
          <w:sz w:val="20"/>
          <w:szCs w:val="20"/>
          <w:lang w:val="es-ES"/>
        </w:rPr>
        <w:t>asegurar la vida e integridad personal de esos testigos que afirmaron estar amenazados por parte de la Guardia Nacional, para facilitar su c</w:t>
      </w:r>
      <w:r w:rsidR="009C3E15">
        <w:rPr>
          <w:rFonts w:asciiTheme="majorHAnsi" w:hAnsiTheme="majorHAnsi"/>
          <w:sz w:val="20"/>
          <w:szCs w:val="20"/>
          <w:lang w:val="es-ES"/>
        </w:rPr>
        <w:t>olaboración en la investigación</w:t>
      </w:r>
      <w:r w:rsidR="00CA3F97" w:rsidRPr="00CA3F97">
        <w:rPr>
          <w:rFonts w:asciiTheme="majorHAnsi" w:hAnsiTheme="majorHAnsi"/>
          <w:sz w:val="20"/>
          <w:szCs w:val="20"/>
          <w:lang w:val="es-ES"/>
        </w:rPr>
        <w:t>.</w:t>
      </w:r>
      <w:r w:rsidR="008E7ACC">
        <w:rPr>
          <w:rFonts w:asciiTheme="majorHAnsi" w:hAnsiTheme="majorHAnsi"/>
          <w:sz w:val="20"/>
          <w:szCs w:val="20"/>
          <w:lang w:val="es-ES"/>
        </w:rPr>
        <w:t xml:space="preserve"> Esto, de acuerdo también con los estándares establecidos en el Protocolo de Minnesota</w:t>
      </w:r>
      <w:r w:rsidR="00A721E0">
        <w:rPr>
          <w:rFonts w:asciiTheme="majorHAnsi" w:hAnsiTheme="majorHAnsi"/>
          <w:sz w:val="20"/>
          <w:szCs w:val="20"/>
          <w:lang w:val="es-ES"/>
        </w:rPr>
        <w:t xml:space="preserve"> y en la jurisprudencia interamericana. </w:t>
      </w:r>
      <w:r w:rsidR="00CA3F97" w:rsidRPr="00CA3F97">
        <w:rPr>
          <w:rFonts w:asciiTheme="majorHAnsi" w:hAnsiTheme="majorHAnsi"/>
          <w:sz w:val="20"/>
          <w:szCs w:val="20"/>
          <w:lang w:val="es-ES"/>
        </w:rPr>
        <w:t xml:space="preserve">Del expediente, se desprende que esto no ocurrió. </w:t>
      </w:r>
    </w:p>
    <w:p w14:paraId="2942E5A5" w14:textId="77777777" w:rsidR="00CA3BC3" w:rsidRPr="00CA3BC3" w:rsidRDefault="00CA3BC3" w:rsidP="00CA3BC3">
      <w:pPr>
        <w:pStyle w:val="ListParagraph"/>
        <w:rPr>
          <w:rFonts w:asciiTheme="majorHAnsi" w:hAnsiTheme="majorHAnsi"/>
          <w:sz w:val="20"/>
          <w:szCs w:val="20"/>
          <w:lang w:val="es-ES"/>
        </w:rPr>
      </w:pPr>
    </w:p>
    <w:p w14:paraId="30268294" w14:textId="44C06369" w:rsidR="009620A7" w:rsidRPr="00CA3F97" w:rsidRDefault="00CA3F97"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r w:rsidRPr="00CA3F97">
        <w:rPr>
          <w:rFonts w:asciiTheme="majorHAnsi" w:hAnsiTheme="majorHAnsi"/>
          <w:sz w:val="20"/>
          <w:szCs w:val="20"/>
          <w:lang w:val="es-ES"/>
        </w:rPr>
        <w:t xml:space="preserve">Asimismo, la Comisión considera que el presente caso puede ser complejo </w:t>
      </w:r>
      <w:r w:rsidR="00706FDA">
        <w:rPr>
          <w:rFonts w:asciiTheme="majorHAnsi" w:hAnsiTheme="majorHAnsi"/>
          <w:sz w:val="20"/>
          <w:szCs w:val="20"/>
          <w:lang w:val="es-ES"/>
        </w:rPr>
        <w:t>por</w:t>
      </w:r>
      <w:r w:rsidRPr="00CA3F97">
        <w:rPr>
          <w:rFonts w:asciiTheme="majorHAnsi" w:hAnsiTheme="majorHAnsi"/>
          <w:sz w:val="20"/>
          <w:szCs w:val="20"/>
          <w:lang w:val="es-ES"/>
        </w:rPr>
        <w:t xml:space="preserve"> tratarse de decenas de víctimas, y por haberse desarrollado en una cárcel donde el control del Estado es limitado</w:t>
      </w:r>
      <w:r w:rsidR="00A1295D">
        <w:rPr>
          <w:rFonts w:asciiTheme="majorHAnsi" w:hAnsiTheme="majorHAnsi"/>
          <w:sz w:val="20"/>
          <w:szCs w:val="20"/>
          <w:lang w:val="es-ES"/>
        </w:rPr>
        <w:t>—</w:t>
      </w:r>
      <w:r w:rsidR="002004B7">
        <w:rPr>
          <w:rFonts w:asciiTheme="majorHAnsi" w:hAnsiTheme="majorHAnsi"/>
          <w:sz w:val="20"/>
          <w:szCs w:val="20"/>
          <w:lang w:val="es-ES"/>
        </w:rPr>
        <w:t xml:space="preserve"> </w:t>
      </w:r>
      <w:r w:rsidRPr="00CA3F97">
        <w:rPr>
          <w:rFonts w:asciiTheme="majorHAnsi" w:hAnsiTheme="majorHAnsi"/>
          <w:sz w:val="20"/>
          <w:szCs w:val="20"/>
          <w:lang w:val="es-ES"/>
        </w:rPr>
        <w:t>situación también atribuible al propio Estado</w:t>
      </w:r>
      <w:r>
        <w:rPr>
          <w:rStyle w:val="FootnoteReference"/>
          <w:rFonts w:asciiTheme="majorHAnsi" w:hAnsiTheme="majorHAnsi"/>
          <w:sz w:val="20"/>
          <w:szCs w:val="20"/>
          <w:lang w:val="es-ES"/>
        </w:rPr>
        <w:footnoteReference w:id="152"/>
      </w:r>
      <w:r w:rsidR="00CA3BC3">
        <w:rPr>
          <w:rFonts w:asciiTheme="majorHAnsi" w:hAnsiTheme="majorHAnsi"/>
          <w:sz w:val="20"/>
          <w:szCs w:val="20"/>
          <w:lang w:val="es-ES"/>
        </w:rPr>
        <w:t xml:space="preserve"> por lo </w:t>
      </w:r>
      <w:r w:rsidR="00501B05">
        <w:rPr>
          <w:rFonts w:asciiTheme="majorHAnsi" w:hAnsiTheme="majorHAnsi"/>
          <w:sz w:val="20"/>
          <w:szCs w:val="20"/>
          <w:lang w:val="es-ES"/>
        </w:rPr>
        <w:t xml:space="preserve">que </w:t>
      </w:r>
      <w:r w:rsidR="00CA3BC3">
        <w:rPr>
          <w:rFonts w:asciiTheme="majorHAnsi" w:hAnsiTheme="majorHAnsi"/>
          <w:sz w:val="20"/>
          <w:szCs w:val="20"/>
          <w:lang w:val="es-ES"/>
        </w:rPr>
        <w:t>no</w:t>
      </w:r>
      <w:r w:rsidR="00501B05">
        <w:rPr>
          <w:rFonts w:asciiTheme="majorHAnsi" w:hAnsiTheme="majorHAnsi"/>
          <w:sz w:val="20"/>
          <w:szCs w:val="20"/>
          <w:lang w:val="es-ES"/>
        </w:rPr>
        <w:t xml:space="preserve"> lo</w:t>
      </w:r>
      <w:r w:rsidR="00CA3BC3">
        <w:rPr>
          <w:rFonts w:asciiTheme="majorHAnsi" w:hAnsiTheme="majorHAnsi"/>
          <w:sz w:val="20"/>
          <w:szCs w:val="20"/>
          <w:lang w:val="es-ES"/>
        </w:rPr>
        <w:t xml:space="preserve"> </w:t>
      </w:r>
      <w:r w:rsidR="00706FDA">
        <w:rPr>
          <w:rFonts w:asciiTheme="majorHAnsi" w:hAnsiTheme="majorHAnsi"/>
          <w:sz w:val="20"/>
          <w:szCs w:val="20"/>
          <w:lang w:val="es-ES"/>
        </w:rPr>
        <w:t>exime</w:t>
      </w:r>
      <w:r w:rsidR="00CA3BC3">
        <w:rPr>
          <w:rFonts w:asciiTheme="majorHAnsi" w:hAnsiTheme="majorHAnsi"/>
          <w:sz w:val="20"/>
          <w:szCs w:val="20"/>
          <w:lang w:val="es-ES"/>
        </w:rPr>
        <w:t xml:space="preserve"> de responsabilidad en el presente caso</w:t>
      </w:r>
      <w:r w:rsidR="00A94D2D">
        <w:rPr>
          <w:rFonts w:asciiTheme="majorHAnsi" w:hAnsiTheme="majorHAnsi"/>
          <w:sz w:val="20"/>
          <w:szCs w:val="20"/>
          <w:lang w:val="es-ES"/>
        </w:rPr>
        <w:t xml:space="preserve">. No obstante, </w:t>
      </w:r>
      <w:r w:rsidR="00CA3BC3">
        <w:rPr>
          <w:rFonts w:asciiTheme="majorHAnsi" w:hAnsiTheme="majorHAnsi"/>
          <w:sz w:val="20"/>
          <w:szCs w:val="20"/>
          <w:lang w:val="es-ES"/>
        </w:rPr>
        <w:t>en vista de que la investigación se encuentra parada desde 2006, que durante el curso de la investigación no consta que el Estado haya investigado la totalidad de las violaciones cometidas dentro de la cárcel ese día en perjuicio de todas las víctimas</w:t>
      </w:r>
      <w:r w:rsidR="00D877A2">
        <w:rPr>
          <w:rFonts w:asciiTheme="majorHAnsi" w:hAnsiTheme="majorHAnsi"/>
          <w:sz w:val="20"/>
          <w:szCs w:val="20"/>
          <w:lang w:val="es-ES"/>
        </w:rPr>
        <w:t>,</w:t>
      </w:r>
      <w:r w:rsidR="000B0F48">
        <w:rPr>
          <w:rFonts w:asciiTheme="majorHAnsi" w:hAnsiTheme="majorHAnsi"/>
          <w:sz w:val="20"/>
          <w:szCs w:val="20"/>
          <w:lang w:val="es-ES"/>
        </w:rPr>
        <w:t xml:space="preserve"> y que pasados seis años desde el acto conclusivo</w:t>
      </w:r>
      <w:r w:rsidR="00D877A2">
        <w:rPr>
          <w:rFonts w:asciiTheme="majorHAnsi" w:hAnsiTheme="majorHAnsi"/>
          <w:sz w:val="20"/>
          <w:szCs w:val="20"/>
          <w:lang w:val="es-ES"/>
        </w:rPr>
        <w:t xml:space="preserve"> de la investigación</w:t>
      </w:r>
      <w:r w:rsidR="000B0F48">
        <w:rPr>
          <w:rFonts w:asciiTheme="majorHAnsi" w:hAnsiTheme="majorHAnsi"/>
          <w:sz w:val="20"/>
          <w:szCs w:val="20"/>
          <w:lang w:val="es-ES"/>
        </w:rPr>
        <w:t xml:space="preserve"> no se haya concluido el juicio,</w:t>
      </w:r>
      <w:r w:rsidR="00CA3BC3">
        <w:rPr>
          <w:rFonts w:asciiTheme="majorHAnsi" w:hAnsiTheme="majorHAnsi"/>
          <w:sz w:val="20"/>
          <w:szCs w:val="20"/>
          <w:lang w:val="es-ES"/>
        </w:rPr>
        <w:t xml:space="preserve"> la Comisión encuentra que la eventual complejidad del asunto no</w:t>
      </w:r>
      <w:r w:rsidR="000B0F48">
        <w:rPr>
          <w:rFonts w:asciiTheme="majorHAnsi" w:hAnsiTheme="majorHAnsi"/>
          <w:sz w:val="20"/>
          <w:szCs w:val="20"/>
          <w:lang w:val="es-ES"/>
        </w:rPr>
        <w:t xml:space="preserve"> logra justificar  la demora y, por lo tanto, resulta clara la </w:t>
      </w:r>
      <w:r w:rsidR="00CA3BC3">
        <w:rPr>
          <w:rFonts w:asciiTheme="majorHAnsi" w:hAnsiTheme="majorHAnsi"/>
          <w:sz w:val="20"/>
          <w:szCs w:val="20"/>
          <w:lang w:val="es-ES"/>
        </w:rPr>
        <w:t>violación al plazo razonable</w:t>
      </w:r>
      <w:r w:rsidR="00A94D2D" w:rsidRPr="00424705">
        <w:rPr>
          <w:color w:val="000000" w:themeColor="text1"/>
          <w:sz w:val="20"/>
          <w:szCs w:val="20"/>
          <w:lang w:val="es-VE"/>
        </w:rPr>
        <w:t>.</w:t>
      </w:r>
      <w:r>
        <w:rPr>
          <w:rFonts w:asciiTheme="majorHAnsi" w:hAnsiTheme="majorHAnsi"/>
          <w:sz w:val="20"/>
          <w:szCs w:val="20"/>
          <w:lang w:val="es-ES"/>
        </w:rPr>
        <w:t xml:space="preserve"> </w:t>
      </w:r>
    </w:p>
    <w:p w14:paraId="001ABC3A" w14:textId="77777777" w:rsidR="00190F5A" w:rsidRPr="00190F5A" w:rsidRDefault="00190F5A" w:rsidP="00190F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L"/>
        </w:rPr>
      </w:pPr>
    </w:p>
    <w:p w14:paraId="3724850E" w14:textId="2BD01FBE" w:rsidR="00190F5A" w:rsidRPr="00DA33F5" w:rsidRDefault="006B1753"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lang w:val="es-CL"/>
        </w:rPr>
      </w:pPr>
      <w:r>
        <w:rPr>
          <w:rFonts w:asciiTheme="majorHAnsi" w:hAnsiTheme="majorHAnsi"/>
          <w:sz w:val="20"/>
          <w:szCs w:val="20"/>
          <w:lang w:val="es-CL"/>
        </w:rPr>
        <w:t>En virtud de las anteriores consideraciones, l</w:t>
      </w:r>
      <w:r w:rsidR="00190F5A" w:rsidRPr="00DA33F5">
        <w:rPr>
          <w:rFonts w:asciiTheme="majorHAnsi" w:hAnsiTheme="majorHAnsi"/>
          <w:sz w:val="20"/>
          <w:szCs w:val="20"/>
          <w:lang w:val="es-CL"/>
        </w:rPr>
        <w:t xml:space="preserve">a Comisión concluye que el Estado </w:t>
      </w:r>
      <w:r w:rsidR="00190F5A" w:rsidRPr="00CA3F97">
        <w:rPr>
          <w:rFonts w:asciiTheme="majorHAnsi" w:hAnsiTheme="majorHAnsi"/>
          <w:color w:val="auto"/>
          <w:sz w:val="20"/>
          <w:szCs w:val="20"/>
          <w:lang w:val="es-CL"/>
        </w:rPr>
        <w:t xml:space="preserve">venezolano es responsable por la violación de los derechos </w:t>
      </w:r>
      <w:r w:rsidR="00CA3F97" w:rsidRPr="00CA3F97">
        <w:rPr>
          <w:rFonts w:asciiTheme="majorHAnsi" w:hAnsiTheme="majorHAnsi"/>
          <w:color w:val="auto"/>
          <w:sz w:val="20"/>
          <w:szCs w:val="20"/>
          <w:lang w:val="es-CL"/>
        </w:rPr>
        <w:t>a las garantías judiciales y a la protección judicial</w:t>
      </w:r>
      <w:r w:rsidR="00190F5A" w:rsidRPr="00CA3F97">
        <w:rPr>
          <w:rFonts w:asciiTheme="majorHAnsi" w:hAnsiTheme="majorHAnsi"/>
          <w:color w:val="auto"/>
          <w:sz w:val="20"/>
          <w:szCs w:val="20"/>
          <w:lang w:val="es-CL"/>
        </w:rPr>
        <w:t xml:space="preserve"> establecidos en los artículos </w:t>
      </w:r>
      <w:r w:rsidR="00CA3F97" w:rsidRPr="00CA3F97">
        <w:rPr>
          <w:rFonts w:asciiTheme="majorHAnsi" w:hAnsiTheme="majorHAnsi"/>
          <w:color w:val="auto"/>
          <w:sz w:val="20"/>
          <w:szCs w:val="20"/>
          <w:lang w:val="es-CL"/>
        </w:rPr>
        <w:t>8</w:t>
      </w:r>
      <w:r w:rsidR="00262CE9">
        <w:rPr>
          <w:rFonts w:asciiTheme="majorHAnsi" w:hAnsiTheme="majorHAnsi"/>
          <w:color w:val="auto"/>
          <w:sz w:val="20"/>
          <w:szCs w:val="20"/>
          <w:lang w:val="es-CL"/>
        </w:rPr>
        <w:t>.1</w:t>
      </w:r>
      <w:r w:rsidR="00CA3F97" w:rsidRPr="00CA3F97">
        <w:rPr>
          <w:rFonts w:asciiTheme="majorHAnsi" w:hAnsiTheme="majorHAnsi"/>
          <w:color w:val="auto"/>
          <w:sz w:val="20"/>
          <w:szCs w:val="20"/>
          <w:lang w:val="es-CL"/>
        </w:rPr>
        <w:t xml:space="preserve"> y 25</w:t>
      </w:r>
      <w:r w:rsidR="00262CE9">
        <w:rPr>
          <w:rFonts w:asciiTheme="majorHAnsi" w:hAnsiTheme="majorHAnsi"/>
          <w:color w:val="auto"/>
          <w:sz w:val="20"/>
          <w:szCs w:val="20"/>
          <w:lang w:val="es-CL"/>
        </w:rPr>
        <w:t>.1</w:t>
      </w:r>
      <w:r w:rsidR="00190F5A" w:rsidRPr="00CA3F97">
        <w:rPr>
          <w:rFonts w:asciiTheme="majorHAnsi" w:hAnsiTheme="majorHAnsi"/>
          <w:color w:val="auto"/>
          <w:sz w:val="20"/>
          <w:szCs w:val="20"/>
          <w:lang w:val="es-CL"/>
        </w:rPr>
        <w:t xml:space="preserve"> de la </w:t>
      </w:r>
      <w:r w:rsidR="00190F5A" w:rsidRPr="00A1295D">
        <w:rPr>
          <w:rFonts w:asciiTheme="majorHAnsi" w:hAnsiTheme="majorHAnsi"/>
          <w:color w:val="auto"/>
          <w:sz w:val="20"/>
          <w:szCs w:val="20"/>
          <w:lang w:val="es-CL"/>
        </w:rPr>
        <w:t>Convención Americana, en relación con la obligación establecida en el</w:t>
      </w:r>
      <w:r w:rsidR="00CA3F97" w:rsidRPr="00A1295D">
        <w:rPr>
          <w:rFonts w:asciiTheme="majorHAnsi" w:hAnsiTheme="majorHAnsi"/>
          <w:color w:val="auto"/>
          <w:sz w:val="20"/>
          <w:szCs w:val="20"/>
          <w:lang w:val="es-CL"/>
        </w:rPr>
        <w:t xml:space="preserve"> artículo</w:t>
      </w:r>
      <w:r w:rsidR="00190F5A" w:rsidRPr="00A1295D">
        <w:rPr>
          <w:rFonts w:asciiTheme="majorHAnsi" w:hAnsiTheme="majorHAnsi"/>
          <w:color w:val="auto"/>
          <w:sz w:val="20"/>
          <w:szCs w:val="20"/>
          <w:lang w:val="es-CL"/>
        </w:rPr>
        <w:t xml:space="preserve"> 1.1 del mismo instrumento, en perjuicio de </w:t>
      </w:r>
      <w:r w:rsidR="00CA3F97" w:rsidRPr="00A1295D">
        <w:rPr>
          <w:rFonts w:asciiTheme="majorHAnsi" w:hAnsiTheme="majorHAnsi"/>
          <w:color w:val="auto"/>
          <w:sz w:val="20"/>
          <w:szCs w:val="20"/>
          <w:lang w:val="es-CL"/>
        </w:rPr>
        <w:t>las víctimas</w:t>
      </w:r>
      <w:r w:rsidR="00142902" w:rsidRPr="00A1295D">
        <w:rPr>
          <w:rFonts w:asciiTheme="majorHAnsi" w:hAnsiTheme="majorHAnsi"/>
          <w:color w:val="auto"/>
          <w:sz w:val="20"/>
          <w:szCs w:val="20"/>
          <w:lang w:val="es-CL"/>
        </w:rPr>
        <w:t xml:space="preserve"> heridas y los familiares de las víctimas fallecidas individualizados en el presente informe.</w:t>
      </w:r>
    </w:p>
    <w:p w14:paraId="62C64C91" w14:textId="77777777" w:rsidR="00BD175F" w:rsidRDefault="00BD175F" w:rsidP="003D67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CL"/>
        </w:rPr>
      </w:pPr>
    </w:p>
    <w:p w14:paraId="1819176A" w14:textId="0E40BA79" w:rsidR="001056E0" w:rsidRPr="00725FAD" w:rsidRDefault="0094652F" w:rsidP="00B70FC5">
      <w:pPr>
        <w:pStyle w:val="Heading2"/>
      </w:pPr>
      <w:bookmarkStart w:id="30" w:name="_Toc527708427"/>
      <w:r>
        <w:t>Derecho a la integridad personal de los familiares de las víctimas fallecidas en relación con el artículo 1.1 de la Convención Americana</w:t>
      </w:r>
      <w:bookmarkEnd w:id="30"/>
    </w:p>
    <w:p w14:paraId="15A4031E" w14:textId="77777777" w:rsidR="001056E0" w:rsidRPr="00725FAD" w:rsidRDefault="001056E0" w:rsidP="001056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501865EC" w14:textId="77777777" w:rsidR="001056E0" w:rsidRPr="00AC1F66" w:rsidRDefault="001056E0" w:rsidP="00461FE2">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jc w:val="both"/>
        <w:rPr>
          <w:rFonts w:asciiTheme="majorHAnsi" w:hAnsiTheme="majorHAnsi"/>
          <w:sz w:val="20"/>
          <w:szCs w:val="20"/>
          <w:lang w:val="es-ES"/>
        </w:rPr>
      </w:pPr>
      <w:r w:rsidRPr="00AC1F66">
        <w:rPr>
          <w:rFonts w:asciiTheme="majorHAnsi" w:hAnsiTheme="majorHAnsi"/>
          <w:sz w:val="20"/>
          <w:szCs w:val="20"/>
          <w:lang w:val="es-ES"/>
        </w:rPr>
        <w:t>La Comisión y la Corte Interamericana han indicado que los familiares de víctimas de ciertas violaciones de derechos humanos pueden ser considerados, a su vez, como víctimas</w:t>
      </w:r>
      <w:r w:rsidRPr="00AC1F66">
        <w:rPr>
          <w:sz w:val="20"/>
          <w:szCs w:val="20"/>
          <w:vertAlign w:val="superscript"/>
          <w:lang w:val="es-ES"/>
        </w:rPr>
        <w:footnoteReference w:id="153"/>
      </w:r>
      <w:r w:rsidRPr="00AC1F66">
        <w:rPr>
          <w:rFonts w:asciiTheme="majorHAnsi" w:hAnsiTheme="majorHAnsi"/>
          <w:sz w:val="20"/>
          <w:szCs w:val="20"/>
          <w:lang w:val="es-ES"/>
        </w:rPr>
        <w:t xml:space="preserve">. Al respecto, la Corte ha dispuesto que pueden verse afectados en su integridad psíquica y moral como consecuencia de las </w:t>
      </w:r>
      <w:r w:rsidRPr="00AC1F66">
        <w:rPr>
          <w:rFonts w:asciiTheme="majorHAnsi" w:hAnsiTheme="majorHAnsi"/>
          <w:sz w:val="20"/>
          <w:szCs w:val="20"/>
          <w:lang w:val="es-ES"/>
        </w:rPr>
        <w:lastRenderedPageBreak/>
        <w:t>situaciones particulares que padecieron las víctimas, así como de las posteriores actuaciones u omisiones de las autoridades internas frente a estos hechos</w:t>
      </w:r>
      <w:r w:rsidRPr="00AC1F66">
        <w:rPr>
          <w:sz w:val="20"/>
          <w:szCs w:val="20"/>
          <w:vertAlign w:val="superscript"/>
          <w:lang w:val="es-ES"/>
        </w:rPr>
        <w:footnoteReference w:id="154"/>
      </w:r>
      <w:r w:rsidRPr="00AC1F66">
        <w:rPr>
          <w:rFonts w:asciiTheme="majorHAnsi" w:hAnsiTheme="majorHAnsi"/>
          <w:sz w:val="20"/>
          <w:szCs w:val="20"/>
          <w:lang w:val="es-ES"/>
        </w:rPr>
        <w:t>.</w:t>
      </w:r>
    </w:p>
    <w:p w14:paraId="530AE846" w14:textId="77777777" w:rsidR="001056E0" w:rsidRPr="00AC1F66" w:rsidRDefault="001056E0" w:rsidP="001056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4"/>
        <w:jc w:val="both"/>
        <w:rPr>
          <w:rFonts w:asciiTheme="majorHAnsi" w:hAnsiTheme="majorHAnsi"/>
          <w:sz w:val="20"/>
          <w:szCs w:val="20"/>
          <w:lang w:val="es-ES"/>
        </w:rPr>
      </w:pPr>
    </w:p>
    <w:p w14:paraId="56AF730D" w14:textId="7732FC95" w:rsidR="00AC1F66" w:rsidRDefault="00AC1F66"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jc w:val="both"/>
        <w:rPr>
          <w:rFonts w:asciiTheme="majorHAnsi" w:hAnsiTheme="majorHAnsi"/>
          <w:sz w:val="20"/>
          <w:szCs w:val="20"/>
          <w:lang w:val="es-ES"/>
        </w:rPr>
      </w:pPr>
      <w:r>
        <w:rPr>
          <w:rFonts w:asciiTheme="majorHAnsi" w:hAnsiTheme="majorHAnsi"/>
          <w:sz w:val="20"/>
          <w:szCs w:val="20"/>
          <w:lang w:val="es-ES"/>
        </w:rPr>
        <w:t>En el presente caso, l</w:t>
      </w:r>
      <w:r w:rsidR="001056E0" w:rsidRPr="00AC1F66">
        <w:rPr>
          <w:rFonts w:asciiTheme="majorHAnsi" w:hAnsiTheme="majorHAnsi"/>
          <w:sz w:val="20"/>
          <w:szCs w:val="20"/>
          <w:lang w:val="es-ES"/>
        </w:rPr>
        <w:t>a Comisión ha establecido que el Estado venezolano es internacionalmente responsable de las muertes de las siete víctimas</w:t>
      </w:r>
      <w:r>
        <w:rPr>
          <w:rFonts w:asciiTheme="majorHAnsi" w:hAnsiTheme="majorHAnsi"/>
          <w:sz w:val="20"/>
          <w:szCs w:val="20"/>
          <w:lang w:val="es-ES"/>
        </w:rPr>
        <w:t xml:space="preserve">, y </w:t>
      </w:r>
      <w:r w:rsidR="001056E0" w:rsidRPr="00AC1F66">
        <w:rPr>
          <w:rFonts w:asciiTheme="majorHAnsi" w:hAnsiTheme="majorHAnsi"/>
          <w:sz w:val="20"/>
          <w:szCs w:val="20"/>
          <w:lang w:val="es-ES"/>
        </w:rPr>
        <w:t xml:space="preserve">que la investigación </w:t>
      </w:r>
      <w:r>
        <w:rPr>
          <w:rFonts w:asciiTheme="majorHAnsi" w:hAnsiTheme="majorHAnsi"/>
          <w:sz w:val="20"/>
          <w:szCs w:val="20"/>
          <w:lang w:val="es-ES"/>
        </w:rPr>
        <w:t xml:space="preserve">de dichas muertes </w:t>
      </w:r>
      <w:r w:rsidR="001056E0" w:rsidRPr="00AC1F66">
        <w:rPr>
          <w:rFonts w:asciiTheme="majorHAnsi" w:hAnsiTheme="majorHAnsi"/>
          <w:sz w:val="20"/>
          <w:szCs w:val="20"/>
          <w:lang w:val="es-ES"/>
        </w:rPr>
        <w:t xml:space="preserve">no se llevó a cabo con la debida diligencia. En ese tipo de circunstancias, la Corte ha indicado que: </w:t>
      </w:r>
    </w:p>
    <w:p w14:paraId="087DF573" w14:textId="77777777" w:rsidR="00AC1F66" w:rsidRDefault="00AC1F66" w:rsidP="00AC1F66">
      <w:pPr>
        <w:pStyle w:val="ListParagraph"/>
        <w:rPr>
          <w:rFonts w:asciiTheme="majorHAnsi" w:hAnsiTheme="majorHAnsi"/>
          <w:sz w:val="20"/>
          <w:szCs w:val="20"/>
          <w:lang w:val="es-ES"/>
        </w:rPr>
      </w:pPr>
    </w:p>
    <w:p w14:paraId="647DA197" w14:textId="60CBA839" w:rsidR="001056E0" w:rsidRPr="00AC1F66" w:rsidRDefault="001056E0" w:rsidP="00AC1F6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lang w:val="es-ES"/>
        </w:rPr>
      </w:pPr>
      <w:r w:rsidRPr="00AC1F66">
        <w:rPr>
          <w:rFonts w:asciiTheme="majorHAnsi" w:hAnsiTheme="majorHAnsi"/>
          <w:sz w:val="20"/>
          <w:szCs w:val="20"/>
          <w:lang w:val="es-ES"/>
        </w:rPr>
        <w:t>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AC1F66">
        <w:rPr>
          <w:rFonts w:asciiTheme="majorHAnsi" w:hAnsiTheme="majorHAnsi"/>
          <w:sz w:val="20"/>
          <w:szCs w:val="20"/>
          <w:vertAlign w:val="superscript"/>
          <w:lang w:val="es-ES"/>
        </w:rPr>
        <w:footnoteReference w:id="155"/>
      </w:r>
      <w:r w:rsidR="00AC1F66">
        <w:rPr>
          <w:rFonts w:asciiTheme="majorHAnsi" w:hAnsiTheme="majorHAnsi"/>
          <w:sz w:val="20"/>
          <w:szCs w:val="20"/>
          <w:lang w:val="es-ES"/>
        </w:rPr>
        <w:t>.</w:t>
      </w:r>
    </w:p>
    <w:p w14:paraId="42AD07BB" w14:textId="77777777" w:rsidR="001056E0" w:rsidRPr="00AC1F66" w:rsidRDefault="001056E0" w:rsidP="001056E0">
      <w:pPr>
        <w:pStyle w:val="ListParagraph"/>
        <w:rPr>
          <w:rFonts w:asciiTheme="majorHAnsi" w:hAnsiTheme="majorHAnsi"/>
          <w:sz w:val="20"/>
          <w:szCs w:val="20"/>
          <w:lang w:val="es-ES"/>
        </w:rPr>
      </w:pPr>
    </w:p>
    <w:p w14:paraId="030E5DAA" w14:textId="4CA0FDF6" w:rsidR="001056E0" w:rsidRPr="00AC1F66" w:rsidRDefault="00AC1F66" w:rsidP="00461FE2">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jc w:val="both"/>
        <w:rPr>
          <w:rFonts w:asciiTheme="majorHAnsi" w:hAnsiTheme="majorHAnsi"/>
          <w:sz w:val="20"/>
          <w:szCs w:val="20"/>
          <w:lang w:val="es-ES"/>
        </w:rPr>
      </w:pPr>
      <w:r>
        <w:rPr>
          <w:rFonts w:asciiTheme="majorHAnsi" w:hAnsiTheme="majorHAnsi"/>
          <w:sz w:val="20"/>
          <w:szCs w:val="20"/>
          <w:lang w:val="es-ES"/>
        </w:rPr>
        <w:t>L</w:t>
      </w:r>
      <w:r w:rsidR="001056E0" w:rsidRPr="00AC1F66">
        <w:rPr>
          <w:rFonts w:asciiTheme="majorHAnsi" w:hAnsiTheme="majorHAnsi"/>
          <w:sz w:val="20"/>
          <w:szCs w:val="20"/>
          <w:lang w:val="es-ES"/>
        </w:rPr>
        <w:t>a Comisión considera que las pérdidas de sus seres queridos en circunstancias como las descritas en el presente informe, así como la ausencia de verdad y justicia, ocasionaron sufrimiento y angustia</w:t>
      </w:r>
      <w:r>
        <w:rPr>
          <w:rFonts w:asciiTheme="majorHAnsi" w:hAnsiTheme="majorHAnsi"/>
          <w:sz w:val="20"/>
          <w:szCs w:val="20"/>
          <w:lang w:val="es-ES"/>
        </w:rPr>
        <w:t xml:space="preserve"> </w:t>
      </w:r>
      <w:r w:rsidRPr="00AC1F66">
        <w:rPr>
          <w:rFonts w:asciiTheme="majorHAnsi" w:hAnsiTheme="majorHAnsi"/>
          <w:sz w:val="20"/>
          <w:szCs w:val="20"/>
          <w:lang w:val="es-ES"/>
        </w:rPr>
        <w:t xml:space="preserve">en perjuicio de </w:t>
      </w:r>
      <w:r w:rsidRPr="00AC1F66">
        <w:rPr>
          <w:rFonts w:asciiTheme="majorHAnsi" w:hAnsiTheme="majorHAnsi"/>
          <w:sz w:val="20"/>
          <w:szCs w:val="20"/>
          <w:lang w:val="es-ES_tradnl"/>
        </w:rPr>
        <w:t>Lorenza Josefina Pérez de Olivares, Elizabeth del Carmen Cañizales Palma, Elías José Aguirre Navas, Yngris Lorena Muñoz Valerio, José Luis Figueroa, Jenny Leomelia Reyes Guzmán, y Johamnata Martínez Coralis</w:t>
      </w:r>
      <w:r w:rsidR="001056E0" w:rsidRPr="00AC1F66">
        <w:rPr>
          <w:rFonts w:asciiTheme="majorHAnsi" w:hAnsiTheme="majorHAnsi"/>
          <w:sz w:val="20"/>
          <w:szCs w:val="20"/>
          <w:lang w:val="es-ES"/>
        </w:rPr>
        <w:t>, en violación de su derecho a la integridad psíquica y moral establecido en el artículo 5.1 de la Convención en relación con las obligaciones contenidas en el artículo 1.1 de</w:t>
      </w:r>
      <w:r w:rsidRPr="00AC1F66">
        <w:rPr>
          <w:rFonts w:asciiTheme="majorHAnsi" w:hAnsiTheme="majorHAnsi"/>
          <w:sz w:val="20"/>
          <w:szCs w:val="20"/>
          <w:lang w:val="es-ES"/>
        </w:rPr>
        <w:t xml:space="preserve"> la</w:t>
      </w:r>
      <w:r w:rsidR="001056E0" w:rsidRPr="00AC1F66">
        <w:rPr>
          <w:rFonts w:asciiTheme="majorHAnsi" w:hAnsiTheme="majorHAnsi"/>
          <w:sz w:val="20"/>
          <w:szCs w:val="20"/>
          <w:lang w:val="es-ES"/>
        </w:rPr>
        <w:t xml:space="preserve"> mism</w:t>
      </w:r>
      <w:r w:rsidRPr="00AC1F66">
        <w:rPr>
          <w:rFonts w:asciiTheme="majorHAnsi" w:hAnsiTheme="majorHAnsi"/>
          <w:sz w:val="20"/>
          <w:szCs w:val="20"/>
          <w:lang w:val="es-ES"/>
        </w:rPr>
        <w:t>a</w:t>
      </w:r>
      <w:r w:rsidR="001056E0" w:rsidRPr="00AC1F66">
        <w:rPr>
          <w:rFonts w:asciiTheme="majorHAnsi" w:hAnsiTheme="majorHAnsi"/>
          <w:sz w:val="20"/>
          <w:szCs w:val="20"/>
          <w:lang w:val="es-ES"/>
        </w:rPr>
        <w:t>.</w:t>
      </w:r>
    </w:p>
    <w:p w14:paraId="67B14E63" w14:textId="77777777" w:rsidR="001056E0" w:rsidRPr="00AC1F66" w:rsidRDefault="001056E0" w:rsidP="001056E0">
      <w:pPr>
        <w:suppressAutoHyphens/>
        <w:rPr>
          <w:rFonts w:asciiTheme="majorHAnsi" w:hAnsiTheme="majorHAnsi"/>
          <w:b/>
          <w:sz w:val="20"/>
          <w:szCs w:val="20"/>
          <w:lang w:val="es-ES_tradnl"/>
        </w:rPr>
      </w:pPr>
    </w:p>
    <w:p w14:paraId="1DC9BF2A" w14:textId="77777777" w:rsidR="00D12193" w:rsidRPr="00E909AA" w:rsidRDefault="00D12193" w:rsidP="00B70FC5">
      <w:pPr>
        <w:pStyle w:val="Heading1"/>
      </w:pPr>
      <w:bookmarkStart w:id="31" w:name="_Toc527708428"/>
      <w:r w:rsidRPr="00E909AA">
        <w:t>CONCLUSIONES Y RECOMENDACIONES</w:t>
      </w:r>
      <w:bookmarkEnd w:id="31"/>
      <w:r w:rsidRPr="00E909AA">
        <w:t xml:space="preserve"> </w:t>
      </w:r>
    </w:p>
    <w:p w14:paraId="6EA212E0" w14:textId="77777777" w:rsidR="00DA33F5" w:rsidRDefault="00DA33F5" w:rsidP="00D12193">
      <w:pPr>
        <w:suppressAutoHyphens/>
        <w:rPr>
          <w:rFonts w:asciiTheme="majorHAnsi" w:hAnsiTheme="majorHAnsi"/>
          <w:b/>
          <w:sz w:val="20"/>
          <w:szCs w:val="20"/>
          <w:lang w:val="es-ES_tradnl"/>
        </w:rPr>
      </w:pPr>
    </w:p>
    <w:p w14:paraId="1CE66B27" w14:textId="50721BF2" w:rsidR="00DA33F5" w:rsidRPr="00DA33F5" w:rsidRDefault="00DA33F5" w:rsidP="00461FE2">
      <w:pPr>
        <w:pStyle w:val="ListParagraph"/>
        <w:numPr>
          <w:ilvl w:val="0"/>
          <w:numId w:val="75"/>
        </w:numPr>
        <w:suppressAutoHyphens/>
        <w:ind w:left="0" w:firstLine="634"/>
        <w:jc w:val="both"/>
        <w:rPr>
          <w:rFonts w:asciiTheme="majorHAnsi" w:hAnsiTheme="majorHAnsi"/>
          <w:b/>
          <w:sz w:val="20"/>
          <w:szCs w:val="20"/>
          <w:lang w:val="es-ES_tradnl"/>
        </w:rPr>
      </w:pPr>
      <w:r w:rsidRPr="00DA33F5">
        <w:rPr>
          <w:color w:val="000000" w:themeColor="text1"/>
          <w:sz w:val="20"/>
          <w:szCs w:val="20"/>
          <w:lang w:val="es-VE"/>
        </w:rPr>
        <w:t>Con base en las determinaciones de hecho y de derecho, la Comisión Interamericana concluy</w:t>
      </w:r>
      <w:r>
        <w:rPr>
          <w:color w:val="000000" w:themeColor="text1"/>
          <w:sz w:val="20"/>
          <w:szCs w:val="20"/>
          <w:lang w:val="es-VE"/>
        </w:rPr>
        <w:t>e</w:t>
      </w:r>
      <w:r w:rsidRPr="00DA33F5">
        <w:rPr>
          <w:color w:val="000000" w:themeColor="text1"/>
          <w:sz w:val="20"/>
          <w:szCs w:val="20"/>
          <w:lang w:val="es-VE"/>
        </w:rPr>
        <w:t xml:space="preserve"> que el Estado es responsable por la violación de los artículos </w:t>
      </w:r>
      <w:r w:rsidR="00190F5A">
        <w:rPr>
          <w:color w:val="000000" w:themeColor="text1"/>
          <w:sz w:val="20"/>
          <w:szCs w:val="20"/>
          <w:lang w:val="es-VE"/>
        </w:rPr>
        <w:t>4</w:t>
      </w:r>
      <w:r w:rsidR="003312D7">
        <w:rPr>
          <w:color w:val="000000" w:themeColor="text1"/>
          <w:sz w:val="20"/>
          <w:szCs w:val="20"/>
          <w:lang w:val="es-VE"/>
        </w:rPr>
        <w:t>.1</w:t>
      </w:r>
      <w:r w:rsidR="00190F5A">
        <w:rPr>
          <w:color w:val="000000" w:themeColor="text1"/>
          <w:sz w:val="20"/>
          <w:szCs w:val="20"/>
          <w:lang w:val="es-VE"/>
        </w:rPr>
        <w:t xml:space="preserve"> (vida), 5</w:t>
      </w:r>
      <w:r w:rsidR="003312D7">
        <w:rPr>
          <w:color w:val="000000" w:themeColor="text1"/>
          <w:sz w:val="20"/>
          <w:szCs w:val="20"/>
          <w:lang w:val="es-VE"/>
        </w:rPr>
        <w:t>.1 y 5.2</w:t>
      </w:r>
      <w:r w:rsidR="00190F5A">
        <w:rPr>
          <w:color w:val="000000" w:themeColor="text1"/>
          <w:sz w:val="20"/>
          <w:szCs w:val="20"/>
          <w:lang w:val="es-VE"/>
        </w:rPr>
        <w:t xml:space="preserve"> (integridad personal), 8</w:t>
      </w:r>
      <w:r w:rsidR="007A01B8">
        <w:rPr>
          <w:color w:val="000000" w:themeColor="text1"/>
          <w:sz w:val="20"/>
          <w:szCs w:val="20"/>
          <w:lang w:val="es-VE"/>
        </w:rPr>
        <w:t>.1</w:t>
      </w:r>
      <w:r w:rsidR="00190F5A">
        <w:rPr>
          <w:color w:val="000000" w:themeColor="text1"/>
          <w:sz w:val="20"/>
          <w:szCs w:val="20"/>
          <w:lang w:val="es-VE"/>
        </w:rPr>
        <w:t xml:space="preserve"> (garantías judiciales) y </w:t>
      </w:r>
      <w:r w:rsidR="00190F5A" w:rsidRPr="00A1295D">
        <w:rPr>
          <w:color w:val="auto"/>
          <w:sz w:val="20"/>
          <w:szCs w:val="20"/>
          <w:lang w:val="es-VE"/>
        </w:rPr>
        <w:t>25</w:t>
      </w:r>
      <w:r w:rsidR="007A01B8" w:rsidRPr="00A1295D">
        <w:rPr>
          <w:color w:val="auto"/>
          <w:sz w:val="20"/>
          <w:szCs w:val="20"/>
          <w:lang w:val="es-VE"/>
        </w:rPr>
        <w:t>.1</w:t>
      </w:r>
      <w:r w:rsidR="00190F5A" w:rsidRPr="00A1295D">
        <w:rPr>
          <w:color w:val="auto"/>
          <w:sz w:val="20"/>
          <w:szCs w:val="20"/>
          <w:lang w:val="es-VE"/>
        </w:rPr>
        <w:t xml:space="preserve"> (protección judicial) </w:t>
      </w:r>
      <w:r w:rsidRPr="00A1295D">
        <w:rPr>
          <w:color w:val="auto"/>
          <w:sz w:val="20"/>
          <w:szCs w:val="20"/>
          <w:lang w:val="es-VE"/>
        </w:rPr>
        <w:t>de la Convención Americana, en relación con las obligaciones establecidas en los artículos 1.1</w:t>
      </w:r>
      <w:r w:rsidR="00C31160" w:rsidRPr="00A1295D">
        <w:rPr>
          <w:color w:val="auto"/>
          <w:sz w:val="20"/>
          <w:szCs w:val="20"/>
          <w:lang w:val="es-VE"/>
        </w:rPr>
        <w:t xml:space="preserve"> y </w:t>
      </w:r>
      <w:r w:rsidRPr="00A1295D">
        <w:rPr>
          <w:color w:val="auto"/>
          <w:sz w:val="20"/>
          <w:szCs w:val="20"/>
          <w:lang w:val="es-VE"/>
        </w:rPr>
        <w:t>2 del mis</w:t>
      </w:r>
      <w:r w:rsidRPr="00DA33F5">
        <w:rPr>
          <w:color w:val="000000" w:themeColor="text1"/>
          <w:sz w:val="20"/>
          <w:szCs w:val="20"/>
          <w:lang w:val="es-VE"/>
        </w:rPr>
        <w:t xml:space="preserve">mo instrumento. </w:t>
      </w:r>
    </w:p>
    <w:p w14:paraId="55B5CB1F" w14:textId="77777777" w:rsidR="00006896" w:rsidRPr="00175716" w:rsidRDefault="00006896" w:rsidP="00006896">
      <w:pPr>
        <w:suppressAutoHyphens/>
        <w:jc w:val="both"/>
        <w:rPr>
          <w:rFonts w:asciiTheme="majorHAnsi" w:hAnsiTheme="majorHAnsi"/>
          <w:sz w:val="20"/>
          <w:szCs w:val="20"/>
          <w:lang w:val="es-ES_tradnl"/>
        </w:rPr>
      </w:pPr>
    </w:p>
    <w:p w14:paraId="3A3E533B" w14:textId="54E3ADB2" w:rsidR="00006896" w:rsidRPr="00CB025A" w:rsidRDefault="00006896" w:rsidP="00006896">
      <w:pPr>
        <w:ind w:firstLine="720"/>
        <w:jc w:val="both"/>
        <w:rPr>
          <w:rFonts w:ascii="Cambria" w:hAnsi="Cambria"/>
          <w:b/>
          <w:sz w:val="20"/>
          <w:szCs w:val="20"/>
          <w:lang w:val="es-ES_tradnl"/>
        </w:rPr>
      </w:pPr>
      <w:r w:rsidRPr="00CB025A">
        <w:rPr>
          <w:rFonts w:ascii="Cambria" w:hAnsi="Cambria"/>
          <w:b/>
          <w:sz w:val="20"/>
          <w:szCs w:val="20"/>
          <w:lang w:val="es-ES_tradnl"/>
        </w:rPr>
        <w:tab/>
        <w:t xml:space="preserve">LA COMISIÓN INTERAMERICANA DE DERECHOS HUMANOS, RECOMIENDA AL ESTADO DE </w:t>
      </w:r>
      <w:r w:rsidR="00B80C6A" w:rsidRPr="00B80C6A">
        <w:rPr>
          <w:rFonts w:ascii="Cambria" w:hAnsi="Cambria"/>
          <w:b/>
          <w:sz w:val="20"/>
          <w:szCs w:val="20"/>
          <w:lang w:val="es-ES_tradnl"/>
        </w:rPr>
        <w:t>VENEZUELA</w:t>
      </w:r>
      <w:r w:rsidRPr="00CB025A">
        <w:rPr>
          <w:rFonts w:ascii="Cambria" w:hAnsi="Cambria"/>
          <w:b/>
          <w:sz w:val="20"/>
          <w:szCs w:val="20"/>
          <w:lang w:val="es-ES_tradnl"/>
        </w:rPr>
        <w:t>,</w:t>
      </w:r>
    </w:p>
    <w:p w14:paraId="55832674" w14:textId="77777777" w:rsidR="00006896" w:rsidRPr="00CB025A"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lang w:val="es-US"/>
        </w:rPr>
      </w:pPr>
      <w:r w:rsidRPr="00CB025A">
        <w:rPr>
          <w:rFonts w:ascii="Helvetica" w:eastAsia="Times New Roman" w:hAnsi="Helvetica"/>
          <w:color w:val="666666"/>
          <w:sz w:val="15"/>
          <w:szCs w:val="15"/>
          <w:bdr w:val="none" w:sz="0" w:space="0" w:color="auto"/>
          <w:lang w:val="es-US"/>
        </w:rPr>
        <w:t> </w:t>
      </w:r>
    </w:p>
    <w:p w14:paraId="0EE83EB2" w14:textId="77777777" w:rsidR="005F309E" w:rsidRDefault="005F309E" w:rsidP="007117F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5F309E">
        <w:rPr>
          <w:rFonts w:eastAsia="Times New Roman" w:cs="Tahoma"/>
          <w:sz w:val="20"/>
          <w:szCs w:val="20"/>
          <w:bdr w:val="none" w:sz="0" w:space="0" w:color="auto"/>
          <w:lang w:val="es-ES"/>
        </w:rPr>
        <w:t>Reparar integralmente las violaciones de derechos humanos declaradas en el presente informe tanto e</w:t>
      </w:r>
      <w:r>
        <w:rPr>
          <w:rFonts w:eastAsia="Times New Roman" w:cs="Tahoma"/>
          <w:sz w:val="20"/>
          <w:szCs w:val="20"/>
          <w:bdr w:val="none" w:sz="0" w:space="0" w:color="auto"/>
          <w:lang w:val="es-ES"/>
        </w:rPr>
        <w:t>n el aspecto material como inmaterial</w:t>
      </w:r>
      <w:r w:rsidRPr="005F309E">
        <w:rPr>
          <w:rFonts w:eastAsia="Times New Roman" w:cs="Tahoma"/>
          <w:sz w:val="20"/>
          <w:szCs w:val="20"/>
          <w:bdr w:val="none" w:sz="0" w:space="0" w:color="auto"/>
          <w:lang w:val="es-ES"/>
        </w:rPr>
        <w:t xml:space="preserve">. El Estado deberá adoptar las medidas de compensación </w:t>
      </w:r>
      <w:r>
        <w:rPr>
          <w:rFonts w:eastAsia="Times New Roman" w:cs="Tahoma"/>
          <w:sz w:val="20"/>
          <w:szCs w:val="20"/>
          <w:bdr w:val="none" w:sz="0" w:space="0" w:color="auto"/>
          <w:lang w:val="es-ES"/>
        </w:rPr>
        <w:t>económica y satisfacción.</w:t>
      </w:r>
      <w:r w:rsidRPr="005F309E">
        <w:rPr>
          <w:rFonts w:eastAsia="Times New Roman" w:cs="Tahoma"/>
          <w:sz w:val="20"/>
          <w:szCs w:val="20"/>
          <w:bdr w:val="none" w:sz="0" w:space="0" w:color="auto"/>
          <w:lang w:val="es-ES"/>
        </w:rPr>
        <w:t xml:space="preserve"> </w:t>
      </w:r>
    </w:p>
    <w:p w14:paraId="7EB9E457" w14:textId="77777777" w:rsidR="005F309E" w:rsidRPr="005F309E" w:rsidRDefault="005F309E" w:rsidP="005F309E">
      <w:pPr>
        <w:pStyle w:val="ListParagraph"/>
        <w:rPr>
          <w:rFonts w:eastAsia="Times New Roman" w:cs="Tahoma"/>
          <w:sz w:val="20"/>
          <w:szCs w:val="20"/>
          <w:bdr w:val="none" w:sz="0" w:space="0" w:color="auto"/>
          <w:lang w:val="es-ES"/>
        </w:rPr>
      </w:pPr>
    </w:p>
    <w:p w14:paraId="3C79C7DB" w14:textId="4B2E386E" w:rsidR="0033028D" w:rsidRPr="0033028D" w:rsidRDefault="005F309E" w:rsidP="007117F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Pr>
          <w:rFonts w:eastAsia="Times New Roman" w:cs="Tahoma"/>
          <w:sz w:val="20"/>
          <w:szCs w:val="20"/>
          <w:bdr w:val="none" w:sz="0" w:space="0" w:color="auto"/>
          <w:lang w:val="es-ES"/>
        </w:rPr>
        <w:t>Disponer las medidas de atención en salud física y mental necesarias para la rehabilitación</w:t>
      </w:r>
      <w:r w:rsidR="0033028D">
        <w:rPr>
          <w:rFonts w:eastAsia="Times New Roman" w:cs="Tahoma"/>
          <w:sz w:val="20"/>
          <w:szCs w:val="20"/>
          <w:bdr w:val="none" w:sz="0" w:space="0" w:color="auto"/>
          <w:lang w:val="es-ES"/>
        </w:rPr>
        <w:t xml:space="preserve"> de </w:t>
      </w:r>
      <w:r w:rsidR="00017F67">
        <w:rPr>
          <w:rFonts w:eastAsia="Times New Roman" w:cs="Tahoma"/>
          <w:sz w:val="20"/>
          <w:szCs w:val="20"/>
          <w:bdr w:val="none" w:sz="0" w:space="0" w:color="auto"/>
          <w:lang w:val="es-ES"/>
        </w:rPr>
        <w:t>los familiares de las víctimas</w:t>
      </w:r>
      <w:r w:rsidR="00A8179E">
        <w:rPr>
          <w:rFonts w:eastAsia="Times New Roman" w:cs="Tahoma"/>
          <w:sz w:val="20"/>
          <w:szCs w:val="20"/>
          <w:bdr w:val="none" w:sz="0" w:space="0" w:color="auto"/>
          <w:lang w:val="es-ES"/>
        </w:rPr>
        <w:t xml:space="preserve"> fallecidas</w:t>
      </w:r>
      <w:r w:rsidR="00017F67">
        <w:rPr>
          <w:rFonts w:eastAsia="Times New Roman" w:cs="Tahoma"/>
          <w:sz w:val="20"/>
          <w:szCs w:val="20"/>
          <w:bdr w:val="none" w:sz="0" w:space="0" w:color="auto"/>
          <w:lang w:val="es-ES"/>
        </w:rPr>
        <w:t>, así como los internos heridos</w:t>
      </w:r>
      <w:r>
        <w:rPr>
          <w:rFonts w:eastAsia="Times New Roman" w:cs="Tahoma"/>
          <w:sz w:val="20"/>
          <w:szCs w:val="20"/>
          <w:bdr w:val="none" w:sz="0" w:space="0" w:color="auto"/>
          <w:lang w:val="es-ES"/>
        </w:rPr>
        <w:t>, de ser su voluntad y de manera concertada.</w:t>
      </w:r>
    </w:p>
    <w:p w14:paraId="26F4E5EA" w14:textId="77777777" w:rsidR="0033028D" w:rsidRPr="0033028D" w:rsidRDefault="0033028D" w:rsidP="0033028D">
      <w:pPr>
        <w:pStyle w:val="ListParagraph"/>
        <w:rPr>
          <w:sz w:val="20"/>
          <w:szCs w:val="20"/>
          <w:lang w:val="es-ES"/>
        </w:rPr>
      </w:pPr>
    </w:p>
    <w:p w14:paraId="67E557B6" w14:textId="77777777" w:rsidR="00DD5B65" w:rsidRPr="00DD5B65" w:rsidRDefault="00006896" w:rsidP="00DD5B6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sidRPr="00A1295D">
        <w:rPr>
          <w:rFonts w:eastAsia="Times New Roman" w:cs="Tahoma"/>
          <w:color w:val="auto"/>
          <w:sz w:val="20"/>
          <w:szCs w:val="20"/>
          <w:bdr w:val="none" w:sz="0" w:space="0" w:color="auto"/>
          <w:lang w:val="es-AR"/>
        </w:rPr>
        <w:t>Continuar</w:t>
      </w:r>
      <w:r w:rsidR="0033028D" w:rsidRPr="00A1295D">
        <w:rPr>
          <w:rFonts w:eastAsia="Times New Roman" w:cs="Tahoma"/>
          <w:color w:val="auto"/>
          <w:sz w:val="20"/>
          <w:szCs w:val="20"/>
          <w:bdr w:val="none" w:sz="0" w:space="0" w:color="auto"/>
          <w:lang w:val="es-AR"/>
        </w:rPr>
        <w:t xml:space="preserve"> </w:t>
      </w:r>
      <w:r w:rsidRPr="0033028D">
        <w:rPr>
          <w:rFonts w:eastAsia="Times New Roman" w:cs="Tahoma"/>
          <w:sz w:val="20"/>
          <w:szCs w:val="20"/>
          <w:bdr w:val="none" w:sz="0" w:space="0" w:color="auto"/>
          <w:lang w:val="es-AR"/>
        </w:rPr>
        <w:t xml:space="preserve">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w:t>
      </w:r>
    </w:p>
    <w:p w14:paraId="3E6B2F7B" w14:textId="77777777" w:rsidR="00DD5B65" w:rsidRPr="00DD5B65" w:rsidRDefault="00DD5B65" w:rsidP="00DD5B65">
      <w:pPr>
        <w:pStyle w:val="ListParagraph"/>
        <w:rPr>
          <w:rFonts w:eastAsia="Times New Roman" w:cs="Tahoma"/>
          <w:sz w:val="20"/>
          <w:szCs w:val="20"/>
          <w:bdr w:val="none" w:sz="0" w:space="0" w:color="auto"/>
          <w:lang w:val="es-US"/>
        </w:rPr>
      </w:pPr>
    </w:p>
    <w:p w14:paraId="00A9E263" w14:textId="79F6CE5B" w:rsidR="00684A0F" w:rsidRPr="00FD7DBD" w:rsidRDefault="00006896" w:rsidP="00BF76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ES"/>
        </w:rPr>
      </w:pPr>
      <w:r w:rsidRPr="00DD5B65">
        <w:rPr>
          <w:rFonts w:eastAsia="Times New Roman" w:cs="Tahoma"/>
          <w:sz w:val="20"/>
          <w:szCs w:val="20"/>
          <w:bdr w:val="none" w:sz="0" w:space="0" w:color="auto"/>
          <w:lang w:val="es-US"/>
        </w:rPr>
        <w:t xml:space="preserve">Disponer mecanismos de no repetición que incluyan: </w:t>
      </w:r>
      <w:r w:rsidR="00DD5B65" w:rsidRPr="00DD5B65">
        <w:rPr>
          <w:rFonts w:eastAsia="Times New Roman" w:cs="Tahoma"/>
          <w:sz w:val="20"/>
          <w:szCs w:val="20"/>
          <w:bdr w:val="none" w:sz="0" w:space="0" w:color="auto"/>
          <w:lang w:val="es-US"/>
        </w:rPr>
        <w:t xml:space="preserve">i) </w:t>
      </w:r>
      <w:r w:rsidR="00DD5B65" w:rsidRPr="00DD5B65">
        <w:rPr>
          <w:rFonts w:eastAsia="Times New Roman"/>
          <w:sz w:val="20"/>
          <w:szCs w:val="20"/>
          <w:bdr w:val="none" w:sz="0" w:space="0" w:color="auto"/>
          <w:lang w:val="es-ES"/>
        </w:rPr>
        <w:t xml:space="preserve">La modificación del </w:t>
      </w:r>
      <w:r w:rsidR="0033749C">
        <w:rPr>
          <w:rFonts w:eastAsia="Times New Roman"/>
          <w:sz w:val="20"/>
          <w:szCs w:val="20"/>
          <w:bdr w:val="none" w:sz="0" w:space="0" w:color="auto"/>
          <w:lang w:val="es-ES"/>
        </w:rPr>
        <w:t xml:space="preserve">artículo </w:t>
      </w:r>
      <w:r w:rsidR="00DD5B65" w:rsidRPr="00DD5B65">
        <w:rPr>
          <w:rFonts w:eastAsia="Times New Roman"/>
          <w:sz w:val="20"/>
          <w:szCs w:val="20"/>
          <w:bdr w:val="none" w:sz="0" w:space="0" w:color="auto"/>
          <w:lang w:val="es-ES"/>
        </w:rPr>
        <w:t>8 de la Ley de Régimen Penitenciario de acuerdo con los estándares establecidos en este informe de fondo</w:t>
      </w:r>
      <w:r w:rsidR="0033749C">
        <w:rPr>
          <w:rFonts w:eastAsia="Times New Roman"/>
          <w:sz w:val="20"/>
          <w:szCs w:val="20"/>
          <w:bdr w:val="none" w:sz="0" w:space="0" w:color="auto"/>
          <w:lang w:val="es-ES"/>
        </w:rPr>
        <w:t>;</w:t>
      </w:r>
      <w:r w:rsidR="00277A0F">
        <w:rPr>
          <w:rFonts w:eastAsia="Times New Roman"/>
          <w:sz w:val="20"/>
          <w:szCs w:val="20"/>
          <w:bdr w:val="none" w:sz="0" w:space="0" w:color="auto"/>
          <w:lang w:val="es-ES"/>
        </w:rPr>
        <w:t xml:space="preserve"> y</w:t>
      </w:r>
      <w:r w:rsidR="0033749C">
        <w:rPr>
          <w:rFonts w:eastAsia="Times New Roman"/>
          <w:sz w:val="20"/>
          <w:szCs w:val="20"/>
          <w:bdr w:val="none" w:sz="0" w:space="0" w:color="auto"/>
          <w:lang w:val="es-ES"/>
        </w:rPr>
        <w:t xml:space="preserve"> </w:t>
      </w:r>
      <w:r w:rsidR="003359AE">
        <w:rPr>
          <w:rFonts w:eastAsia="Times New Roman"/>
          <w:sz w:val="20"/>
          <w:szCs w:val="20"/>
          <w:bdr w:val="none" w:sz="0" w:space="0" w:color="auto"/>
          <w:lang w:val="es-ES"/>
        </w:rPr>
        <w:t xml:space="preserve">ii) La adopción de todas las medidas necesarias </w:t>
      </w:r>
      <w:r w:rsidR="000C0DB3">
        <w:rPr>
          <w:rFonts w:eastAsia="Times New Roman"/>
          <w:sz w:val="20"/>
          <w:szCs w:val="20"/>
          <w:bdr w:val="none" w:sz="0" w:space="0" w:color="auto"/>
          <w:lang w:val="es-ES"/>
        </w:rPr>
        <w:t>para asegurar que el personal de custodia de los centros de detención, incluso en situaciones de emergencia, sea de carácter civil y esté debidamente capacitado en mate</w:t>
      </w:r>
      <w:r w:rsidR="0039583F">
        <w:rPr>
          <w:rFonts w:eastAsia="Times New Roman"/>
          <w:sz w:val="20"/>
          <w:szCs w:val="20"/>
          <w:bdr w:val="none" w:sz="0" w:space="0" w:color="auto"/>
          <w:lang w:val="es-ES"/>
        </w:rPr>
        <w:t>ria</w:t>
      </w:r>
      <w:r w:rsidR="000C0DB3">
        <w:rPr>
          <w:rFonts w:eastAsia="Times New Roman"/>
          <w:sz w:val="20"/>
          <w:szCs w:val="20"/>
          <w:bdr w:val="none" w:sz="0" w:space="0" w:color="auto"/>
          <w:lang w:val="es-ES"/>
        </w:rPr>
        <w:t xml:space="preserve"> penitenciari</w:t>
      </w:r>
      <w:r w:rsidR="00277A0F">
        <w:rPr>
          <w:rFonts w:eastAsia="Times New Roman"/>
          <w:sz w:val="20"/>
          <w:szCs w:val="20"/>
          <w:bdr w:val="none" w:sz="0" w:space="0" w:color="auto"/>
          <w:lang w:val="es-ES"/>
        </w:rPr>
        <w:t xml:space="preserve">a y sobre los estándares relativos al uso de la fuerza, en los términos descritos en el presente informe de fondo. </w:t>
      </w:r>
    </w:p>
    <w:sectPr w:rsidR="00684A0F" w:rsidRPr="00FD7DBD"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E0240" w16cid:durableId="1F252CF1"/>
  <w16cid:commentId w16cid:paraId="377F34EA" w16cid:durableId="1F252CF2"/>
  <w16cid:commentId w16cid:paraId="5EA7CE88" w16cid:durableId="1F252CF3"/>
  <w16cid:commentId w16cid:paraId="3B7713DA" w16cid:durableId="1F252C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9C31" w14:textId="77777777" w:rsidR="00595122" w:rsidRDefault="00595122">
      <w:r>
        <w:separator/>
      </w:r>
    </w:p>
  </w:endnote>
  <w:endnote w:type="continuationSeparator" w:id="0">
    <w:p w14:paraId="7258EB75" w14:textId="77777777" w:rsidR="00595122" w:rsidRDefault="005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19EDE234" w14:textId="77777777" w:rsidR="00595122" w:rsidRPr="00934A2C" w:rsidRDefault="0059512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77A2">
          <w:rPr>
            <w:noProof/>
            <w:sz w:val="16"/>
            <w:szCs w:val="22"/>
          </w:rPr>
          <w:t>22</w:t>
        </w:r>
        <w:r w:rsidRPr="00934A2C">
          <w:rPr>
            <w:noProof/>
            <w:sz w:val="16"/>
            <w:szCs w:val="22"/>
          </w:rPr>
          <w:fldChar w:fldCharType="end"/>
        </w:r>
      </w:p>
    </w:sdtContent>
  </w:sdt>
  <w:p w14:paraId="560BA002" w14:textId="77777777" w:rsidR="00595122" w:rsidRDefault="0059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C586" w14:textId="77777777" w:rsidR="00595122" w:rsidRPr="00934A2C" w:rsidRDefault="00595122">
    <w:pPr>
      <w:pStyle w:val="Footer"/>
      <w:jc w:val="center"/>
      <w:rPr>
        <w:sz w:val="16"/>
        <w:szCs w:val="22"/>
      </w:rPr>
    </w:pPr>
  </w:p>
  <w:p w14:paraId="61529A1E" w14:textId="77777777" w:rsidR="00595122" w:rsidRDefault="0059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F8A7" w14:textId="77777777" w:rsidR="00595122" w:rsidRPr="000F35ED" w:rsidRDefault="005951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02586E" w14:textId="77777777" w:rsidR="00595122" w:rsidRPr="000F35ED" w:rsidRDefault="00595122" w:rsidP="000F35ED">
      <w:pPr>
        <w:rPr>
          <w:rFonts w:asciiTheme="majorHAnsi" w:hAnsiTheme="majorHAnsi"/>
          <w:sz w:val="16"/>
          <w:szCs w:val="16"/>
        </w:rPr>
      </w:pPr>
      <w:r w:rsidRPr="000F35ED">
        <w:rPr>
          <w:rFonts w:asciiTheme="majorHAnsi" w:hAnsiTheme="majorHAnsi"/>
          <w:sz w:val="16"/>
          <w:szCs w:val="16"/>
        </w:rPr>
        <w:separator/>
      </w:r>
    </w:p>
    <w:p w14:paraId="0C072F88" w14:textId="77777777" w:rsidR="00595122" w:rsidRPr="000F35ED" w:rsidRDefault="0059512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D4F6FF" w14:textId="77777777" w:rsidR="00595122" w:rsidRPr="000F35ED" w:rsidRDefault="0059512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E5D0312" w14:textId="028A6A31" w:rsidR="00595122" w:rsidRPr="00A15BBB" w:rsidRDefault="00595122" w:rsidP="007B1498">
      <w:pPr>
        <w:pStyle w:val="FootnoteText"/>
        <w:spacing w:after="120"/>
        <w:jc w:val="both"/>
        <w:rPr>
          <w:rFonts w:asciiTheme="majorHAnsi" w:hAnsiTheme="majorHAnsi" w:cstheme="minorHAnsi"/>
          <w:color w:val="auto"/>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w:t>
      </w:r>
      <w:r w:rsidRPr="00A15BBB">
        <w:rPr>
          <w:rFonts w:asciiTheme="majorHAnsi" w:hAnsiTheme="majorHAnsi" w:cstheme="minorHAnsi"/>
          <w:color w:val="auto"/>
          <w:sz w:val="16"/>
          <w:szCs w:val="16"/>
          <w:lang w:val="es-US"/>
        </w:rPr>
        <w:t xml:space="preserve">CIDH. Informe No. 14/11. Caso 12.814. </w:t>
      </w:r>
      <w:r>
        <w:rPr>
          <w:rFonts w:asciiTheme="majorHAnsi" w:hAnsiTheme="majorHAnsi" w:cstheme="minorHAnsi"/>
          <w:color w:val="auto"/>
          <w:sz w:val="16"/>
          <w:szCs w:val="16"/>
          <w:lang w:val="es-US"/>
        </w:rPr>
        <w:t xml:space="preserve">Admisibilidad. </w:t>
      </w:r>
      <w:r w:rsidRPr="00A15BBB">
        <w:rPr>
          <w:rFonts w:asciiTheme="majorHAnsi" w:hAnsiTheme="majorHAnsi" w:cstheme="minorHAnsi"/>
          <w:color w:val="auto"/>
          <w:sz w:val="16"/>
          <w:szCs w:val="16"/>
          <w:lang w:val="es-US"/>
        </w:rPr>
        <w:t>Orlando Olivares y otros (Muertes en la Cárcel de Vista Hermosa). 23 de marzo de 2011. Artículos admisibles: 4, 5, 8, y 25 de la Convención Americana sobre Derechos Humanos.</w:t>
      </w:r>
    </w:p>
  </w:footnote>
  <w:footnote w:id="3">
    <w:p w14:paraId="714B7A04" w14:textId="2C0C00AC"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color w:val="000000" w:themeColor="text1"/>
          <w:sz w:val="16"/>
          <w:szCs w:val="16"/>
        </w:rPr>
        <w:footnoteRef/>
      </w:r>
      <w:r w:rsidRPr="00A15BBB">
        <w:rPr>
          <w:rFonts w:asciiTheme="majorHAnsi" w:hAnsiTheme="majorHAnsi" w:cstheme="minorHAnsi"/>
          <w:color w:val="000000" w:themeColor="text1"/>
          <w:sz w:val="16"/>
          <w:szCs w:val="16"/>
          <w:lang w:val="es-US"/>
        </w:rPr>
        <w:t xml:space="preserve"> Identificadas abajo </w:t>
      </w:r>
      <w:r w:rsidRPr="00263A58">
        <w:rPr>
          <w:rFonts w:asciiTheme="majorHAnsi" w:hAnsiTheme="majorHAnsi" w:cstheme="minorHAnsi"/>
          <w:color w:val="000000" w:themeColor="text1"/>
          <w:sz w:val="16"/>
          <w:szCs w:val="16"/>
          <w:lang w:val="es-US"/>
        </w:rPr>
        <w:t>en párrafo 18</w:t>
      </w:r>
      <w:r w:rsidRPr="00A15BBB">
        <w:rPr>
          <w:rFonts w:asciiTheme="majorHAnsi" w:hAnsiTheme="majorHAnsi" w:cstheme="minorHAnsi"/>
          <w:color w:val="000000" w:themeColor="text1"/>
          <w:sz w:val="16"/>
          <w:szCs w:val="16"/>
          <w:lang w:val="es-US"/>
        </w:rPr>
        <w:t xml:space="preserve"> del presente informe.</w:t>
      </w:r>
    </w:p>
  </w:footnote>
  <w:footnote w:id="4">
    <w:p w14:paraId="118A6D54" w14:textId="0F7193FD" w:rsidR="00595122" w:rsidRPr="00A15BBB" w:rsidRDefault="00595122" w:rsidP="009F04EF">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Pr>
          <w:rFonts w:asciiTheme="majorHAnsi" w:hAnsiTheme="majorHAnsi" w:cstheme="minorHAnsi"/>
          <w:sz w:val="16"/>
          <w:szCs w:val="16"/>
          <w:lang w:val="es-US"/>
        </w:rPr>
        <w:t xml:space="preserve"> Anexo 1</w:t>
      </w:r>
      <w:r w:rsidRPr="00A15BBB">
        <w:rPr>
          <w:rFonts w:asciiTheme="majorHAnsi" w:hAnsiTheme="majorHAnsi" w:cstheme="minorHAnsi"/>
          <w:sz w:val="16"/>
          <w:szCs w:val="16"/>
          <w:lang w:val="es-US"/>
        </w:rPr>
        <w:t>. Certificado de Defunción. Anexo A4 a la petición inicial</w:t>
      </w:r>
      <w:r>
        <w:rPr>
          <w:rFonts w:asciiTheme="majorHAnsi" w:hAnsiTheme="majorHAnsi" w:cstheme="minorHAnsi"/>
          <w:sz w:val="16"/>
          <w:szCs w:val="16"/>
          <w:lang w:val="es-US"/>
        </w:rPr>
        <w:t xml:space="preserve"> </w:t>
      </w:r>
      <w:r w:rsidRPr="00A15BBB">
        <w:rPr>
          <w:rFonts w:asciiTheme="majorHAnsi" w:hAnsiTheme="majorHAnsi" w:cstheme="minorHAnsi"/>
          <w:sz w:val="16"/>
          <w:szCs w:val="16"/>
          <w:lang w:val="es-US"/>
        </w:rPr>
        <w:t>del 16 de octubre de 2007.</w:t>
      </w:r>
    </w:p>
  </w:footnote>
  <w:footnote w:id="5">
    <w:p w14:paraId="42C04EB2" w14:textId="280CC9CB" w:rsidR="00595122" w:rsidRPr="00A15BBB" w:rsidRDefault="00595122" w:rsidP="009F04EF">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2</w:t>
      </w:r>
      <w:r w:rsidRPr="00A15BBB">
        <w:rPr>
          <w:rFonts w:asciiTheme="majorHAnsi" w:hAnsiTheme="majorHAnsi" w:cstheme="minorHAnsi"/>
          <w:sz w:val="16"/>
          <w:szCs w:val="16"/>
          <w:lang w:val="es-US"/>
        </w:rPr>
        <w:t>. Certificado de Defunción. Anexo A1 a la petición inicial. Los nombres y apellidos de la presunta víctima también se escriben como “</w:t>
      </w:r>
      <w:proofErr w:type="spellStart"/>
      <w:r w:rsidRPr="00A15BBB">
        <w:rPr>
          <w:rFonts w:asciiTheme="majorHAnsi" w:hAnsiTheme="majorHAnsi" w:cstheme="minorHAnsi"/>
          <w:sz w:val="16"/>
          <w:szCs w:val="16"/>
          <w:lang w:val="es-US"/>
        </w:rPr>
        <w:t>Jhoel</w:t>
      </w:r>
      <w:proofErr w:type="spellEnd"/>
      <w:r w:rsidRPr="00A15BBB">
        <w:rPr>
          <w:rFonts w:asciiTheme="majorHAnsi" w:hAnsiTheme="majorHAnsi" w:cstheme="minorHAnsi"/>
          <w:sz w:val="16"/>
          <w:szCs w:val="16"/>
          <w:lang w:val="es-US"/>
        </w:rPr>
        <w:t>”, “</w:t>
      </w:r>
      <w:proofErr w:type="spellStart"/>
      <w:r w:rsidRPr="00A15BBB">
        <w:rPr>
          <w:rFonts w:asciiTheme="majorHAnsi" w:hAnsiTheme="majorHAnsi" w:cstheme="minorHAnsi"/>
          <w:sz w:val="16"/>
          <w:szCs w:val="16"/>
          <w:lang w:val="es-US"/>
        </w:rPr>
        <w:t>Ronaldy</w:t>
      </w:r>
      <w:proofErr w:type="spellEnd"/>
      <w:r w:rsidRPr="00A15BBB">
        <w:rPr>
          <w:rFonts w:asciiTheme="majorHAnsi" w:hAnsiTheme="majorHAnsi" w:cstheme="minorHAnsi"/>
          <w:sz w:val="16"/>
          <w:szCs w:val="16"/>
          <w:lang w:val="es-US"/>
        </w:rPr>
        <w:t xml:space="preserve">”, “Ronaldo”, “Rolando” y “Navas” en distintas oportunidades en la documentación relativa a este caso. Entendiendo que se trata de la misma persona pero careciendo de certidumbre sobre cuál es su nombre correcto, la Comisión usa la ortografía señalada arriba. </w:t>
      </w:r>
    </w:p>
  </w:footnote>
  <w:footnote w:id="6">
    <w:p w14:paraId="5A419F18" w14:textId="5C114DEB" w:rsidR="00595122" w:rsidRPr="00A15BBB" w:rsidRDefault="00595122" w:rsidP="008E63D2">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3</w:t>
      </w:r>
      <w:r w:rsidRPr="00A15BBB">
        <w:rPr>
          <w:rFonts w:asciiTheme="majorHAnsi" w:hAnsiTheme="majorHAnsi" w:cstheme="minorHAnsi"/>
          <w:sz w:val="16"/>
          <w:szCs w:val="16"/>
          <w:lang w:val="es-US"/>
        </w:rPr>
        <w:t>. Certificado de Defunción. Anexo A7 a la petición inicial.</w:t>
      </w:r>
    </w:p>
  </w:footnote>
  <w:footnote w:id="7">
    <w:p w14:paraId="30F1BFFE" w14:textId="1BE58564" w:rsidR="00595122" w:rsidRPr="00A15BBB" w:rsidRDefault="00595122" w:rsidP="009F04EF">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4</w:t>
      </w:r>
      <w:r w:rsidRPr="00A15BBB">
        <w:rPr>
          <w:rFonts w:asciiTheme="majorHAnsi" w:hAnsiTheme="majorHAnsi" w:cstheme="minorHAnsi"/>
          <w:sz w:val="16"/>
          <w:szCs w:val="16"/>
          <w:lang w:val="es-US"/>
        </w:rPr>
        <w:t>. Certificado de Defunción. Anexo A2 a la petición inicial. La presunta víctima fue inicialmente identificada por los peticionarios como “Héctor José Muñoz Valero”; la Comisión usa el nombre en el Certificado de Defunción.</w:t>
      </w:r>
    </w:p>
  </w:footnote>
  <w:footnote w:id="8">
    <w:p w14:paraId="27200461" w14:textId="6DEFD869" w:rsidR="00595122" w:rsidRPr="00A15BBB" w:rsidRDefault="00595122" w:rsidP="000E5012">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5</w:t>
      </w:r>
      <w:r w:rsidRPr="00A15BBB">
        <w:rPr>
          <w:rFonts w:asciiTheme="majorHAnsi" w:hAnsiTheme="majorHAnsi" w:cstheme="minorHAnsi"/>
          <w:sz w:val="16"/>
          <w:szCs w:val="16"/>
          <w:lang w:val="es-US"/>
        </w:rPr>
        <w:t>. Certificado de Defunción. Anexo A6 a la petición inicial. La fecha y mes de nacimiento son ilegibles. La presunta víctima fue inicialmente identificada como “Pedro Antonio López Chaurán”; la Comisión usa el nombre en el Certificado de Defunción.</w:t>
      </w:r>
    </w:p>
  </w:footnote>
  <w:footnote w:id="9">
    <w:p w14:paraId="5751E619" w14:textId="74ABA9B9" w:rsidR="00595122" w:rsidRPr="00A15BBB" w:rsidRDefault="00595122" w:rsidP="00CA3E64">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6</w:t>
      </w:r>
      <w:r w:rsidRPr="00A15BBB">
        <w:rPr>
          <w:rFonts w:asciiTheme="majorHAnsi" w:hAnsiTheme="majorHAnsi" w:cstheme="minorHAnsi"/>
          <w:sz w:val="16"/>
          <w:szCs w:val="16"/>
          <w:lang w:val="es-US"/>
        </w:rPr>
        <w:t>. Certificado de Defunción. Anexo A3 a la petición inicial.</w:t>
      </w:r>
    </w:p>
  </w:footnote>
  <w:footnote w:id="10">
    <w:p w14:paraId="6A4C4542" w14:textId="6EB458E0" w:rsidR="00595122" w:rsidRPr="00A15BBB" w:rsidRDefault="00595122" w:rsidP="000E5012">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7</w:t>
      </w:r>
      <w:r w:rsidRPr="00A15BBB">
        <w:rPr>
          <w:rFonts w:asciiTheme="majorHAnsi" w:hAnsiTheme="majorHAnsi" w:cstheme="minorHAnsi"/>
          <w:sz w:val="16"/>
          <w:szCs w:val="16"/>
          <w:lang w:val="es-US"/>
        </w:rPr>
        <w:t>. Certificado de Defunción. Anexo A5 a la petición inicial.</w:t>
      </w:r>
    </w:p>
  </w:footnote>
  <w:footnote w:id="11">
    <w:p w14:paraId="4FC3C5D9" w14:textId="599F0A6E"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Anexos </w:t>
      </w:r>
      <w:r>
        <w:rPr>
          <w:rFonts w:asciiTheme="majorHAnsi" w:hAnsiTheme="majorHAnsi" w:cstheme="minorHAnsi"/>
          <w:sz w:val="16"/>
          <w:szCs w:val="16"/>
          <w:lang w:val="es-US"/>
        </w:rPr>
        <w:t>1</w:t>
      </w:r>
      <w:r w:rsidRPr="00A15BBB">
        <w:rPr>
          <w:rFonts w:asciiTheme="majorHAnsi" w:hAnsiTheme="majorHAnsi" w:cstheme="minorHAnsi"/>
          <w:sz w:val="16"/>
          <w:szCs w:val="16"/>
          <w:lang w:val="es-US"/>
        </w:rPr>
        <w:t>-</w:t>
      </w:r>
      <w:r>
        <w:rPr>
          <w:rFonts w:asciiTheme="majorHAnsi" w:hAnsiTheme="majorHAnsi" w:cstheme="minorHAnsi"/>
          <w:sz w:val="16"/>
          <w:szCs w:val="16"/>
          <w:lang w:val="es-US"/>
        </w:rPr>
        <w:t>7</w:t>
      </w:r>
      <w:r w:rsidRPr="00A15BBB">
        <w:rPr>
          <w:rFonts w:asciiTheme="majorHAnsi" w:hAnsiTheme="majorHAnsi" w:cstheme="minorHAnsi"/>
          <w:sz w:val="16"/>
          <w:szCs w:val="16"/>
          <w:lang w:val="es-US"/>
        </w:rPr>
        <w:t>. Certificados de Defunción. Anexos A1-A7 a la petición inicial.</w:t>
      </w:r>
    </w:p>
  </w:footnote>
  <w:footnote w:id="12">
    <w:p w14:paraId="6DA7C29B" w14:textId="1124BD72" w:rsidR="00595122" w:rsidRPr="00A15BBB" w:rsidRDefault="00595122" w:rsidP="0028425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Anexo </w:t>
      </w:r>
      <w:r>
        <w:rPr>
          <w:rFonts w:asciiTheme="majorHAnsi" w:hAnsiTheme="majorHAnsi"/>
          <w:sz w:val="16"/>
          <w:szCs w:val="16"/>
          <w:lang w:val="es-US"/>
        </w:rPr>
        <w:t>8</w:t>
      </w:r>
      <w:r w:rsidRPr="00A15BBB">
        <w:rPr>
          <w:rFonts w:asciiTheme="majorHAnsi" w:hAnsiTheme="majorHAnsi"/>
          <w:sz w:val="16"/>
          <w:szCs w:val="16"/>
          <w:lang w:val="es-US"/>
        </w:rPr>
        <w:t>.</w:t>
      </w:r>
      <w:r w:rsidRPr="00A15BBB">
        <w:rPr>
          <w:rFonts w:asciiTheme="majorHAnsi" w:hAnsiTheme="majorHAnsi" w:cstheme="minorHAnsi"/>
          <w:sz w:val="16"/>
          <w:szCs w:val="16"/>
          <w:lang w:val="es-ES_tradnl"/>
        </w:rPr>
        <w:t xml:space="preserve"> La Nación, “Nunca imaginamos que lo iban a matar. Lorenza Pérez, esposa de Orlando Olivares, asesinado en la masacre de la cárcel de Vista Hermosa, pensaba que un traslado sería la represalia por el </w:t>
      </w:r>
      <w:proofErr w:type="spellStart"/>
      <w:r w:rsidRPr="00A15BBB">
        <w:rPr>
          <w:rFonts w:asciiTheme="majorHAnsi" w:hAnsiTheme="majorHAnsi" w:cstheme="minorHAnsi"/>
          <w:sz w:val="16"/>
          <w:szCs w:val="16"/>
          <w:lang w:val="es-ES_tradnl"/>
        </w:rPr>
        <w:t>autosecuestro</w:t>
      </w:r>
      <w:proofErr w:type="spellEnd"/>
      <w:r w:rsidRPr="00A15BBB">
        <w:rPr>
          <w:rFonts w:asciiTheme="majorHAnsi" w:hAnsiTheme="majorHAnsi" w:cstheme="minorHAnsi"/>
          <w:sz w:val="16"/>
          <w:szCs w:val="16"/>
          <w:lang w:val="es-ES_tradnl"/>
        </w:rPr>
        <w:t xml:space="preserve">” (23/12/2003). </w:t>
      </w:r>
      <w:r w:rsidRPr="00A15BBB">
        <w:rPr>
          <w:rFonts w:asciiTheme="majorHAnsi" w:hAnsiTheme="majorHAnsi" w:cstheme="minorHAnsi"/>
          <w:sz w:val="16"/>
          <w:szCs w:val="16"/>
          <w:lang w:val="es-US"/>
        </w:rPr>
        <w:t>Anexo a la petición inicial.</w:t>
      </w:r>
    </w:p>
  </w:footnote>
  <w:footnote w:id="13">
    <w:p w14:paraId="57E1A0A7" w14:textId="7496908A" w:rsidR="00595122" w:rsidRPr="00A15BBB" w:rsidRDefault="00595122" w:rsidP="00284252">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Identificados en el escrito de fondo del Estado, sec. IV</w:t>
      </w:r>
      <w:r>
        <w:rPr>
          <w:rFonts w:asciiTheme="majorHAnsi" w:hAnsiTheme="majorHAnsi" w:cstheme="minorHAnsi"/>
          <w:sz w:val="16"/>
          <w:szCs w:val="16"/>
          <w:lang w:val="es-US"/>
        </w:rPr>
        <w:t>, 20 septiembre 2013</w:t>
      </w:r>
      <w:r w:rsidRPr="00A15BBB">
        <w:rPr>
          <w:rFonts w:asciiTheme="majorHAnsi" w:hAnsiTheme="majorHAnsi" w:cstheme="minorHAnsi"/>
          <w:sz w:val="16"/>
          <w:szCs w:val="16"/>
          <w:lang w:val="es-US"/>
        </w:rPr>
        <w:t>.</w:t>
      </w:r>
    </w:p>
  </w:footnote>
  <w:footnote w:id="14">
    <w:p w14:paraId="04178301" w14:textId="469D2746"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Escrito de fondo del Estado</w:t>
      </w:r>
      <w:r>
        <w:rPr>
          <w:rFonts w:asciiTheme="majorHAnsi" w:hAnsiTheme="majorHAnsi" w:cstheme="minorHAnsi"/>
          <w:sz w:val="16"/>
          <w:szCs w:val="16"/>
          <w:lang w:val="es-US"/>
        </w:rPr>
        <w:t>, 20 septiembre 2013</w:t>
      </w:r>
      <w:r w:rsidRPr="00A15BBB">
        <w:rPr>
          <w:rFonts w:asciiTheme="majorHAnsi" w:hAnsiTheme="majorHAnsi" w:cstheme="minorHAnsi"/>
          <w:sz w:val="16"/>
          <w:szCs w:val="16"/>
          <w:lang w:val="es-US"/>
        </w:rPr>
        <w:t>.</w:t>
      </w:r>
    </w:p>
  </w:footnote>
  <w:footnote w:id="15">
    <w:p w14:paraId="7A1693C0" w14:textId="14DABDD8"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Parte peticionaria, “Observaciones adicionales al fondo del Informe de Admisibilidad”, 10 junio 2013.</w:t>
      </w:r>
    </w:p>
  </w:footnote>
  <w:footnote w:id="16">
    <w:p w14:paraId="44EF25D8" w14:textId="2698D9C8" w:rsidR="00595122" w:rsidRPr="00A15BBB" w:rsidRDefault="00595122" w:rsidP="008264DF">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El Estado en su escrito de fondo hace referencia a registros de “Examen médico forense” y/o “Reconocimiento médico legal” para 26 de esos internos, aunque no constan los detalles de las determinaciones de éstos. Asimismo, en el mismo escrito hay un testimonio de Carlos Durán donde afirma que el día de los hechos, “</w:t>
      </w:r>
      <w:r w:rsidRPr="00A15BBB">
        <w:rPr>
          <w:rFonts w:asciiTheme="majorHAnsi" w:hAnsiTheme="majorHAnsi"/>
          <w:sz w:val="16"/>
          <w:szCs w:val="16"/>
          <w:lang w:val="es-CO"/>
        </w:rPr>
        <w:t>un [GN] de nombre Nilson Cuenca me golpeó con la peinilla y un objeto contundente”.</w:t>
      </w:r>
    </w:p>
  </w:footnote>
  <w:footnote w:id="17">
    <w:p w14:paraId="077BC806" w14:textId="4423D744"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8</w:t>
      </w:r>
      <w:r w:rsidRPr="00A15BBB">
        <w:rPr>
          <w:rFonts w:asciiTheme="majorHAnsi" w:hAnsiTheme="majorHAnsi" w:cstheme="minorHAnsi"/>
          <w:sz w:val="16"/>
          <w:szCs w:val="16"/>
          <w:lang w:val="es-US"/>
        </w:rPr>
        <w:t>.</w:t>
      </w:r>
      <w:r w:rsidRPr="00A15BBB">
        <w:rPr>
          <w:rFonts w:asciiTheme="majorHAnsi" w:hAnsiTheme="majorHAnsi" w:cstheme="minorHAnsi"/>
          <w:sz w:val="16"/>
          <w:szCs w:val="16"/>
          <w:lang w:val="es-ES_tradnl"/>
        </w:rPr>
        <w:t xml:space="preserve"> La Nación, “Nunca imaginamos que lo iban a matar” (23/12/2003). </w:t>
      </w:r>
      <w:r w:rsidRPr="00A15BBB">
        <w:rPr>
          <w:rFonts w:asciiTheme="majorHAnsi" w:hAnsiTheme="majorHAnsi" w:cstheme="minorHAnsi"/>
          <w:sz w:val="16"/>
          <w:szCs w:val="16"/>
          <w:lang w:val="es-US"/>
        </w:rPr>
        <w:t>Anexo a la petición inicial.</w:t>
      </w:r>
    </w:p>
  </w:footnote>
  <w:footnote w:id="18">
    <w:p w14:paraId="060DFACB" w14:textId="61023E01"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9.</w:t>
      </w:r>
      <w:r w:rsidRPr="00A15BBB">
        <w:rPr>
          <w:rFonts w:asciiTheme="majorHAnsi" w:hAnsiTheme="majorHAnsi" w:cstheme="minorHAnsi"/>
          <w:sz w:val="16"/>
          <w:szCs w:val="16"/>
          <w:lang w:val="es-US"/>
        </w:rPr>
        <w:t xml:space="preserve"> Decisión de la Corte de Apelaciones Penal de Ciudad Bolívar (3/6/04). Anexo a la petición inicial.</w:t>
      </w:r>
    </w:p>
    <w:p w14:paraId="03FD20CA" w14:textId="76DE116A" w:rsidR="00595122" w:rsidRPr="00A15BBB" w:rsidRDefault="00595122" w:rsidP="001939AC">
      <w:pPr>
        <w:pStyle w:val="FootnoteText"/>
        <w:jc w:val="both"/>
        <w:rPr>
          <w:rFonts w:asciiTheme="majorHAnsi" w:hAnsiTheme="majorHAnsi" w:cstheme="minorHAnsi"/>
          <w:sz w:val="16"/>
          <w:szCs w:val="16"/>
          <w:lang w:val="es-US"/>
        </w:rPr>
      </w:pPr>
      <w:r w:rsidRPr="00A15BBB">
        <w:rPr>
          <w:rFonts w:asciiTheme="majorHAnsi" w:hAnsiTheme="majorHAnsi"/>
          <w:sz w:val="16"/>
          <w:szCs w:val="16"/>
          <w:lang w:val="es-US"/>
        </w:rPr>
        <w:t>Goyo también fue vocero del área de “mínima</w:t>
      </w:r>
      <w:r w:rsidRPr="00283958">
        <w:rPr>
          <w:rFonts w:asciiTheme="majorHAnsi" w:hAnsiTheme="majorHAnsi"/>
          <w:sz w:val="16"/>
          <w:szCs w:val="16"/>
          <w:lang w:val="es-US"/>
        </w:rPr>
        <w:t>” [seguridad mínima].</w:t>
      </w:r>
      <w:r w:rsidRPr="00A15BBB">
        <w:rPr>
          <w:rFonts w:asciiTheme="majorHAnsi" w:hAnsiTheme="majorHAnsi"/>
          <w:sz w:val="16"/>
          <w:szCs w:val="16"/>
          <w:lang w:val="es-US"/>
        </w:rPr>
        <w:t xml:space="preserve"> </w:t>
      </w:r>
      <w:r w:rsidRPr="00A15BBB">
        <w:rPr>
          <w:rFonts w:asciiTheme="majorHAnsi" w:hAnsiTheme="majorHAnsi"/>
          <w:i/>
          <w:sz w:val="16"/>
          <w:szCs w:val="16"/>
          <w:lang w:val="es-US"/>
        </w:rPr>
        <w:t>Véase</w:t>
      </w:r>
      <w:r w:rsidRPr="00A15BBB">
        <w:rPr>
          <w:rFonts w:asciiTheme="minorHAnsi" w:eastAsiaTheme="minorHAnsi" w:hAnsiTheme="minorHAnsi" w:cstheme="minorBidi"/>
          <w:color w:val="auto"/>
          <w:sz w:val="16"/>
          <w:szCs w:val="16"/>
          <w:bdr w:val="none" w:sz="0" w:space="0" w:color="auto"/>
          <w:lang w:val="es-US" w:eastAsia="en-US"/>
        </w:rPr>
        <w:t xml:space="preserve"> </w:t>
      </w:r>
      <w:r w:rsidRPr="00A15BBB">
        <w:rPr>
          <w:rFonts w:asciiTheme="majorHAnsi" w:hAnsiTheme="majorHAnsi"/>
          <w:sz w:val="16"/>
          <w:szCs w:val="16"/>
          <w:lang w:val="es-US"/>
        </w:rPr>
        <w:t xml:space="preserve">Anexo </w:t>
      </w:r>
      <w:r>
        <w:rPr>
          <w:rFonts w:asciiTheme="majorHAnsi" w:hAnsiTheme="majorHAnsi"/>
          <w:sz w:val="16"/>
          <w:szCs w:val="16"/>
          <w:lang w:val="es-US"/>
        </w:rPr>
        <w:t>10</w:t>
      </w:r>
      <w:r w:rsidRPr="00A15BBB">
        <w:rPr>
          <w:rFonts w:asciiTheme="majorHAnsi" w:hAnsiTheme="majorHAnsi"/>
          <w:sz w:val="16"/>
          <w:szCs w:val="16"/>
          <w:lang w:val="es-US"/>
        </w:rPr>
        <w:t xml:space="preserve">. Declaración de Alcides Rafael Alcázar (2/3/04); Anexo </w:t>
      </w:r>
      <w:r>
        <w:rPr>
          <w:rFonts w:asciiTheme="majorHAnsi" w:hAnsiTheme="majorHAnsi"/>
          <w:sz w:val="16"/>
          <w:szCs w:val="16"/>
          <w:lang w:val="es-US"/>
        </w:rPr>
        <w:t>11</w:t>
      </w:r>
      <w:r w:rsidRPr="00A15BBB">
        <w:rPr>
          <w:rFonts w:asciiTheme="majorHAnsi" w:hAnsiTheme="majorHAnsi"/>
          <w:sz w:val="16"/>
          <w:szCs w:val="16"/>
          <w:lang w:val="es-US"/>
        </w:rPr>
        <w:t xml:space="preserve">. Declaración de Deivis Romero </w:t>
      </w:r>
      <w:proofErr w:type="spellStart"/>
      <w:r w:rsidRPr="00A15BBB">
        <w:rPr>
          <w:rFonts w:asciiTheme="majorHAnsi" w:hAnsiTheme="majorHAnsi"/>
          <w:sz w:val="16"/>
          <w:szCs w:val="16"/>
          <w:lang w:val="es-US"/>
        </w:rPr>
        <w:t>Lascano</w:t>
      </w:r>
      <w:proofErr w:type="spellEnd"/>
      <w:r w:rsidRPr="00A15BBB">
        <w:rPr>
          <w:rFonts w:asciiTheme="majorHAnsi" w:hAnsiTheme="majorHAnsi"/>
          <w:sz w:val="16"/>
          <w:szCs w:val="16"/>
          <w:lang w:val="es-US"/>
        </w:rPr>
        <w:t xml:space="preserve"> (16/3/04). Anexos a la petición inicial.</w:t>
      </w:r>
    </w:p>
  </w:footnote>
  <w:footnote w:id="19">
    <w:p w14:paraId="57BB9E59" w14:textId="72F21576"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Anexo </w:t>
      </w:r>
      <w:r>
        <w:rPr>
          <w:rFonts w:asciiTheme="majorHAnsi" w:hAnsiTheme="majorHAnsi"/>
          <w:sz w:val="16"/>
          <w:szCs w:val="16"/>
          <w:lang w:val="es-US"/>
        </w:rPr>
        <w:t>12</w:t>
      </w:r>
      <w:r w:rsidRPr="00A15BBB">
        <w:rPr>
          <w:rFonts w:asciiTheme="majorHAnsi" w:hAnsiTheme="majorHAnsi"/>
          <w:sz w:val="16"/>
          <w:szCs w:val="16"/>
          <w:lang w:val="es-US"/>
        </w:rPr>
        <w:t xml:space="preserve">. </w:t>
      </w:r>
      <w:r w:rsidRPr="00A15BBB">
        <w:rPr>
          <w:rFonts w:asciiTheme="majorHAnsi" w:hAnsiTheme="majorHAnsi"/>
          <w:sz w:val="16"/>
          <w:szCs w:val="16"/>
          <w:lang w:val="es-CO"/>
        </w:rPr>
        <w:t xml:space="preserve">Sin fecha y periódico, La Fiscalía ordena proteger a los testigos: Quienes fueron voceros de la protesta que finalizó en octubre en la cárcel de Vista Hermosa, semanas después fueron asesinados. ¿Una casualidad?; Anexo </w:t>
      </w:r>
      <w:r>
        <w:rPr>
          <w:rFonts w:asciiTheme="majorHAnsi" w:hAnsiTheme="majorHAnsi"/>
          <w:sz w:val="16"/>
          <w:szCs w:val="16"/>
          <w:lang w:val="es-CO"/>
        </w:rPr>
        <w:t>13</w:t>
      </w:r>
      <w:r w:rsidRPr="00A15BBB">
        <w:rPr>
          <w:rFonts w:asciiTheme="majorHAnsi" w:hAnsiTheme="majorHAnsi"/>
          <w:sz w:val="16"/>
          <w:szCs w:val="16"/>
          <w:lang w:val="es-CO"/>
        </w:rPr>
        <w:t>.</w:t>
      </w:r>
      <w:r w:rsidRPr="00A15BBB">
        <w:rPr>
          <w:rFonts w:asciiTheme="majorHAnsi" w:hAnsiTheme="majorHAnsi"/>
          <w:i/>
          <w:sz w:val="16"/>
          <w:szCs w:val="16"/>
          <w:lang w:val="es-CO"/>
        </w:rPr>
        <w:t xml:space="preserve"> </w:t>
      </w:r>
      <w:r w:rsidRPr="00A15BBB">
        <w:rPr>
          <w:rFonts w:asciiTheme="majorHAnsi" w:hAnsiTheme="majorHAnsi"/>
          <w:sz w:val="16"/>
          <w:szCs w:val="16"/>
          <w:lang w:val="es-CO"/>
        </w:rPr>
        <w:t>El Universal, Versiones encontradas de un cruento episodio (12/5/2004)</w:t>
      </w:r>
      <w:r w:rsidRPr="00A15BBB">
        <w:rPr>
          <w:rFonts w:asciiTheme="majorHAnsi" w:hAnsiTheme="majorHAnsi"/>
          <w:i/>
          <w:sz w:val="16"/>
          <w:szCs w:val="16"/>
          <w:lang w:val="es-CO"/>
        </w:rPr>
        <w:t>.</w:t>
      </w:r>
      <w:r w:rsidRPr="00A15BBB">
        <w:rPr>
          <w:rFonts w:asciiTheme="majorHAnsi" w:hAnsiTheme="majorHAnsi"/>
          <w:sz w:val="16"/>
          <w:szCs w:val="16"/>
          <w:lang w:val="es-CO"/>
        </w:rPr>
        <w:t xml:space="preserve"> Anexos a la petición inicial.</w:t>
      </w:r>
    </w:p>
  </w:footnote>
  <w:footnote w:id="20">
    <w:p w14:paraId="5C6A540D" w14:textId="3ECF40AA"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8</w:t>
      </w:r>
      <w:r w:rsidRPr="00A15BBB">
        <w:rPr>
          <w:rFonts w:asciiTheme="majorHAnsi" w:hAnsiTheme="majorHAnsi" w:cstheme="minorHAnsi"/>
          <w:sz w:val="16"/>
          <w:szCs w:val="16"/>
          <w:lang w:val="es-US"/>
        </w:rPr>
        <w:t>.</w:t>
      </w:r>
      <w:r w:rsidRPr="00A15BBB">
        <w:rPr>
          <w:rFonts w:asciiTheme="majorHAnsi" w:hAnsiTheme="majorHAnsi" w:cstheme="minorHAnsi"/>
          <w:sz w:val="16"/>
          <w:szCs w:val="16"/>
          <w:lang w:val="es-ES_tradnl"/>
        </w:rPr>
        <w:t xml:space="preserve"> La Nación, “Nunca imaginamos que lo iban a matar” (23/12/2003). </w:t>
      </w:r>
      <w:r w:rsidRPr="00A15BBB">
        <w:rPr>
          <w:rFonts w:asciiTheme="majorHAnsi" w:hAnsiTheme="majorHAnsi" w:cstheme="minorHAnsi"/>
          <w:sz w:val="16"/>
          <w:szCs w:val="16"/>
          <w:lang w:val="es-US"/>
        </w:rPr>
        <w:t xml:space="preserve">Anexo a la petición inicial. </w:t>
      </w:r>
      <w:r w:rsidRPr="00A15BBB">
        <w:rPr>
          <w:rFonts w:asciiTheme="majorHAnsi" w:hAnsiTheme="majorHAnsi" w:cstheme="minorHAnsi"/>
          <w:sz w:val="16"/>
          <w:szCs w:val="16"/>
          <w:lang w:val="es-ES_tradnl"/>
        </w:rPr>
        <w:t>La nota afirma que entre los puntos del acuerdo estaban el respeto a los derechos humanos durante la requisa, trato respetuoso a los familiares en las visitas, mejoras en higiene y alimentación, no represalias contra los internos que se mantuvieron en huelga, celeridad procesal, la realización de estudios a los presos que solicitaban beneficios y la salida del capitán (GN) Campos Lozada y de la directora de la cárcel Rosario del Valle Campos.</w:t>
      </w:r>
    </w:p>
  </w:footnote>
  <w:footnote w:id="21">
    <w:p w14:paraId="20CAAD59" w14:textId="337C596B"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8</w:t>
      </w:r>
      <w:r w:rsidRPr="00A15BBB">
        <w:rPr>
          <w:rFonts w:asciiTheme="majorHAnsi" w:hAnsiTheme="majorHAnsi" w:cstheme="minorHAnsi"/>
          <w:sz w:val="16"/>
          <w:szCs w:val="16"/>
          <w:lang w:val="es-US"/>
        </w:rPr>
        <w:t>.</w:t>
      </w:r>
      <w:r w:rsidRPr="00A15BBB">
        <w:rPr>
          <w:rFonts w:asciiTheme="majorHAnsi" w:hAnsiTheme="majorHAnsi" w:cstheme="minorHAnsi"/>
          <w:sz w:val="16"/>
          <w:szCs w:val="16"/>
          <w:lang w:val="es-ES_tradnl"/>
        </w:rPr>
        <w:t xml:space="preserve"> La Nación, “Nunca imaginamos que lo iban a matar” (23/12/2003);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14</w:t>
      </w:r>
      <w:r w:rsidRPr="00A15BBB">
        <w:rPr>
          <w:rFonts w:asciiTheme="majorHAnsi" w:hAnsiTheme="majorHAnsi" w:cstheme="minorHAnsi"/>
          <w:sz w:val="16"/>
          <w:szCs w:val="16"/>
          <w:lang w:val="es-US"/>
        </w:rPr>
        <w:t>. Declaración de Alexander Rodríguez (16/3/04). Anexos a la petición inicial.</w:t>
      </w:r>
    </w:p>
  </w:footnote>
  <w:footnote w:id="22">
    <w:p w14:paraId="384B6BA7" w14:textId="1ADA34E5"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es-US"/>
        </w:rPr>
        <w:t>Véase</w:t>
      </w:r>
      <w:r w:rsidRPr="00A15BBB">
        <w:rPr>
          <w:rFonts w:asciiTheme="majorHAnsi" w:hAnsiTheme="majorHAnsi"/>
          <w:sz w:val="16"/>
          <w:szCs w:val="16"/>
          <w:lang w:val="es-US"/>
        </w:rPr>
        <w:t xml:space="preserve"> </w:t>
      </w:r>
      <w:r w:rsidRPr="00A15BBB">
        <w:rPr>
          <w:rFonts w:asciiTheme="majorHAnsi" w:hAnsiTheme="majorHAnsi"/>
          <w:i/>
          <w:sz w:val="16"/>
          <w:szCs w:val="16"/>
          <w:lang w:val="es-US"/>
        </w:rPr>
        <w:t>infra</w:t>
      </w:r>
      <w:r w:rsidRPr="00A15BBB">
        <w:rPr>
          <w:rFonts w:asciiTheme="majorHAnsi" w:hAnsiTheme="majorHAnsi"/>
          <w:sz w:val="16"/>
          <w:szCs w:val="16"/>
          <w:lang w:val="es-US"/>
        </w:rPr>
        <w:t xml:space="preserve"> sección III.C.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Anexo </w:t>
      </w:r>
      <w:r>
        <w:rPr>
          <w:rFonts w:asciiTheme="majorHAnsi" w:hAnsiTheme="majorHAnsi"/>
          <w:sz w:val="16"/>
          <w:szCs w:val="16"/>
          <w:lang w:val="es-US"/>
        </w:rPr>
        <w:t>14</w:t>
      </w:r>
      <w:r w:rsidRPr="00A15BBB">
        <w:rPr>
          <w:rFonts w:asciiTheme="majorHAnsi" w:hAnsiTheme="majorHAnsi"/>
          <w:sz w:val="16"/>
          <w:szCs w:val="16"/>
          <w:lang w:val="es-US"/>
        </w:rPr>
        <w:t>. Declaración de Alexander Rodríguez (16/3/04). Anexo a la petición inicial (“</w:t>
      </w:r>
      <w:r w:rsidRPr="00A15BBB">
        <w:rPr>
          <w:rFonts w:asciiTheme="majorHAnsi" w:hAnsiTheme="majorHAnsi"/>
          <w:sz w:val="16"/>
          <w:szCs w:val="16"/>
          <w:lang w:val="es-CO"/>
        </w:rPr>
        <w:t>Las armas las pasa [al interior del penal] la [GN] y la Policía previo pago, también pasan droga, la venta de droga es el único sustento”).</w:t>
      </w:r>
    </w:p>
  </w:footnote>
  <w:footnote w:id="23">
    <w:p w14:paraId="6E3230CC" w14:textId="3E232969"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8</w:t>
      </w:r>
      <w:r w:rsidRPr="00A15BBB">
        <w:rPr>
          <w:rFonts w:asciiTheme="majorHAnsi" w:hAnsiTheme="majorHAnsi" w:cstheme="minorHAnsi"/>
          <w:sz w:val="16"/>
          <w:szCs w:val="16"/>
          <w:lang w:val="es-US"/>
        </w:rPr>
        <w:t>.</w:t>
      </w:r>
      <w:r w:rsidRPr="00A15BBB">
        <w:rPr>
          <w:rFonts w:asciiTheme="majorHAnsi" w:hAnsiTheme="majorHAnsi" w:cstheme="minorHAnsi"/>
          <w:sz w:val="16"/>
          <w:szCs w:val="16"/>
          <w:lang w:val="es-ES_tradnl"/>
        </w:rPr>
        <w:t xml:space="preserve"> La Nación, “Nunca imaginamos que lo iban a matar” (23/12/2003); </w:t>
      </w:r>
      <w:r w:rsidRPr="00A15BBB">
        <w:rPr>
          <w:rFonts w:asciiTheme="majorHAnsi" w:hAnsiTheme="majorHAnsi" w:cstheme="minorHAnsi"/>
          <w:i/>
          <w:sz w:val="16"/>
          <w:szCs w:val="16"/>
          <w:lang w:val="es-ES_tradnl"/>
        </w:rPr>
        <w:t>véase también</w:t>
      </w:r>
      <w:r w:rsidRPr="00A15BBB">
        <w:rPr>
          <w:rFonts w:asciiTheme="majorHAnsi" w:hAnsiTheme="majorHAnsi" w:cstheme="minorHAnsi"/>
          <w:sz w:val="16"/>
          <w:szCs w:val="16"/>
          <w:lang w:val="es-ES_tradnl"/>
        </w:rPr>
        <w:t xml:space="preserve">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15</w:t>
      </w:r>
      <w:r w:rsidRPr="00A15BBB">
        <w:rPr>
          <w:rFonts w:asciiTheme="majorHAnsi" w:hAnsiTheme="majorHAnsi" w:cstheme="minorHAnsi"/>
          <w:sz w:val="16"/>
          <w:szCs w:val="16"/>
          <w:lang w:val="es-US"/>
        </w:rPr>
        <w:t>. Declaración de Luis Enrique Figueira Lizcano (2/3/04). Anexos a la petición inicial.</w:t>
      </w:r>
      <w:r w:rsidRPr="00A15BBB">
        <w:rPr>
          <w:rFonts w:asciiTheme="majorHAnsi" w:hAnsiTheme="majorHAnsi" w:cstheme="minorHAnsi"/>
          <w:sz w:val="16"/>
          <w:szCs w:val="16"/>
          <w:lang w:val="es-ES_tradnl"/>
        </w:rPr>
        <w:t xml:space="preserve"> (“U</w:t>
      </w:r>
      <w:r w:rsidRPr="00A15BBB">
        <w:rPr>
          <w:rFonts w:asciiTheme="majorHAnsi" w:hAnsiTheme="majorHAnsi" w:cstheme="minorHAnsi"/>
          <w:sz w:val="16"/>
          <w:szCs w:val="16"/>
          <w:lang w:val="es-CO"/>
        </w:rPr>
        <w:t>n capitán que habían sacado por una huelga que hicimos por nuestro beneficio, se había ido y cuando hubo la masacre era el que estaba dando [</w:t>
      </w:r>
      <w:proofErr w:type="spellStart"/>
      <w:r w:rsidRPr="00A15BBB">
        <w:rPr>
          <w:rFonts w:asciiTheme="majorHAnsi" w:hAnsiTheme="majorHAnsi" w:cstheme="minorHAnsi"/>
          <w:sz w:val="16"/>
          <w:szCs w:val="16"/>
          <w:lang w:val="es-CO"/>
        </w:rPr>
        <w:t>ó</w:t>
      </w:r>
      <w:proofErr w:type="spellEnd"/>
      <w:r w:rsidRPr="00A15BBB">
        <w:rPr>
          <w:rFonts w:asciiTheme="majorHAnsi" w:hAnsiTheme="majorHAnsi" w:cstheme="minorHAnsi"/>
          <w:sz w:val="16"/>
          <w:szCs w:val="16"/>
          <w:lang w:val="es-CO"/>
        </w:rPr>
        <w:t>]</w:t>
      </w:r>
      <w:proofErr w:type="spellStart"/>
      <w:r w:rsidRPr="00A15BBB">
        <w:rPr>
          <w:rFonts w:asciiTheme="majorHAnsi" w:hAnsiTheme="majorHAnsi" w:cstheme="minorHAnsi"/>
          <w:sz w:val="16"/>
          <w:szCs w:val="16"/>
          <w:lang w:val="es-CO"/>
        </w:rPr>
        <w:t>rdenes</w:t>
      </w:r>
      <w:proofErr w:type="spellEnd"/>
      <w:r w:rsidRPr="00A15BBB">
        <w:rPr>
          <w:rFonts w:asciiTheme="majorHAnsi" w:hAnsiTheme="majorHAnsi" w:cstheme="minorHAnsi"/>
          <w:sz w:val="16"/>
          <w:szCs w:val="16"/>
          <w:lang w:val="es-CO"/>
        </w:rPr>
        <w:t xml:space="preserve"> en la planta”)</w:t>
      </w:r>
      <w:r w:rsidRPr="00A15BBB">
        <w:rPr>
          <w:rFonts w:asciiTheme="majorHAnsi" w:hAnsiTheme="majorHAnsi" w:cstheme="minorHAnsi"/>
          <w:sz w:val="16"/>
          <w:szCs w:val="16"/>
          <w:lang w:val="es-ES_tradnl"/>
        </w:rPr>
        <w:t>.</w:t>
      </w:r>
    </w:p>
  </w:footnote>
  <w:footnote w:id="24">
    <w:p w14:paraId="5DD5F106" w14:textId="18AD5FEE"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Anexo </w:t>
      </w:r>
      <w:r>
        <w:rPr>
          <w:rFonts w:asciiTheme="majorHAnsi" w:hAnsiTheme="majorHAnsi"/>
          <w:sz w:val="16"/>
          <w:szCs w:val="16"/>
          <w:lang w:val="es-US"/>
        </w:rPr>
        <w:t>16</w:t>
      </w:r>
      <w:r w:rsidRPr="00A15BBB">
        <w:rPr>
          <w:rFonts w:asciiTheme="majorHAnsi" w:hAnsiTheme="majorHAnsi"/>
          <w:sz w:val="16"/>
          <w:szCs w:val="16"/>
          <w:lang w:val="es-US"/>
        </w:rPr>
        <w:t>. Declaración de Andi Bermúdez Sifontes (16/3/04). Anexo a la petición inicial.</w:t>
      </w:r>
    </w:p>
  </w:footnote>
  <w:footnote w:id="25">
    <w:p w14:paraId="4CCE2E99" w14:textId="15F45685"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admisibilidad del Estado, 12 noviembre 2008;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17</w:t>
      </w:r>
      <w:r w:rsidRPr="00A15BBB">
        <w:rPr>
          <w:rFonts w:ascii="Cambria" w:hAnsi="Cambria"/>
          <w:sz w:val="16"/>
          <w:szCs w:val="16"/>
          <w:lang w:val="es-US"/>
        </w:rPr>
        <w:t>. Declaración de Arón Cirilo Palacios (16/3/04)</w:t>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14</w:t>
      </w:r>
      <w:r w:rsidRPr="00A15BBB">
        <w:rPr>
          <w:rFonts w:ascii="Cambria" w:hAnsi="Cambria"/>
          <w:sz w:val="16"/>
          <w:szCs w:val="16"/>
          <w:lang w:val="es-US"/>
        </w:rPr>
        <w:t>. Declaración de Alexander Rodríguez. Anexo a la petición inicial.</w:t>
      </w:r>
      <w:r w:rsidRPr="00A15BBB">
        <w:rPr>
          <w:rFonts w:asciiTheme="majorHAnsi" w:hAnsiTheme="majorHAnsi"/>
          <w:sz w:val="16"/>
          <w:szCs w:val="16"/>
          <w:lang w:val="es-US"/>
        </w:rPr>
        <w:t xml:space="preserve"> (</w:t>
      </w:r>
      <w:r w:rsidRPr="00A15BBB">
        <w:rPr>
          <w:rFonts w:asciiTheme="majorHAnsi" w:hAnsiTheme="majorHAnsi"/>
          <w:sz w:val="16"/>
          <w:szCs w:val="16"/>
          <w:lang w:val="es-CO"/>
        </w:rPr>
        <w:t>“[L]a guardia dice que nos van a matar a uno, el director nuevo quiere arreglar el penal, el penal estaba colapsado […] lo único que puedo decir es que bala para bala, allí adentro hay locos y puede pasar una desgracia”).</w:t>
      </w:r>
    </w:p>
  </w:footnote>
  <w:footnote w:id="26">
    <w:p w14:paraId="4D4DC900" w14:textId="0CE8F1A9"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Escrito de fondo del Estado, sec. IV. </w:t>
      </w:r>
    </w:p>
  </w:footnote>
  <w:footnote w:id="27">
    <w:p w14:paraId="43D2943F" w14:textId="3B13C2FC" w:rsidR="00595122" w:rsidRPr="00A15BBB" w:rsidRDefault="00595122" w:rsidP="00D2765F">
      <w:pPr>
        <w:jc w:val="both"/>
        <w:rPr>
          <w:rFonts w:ascii="Cambria" w:hAnsi="Cambria"/>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15</w:t>
      </w:r>
      <w:r w:rsidRPr="00A15BBB">
        <w:rPr>
          <w:rFonts w:ascii="Cambria" w:hAnsi="Cambria"/>
          <w:sz w:val="16"/>
          <w:szCs w:val="16"/>
          <w:lang w:val="es-US"/>
        </w:rPr>
        <w:t xml:space="preserve">. Declaración de Luis Enrique Figueira; Anexo </w:t>
      </w:r>
      <w:r>
        <w:rPr>
          <w:rFonts w:ascii="Cambria" w:hAnsi="Cambria"/>
          <w:sz w:val="16"/>
          <w:szCs w:val="16"/>
          <w:lang w:val="es-US"/>
        </w:rPr>
        <w:t>10</w:t>
      </w:r>
      <w:r w:rsidRPr="00A15BBB">
        <w:rPr>
          <w:rFonts w:ascii="Cambria" w:hAnsi="Cambria"/>
          <w:sz w:val="16"/>
          <w:szCs w:val="16"/>
          <w:lang w:val="es-US"/>
        </w:rPr>
        <w:t xml:space="preserve">. Declaración de Alcides Alcázar; Anexo </w:t>
      </w:r>
      <w:r>
        <w:rPr>
          <w:rFonts w:ascii="Cambria" w:hAnsi="Cambria"/>
          <w:sz w:val="16"/>
          <w:szCs w:val="16"/>
          <w:lang w:val="es-US"/>
        </w:rPr>
        <w:t>17</w:t>
      </w:r>
      <w:r w:rsidRPr="00A15BBB">
        <w:rPr>
          <w:rFonts w:ascii="Cambria" w:hAnsi="Cambria"/>
          <w:sz w:val="16"/>
          <w:szCs w:val="16"/>
          <w:lang w:val="es-US"/>
        </w:rPr>
        <w:t xml:space="preserve">. Declaración de Arón Palacios. Anexos a la petición inicial. Cabe notar que algunos internos afirman que se encontraban esperando el “pase y número”. </w:t>
      </w:r>
      <w:r w:rsidRPr="00A15BBB">
        <w:rPr>
          <w:rFonts w:ascii="Cambria" w:hAnsi="Cambria"/>
          <w:i/>
          <w:sz w:val="16"/>
          <w:szCs w:val="16"/>
          <w:lang w:val="es-US"/>
        </w:rPr>
        <w:t>Véase</w:t>
      </w:r>
      <w:r w:rsidRPr="00A15BBB">
        <w:rPr>
          <w:rFonts w:ascii="Cambria" w:hAnsi="Cambria"/>
          <w:sz w:val="16"/>
          <w:szCs w:val="16"/>
          <w:lang w:val="es-US"/>
        </w:rPr>
        <w:t xml:space="preserve"> Anexo </w:t>
      </w:r>
      <w:r>
        <w:rPr>
          <w:rFonts w:ascii="Cambria" w:hAnsi="Cambria"/>
          <w:sz w:val="16"/>
          <w:szCs w:val="16"/>
          <w:lang w:val="es-US"/>
        </w:rPr>
        <w:t>11</w:t>
      </w:r>
      <w:r w:rsidRPr="00A15BBB">
        <w:rPr>
          <w:rFonts w:ascii="Cambria" w:hAnsi="Cambria"/>
          <w:sz w:val="16"/>
          <w:szCs w:val="16"/>
          <w:lang w:val="es-US"/>
        </w:rPr>
        <w:t xml:space="preserve">. Declaración de Deivis Romero; Anexo </w:t>
      </w:r>
      <w:r>
        <w:rPr>
          <w:rFonts w:ascii="Cambria" w:hAnsi="Cambria"/>
          <w:sz w:val="16"/>
          <w:szCs w:val="16"/>
          <w:lang w:val="es-US"/>
        </w:rPr>
        <w:t>18</w:t>
      </w:r>
      <w:r w:rsidRPr="00A15BBB">
        <w:rPr>
          <w:rFonts w:ascii="Cambria" w:hAnsi="Cambria"/>
          <w:sz w:val="16"/>
          <w:szCs w:val="16"/>
          <w:lang w:val="es-US"/>
        </w:rPr>
        <w:t>. Declaración de Carlos Durán García (16/3/04). Anexos a la petición inicial.</w:t>
      </w:r>
    </w:p>
  </w:footnote>
  <w:footnote w:id="28">
    <w:p w14:paraId="54C6A527" w14:textId="4661A779" w:rsidR="00595122" w:rsidRPr="00A15BBB" w:rsidRDefault="00595122" w:rsidP="00E708A0">
      <w:pPr>
        <w:jc w:val="both"/>
        <w:rPr>
          <w:rFonts w:ascii="Cambria" w:hAnsi="Cambria"/>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17</w:t>
      </w:r>
      <w:r w:rsidRPr="00A15BBB">
        <w:rPr>
          <w:rFonts w:ascii="Cambria" w:hAnsi="Cambria"/>
          <w:sz w:val="16"/>
          <w:szCs w:val="16"/>
          <w:lang w:val="es-US"/>
        </w:rPr>
        <w:t xml:space="preserve">. Declaración de Arón Palacios; Anexo </w:t>
      </w:r>
      <w:r>
        <w:rPr>
          <w:rFonts w:ascii="Cambria" w:hAnsi="Cambria"/>
          <w:sz w:val="16"/>
          <w:szCs w:val="16"/>
          <w:lang w:val="es-US"/>
        </w:rPr>
        <w:t>15</w:t>
      </w:r>
      <w:r w:rsidRPr="00A15BBB">
        <w:rPr>
          <w:rFonts w:ascii="Cambria" w:hAnsi="Cambria"/>
          <w:sz w:val="16"/>
          <w:szCs w:val="16"/>
          <w:lang w:val="es-US"/>
        </w:rPr>
        <w:t xml:space="preserve">. Declaración de Luis Enrique Figueira; Anexo </w:t>
      </w:r>
      <w:r>
        <w:rPr>
          <w:rFonts w:ascii="Cambria" w:hAnsi="Cambria"/>
          <w:sz w:val="16"/>
          <w:szCs w:val="16"/>
          <w:lang w:val="es-US"/>
        </w:rPr>
        <w:t>16</w:t>
      </w:r>
      <w:r w:rsidRPr="00A15BBB">
        <w:rPr>
          <w:rFonts w:ascii="Cambria" w:hAnsi="Cambria"/>
          <w:sz w:val="16"/>
          <w:szCs w:val="16"/>
          <w:lang w:val="es-US"/>
        </w:rPr>
        <w:t>. Declaración de Andi Bermúdez. Anexos a la petición inicial</w:t>
      </w:r>
      <w:r w:rsidRPr="00A15BBB">
        <w:rPr>
          <w:rFonts w:asciiTheme="majorHAnsi" w:hAnsiTheme="majorHAnsi"/>
          <w:sz w:val="16"/>
          <w:szCs w:val="16"/>
          <w:lang w:val="es-US"/>
        </w:rPr>
        <w:t xml:space="preserve"> (afirmando en particular que no existió ninguna rencilla entre “el Vereco”, “Mato Mataguardia” y “Goyo”).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11</w:t>
      </w:r>
      <w:r w:rsidRPr="00A15BBB">
        <w:rPr>
          <w:rFonts w:ascii="Cambria" w:hAnsi="Cambria"/>
          <w:sz w:val="16"/>
          <w:szCs w:val="16"/>
          <w:lang w:val="es-US"/>
        </w:rPr>
        <w:t xml:space="preserve">. Declaración de Deivis Romero; Anexo </w:t>
      </w:r>
      <w:r>
        <w:rPr>
          <w:rFonts w:ascii="Cambria" w:hAnsi="Cambria"/>
          <w:sz w:val="16"/>
          <w:szCs w:val="16"/>
          <w:lang w:val="es-US"/>
        </w:rPr>
        <w:t>10</w:t>
      </w:r>
      <w:r w:rsidRPr="00A15BBB">
        <w:rPr>
          <w:rFonts w:ascii="Cambria" w:hAnsi="Cambria"/>
          <w:sz w:val="16"/>
          <w:szCs w:val="16"/>
          <w:lang w:val="es-US"/>
        </w:rPr>
        <w:t>. Declaración de Alcides Alcázar. Anexos a la petición inicial.</w:t>
      </w:r>
    </w:p>
  </w:footnote>
  <w:footnote w:id="29">
    <w:p w14:paraId="4C2EDD44" w14:textId="445820E3" w:rsidR="00595122" w:rsidRPr="00A15BBB" w:rsidRDefault="00595122" w:rsidP="00E708A0">
      <w:pPr>
        <w:jc w:val="both"/>
        <w:rPr>
          <w:rFonts w:asciiTheme="majorHAnsi" w:hAnsiTheme="majorHAnsi"/>
          <w:color w:val="FF0000"/>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15</w:t>
      </w:r>
      <w:r w:rsidRPr="00A15BBB">
        <w:rPr>
          <w:rFonts w:ascii="Cambria" w:hAnsi="Cambria"/>
          <w:sz w:val="16"/>
          <w:szCs w:val="16"/>
          <w:lang w:val="es-US"/>
        </w:rPr>
        <w:t xml:space="preserve">. Declaración de Luis Enrique Figueira; Anexo </w:t>
      </w:r>
      <w:r>
        <w:rPr>
          <w:rFonts w:ascii="Cambria" w:hAnsi="Cambria"/>
          <w:sz w:val="16"/>
          <w:szCs w:val="16"/>
          <w:lang w:val="es-US"/>
        </w:rPr>
        <w:t>10</w:t>
      </w:r>
      <w:r w:rsidRPr="00A15BBB">
        <w:rPr>
          <w:rFonts w:ascii="Cambria" w:hAnsi="Cambria"/>
          <w:sz w:val="16"/>
          <w:szCs w:val="16"/>
          <w:lang w:val="es-US"/>
        </w:rPr>
        <w:t xml:space="preserve">. Declaración de Alcides Alcázar; Anexo </w:t>
      </w:r>
      <w:r>
        <w:rPr>
          <w:rFonts w:ascii="Cambria" w:hAnsi="Cambria"/>
          <w:sz w:val="16"/>
          <w:szCs w:val="16"/>
          <w:lang w:val="es-US"/>
        </w:rPr>
        <w:t>18</w:t>
      </w:r>
      <w:r w:rsidRPr="00A15BBB">
        <w:rPr>
          <w:rFonts w:ascii="Cambria" w:hAnsi="Cambria"/>
          <w:sz w:val="16"/>
          <w:szCs w:val="16"/>
          <w:lang w:val="es-US"/>
        </w:rPr>
        <w:t xml:space="preserve">. Declaración de Carlos Durán; Anexo </w:t>
      </w:r>
      <w:r>
        <w:rPr>
          <w:rFonts w:ascii="Cambria" w:hAnsi="Cambria"/>
          <w:sz w:val="16"/>
          <w:szCs w:val="16"/>
          <w:lang w:val="es-US"/>
        </w:rPr>
        <w:t>14</w:t>
      </w:r>
      <w:r w:rsidRPr="00A15BBB">
        <w:rPr>
          <w:rFonts w:ascii="Cambria" w:hAnsi="Cambria"/>
          <w:sz w:val="16"/>
          <w:szCs w:val="16"/>
          <w:lang w:val="es-US"/>
        </w:rPr>
        <w:t>. Declaración de Alexander Rodríguez</w:t>
      </w:r>
      <w:r w:rsidRPr="00A15BBB">
        <w:rPr>
          <w:rFonts w:asciiTheme="majorHAnsi" w:hAnsiTheme="majorHAnsi"/>
          <w:sz w:val="16"/>
          <w:szCs w:val="16"/>
          <w:lang w:val="es-US"/>
        </w:rPr>
        <w:t xml:space="preserve">; Anexo </w:t>
      </w:r>
      <w:r>
        <w:rPr>
          <w:rFonts w:asciiTheme="majorHAnsi" w:hAnsiTheme="majorHAnsi"/>
          <w:sz w:val="16"/>
          <w:szCs w:val="16"/>
          <w:lang w:val="es-US"/>
        </w:rPr>
        <w:t>13</w:t>
      </w:r>
      <w:r w:rsidRPr="00A15BBB">
        <w:rPr>
          <w:rFonts w:asciiTheme="majorHAnsi" w:hAnsiTheme="majorHAnsi"/>
          <w:sz w:val="16"/>
          <w:szCs w:val="16"/>
          <w:lang w:val="es-US"/>
        </w:rPr>
        <w:t>.</w:t>
      </w:r>
      <w:r w:rsidRPr="00A15BBB">
        <w:rPr>
          <w:rFonts w:asciiTheme="majorHAnsi" w:hAnsiTheme="majorHAnsi"/>
          <w:i/>
          <w:sz w:val="16"/>
          <w:szCs w:val="16"/>
          <w:lang w:val="es-CO"/>
        </w:rPr>
        <w:t xml:space="preserve"> </w:t>
      </w:r>
      <w:r w:rsidRPr="00A15BBB">
        <w:rPr>
          <w:rFonts w:asciiTheme="majorHAnsi" w:hAnsiTheme="majorHAnsi"/>
          <w:sz w:val="16"/>
          <w:szCs w:val="16"/>
          <w:lang w:val="es-CO"/>
        </w:rPr>
        <w:t>El Universal, Versiones encontradas de un cruento episodio (12/5/2004). Anexos a la petición inicial.</w:t>
      </w:r>
    </w:p>
  </w:footnote>
  <w:footnote w:id="30">
    <w:p w14:paraId="577D174E" w14:textId="070CDD39" w:rsidR="00595122" w:rsidRPr="00A15BBB" w:rsidRDefault="00595122" w:rsidP="00E708A0">
      <w:pPr>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15</w:t>
      </w:r>
      <w:r w:rsidRPr="00A15BBB">
        <w:rPr>
          <w:rFonts w:ascii="Cambria" w:hAnsi="Cambria"/>
          <w:sz w:val="16"/>
          <w:szCs w:val="16"/>
          <w:lang w:val="es-US"/>
        </w:rPr>
        <w:t xml:space="preserve">. Declaración de Luis Enrique Figueira (afirmando, entre otras, </w:t>
      </w:r>
      <w:r w:rsidRPr="00A15BBB">
        <w:rPr>
          <w:rFonts w:ascii="Cambria" w:hAnsi="Cambria"/>
          <w:sz w:val="16"/>
          <w:szCs w:val="16"/>
          <w:lang w:val="es-ES_tradnl"/>
        </w:rPr>
        <w:t>“</w:t>
      </w:r>
      <w:r w:rsidRPr="00A15BBB">
        <w:rPr>
          <w:rFonts w:ascii="Cambria" w:hAnsi="Cambria"/>
          <w:sz w:val="16"/>
          <w:szCs w:val="16"/>
          <w:lang w:val="es-CO"/>
        </w:rPr>
        <w:t>Los guardias entraron disparando, los vigilantes, paraban a la gente y la sacaba, decían que nosotros guardábamos armas”)</w:t>
      </w:r>
      <w:r>
        <w:rPr>
          <w:rFonts w:ascii="Cambria" w:hAnsi="Cambria"/>
          <w:sz w:val="16"/>
          <w:szCs w:val="16"/>
          <w:lang w:val="es-US"/>
        </w:rPr>
        <w:t xml:space="preserve">; </w:t>
      </w:r>
      <w:r w:rsidRPr="00A15BBB">
        <w:rPr>
          <w:rFonts w:ascii="Cambria" w:hAnsi="Cambria"/>
          <w:sz w:val="16"/>
          <w:szCs w:val="16"/>
          <w:lang w:val="es-US"/>
        </w:rPr>
        <w:t>Anexo</w:t>
      </w:r>
      <w:r>
        <w:rPr>
          <w:rFonts w:ascii="Cambria" w:hAnsi="Cambria"/>
          <w:sz w:val="16"/>
          <w:szCs w:val="16"/>
          <w:lang w:val="es-US"/>
        </w:rPr>
        <w:t>s</w:t>
      </w:r>
      <w:r w:rsidRPr="00A15BBB">
        <w:rPr>
          <w:rFonts w:ascii="Cambria" w:hAnsi="Cambria"/>
          <w:sz w:val="16"/>
          <w:szCs w:val="16"/>
          <w:lang w:val="es-US"/>
        </w:rPr>
        <w:t xml:space="preserve"> </w:t>
      </w:r>
      <w:r>
        <w:rPr>
          <w:rFonts w:ascii="Cambria" w:hAnsi="Cambria"/>
          <w:sz w:val="16"/>
          <w:szCs w:val="16"/>
          <w:lang w:val="es-US"/>
        </w:rPr>
        <w:t>10, 16, 18, 14</w:t>
      </w:r>
      <w:r w:rsidRPr="00A15BBB">
        <w:rPr>
          <w:rFonts w:ascii="Cambria" w:hAnsi="Cambria"/>
          <w:sz w:val="16"/>
          <w:szCs w:val="16"/>
          <w:lang w:val="es-US"/>
        </w:rPr>
        <w:t>. Declaraci</w:t>
      </w:r>
      <w:r>
        <w:rPr>
          <w:rFonts w:ascii="Cambria" w:hAnsi="Cambria"/>
          <w:sz w:val="16"/>
          <w:szCs w:val="16"/>
          <w:lang w:val="es-US"/>
        </w:rPr>
        <w:t>o</w:t>
      </w:r>
      <w:r w:rsidRPr="00A15BBB">
        <w:rPr>
          <w:rFonts w:ascii="Cambria" w:hAnsi="Cambria"/>
          <w:sz w:val="16"/>
          <w:szCs w:val="16"/>
          <w:lang w:val="es-US"/>
        </w:rPr>
        <w:t>n</w:t>
      </w:r>
      <w:r>
        <w:rPr>
          <w:rFonts w:ascii="Cambria" w:hAnsi="Cambria"/>
          <w:sz w:val="16"/>
          <w:szCs w:val="16"/>
          <w:lang w:val="es-US"/>
        </w:rPr>
        <w:t>es</w:t>
      </w:r>
      <w:r w:rsidRPr="00A15BBB">
        <w:rPr>
          <w:rFonts w:ascii="Cambria" w:hAnsi="Cambria"/>
          <w:sz w:val="16"/>
          <w:szCs w:val="16"/>
          <w:lang w:val="es-US"/>
        </w:rPr>
        <w:t xml:space="preserve"> de Alcides Alcázar</w:t>
      </w:r>
      <w:r>
        <w:rPr>
          <w:rFonts w:ascii="Cambria" w:hAnsi="Cambria"/>
          <w:sz w:val="16"/>
          <w:szCs w:val="16"/>
          <w:lang w:val="es-US"/>
        </w:rPr>
        <w:t xml:space="preserve">, </w:t>
      </w:r>
      <w:r w:rsidRPr="00A15BBB">
        <w:rPr>
          <w:rFonts w:ascii="Cambria" w:hAnsi="Cambria"/>
          <w:sz w:val="16"/>
          <w:szCs w:val="16"/>
          <w:lang w:val="es-US"/>
        </w:rPr>
        <w:t>Andi Bermúdez</w:t>
      </w:r>
      <w:r>
        <w:rPr>
          <w:rFonts w:ascii="Cambria" w:hAnsi="Cambria"/>
          <w:sz w:val="16"/>
          <w:szCs w:val="16"/>
          <w:lang w:val="es-US"/>
        </w:rPr>
        <w:t xml:space="preserve">, </w:t>
      </w:r>
      <w:r w:rsidRPr="00A15BBB">
        <w:rPr>
          <w:rFonts w:ascii="Cambria" w:hAnsi="Cambria"/>
          <w:sz w:val="16"/>
          <w:szCs w:val="16"/>
          <w:lang w:val="es-US"/>
        </w:rPr>
        <w:t xml:space="preserve"> Carlos Durán</w:t>
      </w:r>
      <w:r>
        <w:rPr>
          <w:rFonts w:ascii="Cambria" w:hAnsi="Cambria"/>
          <w:sz w:val="16"/>
          <w:szCs w:val="16"/>
          <w:lang w:val="es-US"/>
        </w:rPr>
        <w:t xml:space="preserve"> y </w:t>
      </w:r>
      <w:r w:rsidRPr="00A15BBB">
        <w:rPr>
          <w:rFonts w:ascii="Cambria" w:hAnsi="Cambria"/>
          <w:sz w:val="16"/>
          <w:szCs w:val="16"/>
          <w:lang w:val="es-US"/>
        </w:rPr>
        <w:t>Alexander Rodríguez</w:t>
      </w:r>
      <w:r>
        <w:rPr>
          <w:rFonts w:asciiTheme="majorHAnsi" w:hAnsiTheme="majorHAnsi"/>
          <w:sz w:val="16"/>
          <w:szCs w:val="16"/>
          <w:lang w:val="es-US"/>
        </w:rPr>
        <w:t xml:space="preserve">; </w:t>
      </w:r>
      <w:r w:rsidRPr="00A15BBB">
        <w:rPr>
          <w:rFonts w:asciiTheme="majorHAnsi" w:hAnsiTheme="majorHAnsi"/>
          <w:sz w:val="16"/>
          <w:szCs w:val="16"/>
          <w:lang w:val="es-US"/>
        </w:rPr>
        <w:t xml:space="preserve">Anexo </w:t>
      </w:r>
      <w:r>
        <w:rPr>
          <w:rFonts w:asciiTheme="majorHAnsi" w:hAnsiTheme="majorHAnsi"/>
          <w:sz w:val="16"/>
          <w:szCs w:val="16"/>
          <w:lang w:val="es-US"/>
        </w:rPr>
        <w:t>13</w:t>
      </w:r>
      <w:r w:rsidRPr="00A15BBB">
        <w:rPr>
          <w:rFonts w:asciiTheme="majorHAnsi" w:hAnsiTheme="majorHAnsi"/>
          <w:sz w:val="16"/>
          <w:szCs w:val="16"/>
          <w:lang w:val="es-US"/>
        </w:rPr>
        <w:t>.</w:t>
      </w:r>
      <w:r w:rsidRPr="00A15BBB">
        <w:rPr>
          <w:rFonts w:asciiTheme="majorHAnsi" w:hAnsiTheme="majorHAnsi"/>
          <w:i/>
          <w:sz w:val="16"/>
          <w:szCs w:val="16"/>
          <w:lang w:val="es-CO"/>
        </w:rPr>
        <w:t xml:space="preserve"> </w:t>
      </w:r>
      <w:r w:rsidRPr="00A15BBB">
        <w:rPr>
          <w:rFonts w:asciiTheme="majorHAnsi" w:hAnsiTheme="majorHAnsi"/>
          <w:sz w:val="16"/>
          <w:szCs w:val="16"/>
          <w:lang w:val="es-CO"/>
        </w:rPr>
        <w:t xml:space="preserve">El Universal, Versiones encontradas de un cruento episodio (12/5/2004). </w:t>
      </w:r>
      <w:r w:rsidRPr="00A15BBB">
        <w:rPr>
          <w:rFonts w:ascii="Cambria" w:hAnsi="Cambria"/>
          <w:sz w:val="16"/>
          <w:szCs w:val="16"/>
          <w:lang w:val="es-US"/>
        </w:rPr>
        <w:t>Anexos a la petición inicial.</w:t>
      </w:r>
    </w:p>
  </w:footnote>
  <w:footnote w:id="31">
    <w:p w14:paraId="1B7BB3EF" w14:textId="01FD41E0" w:rsidR="00595122" w:rsidRPr="00A15BBB" w:rsidRDefault="00595122" w:rsidP="00E708A0">
      <w:pPr>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94652F">
        <w:rPr>
          <w:rFonts w:asciiTheme="majorHAnsi" w:hAnsiTheme="majorHAnsi"/>
          <w:sz w:val="16"/>
          <w:szCs w:val="16"/>
          <w:lang w:val="es-US"/>
        </w:rPr>
        <w:t xml:space="preserve"> </w:t>
      </w:r>
      <w:r w:rsidRPr="0094652F">
        <w:rPr>
          <w:rFonts w:ascii="Cambria" w:hAnsi="Cambria"/>
          <w:sz w:val="16"/>
          <w:szCs w:val="16"/>
          <w:lang w:val="es-US"/>
        </w:rPr>
        <w:t xml:space="preserve">Anexos 10, </w:t>
      </w:r>
      <w:r>
        <w:rPr>
          <w:rFonts w:ascii="Cambria" w:hAnsi="Cambria"/>
          <w:sz w:val="16"/>
          <w:szCs w:val="16"/>
          <w:lang w:val="es-US"/>
        </w:rPr>
        <w:t>16</w:t>
      </w:r>
      <w:r w:rsidRPr="0094652F">
        <w:rPr>
          <w:rFonts w:ascii="Cambria" w:hAnsi="Cambria"/>
          <w:sz w:val="16"/>
          <w:szCs w:val="16"/>
          <w:lang w:val="es-US"/>
        </w:rPr>
        <w:t xml:space="preserve">, 11, </w:t>
      </w:r>
      <w:r>
        <w:rPr>
          <w:rFonts w:ascii="Cambria" w:hAnsi="Cambria"/>
          <w:sz w:val="16"/>
          <w:szCs w:val="16"/>
          <w:lang w:val="es-US"/>
        </w:rPr>
        <w:t>18</w:t>
      </w:r>
      <w:r w:rsidRPr="0094652F">
        <w:rPr>
          <w:rFonts w:ascii="Cambria" w:hAnsi="Cambria"/>
          <w:sz w:val="16"/>
          <w:szCs w:val="16"/>
          <w:lang w:val="es-US"/>
        </w:rPr>
        <w:t xml:space="preserve">, 14. </w:t>
      </w:r>
      <w:r w:rsidRPr="00A15BBB">
        <w:rPr>
          <w:rFonts w:ascii="Cambria" w:hAnsi="Cambria"/>
          <w:sz w:val="16"/>
          <w:szCs w:val="16"/>
          <w:lang w:val="es-US"/>
        </w:rPr>
        <w:t>Declaración de Alcides Alcázar</w:t>
      </w:r>
      <w:r>
        <w:rPr>
          <w:rFonts w:ascii="Cambria" w:hAnsi="Cambria"/>
          <w:sz w:val="16"/>
          <w:szCs w:val="16"/>
          <w:lang w:val="es-US"/>
        </w:rPr>
        <w:t xml:space="preserve">, </w:t>
      </w:r>
      <w:r w:rsidRPr="00A15BBB">
        <w:rPr>
          <w:rFonts w:ascii="Cambria" w:hAnsi="Cambria"/>
          <w:sz w:val="16"/>
          <w:szCs w:val="16"/>
          <w:lang w:val="es-US"/>
        </w:rPr>
        <w:t>Andi Bermúdez</w:t>
      </w:r>
      <w:r>
        <w:rPr>
          <w:rFonts w:ascii="Cambria" w:hAnsi="Cambria"/>
          <w:sz w:val="16"/>
          <w:szCs w:val="16"/>
          <w:lang w:val="es-US"/>
        </w:rPr>
        <w:t>,</w:t>
      </w:r>
      <w:r w:rsidRPr="00A15BBB">
        <w:rPr>
          <w:rFonts w:ascii="Cambria" w:hAnsi="Cambria"/>
          <w:sz w:val="16"/>
          <w:szCs w:val="16"/>
          <w:lang w:val="es-US"/>
        </w:rPr>
        <w:t xml:space="preserve"> Deivis Romero</w:t>
      </w:r>
      <w:r>
        <w:rPr>
          <w:rFonts w:ascii="Cambria" w:hAnsi="Cambria"/>
          <w:sz w:val="16"/>
          <w:szCs w:val="16"/>
          <w:lang w:val="es-US"/>
        </w:rPr>
        <w:t xml:space="preserve">, </w:t>
      </w:r>
      <w:r w:rsidRPr="00A15BBB">
        <w:rPr>
          <w:rFonts w:ascii="Cambria" w:hAnsi="Cambria"/>
          <w:sz w:val="16"/>
          <w:szCs w:val="16"/>
          <w:lang w:val="es-US"/>
        </w:rPr>
        <w:t>Carlos Durán</w:t>
      </w:r>
      <w:r>
        <w:rPr>
          <w:rFonts w:ascii="Cambria" w:hAnsi="Cambria"/>
          <w:sz w:val="16"/>
          <w:szCs w:val="16"/>
          <w:lang w:val="es-US"/>
        </w:rPr>
        <w:t>,</w:t>
      </w:r>
      <w:r w:rsidRPr="00A15BBB">
        <w:rPr>
          <w:rFonts w:ascii="Cambria" w:hAnsi="Cambria"/>
          <w:sz w:val="16"/>
          <w:szCs w:val="16"/>
          <w:lang w:val="es-US"/>
        </w:rPr>
        <w:t xml:space="preserve"> Alexander Rodríguez</w:t>
      </w:r>
      <w:r w:rsidRPr="00A15BBB">
        <w:rPr>
          <w:rFonts w:asciiTheme="majorHAnsi" w:hAnsiTheme="majorHAnsi"/>
          <w:sz w:val="16"/>
          <w:szCs w:val="16"/>
          <w:lang w:val="es-US"/>
        </w:rPr>
        <w:t xml:space="preserve">; Anexo </w:t>
      </w:r>
      <w:r>
        <w:rPr>
          <w:rFonts w:asciiTheme="majorHAnsi" w:hAnsiTheme="majorHAnsi"/>
          <w:sz w:val="16"/>
          <w:szCs w:val="16"/>
          <w:lang w:val="es-US"/>
        </w:rPr>
        <w:t>13</w:t>
      </w:r>
      <w:r w:rsidRPr="00A15BBB">
        <w:rPr>
          <w:rFonts w:asciiTheme="majorHAnsi" w:hAnsiTheme="majorHAnsi"/>
          <w:sz w:val="16"/>
          <w:szCs w:val="16"/>
          <w:lang w:val="es-US"/>
        </w:rPr>
        <w:t>.</w:t>
      </w:r>
      <w:r w:rsidRPr="00A15BBB">
        <w:rPr>
          <w:rFonts w:asciiTheme="majorHAnsi" w:hAnsiTheme="majorHAnsi"/>
          <w:i/>
          <w:sz w:val="16"/>
          <w:szCs w:val="16"/>
          <w:lang w:val="es-CO"/>
        </w:rPr>
        <w:t xml:space="preserve"> </w:t>
      </w:r>
      <w:r w:rsidRPr="00A15BBB">
        <w:rPr>
          <w:rFonts w:asciiTheme="majorHAnsi" w:hAnsiTheme="majorHAnsi"/>
          <w:sz w:val="16"/>
          <w:szCs w:val="16"/>
          <w:lang w:val="es-CO"/>
        </w:rPr>
        <w:t xml:space="preserve">El Universal, Versiones encontradas de un cruento episodio (12/5/2004). </w:t>
      </w:r>
      <w:r w:rsidRPr="00A15BBB">
        <w:rPr>
          <w:rFonts w:ascii="Cambria" w:hAnsi="Cambria"/>
          <w:sz w:val="16"/>
          <w:szCs w:val="16"/>
          <w:lang w:val="es-US"/>
        </w:rPr>
        <w:t>Anexo a la petición inicial.</w:t>
      </w:r>
    </w:p>
  </w:footnote>
  <w:footnote w:id="32">
    <w:p w14:paraId="68D30A4C" w14:textId="36F91C65" w:rsidR="00595122" w:rsidRPr="00A15BBB" w:rsidRDefault="00595122" w:rsidP="00E708A0">
      <w:pPr>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15</w:t>
      </w:r>
      <w:r w:rsidRPr="00A15BBB">
        <w:rPr>
          <w:rFonts w:ascii="Cambria" w:hAnsi="Cambria"/>
          <w:sz w:val="16"/>
          <w:szCs w:val="16"/>
          <w:lang w:val="es-US"/>
        </w:rPr>
        <w:t xml:space="preserve">. Declaración de Luis Enrique Figueira; Anexo </w:t>
      </w:r>
      <w:r>
        <w:rPr>
          <w:rFonts w:ascii="Cambria" w:hAnsi="Cambria"/>
          <w:sz w:val="16"/>
          <w:szCs w:val="16"/>
          <w:lang w:val="es-US"/>
        </w:rPr>
        <w:t>10</w:t>
      </w:r>
      <w:r w:rsidRPr="00A15BBB">
        <w:rPr>
          <w:rFonts w:ascii="Cambria" w:hAnsi="Cambria"/>
          <w:sz w:val="16"/>
          <w:szCs w:val="16"/>
          <w:lang w:val="es-US"/>
        </w:rPr>
        <w:t xml:space="preserve">. Declaración de Alcides Alcázar; Anexo </w:t>
      </w:r>
      <w:r>
        <w:rPr>
          <w:rFonts w:ascii="Cambria" w:hAnsi="Cambria"/>
          <w:sz w:val="16"/>
          <w:szCs w:val="16"/>
          <w:lang w:val="es-US"/>
        </w:rPr>
        <w:t>16</w:t>
      </w:r>
      <w:r w:rsidRPr="00A15BBB">
        <w:rPr>
          <w:rFonts w:ascii="Cambria" w:hAnsi="Cambria"/>
          <w:sz w:val="16"/>
          <w:szCs w:val="16"/>
          <w:lang w:val="es-US"/>
        </w:rPr>
        <w:t>. Declaración de Andi Bermúdez;</w:t>
      </w:r>
      <w:r w:rsidRPr="00A15BBB">
        <w:rPr>
          <w:rFonts w:asciiTheme="majorHAnsi" w:hAnsiTheme="majorHAnsi"/>
          <w:sz w:val="16"/>
          <w:szCs w:val="16"/>
          <w:lang w:val="es-US"/>
        </w:rPr>
        <w:t xml:space="preserve"> Anexo </w:t>
      </w:r>
      <w:r>
        <w:rPr>
          <w:rFonts w:asciiTheme="majorHAnsi" w:hAnsiTheme="majorHAnsi"/>
          <w:sz w:val="16"/>
          <w:szCs w:val="16"/>
          <w:lang w:val="es-US"/>
        </w:rPr>
        <w:t>13</w:t>
      </w:r>
      <w:r w:rsidRPr="00A15BBB">
        <w:rPr>
          <w:rFonts w:asciiTheme="majorHAnsi" w:hAnsiTheme="majorHAnsi"/>
          <w:sz w:val="16"/>
          <w:szCs w:val="16"/>
          <w:lang w:val="es-US"/>
        </w:rPr>
        <w:t>.</w:t>
      </w:r>
      <w:r w:rsidRPr="00A15BBB">
        <w:rPr>
          <w:rFonts w:asciiTheme="majorHAnsi" w:hAnsiTheme="majorHAnsi"/>
          <w:i/>
          <w:sz w:val="16"/>
          <w:szCs w:val="16"/>
          <w:lang w:val="es-CO"/>
        </w:rPr>
        <w:t xml:space="preserve"> </w:t>
      </w:r>
      <w:r w:rsidRPr="00A15BBB">
        <w:rPr>
          <w:rFonts w:asciiTheme="majorHAnsi" w:hAnsiTheme="majorHAnsi"/>
          <w:sz w:val="16"/>
          <w:szCs w:val="16"/>
          <w:lang w:val="es-CO"/>
        </w:rPr>
        <w:t xml:space="preserve">El Universal, Versiones encontradas de un cruento episodio (12/5/2004). </w:t>
      </w:r>
      <w:r w:rsidRPr="00A15BBB">
        <w:rPr>
          <w:rFonts w:ascii="Cambria" w:hAnsi="Cambria"/>
          <w:sz w:val="16"/>
          <w:szCs w:val="16"/>
          <w:lang w:val="es-US"/>
        </w:rPr>
        <w:t>Anexos a la petición inicial.</w:t>
      </w:r>
    </w:p>
  </w:footnote>
  <w:footnote w:id="33">
    <w:p w14:paraId="5B306E1B" w14:textId="112ACFC6"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w:t>
      </w:r>
      <w:r w:rsidRPr="00A15BBB">
        <w:rPr>
          <w:rFonts w:asciiTheme="majorHAnsi" w:hAnsiTheme="majorHAnsi"/>
          <w:color w:val="auto"/>
          <w:sz w:val="16"/>
          <w:szCs w:val="16"/>
          <w:lang w:val="es-US"/>
        </w:rPr>
        <w:t xml:space="preserve">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15</w:t>
      </w:r>
      <w:r w:rsidRPr="00A15BBB">
        <w:rPr>
          <w:rFonts w:ascii="Cambria" w:hAnsi="Cambria"/>
          <w:color w:val="auto"/>
          <w:sz w:val="16"/>
          <w:szCs w:val="16"/>
          <w:lang w:val="es-US"/>
        </w:rPr>
        <w:t>. Declaración de Luis Enrique Figueira;</w:t>
      </w:r>
      <w:r w:rsidRPr="00A15BBB">
        <w:rPr>
          <w:rFonts w:asciiTheme="majorHAnsi" w:hAnsiTheme="majorHAnsi"/>
          <w:color w:val="auto"/>
          <w:sz w:val="16"/>
          <w:szCs w:val="16"/>
          <w:lang w:val="es-US"/>
        </w:rPr>
        <w:t xml:space="preserve"> </w:t>
      </w:r>
      <w:r w:rsidRPr="00A15BBB">
        <w:rPr>
          <w:rFonts w:asciiTheme="majorHAnsi" w:hAnsiTheme="majorHAnsi"/>
          <w:sz w:val="16"/>
          <w:szCs w:val="16"/>
          <w:lang w:val="es-US"/>
        </w:rPr>
        <w:t xml:space="preserve">Anexo </w:t>
      </w:r>
      <w:r>
        <w:rPr>
          <w:rFonts w:asciiTheme="majorHAnsi" w:hAnsiTheme="majorHAnsi"/>
          <w:sz w:val="16"/>
          <w:szCs w:val="16"/>
          <w:lang w:val="es-US"/>
        </w:rPr>
        <w:t>13</w:t>
      </w:r>
      <w:r w:rsidRPr="00A15BBB">
        <w:rPr>
          <w:rFonts w:asciiTheme="majorHAnsi" w:hAnsiTheme="majorHAnsi"/>
          <w:sz w:val="16"/>
          <w:szCs w:val="16"/>
          <w:lang w:val="es-US"/>
        </w:rPr>
        <w:t>.</w:t>
      </w:r>
      <w:r w:rsidRPr="00A15BBB">
        <w:rPr>
          <w:rFonts w:asciiTheme="majorHAnsi" w:hAnsiTheme="majorHAnsi"/>
          <w:i/>
          <w:sz w:val="16"/>
          <w:szCs w:val="16"/>
          <w:lang w:val="es-CO"/>
        </w:rPr>
        <w:t xml:space="preserve"> </w:t>
      </w:r>
      <w:r w:rsidRPr="00A15BBB">
        <w:rPr>
          <w:rFonts w:asciiTheme="majorHAnsi" w:hAnsiTheme="majorHAnsi"/>
          <w:sz w:val="16"/>
          <w:szCs w:val="16"/>
          <w:lang w:val="es-CO"/>
        </w:rPr>
        <w:t xml:space="preserve">El Universal, Versiones encontradas de un cruento episodio (12/5/2004). </w:t>
      </w:r>
      <w:r w:rsidRPr="00A15BBB">
        <w:rPr>
          <w:rFonts w:ascii="Cambria" w:hAnsi="Cambria"/>
          <w:color w:val="auto"/>
          <w:sz w:val="16"/>
          <w:szCs w:val="16"/>
          <w:lang w:val="es-US"/>
        </w:rPr>
        <w:t>Anexos a la petición inicial.</w:t>
      </w:r>
    </w:p>
  </w:footnote>
  <w:footnote w:id="34">
    <w:p w14:paraId="49ACEB6B" w14:textId="7A58F7F9"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15</w:t>
      </w:r>
      <w:r w:rsidRPr="00A15BBB">
        <w:rPr>
          <w:rFonts w:ascii="Cambria" w:hAnsi="Cambria"/>
          <w:color w:val="auto"/>
          <w:sz w:val="16"/>
          <w:szCs w:val="16"/>
          <w:lang w:val="es-US"/>
        </w:rPr>
        <w:t>. Declaración de Luis Enrique Figueira. Anexo a la petición inicial</w:t>
      </w:r>
      <w:r w:rsidRPr="00A15BBB">
        <w:rPr>
          <w:rFonts w:asciiTheme="majorHAnsi" w:hAnsiTheme="majorHAnsi"/>
          <w:color w:val="auto"/>
          <w:sz w:val="16"/>
          <w:szCs w:val="16"/>
          <w:lang w:val="es-US"/>
        </w:rPr>
        <w:t>.</w:t>
      </w:r>
    </w:p>
  </w:footnote>
  <w:footnote w:id="35">
    <w:p w14:paraId="7983C9A5" w14:textId="1E848C19"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Escrito de fondo del Estado, sec. IV.</w:t>
      </w:r>
    </w:p>
  </w:footnote>
  <w:footnote w:id="36">
    <w:p w14:paraId="4F0AC786" w14:textId="0496FB69"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14</w:t>
      </w:r>
      <w:r w:rsidRPr="00A15BBB">
        <w:rPr>
          <w:rFonts w:ascii="Cambria" w:hAnsi="Cambria"/>
          <w:color w:val="auto"/>
          <w:sz w:val="16"/>
          <w:szCs w:val="16"/>
          <w:lang w:val="es-US"/>
        </w:rPr>
        <w:t>. Declaración de Alexander Rodríguez</w:t>
      </w:r>
      <w:r w:rsidRPr="00A15BBB">
        <w:rPr>
          <w:rFonts w:asciiTheme="majorHAnsi" w:hAnsiTheme="majorHAnsi"/>
          <w:color w:val="auto"/>
          <w:sz w:val="16"/>
          <w:szCs w:val="16"/>
          <w:lang w:val="es-US"/>
        </w:rPr>
        <w:t xml:space="preserve">;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17</w:t>
      </w:r>
      <w:r w:rsidRPr="00A15BBB">
        <w:rPr>
          <w:rFonts w:ascii="Cambria" w:hAnsi="Cambria"/>
          <w:color w:val="auto"/>
          <w:sz w:val="16"/>
          <w:szCs w:val="16"/>
          <w:lang w:val="es-US"/>
        </w:rPr>
        <w:t>. Declaración de Arón Palacios;</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15</w:t>
      </w:r>
      <w:r w:rsidRPr="00A15BBB">
        <w:rPr>
          <w:rFonts w:ascii="Cambria" w:hAnsi="Cambria"/>
          <w:color w:val="auto"/>
          <w:sz w:val="16"/>
          <w:szCs w:val="16"/>
          <w:lang w:val="es-US"/>
        </w:rPr>
        <w:t xml:space="preserve">. Declaración </w:t>
      </w:r>
      <w:r w:rsidRPr="00A15BBB">
        <w:rPr>
          <w:rFonts w:ascii="Cambria" w:hAnsi="Cambria"/>
          <w:sz w:val="16"/>
          <w:szCs w:val="16"/>
          <w:lang w:val="es-US"/>
        </w:rPr>
        <w:t>de Luis Enrique Figueira;</w:t>
      </w:r>
      <w:r w:rsidRPr="00A15BBB">
        <w:rPr>
          <w:rFonts w:asciiTheme="majorHAnsi" w:hAnsiTheme="majorHAnsi"/>
          <w:sz w:val="16"/>
          <w:szCs w:val="16"/>
          <w:lang w:val="es-US"/>
        </w:rPr>
        <w:t xml:space="preserve">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9</w:t>
      </w:r>
      <w:r w:rsidRPr="00A15BBB">
        <w:rPr>
          <w:rFonts w:asciiTheme="majorHAnsi" w:hAnsiTheme="majorHAnsi" w:cstheme="minorHAnsi"/>
          <w:sz w:val="16"/>
          <w:szCs w:val="16"/>
          <w:lang w:val="es-US"/>
        </w:rPr>
        <w:t xml:space="preserve">. Decisión de la Corte de Apelaciones Penal de Ciudad Bolívar (3/6/04). </w:t>
      </w:r>
      <w:r w:rsidRPr="00A15BBB">
        <w:rPr>
          <w:rFonts w:asciiTheme="majorHAnsi" w:hAnsiTheme="majorHAnsi" w:cstheme="minorHAnsi"/>
          <w:color w:val="auto"/>
          <w:sz w:val="16"/>
          <w:szCs w:val="16"/>
          <w:lang w:val="es-US"/>
        </w:rPr>
        <w:t>Anexos a la petición inicial.</w:t>
      </w:r>
    </w:p>
  </w:footnote>
  <w:footnote w:id="37">
    <w:p w14:paraId="04E9A780" w14:textId="062010AB"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17</w:t>
      </w:r>
      <w:r w:rsidRPr="00A15BBB">
        <w:rPr>
          <w:rFonts w:ascii="Cambria" w:hAnsi="Cambria"/>
          <w:color w:val="auto"/>
          <w:sz w:val="16"/>
          <w:szCs w:val="16"/>
          <w:lang w:val="es-US"/>
        </w:rPr>
        <w:t>. Declaración de Arón Palacios</w:t>
      </w:r>
      <w:r w:rsidRPr="00A15BBB">
        <w:rPr>
          <w:rFonts w:asciiTheme="majorHAnsi" w:hAnsiTheme="majorHAnsi"/>
          <w:color w:val="auto"/>
          <w:sz w:val="16"/>
          <w:szCs w:val="16"/>
          <w:lang w:val="es-US"/>
        </w:rPr>
        <w:t xml:space="preserve">;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14</w:t>
      </w:r>
      <w:r w:rsidRPr="00A15BBB">
        <w:rPr>
          <w:rFonts w:ascii="Cambria" w:hAnsi="Cambria"/>
          <w:color w:val="auto"/>
          <w:sz w:val="16"/>
          <w:szCs w:val="16"/>
          <w:lang w:val="es-US"/>
        </w:rPr>
        <w:t>. Declaración de Alexander Rodríguez. Anexos a la petición inicial.</w:t>
      </w:r>
    </w:p>
  </w:footnote>
  <w:footnote w:id="38">
    <w:p w14:paraId="3BF4C4E8" w14:textId="51AD6D45"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14</w:t>
      </w:r>
      <w:r w:rsidRPr="00A15BBB">
        <w:rPr>
          <w:rFonts w:ascii="Cambria" w:hAnsi="Cambria"/>
          <w:color w:val="auto"/>
          <w:sz w:val="16"/>
          <w:szCs w:val="16"/>
          <w:lang w:val="es-US"/>
        </w:rPr>
        <w:t>. Declaración de Alexander Rodríguez. Anexo a la petición inicial.</w:t>
      </w:r>
    </w:p>
  </w:footnote>
  <w:footnote w:id="39">
    <w:p w14:paraId="0DA81A8B" w14:textId="5F1D4E8F" w:rsidR="00595122" w:rsidRPr="00A15BBB" w:rsidRDefault="00595122" w:rsidP="00E26EFE">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BC71AA">
        <w:rPr>
          <w:rFonts w:asciiTheme="majorHAnsi" w:hAnsiTheme="majorHAnsi"/>
          <w:sz w:val="16"/>
          <w:szCs w:val="16"/>
          <w:lang w:val="es-VE"/>
        </w:rPr>
        <w:t xml:space="preserve"> </w:t>
      </w:r>
      <w:r w:rsidRPr="00BC71AA">
        <w:rPr>
          <w:rFonts w:asciiTheme="majorHAnsi" w:hAnsiTheme="majorHAnsi"/>
          <w:color w:val="auto"/>
          <w:sz w:val="16"/>
          <w:szCs w:val="16"/>
          <w:lang w:val="es-VE"/>
        </w:rPr>
        <w:t xml:space="preserve">Anexos </w:t>
      </w:r>
      <w:r>
        <w:rPr>
          <w:rFonts w:asciiTheme="majorHAnsi" w:hAnsiTheme="majorHAnsi"/>
          <w:color w:val="auto"/>
          <w:sz w:val="16"/>
          <w:szCs w:val="16"/>
          <w:lang w:val="es-VE"/>
        </w:rPr>
        <w:t>11</w:t>
      </w:r>
      <w:r w:rsidRPr="00BC71AA">
        <w:rPr>
          <w:rFonts w:asciiTheme="majorHAnsi" w:hAnsiTheme="majorHAnsi"/>
          <w:color w:val="auto"/>
          <w:sz w:val="16"/>
          <w:szCs w:val="16"/>
          <w:lang w:val="es-VE"/>
        </w:rPr>
        <w:t xml:space="preserve">, </w:t>
      </w:r>
      <w:r>
        <w:rPr>
          <w:rFonts w:ascii="Cambria" w:hAnsi="Cambria"/>
          <w:sz w:val="16"/>
          <w:szCs w:val="16"/>
          <w:lang w:val="es-US"/>
        </w:rPr>
        <w:t>18</w:t>
      </w:r>
      <w:r w:rsidRPr="00BC71AA">
        <w:rPr>
          <w:rFonts w:asciiTheme="majorHAnsi" w:hAnsiTheme="majorHAnsi"/>
          <w:color w:val="auto"/>
          <w:sz w:val="16"/>
          <w:szCs w:val="16"/>
          <w:lang w:val="es-VE"/>
        </w:rPr>
        <w:t xml:space="preserve">, </w:t>
      </w:r>
      <w:r>
        <w:rPr>
          <w:rFonts w:ascii="Cambria" w:hAnsi="Cambria"/>
          <w:sz w:val="16"/>
          <w:szCs w:val="16"/>
          <w:lang w:val="es-US"/>
        </w:rPr>
        <w:t>16</w:t>
      </w:r>
      <w:r w:rsidRPr="00BC71AA">
        <w:rPr>
          <w:rFonts w:asciiTheme="majorHAnsi" w:hAnsiTheme="majorHAnsi"/>
          <w:color w:val="auto"/>
          <w:sz w:val="16"/>
          <w:szCs w:val="16"/>
          <w:lang w:val="es-VE"/>
        </w:rPr>
        <w:t xml:space="preserve">. </w:t>
      </w:r>
      <w:r w:rsidRPr="00FD7DBD">
        <w:rPr>
          <w:rFonts w:asciiTheme="majorHAnsi" w:hAnsiTheme="majorHAnsi"/>
          <w:color w:val="auto"/>
          <w:sz w:val="16"/>
          <w:szCs w:val="16"/>
          <w:lang w:val="es-US"/>
        </w:rPr>
        <w:t>Declaraciones de Deivis Romero,</w:t>
      </w:r>
      <w:r w:rsidRPr="00A15BBB">
        <w:rPr>
          <w:rFonts w:asciiTheme="majorHAnsi" w:hAnsiTheme="majorHAnsi"/>
          <w:color w:val="auto"/>
          <w:sz w:val="16"/>
          <w:szCs w:val="16"/>
          <w:lang w:val="es-US"/>
        </w:rPr>
        <w:t xml:space="preserve"> Carlos Durán</w:t>
      </w:r>
      <w:r>
        <w:rPr>
          <w:rFonts w:asciiTheme="majorHAnsi" w:hAnsiTheme="majorHAnsi"/>
          <w:color w:val="auto"/>
          <w:sz w:val="16"/>
          <w:szCs w:val="16"/>
          <w:lang w:val="es-US"/>
        </w:rPr>
        <w:t xml:space="preserve">, y </w:t>
      </w:r>
      <w:r w:rsidRPr="00A15BBB">
        <w:rPr>
          <w:rFonts w:asciiTheme="majorHAnsi" w:hAnsiTheme="majorHAnsi"/>
          <w:color w:val="auto"/>
          <w:sz w:val="16"/>
          <w:szCs w:val="16"/>
          <w:lang w:val="es-US"/>
        </w:rPr>
        <w:t>Andi Bermúdez. Anexos a la petición inicial.</w:t>
      </w:r>
    </w:p>
  </w:footnote>
  <w:footnote w:id="40">
    <w:p w14:paraId="0BEDE160" w14:textId="14392C96" w:rsidR="00595122" w:rsidRPr="00A15BBB" w:rsidRDefault="00595122" w:rsidP="00E26EFE">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FD7DBD">
        <w:rPr>
          <w:rFonts w:asciiTheme="majorHAnsi" w:hAnsiTheme="majorHAnsi"/>
          <w:color w:val="auto"/>
          <w:sz w:val="16"/>
          <w:szCs w:val="16"/>
          <w:lang w:val="es-US"/>
        </w:rPr>
        <w:t xml:space="preserve">Anexos </w:t>
      </w:r>
      <w:r>
        <w:rPr>
          <w:rFonts w:asciiTheme="majorHAnsi" w:hAnsiTheme="majorHAnsi"/>
          <w:color w:val="auto"/>
          <w:sz w:val="16"/>
          <w:szCs w:val="16"/>
          <w:lang w:val="es-US"/>
        </w:rPr>
        <w:t>11</w:t>
      </w:r>
      <w:r w:rsidRPr="00FD7DBD">
        <w:rPr>
          <w:rFonts w:asciiTheme="majorHAnsi" w:hAnsiTheme="majorHAnsi"/>
          <w:color w:val="auto"/>
          <w:sz w:val="16"/>
          <w:szCs w:val="16"/>
          <w:lang w:val="es-US"/>
        </w:rPr>
        <w:t xml:space="preserve">, </w:t>
      </w:r>
      <w:r>
        <w:rPr>
          <w:rFonts w:ascii="Cambria" w:hAnsi="Cambria"/>
          <w:sz w:val="16"/>
          <w:szCs w:val="16"/>
          <w:lang w:val="es-US"/>
        </w:rPr>
        <w:t>18</w:t>
      </w:r>
      <w:r w:rsidRPr="00FD7DBD">
        <w:rPr>
          <w:rFonts w:asciiTheme="majorHAnsi" w:hAnsiTheme="majorHAnsi"/>
          <w:color w:val="auto"/>
          <w:sz w:val="16"/>
          <w:szCs w:val="16"/>
          <w:lang w:val="es-US"/>
        </w:rPr>
        <w:t xml:space="preserve">, </w:t>
      </w:r>
      <w:r>
        <w:rPr>
          <w:rFonts w:ascii="Cambria" w:hAnsi="Cambria"/>
          <w:sz w:val="16"/>
          <w:szCs w:val="16"/>
          <w:lang w:val="es-US"/>
        </w:rPr>
        <w:t>16</w:t>
      </w:r>
      <w:r w:rsidRPr="00FD7DBD">
        <w:rPr>
          <w:rFonts w:asciiTheme="majorHAnsi" w:hAnsiTheme="majorHAnsi"/>
          <w:color w:val="auto"/>
          <w:sz w:val="16"/>
          <w:szCs w:val="16"/>
          <w:lang w:val="es-US"/>
        </w:rPr>
        <w:t>. Declaraciones de Deivis Romero,</w:t>
      </w:r>
      <w:r w:rsidRPr="00A15BBB">
        <w:rPr>
          <w:rFonts w:asciiTheme="majorHAnsi" w:hAnsiTheme="majorHAnsi"/>
          <w:color w:val="auto"/>
          <w:sz w:val="16"/>
          <w:szCs w:val="16"/>
          <w:lang w:val="es-US"/>
        </w:rPr>
        <w:t xml:space="preserve"> Carlos Durán</w:t>
      </w:r>
      <w:r>
        <w:rPr>
          <w:rFonts w:asciiTheme="majorHAnsi" w:hAnsiTheme="majorHAnsi"/>
          <w:color w:val="auto"/>
          <w:sz w:val="16"/>
          <w:szCs w:val="16"/>
          <w:lang w:val="es-US"/>
        </w:rPr>
        <w:t xml:space="preserve">, y </w:t>
      </w:r>
      <w:r w:rsidRPr="00A15BBB">
        <w:rPr>
          <w:rFonts w:asciiTheme="majorHAnsi" w:hAnsiTheme="majorHAnsi"/>
          <w:color w:val="auto"/>
          <w:sz w:val="16"/>
          <w:szCs w:val="16"/>
          <w:lang w:val="es-US"/>
        </w:rPr>
        <w:t>Andi Bermúdez. Anexos a la petición inicial.</w:t>
      </w:r>
    </w:p>
  </w:footnote>
  <w:footnote w:id="41">
    <w:p w14:paraId="26E40EDC" w14:textId="1B5FE841" w:rsidR="00595122" w:rsidRPr="00A15BBB" w:rsidRDefault="00595122" w:rsidP="00E26EFE">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FD7DBD">
        <w:rPr>
          <w:rFonts w:asciiTheme="majorHAnsi" w:hAnsiTheme="majorHAnsi"/>
          <w:color w:val="auto"/>
          <w:sz w:val="16"/>
          <w:szCs w:val="16"/>
          <w:lang w:val="es-US"/>
        </w:rPr>
        <w:t xml:space="preserve">Anexos </w:t>
      </w:r>
      <w:r>
        <w:rPr>
          <w:rFonts w:asciiTheme="majorHAnsi" w:hAnsiTheme="majorHAnsi"/>
          <w:color w:val="auto"/>
          <w:sz w:val="16"/>
          <w:szCs w:val="16"/>
          <w:lang w:val="es-US"/>
        </w:rPr>
        <w:t>11</w:t>
      </w:r>
      <w:r w:rsidRPr="00FD7DBD">
        <w:rPr>
          <w:rFonts w:asciiTheme="majorHAnsi" w:hAnsiTheme="majorHAnsi"/>
          <w:color w:val="auto"/>
          <w:sz w:val="16"/>
          <w:szCs w:val="16"/>
          <w:lang w:val="es-US"/>
        </w:rPr>
        <w:t xml:space="preserve">, </w:t>
      </w:r>
      <w:r>
        <w:rPr>
          <w:rFonts w:ascii="Cambria" w:hAnsi="Cambria"/>
          <w:sz w:val="16"/>
          <w:szCs w:val="16"/>
          <w:lang w:val="es-US"/>
        </w:rPr>
        <w:t>18</w:t>
      </w:r>
      <w:r w:rsidRPr="00FD7DBD">
        <w:rPr>
          <w:rFonts w:asciiTheme="majorHAnsi" w:hAnsiTheme="majorHAnsi"/>
          <w:color w:val="auto"/>
          <w:sz w:val="16"/>
          <w:szCs w:val="16"/>
          <w:lang w:val="es-US"/>
        </w:rPr>
        <w:t xml:space="preserve">, </w:t>
      </w:r>
      <w:r>
        <w:rPr>
          <w:rFonts w:ascii="Cambria" w:hAnsi="Cambria"/>
          <w:sz w:val="16"/>
          <w:szCs w:val="16"/>
          <w:lang w:val="es-US"/>
        </w:rPr>
        <w:t>16</w:t>
      </w:r>
      <w:r w:rsidRPr="00FD7DBD">
        <w:rPr>
          <w:rFonts w:asciiTheme="majorHAnsi" w:hAnsiTheme="majorHAnsi"/>
          <w:color w:val="auto"/>
          <w:sz w:val="16"/>
          <w:szCs w:val="16"/>
          <w:lang w:val="es-US"/>
        </w:rPr>
        <w:t>. Declaraciones de Deivis Romero,</w:t>
      </w:r>
      <w:r w:rsidRPr="00A15BBB">
        <w:rPr>
          <w:rFonts w:asciiTheme="majorHAnsi" w:hAnsiTheme="majorHAnsi"/>
          <w:color w:val="auto"/>
          <w:sz w:val="16"/>
          <w:szCs w:val="16"/>
          <w:lang w:val="es-US"/>
        </w:rPr>
        <w:t xml:space="preserve"> Carlos Durán</w:t>
      </w:r>
      <w:r>
        <w:rPr>
          <w:rFonts w:asciiTheme="majorHAnsi" w:hAnsiTheme="majorHAnsi"/>
          <w:color w:val="auto"/>
          <w:sz w:val="16"/>
          <w:szCs w:val="16"/>
          <w:lang w:val="es-US"/>
        </w:rPr>
        <w:t xml:space="preserve">, y </w:t>
      </w:r>
      <w:r w:rsidRPr="00A15BBB">
        <w:rPr>
          <w:rFonts w:asciiTheme="majorHAnsi" w:hAnsiTheme="majorHAnsi"/>
          <w:color w:val="auto"/>
          <w:sz w:val="16"/>
          <w:szCs w:val="16"/>
          <w:lang w:val="es-US"/>
        </w:rPr>
        <w:t>Andi Bermúdez. Anexos a la petición inicial.</w:t>
      </w:r>
    </w:p>
  </w:footnote>
  <w:footnote w:id="42">
    <w:p w14:paraId="46D5A0C6" w14:textId="48F21304" w:rsidR="00595122" w:rsidRPr="00A15BBB" w:rsidRDefault="00595122" w:rsidP="00E26EFE">
      <w:pPr>
        <w:pStyle w:val="FootnoteText"/>
        <w:jc w:val="both"/>
        <w:rPr>
          <w:rFonts w:asciiTheme="majorHAnsi" w:hAnsiTheme="majorHAnsi"/>
          <w:color w:val="FF0000"/>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Anexo </w:t>
      </w:r>
      <w:r>
        <w:rPr>
          <w:rFonts w:ascii="Cambria" w:hAnsi="Cambria"/>
          <w:sz w:val="16"/>
          <w:szCs w:val="16"/>
          <w:lang w:val="es-US"/>
        </w:rPr>
        <w:t>16</w:t>
      </w:r>
      <w:r w:rsidRPr="00A15BBB">
        <w:rPr>
          <w:rFonts w:asciiTheme="majorHAnsi" w:hAnsiTheme="majorHAnsi"/>
          <w:color w:val="auto"/>
          <w:sz w:val="16"/>
          <w:szCs w:val="16"/>
          <w:lang w:val="es-US"/>
        </w:rPr>
        <w:t>. Declaración de Andi Bermúdez. Anexo a la petición inicial.</w:t>
      </w:r>
    </w:p>
  </w:footnote>
  <w:footnote w:id="43">
    <w:p w14:paraId="49149D31" w14:textId="77ADF050" w:rsidR="00595122" w:rsidRPr="00A15BBB" w:rsidRDefault="00595122" w:rsidP="00E26EFE">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Anexo </w:t>
      </w:r>
      <w:r>
        <w:rPr>
          <w:rFonts w:asciiTheme="majorHAnsi" w:hAnsiTheme="majorHAnsi"/>
          <w:color w:val="auto"/>
          <w:sz w:val="16"/>
          <w:szCs w:val="16"/>
          <w:lang w:val="es-US"/>
        </w:rPr>
        <w:t>15</w:t>
      </w:r>
      <w:r w:rsidRPr="00A15BBB">
        <w:rPr>
          <w:rFonts w:asciiTheme="majorHAnsi" w:hAnsiTheme="majorHAnsi"/>
          <w:color w:val="auto"/>
          <w:sz w:val="16"/>
          <w:szCs w:val="16"/>
          <w:lang w:val="es-US"/>
        </w:rPr>
        <w:t xml:space="preserve">. Declaración de Luis Enrique Figueira;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Anexo </w:t>
      </w:r>
      <w:r>
        <w:rPr>
          <w:rFonts w:ascii="Cambria" w:hAnsi="Cambria"/>
          <w:sz w:val="16"/>
          <w:szCs w:val="16"/>
          <w:lang w:val="es-US"/>
        </w:rPr>
        <w:t>10</w:t>
      </w:r>
      <w:r w:rsidRPr="00A15BBB">
        <w:rPr>
          <w:rFonts w:asciiTheme="majorHAnsi" w:hAnsiTheme="majorHAnsi"/>
          <w:color w:val="auto"/>
          <w:sz w:val="16"/>
          <w:szCs w:val="16"/>
          <w:lang w:val="es-US"/>
        </w:rPr>
        <w:t xml:space="preserve">. Declaración de Alcides Alcázar. </w:t>
      </w:r>
      <w:r w:rsidRPr="00A15BBB">
        <w:rPr>
          <w:rFonts w:asciiTheme="majorHAnsi" w:hAnsiTheme="majorHAnsi" w:cstheme="minorHAnsi"/>
          <w:color w:val="auto"/>
          <w:sz w:val="16"/>
          <w:szCs w:val="16"/>
          <w:lang w:val="es-US"/>
        </w:rPr>
        <w:t>Anexos a la petición inicial.</w:t>
      </w:r>
    </w:p>
  </w:footnote>
  <w:footnote w:id="44">
    <w:p w14:paraId="1EF34749" w14:textId="132EAF6F" w:rsidR="00595122" w:rsidRPr="00A15BBB" w:rsidRDefault="00595122" w:rsidP="00E26EFE">
      <w:pPr>
        <w:pStyle w:val="FootnoteText"/>
        <w:jc w:val="both"/>
        <w:rPr>
          <w:rFonts w:asciiTheme="majorHAnsi" w:hAnsiTheme="majorHAnsi" w:cstheme="minorHAnsi"/>
          <w:color w:val="auto"/>
          <w:sz w:val="16"/>
          <w:szCs w:val="16"/>
          <w:lang w:val="es-US"/>
        </w:rPr>
      </w:pPr>
      <w:r w:rsidRPr="00A15BBB">
        <w:rPr>
          <w:rStyle w:val="FootnoteReference"/>
          <w:rFonts w:asciiTheme="majorHAnsi" w:hAnsiTheme="majorHAnsi" w:cstheme="minorHAnsi"/>
          <w:color w:val="auto"/>
          <w:sz w:val="16"/>
          <w:szCs w:val="16"/>
        </w:rPr>
        <w:footnoteRef/>
      </w:r>
      <w:r w:rsidRPr="00A15BBB">
        <w:rPr>
          <w:rFonts w:asciiTheme="majorHAnsi" w:hAnsiTheme="majorHAnsi" w:cstheme="minorHAnsi"/>
          <w:color w:val="auto"/>
          <w:sz w:val="16"/>
          <w:szCs w:val="16"/>
          <w:lang w:val="es-US"/>
        </w:rPr>
        <w:t xml:space="preserve"> Anexo </w:t>
      </w:r>
      <w:r>
        <w:rPr>
          <w:rFonts w:asciiTheme="majorHAnsi" w:hAnsiTheme="majorHAnsi" w:cstheme="minorHAnsi"/>
          <w:color w:val="auto"/>
          <w:sz w:val="16"/>
          <w:szCs w:val="16"/>
          <w:lang w:val="es-US"/>
        </w:rPr>
        <w:t>8</w:t>
      </w:r>
      <w:r w:rsidRPr="00A15BBB">
        <w:rPr>
          <w:rFonts w:asciiTheme="majorHAnsi" w:hAnsiTheme="majorHAnsi" w:cstheme="minorHAnsi"/>
          <w:color w:val="auto"/>
          <w:sz w:val="16"/>
          <w:szCs w:val="16"/>
          <w:lang w:val="es-US"/>
        </w:rPr>
        <w:t>.</w:t>
      </w:r>
      <w:r w:rsidRPr="00A15BBB">
        <w:rPr>
          <w:rFonts w:asciiTheme="majorHAnsi" w:hAnsiTheme="majorHAnsi" w:cstheme="minorHAnsi"/>
          <w:color w:val="auto"/>
          <w:sz w:val="16"/>
          <w:szCs w:val="16"/>
          <w:lang w:val="es-ES_tradnl"/>
        </w:rPr>
        <w:t xml:space="preserve"> La Nación. “Nunca imaginamos que lo iban a matar” (23/12/2003</w:t>
      </w:r>
      <w:r w:rsidRPr="00A15BBB">
        <w:rPr>
          <w:rFonts w:asciiTheme="majorHAnsi" w:hAnsiTheme="majorHAnsi" w:cstheme="minorHAnsi"/>
          <w:color w:val="auto"/>
          <w:sz w:val="16"/>
          <w:szCs w:val="16"/>
          <w:lang w:val="es-US"/>
        </w:rPr>
        <w:t>)</w:t>
      </w:r>
      <w:r w:rsidRPr="00A15BBB">
        <w:rPr>
          <w:rFonts w:asciiTheme="majorHAnsi" w:hAnsiTheme="majorHAnsi" w:cstheme="minorHAnsi"/>
          <w:color w:val="auto"/>
          <w:sz w:val="16"/>
          <w:szCs w:val="16"/>
          <w:lang w:val="es-ES_tradnl"/>
        </w:rPr>
        <w:t>.</w:t>
      </w:r>
      <w:r w:rsidRPr="00A15BBB">
        <w:rPr>
          <w:rFonts w:asciiTheme="majorHAnsi" w:hAnsiTheme="majorHAnsi" w:cstheme="minorHAnsi"/>
          <w:color w:val="auto"/>
          <w:sz w:val="16"/>
          <w:szCs w:val="16"/>
          <w:lang w:val="es-US"/>
        </w:rPr>
        <w:t xml:space="preserve"> Anexo a la petición inicial.</w:t>
      </w:r>
    </w:p>
  </w:footnote>
  <w:footnote w:id="45">
    <w:p w14:paraId="500AC8C7" w14:textId="6ED55F07" w:rsidR="00595122" w:rsidRPr="0094652F" w:rsidRDefault="00595122" w:rsidP="00E26EFE">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Organización Mundial Contra la Tortura. </w:t>
      </w:r>
      <w:r w:rsidRPr="00A15BBB">
        <w:rPr>
          <w:rFonts w:asciiTheme="majorHAnsi" w:hAnsiTheme="majorHAnsi"/>
          <w:i/>
          <w:color w:val="auto"/>
          <w:sz w:val="16"/>
          <w:szCs w:val="16"/>
          <w:lang w:val="es-US"/>
        </w:rPr>
        <w:t>Venezuela: Ola de violencia en el Internado Judicial de Ciudad Bolívar dejar 7 muertos</w:t>
      </w:r>
      <w:r w:rsidRPr="00A15BBB">
        <w:rPr>
          <w:rFonts w:asciiTheme="majorHAnsi" w:hAnsiTheme="majorHAnsi"/>
          <w:color w:val="auto"/>
          <w:sz w:val="16"/>
          <w:szCs w:val="16"/>
          <w:lang w:val="es-US"/>
        </w:rPr>
        <w:t xml:space="preserve"> (1/12/2003). </w:t>
      </w:r>
      <w:r w:rsidRPr="0094652F">
        <w:rPr>
          <w:rFonts w:asciiTheme="majorHAnsi" w:hAnsiTheme="majorHAnsi"/>
          <w:color w:val="auto"/>
          <w:sz w:val="16"/>
          <w:szCs w:val="16"/>
          <w:lang w:val="es-US"/>
        </w:rPr>
        <w:t>Disponible en: http://fidh-omct.org/es/urgent-campaigns/urgent-interventions/venezuela/2003/12/d16608/.</w:t>
      </w:r>
    </w:p>
  </w:footnote>
  <w:footnote w:id="46">
    <w:p w14:paraId="21D7F9B4" w14:textId="6953F3DB"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94652F">
        <w:rPr>
          <w:rFonts w:asciiTheme="majorHAnsi" w:hAnsiTheme="majorHAnsi"/>
          <w:color w:val="auto"/>
          <w:sz w:val="16"/>
          <w:szCs w:val="16"/>
          <w:lang w:val="es-US"/>
        </w:rPr>
        <w:t xml:space="preserve"> </w:t>
      </w:r>
      <w:r w:rsidRPr="0094652F">
        <w:rPr>
          <w:rFonts w:ascii="Cambria" w:hAnsi="Cambria"/>
          <w:color w:val="auto"/>
          <w:sz w:val="16"/>
          <w:szCs w:val="16"/>
          <w:lang w:val="es-US"/>
        </w:rPr>
        <w:t xml:space="preserve">Anexo </w:t>
      </w:r>
      <w:r>
        <w:rPr>
          <w:rFonts w:ascii="Cambria" w:hAnsi="Cambria"/>
          <w:sz w:val="16"/>
          <w:szCs w:val="16"/>
          <w:lang w:val="es-US"/>
        </w:rPr>
        <w:t>10</w:t>
      </w:r>
      <w:r w:rsidRPr="0094652F">
        <w:rPr>
          <w:rFonts w:ascii="Cambria" w:hAnsi="Cambria"/>
          <w:color w:val="auto"/>
          <w:sz w:val="16"/>
          <w:szCs w:val="16"/>
          <w:lang w:val="es-US"/>
        </w:rPr>
        <w:t xml:space="preserve">. </w:t>
      </w:r>
      <w:r w:rsidRPr="00A15BBB">
        <w:rPr>
          <w:rFonts w:ascii="Cambria" w:hAnsi="Cambria"/>
          <w:color w:val="auto"/>
          <w:sz w:val="16"/>
          <w:szCs w:val="16"/>
          <w:lang w:val="es-US"/>
        </w:rPr>
        <w:t xml:space="preserve">Declaración de Alcides Alcázar. </w:t>
      </w:r>
      <w:r w:rsidRPr="00A15BBB">
        <w:rPr>
          <w:rFonts w:asciiTheme="majorHAnsi" w:hAnsiTheme="majorHAnsi" w:cstheme="minorHAnsi"/>
          <w:color w:val="auto"/>
          <w:sz w:val="16"/>
          <w:szCs w:val="16"/>
          <w:lang w:val="es-US"/>
        </w:rPr>
        <w:t>Anexo a la petición inicial.</w:t>
      </w:r>
    </w:p>
  </w:footnote>
  <w:footnote w:id="47">
    <w:p w14:paraId="5784B20C" w14:textId="571C0829"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15</w:t>
      </w:r>
      <w:r w:rsidRPr="00A15BBB">
        <w:rPr>
          <w:rFonts w:ascii="Cambria" w:hAnsi="Cambria"/>
          <w:color w:val="auto"/>
          <w:sz w:val="16"/>
          <w:szCs w:val="16"/>
          <w:lang w:val="es-US"/>
        </w:rPr>
        <w:t xml:space="preserve">. Declaración de Luis Enrique Figueira; Anexo </w:t>
      </w:r>
      <w:r>
        <w:rPr>
          <w:rFonts w:ascii="Cambria" w:hAnsi="Cambria"/>
          <w:sz w:val="16"/>
          <w:szCs w:val="16"/>
          <w:lang w:val="es-US"/>
        </w:rPr>
        <w:t>10</w:t>
      </w:r>
      <w:r w:rsidRPr="00A15BBB">
        <w:rPr>
          <w:rFonts w:ascii="Cambria" w:hAnsi="Cambria"/>
          <w:color w:val="auto"/>
          <w:sz w:val="16"/>
          <w:szCs w:val="16"/>
          <w:lang w:val="es-US"/>
        </w:rPr>
        <w:t>. Declaración de Alcides Alcázar. Anexo</w:t>
      </w:r>
      <w:r>
        <w:rPr>
          <w:rFonts w:ascii="Cambria" w:hAnsi="Cambria"/>
          <w:color w:val="auto"/>
          <w:sz w:val="16"/>
          <w:szCs w:val="16"/>
          <w:lang w:val="es-US"/>
        </w:rPr>
        <w:t>s</w:t>
      </w:r>
      <w:r w:rsidRPr="00A15BBB">
        <w:rPr>
          <w:rFonts w:ascii="Cambria" w:hAnsi="Cambria"/>
          <w:color w:val="auto"/>
          <w:sz w:val="16"/>
          <w:szCs w:val="16"/>
          <w:lang w:val="es-US"/>
        </w:rPr>
        <w:t xml:space="preserve"> a la petición inicial.</w:t>
      </w:r>
    </w:p>
  </w:footnote>
  <w:footnote w:id="48">
    <w:p w14:paraId="15825999" w14:textId="45809978"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Theme="majorHAnsi" w:hAnsiTheme="majorHAnsi" w:cstheme="minorHAnsi"/>
          <w:color w:val="auto"/>
          <w:sz w:val="16"/>
          <w:szCs w:val="16"/>
          <w:lang w:val="es-US"/>
        </w:rPr>
        <w:t xml:space="preserve">Cabe notar que este detalle no concuerda con el resultado de la autopsia practicada el 22 de marzo de 2004, la cual no encontró lesiones en las extremidades. Véase </w:t>
      </w:r>
      <w:r w:rsidRPr="00A15BBB">
        <w:rPr>
          <w:rFonts w:asciiTheme="majorHAnsi" w:hAnsiTheme="majorHAnsi" w:cstheme="minorHAnsi"/>
          <w:i/>
          <w:color w:val="auto"/>
          <w:sz w:val="16"/>
          <w:szCs w:val="16"/>
          <w:lang w:val="es-US"/>
        </w:rPr>
        <w:t>supra</w:t>
      </w:r>
      <w:r w:rsidRPr="00A15BBB">
        <w:rPr>
          <w:rFonts w:asciiTheme="majorHAnsi" w:hAnsiTheme="majorHAnsi" w:cstheme="minorHAnsi"/>
          <w:color w:val="auto"/>
          <w:sz w:val="16"/>
          <w:szCs w:val="16"/>
          <w:lang w:val="es-US"/>
        </w:rPr>
        <w:t xml:space="preserve"> párr. 28.</w:t>
      </w:r>
    </w:p>
  </w:footnote>
  <w:footnote w:id="49">
    <w:p w14:paraId="1825E815" w14:textId="5EC14A3A" w:rsidR="00595122" w:rsidRPr="00A15BBB" w:rsidRDefault="00595122" w:rsidP="00E708A0">
      <w:pPr>
        <w:pStyle w:val="FootnoteText"/>
        <w:jc w:val="both"/>
        <w:rPr>
          <w:rFonts w:asciiTheme="majorHAnsi" w:hAnsiTheme="majorHAnsi"/>
          <w:color w:val="FF0000"/>
          <w:sz w:val="16"/>
          <w:szCs w:val="16"/>
          <w:lang w:val="es-US"/>
        </w:rPr>
      </w:pPr>
      <w:r w:rsidRPr="00A15BBB">
        <w:rPr>
          <w:rStyle w:val="FootnoteReference"/>
          <w:rFonts w:asciiTheme="majorHAnsi" w:hAnsiTheme="majorHAnsi"/>
          <w:color w:val="auto"/>
          <w:sz w:val="16"/>
          <w:szCs w:val="16"/>
        </w:rPr>
        <w:footnoteRef/>
      </w:r>
      <w:r w:rsidRPr="00FD7DBD">
        <w:rPr>
          <w:rFonts w:asciiTheme="majorHAnsi" w:hAnsiTheme="majorHAnsi"/>
          <w:color w:val="auto"/>
          <w:sz w:val="16"/>
          <w:szCs w:val="16"/>
          <w:lang w:val="es-US"/>
        </w:rPr>
        <w:t xml:space="preserve"> </w:t>
      </w:r>
      <w:r w:rsidRPr="00FD7DBD">
        <w:rPr>
          <w:rFonts w:ascii="Cambria" w:hAnsi="Cambria"/>
          <w:color w:val="auto"/>
          <w:sz w:val="16"/>
          <w:szCs w:val="16"/>
          <w:lang w:val="es-US"/>
        </w:rPr>
        <w:t xml:space="preserve">Anexos </w:t>
      </w:r>
      <w:r>
        <w:rPr>
          <w:rFonts w:ascii="Cambria" w:hAnsi="Cambria"/>
          <w:color w:val="auto"/>
          <w:sz w:val="16"/>
          <w:szCs w:val="16"/>
          <w:lang w:val="es-US"/>
        </w:rPr>
        <w:t>15</w:t>
      </w:r>
      <w:r w:rsidRPr="00FD7DBD">
        <w:rPr>
          <w:rFonts w:ascii="Cambria" w:hAnsi="Cambria"/>
          <w:color w:val="auto"/>
          <w:sz w:val="16"/>
          <w:szCs w:val="16"/>
          <w:lang w:val="es-US"/>
        </w:rPr>
        <w:t xml:space="preserve">, </w:t>
      </w:r>
      <w:r>
        <w:rPr>
          <w:rFonts w:ascii="Cambria" w:hAnsi="Cambria"/>
          <w:sz w:val="16"/>
          <w:szCs w:val="16"/>
          <w:lang w:val="es-US"/>
        </w:rPr>
        <w:t>10</w:t>
      </w:r>
      <w:r w:rsidRPr="00FD7DBD">
        <w:rPr>
          <w:rFonts w:ascii="Cambria" w:hAnsi="Cambria"/>
          <w:color w:val="auto"/>
          <w:sz w:val="16"/>
          <w:szCs w:val="16"/>
          <w:lang w:val="es-US"/>
        </w:rPr>
        <w:t xml:space="preserve">, </w:t>
      </w:r>
      <w:r>
        <w:rPr>
          <w:rFonts w:ascii="Cambria" w:hAnsi="Cambria"/>
          <w:sz w:val="16"/>
          <w:szCs w:val="16"/>
          <w:lang w:val="es-US"/>
        </w:rPr>
        <w:t>16</w:t>
      </w:r>
      <w:r w:rsidRPr="00FD7DBD">
        <w:rPr>
          <w:rFonts w:ascii="Cambria" w:hAnsi="Cambria"/>
          <w:color w:val="auto"/>
          <w:sz w:val="16"/>
          <w:szCs w:val="16"/>
          <w:lang w:val="es-US"/>
        </w:rPr>
        <w:t xml:space="preserve">, </w:t>
      </w:r>
      <w:r>
        <w:rPr>
          <w:rFonts w:ascii="Cambria" w:hAnsi="Cambria"/>
          <w:sz w:val="16"/>
          <w:szCs w:val="16"/>
          <w:lang w:val="es-US"/>
        </w:rPr>
        <w:t>11</w:t>
      </w:r>
      <w:r w:rsidRPr="00FD7DBD">
        <w:rPr>
          <w:rFonts w:ascii="Cambria" w:hAnsi="Cambria"/>
          <w:color w:val="auto"/>
          <w:sz w:val="16"/>
          <w:szCs w:val="16"/>
          <w:lang w:val="es-US"/>
        </w:rPr>
        <w:t xml:space="preserve">, </w:t>
      </w:r>
      <w:r>
        <w:rPr>
          <w:rFonts w:ascii="Cambria" w:hAnsi="Cambria"/>
          <w:color w:val="auto"/>
          <w:sz w:val="16"/>
          <w:szCs w:val="16"/>
          <w:lang w:val="es-US"/>
        </w:rPr>
        <w:t>18</w:t>
      </w:r>
      <w:r w:rsidRPr="00FD7DBD">
        <w:rPr>
          <w:rFonts w:ascii="Cambria" w:hAnsi="Cambria"/>
          <w:color w:val="auto"/>
          <w:sz w:val="16"/>
          <w:szCs w:val="16"/>
          <w:lang w:val="es-US"/>
        </w:rPr>
        <w:t xml:space="preserve">. </w:t>
      </w:r>
      <w:r>
        <w:rPr>
          <w:rFonts w:ascii="Cambria" w:hAnsi="Cambria"/>
          <w:color w:val="auto"/>
          <w:sz w:val="16"/>
          <w:szCs w:val="16"/>
          <w:lang w:val="es-US"/>
        </w:rPr>
        <w:t>Declaracio</w:t>
      </w:r>
      <w:r w:rsidRPr="00A15BBB">
        <w:rPr>
          <w:rFonts w:ascii="Cambria" w:hAnsi="Cambria"/>
          <w:color w:val="auto"/>
          <w:sz w:val="16"/>
          <w:szCs w:val="16"/>
          <w:lang w:val="es-US"/>
        </w:rPr>
        <w:t>n</w:t>
      </w:r>
      <w:r>
        <w:rPr>
          <w:rFonts w:ascii="Cambria" w:hAnsi="Cambria"/>
          <w:color w:val="auto"/>
          <w:sz w:val="16"/>
          <w:szCs w:val="16"/>
          <w:lang w:val="es-US"/>
        </w:rPr>
        <w:t>es</w:t>
      </w:r>
      <w:r w:rsidRPr="00A15BBB">
        <w:rPr>
          <w:rFonts w:ascii="Cambria" w:hAnsi="Cambria"/>
          <w:color w:val="auto"/>
          <w:sz w:val="16"/>
          <w:szCs w:val="16"/>
          <w:lang w:val="es-US"/>
        </w:rPr>
        <w:t xml:space="preserve"> de Luis Enrique Figueira</w:t>
      </w:r>
      <w:r>
        <w:rPr>
          <w:rFonts w:ascii="Cambria" w:hAnsi="Cambria"/>
          <w:color w:val="auto"/>
          <w:sz w:val="16"/>
          <w:szCs w:val="16"/>
          <w:lang w:val="es-US"/>
        </w:rPr>
        <w:t>,</w:t>
      </w:r>
      <w:r w:rsidRPr="00A15BBB">
        <w:rPr>
          <w:rFonts w:ascii="Cambria" w:hAnsi="Cambria"/>
          <w:color w:val="auto"/>
          <w:sz w:val="16"/>
          <w:szCs w:val="16"/>
          <w:lang w:val="es-US"/>
        </w:rPr>
        <w:t xml:space="preserve"> Alcides Alcázar</w:t>
      </w:r>
      <w:r>
        <w:rPr>
          <w:rFonts w:ascii="Cambria" w:hAnsi="Cambria"/>
          <w:color w:val="auto"/>
          <w:sz w:val="16"/>
          <w:szCs w:val="16"/>
          <w:lang w:val="es-US"/>
        </w:rPr>
        <w:t>,</w:t>
      </w:r>
      <w:r w:rsidRPr="00A15BBB">
        <w:rPr>
          <w:rFonts w:ascii="Cambria" w:hAnsi="Cambria"/>
          <w:color w:val="auto"/>
          <w:sz w:val="16"/>
          <w:szCs w:val="16"/>
          <w:lang w:val="es-US"/>
        </w:rPr>
        <w:t xml:space="preserve"> Andi Bermúdez</w:t>
      </w:r>
      <w:r>
        <w:rPr>
          <w:rFonts w:asciiTheme="majorHAnsi" w:hAnsiTheme="majorHAnsi"/>
          <w:color w:val="auto"/>
          <w:sz w:val="16"/>
          <w:szCs w:val="16"/>
          <w:lang w:val="es-US"/>
        </w:rPr>
        <w:t xml:space="preserve">, </w:t>
      </w:r>
      <w:r w:rsidRPr="00A15BBB">
        <w:rPr>
          <w:rFonts w:ascii="Cambria" w:hAnsi="Cambria"/>
          <w:color w:val="auto"/>
          <w:sz w:val="16"/>
          <w:szCs w:val="16"/>
          <w:lang w:val="es-US"/>
        </w:rPr>
        <w:t>Deivis Romero</w:t>
      </w:r>
      <w:r>
        <w:rPr>
          <w:rFonts w:asciiTheme="majorHAnsi" w:hAnsiTheme="majorHAnsi"/>
          <w:color w:val="auto"/>
          <w:sz w:val="16"/>
          <w:szCs w:val="16"/>
          <w:lang w:val="es-US"/>
        </w:rPr>
        <w:t xml:space="preserve"> y</w:t>
      </w:r>
      <w:r w:rsidRPr="00A15BBB">
        <w:rPr>
          <w:rFonts w:ascii="Cambria" w:hAnsi="Cambria"/>
          <w:color w:val="auto"/>
          <w:sz w:val="16"/>
          <w:szCs w:val="16"/>
          <w:lang w:val="es-US"/>
        </w:rPr>
        <w:t xml:space="preserve"> Carlos Durán</w:t>
      </w:r>
      <w:r w:rsidRPr="00A15BBB">
        <w:rPr>
          <w:rFonts w:asciiTheme="majorHAnsi" w:hAnsiTheme="majorHAnsi"/>
          <w:color w:val="auto"/>
          <w:sz w:val="16"/>
          <w:szCs w:val="16"/>
          <w:lang w:val="es-US"/>
        </w:rPr>
        <w:t xml:space="preserve">; </w:t>
      </w:r>
      <w:r w:rsidRPr="00A15BBB">
        <w:rPr>
          <w:rFonts w:asciiTheme="majorHAnsi" w:hAnsiTheme="majorHAnsi" w:cstheme="minorHAnsi"/>
          <w:color w:val="auto"/>
          <w:sz w:val="16"/>
          <w:szCs w:val="16"/>
          <w:lang w:val="es-US"/>
        </w:rPr>
        <w:t xml:space="preserve">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Decisión de la Corte de Apelaciones Penal de Ciudad Bolívar (3/6/04). Anexos a la petición inicial.</w:t>
      </w:r>
      <w:r w:rsidRPr="00A15BBB">
        <w:rPr>
          <w:rFonts w:asciiTheme="majorHAnsi" w:hAnsiTheme="majorHAnsi" w:cstheme="minorHAnsi"/>
          <w:color w:val="FF0000"/>
          <w:sz w:val="16"/>
          <w:szCs w:val="16"/>
          <w:lang w:val="es-US"/>
        </w:rPr>
        <w:t xml:space="preserve"> </w:t>
      </w:r>
    </w:p>
  </w:footnote>
  <w:footnote w:id="50">
    <w:p w14:paraId="2C2E497F" w14:textId="47DFB177"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Theme="majorHAnsi" w:hAnsiTheme="majorHAnsi" w:cstheme="minorHAnsi"/>
          <w:color w:val="auto"/>
          <w:sz w:val="16"/>
          <w:szCs w:val="16"/>
          <w:lang w:val="es-US"/>
        </w:rPr>
        <w:t xml:space="preserve">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Decisión de la Corte de Apelaciones Penal de Ciudad Bolívar (3/6/04). Pág. 3. Anexo a la petición inicial.</w:t>
      </w:r>
    </w:p>
  </w:footnote>
  <w:footnote w:id="51">
    <w:p w14:paraId="2E756F19" w14:textId="688CF566"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11</w:t>
      </w:r>
      <w:r w:rsidRPr="00A15BBB">
        <w:rPr>
          <w:rFonts w:ascii="Cambria" w:hAnsi="Cambria"/>
          <w:color w:val="auto"/>
          <w:sz w:val="16"/>
          <w:szCs w:val="16"/>
          <w:lang w:val="es-US"/>
        </w:rPr>
        <w:t>. Declaración de Deivis Romero</w:t>
      </w:r>
      <w:r w:rsidRPr="00A15BBB">
        <w:rPr>
          <w:rFonts w:asciiTheme="majorHAnsi" w:hAnsiTheme="majorHAnsi"/>
          <w:color w:val="auto"/>
          <w:sz w:val="16"/>
          <w:szCs w:val="16"/>
          <w:lang w:val="es-US"/>
        </w:rPr>
        <w:t xml:space="preserve">;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10</w:t>
      </w:r>
      <w:r w:rsidRPr="00A15BBB">
        <w:rPr>
          <w:rFonts w:ascii="Cambria" w:hAnsi="Cambria"/>
          <w:color w:val="auto"/>
          <w:sz w:val="16"/>
          <w:szCs w:val="16"/>
          <w:lang w:val="es-US"/>
        </w:rPr>
        <w:t>. Declaración de Alcides Alcázar. Anexos a la petición inicial.</w:t>
      </w:r>
    </w:p>
  </w:footnote>
  <w:footnote w:id="52">
    <w:p w14:paraId="0F97660A" w14:textId="38B2E2DB"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18</w:t>
      </w:r>
      <w:r w:rsidRPr="00A15BBB">
        <w:rPr>
          <w:rFonts w:ascii="Cambria" w:hAnsi="Cambria"/>
          <w:color w:val="auto"/>
          <w:sz w:val="16"/>
          <w:szCs w:val="16"/>
          <w:lang w:val="es-US"/>
        </w:rPr>
        <w:t>. Declaración de Carlos Durán. Anexo a la petición inicial.</w:t>
      </w:r>
    </w:p>
  </w:footnote>
  <w:footnote w:id="53">
    <w:p w14:paraId="30B50BEE" w14:textId="11F166AE"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10</w:t>
      </w:r>
      <w:r w:rsidRPr="00A15BBB">
        <w:rPr>
          <w:rFonts w:ascii="Cambria" w:hAnsi="Cambria"/>
          <w:color w:val="auto"/>
          <w:sz w:val="16"/>
          <w:szCs w:val="16"/>
          <w:lang w:val="es-US"/>
        </w:rPr>
        <w:t>. Declaración de Alcides Alcázar</w:t>
      </w:r>
      <w:r w:rsidRPr="00A15BBB">
        <w:rPr>
          <w:rFonts w:asciiTheme="majorHAnsi" w:hAnsiTheme="majorHAnsi"/>
          <w:color w:val="auto"/>
          <w:sz w:val="16"/>
          <w:szCs w:val="16"/>
          <w:lang w:val="es-US"/>
        </w:rPr>
        <w:t xml:space="preserve">;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17</w:t>
      </w:r>
      <w:r w:rsidRPr="00A15BBB">
        <w:rPr>
          <w:rFonts w:ascii="Cambria" w:hAnsi="Cambria"/>
          <w:color w:val="auto"/>
          <w:sz w:val="16"/>
          <w:szCs w:val="16"/>
          <w:lang w:val="es-US"/>
        </w:rPr>
        <w:t>. Declaración de Arón Palacios;</w:t>
      </w:r>
      <w:r w:rsidRPr="00A15BBB">
        <w:rPr>
          <w:rFonts w:asciiTheme="majorHAnsi" w:hAnsiTheme="majorHAnsi"/>
          <w:color w:val="auto"/>
          <w:sz w:val="16"/>
          <w:szCs w:val="16"/>
          <w:lang w:val="es-US"/>
        </w:rPr>
        <w:t xml:space="preserve"> </w:t>
      </w:r>
      <w:r w:rsidRPr="00A15BBB">
        <w:rPr>
          <w:rFonts w:asciiTheme="majorHAnsi" w:hAnsiTheme="majorHAnsi" w:cstheme="minorHAnsi"/>
          <w:color w:val="auto"/>
          <w:sz w:val="16"/>
          <w:szCs w:val="16"/>
          <w:lang w:val="es-US"/>
        </w:rPr>
        <w:t xml:space="preserve">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Decisión de la Corte de Apelaciones Penal de Ciudad Bolívar, 3/6/04. Anexos a la petición inicial.</w:t>
      </w:r>
    </w:p>
  </w:footnote>
  <w:footnote w:id="54">
    <w:p w14:paraId="3864C6FB" w14:textId="2618ABD7"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17</w:t>
      </w:r>
      <w:r w:rsidRPr="00A15BBB">
        <w:rPr>
          <w:rFonts w:ascii="Cambria" w:hAnsi="Cambria"/>
          <w:color w:val="auto"/>
          <w:sz w:val="16"/>
          <w:szCs w:val="16"/>
          <w:lang w:val="es-US"/>
        </w:rPr>
        <w:t>. Declaración de Arón Palacios. Anexo a la petición inicial.</w:t>
      </w:r>
    </w:p>
  </w:footnote>
  <w:footnote w:id="55">
    <w:p w14:paraId="6A2F5ABB" w14:textId="00D14AF1"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11</w:t>
      </w:r>
      <w:r w:rsidRPr="00A15BBB">
        <w:rPr>
          <w:rFonts w:ascii="Cambria" w:hAnsi="Cambria"/>
          <w:color w:val="auto"/>
          <w:sz w:val="16"/>
          <w:szCs w:val="16"/>
          <w:lang w:val="es-US"/>
        </w:rPr>
        <w:t>. Declaración de Deivis Romero. Anexos a la petición inicial.</w:t>
      </w:r>
    </w:p>
  </w:footnote>
  <w:footnote w:id="56">
    <w:p w14:paraId="38F01ECB" w14:textId="13BCDDEF"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11</w:t>
      </w:r>
      <w:r w:rsidRPr="00A15BBB">
        <w:rPr>
          <w:rFonts w:ascii="Cambria" w:hAnsi="Cambria"/>
          <w:color w:val="auto"/>
          <w:sz w:val="16"/>
          <w:szCs w:val="16"/>
          <w:lang w:val="es-US"/>
        </w:rPr>
        <w:t>. Declaración de Deivis Romero. Anexo a la petición inicial.</w:t>
      </w:r>
    </w:p>
  </w:footnote>
  <w:footnote w:id="57">
    <w:p w14:paraId="3581B3F6" w14:textId="16AE3D46"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 Anexo a la petición inicial.</w:t>
      </w:r>
      <w:r w:rsidRPr="00A15BBB">
        <w:rPr>
          <w:rFonts w:asciiTheme="majorHAnsi" w:hAnsiTheme="majorHAnsi"/>
          <w:color w:val="auto"/>
          <w:sz w:val="16"/>
          <w:szCs w:val="16"/>
          <w:lang w:val="es-US"/>
        </w:rPr>
        <w:t xml:space="preserve"> </w:t>
      </w:r>
    </w:p>
  </w:footnote>
  <w:footnote w:id="58">
    <w:p w14:paraId="50AD9853" w14:textId="5B52F44E"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 Anexo a la petición inicial.</w:t>
      </w:r>
    </w:p>
  </w:footnote>
  <w:footnote w:id="59">
    <w:p w14:paraId="2EB9831E" w14:textId="16438013"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 Anexo a la petición inicial.</w:t>
      </w:r>
    </w:p>
  </w:footnote>
  <w:footnote w:id="60">
    <w:p w14:paraId="6630F1EB" w14:textId="2B0EACA3"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18</w:t>
      </w:r>
      <w:r w:rsidRPr="00A15BBB">
        <w:rPr>
          <w:rFonts w:ascii="Cambria" w:hAnsi="Cambria"/>
          <w:color w:val="auto"/>
          <w:sz w:val="16"/>
          <w:szCs w:val="16"/>
          <w:lang w:val="es-US"/>
        </w:rPr>
        <w:t>. Declaración de Carlos Durán. Anexo a la petición inicial.</w:t>
      </w:r>
    </w:p>
  </w:footnote>
  <w:footnote w:id="61">
    <w:p w14:paraId="013F6058" w14:textId="1102FB5F"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De la documentación que obra en el expediente, la CIDH considera que resulta imposible determinar la identidad de todas las personas referidas en las declaraciones con apodos. Podría desprenderse que si Orangel Figueroa es “Mato” y Héctor Javier Muñoz “Javier Mataguardia”, entonces “el Vereco” tendría que ser Joel Reyes Nava. No obstante, la CIDH considera que no hay elementos suficientes para determinar las identidades de éstos con certeza.</w:t>
      </w:r>
    </w:p>
  </w:footnote>
  <w:footnote w:id="62">
    <w:p w14:paraId="68E63838" w14:textId="5591EB04"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Organización Mundial Contra la Tortura. </w:t>
      </w:r>
      <w:r w:rsidRPr="00A15BBB">
        <w:rPr>
          <w:rFonts w:asciiTheme="majorHAnsi" w:hAnsiTheme="majorHAnsi"/>
          <w:i/>
          <w:color w:val="auto"/>
          <w:sz w:val="16"/>
          <w:szCs w:val="16"/>
          <w:lang w:val="es-US"/>
        </w:rPr>
        <w:t>Venezuela: Ola de violencia en el Internado Judicial de Ciudad Bolívar dejar 7 muertos</w:t>
      </w:r>
      <w:r w:rsidRPr="00A15BBB">
        <w:rPr>
          <w:rFonts w:asciiTheme="majorHAnsi" w:hAnsiTheme="majorHAnsi"/>
          <w:color w:val="auto"/>
          <w:sz w:val="16"/>
          <w:szCs w:val="16"/>
          <w:lang w:val="es-US"/>
        </w:rPr>
        <w:t>. 1 diciembre 2003. Disponible en: http://fidh-omct.org/es/urgent-campaigns/urgent-interventions/venezuela/2003/12/d16608/.</w:t>
      </w:r>
    </w:p>
  </w:footnote>
  <w:footnote w:id="63">
    <w:p w14:paraId="62C13706" w14:textId="0F4DB3CF"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Versiones encontradas sugieren que Pedro Chaurán habría violado a la esposa de Belisario, o que habría robado la casa de Belisario. </w:t>
      </w:r>
      <w:r w:rsidRPr="00A15BBB">
        <w:rPr>
          <w:rFonts w:asciiTheme="majorHAnsi" w:hAnsiTheme="majorHAnsi"/>
          <w:i/>
          <w:color w:val="auto"/>
          <w:sz w:val="16"/>
          <w:szCs w:val="16"/>
          <w:lang w:val="es-US"/>
        </w:rPr>
        <w:t>Véase, por ejemplo</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 Anexo a la petición inicial.</w:t>
      </w:r>
    </w:p>
  </w:footnote>
  <w:footnote w:id="64">
    <w:p w14:paraId="79A276BC" w14:textId="67DCC65C" w:rsidR="00595122" w:rsidRPr="00A15BBB" w:rsidRDefault="00595122" w:rsidP="00E708A0">
      <w:pPr>
        <w:pStyle w:val="FootnoteText"/>
        <w:jc w:val="both"/>
        <w:rPr>
          <w:rFonts w:asciiTheme="majorHAnsi" w:hAnsiTheme="majorHAnsi"/>
          <w:color w:val="FF0000"/>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Theme="majorHAnsi" w:hAnsiTheme="majorHAnsi" w:cstheme="minorHAnsi"/>
          <w:color w:val="auto"/>
          <w:sz w:val="16"/>
          <w:szCs w:val="16"/>
          <w:lang w:val="es-US"/>
        </w:rPr>
        <w:t xml:space="preserve">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xml:space="preserve">. Decisión de la Corte de Apelaciones Penal de Ciudad Bolívar (3/6/04); </w:t>
      </w:r>
      <w:r w:rsidRPr="00A15BBB">
        <w:rPr>
          <w:rFonts w:asciiTheme="majorHAnsi" w:hAnsiTheme="majorHAnsi" w:cstheme="minorHAnsi"/>
          <w:i/>
          <w:color w:val="auto"/>
          <w:sz w:val="16"/>
          <w:szCs w:val="16"/>
          <w:lang w:val="es-US"/>
        </w:rPr>
        <w:t>véase también</w:t>
      </w:r>
      <w:r w:rsidRPr="00A15BBB">
        <w:rPr>
          <w:rFonts w:asciiTheme="majorHAnsi" w:hAnsiTheme="majorHAnsi" w:cstheme="min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Declaración de Andi Bermúdez. Anexos a la petición inicial.</w:t>
      </w:r>
    </w:p>
  </w:footnote>
  <w:footnote w:id="65">
    <w:p w14:paraId="2EAE4BA9" w14:textId="15531C39"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w:t>
      </w:r>
      <w:r w:rsidRPr="00A15BBB">
        <w:rPr>
          <w:rFonts w:asciiTheme="majorHAnsi" w:hAnsiTheme="majorHAnsi" w:cstheme="minorHAnsi"/>
          <w:color w:val="auto"/>
          <w:sz w:val="16"/>
          <w:szCs w:val="16"/>
          <w:lang w:val="es-US"/>
        </w:rPr>
        <w:t xml:space="preserve">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Decisión de la Corte de Apelaciones Penal de Ciudad Bolívar (3/6/04). Anexo a la petición inicial.</w:t>
      </w:r>
    </w:p>
  </w:footnote>
  <w:footnote w:id="66">
    <w:p w14:paraId="62CB0BEF" w14:textId="7F39065C"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11</w:t>
      </w:r>
      <w:r w:rsidRPr="00A15BBB">
        <w:rPr>
          <w:rFonts w:ascii="Cambria" w:hAnsi="Cambria"/>
          <w:sz w:val="16"/>
          <w:szCs w:val="16"/>
          <w:lang w:val="es-US"/>
        </w:rPr>
        <w:t>. Declaración de Deivis Romero. Anexo a la petición inicial.</w:t>
      </w:r>
    </w:p>
  </w:footnote>
  <w:footnote w:id="67">
    <w:p w14:paraId="32A14EFC" w14:textId="15D86B2A" w:rsidR="00595122" w:rsidRPr="00A15BBB" w:rsidRDefault="00595122" w:rsidP="00E708A0">
      <w:pPr>
        <w:pStyle w:val="FootnoteText"/>
        <w:jc w:val="both"/>
        <w:rPr>
          <w:rFonts w:asciiTheme="majorHAnsi" w:hAnsiTheme="majorHAnsi" w:cstheme="minorHAnsi"/>
          <w:color w:val="auto"/>
          <w:sz w:val="16"/>
          <w:szCs w:val="16"/>
          <w:lang w:val="es-US"/>
        </w:rPr>
      </w:pPr>
      <w:r w:rsidRPr="00A15BBB">
        <w:rPr>
          <w:rStyle w:val="FootnoteReference"/>
          <w:rFonts w:asciiTheme="majorHAnsi" w:hAnsiTheme="majorHAnsi" w:cstheme="minorHAnsi"/>
          <w:color w:val="auto"/>
          <w:sz w:val="16"/>
          <w:szCs w:val="16"/>
        </w:rPr>
        <w:footnoteRef/>
      </w:r>
      <w:r w:rsidRPr="00A15BBB">
        <w:rPr>
          <w:rFonts w:asciiTheme="majorHAnsi" w:hAnsiTheme="majorHAnsi" w:cstheme="minorHAnsi"/>
          <w:color w:val="auto"/>
          <w:sz w:val="16"/>
          <w:szCs w:val="16"/>
          <w:lang w:val="es-US"/>
        </w:rPr>
        <w:t xml:space="preserve"> 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Decisión de la Corte de Apelaciones Penal de Ciudad Bolívar (3/6/04). Pág. 3. Anexo a la petición inicial.</w:t>
      </w:r>
    </w:p>
  </w:footnote>
  <w:footnote w:id="68">
    <w:p w14:paraId="7B465F54" w14:textId="083E5792" w:rsidR="00595122" w:rsidRPr="00A15BBB" w:rsidRDefault="00595122" w:rsidP="00E708A0">
      <w:pPr>
        <w:pStyle w:val="FootnoteText"/>
        <w:jc w:val="both"/>
        <w:rPr>
          <w:rFonts w:asciiTheme="majorHAnsi" w:hAnsiTheme="majorHAnsi"/>
          <w:color w:val="auto"/>
          <w:sz w:val="16"/>
          <w:szCs w:val="16"/>
          <w:lang w:val="es-CO"/>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CO"/>
        </w:rPr>
        <w:t xml:space="preserve"> Escrito de fondo del Estado.</w:t>
      </w:r>
    </w:p>
  </w:footnote>
  <w:footnote w:id="69">
    <w:p w14:paraId="033DF1CB" w14:textId="6BD37FB7"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Anexo </w:t>
      </w:r>
      <w:r>
        <w:rPr>
          <w:rFonts w:asciiTheme="majorHAnsi" w:hAnsiTheme="majorHAnsi"/>
          <w:color w:val="auto"/>
          <w:sz w:val="16"/>
          <w:szCs w:val="16"/>
          <w:lang w:val="es-US"/>
        </w:rPr>
        <w:t>12</w:t>
      </w:r>
      <w:r w:rsidRPr="00A15BBB">
        <w:rPr>
          <w:rFonts w:asciiTheme="majorHAnsi" w:hAnsiTheme="majorHAnsi"/>
          <w:color w:val="auto"/>
          <w:sz w:val="16"/>
          <w:szCs w:val="16"/>
          <w:lang w:val="es-US"/>
        </w:rPr>
        <w:t xml:space="preserve">. </w:t>
      </w:r>
      <w:r w:rsidRPr="00A15BBB">
        <w:rPr>
          <w:rFonts w:asciiTheme="majorHAnsi" w:hAnsiTheme="majorHAnsi"/>
          <w:color w:val="auto"/>
          <w:sz w:val="16"/>
          <w:szCs w:val="16"/>
          <w:lang w:val="es-CO"/>
        </w:rPr>
        <w:t xml:space="preserve">Sin fecha y periódico, La Fiscalía ordena proteger a los testigos. </w:t>
      </w:r>
      <w:r w:rsidRPr="00A15BBB">
        <w:rPr>
          <w:rFonts w:asciiTheme="majorHAnsi" w:hAnsiTheme="majorHAnsi" w:cstheme="minorHAnsi"/>
          <w:color w:val="auto"/>
          <w:sz w:val="16"/>
          <w:szCs w:val="16"/>
          <w:lang w:val="es-US"/>
        </w:rPr>
        <w:t>Anexo a la petición inicial.</w:t>
      </w:r>
    </w:p>
  </w:footnote>
  <w:footnote w:id="70">
    <w:p w14:paraId="6CCB0F16" w14:textId="6149B591"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10</w:t>
      </w:r>
      <w:r w:rsidRPr="00A15BBB">
        <w:rPr>
          <w:rFonts w:ascii="Cambria" w:hAnsi="Cambria"/>
          <w:color w:val="auto"/>
          <w:sz w:val="16"/>
          <w:szCs w:val="16"/>
          <w:lang w:val="es-US"/>
        </w:rPr>
        <w:t xml:space="preserve">. Declaración de Alcides Alcázar; Anexo </w:t>
      </w:r>
      <w:r>
        <w:rPr>
          <w:rFonts w:ascii="Cambria" w:hAnsi="Cambria"/>
          <w:color w:val="auto"/>
          <w:sz w:val="16"/>
          <w:szCs w:val="16"/>
          <w:lang w:val="es-US"/>
        </w:rPr>
        <w:t>15</w:t>
      </w:r>
      <w:r w:rsidRPr="00A15BBB">
        <w:rPr>
          <w:rFonts w:ascii="Cambria" w:hAnsi="Cambria"/>
          <w:color w:val="auto"/>
          <w:sz w:val="16"/>
          <w:szCs w:val="16"/>
          <w:lang w:val="es-US"/>
        </w:rPr>
        <w:t>. Declaración de Luis Enrique Figueira;</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11</w:t>
      </w:r>
      <w:r w:rsidRPr="00A15BBB">
        <w:rPr>
          <w:rFonts w:ascii="Cambria" w:hAnsi="Cambria"/>
          <w:color w:val="auto"/>
          <w:sz w:val="16"/>
          <w:szCs w:val="16"/>
          <w:lang w:val="es-US"/>
        </w:rPr>
        <w:t>. Declaración de Deivis Romero. Anexos a la petición inicial.</w:t>
      </w:r>
    </w:p>
  </w:footnote>
  <w:footnote w:id="71">
    <w:p w14:paraId="44B4ADB3" w14:textId="170CC31C"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11</w:t>
      </w:r>
      <w:r w:rsidRPr="00A15BBB">
        <w:rPr>
          <w:rFonts w:ascii="Cambria" w:hAnsi="Cambria"/>
          <w:color w:val="auto"/>
          <w:sz w:val="16"/>
          <w:szCs w:val="16"/>
          <w:lang w:val="es-US"/>
        </w:rPr>
        <w:t>. Declaración de Deivis Romero. Anexo a la petición inicial.</w:t>
      </w:r>
    </w:p>
  </w:footnote>
  <w:footnote w:id="72">
    <w:p w14:paraId="450E9DA0" w14:textId="22B0CD17" w:rsidR="00595122" w:rsidRPr="00A15BBB" w:rsidRDefault="00595122" w:rsidP="00D2765F">
      <w:pPr>
        <w:pStyle w:val="FootnoteText"/>
        <w:jc w:val="both"/>
        <w:rPr>
          <w:rFonts w:asciiTheme="majorHAnsi" w:hAnsiTheme="majorHAnsi"/>
          <w:color w:val="auto"/>
          <w:sz w:val="16"/>
          <w:szCs w:val="16"/>
          <w:lang w:val="es-CO"/>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10</w:t>
      </w:r>
      <w:r w:rsidRPr="00A15BBB">
        <w:rPr>
          <w:rFonts w:ascii="Cambria" w:hAnsi="Cambria"/>
          <w:color w:val="auto"/>
          <w:sz w:val="16"/>
          <w:szCs w:val="16"/>
          <w:lang w:val="es-US"/>
        </w:rPr>
        <w:t>. Declaración de Alcides Alcázar;</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color w:val="auto"/>
          <w:sz w:val="16"/>
          <w:szCs w:val="16"/>
          <w:lang w:val="es-US"/>
        </w:rPr>
        <w:t>15</w:t>
      </w:r>
      <w:r w:rsidRPr="00A15BBB">
        <w:rPr>
          <w:rFonts w:ascii="Cambria" w:hAnsi="Cambria"/>
          <w:color w:val="auto"/>
          <w:sz w:val="16"/>
          <w:szCs w:val="16"/>
          <w:lang w:val="es-US"/>
        </w:rPr>
        <w:t>. Declaración de Luis Enrique Figueira;</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17</w:t>
      </w:r>
      <w:r w:rsidRPr="00A15BBB">
        <w:rPr>
          <w:rFonts w:ascii="Cambria" w:hAnsi="Cambria"/>
          <w:color w:val="auto"/>
          <w:sz w:val="16"/>
          <w:szCs w:val="16"/>
          <w:lang w:val="es-US"/>
        </w:rPr>
        <w:t>. Declaración de Arón Palacios;</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18</w:t>
      </w:r>
      <w:r w:rsidRPr="00A15BBB">
        <w:rPr>
          <w:rFonts w:ascii="Cambria" w:hAnsi="Cambria"/>
          <w:color w:val="auto"/>
          <w:sz w:val="16"/>
          <w:szCs w:val="16"/>
          <w:lang w:val="es-US"/>
        </w:rPr>
        <w:t>. Declaración de Carlos Durán;</w:t>
      </w:r>
      <w:r w:rsidRPr="00A15BBB">
        <w:rPr>
          <w:rFonts w:asciiTheme="majorHAnsi" w:hAnsiTheme="majorHAnsi" w:cstheme="minorHAnsi"/>
          <w:color w:val="auto"/>
          <w:sz w:val="16"/>
          <w:szCs w:val="16"/>
          <w:lang w:val="es-US"/>
        </w:rPr>
        <w:t xml:space="preserve"> 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xml:space="preserve">. Decisión de la Corte de Apelaciones Penal de Ciudad Bolívar (3/6/04). Anexos a la petición inicial. En este sentido, </w:t>
      </w:r>
      <w:r w:rsidRPr="00A15BBB">
        <w:rPr>
          <w:rFonts w:asciiTheme="majorHAnsi" w:hAnsiTheme="majorHAnsi"/>
          <w:color w:val="auto"/>
          <w:sz w:val="16"/>
          <w:szCs w:val="16"/>
          <w:lang w:val="es-US"/>
        </w:rPr>
        <w:t xml:space="preserve">“[u]n [GN] me dijo que yo tenía tres [opciones:] una conseguir mi libertad, otra que me metan en una cárcel en otra [ciudad] y la otra decirle a mis familiares que me compren tumba”. </w:t>
      </w:r>
      <w:r w:rsidRPr="00A15BBB">
        <w:rPr>
          <w:rFonts w:ascii="Cambria" w:hAnsi="Cambria"/>
          <w:color w:val="auto"/>
          <w:sz w:val="16"/>
          <w:szCs w:val="16"/>
          <w:lang w:val="es-US"/>
        </w:rPr>
        <w:t xml:space="preserve">Anexo </w:t>
      </w:r>
      <w:r>
        <w:rPr>
          <w:rFonts w:ascii="Cambria" w:hAnsi="Cambria"/>
          <w:sz w:val="16"/>
          <w:szCs w:val="16"/>
          <w:lang w:val="es-US"/>
        </w:rPr>
        <w:t>16</w:t>
      </w:r>
      <w:r w:rsidRPr="00A15BBB">
        <w:rPr>
          <w:rFonts w:ascii="Cambria" w:hAnsi="Cambria"/>
          <w:color w:val="auto"/>
          <w:sz w:val="16"/>
          <w:szCs w:val="16"/>
          <w:lang w:val="es-US"/>
        </w:rPr>
        <w:t xml:space="preserve">. Declaración de Andi Bermúdez; </w:t>
      </w:r>
      <w:r w:rsidRPr="00A15BBB">
        <w:rPr>
          <w:rFonts w:asciiTheme="majorHAnsi" w:hAnsiTheme="majorHAnsi"/>
          <w:i/>
          <w:color w:val="auto"/>
          <w:sz w:val="16"/>
          <w:szCs w:val="16"/>
          <w:lang w:val="es-US"/>
        </w:rPr>
        <w:t>véase también</w:t>
      </w:r>
      <w:r w:rsidRPr="00A15BBB">
        <w:rPr>
          <w:rFonts w:asciiTheme="majorHAnsi" w:hAnsiTheme="majorHAnsi"/>
          <w:color w:val="auto"/>
          <w:sz w:val="16"/>
          <w:szCs w:val="16"/>
          <w:lang w:val="es-US"/>
        </w:rPr>
        <w:t xml:space="preserve"> Anexo </w:t>
      </w:r>
      <w:r>
        <w:rPr>
          <w:rFonts w:asciiTheme="majorHAnsi" w:hAnsiTheme="majorHAnsi"/>
          <w:color w:val="auto"/>
          <w:sz w:val="16"/>
          <w:szCs w:val="16"/>
          <w:lang w:val="es-CO"/>
        </w:rPr>
        <w:t>19</w:t>
      </w:r>
      <w:r w:rsidRPr="00A15BBB">
        <w:rPr>
          <w:rFonts w:asciiTheme="majorHAnsi" w:hAnsiTheme="majorHAnsi"/>
          <w:color w:val="auto"/>
          <w:sz w:val="16"/>
          <w:szCs w:val="16"/>
          <w:lang w:val="es-CO"/>
        </w:rPr>
        <w:t>. Carta de OVP dirigida al Ministerio Público (12/7/04</w:t>
      </w:r>
      <w:r w:rsidRPr="00A15BBB">
        <w:rPr>
          <w:rFonts w:asciiTheme="majorHAnsi" w:hAnsiTheme="majorHAnsi"/>
          <w:color w:val="auto"/>
          <w:sz w:val="16"/>
          <w:szCs w:val="16"/>
          <w:lang w:val="es-US"/>
        </w:rPr>
        <w:t>)</w:t>
      </w:r>
      <w:r w:rsidRPr="00A15BBB">
        <w:rPr>
          <w:rFonts w:asciiTheme="majorHAnsi" w:hAnsiTheme="majorHAnsi"/>
          <w:color w:val="auto"/>
          <w:sz w:val="16"/>
          <w:szCs w:val="16"/>
          <w:lang w:val="es-CO"/>
        </w:rPr>
        <w:t xml:space="preserve">. Anexo L9 a la petición inicial (informando que 29 internos testigos de los hechos que habían sido trasladados al penal de Barcelona fueron trasladados de vuelta a Vista Hermosa, y “solicitan a nuestra organización el apoyo para gestionar ante las autoridades competentes su integridad física”). </w:t>
      </w:r>
    </w:p>
  </w:footnote>
  <w:footnote w:id="73">
    <w:p w14:paraId="3FF7402A" w14:textId="479D63AF" w:rsidR="00595122" w:rsidRPr="00A15BBB" w:rsidRDefault="00595122" w:rsidP="00E708A0">
      <w:pPr>
        <w:pStyle w:val="FootnoteText"/>
        <w:jc w:val="both"/>
        <w:rPr>
          <w:rFonts w:asciiTheme="majorHAnsi" w:hAnsiTheme="majorHAnsi"/>
          <w:color w:val="auto"/>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18</w:t>
      </w:r>
      <w:r w:rsidRPr="00A15BBB">
        <w:rPr>
          <w:rFonts w:ascii="Cambria" w:hAnsi="Cambria"/>
          <w:color w:val="auto"/>
          <w:sz w:val="16"/>
          <w:szCs w:val="16"/>
          <w:lang w:val="es-US"/>
        </w:rPr>
        <w:t>. Declaración de Carlos Durán. Anexo a la petición inicial.</w:t>
      </w:r>
    </w:p>
  </w:footnote>
  <w:footnote w:id="74">
    <w:p w14:paraId="5CC1ECD9" w14:textId="113A1A1E" w:rsidR="00595122" w:rsidRPr="00A15BBB" w:rsidRDefault="00595122" w:rsidP="00E708A0">
      <w:pPr>
        <w:pStyle w:val="FootnoteText"/>
        <w:jc w:val="both"/>
        <w:rPr>
          <w:rFonts w:asciiTheme="majorHAnsi" w:hAnsiTheme="majorHAnsi"/>
          <w:color w:val="FF0000"/>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10</w:t>
      </w:r>
      <w:r w:rsidRPr="00A15BBB">
        <w:rPr>
          <w:rFonts w:ascii="Cambria" w:hAnsi="Cambria"/>
          <w:color w:val="auto"/>
          <w:sz w:val="16"/>
          <w:szCs w:val="16"/>
          <w:lang w:val="es-US"/>
        </w:rPr>
        <w:t>. Declaración de Alcides Alcázar</w:t>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18</w:t>
      </w:r>
      <w:r w:rsidRPr="00A15BBB">
        <w:rPr>
          <w:rFonts w:ascii="Cambria" w:hAnsi="Cambria"/>
          <w:color w:val="auto"/>
          <w:sz w:val="16"/>
          <w:szCs w:val="16"/>
          <w:lang w:val="es-US"/>
        </w:rPr>
        <w:t>. Declaración de Carlos Durán. Anexos a la petición inicial.</w:t>
      </w:r>
    </w:p>
  </w:footnote>
  <w:footnote w:id="75">
    <w:p w14:paraId="14CCABE1" w14:textId="7C2873D2"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color w:val="auto"/>
          <w:sz w:val="16"/>
          <w:szCs w:val="16"/>
        </w:rPr>
        <w:footnoteRef/>
      </w:r>
      <w:r w:rsidRPr="00A15BBB">
        <w:rPr>
          <w:rFonts w:asciiTheme="majorHAnsi" w:hAnsiTheme="majorHAnsi"/>
          <w:color w:val="auto"/>
          <w:sz w:val="16"/>
          <w:szCs w:val="16"/>
          <w:lang w:val="es-US"/>
        </w:rPr>
        <w:t xml:space="preserve"> </w:t>
      </w:r>
      <w:r w:rsidRPr="00A15BBB">
        <w:rPr>
          <w:rFonts w:ascii="Cambria" w:hAnsi="Cambria"/>
          <w:color w:val="auto"/>
          <w:sz w:val="16"/>
          <w:szCs w:val="16"/>
          <w:lang w:val="es-US"/>
        </w:rPr>
        <w:t xml:space="preserve">Anexo </w:t>
      </w:r>
      <w:r>
        <w:rPr>
          <w:rFonts w:ascii="Cambria" w:hAnsi="Cambria"/>
          <w:sz w:val="16"/>
          <w:szCs w:val="16"/>
          <w:lang w:val="es-US"/>
        </w:rPr>
        <w:t>15</w:t>
      </w:r>
      <w:r w:rsidRPr="00A15BBB">
        <w:rPr>
          <w:rFonts w:ascii="Cambria" w:hAnsi="Cambria"/>
          <w:sz w:val="16"/>
          <w:szCs w:val="16"/>
          <w:lang w:val="es-US"/>
        </w:rPr>
        <w:t>. Declaración de Luis Enrique Figueira. Anexo a la petición inicial.</w:t>
      </w:r>
    </w:p>
  </w:footnote>
  <w:footnote w:id="76">
    <w:p w14:paraId="0FD550FD" w14:textId="7390D6EC" w:rsidR="00595122" w:rsidRPr="00A15BBB" w:rsidRDefault="00595122" w:rsidP="00404F75">
      <w:pPr>
        <w:rPr>
          <w:rFonts w:ascii="Cambria" w:hAnsi="Cambria"/>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17</w:t>
      </w:r>
      <w:r w:rsidRPr="00A15BBB">
        <w:rPr>
          <w:rFonts w:ascii="Cambria" w:hAnsi="Cambria"/>
          <w:sz w:val="16"/>
          <w:szCs w:val="16"/>
          <w:lang w:val="es-US"/>
        </w:rPr>
        <w:t>. Declaración de Arón Palacios. Anexo a la petición inicial.</w:t>
      </w:r>
    </w:p>
  </w:footnote>
  <w:footnote w:id="77">
    <w:p w14:paraId="393E700B" w14:textId="3A788E3E"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15</w:t>
      </w:r>
      <w:r w:rsidRPr="00A15BBB">
        <w:rPr>
          <w:rFonts w:ascii="Cambria" w:hAnsi="Cambria"/>
          <w:sz w:val="16"/>
          <w:szCs w:val="16"/>
          <w:lang w:val="es-US"/>
        </w:rPr>
        <w:t>. Declaración de Luis Enrique Figueira. Anexo a la petición inicial.</w:t>
      </w:r>
    </w:p>
  </w:footnote>
  <w:footnote w:id="78">
    <w:p w14:paraId="204CB4E1" w14:textId="537F1B8A"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18</w:t>
      </w:r>
      <w:r w:rsidRPr="00A15BBB">
        <w:rPr>
          <w:rFonts w:ascii="Cambria" w:hAnsi="Cambria"/>
          <w:sz w:val="16"/>
          <w:szCs w:val="16"/>
          <w:lang w:val="es-US"/>
        </w:rPr>
        <w:t>. Declaración de Carlos Durán. Anexo a la petición inicial.</w:t>
      </w:r>
    </w:p>
  </w:footnote>
  <w:footnote w:id="79">
    <w:p w14:paraId="3CE91B79" w14:textId="7EA637C7"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11</w:t>
      </w:r>
      <w:r w:rsidRPr="00A15BBB">
        <w:rPr>
          <w:rFonts w:ascii="Cambria" w:hAnsi="Cambria"/>
          <w:sz w:val="16"/>
          <w:szCs w:val="16"/>
          <w:lang w:val="es-US"/>
        </w:rPr>
        <w:t>. Declaración de Deivis Romero</w:t>
      </w:r>
      <w:r w:rsidRPr="00A15BBB">
        <w:rPr>
          <w:rFonts w:asciiTheme="majorHAnsi" w:hAnsiTheme="majorHAnsi"/>
          <w:sz w:val="16"/>
          <w:szCs w:val="16"/>
          <w:lang w:val="es-US"/>
        </w:rPr>
        <w:t xml:space="preserve">; en el mismo sentido, </w:t>
      </w:r>
      <w:r w:rsidRPr="00A15BBB">
        <w:rPr>
          <w:rFonts w:ascii="Cambria" w:hAnsi="Cambria"/>
          <w:sz w:val="16"/>
          <w:szCs w:val="16"/>
          <w:lang w:val="es-US"/>
        </w:rPr>
        <w:t xml:space="preserve">Anexo </w:t>
      </w:r>
      <w:r>
        <w:rPr>
          <w:rFonts w:ascii="Cambria" w:hAnsi="Cambria"/>
          <w:sz w:val="16"/>
          <w:szCs w:val="16"/>
          <w:lang w:val="es-US"/>
        </w:rPr>
        <w:t>18</w:t>
      </w:r>
      <w:r w:rsidRPr="00A15BBB">
        <w:rPr>
          <w:rFonts w:ascii="Cambria" w:hAnsi="Cambria"/>
          <w:sz w:val="16"/>
          <w:szCs w:val="16"/>
          <w:lang w:val="es-US"/>
        </w:rPr>
        <w:t>. Declaración de Carlos Durán</w:t>
      </w:r>
      <w:r w:rsidRPr="00A15BBB">
        <w:rPr>
          <w:rFonts w:asciiTheme="majorHAnsi" w:hAnsiTheme="majorHAnsi"/>
          <w:sz w:val="16"/>
          <w:szCs w:val="16"/>
          <w:lang w:val="es-US"/>
        </w:rPr>
        <w:t xml:space="preserve">.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w:t>
      </w:r>
      <w:r w:rsidRPr="00A15BBB">
        <w:rPr>
          <w:rFonts w:ascii="Cambria" w:hAnsi="Cambria"/>
          <w:sz w:val="16"/>
          <w:szCs w:val="16"/>
          <w:lang w:val="es-US"/>
        </w:rPr>
        <w:t xml:space="preserve">Anexo </w:t>
      </w:r>
      <w:r>
        <w:rPr>
          <w:rFonts w:ascii="Cambria" w:hAnsi="Cambria"/>
          <w:sz w:val="16"/>
          <w:szCs w:val="16"/>
          <w:lang w:val="es-US"/>
        </w:rPr>
        <w:t>17</w:t>
      </w:r>
      <w:r w:rsidRPr="00A15BBB">
        <w:rPr>
          <w:rFonts w:ascii="Cambria" w:hAnsi="Cambria"/>
          <w:sz w:val="16"/>
          <w:szCs w:val="16"/>
          <w:lang w:val="es-US"/>
        </w:rPr>
        <w:t>. Declaración de Arón Palacios. Anexos a la petición inicial.</w:t>
      </w:r>
    </w:p>
  </w:footnote>
  <w:footnote w:id="80">
    <w:p w14:paraId="7AF9DEC1" w14:textId="0FA55FA8"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 sec. IV</w:t>
      </w:r>
      <w:r>
        <w:rPr>
          <w:rFonts w:asciiTheme="majorHAnsi" w:hAnsiTheme="majorHAnsi" w:cstheme="minorHAnsi"/>
          <w:sz w:val="16"/>
          <w:szCs w:val="16"/>
          <w:lang w:val="es-US"/>
        </w:rPr>
        <w:t>, 20 septiembre 2013</w:t>
      </w:r>
      <w:r w:rsidRPr="00A15BBB">
        <w:rPr>
          <w:rFonts w:asciiTheme="majorHAnsi" w:hAnsiTheme="majorHAnsi"/>
          <w:sz w:val="16"/>
          <w:szCs w:val="16"/>
          <w:lang w:val="es-US"/>
        </w:rPr>
        <w:t xml:space="preserve"> (véase, por ejemplo, Declaraciones de Luís Beltrán (segundo comandante del Destacamento No. 81), Salvador Franchi Rincones, Gustavo Puerta, Belisario)</w:t>
      </w:r>
    </w:p>
  </w:footnote>
  <w:footnote w:id="81">
    <w:p w14:paraId="1BFA97A1" w14:textId="6CFC56D1"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 sec. IV (véase, por ejemplo, Declaración de Luís Beltrán, Gustavo Puerta, Belisario).</w:t>
      </w:r>
    </w:p>
  </w:footnote>
  <w:footnote w:id="82">
    <w:p w14:paraId="5A62D307" w14:textId="78B4FF51"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 sec. IV (véase, por ejemplo, Declaraciones de Salvador Franchi Rincones, Gustavo Puerta).</w:t>
      </w:r>
    </w:p>
  </w:footnote>
  <w:footnote w:id="83">
    <w:p w14:paraId="5D0DEB07" w14:textId="18696E20"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 sec. IV (véase, por ejemplo, Declaraciones de Luís Beltrán, Salvador Franchi Rincones, Gustavo Puerta).</w:t>
      </w:r>
    </w:p>
  </w:footnote>
  <w:footnote w:id="84">
    <w:p w14:paraId="035C3B1E" w14:textId="1FB28B48"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 sec. IV (véase, por ejemplo, Declaraciones de Luís Beltrán, Salvador Franchi Rincones, Gustavo Puerta).</w:t>
      </w:r>
    </w:p>
  </w:footnote>
  <w:footnote w:id="85">
    <w:p w14:paraId="2E5039AA" w14:textId="5B371FEC"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 sec. IV.</w:t>
      </w:r>
    </w:p>
  </w:footnote>
  <w:footnote w:id="86">
    <w:p w14:paraId="1631A63A" w14:textId="56537544"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Escrito de fondo del Estado</w:t>
      </w:r>
      <w:r>
        <w:rPr>
          <w:rFonts w:asciiTheme="majorHAnsi" w:hAnsiTheme="majorHAnsi" w:cstheme="minorHAnsi"/>
          <w:sz w:val="16"/>
          <w:szCs w:val="16"/>
          <w:lang w:val="es-US"/>
        </w:rPr>
        <w:t>, 20 septiembre 2013</w:t>
      </w:r>
      <w:r w:rsidRPr="00A15BBB">
        <w:rPr>
          <w:rFonts w:asciiTheme="majorHAnsi" w:hAnsiTheme="majorHAnsi"/>
          <w:sz w:val="16"/>
          <w:szCs w:val="16"/>
          <w:lang w:val="es-US"/>
        </w:rPr>
        <w:t>.</w:t>
      </w:r>
    </w:p>
  </w:footnote>
  <w:footnote w:id="87">
    <w:p w14:paraId="30CB12FD" w14:textId="4E8B9F9E"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Petición inicial. </w:t>
      </w:r>
      <w:r w:rsidRPr="00A15BBB">
        <w:rPr>
          <w:rFonts w:asciiTheme="majorHAnsi" w:hAnsiTheme="majorHAnsi" w:cstheme="minorHAnsi"/>
          <w:i/>
          <w:sz w:val="16"/>
          <w:szCs w:val="16"/>
          <w:lang w:val="es-US"/>
        </w:rPr>
        <w:t>Véase también</w:t>
      </w:r>
      <w:r w:rsidRPr="00A15BBB">
        <w:rPr>
          <w:rFonts w:asciiTheme="majorHAnsi" w:hAnsiTheme="majorHAnsi" w:cstheme="minorHAnsi"/>
          <w:sz w:val="16"/>
          <w:szCs w:val="16"/>
          <w:lang w:val="es-US"/>
        </w:rPr>
        <w:t xml:space="preserve"> Escrito de fondo del Estado (consta existencia de acta de apertura). </w:t>
      </w:r>
    </w:p>
  </w:footnote>
  <w:footnote w:id="88">
    <w:p w14:paraId="765189FD" w14:textId="333A993C"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Anexo </w:t>
      </w:r>
      <w:r>
        <w:rPr>
          <w:rFonts w:asciiTheme="majorHAnsi" w:hAnsiTheme="majorHAnsi"/>
          <w:sz w:val="16"/>
          <w:szCs w:val="16"/>
          <w:lang w:val="es-US"/>
        </w:rPr>
        <w:t>20</w:t>
      </w:r>
      <w:r w:rsidRPr="00A15BBB">
        <w:rPr>
          <w:rFonts w:asciiTheme="majorHAnsi" w:hAnsiTheme="majorHAnsi"/>
          <w:sz w:val="16"/>
          <w:szCs w:val="16"/>
          <w:lang w:val="es-US"/>
        </w:rPr>
        <w:t>.</w:t>
      </w:r>
      <w:r w:rsidRPr="00A15BBB">
        <w:rPr>
          <w:rFonts w:asciiTheme="majorHAnsi" w:hAnsiTheme="majorHAnsi"/>
          <w:sz w:val="16"/>
          <w:szCs w:val="16"/>
          <w:lang w:val="es-CO"/>
        </w:rPr>
        <w:t xml:space="preserve"> Así Es La Noticia.</w:t>
      </w:r>
      <w:r w:rsidRPr="00A15BBB">
        <w:rPr>
          <w:rFonts w:asciiTheme="majorHAnsi" w:hAnsiTheme="majorHAnsi"/>
          <w:i/>
          <w:sz w:val="16"/>
          <w:szCs w:val="16"/>
          <w:lang w:val="es-CO"/>
        </w:rPr>
        <w:t xml:space="preserve"> </w:t>
      </w:r>
      <w:r w:rsidRPr="00A15BBB">
        <w:rPr>
          <w:rFonts w:asciiTheme="majorHAnsi" w:hAnsiTheme="majorHAnsi"/>
          <w:sz w:val="16"/>
          <w:szCs w:val="16"/>
          <w:lang w:val="es-CO"/>
        </w:rPr>
        <w:t>Fiscalía ordenó exhumación de cinco de los cadáveres de reos de Vista Hermosa (23-24/1/2004). Anexo a la petición inicial.</w:t>
      </w:r>
    </w:p>
  </w:footnote>
  <w:footnote w:id="89">
    <w:p w14:paraId="46D804CA" w14:textId="6ACAADC6" w:rsidR="00595122" w:rsidRPr="00A15BBB" w:rsidRDefault="00595122" w:rsidP="00CF3733">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Anexo </w:t>
      </w:r>
      <w:r>
        <w:rPr>
          <w:rFonts w:asciiTheme="majorHAnsi" w:hAnsiTheme="majorHAnsi"/>
          <w:sz w:val="16"/>
          <w:szCs w:val="16"/>
          <w:lang w:val="es-US"/>
        </w:rPr>
        <w:t>21</w:t>
      </w:r>
      <w:r w:rsidRPr="00A15BBB">
        <w:rPr>
          <w:rFonts w:asciiTheme="majorHAnsi" w:hAnsiTheme="majorHAnsi"/>
          <w:sz w:val="16"/>
          <w:szCs w:val="16"/>
          <w:lang w:val="es-US"/>
        </w:rPr>
        <w:t xml:space="preserve">. </w:t>
      </w:r>
      <w:r w:rsidRPr="00A15BBB">
        <w:rPr>
          <w:rFonts w:asciiTheme="majorHAnsi" w:hAnsiTheme="majorHAnsi"/>
          <w:sz w:val="16"/>
          <w:szCs w:val="16"/>
          <w:lang w:val="es-CO"/>
        </w:rPr>
        <w:t xml:space="preserve">Sin fecha y periódico (se presume de principios de 2004). Redacción basada en una nota del Correo de Caroní. Testigos bajo amenaza: La defensora del pueblo del estado Bolívar asegura que funcionarios del </w:t>
      </w:r>
      <w:proofErr w:type="spellStart"/>
      <w:r w:rsidRPr="00A15BBB">
        <w:rPr>
          <w:rFonts w:asciiTheme="majorHAnsi" w:hAnsiTheme="majorHAnsi"/>
          <w:sz w:val="16"/>
          <w:szCs w:val="16"/>
          <w:lang w:val="es-CO"/>
        </w:rPr>
        <w:t>Cicpc</w:t>
      </w:r>
      <w:proofErr w:type="spellEnd"/>
      <w:r w:rsidRPr="00A15BBB">
        <w:rPr>
          <w:rFonts w:asciiTheme="majorHAnsi" w:hAnsiTheme="majorHAnsi"/>
          <w:sz w:val="16"/>
          <w:szCs w:val="16"/>
          <w:lang w:val="es-CO"/>
        </w:rPr>
        <w:t xml:space="preserve"> y la GN intimidan a familiares de presos de la cárcel de Vista Hermosa para que no declaren; Anexo </w:t>
      </w:r>
      <w:r>
        <w:rPr>
          <w:rFonts w:asciiTheme="majorHAnsi" w:hAnsiTheme="majorHAnsi"/>
          <w:sz w:val="16"/>
          <w:szCs w:val="16"/>
          <w:lang w:val="es-CO"/>
        </w:rPr>
        <w:t>12</w:t>
      </w:r>
      <w:r w:rsidRPr="00A15BBB">
        <w:rPr>
          <w:rFonts w:asciiTheme="majorHAnsi" w:hAnsiTheme="majorHAnsi"/>
          <w:sz w:val="16"/>
          <w:szCs w:val="16"/>
          <w:lang w:val="es-CO"/>
        </w:rPr>
        <w:t xml:space="preserve">. Sin fecha y periódico. La Fiscalía ordena proteger a los testigos (“Fuentes de Fiscalía no pudieron explicar </w:t>
      </w:r>
      <w:r w:rsidR="00FB2DC4" w:rsidRPr="00A15BBB">
        <w:rPr>
          <w:rFonts w:asciiTheme="majorHAnsi" w:hAnsiTheme="majorHAnsi"/>
          <w:sz w:val="16"/>
          <w:szCs w:val="16"/>
          <w:lang w:val="es-CO"/>
        </w:rPr>
        <w:t>cómo</w:t>
      </w:r>
      <w:r w:rsidRPr="00A15BBB">
        <w:rPr>
          <w:rFonts w:asciiTheme="majorHAnsi" w:hAnsiTheme="majorHAnsi"/>
          <w:sz w:val="16"/>
          <w:szCs w:val="16"/>
          <w:lang w:val="es-CO"/>
        </w:rPr>
        <w:t xml:space="preserve"> el [...] jefe del Comando Regional 8 de la GN, pudo conocer los protocolos de autopsia y otras pruebas hechas por funcionarios del </w:t>
      </w:r>
      <w:proofErr w:type="spellStart"/>
      <w:r w:rsidRPr="00A15BBB">
        <w:rPr>
          <w:rFonts w:asciiTheme="majorHAnsi" w:hAnsiTheme="majorHAnsi"/>
          <w:sz w:val="16"/>
          <w:szCs w:val="16"/>
          <w:lang w:val="es-CO"/>
        </w:rPr>
        <w:t>Cicpc</w:t>
      </w:r>
      <w:proofErr w:type="spellEnd"/>
      <w:r w:rsidRPr="00A15BBB">
        <w:rPr>
          <w:rFonts w:asciiTheme="majorHAnsi" w:hAnsiTheme="majorHAnsi"/>
          <w:sz w:val="16"/>
          <w:szCs w:val="16"/>
          <w:lang w:val="es-CO"/>
        </w:rPr>
        <w:t>, ya que el expediente está en etapa de investigación y solo es de conocimiento de los fiscales y los funcionarios de la policía científica”). Anexos a la petición inicial.</w:t>
      </w:r>
    </w:p>
  </w:footnote>
  <w:footnote w:id="90">
    <w:p w14:paraId="2AE08C50" w14:textId="1657E3FD" w:rsidR="00595122" w:rsidRPr="00A15BBB" w:rsidRDefault="00595122" w:rsidP="00FD7FE9">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22</w:t>
      </w:r>
      <w:r w:rsidRPr="00A15BBB">
        <w:rPr>
          <w:rFonts w:asciiTheme="majorHAnsi" w:hAnsiTheme="majorHAnsi" w:cstheme="minorHAnsi"/>
          <w:sz w:val="16"/>
          <w:szCs w:val="16"/>
          <w:lang w:val="es-US"/>
        </w:rPr>
        <w:t xml:space="preserve">. Autopsias de Richard Núñez, Orangel Figueroa, </w:t>
      </w:r>
      <w:r>
        <w:rPr>
          <w:rFonts w:asciiTheme="majorHAnsi" w:hAnsiTheme="majorHAnsi" w:cstheme="minorHAnsi"/>
          <w:sz w:val="16"/>
          <w:szCs w:val="16"/>
          <w:lang w:val="es-US"/>
        </w:rPr>
        <w:t>“Goyo”</w:t>
      </w:r>
      <w:r w:rsidRPr="00A15BBB">
        <w:rPr>
          <w:rFonts w:asciiTheme="majorHAnsi" w:hAnsiTheme="majorHAnsi" w:cstheme="minorHAnsi"/>
          <w:sz w:val="16"/>
          <w:szCs w:val="16"/>
          <w:lang w:val="es-US"/>
        </w:rPr>
        <w:t xml:space="preserve"> Bolívar, Héctor Muñoz, y Joel Reyes. Anexo D1 a la petición inicial.</w:t>
      </w:r>
    </w:p>
  </w:footnote>
  <w:footnote w:id="91">
    <w:p w14:paraId="03739F20" w14:textId="77777777" w:rsidR="00595122" w:rsidRPr="00A15BBB" w:rsidRDefault="00595122" w:rsidP="00FD7FE9">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Ídem.</w:t>
      </w:r>
    </w:p>
  </w:footnote>
  <w:footnote w:id="92">
    <w:p w14:paraId="05AC3BBC" w14:textId="77777777" w:rsidR="00595122" w:rsidRPr="00A15BBB" w:rsidRDefault="00595122" w:rsidP="00FD7FE9">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Ídem.</w:t>
      </w:r>
    </w:p>
  </w:footnote>
  <w:footnote w:id="93">
    <w:p w14:paraId="3B7C5C1C" w14:textId="77777777" w:rsidR="00595122" w:rsidRPr="00A15BBB" w:rsidRDefault="00595122" w:rsidP="00FD7FE9">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Ídem.</w:t>
      </w:r>
    </w:p>
  </w:footnote>
  <w:footnote w:id="94">
    <w:p w14:paraId="2CE67C95" w14:textId="77777777" w:rsidR="00595122" w:rsidRPr="00A15BBB" w:rsidRDefault="00595122" w:rsidP="00FD7FE9">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Ídem.</w:t>
      </w:r>
    </w:p>
  </w:footnote>
  <w:footnote w:id="95">
    <w:p w14:paraId="214634E0" w14:textId="77777777" w:rsidR="00595122" w:rsidRPr="00A15BBB" w:rsidRDefault="00595122" w:rsidP="00FD7FE9">
      <w:pPr>
        <w:pStyle w:val="FootnoteText"/>
        <w:jc w:val="both"/>
        <w:rPr>
          <w:rFonts w:asciiTheme="majorHAnsi" w:hAnsiTheme="majorHAnsi" w:cstheme="minorHAnsi"/>
          <w:sz w:val="16"/>
          <w:szCs w:val="16"/>
          <w:lang w:val="es-CO"/>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Escrito de fondo del Estado del 20 de septiembre de 2013, sec. </w:t>
      </w:r>
      <w:r w:rsidRPr="00A15BBB">
        <w:rPr>
          <w:rFonts w:asciiTheme="majorHAnsi" w:hAnsiTheme="majorHAnsi" w:cstheme="minorHAnsi"/>
          <w:sz w:val="16"/>
          <w:szCs w:val="16"/>
          <w:lang w:val="es-CO"/>
        </w:rPr>
        <w:t>IV.</w:t>
      </w:r>
    </w:p>
  </w:footnote>
  <w:footnote w:id="96">
    <w:p w14:paraId="1D673990" w14:textId="76B06B79" w:rsidR="00595122" w:rsidRPr="00A15BBB" w:rsidRDefault="00595122" w:rsidP="00FD7FE9">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23</w:t>
      </w:r>
      <w:r w:rsidRPr="00A15BBB">
        <w:rPr>
          <w:rFonts w:asciiTheme="majorHAnsi" w:hAnsiTheme="majorHAnsi" w:cstheme="minorHAnsi"/>
          <w:sz w:val="16"/>
          <w:szCs w:val="16"/>
          <w:lang w:val="es-US"/>
        </w:rPr>
        <w:t>.</w:t>
      </w:r>
      <w:r w:rsidRPr="00A15BBB">
        <w:rPr>
          <w:rFonts w:asciiTheme="majorHAnsi" w:hAnsiTheme="majorHAnsi" w:cstheme="minorHAnsi"/>
          <w:sz w:val="16"/>
          <w:szCs w:val="16"/>
          <w:lang w:val="es-CO"/>
        </w:rPr>
        <w:t xml:space="preserve"> El Universal, Proyectiles en cuerpos exhumados: Los resultados de la necropsia no coinciden con los de las autopsias primarias (12/5/2004). </w:t>
      </w:r>
      <w:r w:rsidRPr="00A15BBB">
        <w:rPr>
          <w:rFonts w:asciiTheme="majorHAnsi" w:hAnsiTheme="majorHAnsi" w:cstheme="minorHAnsi"/>
          <w:sz w:val="16"/>
          <w:szCs w:val="16"/>
          <w:lang w:val="es-US"/>
        </w:rPr>
        <w:t>Anexo a la petición inicial.</w:t>
      </w:r>
    </w:p>
  </w:footnote>
  <w:footnote w:id="97">
    <w:p w14:paraId="1C180808" w14:textId="77777777" w:rsidR="00595122" w:rsidRPr="00A15BBB" w:rsidRDefault="00595122" w:rsidP="00FD7FE9">
      <w:pPr>
        <w:pStyle w:val="FootnoteText"/>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Ídem.</w:t>
      </w:r>
    </w:p>
  </w:footnote>
  <w:footnote w:id="98">
    <w:p w14:paraId="2BE3777B" w14:textId="62F912D0"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24</w:t>
      </w:r>
      <w:r w:rsidRPr="00A15BBB">
        <w:rPr>
          <w:rFonts w:asciiTheme="majorHAnsi" w:hAnsiTheme="majorHAnsi" w:cstheme="minorHAnsi"/>
          <w:sz w:val="16"/>
          <w:szCs w:val="16"/>
          <w:lang w:val="es-US"/>
        </w:rPr>
        <w:t xml:space="preserve">. </w:t>
      </w:r>
      <w:r w:rsidRPr="00A15BBB">
        <w:rPr>
          <w:rFonts w:asciiTheme="majorHAnsi" w:hAnsiTheme="majorHAnsi" w:cstheme="minorHAnsi"/>
          <w:color w:val="000000" w:themeColor="text1"/>
          <w:sz w:val="16"/>
          <w:szCs w:val="16"/>
          <w:lang w:val="es-VE"/>
        </w:rPr>
        <w:t xml:space="preserve">Oficio de libertad sin restricciones del Tribunal Penal de Control de Ciudad Bolívar, 29/3/04. </w:t>
      </w:r>
      <w:r w:rsidRPr="00A15BBB">
        <w:rPr>
          <w:rFonts w:asciiTheme="majorHAnsi" w:hAnsiTheme="majorHAnsi" w:cstheme="minorHAnsi"/>
          <w:sz w:val="16"/>
          <w:szCs w:val="16"/>
          <w:lang w:val="es-US"/>
        </w:rPr>
        <w:t>Anexo a la petición inicial.</w:t>
      </w:r>
    </w:p>
  </w:footnote>
  <w:footnote w:id="99">
    <w:p w14:paraId="21F316E1" w14:textId="2EBC86AF" w:rsidR="00595122" w:rsidRPr="00A15BBB" w:rsidRDefault="00595122" w:rsidP="002D4628">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25</w:t>
      </w:r>
      <w:r w:rsidRPr="00A15BBB">
        <w:rPr>
          <w:rFonts w:asciiTheme="majorHAnsi" w:hAnsiTheme="majorHAnsi" w:cstheme="minorHAnsi"/>
          <w:sz w:val="16"/>
          <w:szCs w:val="16"/>
          <w:lang w:val="es-US"/>
        </w:rPr>
        <w:t xml:space="preserve">. Comprobante de recepción de un nuevo asunto del Circuito Judicial Penal de Ciudad Bolívar, 1/4/04 (confirma recepción de querella acusatoria por abogados del Observatorio); Anexo </w:t>
      </w:r>
      <w:r>
        <w:rPr>
          <w:rFonts w:asciiTheme="majorHAnsi" w:hAnsiTheme="majorHAnsi" w:cstheme="minorHAnsi"/>
          <w:sz w:val="16"/>
          <w:szCs w:val="16"/>
          <w:lang w:val="es-US"/>
        </w:rPr>
        <w:t>26</w:t>
      </w:r>
      <w:r w:rsidRPr="00A15BBB">
        <w:rPr>
          <w:rFonts w:asciiTheme="majorHAnsi" w:hAnsiTheme="majorHAnsi" w:cstheme="minorHAnsi"/>
          <w:sz w:val="16"/>
          <w:szCs w:val="16"/>
          <w:lang w:val="es-US"/>
        </w:rPr>
        <w:t xml:space="preserve">. Auto de Acumulación del Tribunal Penal de Control de Ciudad Bolívar, 5/4/04 (Admite la querella y la acumula con causa FP01-S-2004-000632); Anexo </w:t>
      </w:r>
      <w:r>
        <w:rPr>
          <w:rFonts w:asciiTheme="majorHAnsi" w:hAnsiTheme="majorHAnsi" w:cstheme="minorHAnsi"/>
          <w:sz w:val="16"/>
          <w:szCs w:val="16"/>
          <w:lang w:val="es-US"/>
        </w:rPr>
        <w:t>27</w:t>
      </w:r>
      <w:r w:rsidRPr="00A15BBB">
        <w:rPr>
          <w:rFonts w:asciiTheme="majorHAnsi" w:hAnsiTheme="majorHAnsi" w:cstheme="minorHAnsi"/>
          <w:sz w:val="16"/>
          <w:szCs w:val="16"/>
          <w:lang w:val="es-US"/>
        </w:rPr>
        <w:t>. Escrito de querella presentado por el Observatorio. Anexos a la petición inicial.</w:t>
      </w:r>
    </w:p>
  </w:footnote>
  <w:footnote w:id="100">
    <w:p w14:paraId="445A231D" w14:textId="0C75FDF0"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w:t>
      </w:r>
      <w:r w:rsidRPr="00A15BBB">
        <w:rPr>
          <w:rFonts w:asciiTheme="majorHAnsi" w:hAnsiTheme="majorHAnsi" w:cstheme="minorHAnsi"/>
          <w:color w:val="auto"/>
          <w:sz w:val="16"/>
          <w:szCs w:val="16"/>
          <w:lang w:val="es-US"/>
        </w:rPr>
        <w:t xml:space="preserve">Anexo </w:t>
      </w:r>
      <w:r>
        <w:rPr>
          <w:rFonts w:asciiTheme="majorHAnsi" w:hAnsiTheme="majorHAnsi" w:cstheme="minorHAnsi"/>
          <w:color w:val="auto"/>
          <w:sz w:val="16"/>
          <w:szCs w:val="16"/>
          <w:lang w:val="es-US"/>
        </w:rPr>
        <w:t>9</w:t>
      </w:r>
      <w:r w:rsidRPr="00A15BBB">
        <w:rPr>
          <w:rFonts w:asciiTheme="majorHAnsi" w:hAnsiTheme="majorHAnsi" w:cstheme="minorHAnsi"/>
          <w:color w:val="auto"/>
          <w:sz w:val="16"/>
          <w:szCs w:val="16"/>
          <w:lang w:val="es-US"/>
        </w:rPr>
        <w:t>. Decisión de la Corte de Apelaciones Penal de Ciudad Bolívar (3/6/04). Anexo a la petición inicial</w:t>
      </w:r>
      <w:r w:rsidRPr="00A15BBB">
        <w:rPr>
          <w:rFonts w:asciiTheme="majorHAnsi" w:hAnsiTheme="majorHAnsi" w:cstheme="minorHAnsi"/>
          <w:sz w:val="16"/>
          <w:szCs w:val="16"/>
          <w:lang w:val="es-US"/>
        </w:rPr>
        <w:t>.</w:t>
      </w:r>
    </w:p>
  </w:footnote>
  <w:footnote w:id="101">
    <w:p w14:paraId="5101F703" w14:textId="3325CD68"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Escrito de fondo del Estado</w:t>
      </w:r>
      <w:r>
        <w:rPr>
          <w:rFonts w:asciiTheme="majorHAnsi" w:hAnsiTheme="majorHAnsi" w:cstheme="minorHAnsi"/>
          <w:sz w:val="16"/>
          <w:szCs w:val="16"/>
          <w:lang w:val="es-US"/>
        </w:rPr>
        <w:t xml:space="preserve">; </w:t>
      </w:r>
      <w:r w:rsidRPr="00A15BBB">
        <w:rPr>
          <w:rFonts w:asciiTheme="majorHAnsi" w:hAnsiTheme="majorHAnsi" w:cstheme="minorHAnsi"/>
          <w:sz w:val="16"/>
          <w:szCs w:val="16"/>
          <w:lang w:val="es-US"/>
        </w:rPr>
        <w:t xml:space="preserve">Anexo </w:t>
      </w:r>
      <w:r>
        <w:rPr>
          <w:rFonts w:asciiTheme="majorHAnsi" w:hAnsiTheme="majorHAnsi" w:cstheme="minorHAnsi"/>
          <w:sz w:val="16"/>
          <w:szCs w:val="16"/>
          <w:lang w:val="es-US"/>
        </w:rPr>
        <w:t>28</w:t>
      </w:r>
      <w:r w:rsidRPr="00A15BBB">
        <w:rPr>
          <w:rFonts w:asciiTheme="majorHAnsi" w:hAnsiTheme="majorHAnsi" w:cstheme="minorHAnsi"/>
          <w:sz w:val="16"/>
          <w:szCs w:val="16"/>
          <w:lang w:val="es-US"/>
        </w:rPr>
        <w:t xml:space="preserve">. Comprobante de recepción de un documento del Tribunal Penal de Control de Ciudad Bolívar, 10/11/04. Anexo a la petición inicial (escrito del Observatorio solicitando que se ejecute la medida privativa de libertad, vista la decisión dictada en fecha 7/10/04, ante la Sala Penal del </w:t>
      </w:r>
      <w:r>
        <w:rPr>
          <w:rFonts w:asciiTheme="majorHAnsi" w:hAnsiTheme="majorHAnsi" w:cstheme="minorHAnsi"/>
          <w:sz w:val="16"/>
          <w:szCs w:val="16"/>
          <w:lang w:val="es-US"/>
        </w:rPr>
        <w:t xml:space="preserve">TSJ en contra de los imputados); </w:t>
      </w:r>
      <w:r w:rsidRPr="00A15BBB">
        <w:rPr>
          <w:rFonts w:asciiTheme="majorHAnsi" w:hAnsiTheme="majorHAnsi" w:cstheme="minorHAnsi"/>
          <w:sz w:val="16"/>
          <w:szCs w:val="16"/>
          <w:lang w:val="es-CO"/>
        </w:rPr>
        <w:t xml:space="preserve">Anexo </w:t>
      </w:r>
      <w:r>
        <w:rPr>
          <w:rFonts w:asciiTheme="majorHAnsi" w:hAnsiTheme="majorHAnsi" w:cstheme="minorHAnsi"/>
          <w:sz w:val="16"/>
          <w:szCs w:val="16"/>
          <w:lang w:val="es-CO"/>
        </w:rPr>
        <w:t>29</w:t>
      </w:r>
      <w:r w:rsidRPr="00A15BBB">
        <w:rPr>
          <w:rFonts w:asciiTheme="majorHAnsi" w:hAnsiTheme="majorHAnsi" w:cstheme="minorHAnsi"/>
          <w:sz w:val="16"/>
          <w:szCs w:val="16"/>
          <w:lang w:val="es-CO"/>
        </w:rPr>
        <w:t>.</w:t>
      </w:r>
      <w:r w:rsidRPr="00A15BBB">
        <w:rPr>
          <w:rFonts w:asciiTheme="majorHAnsi" w:hAnsiTheme="majorHAnsi" w:cstheme="minorHAnsi"/>
          <w:i/>
          <w:sz w:val="16"/>
          <w:szCs w:val="16"/>
          <w:lang w:val="es-CO"/>
        </w:rPr>
        <w:t xml:space="preserve"> </w:t>
      </w:r>
      <w:r w:rsidRPr="00A15BBB">
        <w:rPr>
          <w:rFonts w:asciiTheme="majorHAnsi" w:hAnsiTheme="majorHAnsi" w:cstheme="minorHAnsi"/>
          <w:sz w:val="16"/>
          <w:szCs w:val="16"/>
          <w:lang w:val="es-CO"/>
        </w:rPr>
        <w:t xml:space="preserve">Lo Último, Una victoria para la justicia: Resucitó el juicio sobre la Masacre de Vista Hermosa, y los cuatro militares presuntamente involucrados serán juzgados en prisión (6/4/2005). </w:t>
      </w:r>
      <w:r w:rsidRPr="00A15BBB">
        <w:rPr>
          <w:rFonts w:asciiTheme="majorHAnsi" w:hAnsiTheme="majorHAnsi" w:cstheme="minorHAnsi"/>
          <w:sz w:val="16"/>
          <w:szCs w:val="16"/>
          <w:lang w:val="es-US"/>
        </w:rPr>
        <w:t>Anexo a la petición inicial</w:t>
      </w:r>
      <w:r w:rsidRPr="00A15BBB">
        <w:rPr>
          <w:rFonts w:asciiTheme="majorHAnsi" w:hAnsiTheme="majorHAnsi" w:cstheme="minorHAnsi"/>
          <w:sz w:val="16"/>
          <w:szCs w:val="16"/>
          <w:lang w:val="es-CO"/>
        </w:rPr>
        <w:t xml:space="preserve"> (“A partir de la decisión del TSJ se retomará la reconstrucción de los hechos que intentó realizar el [tribunal] el julio del año pasado, y que fue suspendido por lo avocamientos que solicitó la defensa”).</w:t>
      </w:r>
    </w:p>
  </w:footnote>
  <w:footnote w:id="102">
    <w:p w14:paraId="1BEACF62" w14:textId="2B57EA37"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30</w:t>
      </w:r>
      <w:r w:rsidRPr="00A15BBB">
        <w:rPr>
          <w:rFonts w:asciiTheme="majorHAnsi" w:hAnsiTheme="majorHAnsi" w:cstheme="minorHAnsi"/>
          <w:sz w:val="16"/>
          <w:szCs w:val="16"/>
          <w:lang w:val="es-US"/>
        </w:rPr>
        <w:t xml:space="preserve">. </w:t>
      </w:r>
      <w:r w:rsidRPr="00A15BBB">
        <w:rPr>
          <w:rFonts w:asciiTheme="majorHAnsi" w:hAnsiTheme="majorHAnsi" w:cstheme="minorHAnsi"/>
          <w:color w:val="000000" w:themeColor="text1"/>
          <w:sz w:val="16"/>
          <w:szCs w:val="16"/>
          <w:lang w:val="es-VE"/>
        </w:rPr>
        <w:t xml:space="preserve">Tribunal Penal de Control de Ciudad Bolívar, 20/5/05. </w:t>
      </w:r>
      <w:r w:rsidRPr="00A15BBB">
        <w:rPr>
          <w:rFonts w:asciiTheme="majorHAnsi" w:hAnsiTheme="majorHAnsi" w:cstheme="minorHAnsi"/>
          <w:sz w:val="16"/>
          <w:szCs w:val="16"/>
          <w:lang w:val="es-US"/>
        </w:rPr>
        <w:t>Anexo a la petición inicial</w:t>
      </w:r>
      <w:r>
        <w:rPr>
          <w:rFonts w:asciiTheme="majorHAnsi" w:hAnsiTheme="majorHAnsi" w:cstheme="minorHAnsi"/>
          <w:sz w:val="16"/>
          <w:szCs w:val="16"/>
          <w:lang w:val="es-US"/>
        </w:rPr>
        <w:t>.</w:t>
      </w:r>
    </w:p>
  </w:footnote>
  <w:footnote w:id="103">
    <w:p w14:paraId="1A22933C" w14:textId="77777777"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Ídem.</w:t>
      </w:r>
    </w:p>
  </w:footnote>
  <w:footnote w:id="104">
    <w:p w14:paraId="79BC6F80" w14:textId="15FEC0E5"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31</w:t>
      </w:r>
      <w:r w:rsidRPr="00A15BBB">
        <w:rPr>
          <w:rFonts w:asciiTheme="majorHAnsi" w:hAnsiTheme="majorHAnsi" w:cstheme="minorHAnsi"/>
          <w:sz w:val="16"/>
          <w:szCs w:val="16"/>
          <w:lang w:val="es-US"/>
        </w:rPr>
        <w:t xml:space="preserve">. </w:t>
      </w:r>
      <w:r w:rsidRPr="00A15BBB">
        <w:rPr>
          <w:rFonts w:asciiTheme="majorHAnsi" w:hAnsiTheme="majorHAnsi" w:cstheme="minorHAnsi"/>
          <w:color w:val="000000" w:themeColor="text1"/>
          <w:sz w:val="16"/>
          <w:szCs w:val="16"/>
          <w:lang w:val="es-VE"/>
        </w:rPr>
        <w:t>Acta de Audiencia Oral ante Tribunal Penal de Control de Ciudad Bolívar, 11/5/05.</w:t>
      </w:r>
      <w:r w:rsidRPr="00A15BBB">
        <w:rPr>
          <w:rFonts w:asciiTheme="majorHAnsi" w:hAnsiTheme="majorHAnsi" w:cstheme="minorHAnsi"/>
          <w:sz w:val="16"/>
          <w:szCs w:val="16"/>
          <w:lang w:val="es-US"/>
        </w:rPr>
        <w:t xml:space="preserve"> Anexo a la petición inicial.</w:t>
      </w:r>
    </w:p>
  </w:footnote>
  <w:footnote w:id="105">
    <w:p w14:paraId="4D0E7078" w14:textId="39C3DB33"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32</w:t>
      </w:r>
      <w:r w:rsidRPr="00A15BBB">
        <w:rPr>
          <w:rFonts w:asciiTheme="majorHAnsi" w:hAnsiTheme="majorHAnsi" w:cstheme="minorHAnsi"/>
          <w:sz w:val="16"/>
          <w:szCs w:val="16"/>
          <w:lang w:val="es-US"/>
        </w:rPr>
        <w:t xml:space="preserve">. </w:t>
      </w:r>
      <w:r w:rsidRPr="00A15BBB">
        <w:rPr>
          <w:rFonts w:asciiTheme="majorHAnsi" w:hAnsiTheme="majorHAnsi" w:cstheme="minorHAnsi"/>
          <w:color w:val="000000" w:themeColor="text1"/>
          <w:sz w:val="16"/>
          <w:szCs w:val="16"/>
          <w:lang w:val="es-VE"/>
        </w:rPr>
        <w:t xml:space="preserve">Comprobante de recepción de un documento del Tribunal Penal de Control de Ciudad Bolívar, 28/3/06; Anexo </w:t>
      </w:r>
      <w:r>
        <w:rPr>
          <w:rFonts w:asciiTheme="majorHAnsi" w:hAnsiTheme="majorHAnsi" w:cstheme="minorHAnsi"/>
          <w:color w:val="000000" w:themeColor="text1"/>
          <w:sz w:val="16"/>
          <w:szCs w:val="16"/>
          <w:lang w:val="es-VE"/>
        </w:rPr>
        <w:t>33</w:t>
      </w:r>
      <w:r w:rsidRPr="00A15BBB">
        <w:rPr>
          <w:rFonts w:asciiTheme="majorHAnsi" w:hAnsiTheme="majorHAnsi" w:cstheme="minorHAnsi"/>
          <w:color w:val="000000" w:themeColor="text1"/>
          <w:sz w:val="16"/>
          <w:szCs w:val="16"/>
          <w:lang w:val="es-VE"/>
        </w:rPr>
        <w:t xml:space="preserve">. Acta Levantada del Tribunal Penal de Control de Ciudad Bolívar, 13/6/2006. </w:t>
      </w:r>
      <w:r w:rsidRPr="00A15BBB">
        <w:rPr>
          <w:rFonts w:asciiTheme="majorHAnsi" w:hAnsiTheme="majorHAnsi" w:cstheme="minorHAnsi"/>
          <w:sz w:val="16"/>
          <w:szCs w:val="16"/>
          <w:lang w:val="es-US"/>
        </w:rPr>
        <w:t>Anexos a la petición inicial.</w:t>
      </w:r>
    </w:p>
  </w:footnote>
  <w:footnote w:id="106">
    <w:p w14:paraId="32F647E9" w14:textId="22C2EC06" w:rsidR="00595122" w:rsidRPr="00A15BBB" w:rsidRDefault="00595122" w:rsidP="00757291">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Anexo </w:t>
      </w:r>
      <w:r>
        <w:rPr>
          <w:rFonts w:asciiTheme="majorHAnsi" w:hAnsiTheme="majorHAnsi" w:cstheme="minorHAnsi"/>
          <w:sz w:val="16"/>
          <w:szCs w:val="16"/>
          <w:lang w:val="es-US"/>
        </w:rPr>
        <w:t>34</w:t>
      </w:r>
      <w:r w:rsidRPr="00A15BBB">
        <w:rPr>
          <w:rFonts w:asciiTheme="majorHAnsi" w:hAnsiTheme="majorHAnsi" w:cstheme="minorHAnsi"/>
          <w:sz w:val="16"/>
          <w:szCs w:val="16"/>
          <w:lang w:val="es-US"/>
        </w:rPr>
        <w:t xml:space="preserve">. </w:t>
      </w:r>
      <w:r w:rsidRPr="00A15BBB">
        <w:rPr>
          <w:rFonts w:asciiTheme="majorHAnsi" w:hAnsiTheme="majorHAnsi" w:cstheme="minorHAnsi"/>
          <w:color w:val="000000" w:themeColor="text1"/>
          <w:sz w:val="16"/>
          <w:szCs w:val="16"/>
          <w:lang w:val="es-VE"/>
        </w:rPr>
        <w:t xml:space="preserve">Tribunal Tercero Penal de Control de Ciudad Bolívar, 19/6/2006; Anexo </w:t>
      </w:r>
      <w:r>
        <w:rPr>
          <w:rFonts w:asciiTheme="majorHAnsi" w:hAnsiTheme="majorHAnsi" w:cstheme="minorHAnsi"/>
          <w:color w:val="000000" w:themeColor="text1"/>
          <w:sz w:val="16"/>
          <w:szCs w:val="16"/>
          <w:lang w:val="es-VE"/>
        </w:rPr>
        <w:t>35</w:t>
      </w:r>
      <w:r w:rsidRPr="00A15BBB">
        <w:rPr>
          <w:rFonts w:asciiTheme="majorHAnsi" w:hAnsiTheme="majorHAnsi" w:cstheme="minorHAnsi"/>
          <w:color w:val="000000" w:themeColor="text1"/>
          <w:sz w:val="16"/>
          <w:szCs w:val="16"/>
          <w:lang w:val="es-VE"/>
        </w:rPr>
        <w:t>. Tribunal Tercero Penal de Control de Ciudad Bolívar, 27/6/2006 (notificación de la decisión de 19/6/06).</w:t>
      </w:r>
      <w:r w:rsidRPr="00A15BBB">
        <w:rPr>
          <w:rFonts w:asciiTheme="majorHAnsi" w:hAnsiTheme="majorHAnsi" w:cstheme="minorHAnsi"/>
          <w:sz w:val="16"/>
          <w:szCs w:val="16"/>
          <w:lang w:val="es-US"/>
        </w:rPr>
        <w:t xml:space="preserve"> Anexos a la petición inicial.</w:t>
      </w:r>
    </w:p>
  </w:footnote>
  <w:footnote w:id="107">
    <w:p w14:paraId="7BDCBF5E" w14:textId="5557FD32"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Escrito adicional de los representantes de 2 de octubre de 2013. </w:t>
      </w:r>
    </w:p>
  </w:footnote>
  <w:footnote w:id="108">
    <w:p w14:paraId="5EA66FFC" w14:textId="2EC3E5E9" w:rsidR="00595122" w:rsidRPr="00A15BBB" w:rsidRDefault="00595122" w:rsidP="00E708A0">
      <w:pPr>
        <w:pStyle w:val="FootnoteText"/>
        <w:jc w:val="both"/>
        <w:rPr>
          <w:rFonts w:asciiTheme="majorHAnsi" w:hAnsiTheme="majorHAnsi" w:cstheme="minorHAnsi"/>
          <w:sz w:val="16"/>
          <w:szCs w:val="16"/>
          <w:lang w:val="fr-CA"/>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es-US"/>
        </w:rPr>
        <w:t xml:space="preserve"> Correo del Caroní, </w:t>
      </w:r>
      <w:r w:rsidRPr="00A15BBB">
        <w:rPr>
          <w:rFonts w:asciiTheme="majorHAnsi" w:hAnsiTheme="majorHAnsi" w:cstheme="minorHAnsi"/>
          <w:i/>
          <w:sz w:val="16"/>
          <w:szCs w:val="16"/>
          <w:lang w:val="es-US"/>
        </w:rPr>
        <w:t>La masacre de Vista Hermosa</w:t>
      </w:r>
      <w:r w:rsidRPr="00A15BBB">
        <w:rPr>
          <w:rFonts w:asciiTheme="majorHAnsi" w:hAnsiTheme="majorHAnsi" w:cstheme="minorHAnsi"/>
          <w:sz w:val="16"/>
          <w:szCs w:val="16"/>
          <w:lang w:val="es-US"/>
        </w:rPr>
        <w:t xml:space="preserve">, 6 septiembre 2015. </w:t>
      </w:r>
      <w:r w:rsidRPr="00A15BBB">
        <w:rPr>
          <w:rFonts w:asciiTheme="majorHAnsi" w:hAnsiTheme="majorHAnsi" w:cstheme="minorHAnsi"/>
          <w:sz w:val="16"/>
          <w:szCs w:val="16"/>
          <w:lang w:val="fr-CA"/>
        </w:rPr>
        <w:t>Disponible en: http://www.correodelcaroni.com/index.php/mas/a-2/item/36646-la-masacre-de-vista-hermosa</w:t>
      </w:r>
    </w:p>
  </w:footnote>
  <w:footnote w:id="109">
    <w:p w14:paraId="62416EBB" w14:textId="57EB3D8E" w:rsidR="00595122" w:rsidRPr="00A15BBB" w:rsidRDefault="00595122" w:rsidP="00E708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fr-CA"/>
        </w:rPr>
        <w:t xml:space="preserve"> </w:t>
      </w:r>
      <w:proofErr w:type="spellStart"/>
      <w:r w:rsidRPr="00A15BBB">
        <w:rPr>
          <w:rFonts w:asciiTheme="majorHAnsi" w:hAnsiTheme="majorHAnsi" w:cstheme="minorHAnsi"/>
          <w:i/>
          <w:sz w:val="16"/>
          <w:szCs w:val="16"/>
          <w:lang w:val="fr-CA"/>
        </w:rPr>
        <w:t>Véase</w:t>
      </w:r>
      <w:proofErr w:type="spellEnd"/>
      <w:r w:rsidRPr="00A15BBB">
        <w:rPr>
          <w:rFonts w:asciiTheme="majorHAnsi" w:hAnsiTheme="majorHAnsi" w:cstheme="minorHAnsi"/>
          <w:sz w:val="16"/>
          <w:szCs w:val="16"/>
          <w:lang w:val="fr-CA"/>
        </w:rPr>
        <w:t xml:space="preserve"> </w:t>
      </w:r>
      <w:proofErr w:type="spellStart"/>
      <w:r w:rsidRPr="00A15BBB">
        <w:rPr>
          <w:rFonts w:asciiTheme="majorHAnsi" w:hAnsiTheme="majorHAnsi" w:cstheme="minorHAnsi"/>
          <w:sz w:val="16"/>
          <w:szCs w:val="16"/>
          <w:lang w:val="fr-CA"/>
        </w:rPr>
        <w:t>Anexo</w:t>
      </w:r>
      <w:proofErr w:type="spellEnd"/>
      <w:r w:rsidRPr="00A15BBB">
        <w:rPr>
          <w:rFonts w:asciiTheme="majorHAnsi" w:hAnsiTheme="majorHAnsi" w:cstheme="minorHAnsi"/>
          <w:sz w:val="16"/>
          <w:szCs w:val="16"/>
          <w:lang w:val="fr-CA"/>
        </w:rPr>
        <w:t xml:space="preserve"> </w:t>
      </w:r>
      <w:r>
        <w:rPr>
          <w:rFonts w:asciiTheme="majorHAnsi" w:hAnsiTheme="majorHAnsi" w:cstheme="minorHAnsi"/>
          <w:sz w:val="16"/>
          <w:szCs w:val="16"/>
          <w:lang w:val="fr-CA"/>
        </w:rPr>
        <w:t>36</w:t>
      </w:r>
      <w:r w:rsidRPr="00A15BBB">
        <w:rPr>
          <w:rFonts w:asciiTheme="majorHAnsi" w:hAnsiTheme="majorHAnsi" w:cstheme="minorHAnsi"/>
          <w:sz w:val="16"/>
          <w:szCs w:val="16"/>
          <w:lang w:val="fr-CA"/>
        </w:rPr>
        <w:t xml:space="preserve">. </w:t>
      </w:r>
      <w:r w:rsidRPr="00A15BBB">
        <w:rPr>
          <w:rFonts w:asciiTheme="majorHAnsi" w:hAnsiTheme="majorHAnsi" w:cstheme="minorHAnsi"/>
          <w:sz w:val="16"/>
          <w:szCs w:val="16"/>
          <w:lang w:val="es-CO"/>
        </w:rPr>
        <w:t xml:space="preserve">Tres actas de diferimiento de audiencia preliminar por el Tribunal Penal de Primera Instancia Estatales y Municipales en Funciones de Control, de fechas 21/5/13 (defensa no debidamente notificada), 12/7/13 (defensa no asistió por retraso de vuelo desde Caracas), 29/8/13 (defensa no asiste). </w:t>
      </w:r>
      <w:r>
        <w:rPr>
          <w:rFonts w:asciiTheme="majorHAnsi" w:hAnsiTheme="majorHAnsi" w:cstheme="minorHAnsi"/>
          <w:sz w:val="16"/>
          <w:szCs w:val="16"/>
          <w:lang w:val="es-US"/>
        </w:rPr>
        <w:t>Anexo</w:t>
      </w:r>
      <w:r w:rsidRPr="00A15BBB">
        <w:rPr>
          <w:rFonts w:asciiTheme="majorHAnsi" w:hAnsiTheme="majorHAnsi" w:cstheme="minorHAnsi"/>
          <w:sz w:val="16"/>
          <w:szCs w:val="16"/>
          <w:lang w:val="es-US"/>
        </w:rPr>
        <w:t xml:space="preserve"> al escrito de los representantes del </w:t>
      </w:r>
      <w:r w:rsidRPr="00A15BBB">
        <w:rPr>
          <w:rFonts w:asciiTheme="majorHAnsi" w:hAnsiTheme="majorHAnsi" w:cstheme="minorHAnsi"/>
          <w:color w:val="000000" w:themeColor="text1"/>
          <w:sz w:val="16"/>
          <w:szCs w:val="16"/>
          <w:lang w:val="es-US"/>
        </w:rPr>
        <w:t>2 de octubre de 2013</w:t>
      </w:r>
      <w:r w:rsidRPr="00A15BBB">
        <w:rPr>
          <w:rFonts w:asciiTheme="majorHAnsi" w:hAnsiTheme="majorHAnsi" w:cstheme="minorHAnsi"/>
          <w:sz w:val="16"/>
          <w:szCs w:val="16"/>
          <w:lang w:val="es-US"/>
        </w:rPr>
        <w:t>.</w:t>
      </w:r>
    </w:p>
  </w:footnote>
  <w:footnote w:id="110">
    <w:p w14:paraId="461A166C" w14:textId="745EF77B" w:rsidR="00595122" w:rsidRPr="008264DF" w:rsidRDefault="00595122">
      <w:pPr>
        <w:pStyle w:val="FootnoteText"/>
        <w:rPr>
          <w:rFonts w:asciiTheme="majorHAnsi" w:hAnsiTheme="majorHAnsi"/>
          <w:sz w:val="16"/>
          <w:szCs w:val="16"/>
          <w:lang w:val="es-US"/>
        </w:rPr>
      </w:pPr>
      <w:r w:rsidRPr="00A15BBB">
        <w:rPr>
          <w:rStyle w:val="FootnoteReference"/>
          <w:rFonts w:asciiTheme="majorHAnsi" w:hAnsiTheme="majorHAnsi"/>
          <w:sz w:val="16"/>
          <w:szCs w:val="16"/>
        </w:rPr>
        <w:footnoteRef/>
      </w:r>
      <w:r w:rsidRPr="008264DF">
        <w:rPr>
          <w:rFonts w:asciiTheme="majorHAnsi" w:hAnsiTheme="majorHAnsi"/>
          <w:sz w:val="16"/>
          <w:szCs w:val="16"/>
          <w:lang w:val="es-US"/>
        </w:rPr>
        <w:t xml:space="preserve"> </w:t>
      </w:r>
      <w:r w:rsidRPr="00A15BBB">
        <w:rPr>
          <w:rFonts w:asciiTheme="majorHAnsi" w:hAnsiTheme="majorHAnsi" w:cstheme="minorHAnsi"/>
          <w:sz w:val="16"/>
          <w:szCs w:val="16"/>
          <w:lang w:val="es-US"/>
        </w:rPr>
        <w:t xml:space="preserve">Escrito de los representantes del </w:t>
      </w:r>
      <w:r w:rsidRPr="00A15BBB">
        <w:rPr>
          <w:rFonts w:asciiTheme="majorHAnsi" w:hAnsiTheme="majorHAnsi" w:cstheme="minorHAnsi"/>
          <w:color w:val="000000" w:themeColor="text1"/>
          <w:sz w:val="16"/>
          <w:szCs w:val="16"/>
          <w:lang w:val="es-US"/>
        </w:rPr>
        <w:t>2 de octubre de 2013.</w:t>
      </w:r>
    </w:p>
  </w:footnote>
  <w:footnote w:id="111">
    <w:p w14:paraId="0341E24A" w14:textId="66A346CB" w:rsidR="00595122" w:rsidRPr="00461FE2" w:rsidRDefault="00595122" w:rsidP="00E708A0">
      <w:pPr>
        <w:pStyle w:val="FootnoteText"/>
        <w:jc w:val="both"/>
        <w:rPr>
          <w:rFonts w:asciiTheme="majorHAnsi" w:hAnsiTheme="majorHAnsi" w:cstheme="minorHAnsi"/>
          <w:sz w:val="16"/>
          <w:szCs w:val="16"/>
          <w:lang w:val="es-CO"/>
        </w:rPr>
      </w:pPr>
      <w:r w:rsidRPr="00A15BBB">
        <w:rPr>
          <w:rStyle w:val="FootnoteReference"/>
          <w:rFonts w:asciiTheme="majorHAnsi" w:hAnsiTheme="majorHAnsi" w:cstheme="minorHAnsi"/>
          <w:sz w:val="16"/>
          <w:szCs w:val="16"/>
        </w:rPr>
        <w:footnoteRef/>
      </w:r>
      <w:r w:rsidRPr="00461FE2">
        <w:rPr>
          <w:rFonts w:asciiTheme="majorHAnsi" w:hAnsiTheme="majorHAnsi" w:cstheme="minorHAnsi"/>
          <w:sz w:val="16"/>
          <w:szCs w:val="16"/>
          <w:lang w:val="es-CO"/>
        </w:rPr>
        <w:t xml:space="preserve"> </w:t>
      </w:r>
      <w:r w:rsidRPr="00461FE2">
        <w:rPr>
          <w:rFonts w:asciiTheme="majorHAnsi" w:hAnsiTheme="majorHAnsi" w:cstheme="minorHAnsi"/>
          <w:color w:val="000000" w:themeColor="text1"/>
          <w:sz w:val="16"/>
          <w:szCs w:val="16"/>
          <w:lang w:val="es-CO"/>
        </w:rPr>
        <w:t>Ídem.</w:t>
      </w:r>
    </w:p>
  </w:footnote>
  <w:footnote w:id="112">
    <w:p w14:paraId="1192E902" w14:textId="30AA7D2F" w:rsidR="00595122" w:rsidRPr="00461FE2" w:rsidRDefault="00595122" w:rsidP="00E708A0">
      <w:pPr>
        <w:pStyle w:val="FootnoteText"/>
        <w:jc w:val="both"/>
        <w:rPr>
          <w:rFonts w:asciiTheme="majorHAnsi" w:hAnsiTheme="majorHAnsi" w:cstheme="minorHAnsi"/>
          <w:sz w:val="16"/>
          <w:szCs w:val="16"/>
          <w:lang w:val="es-CO"/>
        </w:rPr>
      </w:pPr>
      <w:r w:rsidRPr="00A15BBB">
        <w:rPr>
          <w:rStyle w:val="FootnoteReference"/>
          <w:rFonts w:asciiTheme="majorHAnsi" w:hAnsiTheme="majorHAnsi" w:cstheme="minorHAnsi"/>
          <w:sz w:val="16"/>
          <w:szCs w:val="16"/>
        </w:rPr>
        <w:footnoteRef/>
      </w:r>
      <w:r w:rsidRPr="00461FE2">
        <w:rPr>
          <w:rFonts w:asciiTheme="majorHAnsi" w:hAnsiTheme="majorHAnsi" w:cstheme="minorHAnsi"/>
          <w:sz w:val="16"/>
          <w:szCs w:val="16"/>
          <w:lang w:val="es-CO"/>
        </w:rPr>
        <w:t xml:space="preserve"> Escrito adicional</w:t>
      </w:r>
      <w:r w:rsidRPr="00D2765F">
        <w:rPr>
          <w:rFonts w:asciiTheme="majorHAnsi" w:hAnsiTheme="majorHAnsi" w:cstheme="minorHAnsi"/>
          <w:sz w:val="16"/>
          <w:szCs w:val="16"/>
          <w:lang w:val="es-US"/>
        </w:rPr>
        <w:t xml:space="preserve"> </w:t>
      </w:r>
      <w:r w:rsidRPr="00A15BBB">
        <w:rPr>
          <w:rFonts w:asciiTheme="majorHAnsi" w:hAnsiTheme="majorHAnsi" w:cstheme="minorHAnsi"/>
          <w:sz w:val="16"/>
          <w:szCs w:val="16"/>
          <w:lang w:val="es-US"/>
        </w:rPr>
        <w:t>de los representantes</w:t>
      </w:r>
      <w:r w:rsidRPr="00461FE2">
        <w:rPr>
          <w:rFonts w:asciiTheme="majorHAnsi" w:hAnsiTheme="majorHAnsi" w:cstheme="minorHAnsi"/>
          <w:sz w:val="16"/>
          <w:szCs w:val="16"/>
          <w:lang w:val="es-CO"/>
        </w:rPr>
        <w:t xml:space="preserve"> de 9 de marzo de 2015.</w:t>
      </w:r>
    </w:p>
  </w:footnote>
  <w:footnote w:id="113">
    <w:p w14:paraId="417B9A97" w14:textId="2E825998"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461FE2">
        <w:rPr>
          <w:rFonts w:asciiTheme="majorHAnsi" w:hAnsiTheme="majorHAnsi"/>
          <w:sz w:val="16"/>
          <w:szCs w:val="16"/>
          <w:lang w:val="es-CO"/>
        </w:rPr>
        <w:t xml:space="preserve"> Anexo </w:t>
      </w:r>
      <w:r>
        <w:rPr>
          <w:rFonts w:asciiTheme="majorHAnsi" w:hAnsiTheme="majorHAnsi"/>
          <w:sz w:val="16"/>
          <w:szCs w:val="16"/>
          <w:lang w:val="es-CO"/>
        </w:rPr>
        <w:t>37</w:t>
      </w:r>
      <w:r w:rsidRPr="00461FE2">
        <w:rPr>
          <w:rFonts w:asciiTheme="majorHAnsi" w:hAnsiTheme="majorHAnsi"/>
          <w:sz w:val="16"/>
          <w:szCs w:val="16"/>
          <w:lang w:val="es-CO"/>
        </w:rPr>
        <w:t xml:space="preserve">. </w:t>
      </w:r>
      <w:r w:rsidRPr="00A15BBB">
        <w:rPr>
          <w:rFonts w:asciiTheme="majorHAnsi" w:hAnsiTheme="majorHAnsi"/>
          <w:sz w:val="16"/>
          <w:szCs w:val="16"/>
          <w:lang w:val="es-CO"/>
        </w:rPr>
        <w:t>Correo del Caroní</w:t>
      </w:r>
      <w:r w:rsidRPr="00A15BBB">
        <w:rPr>
          <w:rFonts w:asciiTheme="majorHAnsi" w:hAnsiTheme="majorHAnsi"/>
          <w:i/>
          <w:sz w:val="16"/>
          <w:szCs w:val="16"/>
          <w:lang w:val="es-CO"/>
        </w:rPr>
        <w:t xml:space="preserve">, </w:t>
      </w:r>
      <w:r w:rsidRPr="00A15BBB">
        <w:rPr>
          <w:rFonts w:asciiTheme="majorHAnsi" w:hAnsiTheme="majorHAnsi"/>
          <w:sz w:val="16"/>
          <w:szCs w:val="16"/>
          <w:lang w:val="es-CO"/>
        </w:rPr>
        <w:t>“Ascendidos 2 de los 4 imputados en masacre de Vista Hermosa” (</w:t>
      </w:r>
      <w:r w:rsidRPr="00A15BBB">
        <w:rPr>
          <w:rFonts w:asciiTheme="majorHAnsi" w:hAnsiTheme="majorHAnsi"/>
          <w:sz w:val="16"/>
          <w:szCs w:val="16"/>
          <w:lang w:val="es-US"/>
        </w:rPr>
        <w:t>30/6/2004)</w:t>
      </w:r>
      <w:r w:rsidRPr="00A15BBB">
        <w:rPr>
          <w:rFonts w:asciiTheme="majorHAnsi" w:hAnsiTheme="majorHAnsi"/>
          <w:sz w:val="16"/>
          <w:szCs w:val="16"/>
          <w:lang w:val="es-CO"/>
        </w:rPr>
        <w:t>.</w:t>
      </w:r>
      <w:r>
        <w:rPr>
          <w:rFonts w:asciiTheme="majorHAnsi" w:hAnsiTheme="majorHAnsi"/>
          <w:sz w:val="16"/>
          <w:szCs w:val="16"/>
          <w:lang w:val="es-CO"/>
        </w:rPr>
        <w:t xml:space="preserve"> </w:t>
      </w:r>
      <w:r w:rsidRPr="00A15BBB">
        <w:rPr>
          <w:rFonts w:asciiTheme="majorHAnsi" w:hAnsiTheme="majorHAnsi"/>
          <w:sz w:val="16"/>
          <w:szCs w:val="16"/>
          <w:lang w:val="es-CO"/>
        </w:rPr>
        <w:t>Anexo a la petición inicial.</w:t>
      </w:r>
    </w:p>
  </w:footnote>
  <w:footnote w:id="114">
    <w:p w14:paraId="27FFC56E" w14:textId="4C762A2F"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es-US"/>
        </w:rPr>
        <w:t>Véase</w:t>
      </w:r>
      <w:r w:rsidRPr="00A15BBB">
        <w:rPr>
          <w:rFonts w:asciiTheme="majorHAnsi" w:hAnsiTheme="majorHAnsi"/>
          <w:sz w:val="16"/>
          <w:szCs w:val="16"/>
          <w:lang w:val="es-US"/>
        </w:rPr>
        <w:t xml:space="preserve">, por ejemplo, TIME, </w:t>
      </w:r>
      <w:proofErr w:type="spellStart"/>
      <w:r w:rsidRPr="00A15BBB">
        <w:rPr>
          <w:rFonts w:asciiTheme="majorHAnsi" w:hAnsiTheme="majorHAnsi"/>
          <w:i/>
          <w:sz w:val="16"/>
          <w:szCs w:val="16"/>
          <w:lang w:val="es-US"/>
        </w:rPr>
        <w:t>On</w:t>
      </w:r>
      <w:proofErr w:type="spellEnd"/>
      <w:r w:rsidRPr="00A15BBB">
        <w:rPr>
          <w:rFonts w:asciiTheme="majorHAnsi" w:hAnsiTheme="majorHAnsi"/>
          <w:i/>
          <w:sz w:val="16"/>
          <w:szCs w:val="16"/>
          <w:lang w:val="es-US"/>
        </w:rPr>
        <w:t xml:space="preserve"> </w:t>
      </w:r>
      <w:proofErr w:type="spellStart"/>
      <w:r w:rsidRPr="00A15BBB">
        <w:rPr>
          <w:rFonts w:asciiTheme="majorHAnsi" w:hAnsiTheme="majorHAnsi"/>
          <w:i/>
          <w:sz w:val="16"/>
          <w:szCs w:val="16"/>
          <w:lang w:val="es-US"/>
        </w:rPr>
        <w:t>the</w:t>
      </w:r>
      <w:proofErr w:type="spellEnd"/>
      <w:r w:rsidRPr="00A15BBB">
        <w:rPr>
          <w:rFonts w:asciiTheme="majorHAnsi" w:hAnsiTheme="majorHAnsi"/>
          <w:i/>
          <w:sz w:val="16"/>
          <w:szCs w:val="16"/>
          <w:lang w:val="es-US"/>
        </w:rPr>
        <w:t xml:space="preserve"> </w:t>
      </w:r>
      <w:proofErr w:type="spellStart"/>
      <w:r w:rsidRPr="00A15BBB">
        <w:rPr>
          <w:rFonts w:asciiTheme="majorHAnsi" w:hAnsiTheme="majorHAnsi"/>
          <w:i/>
          <w:sz w:val="16"/>
          <w:szCs w:val="16"/>
          <w:lang w:val="es-US"/>
        </w:rPr>
        <w:t>Inside</w:t>
      </w:r>
      <w:proofErr w:type="spellEnd"/>
      <w:r w:rsidRPr="00A15BBB">
        <w:rPr>
          <w:rFonts w:asciiTheme="majorHAnsi" w:hAnsiTheme="majorHAnsi"/>
          <w:i/>
          <w:sz w:val="16"/>
          <w:szCs w:val="16"/>
          <w:lang w:val="es-US"/>
        </w:rPr>
        <w:t xml:space="preserve">: </w:t>
      </w:r>
      <w:proofErr w:type="spellStart"/>
      <w:r w:rsidRPr="00A15BBB">
        <w:rPr>
          <w:rFonts w:asciiTheme="majorHAnsi" w:hAnsiTheme="majorHAnsi"/>
          <w:i/>
          <w:sz w:val="16"/>
          <w:szCs w:val="16"/>
          <w:lang w:val="es-US"/>
        </w:rPr>
        <w:t>Venezuela’s</w:t>
      </w:r>
      <w:proofErr w:type="spellEnd"/>
      <w:r w:rsidRPr="00A15BBB">
        <w:rPr>
          <w:rFonts w:asciiTheme="majorHAnsi" w:hAnsiTheme="majorHAnsi"/>
          <w:i/>
          <w:sz w:val="16"/>
          <w:szCs w:val="16"/>
          <w:lang w:val="es-US"/>
        </w:rPr>
        <w:t xml:space="preserve"> </w:t>
      </w:r>
      <w:proofErr w:type="spellStart"/>
      <w:r w:rsidRPr="00A15BBB">
        <w:rPr>
          <w:rFonts w:asciiTheme="majorHAnsi" w:hAnsiTheme="majorHAnsi"/>
          <w:i/>
          <w:sz w:val="16"/>
          <w:szCs w:val="16"/>
          <w:lang w:val="es-US"/>
        </w:rPr>
        <w:t>Most</w:t>
      </w:r>
      <w:proofErr w:type="spellEnd"/>
      <w:r w:rsidRPr="00A15BBB">
        <w:rPr>
          <w:rFonts w:asciiTheme="majorHAnsi" w:hAnsiTheme="majorHAnsi"/>
          <w:i/>
          <w:sz w:val="16"/>
          <w:szCs w:val="16"/>
          <w:lang w:val="es-US"/>
        </w:rPr>
        <w:t xml:space="preserve"> </w:t>
      </w:r>
      <w:proofErr w:type="spellStart"/>
      <w:r w:rsidRPr="00A15BBB">
        <w:rPr>
          <w:rFonts w:asciiTheme="majorHAnsi" w:hAnsiTheme="majorHAnsi"/>
          <w:i/>
          <w:sz w:val="16"/>
          <w:szCs w:val="16"/>
          <w:lang w:val="es-US"/>
        </w:rPr>
        <w:t>Dangerous</w:t>
      </w:r>
      <w:proofErr w:type="spellEnd"/>
      <w:r w:rsidRPr="00A15BBB">
        <w:rPr>
          <w:rFonts w:asciiTheme="majorHAnsi" w:hAnsiTheme="majorHAnsi"/>
          <w:i/>
          <w:sz w:val="16"/>
          <w:szCs w:val="16"/>
          <w:lang w:val="es-US"/>
        </w:rPr>
        <w:t xml:space="preserve"> </w:t>
      </w:r>
      <w:proofErr w:type="spellStart"/>
      <w:r w:rsidRPr="00A15BBB">
        <w:rPr>
          <w:rFonts w:asciiTheme="majorHAnsi" w:hAnsiTheme="majorHAnsi"/>
          <w:i/>
          <w:sz w:val="16"/>
          <w:szCs w:val="16"/>
          <w:lang w:val="es-US"/>
        </w:rPr>
        <w:t>Prison</w:t>
      </w:r>
      <w:proofErr w:type="spellEnd"/>
      <w:r w:rsidRPr="00A15BBB">
        <w:rPr>
          <w:rFonts w:asciiTheme="majorHAnsi" w:hAnsiTheme="majorHAnsi"/>
          <w:sz w:val="16"/>
          <w:szCs w:val="16"/>
          <w:lang w:val="es-US"/>
        </w:rPr>
        <w:t xml:space="preserve">, 6 de junio de 2013. Disponible en: http://time.com/3800088/on-the-inside-venezuelas-most-dangerous-prison/. </w:t>
      </w:r>
    </w:p>
  </w:footnote>
  <w:footnote w:id="115">
    <w:p w14:paraId="058C2EFC" w14:textId="2D36B1FB" w:rsidR="00595122" w:rsidRPr="00A15BBB" w:rsidRDefault="00595122" w:rsidP="00E708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Corte IDH, Resolución de 15 de mayo de 2011, Asunto Internado Judicial de Ciudad Bolívar “Cárcel de Vista Hermosa”, Medidas Provisionales respecto de Venezuela.</w:t>
      </w:r>
    </w:p>
  </w:footnote>
  <w:footnote w:id="116">
    <w:p w14:paraId="490542EC" w14:textId="564A136B" w:rsidR="00595122" w:rsidRPr="00A15BBB" w:rsidRDefault="00595122" w:rsidP="005D3117">
      <w:pPr>
        <w:shd w:val="clear" w:color="auto" w:fill="FFFFFF"/>
        <w:tabs>
          <w:tab w:val="num" w:pos="720"/>
          <w:tab w:val="left" w:pos="1440"/>
          <w:tab w:val="num" w:pos="2040"/>
        </w:tabs>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A15BBB">
        <w:rPr>
          <w:rFonts w:asciiTheme="majorHAnsi" w:hAnsiTheme="majorHAnsi"/>
          <w:sz w:val="16"/>
          <w:szCs w:val="16"/>
          <w:lang w:val="es-VE"/>
        </w:rPr>
        <w:t xml:space="preserve"> Art. 4.1 establece en lo pertinente:</w:t>
      </w:r>
      <w:r w:rsidRPr="00A15BBB">
        <w:rPr>
          <w:rFonts w:asciiTheme="majorHAnsi" w:hAnsiTheme="majorHAnsi"/>
          <w:sz w:val="16"/>
          <w:szCs w:val="16"/>
          <w:lang w:val="es-US"/>
        </w:rPr>
        <w:t> 1. “Toda persona tiene derecho a que se respete su vida. […] Nadie puede ser privado de la vida arbitrariamente”.</w:t>
      </w:r>
    </w:p>
  </w:footnote>
  <w:footnote w:id="117">
    <w:p w14:paraId="69E5322C" w14:textId="497CF2E6" w:rsidR="00595122" w:rsidRPr="00A15BBB" w:rsidRDefault="00595122" w:rsidP="005D3117">
      <w:pPr>
        <w:shd w:val="clear" w:color="auto" w:fill="FFFFFF"/>
        <w:tabs>
          <w:tab w:val="num" w:pos="720"/>
          <w:tab w:val="left" w:pos="1440"/>
          <w:tab w:val="num" w:pos="2040"/>
        </w:tabs>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VE"/>
        </w:rPr>
        <w:t xml:space="preserve"> Art. 5 establece en lo pertinente: “</w:t>
      </w:r>
      <w:r w:rsidRPr="00A15BBB">
        <w:rPr>
          <w:rFonts w:asciiTheme="majorHAnsi" w:hAnsiTheme="majorHAnsi"/>
          <w:sz w:val="16"/>
          <w:szCs w:val="16"/>
          <w:lang w:val="es-US"/>
        </w:rPr>
        <w:t xml:space="preserve">1. </w:t>
      </w:r>
      <w:r w:rsidRPr="009D72E1">
        <w:rPr>
          <w:rFonts w:asciiTheme="majorHAnsi" w:hAnsiTheme="majorHAnsi"/>
          <w:sz w:val="16"/>
          <w:szCs w:val="16"/>
          <w:lang w:val="es-US"/>
        </w:rPr>
        <w:t xml:space="preserve">Toda persona tiene derecho a que se respete su integridad física, psíquica y moral; </w:t>
      </w:r>
      <w:r w:rsidRPr="00AF45E6">
        <w:rPr>
          <w:rFonts w:asciiTheme="majorHAnsi" w:hAnsiTheme="majorHAnsi" w:cs="Tahoma"/>
          <w:color w:val="000000"/>
          <w:sz w:val="16"/>
          <w:szCs w:val="16"/>
          <w:lang w:val="es-CO"/>
        </w:rPr>
        <w:t> 2. Nadie debe ser sometido a torturas ni a penas o tratos crueles, inhumanos o degradantes.  Toda persona privada de libertad será tratada con el respeto debido a la dignidad inherente al ser humano.</w:t>
      </w:r>
      <w:r w:rsidRPr="00A15BBB">
        <w:rPr>
          <w:rFonts w:asciiTheme="majorHAnsi" w:hAnsiTheme="majorHAnsi"/>
          <w:sz w:val="16"/>
          <w:szCs w:val="16"/>
          <w:lang w:val="es-US"/>
        </w:rPr>
        <w:t xml:space="preserve"> </w:t>
      </w:r>
    </w:p>
  </w:footnote>
  <w:footnote w:id="118">
    <w:p w14:paraId="7E424F6A" w14:textId="597F2C08" w:rsidR="00595122" w:rsidRPr="00A15BBB" w:rsidRDefault="00595122" w:rsidP="005D3117">
      <w:pPr>
        <w:shd w:val="clear" w:color="auto" w:fill="FFFFFF"/>
        <w:tabs>
          <w:tab w:val="num" w:pos="720"/>
          <w:tab w:val="left" w:pos="1440"/>
          <w:tab w:val="num" w:pos="2040"/>
        </w:tabs>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A15BBB">
        <w:rPr>
          <w:rFonts w:asciiTheme="majorHAnsi" w:hAnsiTheme="majorHAnsi"/>
          <w:sz w:val="16"/>
          <w:szCs w:val="16"/>
          <w:lang w:val="es-VE"/>
        </w:rPr>
        <w:t xml:space="preserve"> Art. 1.1 establece en lo pertinente: </w:t>
      </w:r>
      <w:r w:rsidRPr="00A15BBB">
        <w:rPr>
          <w:rFonts w:asciiTheme="majorHAnsi" w:hAnsiTheme="majorHAnsi"/>
          <w:sz w:val="16"/>
          <w:szCs w:val="16"/>
          <w:lang w:val="es-US"/>
        </w:rPr>
        <w:t>“Los Estados Partes […] se comprometen a respetar los derechos y libertades reconocidos en ella y a garantizar su libre y pleno ejercicio a toda persona que esté sujeta a su jurisdicción, sin discriminación alguna […]”.</w:t>
      </w:r>
    </w:p>
  </w:footnote>
  <w:footnote w:id="119">
    <w:p w14:paraId="2558A4C2" w14:textId="76077730" w:rsidR="00595122" w:rsidRPr="00A15BBB" w:rsidRDefault="00595122" w:rsidP="005D3117">
      <w:pPr>
        <w:shd w:val="clear" w:color="auto" w:fill="FFFFFF"/>
        <w:tabs>
          <w:tab w:val="num" w:pos="720"/>
          <w:tab w:val="left" w:pos="1440"/>
          <w:tab w:val="num" w:pos="2040"/>
        </w:tabs>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A15BBB">
        <w:rPr>
          <w:rFonts w:asciiTheme="majorHAnsi" w:hAnsiTheme="majorHAnsi"/>
          <w:sz w:val="16"/>
          <w:szCs w:val="16"/>
          <w:lang w:val="es-VE"/>
        </w:rPr>
        <w:t xml:space="preserve"> Art. 2 establece en lo pertinente: </w:t>
      </w:r>
      <w:r w:rsidRPr="00A15BBB">
        <w:rPr>
          <w:rFonts w:asciiTheme="majorHAnsi" w:hAnsiTheme="majorHAnsi"/>
          <w:sz w:val="16"/>
          <w:szCs w:val="16"/>
          <w:lang w:val="es-US"/>
        </w:rPr>
        <w:t>“[…]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20">
    <w:p w14:paraId="6AEF4A6F" w14:textId="10B08BC7" w:rsidR="00595122" w:rsidRPr="00A15BBB" w:rsidRDefault="00595122" w:rsidP="005D3117">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es-US"/>
        </w:rPr>
        <w:t xml:space="preserve">Véase </w:t>
      </w:r>
      <w:r w:rsidRPr="00A15BBB">
        <w:rPr>
          <w:rFonts w:asciiTheme="majorHAnsi" w:hAnsiTheme="majorHAnsi"/>
          <w:sz w:val="16"/>
          <w:szCs w:val="16"/>
          <w:lang w:val="es-US"/>
        </w:rPr>
        <w:t xml:space="preserve">Corte IDH. </w:t>
      </w:r>
      <w:r w:rsidRPr="00C34339">
        <w:rPr>
          <w:rFonts w:asciiTheme="majorHAnsi" w:hAnsiTheme="majorHAnsi"/>
          <w:i/>
          <w:sz w:val="16"/>
          <w:szCs w:val="16"/>
          <w:lang w:val="es-US"/>
        </w:rPr>
        <w:t>Caso Cabrera García y Montiel Flores vs. México</w:t>
      </w:r>
      <w:r w:rsidRPr="00A15BBB">
        <w:rPr>
          <w:rFonts w:asciiTheme="majorHAnsi" w:hAnsiTheme="majorHAnsi"/>
          <w:sz w:val="16"/>
          <w:szCs w:val="16"/>
          <w:lang w:val="es-US"/>
        </w:rPr>
        <w:t xml:space="preserve">. Sentencia de 26 de noviembre de 2010, párr. 88;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en este sentido, CIDH. </w:t>
      </w:r>
      <w:r w:rsidRPr="00C34339">
        <w:rPr>
          <w:rFonts w:asciiTheme="majorHAnsi" w:hAnsiTheme="majorHAnsi"/>
          <w:i/>
          <w:sz w:val="16"/>
          <w:szCs w:val="16"/>
          <w:lang w:val="es-US"/>
        </w:rPr>
        <w:t>Informe sobre la Situación de los Derechos Humanos en México</w:t>
      </w:r>
      <w:r w:rsidRPr="00A15BBB">
        <w:rPr>
          <w:rFonts w:asciiTheme="majorHAnsi" w:hAnsiTheme="majorHAnsi"/>
          <w:sz w:val="16"/>
          <w:szCs w:val="16"/>
          <w:lang w:val="es-US"/>
        </w:rPr>
        <w:t xml:space="preserve"> (1998), párrs. 399-409.</w:t>
      </w:r>
    </w:p>
  </w:footnote>
  <w:footnote w:id="121">
    <w:p w14:paraId="7907698D" w14:textId="18FC1CBC" w:rsidR="00595122" w:rsidRPr="00A15BBB" w:rsidRDefault="00595122" w:rsidP="005D3117">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Corte IDH. </w:t>
      </w:r>
      <w:r w:rsidRPr="00C34339">
        <w:rPr>
          <w:rFonts w:asciiTheme="majorHAnsi" w:hAnsiTheme="majorHAnsi"/>
          <w:i/>
          <w:sz w:val="16"/>
          <w:szCs w:val="16"/>
          <w:lang w:val="es-US"/>
        </w:rPr>
        <w:t>Caso Cabrera García y Montiel Flores vs. México</w:t>
      </w:r>
      <w:r w:rsidRPr="00A15BBB">
        <w:rPr>
          <w:rFonts w:asciiTheme="majorHAnsi" w:hAnsiTheme="majorHAnsi"/>
          <w:sz w:val="16"/>
          <w:szCs w:val="16"/>
          <w:lang w:val="es-US"/>
        </w:rPr>
        <w:t>. Sentencia de 26 de noviembre de 2010, párr. 89.</w:t>
      </w:r>
    </w:p>
  </w:footnote>
  <w:footnote w:id="122">
    <w:p w14:paraId="2C692F59" w14:textId="58ED71F8" w:rsidR="00595122" w:rsidRPr="00A15BBB" w:rsidRDefault="00595122" w:rsidP="008A5B8E">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ES_tradnl"/>
        </w:rPr>
        <w:t xml:space="preserve">CIDH, </w:t>
      </w:r>
      <w:r w:rsidRPr="00C34339">
        <w:rPr>
          <w:rFonts w:ascii="Cambria" w:hAnsi="Cambria"/>
          <w:i/>
          <w:sz w:val="16"/>
          <w:szCs w:val="16"/>
          <w:lang w:val="es-ES_tradnl"/>
        </w:rPr>
        <w:t>Informe sobre los derechos de las personas privadas de libertad en las Américas</w:t>
      </w:r>
      <w:r w:rsidRPr="00A15BBB">
        <w:rPr>
          <w:rFonts w:ascii="Cambria" w:hAnsi="Cambria"/>
          <w:sz w:val="16"/>
          <w:szCs w:val="16"/>
          <w:lang w:val="es-ES_tradnl"/>
        </w:rPr>
        <w:t xml:space="preserve"> (2011)</w:t>
      </w:r>
      <w:r w:rsidRPr="00A15BBB">
        <w:rPr>
          <w:rFonts w:asciiTheme="majorHAnsi" w:hAnsiTheme="majorHAnsi"/>
          <w:sz w:val="16"/>
          <w:szCs w:val="16"/>
          <w:lang w:val="es-US"/>
        </w:rPr>
        <w:t>, párrs. 171-175.</w:t>
      </w:r>
    </w:p>
  </w:footnote>
  <w:footnote w:id="123">
    <w:p w14:paraId="5A4A3D2D" w14:textId="1B857194" w:rsidR="00595122" w:rsidRPr="00A15BBB" w:rsidRDefault="00595122" w:rsidP="008A5B8E">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Cambria" w:hAnsi="Cambria"/>
          <w:sz w:val="16"/>
          <w:szCs w:val="16"/>
          <w:lang w:val="es-ES_tradnl"/>
        </w:rPr>
        <w:t xml:space="preserve">CIDH, </w:t>
      </w:r>
      <w:r w:rsidRPr="00C34339">
        <w:rPr>
          <w:rFonts w:ascii="Cambria" w:hAnsi="Cambria"/>
          <w:i/>
          <w:sz w:val="16"/>
          <w:szCs w:val="16"/>
          <w:lang w:val="es-ES_tradnl"/>
        </w:rPr>
        <w:t>Informe sobre los derechos de las personas privadas de libertad en las Américas</w:t>
      </w:r>
      <w:r w:rsidRPr="00A15BBB">
        <w:rPr>
          <w:rFonts w:ascii="Cambria" w:hAnsi="Cambria"/>
          <w:sz w:val="16"/>
          <w:szCs w:val="16"/>
          <w:lang w:val="es-ES_tradnl"/>
        </w:rPr>
        <w:t xml:space="preserve"> (2011),</w:t>
      </w:r>
      <w:r w:rsidRPr="00A15BBB">
        <w:rPr>
          <w:rFonts w:asciiTheme="majorHAnsi" w:hAnsiTheme="majorHAnsi"/>
          <w:sz w:val="16"/>
          <w:szCs w:val="16"/>
          <w:lang w:val="es-US"/>
        </w:rPr>
        <w:t xml:space="preserve"> párr. 193. Asimismo, respecto de la idoneidad del personal, precisó que “el ejercicio de funciones de custodia por policías o militares que han recibido formación en regímenes antidemocráticos, o que cuya formación ha sido impartida por instructores o superiores jerárquicos educados en tales regímenes”</w:t>
      </w:r>
      <w:r w:rsidRPr="00A15BBB">
        <w:rPr>
          <w:rFonts w:asciiTheme="majorHAnsi" w:eastAsia="Arial Unicode MS" w:hAnsiTheme="majorHAnsi" w:cs="Times New Roman"/>
          <w:color w:val="000000" w:themeColor="text1"/>
          <w:sz w:val="16"/>
          <w:szCs w:val="16"/>
          <w:lang w:val="es-US" w:eastAsia="en-US"/>
        </w:rPr>
        <w:t xml:space="preserve"> </w:t>
      </w:r>
      <w:r w:rsidRPr="00A15BBB">
        <w:rPr>
          <w:rFonts w:asciiTheme="majorHAnsi" w:hAnsiTheme="majorHAnsi"/>
          <w:sz w:val="16"/>
          <w:szCs w:val="16"/>
          <w:lang w:val="es-US"/>
        </w:rPr>
        <w:t>no es adecuado para garantizar el respeto a los derechos humanos. Ídem, párr. 176.</w:t>
      </w:r>
    </w:p>
  </w:footnote>
  <w:footnote w:id="124">
    <w:p w14:paraId="68776631" w14:textId="5EDF0DB1" w:rsidR="00595122" w:rsidRPr="00A15BBB" w:rsidRDefault="00595122" w:rsidP="00582759">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Corte IDH. </w:t>
      </w:r>
      <w:r w:rsidRPr="00C34339">
        <w:rPr>
          <w:rFonts w:asciiTheme="majorHAnsi" w:hAnsiTheme="majorHAnsi"/>
          <w:i/>
          <w:sz w:val="16"/>
          <w:szCs w:val="16"/>
          <w:lang w:val="es-US"/>
        </w:rPr>
        <w:t>Caso Montero Aranguren y otros (Retén de Catia) Vs. Venezuela</w:t>
      </w:r>
      <w:r w:rsidRPr="00A15BBB">
        <w:rPr>
          <w:rFonts w:asciiTheme="majorHAnsi" w:hAnsiTheme="majorHAnsi"/>
          <w:sz w:val="16"/>
          <w:szCs w:val="16"/>
          <w:lang w:val="es-US"/>
        </w:rPr>
        <w:t>. Sentencia de 5 de julio de 2006, párr. 144.</w:t>
      </w:r>
    </w:p>
  </w:footnote>
  <w:footnote w:id="125">
    <w:p w14:paraId="6C09CFED" w14:textId="085CE987" w:rsidR="00595122" w:rsidRPr="00A15BBB" w:rsidRDefault="00595122" w:rsidP="00461FE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it-IT"/>
        </w:rPr>
        <w:t>Véase</w:t>
      </w:r>
      <w:r w:rsidRPr="00A15BBB">
        <w:rPr>
          <w:rFonts w:asciiTheme="majorHAnsi" w:hAnsiTheme="majorHAnsi"/>
          <w:sz w:val="16"/>
          <w:szCs w:val="16"/>
          <w:lang w:val="it-IT"/>
        </w:rPr>
        <w:t xml:space="preserve"> Corte IDH. </w:t>
      </w:r>
      <w:r w:rsidRPr="00C34339">
        <w:rPr>
          <w:rFonts w:asciiTheme="majorHAnsi" w:hAnsiTheme="majorHAnsi"/>
          <w:i/>
          <w:sz w:val="16"/>
          <w:szCs w:val="16"/>
          <w:lang w:val="es-US"/>
        </w:rPr>
        <w:t>Caso Neira Alegría y otros Vs. Perú</w:t>
      </w:r>
      <w:r w:rsidRPr="00A15BBB">
        <w:rPr>
          <w:rFonts w:asciiTheme="majorHAnsi" w:hAnsiTheme="majorHAnsi"/>
          <w:sz w:val="16"/>
          <w:szCs w:val="16"/>
          <w:lang w:val="es-US"/>
        </w:rPr>
        <w:t xml:space="preserve">. Fondo. Sentencia de 19 de enero de 1995, párr. 60; </w:t>
      </w:r>
      <w:r w:rsidRPr="00C34339">
        <w:rPr>
          <w:rFonts w:asciiTheme="majorHAnsi" w:hAnsiTheme="majorHAnsi"/>
          <w:i/>
          <w:sz w:val="16"/>
          <w:szCs w:val="16"/>
          <w:lang w:val="es-US"/>
        </w:rPr>
        <w:t>Caso Díaz Peña Vs. Venezuela</w:t>
      </w:r>
      <w:r w:rsidRPr="00A15BBB">
        <w:rPr>
          <w:rFonts w:asciiTheme="majorHAnsi" w:hAnsiTheme="majorHAnsi"/>
          <w:sz w:val="16"/>
          <w:szCs w:val="16"/>
          <w:lang w:val="es-US"/>
        </w:rPr>
        <w:t>. Sentencia de 26 de junio de 2012, Párr. 135.</w:t>
      </w:r>
    </w:p>
  </w:footnote>
  <w:footnote w:id="126">
    <w:p w14:paraId="153C2D90" w14:textId="6A95EAD2" w:rsidR="00595122" w:rsidRPr="00A15BBB" w:rsidRDefault="00595122" w:rsidP="00AC6EE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ES_tradnl"/>
        </w:rPr>
        <w:t xml:space="preserve"> </w:t>
      </w:r>
      <w:r w:rsidRPr="00A15BBB">
        <w:rPr>
          <w:rFonts w:asciiTheme="majorHAnsi" w:hAnsiTheme="majorHAnsi"/>
          <w:i/>
          <w:sz w:val="16"/>
          <w:szCs w:val="16"/>
          <w:lang w:val="es-ES_tradnl"/>
        </w:rPr>
        <w:t>Véase</w:t>
      </w:r>
      <w:r w:rsidRPr="00A15BBB">
        <w:rPr>
          <w:rFonts w:asciiTheme="majorHAnsi" w:hAnsiTheme="majorHAnsi"/>
          <w:sz w:val="16"/>
          <w:szCs w:val="16"/>
          <w:lang w:val="es-ES_tradnl"/>
        </w:rPr>
        <w:t xml:space="preserve">, por ejemplo, </w:t>
      </w:r>
      <w:r w:rsidRPr="00A15BBB">
        <w:rPr>
          <w:rFonts w:asciiTheme="majorHAnsi" w:hAnsiTheme="majorHAnsi"/>
          <w:sz w:val="16"/>
          <w:szCs w:val="16"/>
          <w:lang w:val="es-US"/>
        </w:rPr>
        <w:t xml:space="preserve">Corte IDH. </w:t>
      </w:r>
      <w:r w:rsidRPr="00C34339">
        <w:rPr>
          <w:rFonts w:asciiTheme="majorHAnsi" w:hAnsiTheme="majorHAnsi"/>
          <w:i/>
          <w:sz w:val="16"/>
          <w:szCs w:val="16"/>
          <w:lang w:val="es-US"/>
        </w:rPr>
        <w:t>Asunto de Determinados Centros Penitenciarios de Venezuela. Centro Penitenciario de la Región Centro Occidental (Cárcel de Uribana) respecto de Venezuela</w:t>
      </w:r>
      <w:r w:rsidRPr="00A15BBB">
        <w:rPr>
          <w:rFonts w:asciiTheme="majorHAnsi" w:hAnsiTheme="majorHAnsi"/>
          <w:sz w:val="16"/>
          <w:szCs w:val="16"/>
          <w:lang w:val="es-US"/>
        </w:rPr>
        <w:t>. Resolución de la Corte IDH del 13 de febrero de 2013. Considerando 7.</w:t>
      </w:r>
    </w:p>
  </w:footnote>
  <w:footnote w:id="127">
    <w:p w14:paraId="2A4F2370" w14:textId="3C0FCF25" w:rsidR="00595122" w:rsidRPr="00A15BBB" w:rsidRDefault="00595122" w:rsidP="00AC6EE2">
      <w:pPr>
        <w:tabs>
          <w:tab w:val="left" w:pos="720"/>
          <w:tab w:val="left" w:pos="1440"/>
        </w:tabs>
        <w:jc w:val="both"/>
        <w:rPr>
          <w:rFonts w:asciiTheme="majorHAnsi" w:hAnsiTheme="majorHAnsi"/>
          <w:sz w:val="16"/>
          <w:szCs w:val="16"/>
          <w:lang w:val="pt-BR"/>
        </w:rPr>
      </w:pPr>
      <w:r w:rsidRPr="00A15BBB">
        <w:rPr>
          <w:rStyle w:val="FootnoteReference"/>
          <w:rFonts w:asciiTheme="majorHAnsi" w:hAnsiTheme="majorHAnsi"/>
          <w:sz w:val="16"/>
          <w:szCs w:val="16"/>
        </w:rPr>
        <w:footnoteRef/>
      </w:r>
      <w:r w:rsidRPr="00A15BBB">
        <w:rPr>
          <w:rFonts w:asciiTheme="majorHAnsi" w:hAnsiTheme="majorHAnsi"/>
          <w:sz w:val="16"/>
          <w:szCs w:val="16"/>
          <w:lang w:val="pt-BR"/>
        </w:rPr>
        <w:t xml:space="preserve"> Ídem.</w:t>
      </w:r>
    </w:p>
  </w:footnote>
  <w:footnote w:id="128">
    <w:p w14:paraId="5C109786" w14:textId="28D69B15" w:rsidR="00595122" w:rsidRPr="00A15BBB" w:rsidRDefault="00595122" w:rsidP="00AC6EE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965261">
        <w:rPr>
          <w:rFonts w:asciiTheme="majorHAnsi" w:hAnsiTheme="majorHAnsi"/>
          <w:sz w:val="16"/>
          <w:szCs w:val="16"/>
          <w:lang w:val="pt-BR"/>
        </w:rPr>
        <w:t xml:space="preserve"> </w:t>
      </w:r>
      <w:r w:rsidRPr="00A15BBB">
        <w:rPr>
          <w:rFonts w:asciiTheme="majorHAnsi" w:hAnsiTheme="majorHAnsi"/>
          <w:sz w:val="16"/>
          <w:szCs w:val="16"/>
          <w:lang w:val="pt-BR"/>
        </w:rPr>
        <w:t xml:space="preserve">Corte IDH. </w:t>
      </w:r>
      <w:r w:rsidRPr="00C34339">
        <w:rPr>
          <w:rFonts w:asciiTheme="majorHAnsi" w:hAnsiTheme="majorHAnsi"/>
          <w:i/>
          <w:sz w:val="16"/>
          <w:szCs w:val="16"/>
          <w:lang w:val="pt-BR"/>
        </w:rPr>
        <w:t>Caso Mendoza vs. Argentina</w:t>
      </w:r>
      <w:r w:rsidRPr="00A15BBB">
        <w:rPr>
          <w:rFonts w:asciiTheme="majorHAnsi" w:hAnsiTheme="majorHAnsi"/>
          <w:sz w:val="16"/>
          <w:szCs w:val="16"/>
          <w:lang w:val="pt-BR"/>
        </w:rPr>
        <w:t xml:space="preserve">. </w:t>
      </w:r>
      <w:r w:rsidRPr="00A15BBB">
        <w:rPr>
          <w:rFonts w:asciiTheme="majorHAnsi" w:hAnsiTheme="majorHAnsi"/>
          <w:sz w:val="16"/>
          <w:szCs w:val="16"/>
          <w:lang w:val="es-US"/>
        </w:rPr>
        <w:t xml:space="preserve">Sentencia de 14 de mayo de 2013, párr. 203 (citando cfr. </w:t>
      </w:r>
      <w:r w:rsidRPr="00C34339">
        <w:rPr>
          <w:rFonts w:asciiTheme="majorHAnsi" w:hAnsiTheme="majorHAnsi"/>
          <w:i/>
          <w:sz w:val="16"/>
          <w:szCs w:val="16"/>
          <w:lang w:val="es-US"/>
        </w:rPr>
        <w:t>Caso Juan Humberto Sánchez Vs. Honduras</w:t>
      </w:r>
      <w:r w:rsidRPr="00A15BBB">
        <w:rPr>
          <w:rFonts w:asciiTheme="majorHAnsi" w:hAnsiTheme="majorHAnsi"/>
          <w:sz w:val="16"/>
          <w:szCs w:val="16"/>
          <w:lang w:val="es-US"/>
        </w:rPr>
        <w:t xml:space="preserve">. Sentencia de 7 de junio de 2003, párr. 100, y </w:t>
      </w:r>
      <w:r w:rsidRPr="00C34339">
        <w:rPr>
          <w:rFonts w:asciiTheme="majorHAnsi" w:hAnsiTheme="majorHAnsi"/>
          <w:i/>
          <w:sz w:val="16"/>
          <w:szCs w:val="16"/>
          <w:lang w:val="es-US"/>
        </w:rPr>
        <w:t>Caso Fleury y otros Vs. Haití</w:t>
      </w:r>
      <w:r w:rsidRPr="00A15BBB">
        <w:rPr>
          <w:rFonts w:asciiTheme="majorHAnsi" w:hAnsiTheme="majorHAnsi"/>
          <w:sz w:val="16"/>
          <w:szCs w:val="16"/>
          <w:lang w:val="es-US"/>
        </w:rPr>
        <w:t>. Sentencia de 23 de noviembre de 2011, párr. 77).</w:t>
      </w:r>
    </w:p>
  </w:footnote>
  <w:footnote w:id="129">
    <w:p w14:paraId="0391CBEC" w14:textId="326847AD" w:rsidR="00595122" w:rsidRPr="00A15BBB" w:rsidRDefault="00595122" w:rsidP="00AC6EE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Ídem, párr. 203 (cita omitida).</w:t>
      </w:r>
    </w:p>
  </w:footnote>
  <w:footnote w:id="130">
    <w:p w14:paraId="0B48C0DA" w14:textId="4D06C4B0" w:rsidR="00595122" w:rsidRPr="00A15BBB" w:rsidRDefault="00595122" w:rsidP="00AC6EE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FD7DBD">
        <w:rPr>
          <w:rFonts w:asciiTheme="majorHAnsi" w:hAnsiTheme="majorHAnsi"/>
          <w:sz w:val="16"/>
          <w:szCs w:val="16"/>
          <w:lang w:val="es-US"/>
        </w:rPr>
        <w:t xml:space="preserve"> Corte IDH. </w:t>
      </w:r>
      <w:r w:rsidRPr="00C34339">
        <w:rPr>
          <w:rFonts w:asciiTheme="majorHAnsi" w:hAnsiTheme="majorHAnsi"/>
          <w:i/>
          <w:sz w:val="16"/>
          <w:szCs w:val="16"/>
          <w:lang w:val="es-US"/>
        </w:rPr>
        <w:t>Caso Mendoza vs. Argentina</w:t>
      </w:r>
      <w:r w:rsidRPr="00FD7DBD">
        <w:rPr>
          <w:rFonts w:asciiTheme="majorHAnsi" w:hAnsiTheme="majorHAnsi"/>
          <w:sz w:val="16"/>
          <w:szCs w:val="16"/>
          <w:lang w:val="es-US"/>
        </w:rPr>
        <w:t xml:space="preserve">. </w:t>
      </w:r>
      <w:r w:rsidRPr="00A15BBB">
        <w:rPr>
          <w:rFonts w:asciiTheme="majorHAnsi" w:hAnsiTheme="majorHAnsi"/>
          <w:sz w:val="16"/>
          <w:szCs w:val="16"/>
          <w:lang w:val="es-US"/>
        </w:rPr>
        <w:t xml:space="preserve">Sentencia de 14 de mayo de 2013, párr. 203 (citando cfr. </w:t>
      </w:r>
      <w:r w:rsidRPr="00C34339">
        <w:rPr>
          <w:rFonts w:asciiTheme="majorHAnsi" w:hAnsiTheme="majorHAnsi"/>
          <w:i/>
          <w:sz w:val="16"/>
          <w:szCs w:val="16"/>
          <w:lang w:val="es-US"/>
        </w:rPr>
        <w:t>Caso de los “Niños de la Calle” (Villagrán Morales y otros) Vs. Guatemala</w:t>
      </w:r>
      <w:r w:rsidRPr="00A15BBB">
        <w:rPr>
          <w:rFonts w:asciiTheme="majorHAnsi" w:hAnsiTheme="majorHAnsi"/>
          <w:sz w:val="16"/>
          <w:szCs w:val="16"/>
          <w:lang w:val="es-US"/>
        </w:rPr>
        <w:t xml:space="preserve">. Fondo, párrs. 95 y. 170, y </w:t>
      </w:r>
      <w:r w:rsidRPr="00C34339">
        <w:rPr>
          <w:rFonts w:asciiTheme="majorHAnsi" w:hAnsiTheme="majorHAnsi"/>
          <w:i/>
          <w:sz w:val="16"/>
          <w:szCs w:val="16"/>
          <w:lang w:val="es-US"/>
        </w:rPr>
        <w:t>Caso Fleury y otros Vs. Haití</w:t>
      </w:r>
      <w:r w:rsidRPr="00A15BBB">
        <w:rPr>
          <w:rFonts w:asciiTheme="majorHAnsi" w:hAnsiTheme="majorHAnsi"/>
          <w:sz w:val="16"/>
          <w:szCs w:val="16"/>
          <w:lang w:val="es-US"/>
        </w:rPr>
        <w:t>. Fondo y Reparaciones, párr. 77).</w:t>
      </w:r>
    </w:p>
  </w:footnote>
  <w:footnote w:id="131">
    <w:p w14:paraId="342B2793" w14:textId="77777777" w:rsidR="00595122" w:rsidRPr="00A15BBB" w:rsidRDefault="00595122" w:rsidP="000206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461FE2">
        <w:rPr>
          <w:rFonts w:asciiTheme="majorHAnsi" w:hAnsiTheme="majorHAnsi"/>
          <w:sz w:val="16"/>
          <w:szCs w:val="16"/>
          <w:lang w:val="es-US"/>
        </w:rPr>
        <w:t xml:space="preserve"> Corte IDH. </w:t>
      </w:r>
      <w:r w:rsidRPr="00C34339">
        <w:rPr>
          <w:rFonts w:asciiTheme="majorHAnsi" w:hAnsiTheme="majorHAnsi"/>
          <w:i/>
          <w:sz w:val="16"/>
          <w:szCs w:val="16"/>
          <w:lang w:val="es-US"/>
        </w:rPr>
        <w:t>Caso del Penal Miguel Castro Castro Vs. Perú</w:t>
      </w:r>
      <w:r w:rsidRPr="00A15BBB">
        <w:rPr>
          <w:rFonts w:asciiTheme="majorHAnsi" w:hAnsiTheme="majorHAnsi"/>
          <w:sz w:val="16"/>
          <w:szCs w:val="16"/>
          <w:lang w:val="es-US"/>
        </w:rPr>
        <w:t>. Sentencia de 25 de noviembre de 2006, párr. 238.</w:t>
      </w:r>
    </w:p>
  </w:footnote>
  <w:footnote w:id="132">
    <w:p w14:paraId="7699F336" w14:textId="77777777" w:rsidR="00595122" w:rsidRPr="00A15BBB" w:rsidRDefault="00595122" w:rsidP="000206A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Ídem. Párr. 239. </w:t>
      </w:r>
      <w:r w:rsidRPr="00A15BBB">
        <w:rPr>
          <w:rFonts w:asciiTheme="majorHAnsi" w:hAnsiTheme="majorHAnsi"/>
          <w:i/>
          <w:sz w:val="16"/>
          <w:szCs w:val="16"/>
          <w:lang w:val="es-US"/>
        </w:rPr>
        <w:t>Véase también</w:t>
      </w:r>
      <w:r w:rsidRPr="00A15BBB">
        <w:rPr>
          <w:rFonts w:asciiTheme="majorHAnsi" w:hAnsiTheme="majorHAnsi"/>
          <w:sz w:val="16"/>
          <w:szCs w:val="16"/>
          <w:lang w:val="es-US"/>
        </w:rPr>
        <w:t xml:space="preserve"> ONU. </w:t>
      </w:r>
      <w:r w:rsidRPr="00A15BBB">
        <w:rPr>
          <w:rFonts w:asciiTheme="majorHAnsi" w:hAnsiTheme="majorHAnsi"/>
          <w:i/>
          <w:sz w:val="16"/>
          <w:szCs w:val="16"/>
          <w:lang w:val="es-US"/>
        </w:rPr>
        <w:t>Principios Básicos sobre el Empleo de la Fuerza y de Armas de Fuego por los Funcionarios Encargados de Hacer Cumplir la Ley</w:t>
      </w:r>
      <w:r w:rsidRPr="00A15BBB">
        <w:rPr>
          <w:rFonts w:asciiTheme="majorHAnsi" w:hAnsiTheme="majorHAnsi"/>
          <w:sz w:val="16"/>
          <w:szCs w:val="16"/>
          <w:lang w:val="es-US"/>
        </w:rPr>
        <w:t xml:space="preserve">. </w:t>
      </w:r>
    </w:p>
  </w:footnote>
  <w:footnote w:id="133">
    <w:p w14:paraId="0B146365" w14:textId="77777777" w:rsidR="00595122" w:rsidRPr="00A15BBB" w:rsidRDefault="00595122" w:rsidP="000206A0">
      <w:pPr>
        <w:pStyle w:val="FootnoteText"/>
        <w:jc w:val="both"/>
        <w:rPr>
          <w:rFonts w:asciiTheme="majorHAnsi" w:hAnsiTheme="majorHAnsi"/>
          <w:sz w:val="16"/>
          <w:szCs w:val="16"/>
          <w:lang w:val="pt-BR"/>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Corte IDH. </w:t>
      </w:r>
      <w:r w:rsidRPr="00C34339">
        <w:rPr>
          <w:rFonts w:asciiTheme="majorHAnsi" w:hAnsiTheme="majorHAnsi"/>
          <w:i/>
          <w:sz w:val="16"/>
          <w:szCs w:val="16"/>
          <w:lang w:val="es-US"/>
        </w:rPr>
        <w:t xml:space="preserve">Caso Fleury y otros Vs. </w:t>
      </w:r>
      <w:r w:rsidRPr="00C34339">
        <w:rPr>
          <w:rFonts w:asciiTheme="majorHAnsi" w:hAnsiTheme="majorHAnsi"/>
          <w:i/>
          <w:sz w:val="16"/>
          <w:szCs w:val="16"/>
          <w:lang w:val="pt-BR"/>
        </w:rPr>
        <w:t>Haití</w:t>
      </w:r>
      <w:r w:rsidRPr="00A15BBB">
        <w:rPr>
          <w:rFonts w:asciiTheme="majorHAnsi" w:hAnsiTheme="majorHAnsi"/>
          <w:sz w:val="16"/>
          <w:szCs w:val="16"/>
          <w:lang w:val="pt-BR"/>
        </w:rPr>
        <w:t>. Sentencia de 23 de noviembre de 2011, párr. 74.</w:t>
      </w:r>
    </w:p>
  </w:footnote>
  <w:footnote w:id="134">
    <w:p w14:paraId="2835C813" w14:textId="77777777" w:rsidR="00595122" w:rsidRPr="00A15BBB" w:rsidRDefault="00595122" w:rsidP="000206A0">
      <w:pPr>
        <w:pStyle w:val="FootnoteText"/>
        <w:jc w:val="both"/>
        <w:rPr>
          <w:rFonts w:asciiTheme="majorHAnsi" w:hAnsiTheme="majorHAnsi"/>
          <w:sz w:val="16"/>
          <w:szCs w:val="16"/>
          <w:lang w:val="pt-BR"/>
        </w:rPr>
      </w:pPr>
      <w:r w:rsidRPr="00A15BBB">
        <w:rPr>
          <w:rStyle w:val="FootnoteReference"/>
          <w:rFonts w:asciiTheme="majorHAnsi" w:hAnsiTheme="majorHAnsi"/>
          <w:sz w:val="16"/>
          <w:szCs w:val="16"/>
        </w:rPr>
        <w:footnoteRef/>
      </w:r>
      <w:r w:rsidRPr="00A15BBB">
        <w:rPr>
          <w:rFonts w:asciiTheme="majorHAnsi" w:hAnsiTheme="majorHAnsi"/>
          <w:sz w:val="16"/>
          <w:szCs w:val="16"/>
          <w:lang w:val="pt-BR"/>
        </w:rPr>
        <w:t xml:space="preserve"> Ídem.</w:t>
      </w:r>
    </w:p>
  </w:footnote>
  <w:footnote w:id="135">
    <w:p w14:paraId="32494517" w14:textId="77777777" w:rsidR="00595122" w:rsidRPr="00A15BBB" w:rsidRDefault="00595122" w:rsidP="000206A0">
      <w:pPr>
        <w:pStyle w:val="FootnoteText"/>
        <w:jc w:val="both"/>
        <w:rPr>
          <w:rFonts w:asciiTheme="majorHAnsi" w:hAnsiTheme="majorHAnsi"/>
          <w:sz w:val="16"/>
          <w:szCs w:val="16"/>
          <w:lang w:val="pt-BR"/>
        </w:rPr>
      </w:pPr>
      <w:r w:rsidRPr="00A15BBB">
        <w:rPr>
          <w:rStyle w:val="FootnoteReference"/>
          <w:rFonts w:asciiTheme="majorHAnsi" w:hAnsiTheme="majorHAnsi"/>
          <w:sz w:val="16"/>
          <w:szCs w:val="16"/>
        </w:rPr>
        <w:footnoteRef/>
      </w:r>
      <w:r w:rsidRPr="00A15BBB">
        <w:rPr>
          <w:rFonts w:asciiTheme="majorHAnsi" w:hAnsiTheme="majorHAnsi"/>
          <w:sz w:val="16"/>
          <w:szCs w:val="16"/>
          <w:lang w:val="pt-BR"/>
        </w:rPr>
        <w:t xml:space="preserve"> Corte IDH. </w:t>
      </w:r>
      <w:r w:rsidRPr="00C34339">
        <w:rPr>
          <w:rFonts w:asciiTheme="majorHAnsi" w:hAnsiTheme="majorHAnsi"/>
          <w:i/>
          <w:sz w:val="16"/>
          <w:szCs w:val="16"/>
          <w:lang w:val="pt-BR"/>
        </w:rPr>
        <w:t>Caso del Penal Miguel Castro Castro Vs. Perú</w:t>
      </w:r>
      <w:r w:rsidRPr="00A15BBB">
        <w:rPr>
          <w:rFonts w:asciiTheme="majorHAnsi" w:hAnsiTheme="majorHAnsi"/>
          <w:sz w:val="16"/>
          <w:szCs w:val="16"/>
          <w:lang w:val="pt-BR"/>
        </w:rPr>
        <w:t>. Sentencia de 25 de noviembre de 2006, párr. 240.</w:t>
      </w:r>
    </w:p>
  </w:footnote>
  <w:footnote w:id="136">
    <w:p w14:paraId="3FEC4212" w14:textId="77777777" w:rsidR="00595122" w:rsidRPr="00A15BBB" w:rsidRDefault="00595122" w:rsidP="000206A0">
      <w:pPr>
        <w:pStyle w:val="FootnoteText"/>
        <w:jc w:val="both"/>
        <w:rPr>
          <w:rFonts w:asciiTheme="majorHAnsi" w:hAnsiTheme="majorHAnsi" w:cstheme="minorHAnsi"/>
          <w:sz w:val="16"/>
          <w:szCs w:val="16"/>
          <w:lang w:val="es-US"/>
        </w:rPr>
      </w:pPr>
      <w:r w:rsidRPr="00A15BBB">
        <w:rPr>
          <w:rStyle w:val="FootnoteReference"/>
          <w:rFonts w:asciiTheme="majorHAnsi" w:hAnsiTheme="majorHAnsi" w:cstheme="minorHAnsi"/>
          <w:sz w:val="16"/>
          <w:szCs w:val="16"/>
        </w:rPr>
        <w:footnoteRef/>
      </w:r>
      <w:r w:rsidRPr="00A15BBB">
        <w:rPr>
          <w:rFonts w:asciiTheme="majorHAnsi" w:hAnsiTheme="majorHAnsi" w:cstheme="minorHAnsi"/>
          <w:sz w:val="16"/>
          <w:szCs w:val="16"/>
          <w:lang w:val="pt-BR"/>
        </w:rPr>
        <w:t xml:space="preserve"> </w:t>
      </w:r>
      <w:r w:rsidRPr="00A15BBB">
        <w:rPr>
          <w:rFonts w:asciiTheme="majorHAnsi" w:hAnsiTheme="majorHAnsi" w:cstheme="minorHAnsi"/>
          <w:i/>
          <w:sz w:val="16"/>
          <w:szCs w:val="16"/>
          <w:lang w:val="pt-BR"/>
        </w:rPr>
        <w:t>Véase</w:t>
      </w:r>
      <w:r w:rsidRPr="00A15BBB">
        <w:rPr>
          <w:rFonts w:asciiTheme="majorHAnsi" w:hAnsiTheme="majorHAnsi" w:cstheme="minorHAnsi"/>
          <w:sz w:val="16"/>
          <w:szCs w:val="16"/>
          <w:lang w:val="pt-BR"/>
        </w:rPr>
        <w:t xml:space="preserve"> en este sentido, ídem, párrs. </w:t>
      </w:r>
      <w:r w:rsidRPr="00A15BBB">
        <w:rPr>
          <w:rFonts w:asciiTheme="majorHAnsi" w:hAnsiTheme="majorHAnsi" w:cstheme="minorHAnsi"/>
          <w:sz w:val="16"/>
          <w:szCs w:val="16"/>
          <w:lang w:val="es-US"/>
        </w:rPr>
        <w:t>234-252.</w:t>
      </w:r>
    </w:p>
  </w:footnote>
  <w:footnote w:id="137">
    <w:p w14:paraId="1337FDC9" w14:textId="2E268DFD" w:rsidR="00595122" w:rsidRPr="00A15BBB" w:rsidRDefault="00595122" w:rsidP="005D7ACB">
      <w:pPr>
        <w:shd w:val="clear" w:color="auto" w:fill="FFFFFF"/>
        <w:tabs>
          <w:tab w:val="num" w:pos="720"/>
          <w:tab w:val="left" w:pos="1440"/>
          <w:tab w:val="num" w:pos="2040"/>
        </w:tabs>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VE"/>
        </w:rPr>
        <w:t xml:space="preserve"> Art. 8.1 establece: </w:t>
      </w:r>
      <w:r w:rsidRPr="00A15BBB">
        <w:rPr>
          <w:rFonts w:asciiTheme="majorHAnsi" w:hAnsiTheme="majorHAnsi"/>
          <w:sz w:val="16"/>
          <w:szCs w:val="16"/>
          <w:lang w:val="es-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38">
    <w:p w14:paraId="660FD4E5" w14:textId="2DE74DA6" w:rsidR="00595122" w:rsidRPr="00A15BBB" w:rsidRDefault="00595122" w:rsidP="005D7ACB">
      <w:pPr>
        <w:shd w:val="clear" w:color="auto" w:fill="FFFFFF"/>
        <w:tabs>
          <w:tab w:val="num" w:pos="720"/>
          <w:tab w:val="left" w:pos="1440"/>
          <w:tab w:val="num" w:pos="2040"/>
        </w:tabs>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VE"/>
        </w:rPr>
        <w:t xml:space="preserve"> Art. 25 establece, en lo pertinente: </w:t>
      </w:r>
      <w:r w:rsidRPr="00A15BBB">
        <w:rPr>
          <w:rFonts w:asciiTheme="majorHAnsi" w:hAnsiTheme="majorHAnsi"/>
          <w:sz w:val="16"/>
          <w:szCs w:val="16"/>
          <w:lang w:val="es-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39">
    <w:p w14:paraId="0DC1F164" w14:textId="415D52FF" w:rsidR="00595122" w:rsidRPr="00A15BBB" w:rsidRDefault="00595122" w:rsidP="005D7ACB">
      <w:pPr>
        <w:tabs>
          <w:tab w:val="left" w:pos="360"/>
          <w:tab w:val="left" w:pos="900"/>
          <w:tab w:val="left" w:pos="1080"/>
        </w:tabs>
        <w:jc w:val="both"/>
        <w:rPr>
          <w:rFonts w:asciiTheme="majorHAnsi" w:eastAsia="Cambria" w:hAnsiTheme="majorHAnsi" w:cs="Cambria"/>
          <w:sz w:val="16"/>
          <w:szCs w:val="16"/>
          <w:lang w:val="es-MX"/>
        </w:rPr>
      </w:pPr>
      <w:r w:rsidRPr="00A15BBB">
        <w:rPr>
          <w:rFonts w:asciiTheme="majorHAnsi" w:hAnsiTheme="majorHAnsi"/>
          <w:sz w:val="16"/>
          <w:szCs w:val="16"/>
          <w:vertAlign w:val="superscript"/>
        </w:rPr>
        <w:footnoteRef/>
      </w:r>
      <w:r w:rsidRPr="00A15BBB">
        <w:rPr>
          <w:rFonts w:asciiTheme="majorHAnsi" w:eastAsia="Cambria" w:hAnsiTheme="majorHAnsi" w:cs="Cambria"/>
          <w:sz w:val="16"/>
          <w:szCs w:val="16"/>
          <w:lang w:val="es-MX"/>
        </w:rPr>
        <w:t xml:space="preserve"> Corte IDH. </w:t>
      </w:r>
      <w:r w:rsidRPr="00C34339">
        <w:rPr>
          <w:rFonts w:asciiTheme="majorHAnsi" w:eastAsia="Cambria" w:hAnsiTheme="majorHAnsi" w:cs="Cambria"/>
          <w:i/>
          <w:sz w:val="16"/>
          <w:szCs w:val="16"/>
          <w:lang w:val="es-MX"/>
        </w:rPr>
        <w:t xml:space="preserve">Caso Cantoral </w:t>
      </w:r>
      <w:proofErr w:type="spellStart"/>
      <w:r w:rsidRPr="00C34339">
        <w:rPr>
          <w:rFonts w:asciiTheme="majorHAnsi" w:eastAsia="Cambria" w:hAnsiTheme="majorHAnsi" w:cs="Cambria"/>
          <w:i/>
          <w:sz w:val="16"/>
          <w:szCs w:val="16"/>
          <w:lang w:val="es-MX"/>
        </w:rPr>
        <w:t>Huamaní</w:t>
      </w:r>
      <w:proofErr w:type="spellEnd"/>
      <w:r w:rsidRPr="00C34339">
        <w:rPr>
          <w:rFonts w:asciiTheme="majorHAnsi" w:eastAsia="Cambria" w:hAnsiTheme="majorHAnsi" w:cs="Cambria"/>
          <w:i/>
          <w:sz w:val="16"/>
          <w:szCs w:val="16"/>
          <w:lang w:val="es-MX"/>
        </w:rPr>
        <w:t xml:space="preserve"> y García Santa Cruz</w:t>
      </w:r>
      <w:r w:rsidRPr="00A15BBB">
        <w:rPr>
          <w:rFonts w:asciiTheme="majorHAnsi" w:eastAsia="Cambria" w:hAnsiTheme="majorHAnsi" w:cs="Cambria"/>
          <w:sz w:val="16"/>
          <w:szCs w:val="16"/>
          <w:lang w:val="es-MX"/>
        </w:rPr>
        <w:t xml:space="preserve">. Sentencia de 10 de julio de 2007, párr. 124; </w:t>
      </w:r>
      <w:r w:rsidRPr="00C34339">
        <w:rPr>
          <w:rFonts w:asciiTheme="majorHAnsi" w:eastAsia="Cambria" w:hAnsiTheme="majorHAnsi" w:cs="Cambria"/>
          <w:i/>
          <w:sz w:val="16"/>
          <w:szCs w:val="16"/>
          <w:lang w:val="es-MX"/>
        </w:rPr>
        <w:t>Caso de la Masacre de la Rochela</w:t>
      </w:r>
      <w:r w:rsidRPr="00A15BBB">
        <w:rPr>
          <w:rFonts w:asciiTheme="majorHAnsi" w:eastAsia="Cambria" w:hAnsiTheme="majorHAnsi" w:cs="Cambria"/>
          <w:sz w:val="16"/>
          <w:szCs w:val="16"/>
          <w:lang w:val="es-MX"/>
        </w:rPr>
        <w:t xml:space="preserve">.  Sentencia de 11 de mayo de 2007, párr. 145; </w:t>
      </w:r>
      <w:r w:rsidRPr="00C34339">
        <w:rPr>
          <w:rFonts w:asciiTheme="majorHAnsi" w:eastAsia="Cambria" w:hAnsiTheme="majorHAnsi" w:cs="Cambria"/>
          <w:i/>
          <w:sz w:val="16"/>
          <w:szCs w:val="16"/>
          <w:lang w:val="es-MX"/>
        </w:rPr>
        <w:t xml:space="preserve">Caso del Penal Miguel Castro </w:t>
      </w:r>
      <w:proofErr w:type="spellStart"/>
      <w:r w:rsidRPr="00C34339">
        <w:rPr>
          <w:rFonts w:asciiTheme="majorHAnsi" w:eastAsia="Cambria" w:hAnsiTheme="majorHAnsi" w:cs="Cambria"/>
          <w:i/>
          <w:sz w:val="16"/>
          <w:szCs w:val="16"/>
          <w:lang w:val="es-MX"/>
        </w:rPr>
        <w:t>Castro</w:t>
      </w:r>
      <w:proofErr w:type="spellEnd"/>
      <w:r w:rsidRPr="00A15BBB">
        <w:rPr>
          <w:rFonts w:asciiTheme="majorHAnsi" w:eastAsia="Cambria" w:hAnsiTheme="majorHAnsi" w:cs="Cambria"/>
          <w:sz w:val="16"/>
          <w:szCs w:val="16"/>
          <w:lang w:val="es-MX"/>
        </w:rPr>
        <w:t xml:space="preserve">. Sentencia de 25 de noviembre de 2006, párr. 381; y </w:t>
      </w:r>
      <w:r w:rsidRPr="00C34339">
        <w:rPr>
          <w:rFonts w:asciiTheme="majorHAnsi" w:eastAsia="Cambria" w:hAnsiTheme="majorHAnsi" w:cs="Cambria"/>
          <w:i/>
          <w:sz w:val="16"/>
          <w:szCs w:val="16"/>
          <w:lang w:val="es-MX"/>
        </w:rPr>
        <w:t>Caso Trabajadores Cesados del Congreso (Aguado Alfaro y otros)</w:t>
      </w:r>
      <w:r w:rsidRPr="00A15BBB">
        <w:rPr>
          <w:rFonts w:asciiTheme="majorHAnsi" w:eastAsia="Cambria" w:hAnsiTheme="majorHAnsi" w:cs="Cambria"/>
          <w:sz w:val="16"/>
          <w:szCs w:val="16"/>
          <w:lang w:val="es-MX"/>
        </w:rPr>
        <w:t>. Sentencia de 24 de noviembre de 2006, párr. 106.</w:t>
      </w:r>
    </w:p>
  </w:footnote>
  <w:footnote w:id="140">
    <w:p w14:paraId="6456475E" w14:textId="37AB2B90" w:rsidR="00595122" w:rsidRPr="00A15BBB" w:rsidRDefault="00595122" w:rsidP="00AC6EE2">
      <w:pPr>
        <w:tabs>
          <w:tab w:val="left" w:pos="360"/>
          <w:tab w:val="left" w:pos="720"/>
          <w:tab w:val="left" w:pos="900"/>
          <w:tab w:val="left" w:pos="1080"/>
        </w:tabs>
        <w:jc w:val="both"/>
        <w:rPr>
          <w:rFonts w:asciiTheme="majorHAnsi" w:eastAsia="Cambria" w:hAnsiTheme="majorHAnsi" w:cs="Cambria"/>
          <w:sz w:val="16"/>
          <w:szCs w:val="16"/>
          <w:lang w:val="es-MX"/>
        </w:rPr>
      </w:pPr>
      <w:r w:rsidRPr="00A15BBB">
        <w:rPr>
          <w:rFonts w:asciiTheme="majorHAnsi" w:hAnsiTheme="majorHAnsi"/>
          <w:sz w:val="16"/>
          <w:szCs w:val="16"/>
          <w:vertAlign w:val="superscript"/>
        </w:rPr>
        <w:footnoteRef/>
      </w:r>
      <w:r w:rsidRPr="00A15BBB">
        <w:rPr>
          <w:rFonts w:asciiTheme="majorHAnsi" w:eastAsia="Cambria" w:hAnsiTheme="majorHAnsi" w:cs="Cambria"/>
          <w:color w:val="000000"/>
          <w:sz w:val="16"/>
          <w:szCs w:val="16"/>
          <w:lang w:val="es-MX"/>
        </w:rPr>
        <w:t xml:space="preserve"> </w:t>
      </w:r>
      <w:r w:rsidRPr="00A15BBB">
        <w:rPr>
          <w:rFonts w:asciiTheme="majorHAnsi" w:eastAsia="Cambria" w:hAnsiTheme="majorHAnsi" w:cs="Cambria"/>
          <w:sz w:val="16"/>
          <w:szCs w:val="16"/>
          <w:lang w:val="es-MX"/>
        </w:rPr>
        <w:t xml:space="preserve">Corte IDH. </w:t>
      </w:r>
      <w:r w:rsidRPr="00A15BBB">
        <w:rPr>
          <w:rFonts w:asciiTheme="majorHAnsi" w:eastAsia="Cambria" w:hAnsiTheme="majorHAnsi" w:cs="Cambria"/>
          <w:color w:val="000000"/>
          <w:sz w:val="16"/>
          <w:szCs w:val="16"/>
          <w:lang w:val="es-MX"/>
        </w:rPr>
        <w:t xml:space="preserve"> </w:t>
      </w:r>
      <w:r w:rsidRPr="00C34339">
        <w:rPr>
          <w:rFonts w:asciiTheme="majorHAnsi" w:eastAsia="Cambria" w:hAnsiTheme="majorHAnsi" w:cs="Cambria"/>
          <w:i/>
          <w:color w:val="000000"/>
          <w:sz w:val="16"/>
          <w:szCs w:val="16"/>
          <w:lang w:val="es-MX"/>
        </w:rPr>
        <w:t xml:space="preserve">Caso Cantoral </w:t>
      </w:r>
      <w:proofErr w:type="spellStart"/>
      <w:r w:rsidRPr="00C34339">
        <w:rPr>
          <w:rFonts w:asciiTheme="majorHAnsi" w:eastAsia="Cambria" w:hAnsiTheme="majorHAnsi" w:cs="Cambria"/>
          <w:i/>
          <w:color w:val="000000"/>
          <w:sz w:val="16"/>
          <w:szCs w:val="16"/>
          <w:lang w:val="es-MX"/>
        </w:rPr>
        <w:t>Huamaní</w:t>
      </w:r>
      <w:proofErr w:type="spellEnd"/>
      <w:r w:rsidRPr="00C34339">
        <w:rPr>
          <w:rFonts w:asciiTheme="majorHAnsi" w:eastAsia="Cambria" w:hAnsiTheme="majorHAnsi" w:cs="Cambria"/>
          <w:i/>
          <w:color w:val="000000"/>
          <w:sz w:val="16"/>
          <w:szCs w:val="16"/>
          <w:lang w:val="es-MX"/>
        </w:rPr>
        <w:t xml:space="preserve"> y García Santa Cruz</w:t>
      </w:r>
      <w:r w:rsidRPr="00A15BBB">
        <w:rPr>
          <w:rFonts w:asciiTheme="majorHAnsi" w:eastAsia="Cambria" w:hAnsiTheme="majorHAnsi" w:cs="Cambria"/>
          <w:color w:val="000000"/>
          <w:sz w:val="16"/>
          <w:szCs w:val="16"/>
          <w:lang w:val="es-MX"/>
        </w:rPr>
        <w:t>. Sentencia de 10 de julio de 2007, párr. 100.</w:t>
      </w:r>
    </w:p>
  </w:footnote>
  <w:footnote w:id="141">
    <w:p w14:paraId="5CFCCA45" w14:textId="19B2FC40" w:rsidR="00595122" w:rsidRPr="00A15BBB" w:rsidRDefault="00595122" w:rsidP="00AC6EE2">
      <w:pPr>
        <w:tabs>
          <w:tab w:val="left" w:pos="360"/>
          <w:tab w:val="left" w:pos="720"/>
          <w:tab w:val="left" w:pos="900"/>
          <w:tab w:val="left" w:pos="1080"/>
        </w:tabs>
        <w:jc w:val="both"/>
        <w:rPr>
          <w:rFonts w:asciiTheme="majorHAnsi" w:eastAsia="Cambria" w:hAnsiTheme="majorHAnsi" w:cs="Cambria"/>
          <w:sz w:val="16"/>
          <w:szCs w:val="16"/>
          <w:lang w:val="es-MX"/>
        </w:rPr>
      </w:pPr>
      <w:r w:rsidRPr="00A15BBB">
        <w:rPr>
          <w:rFonts w:asciiTheme="majorHAnsi" w:hAnsiTheme="majorHAnsi"/>
          <w:sz w:val="16"/>
          <w:szCs w:val="16"/>
          <w:vertAlign w:val="superscript"/>
        </w:rPr>
        <w:footnoteRef/>
      </w:r>
      <w:r w:rsidRPr="00A15BBB">
        <w:rPr>
          <w:rFonts w:asciiTheme="majorHAnsi" w:eastAsia="Cambria" w:hAnsiTheme="majorHAnsi" w:cs="Cambria"/>
          <w:sz w:val="16"/>
          <w:szCs w:val="16"/>
          <w:lang w:val="es-MX"/>
        </w:rPr>
        <w:t xml:space="preserve"> Corte IDH. </w:t>
      </w:r>
      <w:r w:rsidRPr="00C34339">
        <w:rPr>
          <w:rFonts w:asciiTheme="majorHAnsi" w:eastAsia="Cambria" w:hAnsiTheme="majorHAnsi" w:cs="Cambria"/>
          <w:i/>
          <w:sz w:val="16"/>
          <w:szCs w:val="16"/>
          <w:lang w:val="es-MX"/>
        </w:rPr>
        <w:t>Caso García Prieto y otros</w:t>
      </w:r>
      <w:r w:rsidRPr="00A15BBB">
        <w:rPr>
          <w:rFonts w:asciiTheme="majorHAnsi" w:eastAsia="Cambria" w:hAnsiTheme="majorHAnsi" w:cs="Cambria"/>
          <w:sz w:val="16"/>
          <w:szCs w:val="16"/>
          <w:lang w:val="es-MX"/>
        </w:rPr>
        <w:t xml:space="preserve">. Sentencia de 20 de noviembre de 2007, párr. 101; </w:t>
      </w:r>
      <w:r w:rsidRPr="00C34339">
        <w:rPr>
          <w:rFonts w:asciiTheme="majorHAnsi" w:eastAsia="Cambria" w:hAnsiTheme="majorHAnsi" w:cs="Cambria"/>
          <w:i/>
          <w:sz w:val="16"/>
          <w:szCs w:val="16"/>
          <w:lang w:val="es-MX"/>
        </w:rPr>
        <w:t xml:space="preserve">Caso de los Hermanos Gómez </w:t>
      </w:r>
      <w:proofErr w:type="spellStart"/>
      <w:r w:rsidRPr="00C34339">
        <w:rPr>
          <w:rFonts w:asciiTheme="majorHAnsi" w:eastAsia="Cambria" w:hAnsiTheme="majorHAnsi" w:cs="Cambria"/>
          <w:i/>
          <w:sz w:val="16"/>
          <w:szCs w:val="16"/>
          <w:lang w:val="es-MX"/>
        </w:rPr>
        <w:t>Paquiyauri</w:t>
      </w:r>
      <w:proofErr w:type="spellEnd"/>
      <w:r w:rsidRPr="00A15BBB">
        <w:rPr>
          <w:rFonts w:asciiTheme="majorHAnsi" w:eastAsia="Cambria" w:hAnsiTheme="majorHAnsi" w:cs="Cambria"/>
          <w:sz w:val="16"/>
          <w:szCs w:val="16"/>
          <w:lang w:val="es-MX"/>
        </w:rPr>
        <w:t xml:space="preserve">. Sentencia de 8 de julio de 2004, párr. 146; </w:t>
      </w:r>
      <w:r w:rsidRPr="00C34339">
        <w:rPr>
          <w:rFonts w:asciiTheme="majorHAnsi" w:eastAsia="Cambria" w:hAnsiTheme="majorHAnsi" w:cs="Cambria"/>
          <w:i/>
          <w:sz w:val="16"/>
          <w:szCs w:val="16"/>
          <w:lang w:val="es-MX"/>
        </w:rPr>
        <w:t xml:space="preserve">Caso Cantoral </w:t>
      </w:r>
      <w:proofErr w:type="spellStart"/>
      <w:r w:rsidRPr="00C34339">
        <w:rPr>
          <w:rFonts w:asciiTheme="majorHAnsi" w:eastAsia="Cambria" w:hAnsiTheme="majorHAnsi" w:cs="Cambria"/>
          <w:i/>
          <w:sz w:val="16"/>
          <w:szCs w:val="16"/>
          <w:lang w:val="es-MX"/>
        </w:rPr>
        <w:t>Huamaní</w:t>
      </w:r>
      <w:proofErr w:type="spellEnd"/>
      <w:r w:rsidRPr="00C34339">
        <w:rPr>
          <w:rFonts w:asciiTheme="majorHAnsi" w:eastAsia="Cambria" w:hAnsiTheme="majorHAnsi" w:cs="Cambria"/>
          <w:i/>
          <w:sz w:val="16"/>
          <w:szCs w:val="16"/>
          <w:lang w:val="es-MX"/>
        </w:rPr>
        <w:t xml:space="preserve"> y García Santa Cruz</w:t>
      </w:r>
      <w:r w:rsidRPr="00A15BBB">
        <w:rPr>
          <w:rFonts w:asciiTheme="majorHAnsi" w:eastAsia="Cambria" w:hAnsiTheme="majorHAnsi" w:cs="Cambria"/>
          <w:sz w:val="16"/>
          <w:szCs w:val="16"/>
          <w:lang w:val="es-MX"/>
        </w:rPr>
        <w:t xml:space="preserve">, Sentencia de 10 de julio de 2007, párr. 130. </w:t>
      </w:r>
      <w:r w:rsidRPr="00A15BBB">
        <w:rPr>
          <w:rFonts w:asciiTheme="majorHAnsi" w:eastAsia="Cambria" w:hAnsiTheme="majorHAnsi" w:cs="Cambria"/>
          <w:i/>
          <w:sz w:val="16"/>
          <w:szCs w:val="16"/>
          <w:lang w:val="es-MX"/>
        </w:rPr>
        <w:t xml:space="preserve"> </w:t>
      </w:r>
    </w:p>
  </w:footnote>
  <w:footnote w:id="142">
    <w:p w14:paraId="68E8B333" w14:textId="35AFFF04" w:rsidR="00595122" w:rsidRPr="00A15BBB" w:rsidRDefault="00595122" w:rsidP="00AC6EE2">
      <w:pPr>
        <w:tabs>
          <w:tab w:val="left" w:pos="360"/>
          <w:tab w:val="left" w:pos="900"/>
          <w:tab w:val="left" w:pos="1080"/>
        </w:tabs>
        <w:jc w:val="both"/>
        <w:rPr>
          <w:rFonts w:asciiTheme="majorHAnsi" w:eastAsia="Cambria" w:hAnsiTheme="majorHAnsi" w:cs="Cambria"/>
          <w:sz w:val="16"/>
          <w:szCs w:val="16"/>
          <w:lang w:val="es-MX"/>
        </w:rPr>
      </w:pPr>
      <w:r w:rsidRPr="00A15BBB">
        <w:rPr>
          <w:rFonts w:asciiTheme="majorHAnsi" w:hAnsiTheme="majorHAnsi"/>
          <w:sz w:val="16"/>
          <w:szCs w:val="16"/>
          <w:vertAlign w:val="superscript"/>
        </w:rPr>
        <w:footnoteRef/>
      </w:r>
      <w:r w:rsidRPr="00A15BBB">
        <w:rPr>
          <w:rFonts w:asciiTheme="majorHAnsi" w:eastAsia="Cambria" w:hAnsiTheme="majorHAnsi" w:cs="Cambria"/>
          <w:sz w:val="16"/>
          <w:szCs w:val="16"/>
          <w:lang w:val="es-US"/>
        </w:rPr>
        <w:t xml:space="preserve"> </w:t>
      </w:r>
      <w:r w:rsidRPr="00A15BBB">
        <w:rPr>
          <w:rFonts w:asciiTheme="majorHAnsi" w:eastAsia="Cambria" w:hAnsiTheme="majorHAnsi" w:cs="Cambria"/>
          <w:sz w:val="16"/>
          <w:szCs w:val="16"/>
          <w:lang w:val="es-MX"/>
        </w:rPr>
        <w:t xml:space="preserve">Corte IDH. </w:t>
      </w:r>
      <w:r w:rsidRPr="00C34339">
        <w:rPr>
          <w:rFonts w:asciiTheme="majorHAnsi" w:eastAsia="Cambria" w:hAnsiTheme="majorHAnsi" w:cs="Cambria"/>
          <w:i/>
          <w:sz w:val="16"/>
          <w:szCs w:val="16"/>
          <w:lang w:val="es-US"/>
        </w:rPr>
        <w:t xml:space="preserve">Caso </w:t>
      </w:r>
      <w:proofErr w:type="spellStart"/>
      <w:r w:rsidRPr="00C34339">
        <w:rPr>
          <w:rFonts w:asciiTheme="majorHAnsi" w:eastAsia="Cambria" w:hAnsiTheme="majorHAnsi" w:cs="Cambria"/>
          <w:i/>
          <w:sz w:val="16"/>
          <w:szCs w:val="16"/>
          <w:lang w:val="es-US"/>
        </w:rPr>
        <w:t>Bulacio</w:t>
      </w:r>
      <w:proofErr w:type="spellEnd"/>
      <w:r w:rsidRPr="00C34339">
        <w:rPr>
          <w:rFonts w:asciiTheme="majorHAnsi" w:eastAsia="Cambria" w:hAnsiTheme="majorHAnsi" w:cs="Cambria"/>
          <w:i/>
          <w:sz w:val="16"/>
          <w:szCs w:val="16"/>
          <w:lang w:val="es-US"/>
        </w:rPr>
        <w:t xml:space="preserve"> v. Argentina</w:t>
      </w:r>
      <w:r w:rsidRPr="00A15BBB">
        <w:rPr>
          <w:rFonts w:asciiTheme="majorHAnsi" w:eastAsia="Cambria" w:hAnsiTheme="majorHAnsi" w:cs="Cambria"/>
          <w:sz w:val="16"/>
          <w:szCs w:val="16"/>
          <w:lang w:val="es-US"/>
        </w:rPr>
        <w:t xml:space="preserve">. </w:t>
      </w:r>
      <w:r w:rsidRPr="00A15BBB">
        <w:rPr>
          <w:rFonts w:asciiTheme="majorHAnsi" w:eastAsia="Cambria" w:hAnsiTheme="majorHAnsi" w:cs="Cambria"/>
          <w:sz w:val="16"/>
          <w:szCs w:val="16"/>
          <w:lang w:val="es-MX"/>
        </w:rPr>
        <w:t xml:space="preserve">Sentencia de 18 de septiembre de 2003, párr. 114; </w:t>
      </w:r>
      <w:r w:rsidRPr="00C34339">
        <w:rPr>
          <w:rFonts w:asciiTheme="majorHAnsi" w:eastAsia="Cambria" w:hAnsiTheme="majorHAnsi" w:cs="Cambria"/>
          <w:i/>
          <w:sz w:val="16"/>
          <w:szCs w:val="16"/>
          <w:lang w:val="es-MX"/>
        </w:rPr>
        <w:t>Caso de la Masacre de la Rochela</w:t>
      </w:r>
      <w:r w:rsidRPr="00A15BBB">
        <w:rPr>
          <w:rFonts w:asciiTheme="majorHAnsi" w:eastAsia="Cambria" w:hAnsiTheme="majorHAnsi" w:cs="Cambria"/>
          <w:sz w:val="16"/>
          <w:szCs w:val="16"/>
          <w:lang w:val="es-MX"/>
        </w:rPr>
        <w:t xml:space="preserve">. Sentencia de 11 de mayo de 2007, párr. 146; Caso </w:t>
      </w:r>
      <w:r w:rsidRPr="00C34339">
        <w:rPr>
          <w:rFonts w:asciiTheme="majorHAnsi" w:eastAsia="Cambria" w:hAnsiTheme="majorHAnsi" w:cs="Cambria"/>
          <w:i/>
          <w:sz w:val="16"/>
          <w:szCs w:val="16"/>
          <w:lang w:val="es-MX"/>
        </w:rPr>
        <w:t xml:space="preserve">del Penal Miguel Castro </w:t>
      </w:r>
      <w:proofErr w:type="spellStart"/>
      <w:r w:rsidRPr="00C34339">
        <w:rPr>
          <w:rFonts w:asciiTheme="majorHAnsi" w:eastAsia="Cambria" w:hAnsiTheme="majorHAnsi" w:cs="Cambria"/>
          <w:i/>
          <w:sz w:val="16"/>
          <w:szCs w:val="16"/>
          <w:lang w:val="es-MX"/>
        </w:rPr>
        <w:t>Castro</w:t>
      </w:r>
      <w:proofErr w:type="spellEnd"/>
      <w:r w:rsidRPr="00A15BBB">
        <w:rPr>
          <w:rFonts w:asciiTheme="majorHAnsi" w:eastAsia="Cambria" w:hAnsiTheme="majorHAnsi" w:cs="Cambria"/>
          <w:sz w:val="16"/>
          <w:szCs w:val="16"/>
          <w:lang w:val="es-MX"/>
        </w:rPr>
        <w:t>. Sentencia de 25 de noviembre de 2006, párr. 382.</w:t>
      </w:r>
    </w:p>
  </w:footnote>
  <w:footnote w:id="143">
    <w:p w14:paraId="422F8837" w14:textId="0A6CFF9B" w:rsidR="00595122" w:rsidRPr="00A15BBB" w:rsidRDefault="00595122" w:rsidP="00AC6EE2">
      <w:pPr>
        <w:tabs>
          <w:tab w:val="left" w:pos="360"/>
          <w:tab w:val="left" w:pos="720"/>
          <w:tab w:val="left" w:pos="900"/>
          <w:tab w:val="left" w:pos="1080"/>
        </w:tabs>
        <w:jc w:val="both"/>
        <w:rPr>
          <w:rFonts w:asciiTheme="majorHAnsi" w:eastAsia="Cambria" w:hAnsiTheme="majorHAnsi" w:cs="Cambria"/>
          <w:sz w:val="16"/>
          <w:szCs w:val="16"/>
          <w:lang w:val="es-MX"/>
        </w:rPr>
      </w:pPr>
      <w:r w:rsidRPr="00A15BBB">
        <w:rPr>
          <w:rFonts w:asciiTheme="majorHAnsi" w:hAnsiTheme="majorHAnsi"/>
          <w:sz w:val="16"/>
          <w:szCs w:val="16"/>
          <w:vertAlign w:val="superscript"/>
        </w:rPr>
        <w:footnoteRef/>
      </w:r>
      <w:r w:rsidRPr="00A15BBB">
        <w:rPr>
          <w:rFonts w:asciiTheme="majorHAnsi" w:eastAsia="Cambria" w:hAnsiTheme="majorHAnsi" w:cs="Cambria"/>
          <w:sz w:val="16"/>
          <w:szCs w:val="16"/>
          <w:lang w:val="es-MX"/>
        </w:rPr>
        <w:t xml:space="preserve"> Corte IDH. </w:t>
      </w:r>
      <w:r w:rsidRPr="00C34339">
        <w:rPr>
          <w:rFonts w:asciiTheme="majorHAnsi" w:eastAsia="Cambria" w:hAnsiTheme="majorHAnsi" w:cs="Cambria"/>
          <w:i/>
          <w:sz w:val="16"/>
          <w:szCs w:val="16"/>
          <w:lang w:val="es-MX"/>
        </w:rPr>
        <w:t>Caso García Prieto y otros</w:t>
      </w:r>
      <w:r w:rsidRPr="00A15BBB">
        <w:rPr>
          <w:rFonts w:asciiTheme="majorHAnsi" w:eastAsia="Cambria" w:hAnsiTheme="majorHAnsi" w:cs="Cambria"/>
          <w:sz w:val="16"/>
          <w:szCs w:val="16"/>
          <w:lang w:val="es-MX"/>
        </w:rPr>
        <w:t xml:space="preserve">. Sentencia de 20 de noviembre de 2007, párr. 103; </w:t>
      </w:r>
      <w:r w:rsidRPr="00C34339">
        <w:rPr>
          <w:rFonts w:asciiTheme="majorHAnsi" w:eastAsia="Cambria" w:hAnsiTheme="majorHAnsi" w:cs="Cambria"/>
          <w:i/>
          <w:sz w:val="16"/>
          <w:szCs w:val="16"/>
          <w:lang w:val="es-MX"/>
        </w:rPr>
        <w:t xml:space="preserve">Caso </w:t>
      </w:r>
      <w:proofErr w:type="spellStart"/>
      <w:r w:rsidRPr="00C34339">
        <w:rPr>
          <w:rFonts w:asciiTheme="majorHAnsi" w:eastAsia="Cambria" w:hAnsiTheme="majorHAnsi" w:cs="Cambria"/>
          <w:i/>
          <w:sz w:val="16"/>
          <w:szCs w:val="16"/>
          <w:lang w:val="es-MX"/>
        </w:rPr>
        <w:t>Bulacio</w:t>
      </w:r>
      <w:proofErr w:type="spellEnd"/>
      <w:r w:rsidRPr="00C34339">
        <w:rPr>
          <w:rFonts w:asciiTheme="majorHAnsi" w:eastAsia="Cambria" w:hAnsiTheme="majorHAnsi" w:cs="Cambria"/>
          <w:i/>
          <w:sz w:val="16"/>
          <w:szCs w:val="16"/>
          <w:lang w:val="es-MX"/>
        </w:rPr>
        <w:t xml:space="preserve"> v. Argentina</w:t>
      </w:r>
      <w:r w:rsidRPr="00A15BBB">
        <w:rPr>
          <w:rFonts w:asciiTheme="majorHAnsi" w:eastAsia="Cambria" w:hAnsiTheme="majorHAnsi" w:cs="Cambria"/>
          <w:sz w:val="16"/>
          <w:szCs w:val="16"/>
          <w:lang w:val="es-MX"/>
        </w:rPr>
        <w:t xml:space="preserve">. Sentencia de 18 de Septiembre de 2003, párr. 114; y </w:t>
      </w:r>
      <w:r w:rsidRPr="00C34339">
        <w:rPr>
          <w:rFonts w:asciiTheme="majorHAnsi" w:eastAsia="Cambria" w:hAnsiTheme="majorHAnsi" w:cs="Cambria"/>
          <w:i/>
          <w:sz w:val="16"/>
          <w:szCs w:val="16"/>
          <w:lang w:val="es-MX"/>
        </w:rPr>
        <w:t xml:space="preserve">Caso del Penal Miguel Castro </w:t>
      </w:r>
      <w:proofErr w:type="spellStart"/>
      <w:r w:rsidRPr="00C34339">
        <w:rPr>
          <w:rFonts w:asciiTheme="majorHAnsi" w:eastAsia="Cambria" w:hAnsiTheme="majorHAnsi" w:cs="Cambria"/>
          <w:i/>
          <w:sz w:val="16"/>
          <w:szCs w:val="16"/>
          <w:lang w:val="es-MX"/>
        </w:rPr>
        <w:t>Castro</w:t>
      </w:r>
      <w:proofErr w:type="spellEnd"/>
      <w:r w:rsidRPr="00A15BBB">
        <w:rPr>
          <w:rFonts w:asciiTheme="majorHAnsi" w:eastAsia="Cambria" w:hAnsiTheme="majorHAnsi" w:cs="Cambria"/>
          <w:sz w:val="16"/>
          <w:szCs w:val="16"/>
          <w:lang w:val="es-MX"/>
        </w:rPr>
        <w:t>. Sentencia de 25 de noviembre de 2006, párr. 382.</w:t>
      </w:r>
    </w:p>
  </w:footnote>
  <w:footnote w:id="144">
    <w:p w14:paraId="78B6276F" w14:textId="77777777" w:rsidR="00595122" w:rsidRPr="00A15BBB" w:rsidRDefault="00595122" w:rsidP="00304A40">
      <w:pPr>
        <w:tabs>
          <w:tab w:val="left" w:pos="360"/>
          <w:tab w:val="left" w:pos="720"/>
          <w:tab w:val="left" w:pos="900"/>
          <w:tab w:val="left" w:pos="1080"/>
        </w:tabs>
        <w:jc w:val="both"/>
        <w:rPr>
          <w:rFonts w:asciiTheme="majorHAnsi" w:eastAsia="Cambria" w:hAnsiTheme="majorHAnsi" w:cs="Cambria"/>
          <w:sz w:val="16"/>
          <w:szCs w:val="16"/>
          <w:lang w:val="pt-BR"/>
        </w:rPr>
      </w:pPr>
      <w:r w:rsidRPr="00A15BBB">
        <w:rPr>
          <w:rFonts w:asciiTheme="majorHAnsi" w:hAnsiTheme="majorHAnsi"/>
          <w:sz w:val="16"/>
          <w:szCs w:val="16"/>
          <w:vertAlign w:val="superscript"/>
        </w:rPr>
        <w:footnoteRef/>
      </w:r>
      <w:r w:rsidRPr="00A15BBB">
        <w:rPr>
          <w:rFonts w:asciiTheme="majorHAnsi" w:eastAsia="Cambria" w:hAnsiTheme="majorHAnsi" w:cs="Cambria"/>
          <w:sz w:val="16"/>
          <w:szCs w:val="16"/>
          <w:lang w:val="es-MX"/>
        </w:rPr>
        <w:t xml:space="preserve"> </w:t>
      </w:r>
      <w:r w:rsidRPr="00A15BBB">
        <w:rPr>
          <w:rFonts w:asciiTheme="majorHAnsi" w:eastAsia="Cambria" w:hAnsiTheme="majorHAnsi" w:cs="Cambria"/>
          <w:i/>
          <w:sz w:val="16"/>
          <w:szCs w:val="16"/>
          <w:lang w:val="es-MX"/>
        </w:rPr>
        <w:t xml:space="preserve">Véase </w:t>
      </w:r>
      <w:r w:rsidRPr="00A15BBB">
        <w:rPr>
          <w:rFonts w:asciiTheme="majorHAnsi" w:eastAsia="Cambria" w:hAnsiTheme="majorHAnsi" w:cs="Cambria"/>
          <w:sz w:val="16"/>
          <w:szCs w:val="16"/>
          <w:lang w:val="es-MX"/>
        </w:rPr>
        <w:t xml:space="preserve">Corte IDH. </w:t>
      </w:r>
      <w:r w:rsidRPr="00C34339">
        <w:rPr>
          <w:rFonts w:asciiTheme="majorHAnsi" w:eastAsia="Cambria" w:hAnsiTheme="majorHAnsi" w:cs="Cambria"/>
          <w:i/>
          <w:sz w:val="16"/>
          <w:szCs w:val="16"/>
          <w:lang w:val="es-MX"/>
        </w:rPr>
        <w:t>Caso García Prieto y otros</w:t>
      </w:r>
      <w:r w:rsidRPr="00A15BBB">
        <w:rPr>
          <w:rFonts w:asciiTheme="majorHAnsi" w:eastAsia="Cambria" w:hAnsiTheme="majorHAnsi" w:cs="Cambria"/>
          <w:sz w:val="16"/>
          <w:szCs w:val="16"/>
          <w:lang w:val="es-MX"/>
        </w:rPr>
        <w:t xml:space="preserve">. Sentencia de 20 de noviembre de 2007, párr. </w:t>
      </w:r>
      <w:r w:rsidRPr="00A15BBB">
        <w:rPr>
          <w:rFonts w:asciiTheme="majorHAnsi" w:eastAsia="Cambria" w:hAnsiTheme="majorHAnsi" w:cs="Cambria"/>
          <w:sz w:val="16"/>
          <w:szCs w:val="16"/>
          <w:lang w:val="pt-BR"/>
        </w:rPr>
        <w:t xml:space="preserve">101.  </w:t>
      </w:r>
    </w:p>
  </w:footnote>
  <w:footnote w:id="145">
    <w:p w14:paraId="7F13B373" w14:textId="77777777" w:rsidR="00595122" w:rsidRPr="00A15BBB" w:rsidRDefault="00595122" w:rsidP="00304A40">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pt-BR"/>
        </w:rPr>
        <w:t xml:space="preserve"> CIDH. Informe No. 25/09. Fondo. Sebastião Camargo Filho (Brasil), 19 de marzo de 2009, párr. </w:t>
      </w:r>
      <w:r w:rsidRPr="00A15BBB">
        <w:rPr>
          <w:rFonts w:asciiTheme="majorHAnsi" w:hAnsiTheme="majorHAnsi"/>
          <w:sz w:val="16"/>
          <w:szCs w:val="16"/>
          <w:lang w:val="es-ES_tradnl"/>
        </w:rPr>
        <w:t xml:space="preserve">109; </w:t>
      </w:r>
      <w:r w:rsidRPr="00A15BBB">
        <w:rPr>
          <w:rFonts w:asciiTheme="majorHAnsi" w:hAnsiTheme="majorHAnsi" w:cs="Arial"/>
          <w:sz w:val="16"/>
          <w:szCs w:val="16"/>
          <w:lang w:val="es-US"/>
        </w:rPr>
        <w:t xml:space="preserve">Corte IDH, </w:t>
      </w:r>
      <w:r w:rsidRPr="00C34339">
        <w:rPr>
          <w:rFonts w:asciiTheme="majorHAnsi" w:hAnsiTheme="majorHAnsi" w:cs="Arial"/>
          <w:i/>
          <w:iCs/>
          <w:sz w:val="16"/>
          <w:szCs w:val="16"/>
          <w:lang w:val="es-ES"/>
        </w:rPr>
        <w:t>Caso de los “Niños de la Calle” (Villagrán Morales y otros)</w:t>
      </w:r>
      <w:r w:rsidRPr="00A15BBB">
        <w:rPr>
          <w:rFonts w:asciiTheme="majorHAnsi" w:hAnsiTheme="majorHAnsi" w:cs="Arial"/>
          <w:iCs/>
          <w:sz w:val="16"/>
          <w:szCs w:val="16"/>
          <w:lang w:val="es-ES"/>
        </w:rPr>
        <w:t>.</w:t>
      </w:r>
      <w:r w:rsidRPr="00A15BBB">
        <w:rPr>
          <w:rFonts w:asciiTheme="majorHAnsi" w:hAnsiTheme="majorHAnsi" w:cs="Arial"/>
          <w:sz w:val="16"/>
          <w:szCs w:val="16"/>
          <w:lang w:val="es-ES"/>
        </w:rPr>
        <w:t xml:space="preserve"> Sentencia de 19 de noviembre de 1999, párr. 230;</w:t>
      </w:r>
      <w:r w:rsidRPr="00A15BBB">
        <w:rPr>
          <w:rFonts w:asciiTheme="majorHAnsi" w:hAnsiTheme="majorHAnsi"/>
          <w:spacing w:val="-4"/>
          <w:sz w:val="16"/>
          <w:szCs w:val="16"/>
          <w:lang w:val="es-CR"/>
        </w:rPr>
        <w:t xml:space="preserve"> </w:t>
      </w:r>
      <w:r w:rsidRPr="00C34339">
        <w:rPr>
          <w:rFonts w:asciiTheme="majorHAnsi" w:hAnsiTheme="majorHAnsi"/>
          <w:i/>
          <w:sz w:val="16"/>
          <w:szCs w:val="16"/>
          <w:lang w:val="es-US"/>
        </w:rPr>
        <w:t>Caso J. vs. Perú</w:t>
      </w:r>
      <w:r w:rsidRPr="00A15BBB">
        <w:rPr>
          <w:rFonts w:asciiTheme="majorHAnsi" w:hAnsiTheme="majorHAnsi"/>
          <w:sz w:val="16"/>
          <w:szCs w:val="16"/>
          <w:lang w:val="es-US"/>
        </w:rPr>
        <w:t xml:space="preserve">. Sentencia de 27 de noviembre de 2013, párr. </w:t>
      </w:r>
      <w:r w:rsidRPr="00A15BBB">
        <w:rPr>
          <w:rFonts w:asciiTheme="majorHAnsi" w:hAnsiTheme="majorHAnsi"/>
          <w:spacing w:val="-4"/>
          <w:sz w:val="16"/>
          <w:szCs w:val="16"/>
          <w:lang w:val="es-CR"/>
        </w:rPr>
        <w:t xml:space="preserve">344 (citando Corte IDH., </w:t>
      </w:r>
      <w:r w:rsidRPr="00C34339">
        <w:rPr>
          <w:rFonts w:asciiTheme="majorHAnsi" w:hAnsiTheme="majorHAnsi"/>
          <w:i/>
          <w:spacing w:val="-4"/>
          <w:sz w:val="16"/>
          <w:szCs w:val="16"/>
          <w:lang w:val="es-CR"/>
        </w:rPr>
        <w:t>Juan Humberto Sánchez vs. Honduras</w:t>
      </w:r>
      <w:r w:rsidRPr="00A15BBB">
        <w:rPr>
          <w:rFonts w:asciiTheme="majorHAnsi" w:hAnsiTheme="majorHAnsi"/>
          <w:spacing w:val="-4"/>
          <w:sz w:val="16"/>
          <w:szCs w:val="16"/>
          <w:lang w:val="es-CR"/>
        </w:rPr>
        <w:t>. Sentencia de 7 de junio de 2003, párr. 128).</w:t>
      </w:r>
    </w:p>
  </w:footnote>
  <w:footnote w:id="146">
    <w:p w14:paraId="573E0BCF" w14:textId="69F45590" w:rsidR="00595122" w:rsidRPr="00A15BBB" w:rsidRDefault="00595122" w:rsidP="00AC6EE2">
      <w:pPr>
        <w:pStyle w:val="FootnoteText"/>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A15BBB">
        <w:rPr>
          <w:rFonts w:asciiTheme="majorHAnsi" w:hAnsiTheme="majorHAnsi"/>
          <w:sz w:val="16"/>
          <w:szCs w:val="16"/>
          <w:lang w:val="es-ES"/>
        </w:rPr>
        <w:t xml:space="preserve"> </w:t>
      </w:r>
      <w:r w:rsidRPr="00A15BBB">
        <w:rPr>
          <w:rFonts w:asciiTheme="majorHAnsi" w:eastAsia="Times New Roman" w:hAnsiTheme="majorHAnsi"/>
          <w:bCs/>
          <w:sz w:val="16"/>
          <w:szCs w:val="16"/>
          <w:lang w:val="es-ES"/>
        </w:rPr>
        <w:t xml:space="preserve">Corte IDH. </w:t>
      </w:r>
      <w:r w:rsidRPr="00C34339">
        <w:rPr>
          <w:rFonts w:asciiTheme="majorHAnsi" w:eastAsia="Times New Roman" w:hAnsiTheme="majorHAnsi"/>
          <w:bCs/>
          <w:i/>
          <w:sz w:val="16"/>
          <w:szCs w:val="16"/>
          <w:lang w:val="es-ES"/>
        </w:rPr>
        <w:t>Caso Ortiz Hernández y otros Vs. Venezuela</w:t>
      </w:r>
      <w:r w:rsidRPr="00A15BBB">
        <w:rPr>
          <w:rFonts w:asciiTheme="majorHAnsi" w:eastAsia="Times New Roman" w:hAnsiTheme="majorHAnsi"/>
          <w:bCs/>
          <w:sz w:val="16"/>
          <w:szCs w:val="16"/>
          <w:lang w:val="es-ES"/>
        </w:rPr>
        <w:t xml:space="preserve">. </w:t>
      </w:r>
      <w:r w:rsidRPr="00A15BBB">
        <w:rPr>
          <w:rFonts w:asciiTheme="majorHAnsi" w:eastAsia="Times New Roman" w:hAnsiTheme="majorHAnsi"/>
          <w:bCs/>
          <w:sz w:val="16"/>
          <w:szCs w:val="16"/>
          <w:lang w:val="es-US"/>
        </w:rPr>
        <w:t>Sentencia de 22 de agosto de 2017, p</w:t>
      </w:r>
      <w:proofErr w:type="spellStart"/>
      <w:r w:rsidRPr="00A15BBB">
        <w:rPr>
          <w:rFonts w:asciiTheme="majorHAnsi" w:eastAsia="Times New Roman" w:hAnsiTheme="majorHAnsi"/>
          <w:bCs/>
          <w:sz w:val="16"/>
          <w:szCs w:val="16"/>
          <w:lang w:val="es-ES"/>
        </w:rPr>
        <w:t>árr</w:t>
      </w:r>
      <w:proofErr w:type="spellEnd"/>
      <w:r w:rsidRPr="00A15BBB">
        <w:rPr>
          <w:rFonts w:asciiTheme="majorHAnsi" w:eastAsia="Times New Roman" w:hAnsiTheme="majorHAnsi"/>
          <w:bCs/>
          <w:sz w:val="16"/>
          <w:szCs w:val="16"/>
          <w:lang w:val="es-ES"/>
        </w:rPr>
        <w:t xml:space="preserve">. 161. </w:t>
      </w:r>
    </w:p>
  </w:footnote>
  <w:footnote w:id="147">
    <w:p w14:paraId="0257E6BC" w14:textId="7BAC7BFC" w:rsidR="00595122" w:rsidRPr="00A15BBB" w:rsidRDefault="00595122" w:rsidP="00AC6EE2">
      <w:pPr>
        <w:pStyle w:val="FootnoteText"/>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ONU. </w:t>
      </w:r>
      <w:r w:rsidRPr="00A15BBB">
        <w:rPr>
          <w:rFonts w:asciiTheme="majorHAnsi" w:hAnsiTheme="majorHAnsi"/>
          <w:i/>
          <w:sz w:val="16"/>
          <w:szCs w:val="16"/>
          <w:lang w:val="es-US"/>
        </w:rPr>
        <w:t xml:space="preserve">Protocolo de Minnesota sobre la Investigación de Muertes Potencialmente Ilícitas </w:t>
      </w:r>
      <w:r w:rsidRPr="00A15BBB">
        <w:rPr>
          <w:rFonts w:asciiTheme="majorHAnsi" w:hAnsiTheme="majorHAnsi"/>
          <w:sz w:val="16"/>
          <w:szCs w:val="16"/>
          <w:lang w:val="es-US"/>
        </w:rPr>
        <w:t xml:space="preserve">(2016), párr. </w:t>
      </w:r>
      <w:r w:rsidRPr="00A15BBB">
        <w:rPr>
          <w:rFonts w:asciiTheme="majorHAnsi" w:hAnsiTheme="majorHAnsi"/>
          <w:sz w:val="16"/>
          <w:szCs w:val="16"/>
          <w:lang w:val="es-ES"/>
        </w:rPr>
        <w:t xml:space="preserve">86. </w:t>
      </w:r>
    </w:p>
  </w:footnote>
  <w:footnote w:id="148">
    <w:p w14:paraId="013B684F" w14:textId="77777777" w:rsidR="00595122" w:rsidRPr="00A15BBB" w:rsidRDefault="00595122" w:rsidP="00AC6EE2">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Ibídem. Párrs. 148-182 y 255, 264 266.</w:t>
      </w:r>
    </w:p>
  </w:footnote>
  <w:footnote w:id="149">
    <w:p w14:paraId="35BDF44C" w14:textId="7FC80073" w:rsidR="00595122" w:rsidRPr="00A15BBB" w:rsidRDefault="00595122" w:rsidP="00AC6EE2">
      <w:pPr>
        <w:pStyle w:val="FootnoteText"/>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FD7DBD">
        <w:rPr>
          <w:rFonts w:asciiTheme="majorHAnsi" w:hAnsiTheme="majorHAnsi"/>
          <w:sz w:val="16"/>
          <w:szCs w:val="16"/>
          <w:lang w:val="es-US"/>
        </w:rPr>
        <w:t xml:space="preserve"> </w:t>
      </w:r>
      <w:hyperlink r:id="rId1" w:history="1">
        <w:r w:rsidRPr="00FD7DBD">
          <w:rPr>
            <w:rStyle w:val="FootnoteTextChar"/>
            <w:rFonts w:asciiTheme="majorHAnsi" w:hAnsiTheme="majorHAnsi"/>
            <w:sz w:val="16"/>
            <w:szCs w:val="16"/>
            <w:lang w:val="es-US"/>
          </w:rPr>
          <w:t>Corte IDH. C</w:t>
        </w:r>
        <w:r w:rsidRPr="00C34339">
          <w:rPr>
            <w:rStyle w:val="FootnoteTextChar"/>
            <w:rFonts w:asciiTheme="majorHAnsi" w:hAnsiTheme="majorHAnsi"/>
            <w:i/>
            <w:sz w:val="16"/>
            <w:szCs w:val="16"/>
            <w:lang w:val="es-US"/>
          </w:rPr>
          <w:t xml:space="preserve">aso Vargas </w:t>
        </w:r>
        <w:proofErr w:type="spellStart"/>
        <w:r w:rsidRPr="00C34339">
          <w:rPr>
            <w:rStyle w:val="FootnoteTextChar"/>
            <w:rFonts w:asciiTheme="majorHAnsi" w:hAnsiTheme="majorHAnsi"/>
            <w:i/>
            <w:sz w:val="16"/>
            <w:szCs w:val="16"/>
            <w:lang w:val="es-US"/>
          </w:rPr>
          <w:t>Areco</w:t>
        </w:r>
        <w:proofErr w:type="spellEnd"/>
        <w:r w:rsidRPr="00C34339">
          <w:rPr>
            <w:rStyle w:val="FootnoteTextChar"/>
            <w:rFonts w:asciiTheme="majorHAnsi" w:hAnsiTheme="majorHAnsi"/>
            <w:i/>
            <w:sz w:val="16"/>
            <w:szCs w:val="16"/>
            <w:lang w:val="es-US"/>
          </w:rPr>
          <w:t xml:space="preserve"> Vs. Paraguay</w:t>
        </w:r>
        <w:r w:rsidRPr="00A1295D">
          <w:rPr>
            <w:rStyle w:val="FootnoteTextChar"/>
            <w:rFonts w:asciiTheme="majorHAnsi" w:hAnsiTheme="majorHAnsi"/>
            <w:sz w:val="16"/>
            <w:szCs w:val="16"/>
            <w:lang w:val="es-US"/>
          </w:rPr>
          <w:t>. Sentencia de 26 de septiembre de 2006</w:t>
        </w:r>
      </w:hyperlink>
      <w:r w:rsidRPr="00A1295D">
        <w:rPr>
          <w:rStyle w:val="FootnoteTextChar"/>
          <w:rFonts w:asciiTheme="majorHAnsi" w:hAnsiTheme="majorHAnsi"/>
          <w:sz w:val="16"/>
          <w:szCs w:val="16"/>
          <w:lang w:val="es-US"/>
        </w:rPr>
        <w:t xml:space="preserve">, párr. 196; </w:t>
      </w:r>
      <w:hyperlink r:id="rId2" w:history="1">
        <w:r w:rsidRPr="00C34339">
          <w:rPr>
            <w:rStyle w:val="FootnoteTextChar"/>
            <w:rFonts w:asciiTheme="majorHAnsi" w:hAnsiTheme="majorHAnsi"/>
            <w:i/>
            <w:sz w:val="16"/>
            <w:szCs w:val="16"/>
            <w:lang w:val="es-US"/>
          </w:rPr>
          <w:t xml:space="preserve">Caso de las Masacres de </w:t>
        </w:r>
        <w:proofErr w:type="spellStart"/>
        <w:r w:rsidRPr="00C34339">
          <w:rPr>
            <w:rStyle w:val="FootnoteTextChar"/>
            <w:rFonts w:asciiTheme="majorHAnsi" w:hAnsiTheme="majorHAnsi"/>
            <w:i/>
            <w:sz w:val="16"/>
            <w:szCs w:val="16"/>
            <w:lang w:val="es-US"/>
          </w:rPr>
          <w:t>Ituango</w:t>
        </w:r>
        <w:proofErr w:type="spellEnd"/>
        <w:r w:rsidRPr="00C34339">
          <w:rPr>
            <w:rStyle w:val="FootnoteTextChar"/>
            <w:rFonts w:asciiTheme="majorHAnsi" w:hAnsiTheme="majorHAnsi"/>
            <w:i/>
            <w:sz w:val="16"/>
            <w:szCs w:val="16"/>
            <w:lang w:val="es-US"/>
          </w:rPr>
          <w:t xml:space="preserve"> Vs. Colombia</w:t>
        </w:r>
        <w:r w:rsidRPr="00A1295D">
          <w:rPr>
            <w:rStyle w:val="FootnoteTextChar"/>
            <w:rFonts w:asciiTheme="majorHAnsi" w:hAnsiTheme="majorHAnsi"/>
            <w:sz w:val="16"/>
            <w:szCs w:val="16"/>
            <w:lang w:val="es-US"/>
          </w:rPr>
          <w:t>. Sentencia de 1 de julio de 2006</w:t>
        </w:r>
      </w:hyperlink>
      <w:r w:rsidRPr="00A1295D">
        <w:rPr>
          <w:rStyle w:val="FootnoteTextChar"/>
          <w:rFonts w:asciiTheme="majorHAnsi" w:hAnsiTheme="majorHAnsi"/>
          <w:sz w:val="16"/>
          <w:szCs w:val="16"/>
          <w:lang w:val="es-US"/>
        </w:rPr>
        <w:t xml:space="preserve">, párr. </w:t>
      </w:r>
      <w:r w:rsidRPr="00A15BBB">
        <w:rPr>
          <w:rStyle w:val="FootnoteTextChar"/>
          <w:rFonts w:asciiTheme="majorHAnsi" w:hAnsiTheme="majorHAnsi"/>
          <w:sz w:val="16"/>
          <w:szCs w:val="16"/>
          <w:lang w:val="es-ES"/>
        </w:rPr>
        <w:t xml:space="preserve">289; y </w:t>
      </w:r>
      <w:r w:rsidRPr="00C34339">
        <w:rPr>
          <w:rStyle w:val="FootnoteTextChar"/>
          <w:rFonts w:asciiTheme="majorHAnsi" w:hAnsiTheme="majorHAnsi"/>
          <w:i/>
          <w:sz w:val="16"/>
          <w:szCs w:val="16"/>
          <w:lang w:val="es-ES"/>
        </w:rPr>
        <w:t xml:space="preserve">Caso </w:t>
      </w:r>
      <w:proofErr w:type="spellStart"/>
      <w:r w:rsidRPr="00C34339">
        <w:rPr>
          <w:rStyle w:val="FootnoteTextChar"/>
          <w:rFonts w:asciiTheme="majorHAnsi" w:hAnsiTheme="majorHAnsi"/>
          <w:i/>
          <w:sz w:val="16"/>
          <w:szCs w:val="16"/>
          <w:lang w:val="es-ES"/>
        </w:rPr>
        <w:t>Baldeón</w:t>
      </w:r>
      <w:proofErr w:type="spellEnd"/>
      <w:r w:rsidRPr="00C34339">
        <w:rPr>
          <w:rStyle w:val="FootnoteTextChar"/>
          <w:rFonts w:asciiTheme="majorHAnsi" w:hAnsiTheme="majorHAnsi"/>
          <w:i/>
          <w:sz w:val="16"/>
          <w:szCs w:val="16"/>
          <w:lang w:val="es-ES"/>
        </w:rPr>
        <w:t xml:space="preserve"> García Vs. Perú</w:t>
      </w:r>
      <w:r w:rsidRPr="00A15BBB">
        <w:rPr>
          <w:rStyle w:val="FootnoteTextChar"/>
          <w:rFonts w:asciiTheme="majorHAnsi" w:hAnsiTheme="majorHAnsi"/>
          <w:sz w:val="16"/>
          <w:szCs w:val="16"/>
          <w:lang w:val="es-ES"/>
        </w:rPr>
        <w:t>. Sentencia de 6 de abril de 2006, párr. 151.</w:t>
      </w:r>
    </w:p>
  </w:footnote>
  <w:footnote w:id="150">
    <w:p w14:paraId="5351CB32" w14:textId="536046CB" w:rsidR="00595122" w:rsidRPr="00A15BBB" w:rsidRDefault="00595122" w:rsidP="00AC6EE2">
      <w:pPr>
        <w:pStyle w:val="FootnoteText"/>
        <w:jc w:val="both"/>
        <w:rPr>
          <w:rFonts w:asciiTheme="majorHAnsi" w:hAnsiTheme="majorHAnsi"/>
          <w:sz w:val="16"/>
          <w:szCs w:val="16"/>
          <w:lang w:val="es-ES"/>
        </w:rPr>
      </w:pPr>
      <w:r w:rsidRPr="00A15BBB">
        <w:rPr>
          <w:rStyle w:val="FootnoteReference"/>
          <w:rFonts w:asciiTheme="majorHAnsi" w:hAnsiTheme="majorHAnsi"/>
          <w:sz w:val="16"/>
          <w:szCs w:val="16"/>
        </w:rPr>
        <w:footnoteRef/>
      </w:r>
      <w:r w:rsidRPr="00A15BBB">
        <w:rPr>
          <w:rFonts w:asciiTheme="majorHAnsi" w:hAnsiTheme="majorHAnsi"/>
          <w:sz w:val="16"/>
          <w:szCs w:val="16"/>
          <w:lang w:val="es-ES"/>
        </w:rPr>
        <w:t xml:space="preserve"> </w:t>
      </w:r>
      <w:r w:rsidRPr="00A15BBB">
        <w:rPr>
          <w:rFonts w:asciiTheme="majorHAnsi" w:hAnsiTheme="majorHAnsi"/>
          <w:noProof/>
          <w:sz w:val="16"/>
          <w:szCs w:val="16"/>
          <w:lang w:val="es-ES"/>
        </w:rPr>
        <w:t xml:space="preserve">Corte IDH. </w:t>
      </w:r>
      <w:r w:rsidRPr="00C34339">
        <w:rPr>
          <w:rFonts w:asciiTheme="majorHAnsi" w:hAnsiTheme="majorHAnsi"/>
          <w:i/>
          <w:noProof/>
          <w:sz w:val="16"/>
          <w:szCs w:val="16"/>
          <w:lang w:val="es-ES"/>
        </w:rPr>
        <w:t>Caso Valle Jaramillo y otros Vs. Colombia</w:t>
      </w:r>
      <w:r w:rsidRPr="00A15BBB">
        <w:rPr>
          <w:rFonts w:asciiTheme="majorHAnsi" w:hAnsiTheme="majorHAnsi"/>
          <w:noProof/>
          <w:sz w:val="16"/>
          <w:szCs w:val="16"/>
          <w:lang w:val="es-ES"/>
        </w:rPr>
        <w:t>. Sentencia de 27 de noviembre de 2008, párr. 155.</w:t>
      </w:r>
    </w:p>
  </w:footnote>
  <w:footnote w:id="151">
    <w:p w14:paraId="5E3F8E25" w14:textId="2972A93C" w:rsidR="00595122" w:rsidRPr="00A15BBB" w:rsidRDefault="00595122" w:rsidP="002D4628">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es-US"/>
        </w:rPr>
        <w:t xml:space="preserve">Véase </w:t>
      </w:r>
      <w:r w:rsidRPr="00A15BBB">
        <w:rPr>
          <w:rFonts w:asciiTheme="majorHAnsi" w:hAnsiTheme="majorHAnsi"/>
          <w:sz w:val="16"/>
          <w:szCs w:val="16"/>
          <w:lang w:val="es-US"/>
        </w:rPr>
        <w:t xml:space="preserve">en este sentido, Corte IDH. </w:t>
      </w:r>
      <w:r w:rsidRPr="00C34339">
        <w:rPr>
          <w:rFonts w:asciiTheme="majorHAnsi" w:hAnsiTheme="majorHAnsi"/>
          <w:i/>
          <w:sz w:val="16"/>
          <w:szCs w:val="16"/>
          <w:lang w:val="es-US"/>
        </w:rPr>
        <w:t>Caso Hermanos Landaeta Mejías y otros Vs. Venezuela</w:t>
      </w:r>
      <w:r w:rsidRPr="00A15BBB">
        <w:rPr>
          <w:rFonts w:asciiTheme="majorHAnsi" w:hAnsiTheme="majorHAnsi"/>
          <w:sz w:val="16"/>
          <w:szCs w:val="16"/>
          <w:lang w:val="es-US"/>
        </w:rPr>
        <w:t>. Sentencia de 27 de agosto de 2014, párr. 202.</w:t>
      </w:r>
    </w:p>
  </w:footnote>
  <w:footnote w:id="152">
    <w:p w14:paraId="5FB01B1B" w14:textId="4CCB2346" w:rsidR="00595122" w:rsidRPr="00A15BBB" w:rsidRDefault="00595122" w:rsidP="00E9338C">
      <w:pPr>
        <w:pStyle w:val="FootnoteText"/>
        <w:jc w:val="both"/>
        <w:rPr>
          <w:rFonts w:asciiTheme="majorHAnsi" w:hAnsiTheme="majorHAnsi"/>
          <w:sz w:val="16"/>
          <w:szCs w:val="16"/>
          <w:lang w:val="es-US"/>
        </w:rPr>
      </w:pPr>
      <w:r w:rsidRPr="00A15BBB">
        <w:rPr>
          <w:rStyle w:val="FootnoteReference"/>
          <w:rFonts w:asciiTheme="majorHAnsi" w:hAnsiTheme="majorHAnsi"/>
          <w:sz w:val="16"/>
          <w:szCs w:val="16"/>
        </w:rPr>
        <w:footnoteRef/>
      </w:r>
      <w:r w:rsidRPr="00A15BBB">
        <w:rPr>
          <w:rFonts w:asciiTheme="majorHAnsi" w:hAnsiTheme="majorHAnsi"/>
          <w:sz w:val="16"/>
          <w:szCs w:val="16"/>
          <w:lang w:val="es-US"/>
        </w:rPr>
        <w:t xml:space="preserve"> </w:t>
      </w:r>
      <w:r w:rsidRPr="00A15BBB">
        <w:rPr>
          <w:rFonts w:asciiTheme="majorHAnsi" w:hAnsiTheme="majorHAnsi"/>
          <w:i/>
          <w:sz w:val="16"/>
          <w:szCs w:val="16"/>
          <w:lang w:val="es-US"/>
        </w:rPr>
        <w:t xml:space="preserve">Véase </w:t>
      </w:r>
      <w:r w:rsidRPr="00A15BBB">
        <w:rPr>
          <w:rFonts w:asciiTheme="majorHAnsi" w:hAnsiTheme="majorHAnsi"/>
          <w:sz w:val="16"/>
          <w:szCs w:val="16"/>
          <w:lang w:val="es-US"/>
        </w:rPr>
        <w:t>Resolución de la Corte IDH de 15 de mayo de 2011. Medidas Provisionales Respecto de Venezuela. Asunto Internado Judicial de Ciudad Bolívar “Cárcel de Vista Hermosa”.</w:t>
      </w:r>
    </w:p>
  </w:footnote>
  <w:footnote w:id="153">
    <w:p w14:paraId="592BF63B" w14:textId="155927F9" w:rsidR="00595122" w:rsidRPr="00A15BBB" w:rsidRDefault="00595122" w:rsidP="00E9338C">
      <w:pPr>
        <w:pStyle w:val="NoSpacing"/>
        <w:jc w:val="both"/>
        <w:rPr>
          <w:rFonts w:asciiTheme="majorHAnsi" w:hAnsiTheme="majorHAnsi"/>
          <w:sz w:val="16"/>
          <w:szCs w:val="16"/>
          <w:lang w:val="es-US"/>
        </w:rPr>
      </w:pPr>
      <w:r w:rsidRPr="00A15BBB">
        <w:rPr>
          <w:rFonts w:asciiTheme="majorHAnsi" w:hAnsiTheme="majorHAnsi"/>
          <w:sz w:val="16"/>
          <w:szCs w:val="16"/>
          <w:vertAlign w:val="superscript"/>
        </w:rPr>
        <w:footnoteRef/>
      </w:r>
      <w:r w:rsidRPr="00A15BBB">
        <w:rPr>
          <w:rFonts w:asciiTheme="majorHAnsi" w:hAnsiTheme="majorHAnsi"/>
          <w:sz w:val="16"/>
          <w:szCs w:val="16"/>
          <w:lang w:val="es-US"/>
        </w:rPr>
        <w:t xml:space="preserve"> CIDH. Informe No. 11/10. Caso 12.488. Fondo. Miembros de la Familia Barrios (Venezuela). 16 de marzo de 2010. 91; CIDH</w:t>
      </w:r>
      <w:r w:rsidRPr="00C34339">
        <w:rPr>
          <w:rFonts w:asciiTheme="majorHAnsi" w:hAnsiTheme="majorHAnsi"/>
          <w:i/>
          <w:sz w:val="16"/>
          <w:szCs w:val="16"/>
          <w:lang w:val="es-US"/>
        </w:rPr>
        <w:t>. Informe sobre Terrorismo y Derechos Humanos</w:t>
      </w:r>
      <w:r w:rsidRPr="00A15BBB">
        <w:rPr>
          <w:rFonts w:asciiTheme="majorHAnsi" w:hAnsiTheme="majorHAnsi"/>
          <w:sz w:val="16"/>
          <w:szCs w:val="16"/>
          <w:lang w:val="es-US"/>
        </w:rPr>
        <w:t xml:space="preserve"> (2002), párr. 227; Corte IDH. </w:t>
      </w:r>
      <w:r w:rsidRPr="00C34339">
        <w:rPr>
          <w:rFonts w:asciiTheme="majorHAnsi" w:hAnsiTheme="majorHAnsi"/>
          <w:i/>
          <w:sz w:val="16"/>
          <w:szCs w:val="16"/>
          <w:lang w:val="es-US"/>
        </w:rPr>
        <w:t xml:space="preserve">Caso Cantoral </w:t>
      </w:r>
      <w:proofErr w:type="spellStart"/>
      <w:r w:rsidRPr="00C34339">
        <w:rPr>
          <w:rFonts w:asciiTheme="majorHAnsi" w:hAnsiTheme="majorHAnsi"/>
          <w:i/>
          <w:sz w:val="16"/>
          <w:szCs w:val="16"/>
          <w:lang w:val="es-US"/>
        </w:rPr>
        <w:t>Huamaní</w:t>
      </w:r>
      <w:proofErr w:type="spellEnd"/>
      <w:r w:rsidRPr="00C34339">
        <w:rPr>
          <w:rFonts w:asciiTheme="majorHAnsi" w:hAnsiTheme="majorHAnsi"/>
          <w:i/>
          <w:sz w:val="16"/>
          <w:szCs w:val="16"/>
          <w:lang w:val="es-US"/>
        </w:rPr>
        <w:t xml:space="preserve"> y García Santa Cruz Vs. Perú</w:t>
      </w:r>
      <w:r w:rsidRPr="00A15BBB">
        <w:rPr>
          <w:rFonts w:asciiTheme="majorHAnsi" w:hAnsiTheme="majorHAnsi"/>
          <w:sz w:val="16"/>
          <w:szCs w:val="16"/>
          <w:lang w:val="es-US"/>
        </w:rPr>
        <w:t xml:space="preserve">. Sentencia de 10 de julio de 2007, párr. 112; </w:t>
      </w:r>
      <w:r w:rsidRPr="00C34339">
        <w:rPr>
          <w:rFonts w:asciiTheme="majorHAnsi" w:hAnsiTheme="majorHAnsi"/>
          <w:i/>
          <w:sz w:val="16"/>
          <w:szCs w:val="16"/>
          <w:lang w:val="es-US"/>
        </w:rPr>
        <w:t>Caso Bueno Alves Vs. Argentina</w:t>
      </w:r>
      <w:r w:rsidRPr="00A15BBB">
        <w:rPr>
          <w:rFonts w:asciiTheme="majorHAnsi" w:hAnsiTheme="majorHAnsi"/>
          <w:sz w:val="16"/>
          <w:szCs w:val="16"/>
          <w:lang w:val="es-US"/>
        </w:rPr>
        <w:t xml:space="preserve">. Sentencia de 11 de mayo de 2007, párr. 102. </w:t>
      </w:r>
    </w:p>
  </w:footnote>
  <w:footnote w:id="154">
    <w:p w14:paraId="06922D7A" w14:textId="395607B1" w:rsidR="00595122" w:rsidRPr="00A15BBB" w:rsidRDefault="00595122" w:rsidP="00E9338C">
      <w:pPr>
        <w:pStyle w:val="NoSpacing"/>
        <w:jc w:val="both"/>
        <w:rPr>
          <w:rFonts w:asciiTheme="majorHAnsi" w:hAnsiTheme="majorHAnsi"/>
          <w:sz w:val="16"/>
          <w:szCs w:val="16"/>
          <w:lang w:val="es-US"/>
        </w:rPr>
      </w:pPr>
      <w:r w:rsidRPr="00A15BBB">
        <w:rPr>
          <w:rFonts w:asciiTheme="majorHAnsi" w:hAnsiTheme="majorHAnsi"/>
          <w:sz w:val="16"/>
          <w:szCs w:val="16"/>
          <w:vertAlign w:val="superscript"/>
        </w:rPr>
        <w:footnoteRef/>
      </w:r>
      <w:r w:rsidRPr="00A15BBB">
        <w:rPr>
          <w:rFonts w:asciiTheme="majorHAnsi" w:hAnsiTheme="majorHAnsi"/>
          <w:sz w:val="16"/>
          <w:szCs w:val="16"/>
          <w:lang w:val="es-US"/>
        </w:rPr>
        <w:t xml:space="preserve"> Corte IDH. </w:t>
      </w:r>
      <w:r w:rsidRPr="00C34339">
        <w:rPr>
          <w:rFonts w:asciiTheme="majorHAnsi" w:hAnsiTheme="majorHAnsi"/>
          <w:i/>
          <w:sz w:val="16"/>
          <w:szCs w:val="16"/>
          <w:lang w:val="es-US"/>
        </w:rPr>
        <w:t xml:space="preserve">Caso Cantoral </w:t>
      </w:r>
      <w:proofErr w:type="spellStart"/>
      <w:r w:rsidRPr="00C34339">
        <w:rPr>
          <w:rFonts w:asciiTheme="majorHAnsi" w:hAnsiTheme="majorHAnsi"/>
          <w:i/>
          <w:sz w:val="16"/>
          <w:szCs w:val="16"/>
          <w:lang w:val="es-US"/>
        </w:rPr>
        <w:t>Huamaní</w:t>
      </w:r>
      <w:proofErr w:type="spellEnd"/>
      <w:r w:rsidRPr="00C34339">
        <w:rPr>
          <w:rFonts w:asciiTheme="majorHAnsi" w:hAnsiTheme="majorHAnsi"/>
          <w:i/>
          <w:sz w:val="16"/>
          <w:szCs w:val="16"/>
          <w:lang w:val="es-US"/>
        </w:rPr>
        <w:t xml:space="preserve"> y García Santa Cruz Vs. Perú</w:t>
      </w:r>
      <w:r w:rsidRPr="00A15BBB">
        <w:rPr>
          <w:rFonts w:asciiTheme="majorHAnsi" w:hAnsiTheme="majorHAnsi"/>
          <w:sz w:val="16"/>
          <w:szCs w:val="16"/>
          <w:lang w:val="es-US"/>
        </w:rPr>
        <w:t xml:space="preserve">. Sentencia de 10 de julio de 2007, párr. 112; </w:t>
      </w:r>
      <w:r w:rsidRPr="00C34339">
        <w:rPr>
          <w:rFonts w:asciiTheme="majorHAnsi" w:hAnsiTheme="majorHAnsi"/>
          <w:i/>
          <w:sz w:val="16"/>
          <w:szCs w:val="16"/>
          <w:lang w:val="es-US"/>
        </w:rPr>
        <w:t xml:space="preserve">Caso Vargas </w:t>
      </w:r>
      <w:proofErr w:type="spellStart"/>
      <w:r w:rsidRPr="00C34339">
        <w:rPr>
          <w:rFonts w:asciiTheme="majorHAnsi" w:hAnsiTheme="majorHAnsi"/>
          <w:i/>
          <w:sz w:val="16"/>
          <w:szCs w:val="16"/>
          <w:lang w:val="es-US"/>
        </w:rPr>
        <w:t>Areco</w:t>
      </w:r>
      <w:proofErr w:type="spellEnd"/>
      <w:r w:rsidRPr="00C34339">
        <w:rPr>
          <w:rFonts w:asciiTheme="majorHAnsi" w:hAnsiTheme="majorHAnsi"/>
          <w:i/>
          <w:sz w:val="16"/>
          <w:szCs w:val="16"/>
          <w:lang w:val="es-US"/>
        </w:rPr>
        <w:t xml:space="preserve"> Vs. Paraguay</w:t>
      </w:r>
      <w:r w:rsidRPr="00A15BBB">
        <w:rPr>
          <w:rFonts w:asciiTheme="majorHAnsi" w:hAnsiTheme="majorHAnsi"/>
          <w:sz w:val="16"/>
          <w:szCs w:val="16"/>
          <w:lang w:val="es-US"/>
        </w:rPr>
        <w:t>. Sentencia de 26 de septiembre de 2006, párr. 96.</w:t>
      </w:r>
    </w:p>
  </w:footnote>
  <w:footnote w:id="155">
    <w:p w14:paraId="30E744FD" w14:textId="5380487A" w:rsidR="00595122" w:rsidRPr="00461FE2" w:rsidRDefault="00595122" w:rsidP="00E9338C">
      <w:pPr>
        <w:pStyle w:val="NoSpacing"/>
        <w:jc w:val="both"/>
        <w:rPr>
          <w:sz w:val="16"/>
          <w:szCs w:val="16"/>
          <w:lang w:val="es-US"/>
        </w:rPr>
      </w:pPr>
      <w:r w:rsidRPr="00A15BBB">
        <w:rPr>
          <w:rFonts w:asciiTheme="majorHAnsi" w:hAnsiTheme="majorHAnsi"/>
          <w:sz w:val="16"/>
          <w:szCs w:val="16"/>
          <w:vertAlign w:val="superscript"/>
        </w:rPr>
        <w:footnoteRef/>
      </w:r>
      <w:r w:rsidRPr="00A15BBB">
        <w:rPr>
          <w:rFonts w:asciiTheme="majorHAnsi" w:hAnsiTheme="majorHAnsi"/>
          <w:sz w:val="16"/>
          <w:szCs w:val="16"/>
          <w:lang w:val="es-US"/>
        </w:rPr>
        <w:t xml:space="preserve"> Corte IDH. </w:t>
      </w:r>
      <w:r w:rsidRPr="00C34339">
        <w:rPr>
          <w:rFonts w:asciiTheme="majorHAnsi" w:hAnsiTheme="majorHAnsi"/>
          <w:i/>
          <w:sz w:val="16"/>
          <w:szCs w:val="16"/>
          <w:lang w:val="es-US"/>
        </w:rPr>
        <w:t>Caso Valle Jaramillo Vs. Colombia</w:t>
      </w:r>
      <w:r w:rsidRPr="00A15BBB">
        <w:rPr>
          <w:rFonts w:asciiTheme="majorHAnsi" w:hAnsiTheme="majorHAnsi"/>
          <w:sz w:val="16"/>
          <w:szCs w:val="16"/>
          <w:lang w:val="es-US"/>
        </w:rPr>
        <w:t xml:space="preserve">. Sentencia de 27 de noviembre de 2008, párr. 102; </w:t>
      </w:r>
      <w:r w:rsidRPr="00C34339">
        <w:rPr>
          <w:rFonts w:asciiTheme="majorHAnsi" w:hAnsiTheme="majorHAnsi"/>
          <w:i/>
          <w:sz w:val="16"/>
          <w:szCs w:val="16"/>
          <w:lang w:val="es-US"/>
        </w:rPr>
        <w:t>Caso de la Masacre de la Rochela Vs. Colombia</w:t>
      </w:r>
      <w:r w:rsidRPr="00A15BBB">
        <w:rPr>
          <w:rFonts w:asciiTheme="majorHAnsi" w:hAnsiTheme="majorHAnsi"/>
          <w:sz w:val="16"/>
          <w:szCs w:val="16"/>
          <w:lang w:val="es-US"/>
        </w:rPr>
        <w:t xml:space="preserve">. Sentencia de 11 de mayo de 2007, párr. </w:t>
      </w:r>
      <w:r w:rsidRPr="00461FE2">
        <w:rPr>
          <w:rFonts w:asciiTheme="majorHAnsi" w:hAnsiTheme="majorHAnsi"/>
          <w:sz w:val="16"/>
          <w:szCs w:val="16"/>
          <w:lang w:val="es-CO"/>
        </w:rPr>
        <w:t xml:space="preserve">195; </w:t>
      </w:r>
      <w:r w:rsidRPr="00C34339">
        <w:rPr>
          <w:rFonts w:asciiTheme="majorHAnsi" w:hAnsiTheme="majorHAnsi"/>
          <w:i/>
          <w:sz w:val="16"/>
          <w:szCs w:val="16"/>
          <w:lang w:val="es-CO"/>
        </w:rPr>
        <w:t>Heliodoro Portugal Vs. Panamá</w:t>
      </w:r>
      <w:r w:rsidRPr="00461FE2">
        <w:rPr>
          <w:rFonts w:asciiTheme="majorHAnsi" w:hAnsiTheme="majorHAnsi"/>
          <w:sz w:val="16"/>
          <w:szCs w:val="16"/>
          <w:lang w:val="es-CO"/>
        </w:rPr>
        <w:t xml:space="preserve">. </w:t>
      </w:r>
      <w:hyperlink r:id="rId3" w:history="1">
        <w:r w:rsidRPr="00461FE2">
          <w:rPr>
            <w:rFonts w:asciiTheme="majorHAnsi" w:hAnsiTheme="majorHAnsi"/>
            <w:sz w:val="16"/>
            <w:szCs w:val="16"/>
            <w:lang w:val="es-US"/>
          </w:rPr>
          <w:t>Sentencia de 12 de agosto de 2008</w:t>
        </w:r>
      </w:hyperlink>
      <w:r w:rsidRPr="00461FE2">
        <w:rPr>
          <w:rFonts w:asciiTheme="majorHAnsi" w:hAnsiTheme="majorHAnsi"/>
          <w:sz w:val="16"/>
          <w:szCs w:val="16"/>
          <w:lang w:val="es-US"/>
        </w:rPr>
        <w:t>, párr.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CE1E" w14:textId="77777777" w:rsidR="00595122" w:rsidRDefault="00595122" w:rsidP="00A363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983FF9" w14:textId="77777777" w:rsidR="00595122" w:rsidRDefault="00595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EB1E" w14:textId="77777777" w:rsidR="00595122" w:rsidRDefault="00595122" w:rsidP="00A50FCF">
    <w:pPr>
      <w:pStyle w:val="Header"/>
      <w:tabs>
        <w:tab w:val="clear" w:pos="4320"/>
        <w:tab w:val="clear" w:pos="8640"/>
      </w:tabs>
      <w:jc w:val="center"/>
      <w:rPr>
        <w:sz w:val="22"/>
        <w:szCs w:val="22"/>
      </w:rPr>
    </w:pPr>
    <w:r>
      <w:rPr>
        <w:noProof/>
        <w:sz w:val="22"/>
        <w:szCs w:val="22"/>
      </w:rPr>
      <w:drawing>
        <wp:inline distT="0" distB="0" distL="0" distR="0" wp14:anchorId="19DBD92F" wp14:editId="22279547">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600DBEE" w14:textId="77777777" w:rsidR="00595122" w:rsidRPr="00EC7D62" w:rsidRDefault="00D877A2" w:rsidP="00A50FCF">
    <w:pPr>
      <w:pStyle w:val="Header"/>
      <w:tabs>
        <w:tab w:val="clear" w:pos="4320"/>
        <w:tab w:val="clear" w:pos="8640"/>
      </w:tabs>
      <w:jc w:val="center"/>
      <w:rPr>
        <w:sz w:val="22"/>
        <w:szCs w:val="22"/>
      </w:rPr>
    </w:pPr>
    <w:r>
      <w:rPr>
        <w:sz w:val="22"/>
        <w:szCs w:val="22"/>
      </w:rPr>
      <w:pict w14:anchorId="639676EB">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3AE"/>
    <w:multiLevelType w:val="hybridMultilevel"/>
    <w:tmpl w:val="C6EE2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5B071C"/>
    <w:multiLevelType w:val="hybridMultilevel"/>
    <w:tmpl w:val="3116731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0127D8"/>
    <w:multiLevelType w:val="hybridMultilevel"/>
    <w:tmpl w:val="E59AC6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B287D"/>
    <w:multiLevelType w:val="hybridMultilevel"/>
    <w:tmpl w:val="B6D0F1A4"/>
    <w:lvl w:ilvl="0" w:tplc="1B76C76A">
      <w:start w:val="1"/>
      <w:numFmt w:val="decimal"/>
      <w:lvlText w:val="%1."/>
      <w:lvlJc w:val="left"/>
      <w:pPr>
        <w:ind w:left="720" w:hanging="360"/>
      </w:pPr>
      <w:rPr>
        <w:rFonts w:ascii="Cambria" w:hAnsi="Cambri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599A"/>
    <w:multiLevelType w:val="hybridMultilevel"/>
    <w:tmpl w:val="DCC861EC"/>
    <w:lvl w:ilvl="0" w:tplc="FFA633A4">
      <w:start w:val="5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08793E"/>
    <w:multiLevelType w:val="hybridMultilevel"/>
    <w:tmpl w:val="B8F664C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3A467A"/>
    <w:multiLevelType w:val="hybridMultilevel"/>
    <w:tmpl w:val="E27665A0"/>
    <w:lvl w:ilvl="0" w:tplc="685E6DD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B1B68F9"/>
    <w:multiLevelType w:val="hybridMultilevel"/>
    <w:tmpl w:val="284E9F84"/>
    <w:lvl w:ilvl="0" w:tplc="1D162EC4">
      <w:start w:val="1"/>
      <w:numFmt w:val="upperLetter"/>
      <w:pStyle w:val="Heading2"/>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DB66050"/>
    <w:multiLevelType w:val="hybridMultilevel"/>
    <w:tmpl w:val="7116F3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EC08CB"/>
    <w:multiLevelType w:val="hybridMultilevel"/>
    <w:tmpl w:val="C6EE2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9B6E76"/>
    <w:multiLevelType w:val="hybridMultilevel"/>
    <w:tmpl w:val="CC6E4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E5C606D"/>
    <w:multiLevelType w:val="hybridMultilevel"/>
    <w:tmpl w:val="58E02252"/>
    <w:lvl w:ilvl="0" w:tplc="27069A82">
      <w:start w:val="1"/>
      <w:numFmt w:val="decimal"/>
      <w:pStyle w:val="Heading3"/>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59747FF"/>
    <w:multiLevelType w:val="hybridMultilevel"/>
    <w:tmpl w:val="22FC9FA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D7D4B9D"/>
    <w:multiLevelType w:val="hybridMultilevel"/>
    <w:tmpl w:val="22FC9FA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5344FFE"/>
    <w:multiLevelType w:val="hybridMultilevel"/>
    <w:tmpl w:val="22FC9FA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B143BE3"/>
    <w:multiLevelType w:val="hybridMultilevel"/>
    <w:tmpl w:val="45FA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1D4FEF"/>
    <w:multiLevelType w:val="hybridMultilevel"/>
    <w:tmpl w:val="9E964F4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0786ED7"/>
    <w:multiLevelType w:val="hybridMultilevel"/>
    <w:tmpl w:val="721621E8"/>
    <w:lvl w:ilvl="0" w:tplc="4BA09A5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9443D6"/>
    <w:multiLevelType w:val="hybridMultilevel"/>
    <w:tmpl w:val="F208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8"/>
  </w:num>
  <w:num w:numId="4">
    <w:abstractNumId w:val="29"/>
  </w:num>
  <w:num w:numId="5">
    <w:abstractNumId w:val="59"/>
  </w:num>
  <w:num w:numId="6">
    <w:abstractNumId w:val="35"/>
  </w:num>
  <w:num w:numId="7">
    <w:abstractNumId w:val="10"/>
  </w:num>
  <w:num w:numId="8">
    <w:abstractNumId w:val="23"/>
  </w:num>
  <w:num w:numId="9">
    <w:abstractNumId w:val="51"/>
  </w:num>
  <w:num w:numId="10">
    <w:abstractNumId w:val="1"/>
  </w:num>
  <w:num w:numId="11">
    <w:abstractNumId w:val="45"/>
  </w:num>
  <w:num w:numId="12">
    <w:abstractNumId w:val="46"/>
  </w:num>
  <w:num w:numId="13">
    <w:abstractNumId w:val="54"/>
  </w:num>
  <w:num w:numId="14">
    <w:abstractNumId w:val="2"/>
  </w:num>
  <w:num w:numId="15">
    <w:abstractNumId w:val="3"/>
  </w:num>
  <w:num w:numId="16">
    <w:abstractNumId w:val="11"/>
  </w:num>
  <w:num w:numId="17">
    <w:abstractNumId w:val="13"/>
  </w:num>
  <w:num w:numId="18">
    <w:abstractNumId w:val="14"/>
  </w:num>
  <w:num w:numId="19">
    <w:abstractNumId w:val="15"/>
  </w:num>
  <w:num w:numId="20">
    <w:abstractNumId w:val="16"/>
  </w:num>
  <w:num w:numId="21">
    <w:abstractNumId w:val="18"/>
  </w:num>
  <w:num w:numId="22">
    <w:abstractNumId w:val="19"/>
  </w:num>
  <w:num w:numId="23">
    <w:abstractNumId w:val="20"/>
  </w:num>
  <w:num w:numId="24">
    <w:abstractNumId w:val="21"/>
  </w:num>
  <w:num w:numId="25">
    <w:abstractNumId w:val="24"/>
  </w:num>
  <w:num w:numId="26">
    <w:abstractNumId w:val="25"/>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8"/>
  </w:num>
  <w:num w:numId="40">
    <w:abstractNumId w:val="49"/>
  </w:num>
  <w:num w:numId="41">
    <w:abstractNumId w:val="57"/>
  </w:num>
  <w:num w:numId="42">
    <w:abstractNumId w:val="60"/>
  </w:num>
  <w:num w:numId="43">
    <w:abstractNumId w:val="63"/>
  </w:num>
  <w:num w:numId="44">
    <w:abstractNumId w:val="66"/>
  </w:num>
  <w:num w:numId="45">
    <w:abstractNumId w:val="67"/>
  </w:num>
  <w:num w:numId="46">
    <w:abstractNumId w:val="69"/>
  </w:num>
  <w:num w:numId="47">
    <w:abstractNumId w:val="70"/>
  </w:num>
  <w:num w:numId="48">
    <w:abstractNumId w:val="71"/>
  </w:num>
  <w:num w:numId="49">
    <w:abstractNumId w:val="72"/>
  </w:num>
  <w:num w:numId="50">
    <w:abstractNumId w:val="73"/>
  </w:num>
  <w:num w:numId="51">
    <w:abstractNumId w:val="28"/>
  </w:num>
  <w:num w:numId="52">
    <w:abstractNumId w:val="50"/>
  </w:num>
  <w:num w:numId="53">
    <w:abstractNumId w:val="64"/>
  </w:num>
  <w:num w:numId="54">
    <w:abstractNumId w:val="55"/>
  </w:num>
  <w:num w:numId="55">
    <w:abstractNumId w:val="33"/>
  </w:num>
  <w:num w:numId="56">
    <w:abstractNumId w:val="22"/>
  </w:num>
  <w:num w:numId="57">
    <w:abstractNumId w:val="56"/>
  </w:num>
  <w:num w:numId="58">
    <w:abstractNumId w:val="26"/>
  </w:num>
  <w:num w:numId="59">
    <w:abstractNumId w:val="7"/>
  </w:num>
  <w:num w:numId="60">
    <w:abstractNumId w:val="0"/>
  </w:num>
  <w:num w:numId="61">
    <w:abstractNumId w:val="53"/>
  </w:num>
  <w:num w:numId="62">
    <w:abstractNumId w:val="8"/>
  </w:num>
  <w:num w:numId="63">
    <w:abstractNumId w:val="65"/>
  </w:num>
  <w:num w:numId="64">
    <w:abstractNumId w:val="12"/>
  </w:num>
  <w:num w:numId="65">
    <w:abstractNumId w:val="62"/>
  </w:num>
  <w:num w:numId="66">
    <w:abstractNumId w:val="33"/>
    <w:lvlOverride w:ilvl="0">
      <w:lvl w:ilvl="0" w:tplc="B21693E6">
        <w:start w:val="1"/>
        <w:numFmt w:val="upperLetter"/>
        <w:lvlText w:val="%1."/>
        <w:lvlJc w:val="left"/>
        <w:rPr>
          <w:rFonts w:ascii="Cambria" w:eastAsia="Times New Roman" w:hAnsi="Cambria" w:cs="Times New Roman" w:hint="default"/>
          <w:b/>
          <w:bCs/>
          <w:color w:val="auto"/>
          <w:position w:val="0"/>
          <w:sz w:val="20"/>
          <w:szCs w:val="20"/>
          <w:u w:color="FF0000"/>
          <w:lang w:val="es-ES_tradnl"/>
        </w:rPr>
      </w:lvl>
    </w:lvlOverride>
  </w:num>
  <w:num w:numId="67">
    <w:abstractNumId w:val="5"/>
  </w:num>
  <w:num w:numId="68">
    <w:abstractNumId w:val="58"/>
  </w:num>
  <w:num w:numId="69">
    <w:abstractNumId w:val="27"/>
  </w:num>
  <w:num w:numId="70">
    <w:abstractNumId w:val="47"/>
  </w:num>
  <w:num w:numId="71">
    <w:abstractNumId w:val="44"/>
  </w:num>
  <w:num w:numId="72">
    <w:abstractNumId w:val="52"/>
  </w:num>
  <w:num w:numId="73">
    <w:abstractNumId w:val="17"/>
  </w:num>
  <w:num w:numId="74">
    <w:abstractNumId w:val="61"/>
  </w:num>
  <w:num w:numId="75">
    <w:abstractNumId w:val="9"/>
  </w:num>
  <w:num w:numId="76">
    <w:abstractNumId w:val="22"/>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22"/>
    <w:lvlOverride w:ilvl="0">
      <w:startOverride w:val="1"/>
    </w:lvlOverride>
  </w:num>
  <w:num w:numId="80">
    <w:abstractNumId w:val="47"/>
    <w:lvlOverride w:ilvl="0">
      <w:startOverride w:val="1"/>
    </w:lvlOverride>
  </w:num>
  <w:num w:numId="81">
    <w:abstractNumId w:val="47"/>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56A"/>
    <w:rsid w:val="00006896"/>
    <w:rsid w:val="000068C6"/>
    <w:rsid w:val="00006E1F"/>
    <w:rsid w:val="000070D7"/>
    <w:rsid w:val="000106FC"/>
    <w:rsid w:val="00013C96"/>
    <w:rsid w:val="0001412C"/>
    <w:rsid w:val="000158FD"/>
    <w:rsid w:val="000174E5"/>
    <w:rsid w:val="0001788C"/>
    <w:rsid w:val="00017F67"/>
    <w:rsid w:val="000206A0"/>
    <w:rsid w:val="00021152"/>
    <w:rsid w:val="0002203B"/>
    <w:rsid w:val="00023C8B"/>
    <w:rsid w:val="00027253"/>
    <w:rsid w:val="00030A0E"/>
    <w:rsid w:val="00030BB2"/>
    <w:rsid w:val="000409B5"/>
    <w:rsid w:val="00040C3A"/>
    <w:rsid w:val="000426A9"/>
    <w:rsid w:val="00042F1A"/>
    <w:rsid w:val="0004340F"/>
    <w:rsid w:val="00052A1F"/>
    <w:rsid w:val="00055673"/>
    <w:rsid w:val="000563AB"/>
    <w:rsid w:val="000639CC"/>
    <w:rsid w:val="0006601A"/>
    <w:rsid w:val="00067A5D"/>
    <w:rsid w:val="000716C5"/>
    <w:rsid w:val="00071B60"/>
    <w:rsid w:val="00072D27"/>
    <w:rsid w:val="00075E23"/>
    <w:rsid w:val="0008086E"/>
    <w:rsid w:val="00082CFF"/>
    <w:rsid w:val="000853DB"/>
    <w:rsid w:val="0008768F"/>
    <w:rsid w:val="00090680"/>
    <w:rsid w:val="00090A65"/>
    <w:rsid w:val="000928F3"/>
    <w:rsid w:val="0009344A"/>
    <w:rsid w:val="000A11B7"/>
    <w:rsid w:val="000A3794"/>
    <w:rsid w:val="000A392E"/>
    <w:rsid w:val="000A575F"/>
    <w:rsid w:val="000A576A"/>
    <w:rsid w:val="000A6B98"/>
    <w:rsid w:val="000A6EAA"/>
    <w:rsid w:val="000A7403"/>
    <w:rsid w:val="000A781A"/>
    <w:rsid w:val="000B0584"/>
    <w:rsid w:val="000B0F48"/>
    <w:rsid w:val="000B12DC"/>
    <w:rsid w:val="000B4CA4"/>
    <w:rsid w:val="000B6E77"/>
    <w:rsid w:val="000C07C9"/>
    <w:rsid w:val="000C0DB3"/>
    <w:rsid w:val="000C1DBD"/>
    <w:rsid w:val="000C46DF"/>
    <w:rsid w:val="000C682F"/>
    <w:rsid w:val="000C6869"/>
    <w:rsid w:val="000D10DB"/>
    <w:rsid w:val="000D351B"/>
    <w:rsid w:val="000D35C7"/>
    <w:rsid w:val="000D55F1"/>
    <w:rsid w:val="000D6850"/>
    <w:rsid w:val="000E2217"/>
    <w:rsid w:val="000E2529"/>
    <w:rsid w:val="000E46C1"/>
    <w:rsid w:val="000E5012"/>
    <w:rsid w:val="000E5EB5"/>
    <w:rsid w:val="000E6963"/>
    <w:rsid w:val="000F2219"/>
    <w:rsid w:val="000F35ED"/>
    <w:rsid w:val="00101203"/>
    <w:rsid w:val="00101223"/>
    <w:rsid w:val="001056E0"/>
    <w:rsid w:val="00107131"/>
    <w:rsid w:val="0010736F"/>
    <w:rsid w:val="001073DF"/>
    <w:rsid w:val="0011073F"/>
    <w:rsid w:val="00113F73"/>
    <w:rsid w:val="00121CC2"/>
    <w:rsid w:val="00132CE5"/>
    <w:rsid w:val="00133EE5"/>
    <w:rsid w:val="00137289"/>
    <w:rsid w:val="00141CDF"/>
    <w:rsid w:val="00142902"/>
    <w:rsid w:val="00145B3B"/>
    <w:rsid w:val="00145D31"/>
    <w:rsid w:val="00150E8F"/>
    <w:rsid w:val="00152F6A"/>
    <w:rsid w:val="00153A7E"/>
    <w:rsid w:val="00156A2F"/>
    <w:rsid w:val="001606BC"/>
    <w:rsid w:val="00166189"/>
    <w:rsid w:val="0016651E"/>
    <w:rsid w:val="0016719D"/>
    <w:rsid w:val="00167A34"/>
    <w:rsid w:val="001721CE"/>
    <w:rsid w:val="00174388"/>
    <w:rsid w:val="001764FA"/>
    <w:rsid w:val="00181F34"/>
    <w:rsid w:val="0018451D"/>
    <w:rsid w:val="00184788"/>
    <w:rsid w:val="00185003"/>
    <w:rsid w:val="00190F5A"/>
    <w:rsid w:val="00191499"/>
    <w:rsid w:val="00192F84"/>
    <w:rsid w:val="001939AC"/>
    <w:rsid w:val="00195422"/>
    <w:rsid w:val="00196CC1"/>
    <w:rsid w:val="001A02D9"/>
    <w:rsid w:val="001A22EE"/>
    <w:rsid w:val="001A293F"/>
    <w:rsid w:val="001A2AC9"/>
    <w:rsid w:val="001A6F8B"/>
    <w:rsid w:val="001A7870"/>
    <w:rsid w:val="001B41DC"/>
    <w:rsid w:val="001C0212"/>
    <w:rsid w:val="001C103F"/>
    <w:rsid w:val="001C1B41"/>
    <w:rsid w:val="001C64F0"/>
    <w:rsid w:val="001D09EE"/>
    <w:rsid w:val="001D10F1"/>
    <w:rsid w:val="001D18C7"/>
    <w:rsid w:val="001D1EFD"/>
    <w:rsid w:val="001D3E9C"/>
    <w:rsid w:val="001D49B7"/>
    <w:rsid w:val="001D65EF"/>
    <w:rsid w:val="001E0055"/>
    <w:rsid w:val="001E15B6"/>
    <w:rsid w:val="001F01C4"/>
    <w:rsid w:val="001F139F"/>
    <w:rsid w:val="001F30DA"/>
    <w:rsid w:val="001F4977"/>
    <w:rsid w:val="001F6C20"/>
    <w:rsid w:val="002004B7"/>
    <w:rsid w:val="00200657"/>
    <w:rsid w:val="00201720"/>
    <w:rsid w:val="00201F31"/>
    <w:rsid w:val="00204B61"/>
    <w:rsid w:val="00206FFC"/>
    <w:rsid w:val="002076B1"/>
    <w:rsid w:val="00210F59"/>
    <w:rsid w:val="0021207E"/>
    <w:rsid w:val="00212246"/>
    <w:rsid w:val="00215EAE"/>
    <w:rsid w:val="0022154D"/>
    <w:rsid w:val="00221671"/>
    <w:rsid w:val="00221A28"/>
    <w:rsid w:val="002250A3"/>
    <w:rsid w:val="00230550"/>
    <w:rsid w:val="00230C23"/>
    <w:rsid w:val="002311E0"/>
    <w:rsid w:val="00233163"/>
    <w:rsid w:val="0023364C"/>
    <w:rsid w:val="00235217"/>
    <w:rsid w:val="00242C1A"/>
    <w:rsid w:val="002431FE"/>
    <w:rsid w:val="00243CEB"/>
    <w:rsid w:val="00246D1F"/>
    <w:rsid w:val="00247403"/>
    <w:rsid w:val="00247542"/>
    <w:rsid w:val="00247A94"/>
    <w:rsid w:val="002553B3"/>
    <w:rsid w:val="002567F8"/>
    <w:rsid w:val="002578E7"/>
    <w:rsid w:val="0026135D"/>
    <w:rsid w:val="0026247A"/>
    <w:rsid w:val="00262CE9"/>
    <w:rsid w:val="00263A58"/>
    <w:rsid w:val="00266B61"/>
    <w:rsid w:val="0026712A"/>
    <w:rsid w:val="002704DB"/>
    <w:rsid w:val="002767DF"/>
    <w:rsid w:val="00276DF8"/>
    <w:rsid w:val="00277A0F"/>
    <w:rsid w:val="00277EF9"/>
    <w:rsid w:val="002827DD"/>
    <w:rsid w:val="002837E4"/>
    <w:rsid w:val="00283958"/>
    <w:rsid w:val="00284252"/>
    <w:rsid w:val="0028537F"/>
    <w:rsid w:val="0029678A"/>
    <w:rsid w:val="00296EEC"/>
    <w:rsid w:val="00297A0B"/>
    <w:rsid w:val="002A045C"/>
    <w:rsid w:val="002A0AAE"/>
    <w:rsid w:val="002A283F"/>
    <w:rsid w:val="002A5820"/>
    <w:rsid w:val="002A60FD"/>
    <w:rsid w:val="002B032E"/>
    <w:rsid w:val="002B21D3"/>
    <w:rsid w:val="002C13AE"/>
    <w:rsid w:val="002D2B26"/>
    <w:rsid w:val="002D4628"/>
    <w:rsid w:val="002D6F37"/>
    <w:rsid w:val="002D7EA2"/>
    <w:rsid w:val="002E118B"/>
    <w:rsid w:val="002E187C"/>
    <w:rsid w:val="002E4AEA"/>
    <w:rsid w:val="00302733"/>
    <w:rsid w:val="00302D19"/>
    <w:rsid w:val="00303D52"/>
    <w:rsid w:val="00304A40"/>
    <w:rsid w:val="00307AA4"/>
    <w:rsid w:val="00307ABC"/>
    <w:rsid w:val="00312431"/>
    <w:rsid w:val="00314078"/>
    <w:rsid w:val="0031535D"/>
    <w:rsid w:val="003159A6"/>
    <w:rsid w:val="00316512"/>
    <w:rsid w:val="00320A63"/>
    <w:rsid w:val="0032283D"/>
    <w:rsid w:val="003242C9"/>
    <w:rsid w:val="0033028D"/>
    <w:rsid w:val="003312D7"/>
    <w:rsid w:val="0033169F"/>
    <w:rsid w:val="00333784"/>
    <w:rsid w:val="003359AE"/>
    <w:rsid w:val="0033749C"/>
    <w:rsid w:val="003449B6"/>
    <w:rsid w:val="00346C95"/>
    <w:rsid w:val="00350E75"/>
    <w:rsid w:val="0035158C"/>
    <w:rsid w:val="00356185"/>
    <w:rsid w:val="0035785D"/>
    <w:rsid w:val="00360380"/>
    <w:rsid w:val="00360459"/>
    <w:rsid w:val="00361415"/>
    <w:rsid w:val="00365872"/>
    <w:rsid w:val="003658F5"/>
    <w:rsid w:val="00365C67"/>
    <w:rsid w:val="00365D81"/>
    <w:rsid w:val="0037519E"/>
    <w:rsid w:val="00375375"/>
    <w:rsid w:val="0037557B"/>
    <w:rsid w:val="0037737A"/>
    <w:rsid w:val="00383332"/>
    <w:rsid w:val="00385E82"/>
    <w:rsid w:val="003869A1"/>
    <w:rsid w:val="00386CF0"/>
    <w:rsid w:val="0039583F"/>
    <w:rsid w:val="00396D6B"/>
    <w:rsid w:val="003A0B1D"/>
    <w:rsid w:val="003A1969"/>
    <w:rsid w:val="003A5799"/>
    <w:rsid w:val="003B0D61"/>
    <w:rsid w:val="003B1F25"/>
    <w:rsid w:val="003B218F"/>
    <w:rsid w:val="003C0D20"/>
    <w:rsid w:val="003C0FCC"/>
    <w:rsid w:val="003C3C3E"/>
    <w:rsid w:val="003C3D19"/>
    <w:rsid w:val="003C3F6F"/>
    <w:rsid w:val="003C52A6"/>
    <w:rsid w:val="003C676B"/>
    <w:rsid w:val="003C72BB"/>
    <w:rsid w:val="003D1FF2"/>
    <w:rsid w:val="003D2DE2"/>
    <w:rsid w:val="003D37C0"/>
    <w:rsid w:val="003D3BC2"/>
    <w:rsid w:val="003D67C7"/>
    <w:rsid w:val="003D7C03"/>
    <w:rsid w:val="003E13D4"/>
    <w:rsid w:val="003E1DC3"/>
    <w:rsid w:val="003E432F"/>
    <w:rsid w:val="003E567E"/>
    <w:rsid w:val="003E6CA1"/>
    <w:rsid w:val="003F2B50"/>
    <w:rsid w:val="003F558B"/>
    <w:rsid w:val="003F57EA"/>
    <w:rsid w:val="003F6F66"/>
    <w:rsid w:val="00404F75"/>
    <w:rsid w:val="00407E66"/>
    <w:rsid w:val="0041134A"/>
    <w:rsid w:val="00412065"/>
    <w:rsid w:val="00412E35"/>
    <w:rsid w:val="00414FED"/>
    <w:rsid w:val="00415900"/>
    <w:rsid w:val="00415F58"/>
    <w:rsid w:val="004165C2"/>
    <w:rsid w:val="00416939"/>
    <w:rsid w:val="00417B15"/>
    <w:rsid w:val="00423C3A"/>
    <w:rsid w:val="00424705"/>
    <w:rsid w:val="00426114"/>
    <w:rsid w:val="00426CF9"/>
    <w:rsid w:val="0042797F"/>
    <w:rsid w:val="004321FE"/>
    <w:rsid w:val="00434DA4"/>
    <w:rsid w:val="00437655"/>
    <w:rsid w:val="00441B1C"/>
    <w:rsid w:val="00441ECB"/>
    <w:rsid w:val="0044273D"/>
    <w:rsid w:val="004451B9"/>
    <w:rsid w:val="00454B4B"/>
    <w:rsid w:val="00454FB2"/>
    <w:rsid w:val="00461FE2"/>
    <w:rsid w:val="00462576"/>
    <w:rsid w:val="004654C3"/>
    <w:rsid w:val="00466677"/>
    <w:rsid w:val="00466922"/>
    <w:rsid w:val="00467B7E"/>
    <w:rsid w:val="004747DB"/>
    <w:rsid w:val="00475B32"/>
    <w:rsid w:val="00476159"/>
    <w:rsid w:val="00476715"/>
    <w:rsid w:val="00476BCD"/>
    <w:rsid w:val="00477359"/>
    <w:rsid w:val="00477592"/>
    <w:rsid w:val="00482EC8"/>
    <w:rsid w:val="004861D7"/>
    <w:rsid w:val="004868C9"/>
    <w:rsid w:val="00486E65"/>
    <w:rsid w:val="00486F1C"/>
    <w:rsid w:val="00491249"/>
    <w:rsid w:val="004931FB"/>
    <w:rsid w:val="0049419D"/>
    <w:rsid w:val="00496AE4"/>
    <w:rsid w:val="004A6D0C"/>
    <w:rsid w:val="004B2581"/>
    <w:rsid w:val="004B2D9D"/>
    <w:rsid w:val="004B7176"/>
    <w:rsid w:val="004B7E84"/>
    <w:rsid w:val="004C20D2"/>
    <w:rsid w:val="004C4B62"/>
    <w:rsid w:val="004C54C9"/>
    <w:rsid w:val="004C6ADC"/>
    <w:rsid w:val="004C790D"/>
    <w:rsid w:val="004D1523"/>
    <w:rsid w:val="004D195F"/>
    <w:rsid w:val="004D2720"/>
    <w:rsid w:val="004D44BE"/>
    <w:rsid w:val="004D6025"/>
    <w:rsid w:val="004D6618"/>
    <w:rsid w:val="004E2649"/>
    <w:rsid w:val="004E28DA"/>
    <w:rsid w:val="004E2CDE"/>
    <w:rsid w:val="004E7B2B"/>
    <w:rsid w:val="004F00DC"/>
    <w:rsid w:val="004F2022"/>
    <w:rsid w:val="004F3F1B"/>
    <w:rsid w:val="004F47A6"/>
    <w:rsid w:val="004F5025"/>
    <w:rsid w:val="004F57A9"/>
    <w:rsid w:val="004F627D"/>
    <w:rsid w:val="004F6A74"/>
    <w:rsid w:val="00500BAA"/>
    <w:rsid w:val="00501399"/>
    <w:rsid w:val="00501919"/>
    <w:rsid w:val="00501B05"/>
    <w:rsid w:val="00503A5D"/>
    <w:rsid w:val="0050633D"/>
    <w:rsid w:val="00507BC4"/>
    <w:rsid w:val="005113EC"/>
    <w:rsid w:val="00512396"/>
    <w:rsid w:val="005128E4"/>
    <w:rsid w:val="005133DB"/>
    <w:rsid w:val="00515051"/>
    <w:rsid w:val="00515330"/>
    <w:rsid w:val="00516107"/>
    <w:rsid w:val="00520BA6"/>
    <w:rsid w:val="00522BEE"/>
    <w:rsid w:val="00522EF8"/>
    <w:rsid w:val="00525560"/>
    <w:rsid w:val="00525D3E"/>
    <w:rsid w:val="00526D62"/>
    <w:rsid w:val="005338E5"/>
    <w:rsid w:val="0053494F"/>
    <w:rsid w:val="00534FF6"/>
    <w:rsid w:val="005354F3"/>
    <w:rsid w:val="00536923"/>
    <w:rsid w:val="00536E3D"/>
    <w:rsid w:val="00537625"/>
    <w:rsid w:val="005402E1"/>
    <w:rsid w:val="0054131E"/>
    <w:rsid w:val="00542DA7"/>
    <w:rsid w:val="005430CE"/>
    <w:rsid w:val="0054431D"/>
    <w:rsid w:val="00544C49"/>
    <w:rsid w:val="00550E81"/>
    <w:rsid w:val="005516A1"/>
    <w:rsid w:val="00552B4A"/>
    <w:rsid w:val="005538F4"/>
    <w:rsid w:val="005569B8"/>
    <w:rsid w:val="00561149"/>
    <w:rsid w:val="005628FD"/>
    <w:rsid w:val="0056358F"/>
    <w:rsid w:val="00565161"/>
    <w:rsid w:val="00565744"/>
    <w:rsid w:val="00566F3B"/>
    <w:rsid w:val="00571859"/>
    <w:rsid w:val="005737E6"/>
    <w:rsid w:val="0057402A"/>
    <w:rsid w:val="0057492C"/>
    <w:rsid w:val="005771D0"/>
    <w:rsid w:val="00582759"/>
    <w:rsid w:val="0058696B"/>
    <w:rsid w:val="0058717B"/>
    <w:rsid w:val="00587F72"/>
    <w:rsid w:val="0059191A"/>
    <w:rsid w:val="005921FF"/>
    <w:rsid w:val="005925F5"/>
    <w:rsid w:val="005937F1"/>
    <w:rsid w:val="005944D9"/>
    <w:rsid w:val="00595122"/>
    <w:rsid w:val="0059553E"/>
    <w:rsid w:val="00595931"/>
    <w:rsid w:val="00595C1D"/>
    <w:rsid w:val="005A0F43"/>
    <w:rsid w:val="005A1D59"/>
    <w:rsid w:val="005A3D14"/>
    <w:rsid w:val="005A418B"/>
    <w:rsid w:val="005A4C8E"/>
    <w:rsid w:val="005A6C0E"/>
    <w:rsid w:val="005A6D0E"/>
    <w:rsid w:val="005A791F"/>
    <w:rsid w:val="005B3A96"/>
    <w:rsid w:val="005B4607"/>
    <w:rsid w:val="005B4A40"/>
    <w:rsid w:val="005B5155"/>
    <w:rsid w:val="005B52B0"/>
    <w:rsid w:val="005B6806"/>
    <w:rsid w:val="005B70FF"/>
    <w:rsid w:val="005C39D7"/>
    <w:rsid w:val="005C4225"/>
    <w:rsid w:val="005C4CA5"/>
    <w:rsid w:val="005C5F37"/>
    <w:rsid w:val="005C6885"/>
    <w:rsid w:val="005C78A2"/>
    <w:rsid w:val="005D0DB1"/>
    <w:rsid w:val="005D2873"/>
    <w:rsid w:val="005D3117"/>
    <w:rsid w:val="005D3D4D"/>
    <w:rsid w:val="005D3E9D"/>
    <w:rsid w:val="005D401E"/>
    <w:rsid w:val="005D7184"/>
    <w:rsid w:val="005D7ACB"/>
    <w:rsid w:val="005D7D47"/>
    <w:rsid w:val="005E01BD"/>
    <w:rsid w:val="005E06AE"/>
    <w:rsid w:val="005E1772"/>
    <w:rsid w:val="005E232A"/>
    <w:rsid w:val="005E2BF0"/>
    <w:rsid w:val="005E3F34"/>
    <w:rsid w:val="005F0DAD"/>
    <w:rsid w:val="005F0F33"/>
    <w:rsid w:val="005F14CF"/>
    <w:rsid w:val="005F309E"/>
    <w:rsid w:val="005F3D49"/>
    <w:rsid w:val="005F42B2"/>
    <w:rsid w:val="00600DEB"/>
    <w:rsid w:val="00602FC7"/>
    <w:rsid w:val="00605D3A"/>
    <w:rsid w:val="0060718E"/>
    <w:rsid w:val="006125C3"/>
    <w:rsid w:val="00613CCE"/>
    <w:rsid w:val="00614092"/>
    <w:rsid w:val="006213A4"/>
    <w:rsid w:val="00622A2F"/>
    <w:rsid w:val="00625D98"/>
    <w:rsid w:val="00625DE4"/>
    <w:rsid w:val="006264FA"/>
    <w:rsid w:val="0062719A"/>
    <w:rsid w:val="00627C9F"/>
    <w:rsid w:val="006311E9"/>
    <w:rsid w:val="0063187B"/>
    <w:rsid w:val="00632354"/>
    <w:rsid w:val="00633417"/>
    <w:rsid w:val="00635503"/>
    <w:rsid w:val="00636A11"/>
    <w:rsid w:val="00640613"/>
    <w:rsid w:val="006426FD"/>
    <w:rsid w:val="00642810"/>
    <w:rsid w:val="00644274"/>
    <w:rsid w:val="006450C1"/>
    <w:rsid w:val="00652333"/>
    <w:rsid w:val="00655386"/>
    <w:rsid w:val="00655B1F"/>
    <w:rsid w:val="00655F19"/>
    <w:rsid w:val="0065610F"/>
    <w:rsid w:val="006609DF"/>
    <w:rsid w:val="00667D6B"/>
    <w:rsid w:val="00670F04"/>
    <w:rsid w:val="00671FF4"/>
    <w:rsid w:val="0068009E"/>
    <w:rsid w:val="00683ADE"/>
    <w:rsid w:val="00683E0E"/>
    <w:rsid w:val="0068452D"/>
    <w:rsid w:val="00684A0F"/>
    <w:rsid w:val="00684C27"/>
    <w:rsid w:val="006912B3"/>
    <w:rsid w:val="00692219"/>
    <w:rsid w:val="00694BB2"/>
    <w:rsid w:val="00696C76"/>
    <w:rsid w:val="006972A9"/>
    <w:rsid w:val="006A17D2"/>
    <w:rsid w:val="006A4B39"/>
    <w:rsid w:val="006A6532"/>
    <w:rsid w:val="006A73E6"/>
    <w:rsid w:val="006B00AD"/>
    <w:rsid w:val="006B1753"/>
    <w:rsid w:val="006B2D5C"/>
    <w:rsid w:val="006B4D40"/>
    <w:rsid w:val="006B4FDC"/>
    <w:rsid w:val="006B5C89"/>
    <w:rsid w:val="006B7A29"/>
    <w:rsid w:val="006C1A20"/>
    <w:rsid w:val="006C4EB1"/>
    <w:rsid w:val="006C6540"/>
    <w:rsid w:val="006D02A5"/>
    <w:rsid w:val="006D0636"/>
    <w:rsid w:val="006D2982"/>
    <w:rsid w:val="006D413F"/>
    <w:rsid w:val="006D4B13"/>
    <w:rsid w:val="006E0166"/>
    <w:rsid w:val="006E04BF"/>
    <w:rsid w:val="006E17A3"/>
    <w:rsid w:val="006E7762"/>
    <w:rsid w:val="006E7B34"/>
    <w:rsid w:val="006F3E6C"/>
    <w:rsid w:val="00703A23"/>
    <w:rsid w:val="0070697F"/>
    <w:rsid w:val="00706FDA"/>
    <w:rsid w:val="007117FB"/>
    <w:rsid w:val="00715B99"/>
    <w:rsid w:val="007208A4"/>
    <w:rsid w:val="0072199C"/>
    <w:rsid w:val="00722C9F"/>
    <w:rsid w:val="00722D3D"/>
    <w:rsid w:val="007235F2"/>
    <w:rsid w:val="007253B8"/>
    <w:rsid w:val="00725FAD"/>
    <w:rsid w:val="0073631B"/>
    <w:rsid w:val="0073741F"/>
    <w:rsid w:val="00740F1C"/>
    <w:rsid w:val="00742450"/>
    <w:rsid w:val="0074251A"/>
    <w:rsid w:val="00744463"/>
    <w:rsid w:val="00750C75"/>
    <w:rsid w:val="00756912"/>
    <w:rsid w:val="00757291"/>
    <w:rsid w:val="0076643F"/>
    <w:rsid w:val="007673AA"/>
    <w:rsid w:val="007677CC"/>
    <w:rsid w:val="007747CD"/>
    <w:rsid w:val="00777F63"/>
    <w:rsid w:val="007824B4"/>
    <w:rsid w:val="00784888"/>
    <w:rsid w:val="00786242"/>
    <w:rsid w:val="007900C9"/>
    <w:rsid w:val="007918DA"/>
    <w:rsid w:val="00793DB6"/>
    <w:rsid w:val="00795760"/>
    <w:rsid w:val="00795E68"/>
    <w:rsid w:val="007A01B8"/>
    <w:rsid w:val="007A5817"/>
    <w:rsid w:val="007B010D"/>
    <w:rsid w:val="007B1498"/>
    <w:rsid w:val="007B173C"/>
    <w:rsid w:val="007B3E6B"/>
    <w:rsid w:val="007B4363"/>
    <w:rsid w:val="007B5324"/>
    <w:rsid w:val="007B60E9"/>
    <w:rsid w:val="007B6CC3"/>
    <w:rsid w:val="007C3334"/>
    <w:rsid w:val="007C4CDE"/>
    <w:rsid w:val="007C756A"/>
    <w:rsid w:val="007C769F"/>
    <w:rsid w:val="007D10AC"/>
    <w:rsid w:val="007D2A80"/>
    <w:rsid w:val="007D2B98"/>
    <w:rsid w:val="007D46C1"/>
    <w:rsid w:val="007D5C72"/>
    <w:rsid w:val="007E21BC"/>
    <w:rsid w:val="007E43F0"/>
    <w:rsid w:val="007E5684"/>
    <w:rsid w:val="007F0847"/>
    <w:rsid w:val="007F1939"/>
    <w:rsid w:val="007F3F83"/>
    <w:rsid w:val="007F7E9A"/>
    <w:rsid w:val="00800163"/>
    <w:rsid w:val="00803F1C"/>
    <w:rsid w:val="00804910"/>
    <w:rsid w:val="0080600E"/>
    <w:rsid w:val="00815021"/>
    <w:rsid w:val="00817612"/>
    <w:rsid w:val="008217E6"/>
    <w:rsid w:val="008231BA"/>
    <w:rsid w:val="00825A49"/>
    <w:rsid w:val="008264DF"/>
    <w:rsid w:val="008266A7"/>
    <w:rsid w:val="008338A4"/>
    <w:rsid w:val="00834A54"/>
    <w:rsid w:val="00837C45"/>
    <w:rsid w:val="00840AED"/>
    <w:rsid w:val="00841639"/>
    <w:rsid w:val="008422BB"/>
    <w:rsid w:val="00842408"/>
    <w:rsid w:val="00843F1D"/>
    <w:rsid w:val="00844730"/>
    <w:rsid w:val="008457C2"/>
    <w:rsid w:val="00847018"/>
    <w:rsid w:val="008520D7"/>
    <w:rsid w:val="00857A82"/>
    <w:rsid w:val="00863614"/>
    <w:rsid w:val="008649F8"/>
    <w:rsid w:val="00865B5B"/>
    <w:rsid w:val="00866B39"/>
    <w:rsid w:val="0086760F"/>
    <w:rsid w:val="00873836"/>
    <w:rsid w:val="00874A9A"/>
    <w:rsid w:val="00880F85"/>
    <w:rsid w:val="0088278C"/>
    <w:rsid w:val="008837D5"/>
    <w:rsid w:val="00885737"/>
    <w:rsid w:val="00890650"/>
    <w:rsid w:val="00893097"/>
    <w:rsid w:val="00893430"/>
    <w:rsid w:val="00894B5E"/>
    <w:rsid w:val="008952F1"/>
    <w:rsid w:val="00896012"/>
    <w:rsid w:val="00897E12"/>
    <w:rsid w:val="008A2E97"/>
    <w:rsid w:val="008A5B8E"/>
    <w:rsid w:val="008A7703"/>
    <w:rsid w:val="008A7E0F"/>
    <w:rsid w:val="008B12F5"/>
    <w:rsid w:val="008B198B"/>
    <w:rsid w:val="008B2B7E"/>
    <w:rsid w:val="008B5CA9"/>
    <w:rsid w:val="008B5D69"/>
    <w:rsid w:val="008C18C1"/>
    <w:rsid w:val="008C3098"/>
    <w:rsid w:val="008C5093"/>
    <w:rsid w:val="008D1724"/>
    <w:rsid w:val="008D2503"/>
    <w:rsid w:val="008D27DC"/>
    <w:rsid w:val="008D768D"/>
    <w:rsid w:val="008D79A3"/>
    <w:rsid w:val="008E2EB8"/>
    <w:rsid w:val="008E2FA8"/>
    <w:rsid w:val="008E3759"/>
    <w:rsid w:val="008E415E"/>
    <w:rsid w:val="008E561E"/>
    <w:rsid w:val="008E61A8"/>
    <w:rsid w:val="008E63D2"/>
    <w:rsid w:val="008E70E7"/>
    <w:rsid w:val="008E7ACC"/>
    <w:rsid w:val="008F0E46"/>
    <w:rsid w:val="008F142E"/>
    <w:rsid w:val="008F1912"/>
    <w:rsid w:val="008F1B28"/>
    <w:rsid w:val="008F26F5"/>
    <w:rsid w:val="008F3C99"/>
    <w:rsid w:val="008F4BB1"/>
    <w:rsid w:val="008F4FF9"/>
    <w:rsid w:val="008F5C39"/>
    <w:rsid w:val="008F5EE5"/>
    <w:rsid w:val="008F604B"/>
    <w:rsid w:val="008F74C5"/>
    <w:rsid w:val="008F7E72"/>
    <w:rsid w:val="009014A4"/>
    <w:rsid w:val="0090270B"/>
    <w:rsid w:val="009041DC"/>
    <w:rsid w:val="00904299"/>
    <w:rsid w:val="00906935"/>
    <w:rsid w:val="0090781B"/>
    <w:rsid w:val="009152F1"/>
    <w:rsid w:val="00916DCE"/>
    <w:rsid w:val="00917B5A"/>
    <w:rsid w:val="00920A58"/>
    <w:rsid w:val="00920A8C"/>
    <w:rsid w:val="009210BA"/>
    <w:rsid w:val="0092111F"/>
    <w:rsid w:val="00922E1D"/>
    <w:rsid w:val="00930C6C"/>
    <w:rsid w:val="00933CC6"/>
    <w:rsid w:val="009345EB"/>
    <w:rsid w:val="00934A2C"/>
    <w:rsid w:val="00935461"/>
    <w:rsid w:val="00935B41"/>
    <w:rsid w:val="00941A13"/>
    <w:rsid w:val="00942004"/>
    <w:rsid w:val="0094652F"/>
    <w:rsid w:val="0094728D"/>
    <w:rsid w:val="0095045D"/>
    <w:rsid w:val="00951CBC"/>
    <w:rsid w:val="009522BD"/>
    <w:rsid w:val="00953F86"/>
    <w:rsid w:val="00956F39"/>
    <w:rsid w:val="00957C83"/>
    <w:rsid w:val="009620A7"/>
    <w:rsid w:val="00965261"/>
    <w:rsid w:val="0096706E"/>
    <w:rsid w:val="009728CC"/>
    <w:rsid w:val="00973ABC"/>
    <w:rsid w:val="00975C4E"/>
    <w:rsid w:val="00976545"/>
    <w:rsid w:val="00976D4D"/>
    <w:rsid w:val="00981FBA"/>
    <w:rsid w:val="00991216"/>
    <w:rsid w:val="009917DA"/>
    <w:rsid w:val="00997BC5"/>
    <w:rsid w:val="009A0BE3"/>
    <w:rsid w:val="009A163B"/>
    <w:rsid w:val="009A4F41"/>
    <w:rsid w:val="009A4F7D"/>
    <w:rsid w:val="009A6314"/>
    <w:rsid w:val="009B381B"/>
    <w:rsid w:val="009B4431"/>
    <w:rsid w:val="009B6BA9"/>
    <w:rsid w:val="009C3E15"/>
    <w:rsid w:val="009C4EAA"/>
    <w:rsid w:val="009D1753"/>
    <w:rsid w:val="009D1BA0"/>
    <w:rsid w:val="009D4FE0"/>
    <w:rsid w:val="009D5732"/>
    <w:rsid w:val="009D72E1"/>
    <w:rsid w:val="009D7611"/>
    <w:rsid w:val="009E0B61"/>
    <w:rsid w:val="009E2D51"/>
    <w:rsid w:val="009E4BC9"/>
    <w:rsid w:val="009E52D2"/>
    <w:rsid w:val="009E53DE"/>
    <w:rsid w:val="009E72A5"/>
    <w:rsid w:val="009F04EF"/>
    <w:rsid w:val="009F190C"/>
    <w:rsid w:val="00A00081"/>
    <w:rsid w:val="00A01312"/>
    <w:rsid w:val="00A025A9"/>
    <w:rsid w:val="00A02CF0"/>
    <w:rsid w:val="00A1295D"/>
    <w:rsid w:val="00A137D2"/>
    <w:rsid w:val="00A138BD"/>
    <w:rsid w:val="00A15BBB"/>
    <w:rsid w:val="00A15F46"/>
    <w:rsid w:val="00A17152"/>
    <w:rsid w:val="00A2262C"/>
    <w:rsid w:val="00A2598E"/>
    <w:rsid w:val="00A30EFC"/>
    <w:rsid w:val="00A31C2E"/>
    <w:rsid w:val="00A328B3"/>
    <w:rsid w:val="00A32EC3"/>
    <w:rsid w:val="00A33337"/>
    <w:rsid w:val="00A33B1E"/>
    <w:rsid w:val="00A36369"/>
    <w:rsid w:val="00A422AA"/>
    <w:rsid w:val="00A50FCF"/>
    <w:rsid w:val="00A51260"/>
    <w:rsid w:val="00A528D1"/>
    <w:rsid w:val="00A53C54"/>
    <w:rsid w:val="00A5441F"/>
    <w:rsid w:val="00A54E9E"/>
    <w:rsid w:val="00A56F08"/>
    <w:rsid w:val="00A610CD"/>
    <w:rsid w:val="00A61708"/>
    <w:rsid w:val="00A62A1A"/>
    <w:rsid w:val="00A64C0D"/>
    <w:rsid w:val="00A67D7A"/>
    <w:rsid w:val="00A721E0"/>
    <w:rsid w:val="00A72CA9"/>
    <w:rsid w:val="00A73AEB"/>
    <w:rsid w:val="00A75E63"/>
    <w:rsid w:val="00A76CF0"/>
    <w:rsid w:val="00A814FA"/>
    <w:rsid w:val="00A8179E"/>
    <w:rsid w:val="00A83D3A"/>
    <w:rsid w:val="00A86664"/>
    <w:rsid w:val="00A87126"/>
    <w:rsid w:val="00A875EB"/>
    <w:rsid w:val="00A9264E"/>
    <w:rsid w:val="00A94D2D"/>
    <w:rsid w:val="00A95F38"/>
    <w:rsid w:val="00A97561"/>
    <w:rsid w:val="00AA030C"/>
    <w:rsid w:val="00AA09A2"/>
    <w:rsid w:val="00AA4D0A"/>
    <w:rsid w:val="00AA7990"/>
    <w:rsid w:val="00AA7996"/>
    <w:rsid w:val="00AB12EA"/>
    <w:rsid w:val="00AB5CD2"/>
    <w:rsid w:val="00AB71F8"/>
    <w:rsid w:val="00AC02E7"/>
    <w:rsid w:val="00AC19CB"/>
    <w:rsid w:val="00AC1F66"/>
    <w:rsid w:val="00AC2CA4"/>
    <w:rsid w:val="00AC3C6A"/>
    <w:rsid w:val="00AC55D4"/>
    <w:rsid w:val="00AC6EE2"/>
    <w:rsid w:val="00AD1BFF"/>
    <w:rsid w:val="00AE1254"/>
    <w:rsid w:val="00AE2AD7"/>
    <w:rsid w:val="00AE3371"/>
    <w:rsid w:val="00AE4AC2"/>
    <w:rsid w:val="00AE5488"/>
    <w:rsid w:val="00AE5B15"/>
    <w:rsid w:val="00AE6E5C"/>
    <w:rsid w:val="00AE6F91"/>
    <w:rsid w:val="00AF0675"/>
    <w:rsid w:val="00AF4129"/>
    <w:rsid w:val="00AF45E6"/>
    <w:rsid w:val="00AF5571"/>
    <w:rsid w:val="00AF6990"/>
    <w:rsid w:val="00AF7988"/>
    <w:rsid w:val="00B069FD"/>
    <w:rsid w:val="00B07184"/>
    <w:rsid w:val="00B07341"/>
    <w:rsid w:val="00B075A6"/>
    <w:rsid w:val="00B15E16"/>
    <w:rsid w:val="00B15F69"/>
    <w:rsid w:val="00B21CA9"/>
    <w:rsid w:val="00B22425"/>
    <w:rsid w:val="00B251C1"/>
    <w:rsid w:val="00B30163"/>
    <w:rsid w:val="00B30539"/>
    <w:rsid w:val="00B314DB"/>
    <w:rsid w:val="00B34CE7"/>
    <w:rsid w:val="00B361F2"/>
    <w:rsid w:val="00B3718B"/>
    <w:rsid w:val="00B405AB"/>
    <w:rsid w:val="00B40709"/>
    <w:rsid w:val="00B42997"/>
    <w:rsid w:val="00B42D58"/>
    <w:rsid w:val="00B45D43"/>
    <w:rsid w:val="00B4632A"/>
    <w:rsid w:val="00B513B1"/>
    <w:rsid w:val="00B52598"/>
    <w:rsid w:val="00B530F1"/>
    <w:rsid w:val="00B54A0C"/>
    <w:rsid w:val="00B561DB"/>
    <w:rsid w:val="00B570DE"/>
    <w:rsid w:val="00B632D6"/>
    <w:rsid w:val="00B6405E"/>
    <w:rsid w:val="00B66D27"/>
    <w:rsid w:val="00B67BE1"/>
    <w:rsid w:val="00B70FC5"/>
    <w:rsid w:val="00B719E4"/>
    <w:rsid w:val="00B73927"/>
    <w:rsid w:val="00B742F3"/>
    <w:rsid w:val="00B765EE"/>
    <w:rsid w:val="00B80C6A"/>
    <w:rsid w:val="00B8607C"/>
    <w:rsid w:val="00B9021F"/>
    <w:rsid w:val="00B924F9"/>
    <w:rsid w:val="00B93E10"/>
    <w:rsid w:val="00BA0056"/>
    <w:rsid w:val="00BA16E5"/>
    <w:rsid w:val="00BA276C"/>
    <w:rsid w:val="00BA3173"/>
    <w:rsid w:val="00BA341B"/>
    <w:rsid w:val="00BA3549"/>
    <w:rsid w:val="00BA461E"/>
    <w:rsid w:val="00BA545C"/>
    <w:rsid w:val="00BA7143"/>
    <w:rsid w:val="00BB306F"/>
    <w:rsid w:val="00BB6048"/>
    <w:rsid w:val="00BC1180"/>
    <w:rsid w:val="00BC26BF"/>
    <w:rsid w:val="00BC71AA"/>
    <w:rsid w:val="00BC7A00"/>
    <w:rsid w:val="00BC7BE8"/>
    <w:rsid w:val="00BD175F"/>
    <w:rsid w:val="00BD426F"/>
    <w:rsid w:val="00BD4B89"/>
    <w:rsid w:val="00BD6A61"/>
    <w:rsid w:val="00BF02CB"/>
    <w:rsid w:val="00BF11D3"/>
    <w:rsid w:val="00BF6FD8"/>
    <w:rsid w:val="00BF76BC"/>
    <w:rsid w:val="00C03680"/>
    <w:rsid w:val="00C0412A"/>
    <w:rsid w:val="00C04D2F"/>
    <w:rsid w:val="00C054DF"/>
    <w:rsid w:val="00C11A21"/>
    <w:rsid w:val="00C169DA"/>
    <w:rsid w:val="00C172A5"/>
    <w:rsid w:val="00C20509"/>
    <w:rsid w:val="00C20A54"/>
    <w:rsid w:val="00C21762"/>
    <w:rsid w:val="00C24543"/>
    <w:rsid w:val="00C2467D"/>
    <w:rsid w:val="00C255BA"/>
    <w:rsid w:val="00C256A2"/>
    <w:rsid w:val="00C31160"/>
    <w:rsid w:val="00C32599"/>
    <w:rsid w:val="00C34339"/>
    <w:rsid w:val="00C34F64"/>
    <w:rsid w:val="00C40789"/>
    <w:rsid w:val="00C43A22"/>
    <w:rsid w:val="00C46EE5"/>
    <w:rsid w:val="00C47EB7"/>
    <w:rsid w:val="00C51515"/>
    <w:rsid w:val="00C53BC4"/>
    <w:rsid w:val="00C54A06"/>
    <w:rsid w:val="00C558D7"/>
    <w:rsid w:val="00C5660B"/>
    <w:rsid w:val="00C6126C"/>
    <w:rsid w:val="00C62A75"/>
    <w:rsid w:val="00C66B72"/>
    <w:rsid w:val="00C739AB"/>
    <w:rsid w:val="00C75123"/>
    <w:rsid w:val="00C75CAB"/>
    <w:rsid w:val="00C76078"/>
    <w:rsid w:val="00C808F1"/>
    <w:rsid w:val="00C810D8"/>
    <w:rsid w:val="00C823FB"/>
    <w:rsid w:val="00C83BF4"/>
    <w:rsid w:val="00C85F6F"/>
    <w:rsid w:val="00C9567A"/>
    <w:rsid w:val="00C97129"/>
    <w:rsid w:val="00CA3BC3"/>
    <w:rsid w:val="00CA3E64"/>
    <w:rsid w:val="00CA3F97"/>
    <w:rsid w:val="00CA487E"/>
    <w:rsid w:val="00CB162F"/>
    <w:rsid w:val="00CB212D"/>
    <w:rsid w:val="00CB2583"/>
    <w:rsid w:val="00CB2660"/>
    <w:rsid w:val="00CB39CB"/>
    <w:rsid w:val="00CC5E90"/>
    <w:rsid w:val="00CC63CF"/>
    <w:rsid w:val="00CD046C"/>
    <w:rsid w:val="00CD27BD"/>
    <w:rsid w:val="00CD3289"/>
    <w:rsid w:val="00CD6B80"/>
    <w:rsid w:val="00CE076C"/>
    <w:rsid w:val="00CE21B9"/>
    <w:rsid w:val="00CE28A9"/>
    <w:rsid w:val="00CE3DAA"/>
    <w:rsid w:val="00CE5199"/>
    <w:rsid w:val="00CE66D5"/>
    <w:rsid w:val="00CF0801"/>
    <w:rsid w:val="00CF28DE"/>
    <w:rsid w:val="00CF3733"/>
    <w:rsid w:val="00CF3F63"/>
    <w:rsid w:val="00CF637A"/>
    <w:rsid w:val="00D001E1"/>
    <w:rsid w:val="00D01287"/>
    <w:rsid w:val="00D03029"/>
    <w:rsid w:val="00D059DE"/>
    <w:rsid w:val="00D12193"/>
    <w:rsid w:val="00D13FCE"/>
    <w:rsid w:val="00D15AE3"/>
    <w:rsid w:val="00D26305"/>
    <w:rsid w:val="00D2765F"/>
    <w:rsid w:val="00D276EE"/>
    <w:rsid w:val="00D27707"/>
    <w:rsid w:val="00D27DA9"/>
    <w:rsid w:val="00D306D1"/>
    <w:rsid w:val="00D30778"/>
    <w:rsid w:val="00D315DC"/>
    <w:rsid w:val="00D34786"/>
    <w:rsid w:val="00D35343"/>
    <w:rsid w:val="00D3548F"/>
    <w:rsid w:val="00D37BFC"/>
    <w:rsid w:val="00D42238"/>
    <w:rsid w:val="00D470C2"/>
    <w:rsid w:val="00D47A8E"/>
    <w:rsid w:val="00D47E30"/>
    <w:rsid w:val="00D51925"/>
    <w:rsid w:val="00D52783"/>
    <w:rsid w:val="00D52D14"/>
    <w:rsid w:val="00D54FCF"/>
    <w:rsid w:val="00D56359"/>
    <w:rsid w:val="00D64E7C"/>
    <w:rsid w:val="00D657D2"/>
    <w:rsid w:val="00D712D3"/>
    <w:rsid w:val="00D71422"/>
    <w:rsid w:val="00D72DC6"/>
    <w:rsid w:val="00D73821"/>
    <w:rsid w:val="00D74840"/>
    <w:rsid w:val="00D75065"/>
    <w:rsid w:val="00D7558D"/>
    <w:rsid w:val="00D7792B"/>
    <w:rsid w:val="00D8177F"/>
    <w:rsid w:val="00D81D92"/>
    <w:rsid w:val="00D8273E"/>
    <w:rsid w:val="00D83D73"/>
    <w:rsid w:val="00D84F11"/>
    <w:rsid w:val="00D850CA"/>
    <w:rsid w:val="00D85519"/>
    <w:rsid w:val="00D8682A"/>
    <w:rsid w:val="00D877A2"/>
    <w:rsid w:val="00D9289E"/>
    <w:rsid w:val="00D94260"/>
    <w:rsid w:val="00D95BE5"/>
    <w:rsid w:val="00D96E66"/>
    <w:rsid w:val="00DA0727"/>
    <w:rsid w:val="00DA3224"/>
    <w:rsid w:val="00DA33F5"/>
    <w:rsid w:val="00DA346B"/>
    <w:rsid w:val="00DA423E"/>
    <w:rsid w:val="00DA6A82"/>
    <w:rsid w:val="00DA6BFB"/>
    <w:rsid w:val="00DA74C7"/>
    <w:rsid w:val="00DA7B5F"/>
    <w:rsid w:val="00DB035E"/>
    <w:rsid w:val="00DB4E0C"/>
    <w:rsid w:val="00DC11E7"/>
    <w:rsid w:val="00DC211F"/>
    <w:rsid w:val="00DC2130"/>
    <w:rsid w:val="00DC7023"/>
    <w:rsid w:val="00DC7638"/>
    <w:rsid w:val="00DC769A"/>
    <w:rsid w:val="00DD34BA"/>
    <w:rsid w:val="00DD3D86"/>
    <w:rsid w:val="00DD5B65"/>
    <w:rsid w:val="00DE1429"/>
    <w:rsid w:val="00DE2A4B"/>
    <w:rsid w:val="00DF1C33"/>
    <w:rsid w:val="00DF1EC4"/>
    <w:rsid w:val="00E0340B"/>
    <w:rsid w:val="00E04A90"/>
    <w:rsid w:val="00E06506"/>
    <w:rsid w:val="00E0726B"/>
    <w:rsid w:val="00E1296F"/>
    <w:rsid w:val="00E1315B"/>
    <w:rsid w:val="00E13987"/>
    <w:rsid w:val="00E13A8A"/>
    <w:rsid w:val="00E158E7"/>
    <w:rsid w:val="00E16461"/>
    <w:rsid w:val="00E16AA3"/>
    <w:rsid w:val="00E1760E"/>
    <w:rsid w:val="00E20073"/>
    <w:rsid w:val="00E212D6"/>
    <w:rsid w:val="00E219C7"/>
    <w:rsid w:val="00E22056"/>
    <w:rsid w:val="00E222BB"/>
    <w:rsid w:val="00E25FA7"/>
    <w:rsid w:val="00E261FF"/>
    <w:rsid w:val="00E26EFE"/>
    <w:rsid w:val="00E36078"/>
    <w:rsid w:val="00E37AFA"/>
    <w:rsid w:val="00E4099A"/>
    <w:rsid w:val="00E409EE"/>
    <w:rsid w:val="00E4208A"/>
    <w:rsid w:val="00E43157"/>
    <w:rsid w:val="00E461CE"/>
    <w:rsid w:val="00E46D15"/>
    <w:rsid w:val="00E50DFE"/>
    <w:rsid w:val="00E56105"/>
    <w:rsid w:val="00E62D9B"/>
    <w:rsid w:val="00E66DE6"/>
    <w:rsid w:val="00E708A0"/>
    <w:rsid w:val="00E709CA"/>
    <w:rsid w:val="00E720CA"/>
    <w:rsid w:val="00E7341A"/>
    <w:rsid w:val="00E73F78"/>
    <w:rsid w:val="00E74312"/>
    <w:rsid w:val="00E76339"/>
    <w:rsid w:val="00E810C3"/>
    <w:rsid w:val="00E84EB5"/>
    <w:rsid w:val="00E85662"/>
    <w:rsid w:val="00E8789F"/>
    <w:rsid w:val="00E909AA"/>
    <w:rsid w:val="00E9301F"/>
    <w:rsid w:val="00E9338C"/>
    <w:rsid w:val="00E97B71"/>
    <w:rsid w:val="00EA06BC"/>
    <w:rsid w:val="00EA3D34"/>
    <w:rsid w:val="00EB454D"/>
    <w:rsid w:val="00EB661A"/>
    <w:rsid w:val="00EB7688"/>
    <w:rsid w:val="00EC48B6"/>
    <w:rsid w:val="00EC48BC"/>
    <w:rsid w:val="00ED09F8"/>
    <w:rsid w:val="00ED76BE"/>
    <w:rsid w:val="00EE1D21"/>
    <w:rsid w:val="00EE4363"/>
    <w:rsid w:val="00EE555C"/>
    <w:rsid w:val="00EE69A9"/>
    <w:rsid w:val="00EF0BE7"/>
    <w:rsid w:val="00EF4C1E"/>
    <w:rsid w:val="00EF5258"/>
    <w:rsid w:val="00EF619B"/>
    <w:rsid w:val="00EF7E6D"/>
    <w:rsid w:val="00F00177"/>
    <w:rsid w:val="00F00B55"/>
    <w:rsid w:val="00F0118C"/>
    <w:rsid w:val="00F02AD1"/>
    <w:rsid w:val="00F06753"/>
    <w:rsid w:val="00F219A8"/>
    <w:rsid w:val="00F2273D"/>
    <w:rsid w:val="00F25285"/>
    <w:rsid w:val="00F253CC"/>
    <w:rsid w:val="00F30AB7"/>
    <w:rsid w:val="00F3279F"/>
    <w:rsid w:val="00F37106"/>
    <w:rsid w:val="00F37C73"/>
    <w:rsid w:val="00F4195F"/>
    <w:rsid w:val="00F426D2"/>
    <w:rsid w:val="00F50F3F"/>
    <w:rsid w:val="00F50FFD"/>
    <w:rsid w:val="00F519CF"/>
    <w:rsid w:val="00F56BA5"/>
    <w:rsid w:val="00F60E22"/>
    <w:rsid w:val="00F63559"/>
    <w:rsid w:val="00F665E2"/>
    <w:rsid w:val="00F73076"/>
    <w:rsid w:val="00F73104"/>
    <w:rsid w:val="00F805FB"/>
    <w:rsid w:val="00F81395"/>
    <w:rsid w:val="00F84442"/>
    <w:rsid w:val="00F87A78"/>
    <w:rsid w:val="00F902EB"/>
    <w:rsid w:val="00F917D1"/>
    <w:rsid w:val="00F91D10"/>
    <w:rsid w:val="00F93A87"/>
    <w:rsid w:val="00F9560C"/>
    <w:rsid w:val="00F9653B"/>
    <w:rsid w:val="00F976A3"/>
    <w:rsid w:val="00F97A27"/>
    <w:rsid w:val="00FA03B5"/>
    <w:rsid w:val="00FA533F"/>
    <w:rsid w:val="00FA6B3E"/>
    <w:rsid w:val="00FB0538"/>
    <w:rsid w:val="00FB16AA"/>
    <w:rsid w:val="00FB1E32"/>
    <w:rsid w:val="00FB21B7"/>
    <w:rsid w:val="00FB2DC4"/>
    <w:rsid w:val="00FB2DE9"/>
    <w:rsid w:val="00FB62CF"/>
    <w:rsid w:val="00FB648B"/>
    <w:rsid w:val="00FC1EF0"/>
    <w:rsid w:val="00FC39D9"/>
    <w:rsid w:val="00FC4286"/>
    <w:rsid w:val="00FC6432"/>
    <w:rsid w:val="00FC7BFB"/>
    <w:rsid w:val="00FD1212"/>
    <w:rsid w:val="00FD1363"/>
    <w:rsid w:val="00FD23A7"/>
    <w:rsid w:val="00FD2E5B"/>
    <w:rsid w:val="00FD3C3B"/>
    <w:rsid w:val="00FD5A99"/>
    <w:rsid w:val="00FD7DBD"/>
    <w:rsid w:val="00FD7FE9"/>
    <w:rsid w:val="00FE07DD"/>
    <w:rsid w:val="00FE1C3B"/>
    <w:rsid w:val="00FE308E"/>
    <w:rsid w:val="00FE5C91"/>
    <w:rsid w:val="00FE6B45"/>
    <w:rsid w:val="00FF2E4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BEEBCB3"/>
  <w15:docId w15:val="{C58576F6-BB59-40CA-93C3-7969CDFC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F5025"/>
    <w:pPr>
      <w:keepNext/>
      <w:keepLines/>
      <w:numPr>
        <w:numId w:val="53"/>
      </w:numPr>
      <w:tabs>
        <w:tab w:val="left" w:pos="1440"/>
      </w:tabs>
      <w:ind w:left="1440" w:hanging="806"/>
      <w:outlineLvl w:val="0"/>
    </w:pPr>
    <w:rPr>
      <w:rFonts w:asciiTheme="majorHAnsi" w:eastAsiaTheme="majorEastAsia" w:hAnsiTheme="majorHAnsi" w:cstheme="majorBidi"/>
      <w:b/>
      <w:bCs/>
      <w:sz w:val="20"/>
      <w:szCs w:val="20"/>
      <w:lang w:val="es-ES_tradnl"/>
    </w:rPr>
  </w:style>
  <w:style w:type="paragraph" w:styleId="Heading2">
    <w:name w:val="heading 2"/>
    <w:basedOn w:val="ListParagraph"/>
    <w:next w:val="Normal"/>
    <w:link w:val="Heading2Char"/>
    <w:qFormat/>
    <w:rsid w:val="004F5025"/>
    <w:pPr>
      <w:numPr>
        <w:numId w:val="56"/>
      </w:numPr>
      <w:suppressAutoHyphens/>
      <w:ind w:left="1440" w:hanging="81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4F5025"/>
    <w:pPr>
      <w:numPr>
        <w:numId w:val="70"/>
      </w:numPr>
      <w:ind w:left="1440" w:hanging="810"/>
      <w:jc w:val="both"/>
      <w:outlineLvl w:val="2"/>
    </w:pPr>
    <w:rPr>
      <w:rFonts w:asciiTheme="majorHAnsi" w:hAnsiTheme="majorHAnsi"/>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F5025"/>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4F5025"/>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4F5025"/>
    <w:rPr>
      <w:rFonts w:asciiTheme="majorHAnsi" w:eastAsia="Cambria" w:hAnsiTheme="majorHAnsi" w:cs="Cambria"/>
      <w:b/>
      <w:color w:val="000000"/>
      <w:u w:color="000000"/>
      <w:lang w:val="es-ES_tradnl"/>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2E4AEA"/>
    <w:rPr>
      <w:rFonts w:ascii="Cambria" w:eastAsia="Cambria" w:hAnsi="Cambria" w:cs="Cambria"/>
      <w:color w:val="000000"/>
      <w:sz w:val="24"/>
      <w:szCs w:val="24"/>
      <w:u w:color="000000"/>
      <w:lang w:val="en-US"/>
    </w:rPr>
  </w:style>
  <w:style w:type="character" w:styleId="PlaceholderText">
    <w:name w:val="Placeholder Text"/>
    <w:basedOn w:val="DefaultParagraphFont"/>
    <w:uiPriority w:val="99"/>
    <w:semiHidden/>
    <w:rsid w:val="00614092"/>
    <w:rPr>
      <w:color w:val="808080"/>
    </w:rPr>
  </w:style>
  <w:style w:type="character" w:styleId="CommentReference">
    <w:name w:val="annotation reference"/>
    <w:basedOn w:val="DefaultParagraphFont"/>
    <w:uiPriority w:val="99"/>
    <w:semiHidden/>
    <w:unhideWhenUsed/>
    <w:rsid w:val="00416939"/>
    <w:rPr>
      <w:sz w:val="16"/>
      <w:szCs w:val="16"/>
    </w:rPr>
  </w:style>
  <w:style w:type="paragraph" w:styleId="CommentText">
    <w:name w:val="annotation text"/>
    <w:basedOn w:val="Normal"/>
    <w:link w:val="CommentTextChar"/>
    <w:uiPriority w:val="99"/>
    <w:semiHidden/>
    <w:unhideWhenUsed/>
    <w:rsid w:val="00416939"/>
    <w:rPr>
      <w:sz w:val="20"/>
      <w:szCs w:val="20"/>
    </w:rPr>
  </w:style>
  <w:style w:type="character" w:customStyle="1" w:styleId="CommentTextChar">
    <w:name w:val="Comment Text Char"/>
    <w:basedOn w:val="DefaultParagraphFont"/>
    <w:link w:val="CommentText"/>
    <w:uiPriority w:val="99"/>
    <w:semiHidden/>
    <w:rsid w:val="00416939"/>
    <w:rPr>
      <w:lang w:val="en-US" w:eastAsia="en-US"/>
    </w:rPr>
  </w:style>
  <w:style w:type="paragraph" w:styleId="CommentSubject">
    <w:name w:val="annotation subject"/>
    <w:basedOn w:val="CommentText"/>
    <w:next w:val="CommentText"/>
    <w:link w:val="CommentSubjectChar"/>
    <w:uiPriority w:val="99"/>
    <w:semiHidden/>
    <w:unhideWhenUsed/>
    <w:rsid w:val="00416939"/>
    <w:rPr>
      <w:b/>
      <w:bCs/>
    </w:rPr>
  </w:style>
  <w:style w:type="character" w:customStyle="1" w:styleId="CommentSubjectChar">
    <w:name w:val="Comment Subject Char"/>
    <w:basedOn w:val="CommentTextChar"/>
    <w:link w:val="CommentSubject"/>
    <w:uiPriority w:val="99"/>
    <w:semiHidden/>
    <w:rsid w:val="00416939"/>
    <w:rPr>
      <w:b/>
      <w:bCs/>
      <w:lang w:val="en-US" w:eastAsia="en-US"/>
    </w:rPr>
  </w:style>
  <w:style w:type="character" w:styleId="EndnoteReference">
    <w:name w:val="endnote reference"/>
    <w:basedOn w:val="DefaultParagraphFont"/>
    <w:uiPriority w:val="99"/>
    <w:semiHidden/>
    <w:unhideWhenUsed/>
    <w:rsid w:val="008649F8"/>
    <w:rPr>
      <w:vertAlign w:val="superscript"/>
    </w:rPr>
  </w:style>
  <w:style w:type="paragraph" w:styleId="Revision">
    <w:name w:val="Revision"/>
    <w:hidden/>
    <w:uiPriority w:val="99"/>
    <w:semiHidden/>
    <w:rsid w:val="004159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725FAD"/>
    <w:rPr>
      <w:sz w:val="24"/>
      <w:szCs w:val="24"/>
      <w:lang w:val="en-US" w:eastAsia="en-US"/>
    </w:rPr>
  </w:style>
  <w:style w:type="paragraph" w:styleId="TOCHeading">
    <w:name w:val="TOC Heading"/>
    <w:basedOn w:val="Heading1"/>
    <w:next w:val="Normal"/>
    <w:uiPriority w:val="39"/>
    <w:unhideWhenUsed/>
    <w:qFormat/>
    <w:rsid w:val="00B70FC5"/>
    <w:pPr>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240" w:line="259" w:lineRule="auto"/>
      <w:outlineLvl w:val="9"/>
    </w:pPr>
    <w:rPr>
      <w:b w:val="0"/>
      <w:bCs w:val="0"/>
      <w:color w:val="365F91" w:themeColor="accent1" w:themeShade="BF"/>
      <w:sz w:val="32"/>
      <w:szCs w:val="3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89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0582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2" Type="http://schemas.openxmlformats.org/officeDocument/2006/relationships/hyperlink" Target="http://joomla.corteidh.or.cr:8080/joomla/es/jurisprudencia-oc-2/38-jurisprudencia/731-corte-idh-caso-de-las-masacres-de-ituango-vs-colombia-sentencia-de-1-de-julio-de-2006-serie-c-no-148" TargetMode="External"/><Relationship Id="rId1" Type="http://schemas.openxmlformats.org/officeDocument/2006/relationships/hyperlink" Target="http://joomla.corteidh.or.cr:8080/joomla/es/jurisprudencia-oc-2/38-jurisprudencia/741-corte-idh-caso-vargas-areco-vs-paraguay-sentencia-de-26-de-septiembre-de-2006-serie-c-no-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E06B-DF76-4490-B7F1-797D9E89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10693</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CIDH Becario 10 (Theodore, Lisa)</cp:lastModifiedBy>
  <cp:revision>14</cp:revision>
  <cp:lastPrinted>2018-08-21T19:56:00Z</cp:lastPrinted>
  <dcterms:created xsi:type="dcterms:W3CDTF">2018-09-12T23:32:00Z</dcterms:created>
  <dcterms:modified xsi:type="dcterms:W3CDTF">2018-10-19T14:40:00Z</dcterms:modified>
</cp:coreProperties>
</file>