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8C23F" w14:textId="77777777" w:rsidR="00040C3A" w:rsidRPr="00470D7E" w:rsidRDefault="00441039" w:rsidP="00627C9F">
      <w:pPr>
        <w:jc w:val="both"/>
        <w:rPr>
          <w:rFonts w:ascii="Cambria" w:hAnsi="Cambria" w:cs="Univers"/>
          <w:b/>
          <w:bCs/>
          <w:sz w:val="22"/>
          <w:szCs w:val="22"/>
          <w:lang w:val="es-ES_tradnl"/>
        </w:rPr>
      </w:pPr>
      <w:r>
        <w:rPr>
          <w:noProof/>
          <w:lang w:val="es-ES" w:eastAsia="es-ES"/>
        </w:rPr>
        <mc:AlternateContent>
          <mc:Choice Requires="wps">
            <w:drawing>
              <wp:anchor distT="0" distB="0" distL="114300" distR="114300" simplePos="0" relativeHeight="251654144" behindDoc="0" locked="0" layoutInCell="1" allowOverlap="1" wp14:anchorId="64C2FF87" wp14:editId="27D1BB2E">
                <wp:simplePos x="0" y="0"/>
                <wp:positionH relativeFrom="column">
                  <wp:posOffset>-415290</wp:posOffset>
                </wp:positionH>
                <wp:positionV relativeFrom="paragraph">
                  <wp:posOffset>-438785</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C22E6" id="Rectangle 1" o:spid="_x0000_s1026" style="position:absolute;margin-left:-32.7pt;margin-top:-34.5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" fillcolor="#4a7194" stroked="f" strokeweight="2pt">
                <v:path arrowok="t"/>
              </v:rect>
            </w:pict>
          </mc:Fallback>
        </mc:AlternateContent>
      </w:r>
      <w:r>
        <w:rPr>
          <w:noProof/>
          <w:lang w:val="es-ES" w:eastAsia="es-ES"/>
        </w:rPr>
        <mc:AlternateContent>
          <mc:Choice Requires="wps">
            <w:drawing>
              <wp:anchor distT="0" distB="0" distL="114300" distR="114300" simplePos="0" relativeHeight="251658240" behindDoc="0" locked="0" layoutInCell="1" allowOverlap="1" wp14:anchorId="3406A516" wp14:editId="7DF7FA81">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676BE43F" w14:textId="77777777" w:rsidR="009D6394" w:rsidRDefault="00441039" w:rsidP="00AE5488">
                            <w:r w:rsidRPr="00470D7E">
                              <w:rPr>
                                <w:noProof/>
                                <w:lang w:val="es-ES" w:eastAsia="es-ES"/>
                              </w:rPr>
                              <w:drawing>
                                <wp:inline distT="0" distB="0" distL="0" distR="0" wp14:anchorId="124A02E3" wp14:editId="3C5D8B31">
                                  <wp:extent cx="2646045" cy="512445"/>
                                  <wp:effectExtent l="0" t="0" r="1905" b="1905"/>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512445"/>
                                          </a:xfrm>
                                          <a:prstGeom prst="rect">
                                            <a:avLst/>
                                          </a:prstGeom>
                                          <a:noFill/>
                                          <a:ln>
                                            <a:noFill/>
                                          </a:ln>
                                        </pic:spPr>
                                      </pic:pic>
                                    </a:graphicData>
                                  </a:graphic>
                                </wp:inline>
                              </w:drawing>
                            </w:r>
                            <w:r w:rsidR="009D6394">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6A516"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" filled="f" stroked="f" strokeweight=".5pt">
                <v:textbox>
                  <w:txbxContent>
                    <w:p w14:paraId="676BE43F" w14:textId="77777777" w:rsidR="009D6394" w:rsidRDefault="00441039" w:rsidP="00AE5488">
                      <w:r w:rsidRPr="00470D7E">
                        <w:rPr>
                          <w:noProof/>
                          <w:lang w:val="es-ES" w:eastAsia="es-ES"/>
                        </w:rPr>
                        <w:drawing>
                          <wp:inline distT="0" distB="0" distL="0" distR="0" wp14:anchorId="124A02E3" wp14:editId="3C5D8B31">
                            <wp:extent cx="2646045" cy="512445"/>
                            <wp:effectExtent l="0" t="0" r="1905" b="1905"/>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512445"/>
                                    </a:xfrm>
                                    <a:prstGeom prst="rect">
                                      <a:avLst/>
                                    </a:prstGeom>
                                    <a:noFill/>
                                    <a:ln>
                                      <a:noFill/>
                                    </a:ln>
                                  </pic:spPr>
                                </pic:pic>
                              </a:graphicData>
                            </a:graphic>
                          </wp:inline>
                        </w:drawing>
                      </w:r>
                      <w:r w:rsidR="009D6394">
                        <w:tab/>
                        <w:t xml:space="preserve">                              </w:t>
                      </w:r>
                    </w:p>
                  </w:txbxContent>
                </v:textbox>
              </v:shape>
            </w:pict>
          </mc:Fallback>
        </mc:AlternateContent>
      </w:r>
    </w:p>
    <w:p w14:paraId="7910D1E9" w14:textId="77777777" w:rsidR="00040C3A" w:rsidRPr="00470D7E" w:rsidRDefault="00040C3A" w:rsidP="00040C3A">
      <w:pPr>
        <w:tabs>
          <w:tab w:val="center" w:pos="5400"/>
        </w:tabs>
        <w:suppressAutoHyphens/>
        <w:jc w:val="both"/>
        <w:rPr>
          <w:rFonts w:ascii="Cambria" w:hAnsi="Cambria"/>
          <w:sz w:val="22"/>
          <w:szCs w:val="22"/>
          <w:lang w:val="es-ES"/>
        </w:rPr>
      </w:pPr>
    </w:p>
    <w:p w14:paraId="1551CE7C" w14:textId="77777777" w:rsidR="00040C3A" w:rsidRPr="00470D7E" w:rsidRDefault="00040C3A" w:rsidP="00040C3A">
      <w:pPr>
        <w:tabs>
          <w:tab w:val="center" w:pos="5400"/>
        </w:tabs>
        <w:suppressAutoHyphens/>
        <w:jc w:val="both"/>
        <w:rPr>
          <w:rFonts w:ascii="Cambria" w:hAnsi="Cambria"/>
          <w:sz w:val="22"/>
          <w:szCs w:val="22"/>
          <w:lang w:val="es-ES"/>
        </w:rPr>
      </w:pPr>
    </w:p>
    <w:p w14:paraId="7E6B21D1" w14:textId="77777777" w:rsidR="005128E4" w:rsidRPr="00470D7E" w:rsidRDefault="005128E4" w:rsidP="00040C3A">
      <w:pPr>
        <w:tabs>
          <w:tab w:val="center" w:pos="5400"/>
        </w:tabs>
        <w:suppressAutoHyphens/>
        <w:rPr>
          <w:rFonts w:ascii="Cambria" w:hAnsi="Cambria"/>
          <w:sz w:val="22"/>
          <w:szCs w:val="22"/>
          <w:lang w:val="es-ES_tradnl"/>
        </w:rPr>
      </w:pPr>
    </w:p>
    <w:p w14:paraId="6EFD46A9" w14:textId="77777777" w:rsidR="005128E4" w:rsidRPr="00470D7E" w:rsidRDefault="005128E4" w:rsidP="00040C3A">
      <w:pPr>
        <w:tabs>
          <w:tab w:val="center" w:pos="5400"/>
        </w:tabs>
        <w:suppressAutoHyphens/>
        <w:rPr>
          <w:rFonts w:ascii="Cambria" w:hAnsi="Cambria"/>
          <w:sz w:val="22"/>
          <w:szCs w:val="22"/>
          <w:lang w:val="es-ES_tradnl"/>
        </w:rPr>
      </w:pPr>
    </w:p>
    <w:p w14:paraId="058CA56D" w14:textId="77777777" w:rsidR="005128E4" w:rsidRPr="00470D7E" w:rsidRDefault="005128E4" w:rsidP="00040C3A">
      <w:pPr>
        <w:tabs>
          <w:tab w:val="center" w:pos="5400"/>
        </w:tabs>
        <w:suppressAutoHyphens/>
        <w:rPr>
          <w:rFonts w:ascii="Cambria" w:hAnsi="Cambria"/>
          <w:sz w:val="22"/>
          <w:szCs w:val="22"/>
          <w:lang w:val="es-ES_tradnl"/>
        </w:rPr>
      </w:pPr>
    </w:p>
    <w:p w14:paraId="7FB30CF4" w14:textId="77777777" w:rsidR="00040C3A" w:rsidRPr="00470D7E" w:rsidRDefault="00040C3A" w:rsidP="005128E4">
      <w:pPr>
        <w:tabs>
          <w:tab w:val="center" w:pos="5400"/>
        </w:tabs>
        <w:suppressAutoHyphens/>
        <w:jc w:val="center"/>
        <w:rPr>
          <w:rFonts w:ascii="Cambria" w:hAnsi="Cambria"/>
          <w:sz w:val="22"/>
          <w:szCs w:val="22"/>
          <w:lang w:val="es-ES_tradnl"/>
        </w:rPr>
      </w:pPr>
    </w:p>
    <w:p w14:paraId="1304DBFD" w14:textId="77777777" w:rsidR="00040C3A" w:rsidRPr="00470D7E" w:rsidRDefault="00040C3A" w:rsidP="005128E4">
      <w:pPr>
        <w:tabs>
          <w:tab w:val="center" w:pos="5400"/>
        </w:tabs>
        <w:suppressAutoHyphens/>
        <w:jc w:val="center"/>
        <w:rPr>
          <w:rFonts w:ascii="Cambria" w:hAnsi="Cambria"/>
          <w:sz w:val="22"/>
          <w:szCs w:val="22"/>
          <w:lang w:val="es-ES_tradnl"/>
        </w:rPr>
      </w:pPr>
    </w:p>
    <w:p w14:paraId="3C782964" w14:textId="77777777" w:rsidR="005B52B0" w:rsidRPr="00470D7E" w:rsidRDefault="005B52B0" w:rsidP="005128E4">
      <w:pPr>
        <w:tabs>
          <w:tab w:val="center" w:pos="5400"/>
        </w:tabs>
        <w:suppressAutoHyphens/>
        <w:jc w:val="center"/>
        <w:rPr>
          <w:rFonts w:ascii="Cambria" w:hAnsi="Cambria"/>
          <w:sz w:val="22"/>
          <w:szCs w:val="22"/>
          <w:lang w:val="es-ES_tradnl"/>
        </w:rPr>
      </w:pPr>
    </w:p>
    <w:p w14:paraId="68D8A8CF" w14:textId="77777777" w:rsidR="005B52B0" w:rsidRPr="00470D7E" w:rsidRDefault="005B52B0" w:rsidP="005128E4">
      <w:pPr>
        <w:tabs>
          <w:tab w:val="center" w:pos="5400"/>
        </w:tabs>
        <w:suppressAutoHyphens/>
        <w:jc w:val="center"/>
        <w:rPr>
          <w:rFonts w:ascii="Cambria" w:hAnsi="Cambria"/>
          <w:sz w:val="22"/>
          <w:szCs w:val="22"/>
          <w:lang w:val="es-ES_tradnl"/>
        </w:rPr>
      </w:pPr>
    </w:p>
    <w:p w14:paraId="5AD0F1FA" w14:textId="77777777" w:rsidR="005B52B0" w:rsidRPr="00470D7E" w:rsidRDefault="005B52B0" w:rsidP="005128E4">
      <w:pPr>
        <w:tabs>
          <w:tab w:val="center" w:pos="5400"/>
        </w:tabs>
        <w:suppressAutoHyphens/>
        <w:jc w:val="center"/>
        <w:rPr>
          <w:rFonts w:ascii="Cambria" w:hAnsi="Cambria"/>
          <w:sz w:val="22"/>
          <w:szCs w:val="22"/>
          <w:lang w:val="es-ES_tradnl"/>
        </w:rPr>
      </w:pPr>
    </w:p>
    <w:p w14:paraId="1CDFE96D" w14:textId="77777777" w:rsidR="00040C3A" w:rsidRPr="00470D7E" w:rsidRDefault="00040C3A" w:rsidP="00040C3A">
      <w:pPr>
        <w:tabs>
          <w:tab w:val="center" w:pos="5400"/>
        </w:tabs>
        <w:suppressAutoHyphens/>
        <w:jc w:val="center"/>
        <w:rPr>
          <w:rFonts w:ascii="Cambria" w:hAnsi="Cambria"/>
          <w:sz w:val="22"/>
          <w:szCs w:val="22"/>
          <w:lang w:val="es-ES_tradnl"/>
        </w:rPr>
      </w:pPr>
    </w:p>
    <w:p w14:paraId="550AB9C3" w14:textId="77777777" w:rsidR="00040C3A" w:rsidRPr="00470D7E" w:rsidRDefault="00040C3A" w:rsidP="00040C3A">
      <w:pPr>
        <w:tabs>
          <w:tab w:val="center" w:pos="5400"/>
        </w:tabs>
        <w:suppressAutoHyphens/>
        <w:jc w:val="center"/>
        <w:rPr>
          <w:rFonts w:ascii="Cambria" w:hAnsi="Cambria"/>
          <w:sz w:val="22"/>
          <w:szCs w:val="22"/>
          <w:lang w:val="es-ES_tradnl"/>
        </w:rPr>
      </w:pPr>
    </w:p>
    <w:p w14:paraId="17854C67" w14:textId="77777777" w:rsidR="00040C3A" w:rsidRPr="00470D7E" w:rsidRDefault="00441039" w:rsidP="00040C3A">
      <w:pPr>
        <w:tabs>
          <w:tab w:val="center" w:pos="5400"/>
        </w:tabs>
        <w:suppressAutoHyphens/>
        <w:jc w:val="center"/>
        <w:rPr>
          <w:rFonts w:ascii="Cambria" w:hAnsi="Cambria"/>
          <w:sz w:val="22"/>
          <w:szCs w:val="22"/>
          <w:lang w:val="es-ES_tradnl"/>
        </w:rPr>
      </w:pPr>
      <w:r>
        <w:rPr>
          <w:noProof/>
          <w:lang w:val="es-ES" w:eastAsia="es-ES"/>
        </w:rPr>
        <mc:AlternateContent>
          <mc:Choice Requires="wps">
            <w:drawing>
              <wp:anchor distT="0" distB="0" distL="114300" distR="114300" simplePos="0" relativeHeight="251655168" behindDoc="0" locked="0" layoutInCell="1" allowOverlap="1" wp14:anchorId="2D522BF0" wp14:editId="446C607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3A8C3D1E" w14:textId="77777777" w:rsidR="009D6394" w:rsidRPr="00005B72" w:rsidRDefault="009D6394" w:rsidP="00997BC5">
                            <w:pPr>
                              <w:spacing w:line="276" w:lineRule="auto"/>
                              <w:rPr>
                                <w:rFonts w:ascii="Cambria" w:hAnsi="Cambria" w:cs="Arial"/>
                                <w:b/>
                                <w:bCs/>
                                <w:color w:val="0D0D0D"/>
                                <w:sz w:val="36"/>
                                <w:szCs w:val="22"/>
                                <w:lang w:val="es-ES"/>
                              </w:rPr>
                            </w:pPr>
                            <w:r w:rsidRPr="00005B72">
                              <w:rPr>
                                <w:rFonts w:ascii="Cambria" w:hAnsi="Cambria" w:cs="Arial"/>
                                <w:b/>
                                <w:bCs/>
                                <w:color w:val="0D0D0D"/>
                                <w:sz w:val="36"/>
                                <w:szCs w:val="22"/>
                                <w:lang w:val="es-ES"/>
                              </w:rPr>
                              <w:t xml:space="preserve">INFORME </w:t>
                            </w:r>
                            <w:r w:rsidRPr="00005B72">
                              <w:rPr>
                                <w:rFonts w:ascii="Cambria" w:hAnsi="Cambria" w:cs="Arial"/>
                                <w:b/>
                                <w:bCs/>
                                <w:color w:val="0D0D0D"/>
                                <w:sz w:val="36"/>
                                <w:szCs w:val="40"/>
                                <w:lang w:val="es-ES"/>
                              </w:rPr>
                              <w:t>No.</w:t>
                            </w:r>
                            <w:r w:rsidRPr="00005B72">
                              <w:rPr>
                                <w:rFonts w:ascii="Cambria" w:hAnsi="Cambria" w:cs="Arial"/>
                                <w:b/>
                                <w:bCs/>
                                <w:color w:val="0D0D0D"/>
                                <w:sz w:val="36"/>
                                <w:szCs w:val="22"/>
                                <w:lang w:val="es-ES"/>
                              </w:rPr>
                              <w:t xml:space="preserve"> </w:t>
                            </w:r>
                            <w:r w:rsidR="00A668F1">
                              <w:rPr>
                                <w:rFonts w:ascii="Cambria" w:hAnsi="Cambria" w:cs="Arial"/>
                                <w:b/>
                                <w:bCs/>
                                <w:color w:val="0D0D0D"/>
                                <w:sz w:val="36"/>
                                <w:szCs w:val="22"/>
                                <w:lang w:val="es-ES"/>
                              </w:rPr>
                              <w:t>158</w:t>
                            </w:r>
                            <w:r w:rsidRPr="00005B72">
                              <w:rPr>
                                <w:rFonts w:ascii="Cambria" w:hAnsi="Cambria" w:cs="Arial"/>
                                <w:b/>
                                <w:bCs/>
                                <w:color w:val="0D0D0D"/>
                                <w:sz w:val="36"/>
                                <w:szCs w:val="22"/>
                                <w:lang w:val="es-ES"/>
                              </w:rPr>
                              <w:t>/19</w:t>
                            </w:r>
                          </w:p>
                          <w:p w14:paraId="31118CD4" w14:textId="77777777" w:rsidR="009D6394" w:rsidRPr="00F63E11" w:rsidRDefault="009D6394" w:rsidP="00997BC5">
                            <w:pPr>
                              <w:spacing w:line="276" w:lineRule="auto"/>
                              <w:rPr>
                                <w:rFonts w:ascii="Cambria" w:hAnsi="Cambria" w:cs="Arial"/>
                                <w:b/>
                                <w:color w:val="0D0D0D"/>
                                <w:sz w:val="36"/>
                                <w:szCs w:val="22"/>
                                <w:lang w:val="es-CL"/>
                              </w:rPr>
                            </w:pPr>
                            <w:r w:rsidRPr="00F63E11">
                              <w:rPr>
                                <w:rFonts w:ascii="Cambria" w:hAnsi="Cambria" w:cs="Arial"/>
                                <w:b/>
                                <w:color w:val="0D0D0D"/>
                                <w:sz w:val="36"/>
                                <w:szCs w:val="22"/>
                                <w:lang w:val="es-CL"/>
                              </w:rPr>
                              <w:t>CASO 12.921</w:t>
                            </w:r>
                          </w:p>
                          <w:p w14:paraId="09546E32" w14:textId="77777777" w:rsidR="009D6394" w:rsidRPr="00470D7E" w:rsidRDefault="009D6394" w:rsidP="000158FD">
                            <w:pPr>
                              <w:spacing w:line="276" w:lineRule="auto"/>
                              <w:rPr>
                                <w:rFonts w:ascii="Cambria" w:hAnsi="Cambria" w:cs="Arial"/>
                                <w:color w:val="0D0D0D"/>
                                <w:szCs w:val="22"/>
                                <w:lang w:val="es-ES_tradnl"/>
                              </w:rPr>
                            </w:pPr>
                            <w:r w:rsidRPr="00470D7E">
                              <w:rPr>
                                <w:rFonts w:ascii="Cambria" w:hAnsi="Cambria" w:cs="Arial"/>
                                <w:color w:val="0D0D0D"/>
                                <w:szCs w:val="22"/>
                                <w:lang w:val="es-ES_tradnl"/>
                              </w:rPr>
                              <w:t xml:space="preserve">INFORME DE FONDO </w:t>
                            </w:r>
                          </w:p>
                          <w:p w14:paraId="07142B17" w14:textId="77777777" w:rsidR="009D6394" w:rsidRPr="00470D7E" w:rsidRDefault="009D6394" w:rsidP="00997BC5">
                            <w:pPr>
                              <w:spacing w:line="276" w:lineRule="auto"/>
                              <w:rPr>
                                <w:rFonts w:ascii="Cambria" w:hAnsi="Cambria" w:cs="Arial"/>
                                <w:color w:val="0D0D0D"/>
                                <w:szCs w:val="22"/>
                                <w:lang w:val="es-ES_tradnl"/>
                              </w:rPr>
                            </w:pPr>
                            <w:bookmarkStart w:id="0" w:name="_ftnref1"/>
                          </w:p>
                          <w:p w14:paraId="2BC5CA4D" w14:textId="77777777" w:rsidR="009D6394" w:rsidRPr="00470D7E" w:rsidRDefault="009D6394" w:rsidP="00997BC5">
                            <w:pPr>
                              <w:spacing w:line="276" w:lineRule="auto"/>
                              <w:rPr>
                                <w:rFonts w:ascii="Cambria" w:hAnsi="Cambria" w:cs="Arial"/>
                                <w:color w:val="0D0D0D"/>
                                <w:szCs w:val="22"/>
                                <w:lang w:val="es-ES_tradnl"/>
                              </w:rPr>
                            </w:pPr>
                            <w:r>
                              <w:rPr>
                                <w:rFonts w:ascii="Cambria" w:hAnsi="Cambria" w:cs="Arial"/>
                                <w:color w:val="0D0D0D"/>
                                <w:szCs w:val="22"/>
                                <w:lang w:val="es-ES_tradnl"/>
                              </w:rPr>
                              <w:t>HERMINIO DERAS GARCÍA Y FAMILIA</w:t>
                            </w:r>
                          </w:p>
                          <w:bookmarkEnd w:id="0"/>
                          <w:p w14:paraId="5DEEC79C" w14:textId="77777777" w:rsidR="009D6394" w:rsidRPr="00470D7E" w:rsidRDefault="009D6394" w:rsidP="00997BC5">
                            <w:pPr>
                              <w:spacing w:line="276" w:lineRule="auto"/>
                              <w:rPr>
                                <w:rFonts w:ascii="Cambria" w:hAnsi="Cambria" w:cs="Arial"/>
                                <w:color w:val="0D0D0D"/>
                                <w:szCs w:val="22"/>
                                <w:lang w:val="es-ES"/>
                              </w:rPr>
                            </w:pPr>
                            <w:r>
                              <w:rPr>
                                <w:rFonts w:ascii="Cambria" w:hAnsi="Cambria" w:cs="Arial"/>
                                <w:color w:val="0D0D0D"/>
                                <w:szCs w:val="22"/>
                                <w:lang w:val="es-ES_tradnl"/>
                              </w:rPr>
                              <w:t>HONDURAS</w:t>
                            </w:r>
                          </w:p>
                          <w:p w14:paraId="2C6C8B22" w14:textId="77777777" w:rsidR="009D6394" w:rsidRPr="00470D7E" w:rsidRDefault="009D6394"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2BF0"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7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" filled="f" stroked="f" strokeweight=".5pt">
                <v:textbox>
                  <w:txbxContent>
                    <w:p w14:paraId="3A8C3D1E" w14:textId="77777777" w:rsidR="009D6394" w:rsidRPr="00005B72" w:rsidRDefault="009D6394" w:rsidP="00997BC5">
                      <w:pPr>
                        <w:spacing w:line="276" w:lineRule="auto"/>
                        <w:rPr>
                          <w:rFonts w:ascii="Cambria" w:hAnsi="Cambria" w:cs="Arial"/>
                          <w:b/>
                          <w:bCs/>
                          <w:color w:val="0D0D0D"/>
                          <w:sz w:val="36"/>
                          <w:szCs w:val="22"/>
                          <w:lang w:val="es-ES"/>
                        </w:rPr>
                      </w:pPr>
                      <w:r w:rsidRPr="00005B72">
                        <w:rPr>
                          <w:rFonts w:ascii="Cambria" w:hAnsi="Cambria" w:cs="Arial"/>
                          <w:b/>
                          <w:bCs/>
                          <w:color w:val="0D0D0D"/>
                          <w:sz w:val="36"/>
                          <w:szCs w:val="22"/>
                          <w:lang w:val="es-ES"/>
                        </w:rPr>
                        <w:t xml:space="preserve">INFORME </w:t>
                      </w:r>
                      <w:r w:rsidRPr="00005B72">
                        <w:rPr>
                          <w:rFonts w:ascii="Cambria" w:hAnsi="Cambria" w:cs="Arial"/>
                          <w:b/>
                          <w:bCs/>
                          <w:color w:val="0D0D0D"/>
                          <w:sz w:val="36"/>
                          <w:szCs w:val="40"/>
                          <w:lang w:val="es-ES"/>
                        </w:rPr>
                        <w:t>No.</w:t>
                      </w:r>
                      <w:r w:rsidRPr="00005B72">
                        <w:rPr>
                          <w:rFonts w:ascii="Cambria" w:hAnsi="Cambria" w:cs="Arial"/>
                          <w:b/>
                          <w:bCs/>
                          <w:color w:val="0D0D0D"/>
                          <w:sz w:val="36"/>
                          <w:szCs w:val="22"/>
                          <w:lang w:val="es-ES"/>
                        </w:rPr>
                        <w:t xml:space="preserve"> </w:t>
                      </w:r>
                      <w:r w:rsidR="00A668F1">
                        <w:rPr>
                          <w:rFonts w:ascii="Cambria" w:hAnsi="Cambria" w:cs="Arial"/>
                          <w:b/>
                          <w:bCs/>
                          <w:color w:val="0D0D0D"/>
                          <w:sz w:val="36"/>
                          <w:szCs w:val="22"/>
                          <w:lang w:val="es-ES"/>
                        </w:rPr>
                        <w:t>158</w:t>
                      </w:r>
                      <w:r w:rsidRPr="00005B72">
                        <w:rPr>
                          <w:rFonts w:ascii="Cambria" w:hAnsi="Cambria" w:cs="Arial"/>
                          <w:b/>
                          <w:bCs/>
                          <w:color w:val="0D0D0D"/>
                          <w:sz w:val="36"/>
                          <w:szCs w:val="22"/>
                          <w:lang w:val="es-ES"/>
                        </w:rPr>
                        <w:t>/19</w:t>
                      </w:r>
                    </w:p>
                    <w:p w14:paraId="31118CD4" w14:textId="77777777" w:rsidR="009D6394" w:rsidRPr="00F63E11" w:rsidRDefault="009D6394" w:rsidP="00997BC5">
                      <w:pPr>
                        <w:spacing w:line="276" w:lineRule="auto"/>
                        <w:rPr>
                          <w:rFonts w:ascii="Cambria" w:hAnsi="Cambria" w:cs="Arial"/>
                          <w:b/>
                          <w:color w:val="0D0D0D"/>
                          <w:sz w:val="36"/>
                          <w:szCs w:val="22"/>
                          <w:lang w:val="es-CL"/>
                        </w:rPr>
                      </w:pPr>
                      <w:r w:rsidRPr="00F63E11">
                        <w:rPr>
                          <w:rFonts w:ascii="Cambria" w:hAnsi="Cambria" w:cs="Arial"/>
                          <w:b/>
                          <w:color w:val="0D0D0D"/>
                          <w:sz w:val="36"/>
                          <w:szCs w:val="22"/>
                          <w:lang w:val="es-CL"/>
                        </w:rPr>
                        <w:t>CASO 12.921</w:t>
                      </w:r>
                    </w:p>
                    <w:p w14:paraId="09546E32" w14:textId="77777777" w:rsidR="009D6394" w:rsidRPr="00470D7E" w:rsidRDefault="009D6394" w:rsidP="000158FD">
                      <w:pPr>
                        <w:spacing w:line="276" w:lineRule="auto"/>
                        <w:rPr>
                          <w:rFonts w:ascii="Cambria" w:hAnsi="Cambria" w:cs="Arial"/>
                          <w:color w:val="0D0D0D"/>
                          <w:szCs w:val="22"/>
                          <w:lang w:val="es-ES_tradnl"/>
                        </w:rPr>
                      </w:pPr>
                      <w:r w:rsidRPr="00470D7E">
                        <w:rPr>
                          <w:rFonts w:ascii="Cambria" w:hAnsi="Cambria" w:cs="Arial"/>
                          <w:color w:val="0D0D0D"/>
                          <w:szCs w:val="22"/>
                          <w:lang w:val="es-ES_tradnl"/>
                        </w:rPr>
                        <w:t xml:space="preserve">INFORME DE FONDO </w:t>
                      </w:r>
                    </w:p>
                    <w:p w14:paraId="07142B17" w14:textId="77777777" w:rsidR="009D6394" w:rsidRPr="00470D7E" w:rsidRDefault="009D6394" w:rsidP="00997BC5">
                      <w:pPr>
                        <w:spacing w:line="276" w:lineRule="auto"/>
                        <w:rPr>
                          <w:rFonts w:ascii="Cambria" w:hAnsi="Cambria" w:cs="Arial"/>
                          <w:color w:val="0D0D0D"/>
                          <w:szCs w:val="22"/>
                          <w:lang w:val="es-ES_tradnl"/>
                        </w:rPr>
                      </w:pPr>
                      <w:bookmarkStart w:id="1" w:name="_ftnref1"/>
                    </w:p>
                    <w:p w14:paraId="2BC5CA4D" w14:textId="77777777" w:rsidR="009D6394" w:rsidRPr="00470D7E" w:rsidRDefault="009D6394" w:rsidP="00997BC5">
                      <w:pPr>
                        <w:spacing w:line="276" w:lineRule="auto"/>
                        <w:rPr>
                          <w:rFonts w:ascii="Cambria" w:hAnsi="Cambria" w:cs="Arial"/>
                          <w:color w:val="0D0D0D"/>
                          <w:szCs w:val="22"/>
                          <w:lang w:val="es-ES_tradnl"/>
                        </w:rPr>
                      </w:pPr>
                      <w:r>
                        <w:rPr>
                          <w:rFonts w:ascii="Cambria" w:hAnsi="Cambria" w:cs="Arial"/>
                          <w:color w:val="0D0D0D"/>
                          <w:szCs w:val="22"/>
                          <w:lang w:val="es-ES_tradnl"/>
                        </w:rPr>
                        <w:t>HERMINIO DERAS GARCÍA Y FAMILIA</w:t>
                      </w:r>
                    </w:p>
                    <w:bookmarkEnd w:id="1"/>
                    <w:p w14:paraId="5DEEC79C" w14:textId="77777777" w:rsidR="009D6394" w:rsidRPr="00470D7E" w:rsidRDefault="009D6394" w:rsidP="00997BC5">
                      <w:pPr>
                        <w:spacing w:line="276" w:lineRule="auto"/>
                        <w:rPr>
                          <w:rFonts w:ascii="Cambria" w:hAnsi="Cambria" w:cs="Arial"/>
                          <w:color w:val="0D0D0D"/>
                          <w:szCs w:val="22"/>
                          <w:lang w:val="es-ES"/>
                        </w:rPr>
                      </w:pPr>
                      <w:r>
                        <w:rPr>
                          <w:rFonts w:ascii="Cambria" w:hAnsi="Cambria" w:cs="Arial"/>
                          <w:color w:val="0D0D0D"/>
                          <w:szCs w:val="22"/>
                          <w:lang w:val="es-ES_tradnl"/>
                        </w:rPr>
                        <w:t>HONDURAS</w:t>
                      </w:r>
                    </w:p>
                    <w:p w14:paraId="2C6C8B22" w14:textId="77777777" w:rsidR="009D6394" w:rsidRPr="00470D7E" w:rsidRDefault="009D6394" w:rsidP="007A5817">
                      <w:pPr>
                        <w:rPr>
                          <w:color w:val="0D0D0D"/>
                          <w:lang w:val="es-ES_tradnl"/>
                        </w:rPr>
                      </w:pPr>
                    </w:p>
                  </w:txbxContent>
                </v:textbox>
              </v:shape>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0CBCA91E" wp14:editId="3CB0A41D">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4FF91D87" w14:textId="77777777" w:rsidR="009D6394" w:rsidRPr="00470D7E" w:rsidRDefault="009D6394" w:rsidP="007A5817">
                            <w:pPr>
                              <w:spacing w:line="276" w:lineRule="auto"/>
                              <w:jc w:val="right"/>
                              <w:rPr>
                                <w:rFonts w:ascii="Calibri" w:hAnsi="Calibri"/>
                                <w:color w:val="FFFFFF"/>
                                <w:sz w:val="22"/>
                                <w:lang w:val="pt-BR"/>
                              </w:rPr>
                            </w:pPr>
                            <w:r w:rsidRPr="00470D7E">
                              <w:rPr>
                                <w:rFonts w:ascii="Calibri" w:hAnsi="Calibri"/>
                                <w:color w:val="FFFFFF"/>
                                <w:sz w:val="22"/>
                                <w:lang w:val="pt-BR"/>
                              </w:rPr>
                              <w:t>OEA/Ser.L/V/II.</w:t>
                            </w:r>
                            <w:r w:rsidR="00A668F1">
                              <w:rPr>
                                <w:rFonts w:ascii="Calibri" w:hAnsi="Calibri"/>
                                <w:color w:val="FFFFFF"/>
                                <w:sz w:val="22"/>
                                <w:lang w:val="pt-BR"/>
                              </w:rPr>
                              <w:t>173</w:t>
                            </w:r>
                          </w:p>
                          <w:p w14:paraId="22EEAE5E" w14:textId="77777777" w:rsidR="009D6394" w:rsidRPr="00470D7E" w:rsidRDefault="009D6394" w:rsidP="007A5817">
                            <w:pPr>
                              <w:spacing w:line="276" w:lineRule="auto"/>
                              <w:jc w:val="right"/>
                              <w:rPr>
                                <w:rFonts w:ascii="Calibri" w:hAnsi="Calibri"/>
                                <w:color w:val="FFFFFF"/>
                                <w:sz w:val="22"/>
                                <w:lang w:val="pt-BR"/>
                              </w:rPr>
                            </w:pPr>
                            <w:r w:rsidRPr="00470D7E">
                              <w:rPr>
                                <w:rFonts w:ascii="Calibri" w:hAnsi="Calibri"/>
                                <w:color w:val="FFFFFF"/>
                                <w:sz w:val="22"/>
                                <w:lang w:val="pt-BR"/>
                              </w:rPr>
                              <w:t xml:space="preserve">Doc. </w:t>
                            </w:r>
                            <w:r w:rsidR="00A668F1">
                              <w:rPr>
                                <w:rFonts w:ascii="Calibri" w:hAnsi="Calibri"/>
                                <w:color w:val="FFFFFF"/>
                                <w:sz w:val="22"/>
                                <w:lang w:val="pt-BR"/>
                              </w:rPr>
                              <w:t>173</w:t>
                            </w:r>
                          </w:p>
                          <w:p w14:paraId="39A41C53" w14:textId="77777777" w:rsidR="009D6394" w:rsidRPr="00470D7E" w:rsidRDefault="00A668F1" w:rsidP="007A5817">
                            <w:pPr>
                              <w:spacing w:line="276" w:lineRule="auto"/>
                              <w:jc w:val="right"/>
                              <w:rPr>
                                <w:rFonts w:ascii="Calibri" w:hAnsi="Calibri"/>
                                <w:color w:val="FFFFFF"/>
                                <w:sz w:val="22"/>
                                <w:lang w:val="es-US"/>
                              </w:rPr>
                            </w:pPr>
                            <w:r>
                              <w:rPr>
                                <w:rFonts w:ascii="Calibri" w:hAnsi="Calibri"/>
                                <w:color w:val="FFFFFF"/>
                                <w:sz w:val="22"/>
                                <w:lang w:val="es-US"/>
                              </w:rPr>
                              <w:t>28 septiembre</w:t>
                            </w:r>
                            <w:r w:rsidR="009D6394" w:rsidRPr="00470D7E">
                              <w:rPr>
                                <w:rFonts w:ascii="Calibri" w:hAnsi="Calibri"/>
                                <w:color w:val="FFFFFF"/>
                                <w:sz w:val="22"/>
                                <w:lang w:val="es-US"/>
                              </w:rPr>
                              <w:t xml:space="preserve"> 20</w:t>
                            </w:r>
                            <w:r w:rsidR="009D6394">
                              <w:rPr>
                                <w:rFonts w:ascii="Calibri" w:hAnsi="Calibri"/>
                                <w:color w:val="FFFFFF"/>
                                <w:sz w:val="22"/>
                                <w:lang w:val="es-US"/>
                              </w:rPr>
                              <w:t>19</w:t>
                            </w:r>
                          </w:p>
                          <w:p w14:paraId="67DF5D43" w14:textId="77777777" w:rsidR="009D6394" w:rsidRPr="00470D7E" w:rsidRDefault="009D6394" w:rsidP="007A5817">
                            <w:pPr>
                              <w:spacing w:line="276" w:lineRule="auto"/>
                              <w:jc w:val="right"/>
                              <w:rPr>
                                <w:rFonts w:ascii="Calibri" w:hAnsi="Calibri"/>
                                <w:color w:val="FFFFFF"/>
                                <w:sz w:val="22"/>
                                <w:lang w:val="es-US"/>
                              </w:rPr>
                            </w:pPr>
                            <w:r w:rsidRPr="00470D7E">
                              <w:rPr>
                                <w:rFonts w:ascii="Calibri" w:hAnsi="Calibri"/>
                                <w:color w:val="FFFFFF"/>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CA91E" id="Text Box 8" o:spid="_x0000_s1028" type="#_x0000_t202" style="position:absolute;left:0;text-align:left;margin-left:-26.95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" filled="f" stroked="f" strokeweight=".5pt">
                <v:textbox>
                  <w:txbxContent>
                    <w:p w14:paraId="4FF91D87" w14:textId="77777777" w:rsidR="009D6394" w:rsidRPr="00470D7E" w:rsidRDefault="009D6394" w:rsidP="007A5817">
                      <w:pPr>
                        <w:spacing w:line="276" w:lineRule="auto"/>
                        <w:jc w:val="right"/>
                        <w:rPr>
                          <w:rFonts w:ascii="Calibri" w:hAnsi="Calibri"/>
                          <w:color w:val="FFFFFF"/>
                          <w:sz w:val="22"/>
                          <w:lang w:val="pt-BR"/>
                        </w:rPr>
                      </w:pPr>
                      <w:r w:rsidRPr="00470D7E">
                        <w:rPr>
                          <w:rFonts w:ascii="Calibri" w:hAnsi="Calibri"/>
                          <w:color w:val="FFFFFF"/>
                          <w:sz w:val="22"/>
                          <w:lang w:val="pt-BR"/>
                        </w:rPr>
                        <w:t>OEA/Ser.L/V/II.</w:t>
                      </w:r>
                      <w:r w:rsidR="00A668F1">
                        <w:rPr>
                          <w:rFonts w:ascii="Calibri" w:hAnsi="Calibri"/>
                          <w:color w:val="FFFFFF"/>
                          <w:sz w:val="22"/>
                          <w:lang w:val="pt-BR"/>
                        </w:rPr>
                        <w:t>173</w:t>
                      </w:r>
                    </w:p>
                    <w:p w14:paraId="22EEAE5E" w14:textId="77777777" w:rsidR="009D6394" w:rsidRPr="00470D7E" w:rsidRDefault="009D6394" w:rsidP="007A5817">
                      <w:pPr>
                        <w:spacing w:line="276" w:lineRule="auto"/>
                        <w:jc w:val="right"/>
                        <w:rPr>
                          <w:rFonts w:ascii="Calibri" w:hAnsi="Calibri"/>
                          <w:color w:val="FFFFFF"/>
                          <w:sz w:val="22"/>
                          <w:lang w:val="pt-BR"/>
                        </w:rPr>
                      </w:pPr>
                      <w:r w:rsidRPr="00470D7E">
                        <w:rPr>
                          <w:rFonts w:ascii="Calibri" w:hAnsi="Calibri"/>
                          <w:color w:val="FFFFFF"/>
                          <w:sz w:val="22"/>
                          <w:lang w:val="pt-BR"/>
                        </w:rPr>
                        <w:t xml:space="preserve">Doc. </w:t>
                      </w:r>
                      <w:r w:rsidR="00A668F1">
                        <w:rPr>
                          <w:rFonts w:ascii="Calibri" w:hAnsi="Calibri"/>
                          <w:color w:val="FFFFFF"/>
                          <w:sz w:val="22"/>
                          <w:lang w:val="pt-BR"/>
                        </w:rPr>
                        <w:t>173</w:t>
                      </w:r>
                    </w:p>
                    <w:p w14:paraId="39A41C53" w14:textId="77777777" w:rsidR="009D6394" w:rsidRPr="00470D7E" w:rsidRDefault="00A668F1" w:rsidP="007A5817">
                      <w:pPr>
                        <w:spacing w:line="276" w:lineRule="auto"/>
                        <w:jc w:val="right"/>
                        <w:rPr>
                          <w:rFonts w:ascii="Calibri" w:hAnsi="Calibri"/>
                          <w:color w:val="FFFFFF"/>
                          <w:sz w:val="22"/>
                          <w:lang w:val="es-US"/>
                        </w:rPr>
                      </w:pPr>
                      <w:r>
                        <w:rPr>
                          <w:rFonts w:ascii="Calibri" w:hAnsi="Calibri"/>
                          <w:color w:val="FFFFFF"/>
                          <w:sz w:val="22"/>
                          <w:lang w:val="es-US"/>
                        </w:rPr>
                        <w:t>28 septiembre</w:t>
                      </w:r>
                      <w:r w:rsidR="009D6394" w:rsidRPr="00470D7E">
                        <w:rPr>
                          <w:rFonts w:ascii="Calibri" w:hAnsi="Calibri"/>
                          <w:color w:val="FFFFFF"/>
                          <w:sz w:val="22"/>
                          <w:lang w:val="es-US"/>
                        </w:rPr>
                        <w:t xml:space="preserve"> 20</w:t>
                      </w:r>
                      <w:r w:rsidR="009D6394">
                        <w:rPr>
                          <w:rFonts w:ascii="Calibri" w:hAnsi="Calibri"/>
                          <w:color w:val="FFFFFF"/>
                          <w:sz w:val="22"/>
                          <w:lang w:val="es-US"/>
                        </w:rPr>
                        <w:t>19</w:t>
                      </w:r>
                    </w:p>
                    <w:p w14:paraId="67DF5D43" w14:textId="77777777" w:rsidR="009D6394" w:rsidRPr="00470D7E" w:rsidRDefault="009D6394" w:rsidP="007A5817">
                      <w:pPr>
                        <w:spacing w:line="276" w:lineRule="auto"/>
                        <w:jc w:val="right"/>
                        <w:rPr>
                          <w:rFonts w:ascii="Calibri" w:hAnsi="Calibri"/>
                          <w:color w:val="FFFFFF"/>
                          <w:sz w:val="22"/>
                          <w:lang w:val="es-US"/>
                        </w:rPr>
                      </w:pPr>
                      <w:r w:rsidRPr="00470D7E">
                        <w:rPr>
                          <w:rFonts w:ascii="Calibri" w:hAnsi="Calibri"/>
                          <w:color w:val="FFFFFF"/>
                          <w:sz w:val="22"/>
                          <w:lang w:val="es-US"/>
                        </w:rPr>
                        <w:t>Original: español</w:t>
                      </w:r>
                    </w:p>
                  </w:txbxContent>
                </v:textbox>
              </v:shape>
            </w:pict>
          </mc:Fallback>
        </mc:AlternateContent>
      </w:r>
    </w:p>
    <w:p w14:paraId="6FD0C7BC" w14:textId="77777777" w:rsidR="00040C3A" w:rsidRPr="00470D7E" w:rsidRDefault="00040C3A" w:rsidP="00040C3A">
      <w:pPr>
        <w:tabs>
          <w:tab w:val="center" w:pos="5400"/>
        </w:tabs>
        <w:suppressAutoHyphens/>
        <w:jc w:val="center"/>
        <w:rPr>
          <w:rFonts w:ascii="Cambria" w:hAnsi="Cambria"/>
          <w:sz w:val="22"/>
          <w:szCs w:val="22"/>
          <w:lang w:val="es-ES_tradnl"/>
        </w:rPr>
      </w:pPr>
    </w:p>
    <w:p w14:paraId="378B599B" w14:textId="77777777" w:rsidR="00040C3A" w:rsidRPr="00470D7E" w:rsidRDefault="00040C3A" w:rsidP="00040C3A">
      <w:pPr>
        <w:tabs>
          <w:tab w:val="center" w:pos="5400"/>
        </w:tabs>
        <w:suppressAutoHyphens/>
        <w:jc w:val="center"/>
        <w:rPr>
          <w:rFonts w:ascii="Cambria" w:hAnsi="Cambria"/>
          <w:sz w:val="22"/>
          <w:szCs w:val="22"/>
          <w:lang w:val="es-ES_tradnl"/>
        </w:rPr>
      </w:pPr>
    </w:p>
    <w:p w14:paraId="77F94EC5" w14:textId="77777777" w:rsidR="00040C3A" w:rsidRPr="00470D7E" w:rsidRDefault="00040C3A" w:rsidP="00040C3A">
      <w:pPr>
        <w:tabs>
          <w:tab w:val="center" w:pos="5400"/>
        </w:tabs>
        <w:suppressAutoHyphens/>
        <w:jc w:val="center"/>
        <w:rPr>
          <w:rFonts w:ascii="Cambria" w:hAnsi="Cambria" w:cs="Arial"/>
          <w:sz w:val="22"/>
          <w:szCs w:val="22"/>
          <w:lang w:val="es-ES_tradnl"/>
        </w:rPr>
      </w:pPr>
    </w:p>
    <w:p w14:paraId="324FD600" w14:textId="77777777" w:rsidR="00040C3A" w:rsidRPr="00470D7E" w:rsidRDefault="00040C3A" w:rsidP="00040C3A">
      <w:pPr>
        <w:tabs>
          <w:tab w:val="center" w:pos="5400"/>
        </w:tabs>
        <w:suppressAutoHyphens/>
        <w:jc w:val="center"/>
        <w:rPr>
          <w:rFonts w:ascii="Cambria" w:hAnsi="Cambria"/>
          <w:sz w:val="22"/>
          <w:szCs w:val="22"/>
          <w:lang w:val="es-ES_tradnl"/>
        </w:rPr>
      </w:pPr>
    </w:p>
    <w:p w14:paraId="3BD19059" w14:textId="77777777" w:rsidR="00040C3A" w:rsidRPr="00470D7E" w:rsidRDefault="00040C3A" w:rsidP="00040C3A">
      <w:pPr>
        <w:tabs>
          <w:tab w:val="center" w:pos="5400"/>
        </w:tabs>
        <w:suppressAutoHyphens/>
        <w:jc w:val="center"/>
        <w:rPr>
          <w:rFonts w:ascii="Cambria" w:hAnsi="Cambria"/>
          <w:sz w:val="22"/>
          <w:szCs w:val="22"/>
          <w:lang w:val="es-ES_tradnl"/>
        </w:rPr>
      </w:pPr>
    </w:p>
    <w:p w14:paraId="719B71B5" w14:textId="77777777" w:rsidR="00040C3A" w:rsidRPr="00470D7E" w:rsidRDefault="00040C3A" w:rsidP="00040C3A">
      <w:pPr>
        <w:tabs>
          <w:tab w:val="center" w:pos="5400"/>
        </w:tabs>
        <w:suppressAutoHyphens/>
        <w:jc w:val="center"/>
        <w:rPr>
          <w:rFonts w:ascii="Cambria" w:hAnsi="Cambria"/>
          <w:sz w:val="22"/>
          <w:szCs w:val="22"/>
          <w:lang w:val="es-ES_tradnl"/>
        </w:rPr>
      </w:pPr>
    </w:p>
    <w:p w14:paraId="7366229D" w14:textId="77777777" w:rsidR="00040C3A" w:rsidRPr="00470D7E" w:rsidRDefault="00040C3A" w:rsidP="00040C3A">
      <w:pPr>
        <w:tabs>
          <w:tab w:val="center" w:pos="5400"/>
        </w:tabs>
        <w:suppressAutoHyphens/>
        <w:jc w:val="center"/>
        <w:rPr>
          <w:rFonts w:ascii="Cambria" w:hAnsi="Cambria"/>
          <w:sz w:val="22"/>
          <w:szCs w:val="22"/>
          <w:lang w:val="es-ES_tradnl"/>
        </w:rPr>
      </w:pPr>
    </w:p>
    <w:p w14:paraId="304AD699" w14:textId="77777777" w:rsidR="005128E4" w:rsidRPr="00470D7E" w:rsidRDefault="005128E4" w:rsidP="00040C3A">
      <w:pPr>
        <w:tabs>
          <w:tab w:val="center" w:pos="5400"/>
        </w:tabs>
        <w:suppressAutoHyphens/>
        <w:jc w:val="center"/>
        <w:rPr>
          <w:rFonts w:ascii="Cambria" w:hAnsi="Cambria"/>
          <w:sz w:val="22"/>
          <w:szCs w:val="22"/>
          <w:lang w:val="es-ES_tradnl"/>
        </w:rPr>
      </w:pPr>
    </w:p>
    <w:p w14:paraId="42178545" w14:textId="77777777" w:rsidR="00040C3A" w:rsidRPr="00470D7E" w:rsidRDefault="00040C3A" w:rsidP="00040C3A">
      <w:pPr>
        <w:tabs>
          <w:tab w:val="center" w:pos="5400"/>
        </w:tabs>
        <w:suppressAutoHyphens/>
        <w:jc w:val="center"/>
        <w:rPr>
          <w:rFonts w:ascii="Cambria" w:hAnsi="Cambria"/>
          <w:sz w:val="22"/>
          <w:szCs w:val="22"/>
          <w:lang w:val="es-ES_tradnl"/>
        </w:rPr>
      </w:pPr>
    </w:p>
    <w:p w14:paraId="1B60922B" w14:textId="77777777" w:rsidR="005128E4" w:rsidRPr="00470D7E" w:rsidRDefault="005128E4" w:rsidP="00040C3A">
      <w:pPr>
        <w:tabs>
          <w:tab w:val="center" w:pos="5400"/>
        </w:tabs>
        <w:suppressAutoHyphens/>
        <w:jc w:val="center"/>
        <w:rPr>
          <w:rFonts w:ascii="Cambria" w:hAnsi="Cambria"/>
          <w:sz w:val="22"/>
          <w:szCs w:val="22"/>
          <w:lang w:val="es-ES_tradnl"/>
        </w:rPr>
      </w:pPr>
    </w:p>
    <w:p w14:paraId="62D436E3" w14:textId="77777777" w:rsidR="005128E4" w:rsidRPr="00470D7E" w:rsidRDefault="005128E4" w:rsidP="00040C3A">
      <w:pPr>
        <w:tabs>
          <w:tab w:val="center" w:pos="5400"/>
        </w:tabs>
        <w:suppressAutoHyphens/>
        <w:jc w:val="center"/>
        <w:rPr>
          <w:rFonts w:ascii="Cambria" w:hAnsi="Cambria"/>
          <w:sz w:val="22"/>
          <w:szCs w:val="22"/>
          <w:lang w:val="es-ES_tradnl"/>
        </w:rPr>
      </w:pPr>
    </w:p>
    <w:p w14:paraId="024A964F" w14:textId="77777777" w:rsidR="005128E4" w:rsidRPr="00470D7E" w:rsidRDefault="005128E4" w:rsidP="00040C3A">
      <w:pPr>
        <w:tabs>
          <w:tab w:val="center" w:pos="5400"/>
        </w:tabs>
        <w:suppressAutoHyphens/>
        <w:jc w:val="center"/>
        <w:rPr>
          <w:rFonts w:ascii="Cambria" w:hAnsi="Cambria"/>
          <w:sz w:val="22"/>
          <w:szCs w:val="22"/>
          <w:lang w:val="es-ES_tradnl"/>
        </w:rPr>
      </w:pPr>
    </w:p>
    <w:p w14:paraId="02750123" w14:textId="77777777" w:rsidR="00040C3A" w:rsidRPr="00470D7E" w:rsidRDefault="00040C3A" w:rsidP="00040C3A">
      <w:pPr>
        <w:tabs>
          <w:tab w:val="center" w:pos="5400"/>
        </w:tabs>
        <w:suppressAutoHyphens/>
        <w:jc w:val="center"/>
        <w:rPr>
          <w:rFonts w:ascii="Cambria" w:hAnsi="Cambria"/>
          <w:sz w:val="22"/>
          <w:szCs w:val="22"/>
          <w:lang w:val="es-ES_tradnl"/>
        </w:rPr>
      </w:pPr>
    </w:p>
    <w:p w14:paraId="5DB9442D" w14:textId="77777777" w:rsidR="00040C3A" w:rsidRPr="00470D7E" w:rsidRDefault="00040C3A" w:rsidP="00040C3A">
      <w:pPr>
        <w:tabs>
          <w:tab w:val="center" w:pos="5400"/>
        </w:tabs>
        <w:suppressAutoHyphens/>
        <w:jc w:val="center"/>
        <w:rPr>
          <w:rFonts w:ascii="Cambria" w:hAnsi="Cambria"/>
          <w:sz w:val="22"/>
          <w:szCs w:val="22"/>
          <w:lang w:val="es-ES_tradnl"/>
        </w:rPr>
      </w:pPr>
    </w:p>
    <w:p w14:paraId="2779667C" w14:textId="77777777" w:rsidR="00A50FCF" w:rsidRPr="00470D7E" w:rsidRDefault="00A50FCF" w:rsidP="00040C3A">
      <w:pPr>
        <w:tabs>
          <w:tab w:val="center" w:pos="5400"/>
        </w:tabs>
        <w:suppressAutoHyphens/>
        <w:jc w:val="center"/>
        <w:rPr>
          <w:rFonts w:ascii="Cambria" w:hAnsi="Cambria"/>
          <w:sz w:val="18"/>
          <w:szCs w:val="22"/>
          <w:lang w:val="es-ES_tradnl"/>
        </w:rPr>
      </w:pPr>
    </w:p>
    <w:p w14:paraId="775D63B5" w14:textId="77777777" w:rsidR="00A50FCF" w:rsidRPr="00470D7E" w:rsidRDefault="00A50FCF" w:rsidP="00040C3A">
      <w:pPr>
        <w:tabs>
          <w:tab w:val="center" w:pos="5400"/>
        </w:tabs>
        <w:suppressAutoHyphens/>
        <w:jc w:val="center"/>
        <w:rPr>
          <w:rFonts w:ascii="Cambria" w:hAnsi="Cambria"/>
          <w:sz w:val="18"/>
          <w:szCs w:val="22"/>
          <w:lang w:val="es-ES_tradnl"/>
        </w:rPr>
      </w:pPr>
    </w:p>
    <w:p w14:paraId="54C70D97" w14:textId="77777777" w:rsidR="00A50FCF" w:rsidRPr="00470D7E" w:rsidRDefault="00A50FCF" w:rsidP="00040C3A">
      <w:pPr>
        <w:tabs>
          <w:tab w:val="center" w:pos="5400"/>
        </w:tabs>
        <w:suppressAutoHyphens/>
        <w:jc w:val="center"/>
        <w:rPr>
          <w:rFonts w:ascii="Cambria" w:hAnsi="Cambria"/>
          <w:sz w:val="18"/>
          <w:szCs w:val="22"/>
          <w:lang w:val="es-ES_tradnl"/>
        </w:rPr>
      </w:pPr>
    </w:p>
    <w:p w14:paraId="736136FD" w14:textId="77777777" w:rsidR="00A50FCF" w:rsidRPr="00470D7E" w:rsidRDefault="00A50FCF" w:rsidP="00040C3A">
      <w:pPr>
        <w:tabs>
          <w:tab w:val="center" w:pos="5400"/>
        </w:tabs>
        <w:suppressAutoHyphens/>
        <w:jc w:val="center"/>
        <w:rPr>
          <w:rFonts w:ascii="Cambria" w:hAnsi="Cambria"/>
          <w:sz w:val="18"/>
          <w:szCs w:val="22"/>
          <w:lang w:val="es-ES_tradnl"/>
        </w:rPr>
      </w:pPr>
    </w:p>
    <w:p w14:paraId="73877FA5" w14:textId="77777777" w:rsidR="00A50FCF" w:rsidRPr="00470D7E" w:rsidRDefault="00A50FCF" w:rsidP="00040C3A">
      <w:pPr>
        <w:tabs>
          <w:tab w:val="center" w:pos="5400"/>
        </w:tabs>
        <w:suppressAutoHyphens/>
        <w:jc w:val="center"/>
        <w:rPr>
          <w:rFonts w:ascii="Cambria" w:hAnsi="Cambria"/>
          <w:sz w:val="18"/>
          <w:szCs w:val="22"/>
          <w:lang w:val="es-ES_tradnl"/>
        </w:rPr>
      </w:pPr>
    </w:p>
    <w:p w14:paraId="3038C0F9" w14:textId="77777777" w:rsidR="00A50FCF" w:rsidRPr="00470D7E" w:rsidRDefault="00A50FCF" w:rsidP="00040C3A">
      <w:pPr>
        <w:tabs>
          <w:tab w:val="center" w:pos="5400"/>
        </w:tabs>
        <w:suppressAutoHyphens/>
        <w:jc w:val="center"/>
        <w:rPr>
          <w:rFonts w:ascii="Cambria" w:hAnsi="Cambria"/>
          <w:sz w:val="18"/>
          <w:szCs w:val="22"/>
          <w:lang w:val="es-ES_tradnl"/>
        </w:rPr>
      </w:pPr>
    </w:p>
    <w:p w14:paraId="0C4FD6D1" w14:textId="77777777" w:rsidR="00A50FCF" w:rsidRPr="00470D7E" w:rsidRDefault="00A50FCF" w:rsidP="00040C3A">
      <w:pPr>
        <w:tabs>
          <w:tab w:val="center" w:pos="5400"/>
        </w:tabs>
        <w:suppressAutoHyphens/>
        <w:jc w:val="center"/>
        <w:rPr>
          <w:rFonts w:ascii="Cambria" w:hAnsi="Cambria"/>
          <w:sz w:val="18"/>
          <w:szCs w:val="22"/>
          <w:lang w:val="es-ES_tradnl"/>
        </w:rPr>
      </w:pPr>
    </w:p>
    <w:p w14:paraId="6DF0D8E7" w14:textId="77777777" w:rsidR="00A50FCF" w:rsidRPr="00470D7E" w:rsidRDefault="00A50FCF" w:rsidP="00040C3A">
      <w:pPr>
        <w:tabs>
          <w:tab w:val="center" w:pos="5400"/>
        </w:tabs>
        <w:suppressAutoHyphens/>
        <w:jc w:val="center"/>
        <w:rPr>
          <w:rFonts w:ascii="Cambria" w:hAnsi="Cambria"/>
          <w:sz w:val="18"/>
          <w:szCs w:val="22"/>
          <w:lang w:val="es-ES_tradnl"/>
        </w:rPr>
      </w:pPr>
    </w:p>
    <w:p w14:paraId="4BBE12F9" w14:textId="77777777" w:rsidR="00A50FCF" w:rsidRPr="00470D7E" w:rsidRDefault="00A50FCF" w:rsidP="00040C3A">
      <w:pPr>
        <w:tabs>
          <w:tab w:val="center" w:pos="5400"/>
        </w:tabs>
        <w:suppressAutoHyphens/>
        <w:jc w:val="center"/>
        <w:rPr>
          <w:rFonts w:ascii="Cambria" w:hAnsi="Cambria"/>
          <w:sz w:val="18"/>
          <w:szCs w:val="22"/>
          <w:lang w:val="es-ES_tradnl"/>
        </w:rPr>
      </w:pPr>
    </w:p>
    <w:p w14:paraId="55EABA70" w14:textId="77777777" w:rsidR="00A50FCF" w:rsidRPr="00470D7E" w:rsidRDefault="00A50FCF" w:rsidP="00040C3A">
      <w:pPr>
        <w:tabs>
          <w:tab w:val="center" w:pos="5400"/>
        </w:tabs>
        <w:suppressAutoHyphens/>
        <w:jc w:val="center"/>
        <w:rPr>
          <w:rFonts w:ascii="Cambria" w:hAnsi="Cambria"/>
          <w:sz w:val="18"/>
          <w:szCs w:val="22"/>
          <w:lang w:val="es-ES_tradnl"/>
        </w:rPr>
      </w:pPr>
    </w:p>
    <w:p w14:paraId="28FF4EAE" w14:textId="77777777" w:rsidR="00A50FCF" w:rsidRPr="00470D7E" w:rsidRDefault="00A50FCF" w:rsidP="00040C3A">
      <w:pPr>
        <w:tabs>
          <w:tab w:val="center" w:pos="5400"/>
        </w:tabs>
        <w:suppressAutoHyphens/>
        <w:jc w:val="center"/>
        <w:rPr>
          <w:rFonts w:ascii="Cambria" w:hAnsi="Cambria"/>
          <w:sz w:val="18"/>
          <w:szCs w:val="22"/>
          <w:lang w:val="es-ES_tradnl"/>
        </w:rPr>
      </w:pPr>
    </w:p>
    <w:p w14:paraId="657A2394" w14:textId="77777777" w:rsidR="00A50FCF" w:rsidRPr="00470D7E" w:rsidRDefault="00A50FCF" w:rsidP="00040C3A">
      <w:pPr>
        <w:tabs>
          <w:tab w:val="center" w:pos="5400"/>
        </w:tabs>
        <w:suppressAutoHyphens/>
        <w:jc w:val="center"/>
        <w:rPr>
          <w:rFonts w:ascii="Cambria" w:hAnsi="Cambria"/>
          <w:sz w:val="18"/>
          <w:szCs w:val="22"/>
          <w:lang w:val="es-ES_tradnl"/>
        </w:rPr>
      </w:pPr>
    </w:p>
    <w:p w14:paraId="19B3D1B7" w14:textId="77777777" w:rsidR="00A50FCF" w:rsidRPr="00470D7E" w:rsidRDefault="00A50FCF" w:rsidP="00040C3A">
      <w:pPr>
        <w:tabs>
          <w:tab w:val="center" w:pos="5400"/>
        </w:tabs>
        <w:suppressAutoHyphens/>
        <w:jc w:val="center"/>
        <w:rPr>
          <w:rFonts w:ascii="Cambria" w:hAnsi="Cambria"/>
          <w:sz w:val="18"/>
          <w:szCs w:val="22"/>
          <w:lang w:val="es-ES_tradnl"/>
        </w:rPr>
      </w:pPr>
    </w:p>
    <w:p w14:paraId="22811101" w14:textId="77777777" w:rsidR="00A50FCF" w:rsidRPr="00470D7E" w:rsidRDefault="00A50FCF" w:rsidP="00040C3A">
      <w:pPr>
        <w:tabs>
          <w:tab w:val="center" w:pos="5400"/>
        </w:tabs>
        <w:suppressAutoHyphens/>
        <w:jc w:val="center"/>
        <w:rPr>
          <w:rFonts w:ascii="Cambria" w:hAnsi="Cambria"/>
          <w:sz w:val="18"/>
          <w:szCs w:val="22"/>
          <w:lang w:val="es-ES_tradnl"/>
        </w:rPr>
      </w:pPr>
    </w:p>
    <w:p w14:paraId="4C761DB1" w14:textId="77777777" w:rsidR="00A50FCF" w:rsidRPr="00470D7E" w:rsidRDefault="00441039" w:rsidP="00040C3A">
      <w:pPr>
        <w:tabs>
          <w:tab w:val="center" w:pos="5400"/>
        </w:tabs>
        <w:suppressAutoHyphens/>
        <w:jc w:val="center"/>
        <w:rPr>
          <w:rFonts w:ascii="Cambria" w:hAnsi="Cambria"/>
          <w:sz w:val="18"/>
          <w:szCs w:val="22"/>
          <w:lang w:val="es-ES_tradnl"/>
        </w:rPr>
      </w:pPr>
      <w:r>
        <w:rPr>
          <w:noProof/>
          <w:lang w:val="es-ES" w:eastAsia="es-ES"/>
        </w:rPr>
        <mc:AlternateContent>
          <mc:Choice Requires="wps">
            <w:drawing>
              <wp:anchor distT="0" distB="0" distL="114300" distR="114300" simplePos="0" relativeHeight="251656192" behindDoc="0" locked="0" layoutInCell="1" allowOverlap="1" wp14:anchorId="5F94B98F" wp14:editId="679F98A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36223763" w14:textId="77777777" w:rsidR="009D6394" w:rsidRPr="00470D7E" w:rsidRDefault="009D6394" w:rsidP="00247403">
                            <w:pPr>
                              <w:tabs>
                                <w:tab w:val="center" w:pos="5400"/>
                              </w:tabs>
                              <w:suppressAutoHyphens/>
                              <w:spacing w:before="60"/>
                              <w:rPr>
                                <w:rFonts w:ascii="Cambria" w:hAnsi="Cambria" w:cs="Univers"/>
                                <w:color w:val="0D0D0D"/>
                                <w:sz w:val="18"/>
                                <w:szCs w:val="20"/>
                                <w:lang w:val="es-ES_tradnl"/>
                              </w:rPr>
                            </w:pPr>
                            <w:r w:rsidRPr="00470D7E">
                              <w:rPr>
                                <w:rFonts w:ascii="Cambria" w:hAnsi="Cambria"/>
                                <w:color w:val="0D0D0D"/>
                                <w:sz w:val="18"/>
                                <w:szCs w:val="20"/>
                                <w:lang w:val="es-ES"/>
                              </w:rPr>
                              <w:t xml:space="preserve">Aprobado por la Comisión en su sesión No. </w:t>
                            </w:r>
                            <w:r w:rsidR="00A668F1">
                              <w:rPr>
                                <w:rFonts w:ascii="Cambria" w:hAnsi="Cambria"/>
                                <w:color w:val="0D0D0D"/>
                                <w:sz w:val="18"/>
                                <w:szCs w:val="20"/>
                                <w:lang w:val="es-ES"/>
                              </w:rPr>
                              <w:t>2154</w:t>
                            </w:r>
                            <w:r w:rsidRPr="00470D7E">
                              <w:rPr>
                                <w:rFonts w:ascii="Cambria" w:hAnsi="Cambria"/>
                                <w:color w:val="0D0D0D"/>
                                <w:sz w:val="18"/>
                                <w:szCs w:val="20"/>
                                <w:lang w:val="es-ES"/>
                              </w:rPr>
                              <w:t xml:space="preserve"> celebrada el </w:t>
                            </w:r>
                            <w:r w:rsidR="00A668F1">
                              <w:rPr>
                                <w:rFonts w:ascii="Cambria" w:hAnsi="Cambria"/>
                                <w:color w:val="0D0D0D"/>
                                <w:sz w:val="18"/>
                                <w:szCs w:val="20"/>
                                <w:lang w:val="es-ES"/>
                              </w:rPr>
                              <w:t>28 de septiembre</w:t>
                            </w:r>
                            <w:r w:rsidRPr="00470D7E">
                              <w:rPr>
                                <w:rFonts w:ascii="Cambria" w:hAnsi="Cambria"/>
                                <w:color w:val="0D0D0D"/>
                                <w:sz w:val="18"/>
                                <w:szCs w:val="20"/>
                                <w:lang w:val="es-ES"/>
                              </w:rPr>
                              <w:t xml:space="preserve"> de 201</w:t>
                            </w:r>
                            <w:r>
                              <w:rPr>
                                <w:rFonts w:ascii="Cambria" w:hAnsi="Cambria"/>
                                <w:color w:val="0D0D0D"/>
                                <w:sz w:val="18"/>
                                <w:szCs w:val="20"/>
                                <w:lang w:val="es-ES"/>
                              </w:rPr>
                              <w:t>9</w:t>
                            </w:r>
                            <w:r w:rsidRPr="00470D7E">
                              <w:rPr>
                                <w:rFonts w:ascii="Cambria" w:hAnsi="Cambria"/>
                                <w:color w:val="0D0D0D"/>
                                <w:sz w:val="18"/>
                                <w:szCs w:val="20"/>
                                <w:lang w:val="es-ES"/>
                              </w:rPr>
                              <w:br/>
                            </w:r>
                            <w:r w:rsidR="00A668F1">
                              <w:rPr>
                                <w:rFonts w:ascii="Cambria" w:hAnsi="Cambria" w:cs="Univers"/>
                                <w:color w:val="0D0D0D"/>
                                <w:sz w:val="18"/>
                                <w:szCs w:val="20"/>
                                <w:lang w:val="es-ES"/>
                              </w:rPr>
                              <w:t>173</w:t>
                            </w:r>
                            <w:r w:rsidRPr="00470D7E">
                              <w:rPr>
                                <w:rFonts w:ascii="Cambria" w:hAnsi="Cambria" w:cs="Univers"/>
                                <w:color w:val="0D0D0D"/>
                                <w:sz w:val="18"/>
                                <w:szCs w:val="20"/>
                                <w:lang w:val="es-ES_tradnl"/>
                              </w:rPr>
                              <w:t xml:space="preserve"> período de sesiones</w:t>
                            </w:r>
                          </w:p>
                          <w:p w14:paraId="59B396B9" w14:textId="77777777" w:rsidR="009D6394" w:rsidRPr="00470D7E" w:rsidRDefault="009D6394" w:rsidP="00247403">
                            <w:pPr>
                              <w:tabs>
                                <w:tab w:val="center" w:pos="5400"/>
                              </w:tabs>
                              <w:suppressAutoHyphens/>
                              <w:spacing w:before="60"/>
                              <w:rPr>
                                <w:rFonts w:ascii="Calibri" w:hAnsi="Calibri" w:cs="Univers"/>
                                <w:color w:val="0D0D0D"/>
                                <w:sz w:val="20"/>
                                <w:szCs w:val="20"/>
                                <w:lang w:val="es-ES"/>
                              </w:rPr>
                            </w:pPr>
                          </w:p>
                          <w:p w14:paraId="59AA152A" w14:textId="77777777" w:rsidR="009D6394" w:rsidRPr="00470D7E" w:rsidRDefault="009D6394"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4B98F"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" filled="f" stroked="f" strokeweight=".5pt">
                <v:textbox>
                  <w:txbxContent>
                    <w:p w14:paraId="36223763" w14:textId="77777777" w:rsidR="009D6394" w:rsidRPr="00470D7E" w:rsidRDefault="009D6394" w:rsidP="00247403">
                      <w:pPr>
                        <w:tabs>
                          <w:tab w:val="center" w:pos="5400"/>
                        </w:tabs>
                        <w:suppressAutoHyphens/>
                        <w:spacing w:before="60"/>
                        <w:rPr>
                          <w:rFonts w:ascii="Cambria" w:hAnsi="Cambria" w:cs="Univers"/>
                          <w:color w:val="0D0D0D"/>
                          <w:sz w:val="18"/>
                          <w:szCs w:val="20"/>
                          <w:lang w:val="es-ES_tradnl"/>
                        </w:rPr>
                      </w:pPr>
                      <w:r w:rsidRPr="00470D7E">
                        <w:rPr>
                          <w:rFonts w:ascii="Cambria" w:hAnsi="Cambria"/>
                          <w:color w:val="0D0D0D"/>
                          <w:sz w:val="18"/>
                          <w:szCs w:val="20"/>
                          <w:lang w:val="es-ES"/>
                        </w:rPr>
                        <w:t xml:space="preserve">Aprobado por la Comisión en su sesión No. </w:t>
                      </w:r>
                      <w:r w:rsidR="00A668F1">
                        <w:rPr>
                          <w:rFonts w:ascii="Cambria" w:hAnsi="Cambria"/>
                          <w:color w:val="0D0D0D"/>
                          <w:sz w:val="18"/>
                          <w:szCs w:val="20"/>
                          <w:lang w:val="es-ES"/>
                        </w:rPr>
                        <w:t>2154</w:t>
                      </w:r>
                      <w:r w:rsidRPr="00470D7E">
                        <w:rPr>
                          <w:rFonts w:ascii="Cambria" w:hAnsi="Cambria"/>
                          <w:color w:val="0D0D0D"/>
                          <w:sz w:val="18"/>
                          <w:szCs w:val="20"/>
                          <w:lang w:val="es-ES"/>
                        </w:rPr>
                        <w:t xml:space="preserve"> celebrada el </w:t>
                      </w:r>
                      <w:r w:rsidR="00A668F1">
                        <w:rPr>
                          <w:rFonts w:ascii="Cambria" w:hAnsi="Cambria"/>
                          <w:color w:val="0D0D0D"/>
                          <w:sz w:val="18"/>
                          <w:szCs w:val="20"/>
                          <w:lang w:val="es-ES"/>
                        </w:rPr>
                        <w:t>28 de septiembre</w:t>
                      </w:r>
                      <w:r w:rsidRPr="00470D7E">
                        <w:rPr>
                          <w:rFonts w:ascii="Cambria" w:hAnsi="Cambria"/>
                          <w:color w:val="0D0D0D"/>
                          <w:sz w:val="18"/>
                          <w:szCs w:val="20"/>
                          <w:lang w:val="es-ES"/>
                        </w:rPr>
                        <w:t xml:space="preserve"> de 201</w:t>
                      </w:r>
                      <w:r>
                        <w:rPr>
                          <w:rFonts w:ascii="Cambria" w:hAnsi="Cambria"/>
                          <w:color w:val="0D0D0D"/>
                          <w:sz w:val="18"/>
                          <w:szCs w:val="20"/>
                          <w:lang w:val="es-ES"/>
                        </w:rPr>
                        <w:t>9</w:t>
                      </w:r>
                      <w:r w:rsidRPr="00470D7E">
                        <w:rPr>
                          <w:rFonts w:ascii="Cambria" w:hAnsi="Cambria"/>
                          <w:color w:val="0D0D0D"/>
                          <w:sz w:val="18"/>
                          <w:szCs w:val="20"/>
                          <w:lang w:val="es-ES"/>
                        </w:rPr>
                        <w:br/>
                      </w:r>
                      <w:r w:rsidR="00A668F1">
                        <w:rPr>
                          <w:rFonts w:ascii="Cambria" w:hAnsi="Cambria" w:cs="Univers"/>
                          <w:color w:val="0D0D0D"/>
                          <w:sz w:val="18"/>
                          <w:szCs w:val="20"/>
                          <w:lang w:val="es-ES"/>
                        </w:rPr>
                        <w:t>173</w:t>
                      </w:r>
                      <w:r w:rsidRPr="00470D7E">
                        <w:rPr>
                          <w:rFonts w:ascii="Cambria" w:hAnsi="Cambria" w:cs="Univers"/>
                          <w:color w:val="0D0D0D"/>
                          <w:sz w:val="18"/>
                          <w:szCs w:val="20"/>
                          <w:lang w:val="es-ES_tradnl"/>
                        </w:rPr>
                        <w:t xml:space="preserve"> período de sesiones</w:t>
                      </w:r>
                    </w:p>
                    <w:p w14:paraId="59B396B9" w14:textId="77777777" w:rsidR="009D6394" w:rsidRPr="00470D7E" w:rsidRDefault="009D6394" w:rsidP="00247403">
                      <w:pPr>
                        <w:tabs>
                          <w:tab w:val="center" w:pos="5400"/>
                        </w:tabs>
                        <w:suppressAutoHyphens/>
                        <w:spacing w:before="60"/>
                        <w:rPr>
                          <w:rFonts w:ascii="Calibri" w:hAnsi="Calibri" w:cs="Univers"/>
                          <w:color w:val="0D0D0D"/>
                          <w:sz w:val="20"/>
                          <w:szCs w:val="20"/>
                          <w:lang w:val="es-ES"/>
                        </w:rPr>
                      </w:pPr>
                    </w:p>
                    <w:p w14:paraId="59AA152A" w14:textId="77777777" w:rsidR="009D6394" w:rsidRPr="00470D7E" w:rsidRDefault="009D6394"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6A5DF055" w14:textId="77777777" w:rsidR="00A50FCF" w:rsidRPr="00470D7E" w:rsidRDefault="00A50FCF" w:rsidP="00040C3A">
      <w:pPr>
        <w:tabs>
          <w:tab w:val="center" w:pos="5400"/>
        </w:tabs>
        <w:suppressAutoHyphens/>
        <w:jc w:val="center"/>
        <w:rPr>
          <w:rFonts w:ascii="Cambria" w:hAnsi="Cambria"/>
          <w:sz w:val="18"/>
          <w:szCs w:val="22"/>
          <w:lang w:val="es-ES_tradnl"/>
        </w:rPr>
      </w:pPr>
    </w:p>
    <w:p w14:paraId="30D9CF56" w14:textId="77777777" w:rsidR="00A50FCF" w:rsidRPr="00470D7E" w:rsidRDefault="00A50FCF" w:rsidP="00040C3A">
      <w:pPr>
        <w:tabs>
          <w:tab w:val="center" w:pos="5400"/>
        </w:tabs>
        <w:suppressAutoHyphens/>
        <w:jc w:val="center"/>
        <w:rPr>
          <w:rFonts w:ascii="Cambria" w:hAnsi="Cambria"/>
          <w:sz w:val="18"/>
          <w:szCs w:val="22"/>
          <w:lang w:val="es-ES_tradnl"/>
        </w:rPr>
      </w:pPr>
    </w:p>
    <w:p w14:paraId="2EF3E3A5" w14:textId="77777777" w:rsidR="00A50FCF" w:rsidRPr="00470D7E" w:rsidRDefault="00A50FCF" w:rsidP="00040C3A">
      <w:pPr>
        <w:tabs>
          <w:tab w:val="center" w:pos="5400"/>
        </w:tabs>
        <w:suppressAutoHyphens/>
        <w:jc w:val="center"/>
        <w:rPr>
          <w:rFonts w:ascii="Cambria" w:hAnsi="Cambria"/>
          <w:sz w:val="18"/>
          <w:szCs w:val="22"/>
          <w:lang w:val="es-ES_tradnl"/>
        </w:rPr>
      </w:pPr>
    </w:p>
    <w:p w14:paraId="5D70FCC4" w14:textId="77777777" w:rsidR="00A50FCF" w:rsidRPr="00470D7E" w:rsidRDefault="00A50FCF" w:rsidP="00040C3A">
      <w:pPr>
        <w:tabs>
          <w:tab w:val="center" w:pos="5400"/>
        </w:tabs>
        <w:suppressAutoHyphens/>
        <w:jc w:val="center"/>
        <w:rPr>
          <w:rFonts w:ascii="Cambria" w:hAnsi="Cambria"/>
          <w:sz w:val="18"/>
          <w:szCs w:val="22"/>
          <w:lang w:val="es-ES_tradnl"/>
        </w:rPr>
      </w:pPr>
    </w:p>
    <w:p w14:paraId="529DE483" w14:textId="77777777" w:rsidR="00A50FCF" w:rsidRPr="00470D7E" w:rsidRDefault="00441039" w:rsidP="00040C3A">
      <w:pPr>
        <w:tabs>
          <w:tab w:val="center" w:pos="5400"/>
        </w:tabs>
        <w:suppressAutoHyphens/>
        <w:jc w:val="center"/>
        <w:rPr>
          <w:rFonts w:ascii="Cambria" w:hAnsi="Cambria"/>
          <w:sz w:val="18"/>
          <w:szCs w:val="22"/>
          <w:lang w:val="es-ES_tradnl"/>
        </w:rPr>
      </w:pPr>
      <w:r>
        <w:rPr>
          <w:noProof/>
          <w:lang w:val="es-ES" w:eastAsia="es-ES"/>
        </w:rPr>
        <mc:AlternateContent>
          <mc:Choice Requires="wps">
            <w:drawing>
              <wp:anchor distT="0" distB="0" distL="114300" distR="114300" simplePos="0" relativeHeight="251659264" behindDoc="0" locked="0" layoutInCell="1" allowOverlap="1" wp14:anchorId="70B072F1" wp14:editId="3C3688C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70068B48" w14:textId="77777777" w:rsidR="009D6394" w:rsidRPr="00470D7E" w:rsidRDefault="009D6394" w:rsidP="00113F73">
                            <w:pPr>
                              <w:spacing w:line="276" w:lineRule="auto"/>
                              <w:rPr>
                                <w:rFonts w:ascii="Cambria" w:hAnsi="Cambria"/>
                                <w:color w:val="595959"/>
                                <w:sz w:val="18"/>
                                <w:szCs w:val="18"/>
                                <w:lang w:val="es-US"/>
                              </w:rPr>
                            </w:pPr>
                            <w:r w:rsidRPr="00470D7E">
                              <w:rPr>
                                <w:rFonts w:ascii="Cambria" w:hAnsi="Cambria"/>
                                <w:b/>
                                <w:color w:val="595959"/>
                                <w:sz w:val="18"/>
                                <w:szCs w:val="18"/>
                                <w:lang w:val="pt-BR"/>
                              </w:rPr>
                              <w:t>Citar como:</w:t>
                            </w:r>
                            <w:r w:rsidRPr="00470D7E">
                              <w:rPr>
                                <w:rFonts w:ascii="Cambria" w:hAnsi="Cambria"/>
                                <w:color w:val="595959"/>
                                <w:sz w:val="18"/>
                                <w:szCs w:val="18"/>
                                <w:lang w:val="pt-BR"/>
                              </w:rPr>
                              <w:t xml:space="preserve"> CIDH. Informe No. </w:t>
                            </w:r>
                            <w:r w:rsidR="00A668F1">
                              <w:rPr>
                                <w:rFonts w:ascii="Cambria" w:hAnsi="Cambria"/>
                                <w:color w:val="595959"/>
                                <w:sz w:val="18"/>
                                <w:szCs w:val="18"/>
                                <w:lang w:val="pt-BR"/>
                              </w:rPr>
                              <w:t>158</w:t>
                            </w:r>
                            <w:r w:rsidRPr="00470D7E">
                              <w:rPr>
                                <w:rFonts w:ascii="Cambria" w:hAnsi="Cambria"/>
                                <w:color w:val="595959"/>
                                <w:sz w:val="18"/>
                                <w:szCs w:val="18"/>
                                <w:lang w:val="pt-BR"/>
                              </w:rPr>
                              <w:t>/</w:t>
                            </w:r>
                            <w:r>
                              <w:rPr>
                                <w:rFonts w:ascii="Cambria" w:hAnsi="Cambria"/>
                                <w:color w:val="595959"/>
                                <w:sz w:val="18"/>
                                <w:szCs w:val="18"/>
                                <w:lang w:val="pt-BR"/>
                              </w:rPr>
                              <w:t>19</w:t>
                            </w:r>
                            <w:r w:rsidRPr="00470D7E">
                              <w:rPr>
                                <w:rFonts w:ascii="Cambria" w:hAnsi="Cambria"/>
                                <w:color w:val="595959"/>
                                <w:sz w:val="18"/>
                                <w:szCs w:val="18"/>
                                <w:lang w:val="pt-BR"/>
                              </w:rPr>
                              <w:t xml:space="preserve">. </w:t>
                            </w:r>
                            <w:r w:rsidRPr="00470D7E">
                              <w:rPr>
                                <w:rFonts w:ascii="Cambria" w:hAnsi="Cambria"/>
                                <w:color w:val="595959"/>
                                <w:sz w:val="18"/>
                                <w:szCs w:val="18"/>
                                <w:lang w:val="es-ES_tradnl"/>
                              </w:rPr>
                              <w:t xml:space="preserve">Caso </w:t>
                            </w:r>
                            <w:r>
                              <w:rPr>
                                <w:rFonts w:ascii="Cambria" w:hAnsi="Cambria"/>
                                <w:color w:val="595959"/>
                                <w:sz w:val="18"/>
                                <w:szCs w:val="18"/>
                                <w:lang w:val="es-ES_tradnl"/>
                              </w:rPr>
                              <w:t>12.921</w:t>
                            </w:r>
                            <w:r w:rsidRPr="00470D7E">
                              <w:rPr>
                                <w:rFonts w:ascii="Cambria" w:hAnsi="Cambria"/>
                                <w:color w:val="595959"/>
                                <w:sz w:val="18"/>
                                <w:szCs w:val="18"/>
                                <w:lang w:val="es-ES_tradnl"/>
                              </w:rPr>
                              <w:t xml:space="preserve">. Fondo. </w:t>
                            </w:r>
                            <w:r>
                              <w:rPr>
                                <w:rFonts w:ascii="Cambria" w:hAnsi="Cambria"/>
                                <w:color w:val="595959"/>
                                <w:sz w:val="18"/>
                                <w:szCs w:val="18"/>
                                <w:lang w:val="es-ES_tradnl"/>
                              </w:rPr>
                              <w:t>Herminio Deras García y familia</w:t>
                            </w:r>
                            <w:r w:rsidRPr="00470D7E">
                              <w:rPr>
                                <w:rFonts w:ascii="Cambria" w:hAnsi="Cambria"/>
                                <w:color w:val="595959"/>
                                <w:sz w:val="18"/>
                                <w:szCs w:val="18"/>
                                <w:lang w:val="es-ES_tradnl"/>
                              </w:rPr>
                              <w:t xml:space="preserve">. </w:t>
                            </w:r>
                            <w:r>
                              <w:rPr>
                                <w:rFonts w:ascii="Cambria" w:hAnsi="Cambria"/>
                                <w:color w:val="595959"/>
                                <w:sz w:val="18"/>
                                <w:szCs w:val="18"/>
                                <w:lang w:val="es-ES_tradnl"/>
                              </w:rPr>
                              <w:t>Honduras</w:t>
                            </w:r>
                            <w:r w:rsidRPr="00470D7E">
                              <w:rPr>
                                <w:rFonts w:ascii="Cambria" w:hAnsi="Cambria"/>
                                <w:color w:val="595959"/>
                                <w:sz w:val="18"/>
                                <w:szCs w:val="18"/>
                                <w:lang w:val="es-ES_tradnl"/>
                              </w:rPr>
                              <w:t xml:space="preserve">. </w:t>
                            </w:r>
                            <w:r w:rsidR="00A668F1">
                              <w:rPr>
                                <w:rFonts w:ascii="Cambria" w:hAnsi="Cambria"/>
                                <w:color w:val="595959"/>
                                <w:sz w:val="18"/>
                                <w:szCs w:val="18"/>
                                <w:lang w:val="es-US"/>
                              </w:rPr>
                              <w:t>28 de septiembre</w:t>
                            </w:r>
                            <w:r>
                              <w:rPr>
                                <w:rFonts w:ascii="Cambria" w:hAnsi="Cambria"/>
                                <w:color w:val="595959"/>
                                <w:sz w:val="18"/>
                                <w:szCs w:val="18"/>
                                <w:lang w:val="es-US"/>
                              </w:rPr>
                              <w:t xml:space="preserve"> de 2019</w:t>
                            </w:r>
                            <w:r w:rsidRPr="00470D7E">
                              <w:rPr>
                                <w:rFonts w:ascii="Cambria" w:hAnsi="Cambria"/>
                                <w:color w:val="595959"/>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72F1"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" filled="f" stroked="f" strokeweight=".5pt">
                <v:textbox>
                  <w:txbxContent>
                    <w:p w14:paraId="70068B48" w14:textId="77777777" w:rsidR="009D6394" w:rsidRPr="00470D7E" w:rsidRDefault="009D6394" w:rsidP="00113F73">
                      <w:pPr>
                        <w:spacing w:line="276" w:lineRule="auto"/>
                        <w:rPr>
                          <w:rFonts w:ascii="Cambria" w:hAnsi="Cambria"/>
                          <w:color w:val="595959"/>
                          <w:sz w:val="18"/>
                          <w:szCs w:val="18"/>
                          <w:lang w:val="es-US"/>
                        </w:rPr>
                      </w:pPr>
                      <w:r w:rsidRPr="00470D7E">
                        <w:rPr>
                          <w:rFonts w:ascii="Cambria" w:hAnsi="Cambria"/>
                          <w:b/>
                          <w:color w:val="595959"/>
                          <w:sz w:val="18"/>
                          <w:szCs w:val="18"/>
                          <w:lang w:val="pt-BR"/>
                        </w:rPr>
                        <w:t>Citar como:</w:t>
                      </w:r>
                      <w:r w:rsidRPr="00470D7E">
                        <w:rPr>
                          <w:rFonts w:ascii="Cambria" w:hAnsi="Cambria"/>
                          <w:color w:val="595959"/>
                          <w:sz w:val="18"/>
                          <w:szCs w:val="18"/>
                          <w:lang w:val="pt-BR"/>
                        </w:rPr>
                        <w:t xml:space="preserve"> CIDH. Informe No. </w:t>
                      </w:r>
                      <w:r w:rsidR="00A668F1">
                        <w:rPr>
                          <w:rFonts w:ascii="Cambria" w:hAnsi="Cambria"/>
                          <w:color w:val="595959"/>
                          <w:sz w:val="18"/>
                          <w:szCs w:val="18"/>
                          <w:lang w:val="pt-BR"/>
                        </w:rPr>
                        <w:t>158</w:t>
                      </w:r>
                      <w:r w:rsidRPr="00470D7E">
                        <w:rPr>
                          <w:rFonts w:ascii="Cambria" w:hAnsi="Cambria"/>
                          <w:color w:val="595959"/>
                          <w:sz w:val="18"/>
                          <w:szCs w:val="18"/>
                          <w:lang w:val="pt-BR"/>
                        </w:rPr>
                        <w:t>/</w:t>
                      </w:r>
                      <w:r>
                        <w:rPr>
                          <w:rFonts w:ascii="Cambria" w:hAnsi="Cambria"/>
                          <w:color w:val="595959"/>
                          <w:sz w:val="18"/>
                          <w:szCs w:val="18"/>
                          <w:lang w:val="pt-BR"/>
                        </w:rPr>
                        <w:t>19</w:t>
                      </w:r>
                      <w:r w:rsidRPr="00470D7E">
                        <w:rPr>
                          <w:rFonts w:ascii="Cambria" w:hAnsi="Cambria"/>
                          <w:color w:val="595959"/>
                          <w:sz w:val="18"/>
                          <w:szCs w:val="18"/>
                          <w:lang w:val="pt-BR"/>
                        </w:rPr>
                        <w:t xml:space="preserve">. </w:t>
                      </w:r>
                      <w:r w:rsidRPr="00470D7E">
                        <w:rPr>
                          <w:rFonts w:ascii="Cambria" w:hAnsi="Cambria"/>
                          <w:color w:val="595959"/>
                          <w:sz w:val="18"/>
                          <w:szCs w:val="18"/>
                          <w:lang w:val="es-ES_tradnl"/>
                        </w:rPr>
                        <w:t xml:space="preserve">Caso </w:t>
                      </w:r>
                      <w:r>
                        <w:rPr>
                          <w:rFonts w:ascii="Cambria" w:hAnsi="Cambria"/>
                          <w:color w:val="595959"/>
                          <w:sz w:val="18"/>
                          <w:szCs w:val="18"/>
                          <w:lang w:val="es-ES_tradnl"/>
                        </w:rPr>
                        <w:t>12.921</w:t>
                      </w:r>
                      <w:r w:rsidRPr="00470D7E">
                        <w:rPr>
                          <w:rFonts w:ascii="Cambria" w:hAnsi="Cambria"/>
                          <w:color w:val="595959"/>
                          <w:sz w:val="18"/>
                          <w:szCs w:val="18"/>
                          <w:lang w:val="es-ES_tradnl"/>
                        </w:rPr>
                        <w:t xml:space="preserve">. Fondo. </w:t>
                      </w:r>
                      <w:r>
                        <w:rPr>
                          <w:rFonts w:ascii="Cambria" w:hAnsi="Cambria"/>
                          <w:color w:val="595959"/>
                          <w:sz w:val="18"/>
                          <w:szCs w:val="18"/>
                          <w:lang w:val="es-ES_tradnl"/>
                        </w:rPr>
                        <w:t>Herminio Deras García y familia</w:t>
                      </w:r>
                      <w:r w:rsidRPr="00470D7E">
                        <w:rPr>
                          <w:rFonts w:ascii="Cambria" w:hAnsi="Cambria"/>
                          <w:color w:val="595959"/>
                          <w:sz w:val="18"/>
                          <w:szCs w:val="18"/>
                          <w:lang w:val="es-ES_tradnl"/>
                        </w:rPr>
                        <w:t xml:space="preserve">. </w:t>
                      </w:r>
                      <w:r>
                        <w:rPr>
                          <w:rFonts w:ascii="Cambria" w:hAnsi="Cambria"/>
                          <w:color w:val="595959"/>
                          <w:sz w:val="18"/>
                          <w:szCs w:val="18"/>
                          <w:lang w:val="es-ES_tradnl"/>
                        </w:rPr>
                        <w:t>Honduras</w:t>
                      </w:r>
                      <w:r w:rsidRPr="00470D7E">
                        <w:rPr>
                          <w:rFonts w:ascii="Cambria" w:hAnsi="Cambria"/>
                          <w:color w:val="595959"/>
                          <w:sz w:val="18"/>
                          <w:szCs w:val="18"/>
                          <w:lang w:val="es-ES_tradnl"/>
                        </w:rPr>
                        <w:t xml:space="preserve">. </w:t>
                      </w:r>
                      <w:r w:rsidR="00A668F1">
                        <w:rPr>
                          <w:rFonts w:ascii="Cambria" w:hAnsi="Cambria"/>
                          <w:color w:val="595959"/>
                          <w:sz w:val="18"/>
                          <w:szCs w:val="18"/>
                          <w:lang w:val="es-US"/>
                        </w:rPr>
                        <w:t>28 de septiembre</w:t>
                      </w:r>
                      <w:r>
                        <w:rPr>
                          <w:rFonts w:ascii="Cambria" w:hAnsi="Cambria"/>
                          <w:color w:val="595959"/>
                          <w:sz w:val="18"/>
                          <w:szCs w:val="18"/>
                          <w:lang w:val="es-US"/>
                        </w:rPr>
                        <w:t xml:space="preserve"> de 2019</w:t>
                      </w:r>
                      <w:r w:rsidRPr="00470D7E">
                        <w:rPr>
                          <w:rFonts w:ascii="Cambria" w:hAnsi="Cambria"/>
                          <w:color w:val="595959"/>
                          <w:sz w:val="18"/>
                          <w:szCs w:val="18"/>
                          <w:lang w:val="es-US"/>
                        </w:rPr>
                        <w:t>.</w:t>
                      </w:r>
                    </w:p>
                  </w:txbxContent>
                </v:textbox>
              </v:shape>
            </w:pict>
          </mc:Fallback>
        </mc:AlternateContent>
      </w:r>
    </w:p>
    <w:p w14:paraId="0E54525B" w14:textId="77777777" w:rsidR="00A50FCF" w:rsidRPr="00470D7E" w:rsidRDefault="00A50FCF" w:rsidP="00040C3A">
      <w:pPr>
        <w:tabs>
          <w:tab w:val="center" w:pos="5400"/>
        </w:tabs>
        <w:suppressAutoHyphens/>
        <w:jc w:val="center"/>
        <w:rPr>
          <w:rFonts w:ascii="Cambria" w:hAnsi="Cambria"/>
          <w:sz w:val="18"/>
          <w:szCs w:val="22"/>
          <w:lang w:val="es-ES_tradnl"/>
        </w:rPr>
      </w:pPr>
    </w:p>
    <w:p w14:paraId="53E81B97" w14:textId="77777777" w:rsidR="0070697F" w:rsidRPr="00470D7E" w:rsidRDefault="00441039" w:rsidP="00C42E5C">
      <w:pPr>
        <w:tabs>
          <w:tab w:val="center" w:pos="5400"/>
        </w:tabs>
        <w:suppressAutoHyphens/>
        <w:jc w:val="center"/>
        <w:rPr>
          <w:rFonts w:ascii="Cambria" w:hAnsi="Cambria"/>
          <w:b/>
          <w:sz w:val="20"/>
          <w:lang w:val="es-ES_tradnl"/>
        </w:rPr>
        <w:sectPr w:rsidR="0070697F" w:rsidRPr="00470D7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lang w:val="es-ES" w:eastAsia="es-ES"/>
        </w:rPr>
        <mc:AlternateContent>
          <mc:Choice Requires="wps">
            <w:drawing>
              <wp:anchor distT="0" distB="0" distL="114300" distR="114300" simplePos="0" relativeHeight="251660288" behindDoc="0" locked="0" layoutInCell="1" allowOverlap="1" wp14:anchorId="132B070D" wp14:editId="74BA4ABF">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751652DD" w14:textId="77777777" w:rsidR="009D6394" w:rsidRPr="00470D7E" w:rsidRDefault="00441039" w:rsidP="00F02AD1">
                            <w:pPr>
                              <w:rPr>
                                <w:color w:val="FFFFFF"/>
                              </w:rPr>
                            </w:pPr>
                            <w:r w:rsidRPr="00470D7E">
                              <w:rPr>
                                <w:noProof/>
                                <w:color w:val="FFFFFF"/>
                                <w:lang w:val="es-ES" w:eastAsia="es-ES"/>
                              </w:rPr>
                              <w:drawing>
                                <wp:inline distT="0" distB="0" distL="0" distR="0" wp14:anchorId="6BB1B0A3" wp14:editId="1AD25541">
                                  <wp:extent cx="1336675" cy="387985"/>
                                  <wp:effectExtent l="0" t="0" r="0" b="0"/>
                                  <wp:docPr id="3"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675"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B070D"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" fillcolor="window" stroked="f" strokeweight=".5pt">
                <v:textbox>
                  <w:txbxContent>
                    <w:p w14:paraId="751652DD" w14:textId="77777777" w:rsidR="009D6394" w:rsidRPr="00470D7E" w:rsidRDefault="00441039" w:rsidP="00F02AD1">
                      <w:pPr>
                        <w:rPr>
                          <w:color w:val="FFFFFF"/>
                        </w:rPr>
                      </w:pPr>
                      <w:r w:rsidRPr="00470D7E">
                        <w:rPr>
                          <w:noProof/>
                          <w:color w:val="FFFFFF"/>
                          <w:lang w:val="es-ES" w:eastAsia="es-ES"/>
                        </w:rPr>
                        <w:drawing>
                          <wp:inline distT="0" distB="0" distL="0" distR="0" wp14:anchorId="6BB1B0A3" wp14:editId="1AD25541">
                            <wp:extent cx="1336675" cy="387985"/>
                            <wp:effectExtent l="0" t="0" r="0" b="0"/>
                            <wp:docPr id="3"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675" cy="387985"/>
                                    </a:xfrm>
                                    <a:prstGeom prst="rect">
                                      <a:avLst/>
                                    </a:prstGeom>
                                    <a:noFill/>
                                    <a:ln>
                                      <a:noFill/>
                                    </a:ln>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29D2771A" wp14:editId="0A2FE1B6">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664024F3" w14:textId="77777777" w:rsidR="009D6394" w:rsidRPr="00470D7E" w:rsidRDefault="009D6394" w:rsidP="00D306D1">
                            <w:pPr>
                              <w:jc w:val="center"/>
                              <w:rPr>
                                <w:rFonts w:ascii="Calibri" w:hAnsi="Calibri"/>
                                <w:b/>
                                <w:color w:val="FFFFFF"/>
                              </w:rPr>
                            </w:pPr>
                            <w:r w:rsidRPr="00470D7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2771A" id="Text Box 4" o:spid="_x0000_s1032"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" filled="f" stroked="f" strokeweight=".5pt">
                <v:textbox>
                  <w:txbxContent>
                    <w:p w14:paraId="664024F3" w14:textId="77777777" w:rsidR="009D6394" w:rsidRPr="00470D7E" w:rsidRDefault="009D6394" w:rsidP="00D306D1">
                      <w:pPr>
                        <w:jc w:val="center"/>
                        <w:rPr>
                          <w:rFonts w:ascii="Calibri" w:hAnsi="Calibri"/>
                          <w:b/>
                          <w:color w:val="FFFFFF"/>
                        </w:rPr>
                      </w:pPr>
                      <w:r w:rsidRPr="00470D7E">
                        <w:rPr>
                          <w:rFonts w:ascii="Calibri" w:hAnsi="Calibri"/>
                          <w:b/>
                          <w:color w:val="FFFFFF"/>
                          <w:lang w:val="pt-BR"/>
                        </w:rPr>
                        <w:t>www.cidh.org</w:t>
                      </w:r>
                    </w:p>
                  </w:txbxContent>
                </v:textbox>
              </v:shape>
            </w:pict>
          </mc:Fallback>
        </mc:AlternateContent>
      </w:r>
    </w:p>
    <w:p w14:paraId="0A7741FB" w14:textId="77777777" w:rsidR="00722C9F" w:rsidRPr="00115522" w:rsidRDefault="00722C9F" w:rsidP="00722C9F">
      <w:pPr>
        <w:tabs>
          <w:tab w:val="center" w:pos="5400"/>
        </w:tabs>
        <w:suppressAutoHyphens/>
        <w:spacing w:line="276" w:lineRule="auto"/>
        <w:jc w:val="center"/>
        <w:rPr>
          <w:rFonts w:ascii="Cambria" w:hAnsi="Cambria"/>
          <w:b/>
          <w:szCs w:val="20"/>
          <w:lang w:val="es-ES_tradnl"/>
        </w:rPr>
      </w:pPr>
      <w:r w:rsidRPr="00115522">
        <w:rPr>
          <w:rFonts w:ascii="Cambria" w:hAnsi="Cambria"/>
          <w:b/>
          <w:szCs w:val="20"/>
          <w:lang w:val="es-ES_tradnl"/>
        </w:rPr>
        <w:lastRenderedPageBreak/>
        <w:t>ÍNDICE</w:t>
      </w:r>
    </w:p>
    <w:p w14:paraId="1C2AF0A9" w14:textId="77777777" w:rsidR="008D768D" w:rsidRPr="00115522" w:rsidRDefault="008D768D" w:rsidP="006125C3">
      <w:pPr>
        <w:tabs>
          <w:tab w:val="center" w:pos="5400"/>
        </w:tabs>
        <w:suppressAutoHyphens/>
        <w:spacing w:line="276" w:lineRule="auto"/>
        <w:rPr>
          <w:rFonts w:ascii="Cambria" w:hAnsi="Cambria"/>
          <w:sz w:val="20"/>
          <w:szCs w:val="20"/>
          <w:lang w:val="es-ES_tradnl"/>
        </w:rPr>
      </w:pPr>
    </w:p>
    <w:p w14:paraId="365F38E5" w14:textId="77777777" w:rsidR="00E909AA" w:rsidRPr="00115522" w:rsidRDefault="00E909AA" w:rsidP="00115522">
      <w:pPr>
        <w:suppressAutoHyphens/>
        <w:rPr>
          <w:rFonts w:ascii="Cambria" w:hAnsi="Cambria"/>
          <w:b/>
          <w:sz w:val="20"/>
          <w:szCs w:val="20"/>
          <w:lang w:val="es-ES_tradnl"/>
        </w:rPr>
      </w:pPr>
    </w:p>
    <w:p w14:paraId="7E167730" w14:textId="25FF33FB" w:rsidR="00617E74" w:rsidRPr="00617E74" w:rsidRDefault="00F15B85" w:rsidP="00617E74">
      <w:pPr>
        <w:pStyle w:val="TOC1"/>
        <w:rPr>
          <w:rFonts w:eastAsiaTheme="minorEastAsia" w:cstheme="minorBidi"/>
          <w:bdr w:val="none" w:sz="0" w:space="0" w:color="auto"/>
          <w:lang w:val="es-ES" w:eastAsia="es-ES"/>
        </w:rPr>
      </w:pPr>
      <w:r w:rsidRPr="00617E74">
        <w:rPr>
          <w:lang w:val="es-ES_tradnl"/>
        </w:rPr>
        <w:fldChar w:fldCharType="begin"/>
      </w:r>
      <w:r w:rsidRPr="00617E74">
        <w:rPr>
          <w:lang w:val="es-ES_tradnl"/>
        </w:rPr>
        <w:instrText xml:space="preserve"> TOC \o "1-3" \h \z \u </w:instrText>
      </w:r>
      <w:r w:rsidRPr="00617E74">
        <w:rPr>
          <w:lang w:val="es-ES_tradnl"/>
        </w:rPr>
        <w:fldChar w:fldCharType="separate"/>
      </w:r>
      <w:hyperlink w:anchor="_Toc21442029" w:history="1">
        <w:r w:rsidR="00617E74" w:rsidRPr="00617E74">
          <w:rPr>
            <w:rStyle w:val="Hyperlink"/>
          </w:rPr>
          <w:t>I.</w:t>
        </w:r>
        <w:r w:rsidR="00617E74" w:rsidRPr="00617E74">
          <w:rPr>
            <w:rFonts w:eastAsiaTheme="minorEastAsia" w:cstheme="minorBidi"/>
            <w:bdr w:val="none" w:sz="0" w:space="0" w:color="auto"/>
            <w:lang w:val="es-ES" w:eastAsia="es-ES"/>
          </w:rPr>
          <w:tab/>
        </w:r>
        <w:r w:rsidR="00617E74" w:rsidRPr="00617E74">
          <w:rPr>
            <w:rStyle w:val="Hyperlink"/>
          </w:rPr>
          <w:t>INTRODUCCIÓN</w:t>
        </w:r>
        <w:r w:rsidR="00617E74" w:rsidRPr="00617E74">
          <w:rPr>
            <w:webHidden/>
          </w:rPr>
          <w:tab/>
        </w:r>
        <w:r w:rsidR="00617E74" w:rsidRPr="00617E74">
          <w:rPr>
            <w:webHidden/>
          </w:rPr>
          <w:fldChar w:fldCharType="begin"/>
        </w:r>
        <w:r w:rsidR="00617E74" w:rsidRPr="00617E74">
          <w:rPr>
            <w:webHidden/>
          </w:rPr>
          <w:instrText xml:space="preserve"> PAGEREF _Toc21442029 \h </w:instrText>
        </w:r>
        <w:r w:rsidR="00617E74" w:rsidRPr="00617E74">
          <w:rPr>
            <w:webHidden/>
          </w:rPr>
        </w:r>
        <w:r w:rsidR="00617E74" w:rsidRPr="00617E74">
          <w:rPr>
            <w:webHidden/>
          </w:rPr>
          <w:fldChar w:fldCharType="separate"/>
        </w:r>
        <w:r w:rsidR="005D5215">
          <w:rPr>
            <w:webHidden/>
          </w:rPr>
          <w:t>2</w:t>
        </w:r>
        <w:r w:rsidR="00617E74" w:rsidRPr="00617E74">
          <w:rPr>
            <w:webHidden/>
          </w:rPr>
          <w:fldChar w:fldCharType="end"/>
        </w:r>
      </w:hyperlink>
    </w:p>
    <w:p w14:paraId="3EE77003" w14:textId="77777777" w:rsidR="00617E74" w:rsidRDefault="00617E74" w:rsidP="00617E74">
      <w:pPr>
        <w:pStyle w:val="TOC1"/>
        <w:rPr>
          <w:rStyle w:val="Hyperlink"/>
        </w:rPr>
      </w:pPr>
    </w:p>
    <w:p w14:paraId="4FC0FB6E" w14:textId="7D53AD26" w:rsidR="00617E74" w:rsidRPr="00617E74" w:rsidRDefault="005D5215" w:rsidP="00617E74">
      <w:pPr>
        <w:pStyle w:val="TOC1"/>
        <w:rPr>
          <w:rFonts w:eastAsiaTheme="minorEastAsia" w:cstheme="minorBidi"/>
          <w:bdr w:val="none" w:sz="0" w:space="0" w:color="auto"/>
          <w:lang w:val="es-ES" w:eastAsia="es-ES"/>
        </w:rPr>
      </w:pPr>
      <w:hyperlink w:anchor="_Toc21442030" w:history="1">
        <w:r w:rsidR="00617E74" w:rsidRPr="00617E74">
          <w:rPr>
            <w:rStyle w:val="Hyperlink"/>
          </w:rPr>
          <w:t>II.</w:t>
        </w:r>
        <w:r w:rsidR="00617E74" w:rsidRPr="00617E74">
          <w:rPr>
            <w:rFonts w:eastAsiaTheme="minorEastAsia" w:cstheme="minorBidi"/>
            <w:bdr w:val="none" w:sz="0" w:space="0" w:color="auto"/>
            <w:lang w:val="es-ES" w:eastAsia="es-ES"/>
          </w:rPr>
          <w:tab/>
        </w:r>
        <w:r w:rsidR="00617E74" w:rsidRPr="00617E74">
          <w:rPr>
            <w:rStyle w:val="Hyperlink"/>
          </w:rPr>
          <w:t>ALEGATOS DE LAS PARTES</w:t>
        </w:r>
        <w:r w:rsidR="00617E74" w:rsidRPr="00617E74">
          <w:rPr>
            <w:webHidden/>
          </w:rPr>
          <w:tab/>
        </w:r>
        <w:r w:rsidR="00617E74" w:rsidRPr="00617E74">
          <w:rPr>
            <w:webHidden/>
          </w:rPr>
          <w:fldChar w:fldCharType="begin"/>
        </w:r>
        <w:r w:rsidR="00617E74" w:rsidRPr="00617E74">
          <w:rPr>
            <w:webHidden/>
          </w:rPr>
          <w:instrText xml:space="preserve"> PAGEREF _Toc21442030 \h </w:instrText>
        </w:r>
        <w:r w:rsidR="00617E74" w:rsidRPr="00617E74">
          <w:rPr>
            <w:webHidden/>
          </w:rPr>
        </w:r>
        <w:r w:rsidR="00617E74" w:rsidRPr="00617E74">
          <w:rPr>
            <w:webHidden/>
          </w:rPr>
          <w:fldChar w:fldCharType="separate"/>
        </w:r>
        <w:r>
          <w:rPr>
            <w:webHidden/>
          </w:rPr>
          <w:t>2</w:t>
        </w:r>
        <w:r w:rsidR="00617E74" w:rsidRPr="00617E74">
          <w:rPr>
            <w:webHidden/>
          </w:rPr>
          <w:fldChar w:fldCharType="end"/>
        </w:r>
      </w:hyperlink>
    </w:p>
    <w:p w14:paraId="397A8AB8" w14:textId="75A47502"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31" w:history="1">
        <w:r w:rsidR="00617E74" w:rsidRPr="00617E74">
          <w:rPr>
            <w:rStyle w:val="Hyperlink"/>
            <w:rFonts w:ascii="Cambria" w:hAnsi="Cambria"/>
            <w:noProof/>
            <w:sz w:val="20"/>
            <w:szCs w:val="20"/>
          </w:rPr>
          <w:t>A.</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rPr>
          <w:t>Parte peticionaria</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_Toc21442031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2</w:t>
        </w:r>
        <w:r w:rsidR="00617E74" w:rsidRPr="00617E74">
          <w:rPr>
            <w:rFonts w:ascii="Cambria" w:hAnsi="Cambria"/>
            <w:noProof/>
            <w:webHidden/>
            <w:sz w:val="20"/>
            <w:szCs w:val="20"/>
          </w:rPr>
          <w:fldChar w:fldCharType="end"/>
        </w:r>
      </w:hyperlink>
    </w:p>
    <w:p w14:paraId="2D2893EE" w14:textId="7A32E7A0"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32" w:history="1">
        <w:r w:rsidR="00617E74" w:rsidRPr="00617E74">
          <w:rPr>
            <w:rStyle w:val="Hyperlink"/>
            <w:rFonts w:ascii="Cambria" w:hAnsi="Cambria"/>
            <w:noProof/>
            <w:sz w:val="20"/>
            <w:szCs w:val="20"/>
          </w:rPr>
          <w:t>B.</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rPr>
          <w:t>Estado</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_Toc21442032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2</w:t>
        </w:r>
        <w:r w:rsidR="00617E74" w:rsidRPr="00617E74">
          <w:rPr>
            <w:rFonts w:ascii="Cambria" w:hAnsi="Cambria"/>
            <w:noProof/>
            <w:webHidden/>
            <w:sz w:val="20"/>
            <w:szCs w:val="20"/>
          </w:rPr>
          <w:fldChar w:fldCharType="end"/>
        </w:r>
      </w:hyperlink>
    </w:p>
    <w:p w14:paraId="08BFD832" w14:textId="77777777" w:rsidR="00617E74" w:rsidRDefault="00617E74" w:rsidP="00617E74">
      <w:pPr>
        <w:pStyle w:val="TOC1"/>
        <w:rPr>
          <w:rStyle w:val="Hyperlink"/>
        </w:rPr>
      </w:pPr>
    </w:p>
    <w:p w14:paraId="42D5BB9F" w14:textId="50696467" w:rsidR="00617E74" w:rsidRPr="00617E74" w:rsidRDefault="005D5215" w:rsidP="00617E74">
      <w:pPr>
        <w:pStyle w:val="TOC1"/>
        <w:rPr>
          <w:rFonts w:eastAsiaTheme="minorEastAsia" w:cstheme="minorBidi"/>
          <w:bdr w:val="none" w:sz="0" w:space="0" w:color="auto"/>
          <w:lang w:val="es-ES" w:eastAsia="es-ES"/>
        </w:rPr>
      </w:pPr>
      <w:hyperlink w:anchor="_Toc21442033" w:history="1">
        <w:r w:rsidR="00617E74" w:rsidRPr="00617E74">
          <w:rPr>
            <w:rStyle w:val="Hyperlink"/>
          </w:rPr>
          <w:t>III.</w:t>
        </w:r>
        <w:r w:rsidR="00617E74" w:rsidRPr="00617E74">
          <w:rPr>
            <w:rFonts w:eastAsiaTheme="minorEastAsia" w:cstheme="minorBidi"/>
            <w:bdr w:val="none" w:sz="0" w:space="0" w:color="auto"/>
            <w:lang w:val="es-ES" w:eastAsia="es-ES"/>
          </w:rPr>
          <w:tab/>
        </w:r>
        <w:r w:rsidR="00617E74" w:rsidRPr="00617E74">
          <w:rPr>
            <w:rStyle w:val="Hyperlink"/>
          </w:rPr>
          <w:t>DETERMINACIONES DE HECHO</w:t>
        </w:r>
        <w:r w:rsidR="00617E74" w:rsidRPr="00617E74">
          <w:rPr>
            <w:webHidden/>
          </w:rPr>
          <w:tab/>
        </w:r>
        <w:r w:rsidR="00617E74" w:rsidRPr="00617E74">
          <w:rPr>
            <w:webHidden/>
          </w:rPr>
          <w:fldChar w:fldCharType="begin"/>
        </w:r>
        <w:r w:rsidR="00617E74" w:rsidRPr="00617E74">
          <w:rPr>
            <w:webHidden/>
          </w:rPr>
          <w:instrText xml:space="preserve"> PAGEREF _Toc21442033 \h </w:instrText>
        </w:r>
        <w:r w:rsidR="00617E74" w:rsidRPr="00617E74">
          <w:rPr>
            <w:webHidden/>
          </w:rPr>
        </w:r>
        <w:r w:rsidR="00617E74" w:rsidRPr="00617E74">
          <w:rPr>
            <w:webHidden/>
          </w:rPr>
          <w:fldChar w:fldCharType="separate"/>
        </w:r>
        <w:r>
          <w:rPr>
            <w:webHidden/>
          </w:rPr>
          <w:t>3</w:t>
        </w:r>
        <w:r w:rsidR="00617E74" w:rsidRPr="00617E74">
          <w:rPr>
            <w:webHidden/>
          </w:rPr>
          <w:fldChar w:fldCharType="end"/>
        </w:r>
      </w:hyperlink>
    </w:p>
    <w:p w14:paraId="1C8BAB37" w14:textId="357BD680"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34" w:history="1">
        <w:r w:rsidR="00617E74" w:rsidRPr="00617E74">
          <w:rPr>
            <w:rStyle w:val="Hyperlink"/>
            <w:rFonts w:ascii="Cambria" w:hAnsi="Cambria"/>
            <w:noProof/>
            <w:sz w:val="20"/>
            <w:szCs w:val="20"/>
          </w:rPr>
          <w:t>A.</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rPr>
          <w:t>Contexto</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_Toc21442034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3</w:t>
        </w:r>
        <w:r w:rsidR="00617E74" w:rsidRPr="00617E74">
          <w:rPr>
            <w:rFonts w:ascii="Cambria" w:hAnsi="Cambria"/>
            <w:noProof/>
            <w:webHidden/>
            <w:sz w:val="20"/>
            <w:szCs w:val="20"/>
          </w:rPr>
          <w:fldChar w:fldCharType="end"/>
        </w:r>
      </w:hyperlink>
    </w:p>
    <w:p w14:paraId="35341866" w14:textId="4D6D7A89"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35" w:history="1">
        <w:r w:rsidR="00617E74" w:rsidRPr="00617E74">
          <w:rPr>
            <w:rStyle w:val="Hyperlink"/>
            <w:rFonts w:ascii="Cambria" w:hAnsi="Cambria"/>
            <w:noProof/>
            <w:sz w:val="20"/>
            <w:szCs w:val="20"/>
          </w:rPr>
          <w:t>B.</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rPr>
          <w:t>Sobre Herminio Deras y los hechos ocurridos antes de su muerte</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_Toc21442035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4</w:t>
        </w:r>
        <w:r w:rsidR="00617E74" w:rsidRPr="00617E74">
          <w:rPr>
            <w:rFonts w:ascii="Cambria" w:hAnsi="Cambria"/>
            <w:noProof/>
            <w:webHidden/>
            <w:sz w:val="20"/>
            <w:szCs w:val="20"/>
          </w:rPr>
          <w:fldChar w:fldCharType="end"/>
        </w:r>
      </w:hyperlink>
    </w:p>
    <w:p w14:paraId="2A98DC78" w14:textId="0D35CA6B"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36" w:history="1">
        <w:r w:rsidR="00617E74" w:rsidRPr="00617E74">
          <w:rPr>
            <w:rStyle w:val="Hyperlink"/>
            <w:rFonts w:ascii="Cambria" w:hAnsi="Cambria"/>
            <w:noProof/>
            <w:sz w:val="20"/>
            <w:szCs w:val="20"/>
          </w:rPr>
          <w:t>C.</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rPr>
          <w:t>Sobre la muerte del señor Deras y los hechos ocurridos con posterioridad en perjuicio de su familia</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_Toc21442036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5</w:t>
        </w:r>
        <w:r w:rsidR="00617E74" w:rsidRPr="00617E74">
          <w:rPr>
            <w:rFonts w:ascii="Cambria" w:hAnsi="Cambria"/>
            <w:noProof/>
            <w:webHidden/>
            <w:sz w:val="20"/>
            <w:szCs w:val="20"/>
          </w:rPr>
          <w:fldChar w:fldCharType="end"/>
        </w:r>
      </w:hyperlink>
    </w:p>
    <w:p w14:paraId="454EB226" w14:textId="04CD02A1"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37" w:history="1">
        <w:r w:rsidR="00617E74" w:rsidRPr="00617E74">
          <w:rPr>
            <w:rStyle w:val="Hyperlink"/>
            <w:rFonts w:ascii="Cambria" w:hAnsi="Cambria"/>
            <w:noProof/>
            <w:sz w:val="20"/>
            <w:szCs w:val="20"/>
          </w:rPr>
          <w:t>D.</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rPr>
          <w:t>Sobre el proceso penal</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_Toc21442037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8</w:t>
        </w:r>
        <w:r w:rsidR="00617E74" w:rsidRPr="00617E74">
          <w:rPr>
            <w:rFonts w:ascii="Cambria" w:hAnsi="Cambria"/>
            <w:noProof/>
            <w:webHidden/>
            <w:sz w:val="20"/>
            <w:szCs w:val="20"/>
          </w:rPr>
          <w:fldChar w:fldCharType="end"/>
        </w:r>
      </w:hyperlink>
    </w:p>
    <w:p w14:paraId="77152B60" w14:textId="77777777" w:rsidR="00617E74" w:rsidRDefault="00617E74" w:rsidP="00617E74">
      <w:pPr>
        <w:pStyle w:val="TOC1"/>
        <w:rPr>
          <w:rStyle w:val="Hyperlink"/>
        </w:rPr>
      </w:pPr>
    </w:p>
    <w:p w14:paraId="022DFE56" w14:textId="09A8ED2F" w:rsidR="00617E74" w:rsidRPr="00617E74" w:rsidRDefault="005D5215" w:rsidP="00617E74">
      <w:pPr>
        <w:pStyle w:val="TOC1"/>
        <w:rPr>
          <w:rFonts w:eastAsiaTheme="minorEastAsia" w:cstheme="minorBidi"/>
          <w:bdr w:val="none" w:sz="0" w:space="0" w:color="auto"/>
          <w:lang w:val="es-ES" w:eastAsia="es-ES"/>
        </w:rPr>
      </w:pPr>
      <w:hyperlink w:anchor="_Toc21442038" w:history="1">
        <w:r w:rsidR="00617E74" w:rsidRPr="00617E74">
          <w:rPr>
            <w:rStyle w:val="Hyperlink"/>
          </w:rPr>
          <w:t>IV.</w:t>
        </w:r>
        <w:r w:rsidR="00617E74" w:rsidRPr="00617E74">
          <w:rPr>
            <w:rFonts w:eastAsiaTheme="minorEastAsia" w:cstheme="minorBidi"/>
            <w:bdr w:val="none" w:sz="0" w:space="0" w:color="auto"/>
            <w:lang w:val="es-ES" w:eastAsia="es-ES"/>
          </w:rPr>
          <w:tab/>
        </w:r>
        <w:r w:rsidR="00617E74" w:rsidRPr="00617E74">
          <w:rPr>
            <w:rStyle w:val="Hyperlink"/>
          </w:rPr>
          <w:t>ANÁLISIS DE DERECHO</w:t>
        </w:r>
        <w:r w:rsidR="00617E74" w:rsidRPr="00617E74">
          <w:rPr>
            <w:webHidden/>
          </w:rPr>
          <w:tab/>
        </w:r>
        <w:r w:rsidR="00617E74" w:rsidRPr="00617E74">
          <w:rPr>
            <w:webHidden/>
          </w:rPr>
          <w:fldChar w:fldCharType="begin"/>
        </w:r>
        <w:r w:rsidR="00617E74" w:rsidRPr="00617E74">
          <w:rPr>
            <w:webHidden/>
          </w:rPr>
          <w:instrText xml:space="preserve"> PAGEREF _Toc21442038 \h </w:instrText>
        </w:r>
        <w:r w:rsidR="00617E74" w:rsidRPr="00617E74">
          <w:rPr>
            <w:webHidden/>
          </w:rPr>
        </w:r>
        <w:r w:rsidR="00617E74" w:rsidRPr="00617E74">
          <w:rPr>
            <w:webHidden/>
          </w:rPr>
          <w:fldChar w:fldCharType="separate"/>
        </w:r>
        <w:r>
          <w:rPr>
            <w:webHidden/>
          </w:rPr>
          <w:t>10</w:t>
        </w:r>
        <w:r w:rsidR="00617E74" w:rsidRPr="00617E74">
          <w:rPr>
            <w:webHidden/>
          </w:rPr>
          <w:fldChar w:fldCharType="end"/>
        </w:r>
      </w:hyperlink>
    </w:p>
    <w:p w14:paraId="3982D17B" w14:textId="024D692C"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39" w:history="1">
        <w:r w:rsidR="00617E74" w:rsidRPr="00617E74">
          <w:rPr>
            <w:rStyle w:val="Hyperlink"/>
            <w:rFonts w:ascii="Cambria" w:hAnsi="Cambria"/>
            <w:noProof/>
            <w:sz w:val="20"/>
            <w:szCs w:val="20"/>
          </w:rPr>
          <w:t>A.</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rPr>
          <w:t>Derecho a la vida, libertad de pensamiento y de expresión y libertad de asociación (artículos 4.1, 13.1 y 16.1</w:t>
        </w:r>
        <w:r w:rsidR="00617E74" w:rsidRPr="00617E74">
          <w:rPr>
            <w:rStyle w:val="Hyperlink"/>
            <w:rFonts w:ascii="Cambria" w:hAnsi="Cambria"/>
            <w:noProof/>
            <w:sz w:val="20"/>
            <w:szCs w:val="20"/>
            <w:lang w:val="es-CL"/>
          </w:rPr>
          <w:t xml:space="preserve"> de la Convención Americana </w:t>
        </w:r>
        <w:r w:rsidR="00617E74" w:rsidRPr="00617E74">
          <w:rPr>
            <w:rStyle w:val="Hyperlink"/>
            <w:rFonts w:ascii="Cambria" w:hAnsi="Cambria"/>
            <w:noProof/>
            <w:sz w:val="20"/>
            <w:szCs w:val="20"/>
          </w:rPr>
          <w:t>en relación con el artículo 1.1 del mismo instrumento)</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_Toc21442039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10</w:t>
        </w:r>
        <w:r w:rsidR="00617E74" w:rsidRPr="00617E74">
          <w:rPr>
            <w:rFonts w:ascii="Cambria" w:hAnsi="Cambria"/>
            <w:noProof/>
            <w:webHidden/>
            <w:sz w:val="20"/>
            <w:szCs w:val="20"/>
          </w:rPr>
          <w:fldChar w:fldCharType="end"/>
        </w:r>
      </w:hyperlink>
    </w:p>
    <w:p w14:paraId="6AAB23EA" w14:textId="179292F2"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40" w:history="1">
        <w:r w:rsidR="00617E74" w:rsidRPr="00617E74">
          <w:rPr>
            <w:rStyle w:val="Hyperlink"/>
            <w:rFonts w:ascii="Cambria" w:hAnsi="Cambria"/>
            <w:noProof/>
            <w:sz w:val="20"/>
            <w:szCs w:val="20"/>
            <w:lang w:val="es-ES"/>
          </w:rPr>
          <w:t>B.</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lang w:val="es-ES"/>
          </w:rPr>
          <w:t xml:space="preserve">Derechos a la integridad personal, libertad personal, vida privada, protección de la familia y derechos del niño (artículos 5.1, 5.2 7.1, 7.2, 7.3, 11.2, 17.1, 19 y 22.1 </w:t>
        </w:r>
        <w:r w:rsidR="00617E74" w:rsidRPr="00617E74">
          <w:rPr>
            <w:rStyle w:val="Hyperlink"/>
            <w:rFonts w:ascii="Cambria" w:hAnsi="Cambria"/>
            <w:noProof/>
            <w:sz w:val="20"/>
            <w:szCs w:val="20"/>
            <w:lang w:val="es-CL"/>
          </w:rPr>
          <w:t xml:space="preserve">de la Convención Americana, </w:t>
        </w:r>
        <w:r w:rsidR="00617E74" w:rsidRPr="00617E74">
          <w:rPr>
            <w:rStyle w:val="Hyperlink"/>
            <w:rFonts w:ascii="Cambria" w:hAnsi="Cambria"/>
            <w:noProof/>
            <w:sz w:val="20"/>
            <w:szCs w:val="20"/>
            <w:lang w:val="es-ES"/>
          </w:rPr>
          <w:t>en relación con el artículo 1.1 del mismo instrumento)</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_Toc21442040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12</w:t>
        </w:r>
        <w:r w:rsidR="00617E74" w:rsidRPr="00617E74">
          <w:rPr>
            <w:rFonts w:ascii="Cambria" w:hAnsi="Cambria"/>
            <w:noProof/>
            <w:webHidden/>
            <w:sz w:val="20"/>
            <w:szCs w:val="20"/>
          </w:rPr>
          <w:fldChar w:fldCharType="end"/>
        </w:r>
      </w:hyperlink>
    </w:p>
    <w:p w14:paraId="428DBCBF" w14:textId="675FA022"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41" w:history="1">
        <w:r w:rsidR="00617E74" w:rsidRPr="00617E74">
          <w:rPr>
            <w:rStyle w:val="Hyperlink"/>
            <w:rFonts w:ascii="Cambria" w:hAnsi="Cambria"/>
            <w:noProof/>
            <w:sz w:val="20"/>
            <w:szCs w:val="20"/>
            <w:lang w:val="es-ES"/>
          </w:rPr>
          <w:t>C.</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lang w:val="es-ES"/>
          </w:rPr>
          <w:t>Derecho a las garantías judiciales y protección judicial (artículos 8.1 y 25.1</w:t>
        </w:r>
        <w:r w:rsidR="00617E74" w:rsidRPr="00617E74">
          <w:rPr>
            <w:rStyle w:val="Hyperlink"/>
            <w:rFonts w:ascii="Cambria" w:hAnsi="Cambria"/>
            <w:noProof/>
            <w:sz w:val="20"/>
            <w:szCs w:val="20"/>
            <w:lang w:val="es-CL"/>
          </w:rPr>
          <w:t xml:space="preserve"> </w:t>
        </w:r>
        <w:r w:rsidR="00617E74" w:rsidRPr="00617E74">
          <w:rPr>
            <w:rStyle w:val="Hyperlink"/>
            <w:rFonts w:ascii="Cambria" w:hAnsi="Cambria"/>
            <w:noProof/>
            <w:sz w:val="20"/>
            <w:szCs w:val="20"/>
            <w:lang w:val="es-ES"/>
          </w:rPr>
          <w:t>en relación con el artículo 1.1 de la Convención Americana)</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_Toc21442041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15</w:t>
        </w:r>
        <w:r w:rsidR="00617E74" w:rsidRPr="00617E74">
          <w:rPr>
            <w:rFonts w:ascii="Cambria" w:hAnsi="Cambria"/>
            <w:noProof/>
            <w:webHidden/>
            <w:sz w:val="20"/>
            <w:szCs w:val="20"/>
          </w:rPr>
          <w:fldChar w:fldCharType="end"/>
        </w:r>
      </w:hyperlink>
    </w:p>
    <w:p w14:paraId="528EC513" w14:textId="434B7354" w:rsidR="00617E74" w:rsidRPr="00617E74" w:rsidRDefault="005D5215" w:rsidP="00617E74">
      <w:pPr>
        <w:pStyle w:val="TOC2"/>
        <w:jc w:val="both"/>
        <w:rPr>
          <w:rFonts w:ascii="Cambria" w:eastAsiaTheme="minorEastAsia" w:hAnsi="Cambria" w:cstheme="minorBidi"/>
          <w:noProof/>
          <w:sz w:val="20"/>
          <w:szCs w:val="20"/>
          <w:bdr w:val="none" w:sz="0" w:space="0" w:color="auto"/>
          <w:lang w:val="es-ES" w:eastAsia="es-ES"/>
        </w:rPr>
      </w:pPr>
      <w:hyperlink w:anchor="_Toc21442042" w:history="1">
        <w:r w:rsidR="00617E74" w:rsidRPr="00617E74">
          <w:rPr>
            <w:rStyle w:val="Hyperlink"/>
            <w:rFonts w:ascii="Cambria" w:hAnsi="Cambria"/>
            <w:noProof/>
            <w:sz w:val="20"/>
            <w:szCs w:val="20"/>
            <w:lang w:val="es-ES"/>
          </w:rPr>
          <w:t>D.</w:t>
        </w:r>
        <w:r w:rsidR="00617E74" w:rsidRPr="00617E74">
          <w:rPr>
            <w:rFonts w:ascii="Cambria" w:eastAsiaTheme="minorEastAsia" w:hAnsi="Cambria" w:cstheme="minorBidi"/>
            <w:noProof/>
            <w:sz w:val="20"/>
            <w:szCs w:val="20"/>
            <w:bdr w:val="none" w:sz="0" w:space="0" w:color="auto"/>
            <w:lang w:val="es-ES" w:eastAsia="es-ES"/>
          </w:rPr>
          <w:tab/>
        </w:r>
        <w:r w:rsidR="00617E74" w:rsidRPr="00617E74">
          <w:rPr>
            <w:rStyle w:val="Hyperlink"/>
            <w:rFonts w:ascii="Cambria" w:hAnsi="Cambria"/>
            <w:noProof/>
            <w:sz w:val="20"/>
            <w:szCs w:val="20"/>
            <w:lang w:val="es-ES"/>
          </w:rPr>
          <w:t>Derecho a la integridad personal (artículo 5.1</w:t>
        </w:r>
        <w:r w:rsidR="00617E74" w:rsidRPr="00617E74">
          <w:rPr>
            <w:rStyle w:val="Hyperlink"/>
            <w:rFonts w:ascii="Cambria" w:hAnsi="Cambria"/>
            <w:noProof/>
            <w:sz w:val="20"/>
            <w:szCs w:val="20"/>
            <w:lang w:val="es-CL"/>
          </w:rPr>
          <w:t xml:space="preserve"> </w:t>
        </w:r>
        <w:r w:rsidR="00617E74" w:rsidRPr="00617E74">
          <w:rPr>
            <w:rStyle w:val="Hyperlink"/>
            <w:rFonts w:ascii="Cambria" w:hAnsi="Cambria"/>
            <w:noProof/>
            <w:sz w:val="20"/>
            <w:szCs w:val="20"/>
            <w:lang w:val="es-ES"/>
          </w:rPr>
          <w:t>en relación con el artículo 1.1 de la Convención Americana)</w:t>
        </w:r>
        <w:r w:rsidR="00617E74" w:rsidRPr="00617E74">
          <w:rPr>
            <w:rFonts w:ascii="Cambria" w:hAnsi="Cambria"/>
            <w:noProof/>
            <w:webHidden/>
            <w:sz w:val="20"/>
            <w:szCs w:val="20"/>
          </w:rPr>
          <w:tab/>
        </w:r>
        <w:r w:rsidR="00617E74" w:rsidRPr="00617E74">
          <w:rPr>
            <w:rFonts w:ascii="Cambria" w:hAnsi="Cambria"/>
            <w:noProof/>
            <w:webHidden/>
            <w:sz w:val="20"/>
            <w:szCs w:val="20"/>
          </w:rPr>
          <w:fldChar w:fldCharType="begin"/>
        </w:r>
        <w:r w:rsidR="00617E74" w:rsidRPr="00617E74">
          <w:rPr>
            <w:rFonts w:ascii="Cambria" w:hAnsi="Cambria"/>
            <w:noProof/>
            <w:webHidden/>
            <w:sz w:val="20"/>
            <w:szCs w:val="20"/>
          </w:rPr>
          <w:instrText xml:space="preserve"> PAGEREF _Toc21442042 \h </w:instrText>
        </w:r>
        <w:r w:rsidR="00617E74" w:rsidRPr="00617E74">
          <w:rPr>
            <w:rFonts w:ascii="Cambria" w:hAnsi="Cambria"/>
            <w:noProof/>
            <w:webHidden/>
            <w:sz w:val="20"/>
            <w:szCs w:val="20"/>
          </w:rPr>
        </w:r>
        <w:r w:rsidR="00617E74" w:rsidRPr="00617E74">
          <w:rPr>
            <w:rFonts w:ascii="Cambria" w:hAnsi="Cambria"/>
            <w:noProof/>
            <w:webHidden/>
            <w:sz w:val="20"/>
            <w:szCs w:val="20"/>
          </w:rPr>
          <w:fldChar w:fldCharType="separate"/>
        </w:r>
        <w:r>
          <w:rPr>
            <w:rFonts w:ascii="Cambria" w:hAnsi="Cambria"/>
            <w:noProof/>
            <w:webHidden/>
            <w:sz w:val="20"/>
            <w:szCs w:val="20"/>
          </w:rPr>
          <w:t>17</w:t>
        </w:r>
        <w:r w:rsidR="00617E74" w:rsidRPr="00617E74">
          <w:rPr>
            <w:rFonts w:ascii="Cambria" w:hAnsi="Cambria"/>
            <w:noProof/>
            <w:webHidden/>
            <w:sz w:val="20"/>
            <w:szCs w:val="20"/>
          </w:rPr>
          <w:fldChar w:fldCharType="end"/>
        </w:r>
      </w:hyperlink>
    </w:p>
    <w:p w14:paraId="4A2B5400" w14:textId="77777777" w:rsidR="00617E74" w:rsidRDefault="00617E74" w:rsidP="00617E74">
      <w:pPr>
        <w:pStyle w:val="TOC1"/>
        <w:rPr>
          <w:rStyle w:val="Hyperlink"/>
        </w:rPr>
      </w:pPr>
    </w:p>
    <w:p w14:paraId="7B4265A1" w14:textId="0F6D4322" w:rsidR="00617E74" w:rsidRPr="00617E74" w:rsidRDefault="005D5215" w:rsidP="00617E74">
      <w:pPr>
        <w:pStyle w:val="TOC1"/>
        <w:rPr>
          <w:rFonts w:eastAsiaTheme="minorEastAsia" w:cstheme="minorBidi"/>
          <w:bdr w:val="none" w:sz="0" w:space="0" w:color="auto"/>
          <w:lang w:val="es-ES" w:eastAsia="es-ES"/>
        </w:rPr>
      </w:pPr>
      <w:hyperlink w:anchor="_Toc21442043" w:history="1">
        <w:r w:rsidR="00617E74" w:rsidRPr="00617E74">
          <w:rPr>
            <w:rStyle w:val="Hyperlink"/>
          </w:rPr>
          <w:t>V.</w:t>
        </w:r>
        <w:r w:rsidR="00617E74" w:rsidRPr="00617E74">
          <w:rPr>
            <w:rFonts w:eastAsiaTheme="minorEastAsia" w:cstheme="minorBidi"/>
            <w:bdr w:val="none" w:sz="0" w:space="0" w:color="auto"/>
            <w:lang w:val="es-ES" w:eastAsia="es-ES"/>
          </w:rPr>
          <w:tab/>
        </w:r>
        <w:r w:rsidR="00617E74" w:rsidRPr="00617E74">
          <w:rPr>
            <w:rStyle w:val="Hyperlink"/>
          </w:rPr>
          <w:t>CONCLUSIONES Y RECOMENDACIONES</w:t>
        </w:r>
        <w:r w:rsidR="00617E74" w:rsidRPr="00617E74">
          <w:rPr>
            <w:webHidden/>
          </w:rPr>
          <w:tab/>
        </w:r>
        <w:r w:rsidR="00617E74" w:rsidRPr="00617E74">
          <w:rPr>
            <w:webHidden/>
          </w:rPr>
          <w:fldChar w:fldCharType="begin"/>
        </w:r>
        <w:r w:rsidR="00617E74" w:rsidRPr="00617E74">
          <w:rPr>
            <w:webHidden/>
          </w:rPr>
          <w:instrText xml:space="preserve"> PAGEREF _Toc21442043 \h </w:instrText>
        </w:r>
        <w:r w:rsidR="00617E74" w:rsidRPr="00617E74">
          <w:rPr>
            <w:webHidden/>
          </w:rPr>
        </w:r>
        <w:r w:rsidR="00617E74" w:rsidRPr="00617E74">
          <w:rPr>
            <w:webHidden/>
          </w:rPr>
          <w:fldChar w:fldCharType="separate"/>
        </w:r>
        <w:r>
          <w:rPr>
            <w:webHidden/>
          </w:rPr>
          <w:t>17</w:t>
        </w:r>
        <w:r w:rsidR="00617E74" w:rsidRPr="00617E74">
          <w:rPr>
            <w:webHidden/>
          </w:rPr>
          <w:fldChar w:fldCharType="end"/>
        </w:r>
      </w:hyperlink>
    </w:p>
    <w:p w14:paraId="3D41C554" w14:textId="77777777" w:rsidR="008D768D" w:rsidRPr="00617E74" w:rsidRDefault="00F15B85" w:rsidP="00F15B85">
      <w:pPr>
        <w:tabs>
          <w:tab w:val="left" w:pos="1440"/>
          <w:tab w:val="center" w:pos="5400"/>
        </w:tabs>
        <w:suppressAutoHyphens/>
        <w:spacing w:after="240"/>
        <w:rPr>
          <w:rFonts w:ascii="Cambria" w:hAnsi="Cambria"/>
          <w:sz w:val="20"/>
          <w:szCs w:val="20"/>
          <w:lang w:val="es-ES_tradnl"/>
        </w:rPr>
      </w:pPr>
      <w:r w:rsidRPr="00617E74">
        <w:rPr>
          <w:rFonts w:ascii="Cambria" w:hAnsi="Cambria"/>
          <w:b/>
          <w:sz w:val="20"/>
          <w:szCs w:val="20"/>
          <w:lang w:val="es-ES_tradnl"/>
        </w:rPr>
        <w:fldChar w:fldCharType="end"/>
      </w:r>
    </w:p>
    <w:p w14:paraId="1F3BFA77" w14:textId="77777777" w:rsidR="005937F1" w:rsidRPr="00617E74" w:rsidRDefault="00722C9F" w:rsidP="00005B72">
      <w:pPr>
        <w:rPr>
          <w:rFonts w:ascii="Cambria" w:hAnsi="Cambria"/>
          <w:sz w:val="20"/>
          <w:szCs w:val="20"/>
          <w:lang w:val="es-ES_tradnl"/>
        </w:rPr>
      </w:pPr>
      <w:r w:rsidRPr="00617E74">
        <w:rPr>
          <w:rFonts w:ascii="Cambria" w:hAnsi="Cambria" w:cs="Calibri"/>
          <w:sz w:val="20"/>
          <w:szCs w:val="20"/>
          <w:lang w:val="es-ES"/>
        </w:rPr>
        <w:br w:type="page"/>
      </w:r>
    </w:p>
    <w:p w14:paraId="5B045DA1" w14:textId="77777777" w:rsidR="00D12193" w:rsidRPr="00005B72" w:rsidRDefault="00005B72" w:rsidP="00212202">
      <w:pPr>
        <w:pStyle w:val="Heading1"/>
        <w:tabs>
          <w:tab w:val="left" w:pos="360"/>
        </w:tabs>
        <w:ind w:hanging="1080"/>
      </w:pPr>
      <w:bookmarkStart w:id="2" w:name="_Toc15047993"/>
      <w:bookmarkStart w:id="3" w:name="_Toc21442029"/>
      <w:r w:rsidRPr="00005B72">
        <w:lastRenderedPageBreak/>
        <w:t>INTRODUCCIÓN</w:t>
      </w:r>
      <w:bookmarkEnd w:id="2"/>
      <w:bookmarkEnd w:id="3"/>
    </w:p>
    <w:p w14:paraId="5188BE62" w14:textId="77777777" w:rsidR="005C4CA5" w:rsidRPr="00470D7E" w:rsidRDefault="005C4CA5" w:rsidP="00212202">
      <w:pPr>
        <w:tabs>
          <w:tab w:val="left" w:pos="360"/>
        </w:tabs>
        <w:suppressAutoHyphens/>
        <w:ind w:left="360"/>
        <w:rPr>
          <w:rFonts w:ascii="Cambria" w:hAnsi="Cambria"/>
          <w:b/>
          <w:sz w:val="20"/>
          <w:szCs w:val="20"/>
          <w:lang w:val="es-ES_tradnl"/>
        </w:rPr>
      </w:pPr>
    </w:p>
    <w:p w14:paraId="05FC87BA" w14:textId="77777777" w:rsidR="009014A4" w:rsidRPr="00470D7E" w:rsidRDefault="005C4CA5"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color w:val="000000"/>
          <w:sz w:val="20"/>
          <w:szCs w:val="20"/>
          <w:lang w:val="es-VE"/>
        </w:rPr>
      </w:pPr>
      <w:r w:rsidRPr="00470D7E">
        <w:rPr>
          <w:rFonts w:ascii="Cambria" w:hAnsi="Cambria"/>
          <w:sz w:val="20"/>
          <w:szCs w:val="20"/>
          <w:lang w:val="es-VE"/>
        </w:rPr>
        <w:t xml:space="preserve">El </w:t>
      </w:r>
      <w:r w:rsidR="0003499E" w:rsidRPr="00470D7E">
        <w:rPr>
          <w:rFonts w:ascii="Cambria" w:hAnsi="Cambria"/>
          <w:sz w:val="20"/>
          <w:szCs w:val="20"/>
          <w:lang w:val="es-VE"/>
        </w:rPr>
        <w:t>6</w:t>
      </w:r>
      <w:r w:rsidRPr="00470D7E">
        <w:rPr>
          <w:rFonts w:ascii="Cambria" w:hAnsi="Cambria"/>
          <w:sz w:val="20"/>
          <w:szCs w:val="20"/>
          <w:lang w:val="es-VE"/>
        </w:rPr>
        <w:t xml:space="preserve"> de </w:t>
      </w:r>
      <w:r w:rsidR="0003499E" w:rsidRPr="00470D7E">
        <w:rPr>
          <w:rFonts w:ascii="Cambria" w:hAnsi="Cambria"/>
          <w:sz w:val="20"/>
          <w:szCs w:val="20"/>
          <w:lang w:val="es-VE"/>
        </w:rPr>
        <w:t>febrero</w:t>
      </w:r>
      <w:r w:rsidRPr="00470D7E">
        <w:rPr>
          <w:rFonts w:ascii="Cambria" w:hAnsi="Cambria"/>
          <w:sz w:val="20"/>
          <w:szCs w:val="20"/>
          <w:lang w:val="es-VE"/>
        </w:rPr>
        <w:t xml:space="preserve"> de </w:t>
      </w:r>
      <w:r w:rsidR="0003499E" w:rsidRPr="00470D7E">
        <w:rPr>
          <w:rFonts w:ascii="Cambria" w:hAnsi="Cambria"/>
          <w:sz w:val="20"/>
          <w:szCs w:val="20"/>
          <w:lang w:val="es-VE"/>
        </w:rPr>
        <w:t>2002</w:t>
      </w:r>
      <w:r w:rsidRPr="00470D7E">
        <w:rPr>
          <w:rFonts w:ascii="Cambria" w:hAnsi="Cambria"/>
          <w:sz w:val="20"/>
          <w:szCs w:val="20"/>
          <w:lang w:val="es-VE"/>
        </w:rPr>
        <w:t xml:space="preserve"> la Comisión Interamericana de Derechos Humanos (en adelante “la Comisión Interamericana”, “la Comisión” o “la CIDH”) recibió una petición presentada por </w:t>
      </w:r>
      <w:r w:rsidR="00244D54">
        <w:rPr>
          <w:rFonts w:ascii="Cambria" w:hAnsi="Cambria"/>
          <w:sz w:val="20"/>
          <w:szCs w:val="20"/>
          <w:lang w:val="es-ES"/>
        </w:rPr>
        <w:t xml:space="preserve">Eustaquia García Alvarado </w:t>
      </w:r>
      <w:r w:rsidRPr="00470D7E">
        <w:rPr>
          <w:rFonts w:ascii="Cambria" w:hAnsi="Cambria"/>
          <w:sz w:val="20"/>
          <w:szCs w:val="20"/>
          <w:lang w:val="es-VE"/>
        </w:rPr>
        <w:t>(en adelante “la parte peticionaria”)</w:t>
      </w:r>
      <w:r w:rsidRPr="00470D7E">
        <w:rPr>
          <w:rStyle w:val="FootnoteReference"/>
          <w:rFonts w:ascii="Cambria" w:hAnsi="Cambria"/>
          <w:sz w:val="20"/>
          <w:szCs w:val="20"/>
          <w:lang w:val="es-VE"/>
        </w:rPr>
        <w:footnoteReference w:id="2"/>
      </w:r>
      <w:r w:rsidRPr="00470D7E">
        <w:rPr>
          <w:rFonts w:ascii="Cambria" w:hAnsi="Cambria"/>
          <w:sz w:val="20"/>
          <w:szCs w:val="20"/>
          <w:lang w:val="es-VE"/>
        </w:rPr>
        <w:t xml:space="preserve"> en la cual se alega la responsabilidad internacional de </w:t>
      </w:r>
      <w:r w:rsidR="0003499E" w:rsidRPr="00470D7E">
        <w:rPr>
          <w:rFonts w:ascii="Cambria" w:hAnsi="Cambria"/>
          <w:sz w:val="20"/>
          <w:szCs w:val="20"/>
          <w:lang w:val="es-VE"/>
        </w:rPr>
        <w:t>la República de Honduras</w:t>
      </w:r>
      <w:r w:rsidRPr="00470D7E">
        <w:rPr>
          <w:rFonts w:ascii="Cambria" w:hAnsi="Cambria"/>
          <w:sz w:val="20"/>
          <w:szCs w:val="20"/>
          <w:lang w:val="es-VE"/>
        </w:rPr>
        <w:t xml:space="preserve"> (en </w:t>
      </w:r>
      <w:r w:rsidRPr="00470D7E">
        <w:rPr>
          <w:rFonts w:ascii="Cambria" w:hAnsi="Cambria"/>
          <w:color w:val="000000"/>
          <w:sz w:val="20"/>
          <w:szCs w:val="20"/>
          <w:lang w:val="es-VE"/>
        </w:rPr>
        <w:t>adelante “el Estado</w:t>
      </w:r>
      <w:r w:rsidR="0082694A">
        <w:rPr>
          <w:rFonts w:ascii="Cambria" w:hAnsi="Cambria"/>
          <w:color w:val="000000"/>
          <w:sz w:val="20"/>
          <w:szCs w:val="20"/>
          <w:lang w:val="es-VE"/>
        </w:rPr>
        <w:t xml:space="preserve"> de</w:t>
      </w:r>
      <w:r w:rsidRPr="00470D7E">
        <w:rPr>
          <w:rFonts w:ascii="Cambria" w:hAnsi="Cambria"/>
          <w:color w:val="000000"/>
          <w:sz w:val="20"/>
          <w:szCs w:val="20"/>
          <w:lang w:val="es-VE"/>
        </w:rPr>
        <w:t xml:space="preserve"> </w:t>
      </w:r>
      <w:r w:rsidR="0003499E" w:rsidRPr="00470D7E">
        <w:rPr>
          <w:rFonts w:ascii="Cambria" w:hAnsi="Cambria"/>
          <w:color w:val="000000"/>
          <w:sz w:val="20"/>
          <w:szCs w:val="20"/>
          <w:lang w:val="es-VE"/>
        </w:rPr>
        <w:t>Honduras</w:t>
      </w:r>
      <w:r w:rsidRPr="00470D7E">
        <w:rPr>
          <w:rFonts w:ascii="Cambria" w:hAnsi="Cambria"/>
          <w:color w:val="000000"/>
          <w:sz w:val="20"/>
          <w:szCs w:val="20"/>
          <w:lang w:val="es-VE"/>
        </w:rPr>
        <w:t>”, “el Estado” o “</w:t>
      </w:r>
      <w:r w:rsidR="0003499E" w:rsidRPr="00470D7E">
        <w:rPr>
          <w:rFonts w:ascii="Cambria" w:hAnsi="Cambria"/>
          <w:color w:val="000000"/>
          <w:sz w:val="20"/>
          <w:szCs w:val="20"/>
          <w:lang w:val="es-VE"/>
        </w:rPr>
        <w:t>Honduras</w:t>
      </w:r>
      <w:r w:rsidRPr="00470D7E">
        <w:rPr>
          <w:rFonts w:ascii="Cambria" w:hAnsi="Cambria"/>
          <w:color w:val="000000"/>
          <w:sz w:val="20"/>
          <w:szCs w:val="20"/>
          <w:lang w:val="es-VE"/>
        </w:rPr>
        <w:t xml:space="preserve">”) </w:t>
      </w:r>
      <w:r w:rsidR="00005B72">
        <w:rPr>
          <w:rFonts w:ascii="Cambria" w:hAnsi="Cambria"/>
          <w:color w:val="000000"/>
          <w:sz w:val="20"/>
          <w:szCs w:val="20"/>
          <w:lang w:val="es-VE"/>
        </w:rPr>
        <w:t xml:space="preserve">por la </w:t>
      </w:r>
      <w:r w:rsidR="00025EDD">
        <w:rPr>
          <w:rFonts w:ascii="Cambria" w:hAnsi="Cambria"/>
          <w:color w:val="000000"/>
          <w:sz w:val="20"/>
          <w:szCs w:val="20"/>
          <w:lang w:val="es-VE"/>
        </w:rPr>
        <w:t xml:space="preserve">alegada </w:t>
      </w:r>
      <w:r w:rsidR="00005B72">
        <w:rPr>
          <w:rFonts w:ascii="Cambria" w:hAnsi="Cambria"/>
          <w:color w:val="000000"/>
          <w:sz w:val="20"/>
          <w:szCs w:val="20"/>
          <w:lang w:val="es-VE"/>
        </w:rPr>
        <w:t xml:space="preserve">ejecución extrajudicial de Herminio Deras García, así como </w:t>
      </w:r>
      <w:r w:rsidR="00A034B4">
        <w:rPr>
          <w:rFonts w:ascii="Cambria" w:hAnsi="Cambria"/>
          <w:color w:val="000000"/>
          <w:sz w:val="20"/>
          <w:szCs w:val="20"/>
          <w:lang w:val="es-VE"/>
        </w:rPr>
        <w:t xml:space="preserve">por las </w:t>
      </w:r>
      <w:r w:rsidR="00025EDD">
        <w:rPr>
          <w:rFonts w:ascii="Cambria" w:hAnsi="Cambria"/>
          <w:color w:val="000000"/>
          <w:sz w:val="20"/>
          <w:szCs w:val="20"/>
          <w:lang w:val="es-VE"/>
        </w:rPr>
        <w:t xml:space="preserve">supuestas </w:t>
      </w:r>
      <w:r w:rsidR="00A034B4">
        <w:rPr>
          <w:rFonts w:ascii="Cambria" w:hAnsi="Cambria"/>
          <w:color w:val="000000"/>
          <w:sz w:val="20"/>
          <w:szCs w:val="20"/>
          <w:lang w:val="es-VE"/>
        </w:rPr>
        <w:t xml:space="preserve">amenazas, </w:t>
      </w:r>
      <w:r w:rsidR="00005B72">
        <w:rPr>
          <w:rFonts w:ascii="Cambria" w:hAnsi="Cambria"/>
          <w:color w:val="000000"/>
          <w:sz w:val="20"/>
          <w:szCs w:val="20"/>
          <w:lang w:val="es-VE"/>
        </w:rPr>
        <w:t xml:space="preserve">detenciones ilegales y </w:t>
      </w:r>
      <w:r w:rsidR="00025EDD">
        <w:rPr>
          <w:rFonts w:ascii="Cambria" w:hAnsi="Cambria"/>
          <w:color w:val="000000"/>
          <w:sz w:val="20"/>
          <w:szCs w:val="20"/>
          <w:lang w:val="es-VE"/>
        </w:rPr>
        <w:t xml:space="preserve">alegados </w:t>
      </w:r>
      <w:r w:rsidR="00005B72">
        <w:rPr>
          <w:rFonts w:ascii="Cambria" w:hAnsi="Cambria"/>
          <w:color w:val="000000"/>
          <w:sz w:val="20"/>
          <w:szCs w:val="20"/>
          <w:lang w:val="es-VE"/>
        </w:rPr>
        <w:t>actos de tortura en contra de sus familiares</w:t>
      </w:r>
      <w:r w:rsidRPr="00470D7E">
        <w:rPr>
          <w:rFonts w:ascii="Cambria" w:hAnsi="Cambria"/>
          <w:color w:val="000000"/>
          <w:sz w:val="20"/>
          <w:szCs w:val="20"/>
          <w:lang w:val="es-VE"/>
        </w:rPr>
        <w:t xml:space="preserve">. </w:t>
      </w:r>
    </w:p>
    <w:p w14:paraId="43EFA10B" w14:textId="77777777" w:rsidR="009014A4" w:rsidRPr="00470D7E" w:rsidRDefault="009014A4"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630"/>
        <w:jc w:val="both"/>
        <w:rPr>
          <w:rFonts w:ascii="Cambria" w:hAnsi="Cambria"/>
          <w:color w:val="000000"/>
          <w:sz w:val="20"/>
          <w:szCs w:val="20"/>
          <w:lang w:val="es-VE"/>
        </w:rPr>
      </w:pPr>
    </w:p>
    <w:p w14:paraId="5B01FEDB" w14:textId="77777777" w:rsidR="009014A4" w:rsidRPr="00470D7E" w:rsidRDefault="009014A4"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color w:val="000000"/>
          <w:sz w:val="20"/>
          <w:szCs w:val="20"/>
          <w:lang w:val="es-VE"/>
        </w:rPr>
      </w:pPr>
      <w:r w:rsidRPr="005E5FB8">
        <w:rPr>
          <w:rFonts w:ascii="Cambria" w:hAnsi="Cambria"/>
          <w:sz w:val="20"/>
          <w:szCs w:val="20"/>
          <w:lang w:val="es-VE"/>
        </w:rPr>
        <w:t>L</w:t>
      </w:r>
      <w:r w:rsidRPr="005E5FB8">
        <w:rPr>
          <w:rFonts w:ascii="Cambria" w:hAnsi="Cambria"/>
          <w:sz w:val="20"/>
          <w:szCs w:val="20"/>
          <w:lang w:val="es-ES_tradnl"/>
        </w:rPr>
        <w:t xml:space="preserve">a Comisión aprobó el informe de admisibilidad No. </w:t>
      </w:r>
      <w:r w:rsidR="005E5FB8" w:rsidRPr="005E5FB8">
        <w:rPr>
          <w:rFonts w:ascii="Cambria" w:hAnsi="Cambria"/>
          <w:sz w:val="20"/>
          <w:szCs w:val="20"/>
          <w:lang w:val="es-ES_tradnl"/>
        </w:rPr>
        <w:t>56</w:t>
      </w:r>
      <w:r w:rsidRPr="005E5FB8">
        <w:rPr>
          <w:rFonts w:ascii="Cambria" w:hAnsi="Cambria"/>
          <w:sz w:val="20"/>
          <w:szCs w:val="20"/>
          <w:lang w:val="es-ES_tradnl"/>
        </w:rPr>
        <w:t>/</w:t>
      </w:r>
      <w:r w:rsidR="005E5FB8" w:rsidRPr="005E5FB8">
        <w:rPr>
          <w:rFonts w:ascii="Cambria" w:hAnsi="Cambria"/>
          <w:sz w:val="20"/>
          <w:szCs w:val="20"/>
          <w:lang w:val="es-ES_tradnl"/>
        </w:rPr>
        <w:t>13 el 16 de julio de 2013</w:t>
      </w:r>
      <w:r w:rsidRPr="005E5FB8">
        <w:rPr>
          <w:rStyle w:val="FootnoteReference"/>
          <w:rFonts w:ascii="Cambria" w:hAnsi="Cambria"/>
          <w:sz w:val="20"/>
          <w:szCs w:val="20"/>
          <w:lang w:val="es-ES_tradnl"/>
        </w:rPr>
        <w:footnoteReference w:id="3"/>
      </w:r>
      <w:r w:rsidR="00AF7988" w:rsidRPr="005E5FB8">
        <w:rPr>
          <w:rFonts w:ascii="Cambria" w:hAnsi="Cambria"/>
          <w:sz w:val="20"/>
          <w:szCs w:val="20"/>
          <w:lang w:val="es-ES_tradnl"/>
        </w:rPr>
        <w:t xml:space="preserve">. </w:t>
      </w:r>
      <w:r w:rsidRPr="005E5FB8">
        <w:rPr>
          <w:rFonts w:ascii="Cambria" w:hAnsi="Cambria"/>
          <w:sz w:val="20"/>
          <w:szCs w:val="20"/>
          <w:lang w:val="es-ES_tradnl"/>
        </w:rPr>
        <w:t xml:space="preserve">El </w:t>
      </w:r>
      <w:r w:rsidR="005E5FB8" w:rsidRPr="005E5FB8">
        <w:rPr>
          <w:rFonts w:ascii="Cambria" w:hAnsi="Cambria"/>
          <w:sz w:val="20"/>
          <w:szCs w:val="20"/>
          <w:lang w:val="es-ES_tradnl"/>
        </w:rPr>
        <w:t>1</w:t>
      </w:r>
      <w:r w:rsidRPr="005E5FB8">
        <w:rPr>
          <w:rFonts w:ascii="Cambria" w:hAnsi="Cambria"/>
          <w:sz w:val="20"/>
          <w:szCs w:val="20"/>
          <w:lang w:val="es-ES_tradnl"/>
        </w:rPr>
        <w:t xml:space="preserve"> de </w:t>
      </w:r>
      <w:r w:rsidR="005E5FB8" w:rsidRPr="005E5FB8">
        <w:rPr>
          <w:rFonts w:ascii="Cambria" w:hAnsi="Cambria"/>
          <w:sz w:val="20"/>
          <w:szCs w:val="20"/>
          <w:lang w:val="es-ES_tradnl"/>
        </w:rPr>
        <w:t>agosto</w:t>
      </w:r>
      <w:r w:rsidRPr="005E5FB8">
        <w:rPr>
          <w:rFonts w:ascii="Cambria" w:hAnsi="Cambria"/>
          <w:sz w:val="20"/>
          <w:szCs w:val="20"/>
          <w:lang w:val="es-ES_tradnl"/>
        </w:rPr>
        <w:t xml:space="preserve"> de </w:t>
      </w:r>
      <w:r w:rsidR="005E5FB8" w:rsidRPr="005E5FB8">
        <w:rPr>
          <w:rFonts w:ascii="Cambria" w:hAnsi="Cambria"/>
          <w:sz w:val="20"/>
          <w:szCs w:val="20"/>
          <w:lang w:val="es-ES_tradnl"/>
        </w:rPr>
        <w:t>2013</w:t>
      </w:r>
      <w:r w:rsidRPr="005E5FB8">
        <w:rPr>
          <w:rFonts w:ascii="Cambria" w:hAnsi="Cambria"/>
          <w:sz w:val="20"/>
          <w:szCs w:val="20"/>
          <w:lang w:val="es-ES_tradnl"/>
        </w:rPr>
        <w:t xml:space="preserve"> la Comisión notificó dicho informe a las partes y se puso a su disposición a fin de llegar a una solución amistosa. Las </w:t>
      </w:r>
      <w:r w:rsidRPr="00005B72">
        <w:rPr>
          <w:rFonts w:ascii="Cambria" w:hAnsi="Cambria"/>
          <w:sz w:val="20"/>
          <w:szCs w:val="20"/>
          <w:lang w:val="es-ES_tradnl"/>
        </w:rPr>
        <w:t>partes</w:t>
      </w:r>
      <w:r w:rsidRPr="009014A4">
        <w:rPr>
          <w:rFonts w:ascii="Cambria" w:hAnsi="Cambria"/>
          <w:sz w:val="20"/>
          <w:szCs w:val="20"/>
          <w:lang w:val="es-ES_tradnl"/>
        </w:rPr>
        <w:t xml:space="preserve"> contaron con los plazos reglamentarios para presentar sus observaciones adicionales sobre el fondo.</w:t>
      </w:r>
      <w:r w:rsidR="008C3098">
        <w:rPr>
          <w:rFonts w:ascii="Cambria" w:hAnsi="Cambria"/>
          <w:sz w:val="20"/>
          <w:szCs w:val="20"/>
          <w:lang w:val="es-ES_tradnl"/>
        </w:rPr>
        <w:t xml:space="preserve"> </w:t>
      </w:r>
      <w:r w:rsidRPr="009014A4">
        <w:rPr>
          <w:rFonts w:ascii="Cambria" w:hAnsi="Cambria"/>
          <w:sz w:val="20"/>
          <w:szCs w:val="20"/>
          <w:lang w:val="es-ES_tradnl"/>
        </w:rPr>
        <w:t xml:space="preserve">Toda la información recibida fue debidamente trasladada entre las partes. </w:t>
      </w:r>
    </w:p>
    <w:p w14:paraId="769B0BEB" w14:textId="77777777" w:rsidR="00156359" w:rsidRPr="00470D7E" w:rsidRDefault="00156359"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color w:val="000000"/>
          <w:sz w:val="20"/>
          <w:szCs w:val="20"/>
          <w:lang w:val="es-VE"/>
        </w:rPr>
      </w:pPr>
    </w:p>
    <w:p w14:paraId="352539F2" w14:textId="77777777" w:rsidR="00156359" w:rsidRPr="00005B72" w:rsidRDefault="00156359" w:rsidP="00212202">
      <w:pPr>
        <w:pStyle w:val="Heading1"/>
        <w:tabs>
          <w:tab w:val="left" w:pos="360"/>
        </w:tabs>
        <w:ind w:hanging="1080"/>
      </w:pPr>
      <w:bookmarkStart w:id="4" w:name="_Toc15047994"/>
      <w:bookmarkStart w:id="5" w:name="_Toc21442030"/>
      <w:r w:rsidRPr="00005B72">
        <w:t>ALEGATOS DE LAS PARTES</w:t>
      </w:r>
      <w:bookmarkEnd w:id="4"/>
      <w:bookmarkEnd w:id="5"/>
    </w:p>
    <w:p w14:paraId="702CD140" w14:textId="77777777" w:rsidR="00156359" w:rsidRPr="00470D7E" w:rsidRDefault="00156359" w:rsidP="00212202">
      <w:pPr>
        <w:pStyle w:val="MediumGrid1-Accent21"/>
        <w:tabs>
          <w:tab w:val="left" w:pos="360"/>
        </w:tabs>
        <w:suppressAutoHyphens/>
        <w:ind w:left="0"/>
        <w:rPr>
          <w:b/>
          <w:sz w:val="20"/>
          <w:szCs w:val="20"/>
          <w:lang w:val="es-ES_tradnl"/>
        </w:rPr>
      </w:pPr>
    </w:p>
    <w:p w14:paraId="02648A60" w14:textId="77777777" w:rsidR="00156359" w:rsidRPr="00005B72" w:rsidRDefault="00156359" w:rsidP="00212202">
      <w:pPr>
        <w:pStyle w:val="Heading2"/>
        <w:numPr>
          <w:ilvl w:val="0"/>
          <w:numId w:val="62"/>
        </w:numPr>
        <w:tabs>
          <w:tab w:val="left" w:pos="360"/>
        </w:tabs>
        <w:ind w:hanging="720"/>
      </w:pPr>
      <w:bookmarkStart w:id="6" w:name="_Toc15047995"/>
      <w:bookmarkStart w:id="7" w:name="_Toc21442031"/>
      <w:r w:rsidRPr="00005B72">
        <w:t>Parte peticionaria</w:t>
      </w:r>
      <w:bookmarkEnd w:id="6"/>
      <w:bookmarkEnd w:id="7"/>
      <w:r w:rsidRPr="00005B72">
        <w:t xml:space="preserve"> </w:t>
      </w:r>
    </w:p>
    <w:p w14:paraId="661D3DBE" w14:textId="77777777" w:rsidR="00156359" w:rsidRPr="00470D7E" w:rsidRDefault="00156359"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630"/>
        <w:jc w:val="both"/>
        <w:rPr>
          <w:rFonts w:ascii="Cambria" w:hAnsi="Cambria"/>
          <w:color w:val="000000"/>
          <w:sz w:val="20"/>
          <w:szCs w:val="20"/>
          <w:lang w:val="es-VE"/>
        </w:rPr>
      </w:pPr>
    </w:p>
    <w:p w14:paraId="0AD69D10" w14:textId="77777777" w:rsidR="00C53B44" w:rsidRPr="00C53B44" w:rsidRDefault="00A034B4"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VE"/>
        </w:rPr>
      </w:pPr>
      <w:r>
        <w:rPr>
          <w:rFonts w:ascii="Cambria" w:hAnsi="Cambria"/>
          <w:sz w:val="20"/>
          <w:szCs w:val="20"/>
          <w:lang w:val="es-CL"/>
        </w:rPr>
        <w:t>La parte peticionaria alega que el Estado es responsable por la ejecución extrajudicial de</w:t>
      </w:r>
      <w:r w:rsidRPr="00A034B4">
        <w:rPr>
          <w:rFonts w:ascii="Cambria" w:hAnsi="Cambria"/>
          <w:sz w:val="20"/>
          <w:szCs w:val="20"/>
          <w:lang w:val="es-CL"/>
        </w:rPr>
        <w:t xml:space="preserve"> </w:t>
      </w:r>
      <w:r w:rsidRPr="006478E3">
        <w:rPr>
          <w:rFonts w:ascii="Cambria" w:hAnsi="Cambria"/>
          <w:sz w:val="20"/>
          <w:szCs w:val="20"/>
          <w:lang w:val="es-CL"/>
        </w:rPr>
        <w:t>Herminio Deras</w:t>
      </w:r>
      <w:r>
        <w:rPr>
          <w:rFonts w:ascii="Cambria" w:hAnsi="Cambria"/>
          <w:sz w:val="20"/>
          <w:szCs w:val="20"/>
          <w:lang w:val="es-CL"/>
        </w:rPr>
        <w:t xml:space="preserve"> por parte de agentes públic</w:t>
      </w:r>
      <w:r w:rsidR="00C53B44">
        <w:rPr>
          <w:rFonts w:ascii="Cambria" w:hAnsi="Cambria"/>
          <w:sz w:val="20"/>
          <w:szCs w:val="20"/>
          <w:lang w:val="es-CL"/>
        </w:rPr>
        <w:t>o</w:t>
      </w:r>
      <w:r>
        <w:rPr>
          <w:rFonts w:ascii="Cambria" w:hAnsi="Cambria"/>
          <w:sz w:val="20"/>
          <w:szCs w:val="20"/>
          <w:lang w:val="es-CL"/>
        </w:rPr>
        <w:t xml:space="preserve">s en enero de 1983. Sostiene que </w:t>
      </w:r>
      <w:r w:rsidR="00C53B44">
        <w:rPr>
          <w:rFonts w:ascii="Cambria" w:hAnsi="Cambria"/>
          <w:sz w:val="20"/>
          <w:szCs w:val="20"/>
          <w:lang w:val="es-CL"/>
        </w:rPr>
        <w:t>la muerte del señor Deras se dio</w:t>
      </w:r>
      <w:r w:rsidR="00441A7E">
        <w:rPr>
          <w:rFonts w:ascii="Cambria" w:hAnsi="Cambria"/>
          <w:sz w:val="20"/>
          <w:szCs w:val="20"/>
          <w:lang w:val="es-CL"/>
        </w:rPr>
        <w:t xml:space="preserve"> debido a sus labores como </w:t>
      </w:r>
      <w:r w:rsidR="00441A7E">
        <w:rPr>
          <w:rFonts w:ascii="Cambria" w:hAnsi="Cambria"/>
          <w:sz w:val="20"/>
          <w:szCs w:val="20"/>
          <w:lang w:val="es-ES"/>
        </w:rPr>
        <w:t>miembro del Partido Comunista y asesor sindical. Ello</w:t>
      </w:r>
      <w:r>
        <w:rPr>
          <w:rFonts w:ascii="Cambria" w:hAnsi="Cambria"/>
          <w:sz w:val="20"/>
          <w:szCs w:val="20"/>
          <w:lang w:val="es-CL"/>
        </w:rPr>
        <w:t xml:space="preserve"> en el marco de un contexto de persecución</w:t>
      </w:r>
      <w:r w:rsidR="00441A7E">
        <w:rPr>
          <w:rFonts w:ascii="Cambria" w:hAnsi="Cambria"/>
          <w:sz w:val="20"/>
          <w:szCs w:val="20"/>
          <w:lang w:val="es-CL"/>
        </w:rPr>
        <w:t xml:space="preserve"> estatal</w:t>
      </w:r>
      <w:r>
        <w:rPr>
          <w:rFonts w:ascii="Cambria" w:hAnsi="Cambria"/>
          <w:sz w:val="20"/>
          <w:szCs w:val="20"/>
          <w:lang w:val="es-CL"/>
        </w:rPr>
        <w:t xml:space="preserve"> y </w:t>
      </w:r>
      <w:r w:rsidR="00C53B44">
        <w:rPr>
          <w:rFonts w:ascii="Cambria" w:hAnsi="Cambria"/>
          <w:sz w:val="20"/>
          <w:szCs w:val="20"/>
          <w:lang w:val="es-CL"/>
        </w:rPr>
        <w:t xml:space="preserve">de </w:t>
      </w:r>
      <w:r>
        <w:rPr>
          <w:rFonts w:ascii="Cambria" w:hAnsi="Cambria"/>
          <w:sz w:val="20"/>
          <w:szCs w:val="20"/>
          <w:lang w:val="es-CL"/>
        </w:rPr>
        <w:t xml:space="preserve">graves violaciones de derechos humanos, incluyendo ejecuciones extrajudiciales, en contra de </w:t>
      </w:r>
      <w:r w:rsidRPr="006478E3">
        <w:rPr>
          <w:rFonts w:ascii="Cambria" w:hAnsi="Cambria"/>
          <w:sz w:val="20"/>
          <w:szCs w:val="20"/>
          <w:lang w:val="es-CL"/>
        </w:rPr>
        <w:t>dirigentes de organizaciones estudiantiles, sindicales y populares</w:t>
      </w:r>
      <w:r>
        <w:rPr>
          <w:rFonts w:ascii="Cambria" w:hAnsi="Cambria"/>
          <w:sz w:val="20"/>
          <w:szCs w:val="20"/>
          <w:lang w:val="es-CL"/>
        </w:rPr>
        <w:t xml:space="preserve"> identificados como personas opositoras al entonces gobierno.</w:t>
      </w:r>
      <w:r w:rsidR="00C53B44">
        <w:rPr>
          <w:rFonts w:ascii="Cambria" w:hAnsi="Cambria"/>
          <w:sz w:val="20"/>
          <w:szCs w:val="20"/>
          <w:lang w:val="es-CL"/>
        </w:rPr>
        <w:t xml:space="preserve"> </w:t>
      </w:r>
    </w:p>
    <w:p w14:paraId="66541CAB" w14:textId="77777777" w:rsidR="00A034B4" w:rsidRDefault="00C53B44"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VE"/>
        </w:rPr>
      </w:pPr>
      <w:r w:rsidRPr="001368A1">
        <w:rPr>
          <w:rFonts w:ascii="Cambria" w:hAnsi="Cambria"/>
          <w:sz w:val="20"/>
          <w:szCs w:val="20"/>
          <w:lang w:val="es-ES"/>
        </w:rPr>
        <w:t xml:space="preserve"> </w:t>
      </w:r>
    </w:p>
    <w:p w14:paraId="43DCAC41" w14:textId="77777777" w:rsidR="00C53B44" w:rsidRDefault="00C53B44"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CL"/>
        </w:rPr>
      </w:pPr>
      <w:r>
        <w:rPr>
          <w:rFonts w:ascii="Cambria" w:hAnsi="Cambria"/>
          <w:sz w:val="20"/>
          <w:szCs w:val="20"/>
          <w:lang w:val="es-VE"/>
        </w:rPr>
        <w:t>M</w:t>
      </w:r>
      <w:r>
        <w:rPr>
          <w:rFonts w:ascii="Cambria" w:hAnsi="Cambria"/>
          <w:sz w:val="20"/>
          <w:szCs w:val="20"/>
          <w:lang w:val="es-CL"/>
        </w:rPr>
        <w:t>anifesta que el Estado vulneró los derechos a integridad personal y libertad personal del señor Deras en tanto, antes de su asesinato, sufrió detenciones ilegales y arbitrarias, amenazas y golpes por parte de agentes públicos. Agrega que Honduras también violó sus derechos a la libertad de pensamiento y expresión, de reunión y libertad de asociación debido a las labores que realizaba el señor Deras.</w:t>
      </w:r>
      <w:r w:rsidR="00817FAC">
        <w:rPr>
          <w:rFonts w:ascii="Cambria" w:hAnsi="Cambria"/>
          <w:sz w:val="20"/>
          <w:szCs w:val="20"/>
          <w:lang w:val="es-CL"/>
        </w:rPr>
        <w:t xml:space="preserve">  La parte peticionaria indica que el proceso penal tuvo una demora irrazonable y que la representación legal del señor Deras no tuvo acceso al expediente. Añade que la ejecución del señor Deras se mantiene en la impunidad puesto que, a pesar de que existe una condena en contra de un agente militar, ésta no se ha ejecutado. </w:t>
      </w:r>
    </w:p>
    <w:p w14:paraId="03C9152E" w14:textId="77777777" w:rsidR="00C53B44" w:rsidRDefault="00C53B44" w:rsidP="00212202">
      <w:pPr>
        <w:pStyle w:val="ListParagraph"/>
        <w:tabs>
          <w:tab w:val="left" w:pos="360"/>
        </w:tabs>
        <w:rPr>
          <w:rFonts w:ascii="Cambria" w:hAnsi="Cambria"/>
          <w:sz w:val="20"/>
          <w:szCs w:val="20"/>
          <w:lang w:val="es-CL"/>
        </w:rPr>
      </w:pPr>
    </w:p>
    <w:p w14:paraId="543E37D6" w14:textId="77777777" w:rsidR="00DE59CC" w:rsidRPr="00817FAC" w:rsidRDefault="00C53B44"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CL"/>
        </w:rPr>
      </w:pPr>
      <w:r>
        <w:rPr>
          <w:rFonts w:ascii="Cambria" w:hAnsi="Cambria"/>
          <w:sz w:val="20"/>
          <w:szCs w:val="20"/>
          <w:lang w:val="es-CL"/>
        </w:rPr>
        <w:t>A</w:t>
      </w:r>
      <w:r w:rsidR="00817FAC">
        <w:rPr>
          <w:rFonts w:ascii="Cambria" w:hAnsi="Cambria"/>
          <w:sz w:val="20"/>
          <w:szCs w:val="20"/>
          <w:lang w:val="es-CL"/>
        </w:rPr>
        <w:t>dicionalmente</w:t>
      </w:r>
      <w:r>
        <w:rPr>
          <w:rFonts w:ascii="Cambria" w:hAnsi="Cambria"/>
          <w:sz w:val="20"/>
          <w:szCs w:val="20"/>
          <w:lang w:val="es-CL"/>
        </w:rPr>
        <w:t>, la parte peticionaria alega que el Estado vulneró los derechos a la integridad personal</w:t>
      </w:r>
      <w:r w:rsidR="00817FAC">
        <w:rPr>
          <w:rFonts w:ascii="Cambria" w:hAnsi="Cambria"/>
          <w:sz w:val="20"/>
          <w:szCs w:val="20"/>
          <w:lang w:val="es-CL"/>
        </w:rPr>
        <w:t>,</w:t>
      </w:r>
      <w:r>
        <w:rPr>
          <w:rFonts w:ascii="Cambria" w:hAnsi="Cambria"/>
          <w:sz w:val="20"/>
          <w:szCs w:val="20"/>
          <w:lang w:val="es-CL"/>
        </w:rPr>
        <w:t xml:space="preserve"> libertad personal </w:t>
      </w:r>
      <w:r w:rsidR="00817FAC">
        <w:rPr>
          <w:rFonts w:ascii="Cambria" w:hAnsi="Cambria"/>
          <w:sz w:val="20"/>
          <w:szCs w:val="20"/>
          <w:lang w:val="es-CL"/>
        </w:rPr>
        <w:t xml:space="preserve">y vida privada </w:t>
      </w:r>
      <w:r>
        <w:rPr>
          <w:rFonts w:ascii="Cambria" w:hAnsi="Cambria"/>
          <w:sz w:val="20"/>
          <w:szCs w:val="20"/>
          <w:lang w:val="es-CL"/>
        </w:rPr>
        <w:t>de diversos familiares del señor Deras</w:t>
      </w:r>
      <w:r w:rsidR="00817FAC">
        <w:rPr>
          <w:rFonts w:ascii="Cambria" w:hAnsi="Cambria"/>
          <w:sz w:val="20"/>
          <w:szCs w:val="20"/>
          <w:lang w:val="es-CL"/>
        </w:rPr>
        <w:t>, incluyendo a niños</w:t>
      </w:r>
      <w:r w:rsidR="002A41ED">
        <w:rPr>
          <w:rFonts w:ascii="Cambria" w:hAnsi="Cambria"/>
          <w:sz w:val="20"/>
          <w:szCs w:val="20"/>
          <w:lang w:val="es-CL"/>
        </w:rPr>
        <w:t xml:space="preserve"> y niñas</w:t>
      </w:r>
      <w:r>
        <w:rPr>
          <w:rFonts w:ascii="Cambria" w:hAnsi="Cambria"/>
          <w:sz w:val="20"/>
          <w:szCs w:val="20"/>
          <w:lang w:val="es-CL"/>
        </w:rPr>
        <w:t xml:space="preserve">. Ello debido a las detenciones ilegales y arbitrarias, </w:t>
      </w:r>
      <w:r w:rsidR="00DE59CC">
        <w:rPr>
          <w:rFonts w:ascii="Cambria" w:hAnsi="Cambria"/>
          <w:sz w:val="20"/>
          <w:szCs w:val="20"/>
          <w:lang w:val="es-CL"/>
        </w:rPr>
        <w:t>y tratos crueles, inhumanos y degradantes que</w:t>
      </w:r>
      <w:r w:rsidR="001A0370">
        <w:rPr>
          <w:rFonts w:ascii="Cambria" w:hAnsi="Cambria"/>
          <w:sz w:val="20"/>
          <w:szCs w:val="20"/>
          <w:lang w:val="es-CL"/>
        </w:rPr>
        <w:t xml:space="preserve"> habrían </w:t>
      </w:r>
      <w:r w:rsidR="00DE59CC">
        <w:rPr>
          <w:rFonts w:ascii="Cambria" w:hAnsi="Cambria"/>
          <w:sz w:val="20"/>
          <w:szCs w:val="20"/>
          <w:lang w:val="es-CL"/>
        </w:rPr>
        <w:t>sufri</w:t>
      </w:r>
      <w:r w:rsidR="001A0370">
        <w:rPr>
          <w:rFonts w:ascii="Cambria" w:hAnsi="Cambria"/>
          <w:sz w:val="20"/>
          <w:szCs w:val="20"/>
          <w:lang w:val="es-CL"/>
        </w:rPr>
        <w:t>do</w:t>
      </w:r>
      <w:r w:rsidR="00DE59CC">
        <w:rPr>
          <w:rFonts w:ascii="Cambria" w:hAnsi="Cambria"/>
          <w:sz w:val="20"/>
          <w:szCs w:val="20"/>
          <w:lang w:val="es-CL"/>
        </w:rPr>
        <w:t xml:space="preserve"> por parte de agentes públicos. </w:t>
      </w:r>
      <w:r w:rsidR="00DE59CC" w:rsidRPr="00817FAC">
        <w:rPr>
          <w:rFonts w:ascii="Cambria" w:hAnsi="Cambria"/>
          <w:sz w:val="20"/>
          <w:szCs w:val="20"/>
          <w:lang w:val="es-CL"/>
        </w:rPr>
        <w:t xml:space="preserve">También sostiene que se </w:t>
      </w:r>
      <w:r w:rsidR="00817FAC" w:rsidRPr="00817FAC">
        <w:rPr>
          <w:rFonts w:ascii="Cambria" w:hAnsi="Cambria"/>
          <w:sz w:val="20"/>
          <w:szCs w:val="20"/>
          <w:lang w:val="es-CL"/>
        </w:rPr>
        <w:t>violó el derecho a la familia del señor Deras debido a su desintegración producto de los hechos mencionados. Alega que el Estado vulneró el derecho de circulación y residencia de dos hermanos del señor Deras. Ello debido a que se vieron obligados a exiliarse del país por la persecución que sufrían.</w:t>
      </w:r>
      <w:r w:rsidR="00817FAC">
        <w:rPr>
          <w:rFonts w:ascii="Cambria" w:hAnsi="Cambria"/>
          <w:sz w:val="20"/>
          <w:szCs w:val="20"/>
          <w:lang w:val="es-CL"/>
        </w:rPr>
        <w:t xml:space="preserve"> La parte peticionaria manifiesta que a pesar de denunciar estos hechos, el Estado nunca realizó las investigaciones correspondientes para esclarecer lo sucedido e identificar a las personas responsables.</w:t>
      </w:r>
    </w:p>
    <w:p w14:paraId="71F0FA6F" w14:textId="77777777" w:rsidR="00275A41" w:rsidRPr="00470D7E" w:rsidRDefault="00275A41"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jc w:val="both"/>
        <w:rPr>
          <w:rFonts w:ascii="Cambria" w:hAnsi="Cambria"/>
          <w:color w:val="548DD4"/>
          <w:sz w:val="20"/>
          <w:szCs w:val="20"/>
          <w:lang w:val="es-CL"/>
        </w:rPr>
      </w:pPr>
    </w:p>
    <w:p w14:paraId="44C47188" w14:textId="77777777" w:rsidR="00D12193" w:rsidRPr="00005B72" w:rsidRDefault="0022273F" w:rsidP="00212202">
      <w:pPr>
        <w:pStyle w:val="Heading2"/>
        <w:numPr>
          <w:ilvl w:val="0"/>
          <w:numId w:val="62"/>
        </w:numPr>
        <w:tabs>
          <w:tab w:val="left" w:pos="360"/>
        </w:tabs>
        <w:ind w:hanging="720"/>
      </w:pPr>
      <w:bookmarkStart w:id="8" w:name="_Toc15047996"/>
      <w:bookmarkStart w:id="9" w:name="_Toc21442032"/>
      <w:r w:rsidRPr="00005B72">
        <w:t>Estado</w:t>
      </w:r>
      <w:bookmarkEnd w:id="8"/>
      <w:bookmarkEnd w:id="9"/>
      <w:r w:rsidR="00CC63CF" w:rsidRPr="00005B72">
        <w:t xml:space="preserve"> </w:t>
      </w:r>
    </w:p>
    <w:p w14:paraId="3F4435F7" w14:textId="77777777" w:rsidR="008620C6" w:rsidRDefault="008620C6"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AR"/>
        </w:rPr>
      </w:pPr>
    </w:p>
    <w:p w14:paraId="36D70A1D" w14:textId="77777777" w:rsidR="00B21C35" w:rsidRDefault="00224A3B"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AR"/>
        </w:rPr>
      </w:pPr>
      <w:r>
        <w:rPr>
          <w:rFonts w:ascii="Cambria" w:hAnsi="Cambria"/>
          <w:sz w:val="20"/>
          <w:szCs w:val="20"/>
          <w:lang w:val="es-AR"/>
        </w:rPr>
        <w:t xml:space="preserve">Sobre la muerte del señor Deras, </w:t>
      </w:r>
      <w:r w:rsidR="0062582B">
        <w:rPr>
          <w:rFonts w:ascii="Cambria" w:hAnsi="Cambria"/>
          <w:sz w:val="20"/>
          <w:szCs w:val="20"/>
          <w:lang w:val="es-AR"/>
        </w:rPr>
        <w:t xml:space="preserve">Honduras sostiene </w:t>
      </w:r>
      <w:r w:rsidR="00B21C35">
        <w:rPr>
          <w:rFonts w:ascii="Cambria" w:hAnsi="Cambria"/>
          <w:sz w:val="20"/>
          <w:szCs w:val="20"/>
          <w:lang w:val="es-AR"/>
        </w:rPr>
        <w:t xml:space="preserve">alega que se iniciaron las investigaciones respectivas a efectos de esclarecer lo sucedido e identificar a las personas responsables. Indica que el proceso penal cumplió con las debidas garantías y que se condenó a un agente militar por el delito de asesinato a 12 años de prisión. Resalta que dicha sentencia condenatoria no ha podido ser ejecutada debido a que no se ha podido </w:t>
      </w:r>
      <w:r w:rsidR="00B21C35">
        <w:rPr>
          <w:rFonts w:ascii="Cambria" w:hAnsi="Cambria"/>
          <w:sz w:val="20"/>
          <w:szCs w:val="20"/>
          <w:lang w:val="es-AR"/>
        </w:rPr>
        <w:lastRenderedPageBreak/>
        <w:t>localizar a dicha persona. Agrega que la investigación seguida en contra de otros dos agentes estatales está pendiente puesto que éstos se encuentran prófugos.</w:t>
      </w:r>
    </w:p>
    <w:p w14:paraId="72ABDC04" w14:textId="77777777" w:rsidR="00B21C35" w:rsidRDefault="00B21C35"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hAnsi="Cambria"/>
          <w:sz w:val="20"/>
          <w:szCs w:val="20"/>
          <w:lang w:val="es-AR"/>
        </w:rPr>
      </w:pPr>
    </w:p>
    <w:p w14:paraId="46246B5B" w14:textId="77777777" w:rsidR="00B21C35" w:rsidRDefault="00B21C35"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Cambria" w:hAnsi="Cambria"/>
          <w:sz w:val="20"/>
          <w:szCs w:val="20"/>
          <w:lang w:val="es-AR"/>
        </w:rPr>
      </w:pPr>
      <w:r>
        <w:rPr>
          <w:rFonts w:ascii="Cambria" w:hAnsi="Cambria"/>
          <w:sz w:val="20"/>
          <w:szCs w:val="20"/>
          <w:lang w:val="es-AR"/>
        </w:rPr>
        <w:t>La Comisión toma nota de que en su</w:t>
      </w:r>
      <w:r w:rsidR="008B5862">
        <w:rPr>
          <w:rFonts w:ascii="Cambria" w:hAnsi="Cambria"/>
          <w:sz w:val="20"/>
          <w:szCs w:val="20"/>
          <w:lang w:val="es-AR"/>
        </w:rPr>
        <w:t xml:space="preserve"> escrito de 7 de junio de 2010, el Estado hondureño, a través d</w:t>
      </w:r>
      <w:r>
        <w:rPr>
          <w:rFonts w:ascii="Cambria" w:hAnsi="Cambria"/>
          <w:sz w:val="20"/>
          <w:szCs w:val="20"/>
          <w:lang w:val="es-AR"/>
        </w:rPr>
        <w:t>el Presidente de la Corte de Justicia de Honduras</w:t>
      </w:r>
      <w:r w:rsidR="008B5862">
        <w:rPr>
          <w:rFonts w:ascii="Cambria" w:hAnsi="Cambria"/>
          <w:sz w:val="20"/>
          <w:szCs w:val="20"/>
          <w:lang w:val="es-AR"/>
        </w:rPr>
        <w:t>,</w:t>
      </w:r>
      <w:r>
        <w:rPr>
          <w:rFonts w:ascii="Cambria" w:hAnsi="Cambria"/>
          <w:sz w:val="20"/>
          <w:szCs w:val="20"/>
          <w:lang w:val="es-AR"/>
        </w:rPr>
        <w:t xml:space="preserve"> </w:t>
      </w:r>
      <w:r w:rsidRPr="00A210F9">
        <w:rPr>
          <w:rFonts w:ascii="Cambria" w:hAnsi="Cambria"/>
          <w:sz w:val="20"/>
          <w:szCs w:val="20"/>
          <w:lang w:val="es-AR"/>
        </w:rPr>
        <w:t>adjuntó un informe</w:t>
      </w:r>
      <w:r>
        <w:rPr>
          <w:rFonts w:ascii="Cambria" w:hAnsi="Cambria"/>
          <w:sz w:val="20"/>
          <w:szCs w:val="20"/>
          <w:lang w:val="es-AR"/>
        </w:rPr>
        <w:t xml:space="preserve"> en donde reconoció lo siguiente: </w:t>
      </w:r>
    </w:p>
    <w:p w14:paraId="7E375D18" w14:textId="77777777" w:rsidR="00B21C35" w:rsidRDefault="00B21C35" w:rsidP="00212202">
      <w:pPr>
        <w:pStyle w:val="ListParagraph"/>
        <w:tabs>
          <w:tab w:val="left" w:pos="360"/>
        </w:tabs>
        <w:rPr>
          <w:rFonts w:ascii="Cambria" w:hAnsi="Cambria"/>
          <w:sz w:val="20"/>
          <w:szCs w:val="20"/>
          <w:lang w:val="es-AR"/>
        </w:rPr>
      </w:pPr>
    </w:p>
    <w:p w14:paraId="2CFB5629" w14:textId="77777777" w:rsidR="00B21C35" w:rsidRDefault="00B21C35" w:rsidP="00212202">
      <w:pPr>
        <w:pStyle w:val="ListParagraph"/>
        <w:tabs>
          <w:tab w:val="left" w:pos="360"/>
        </w:tabs>
        <w:ind w:left="360" w:right="360"/>
        <w:jc w:val="both"/>
        <w:rPr>
          <w:rFonts w:ascii="Cambria" w:hAnsi="Cambria"/>
          <w:snapToGrid w:val="0"/>
          <w:sz w:val="18"/>
          <w:szCs w:val="18"/>
          <w:lang w:val="es-ES"/>
        </w:rPr>
      </w:pPr>
      <w:r>
        <w:rPr>
          <w:rFonts w:ascii="Cambria" w:hAnsi="Cambria"/>
          <w:snapToGrid w:val="0"/>
          <w:sz w:val="18"/>
          <w:szCs w:val="18"/>
          <w:lang w:val="es-ES"/>
        </w:rPr>
        <w:t>[S]í hubo excesos a los plazos razonables, debido a prolongados períodos de inactividad dentro de la tramitación de la causa por las autoridades judiciales, desde 1983 fecha en que sucedió el hecho h</w:t>
      </w:r>
      <w:r w:rsidR="00435C37">
        <w:rPr>
          <w:rFonts w:ascii="Cambria" w:hAnsi="Cambria"/>
          <w:snapToGrid w:val="0"/>
          <w:sz w:val="18"/>
          <w:szCs w:val="18"/>
          <w:lang w:val="es-ES"/>
        </w:rPr>
        <w:t>a</w:t>
      </w:r>
      <w:r>
        <w:rPr>
          <w:rFonts w:ascii="Cambria" w:hAnsi="Cambria"/>
          <w:snapToGrid w:val="0"/>
          <w:sz w:val="18"/>
          <w:szCs w:val="18"/>
          <w:lang w:val="es-ES"/>
        </w:rPr>
        <w:t>sta el año 2007 en que se agota la última instancia, transcurrieron 24 año</w:t>
      </w:r>
      <w:r w:rsidR="00435C37">
        <w:rPr>
          <w:rFonts w:ascii="Cambria" w:hAnsi="Cambria"/>
          <w:snapToGrid w:val="0"/>
          <w:sz w:val="18"/>
          <w:szCs w:val="18"/>
          <w:lang w:val="es-ES"/>
        </w:rPr>
        <w:t xml:space="preserve">s. </w:t>
      </w:r>
    </w:p>
    <w:p w14:paraId="412520DC" w14:textId="77777777" w:rsidR="00435C37" w:rsidRDefault="00435C37" w:rsidP="00212202">
      <w:pPr>
        <w:pStyle w:val="ListParagraph"/>
        <w:tabs>
          <w:tab w:val="left" w:pos="360"/>
        </w:tabs>
        <w:ind w:left="360" w:right="360"/>
        <w:jc w:val="both"/>
        <w:rPr>
          <w:rFonts w:ascii="Cambria" w:hAnsi="Cambria"/>
          <w:snapToGrid w:val="0"/>
          <w:sz w:val="18"/>
          <w:szCs w:val="18"/>
          <w:lang w:val="es-ES"/>
        </w:rPr>
      </w:pPr>
      <w:r>
        <w:rPr>
          <w:rFonts w:ascii="Cambria" w:hAnsi="Cambria"/>
          <w:snapToGrid w:val="0"/>
          <w:sz w:val="18"/>
          <w:szCs w:val="18"/>
          <w:lang w:val="es-ES"/>
        </w:rPr>
        <w:t>(…)</w:t>
      </w:r>
    </w:p>
    <w:p w14:paraId="486A7A14" w14:textId="77777777" w:rsidR="00435C37" w:rsidRPr="00435C37" w:rsidRDefault="00435C37" w:rsidP="00212202">
      <w:pPr>
        <w:pStyle w:val="ListParagraph"/>
        <w:tabs>
          <w:tab w:val="left" w:pos="360"/>
        </w:tabs>
        <w:ind w:left="360" w:right="360"/>
        <w:jc w:val="both"/>
        <w:rPr>
          <w:rFonts w:ascii="Cambria" w:hAnsi="Cambria"/>
          <w:sz w:val="18"/>
          <w:szCs w:val="18"/>
          <w:lang w:val="es-AR"/>
        </w:rPr>
      </w:pPr>
      <w:r w:rsidRPr="00435C37">
        <w:rPr>
          <w:rFonts w:ascii="Cambria" w:hAnsi="Cambria"/>
          <w:snapToGrid w:val="0"/>
          <w:sz w:val="18"/>
          <w:szCs w:val="18"/>
          <w:lang w:val="es-ES"/>
        </w:rPr>
        <w:t>Del examen del expediente (…) apreciando las declaraciones testificales, documentales, así como de la lectura de la respectiva sentencia firm</w:t>
      </w:r>
      <w:r w:rsidR="00051F01">
        <w:rPr>
          <w:rFonts w:ascii="Cambria" w:hAnsi="Cambria"/>
          <w:snapToGrid w:val="0"/>
          <w:sz w:val="18"/>
          <w:szCs w:val="18"/>
          <w:lang w:val="es-ES"/>
        </w:rPr>
        <w:t>e</w:t>
      </w:r>
      <w:r w:rsidRPr="00435C37">
        <w:rPr>
          <w:rFonts w:ascii="Cambria" w:hAnsi="Cambria"/>
          <w:snapToGrid w:val="0"/>
          <w:sz w:val="18"/>
          <w:szCs w:val="18"/>
          <w:lang w:val="es-ES"/>
        </w:rPr>
        <w:t xml:space="preserve">, la privación del derecho a la vida </w:t>
      </w:r>
      <w:r w:rsidRPr="00435C37">
        <w:rPr>
          <w:rFonts w:ascii="Cambria" w:hAnsi="Cambria"/>
          <w:sz w:val="18"/>
          <w:szCs w:val="18"/>
          <w:lang w:val="es-AR"/>
        </w:rPr>
        <w:t>del señor Herminio Deras  por el señor Marco Tulio Regalado Hernández, en su condición de agente del Estado como Miembro de las Fuerzas Armadas y del Escuadrón 3-16, constituye un hecho probado contra el Estado de Honduras (…).</w:t>
      </w:r>
    </w:p>
    <w:p w14:paraId="37DA2928" w14:textId="77777777" w:rsidR="00435C37" w:rsidRPr="00435C37" w:rsidRDefault="00435C37" w:rsidP="00212202">
      <w:pPr>
        <w:pStyle w:val="ListParagraph"/>
        <w:tabs>
          <w:tab w:val="left" w:pos="360"/>
        </w:tabs>
        <w:ind w:left="360" w:right="360"/>
        <w:jc w:val="both"/>
        <w:rPr>
          <w:rFonts w:ascii="Cambria" w:hAnsi="Cambria"/>
          <w:sz w:val="18"/>
          <w:szCs w:val="18"/>
          <w:lang w:val="es-AR"/>
        </w:rPr>
      </w:pPr>
      <w:r w:rsidRPr="00435C37">
        <w:rPr>
          <w:rFonts w:ascii="Cambria" w:hAnsi="Cambria"/>
          <w:sz w:val="18"/>
          <w:szCs w:val="18"/>
          <w:lang w:val="es-AR"/>
        </w:rPr>
        <w:t>[C]onstituye hecho probado que el señor Herminio Deras fue objeto de limitaciones para ejercer su derecho a la libertad de Asociación del cual hacía uso por haber pertenecido  a la Diligencia Sindical y Miembro del Partido Comunista de Honduras.</w:t>
      </w:r>
    </w:p>
    <w:p w14:paraId="4769BFD8" w14:textId="77777777" w:rsidR="00435C37" w:rsidRPr="00435C37" w:rsidRDefault="00435C37" w:rsidP="00212202">
      <w:pPr>
        <w:pStyle w:val="ListParagraph"/>
        <w:tabs>
          <w:tab w:val="left" w:pos="360"/>
        </w:tabs>
        <w:ind w:left="360" w:right="360"/>
        <w:jc w:val="both"/>
        <w:rPr>
          <w:rFonts w:ascii="Cambria" w:hAnsi="Cambria"/>
          <w:sz w:val="18"/>
          <w:szCs w:val="18"/>
          <w:lang w:val="es-AR"/>
        </w:rPr>
      </w:pPr>
      <w:r w:rsidRPr="00435C37">
        <w:rPr>
          <w:rFonts w:ascii="Cambria" w:hAnsi="Cambria"/>
          <w:sz w:val="18"/>
          <w:szCs w:val="18"/>
          <w:lang w:val="es-AR"/>
        </w:rPr>
        <w:t>(…)</w:t>
      </w:r>
    </w:p>
    <w:p w14:paraId="3EF192EB" w14:textId="77777777" w:rsidR="00B21C35" w:rsidRPr="00435C37" w:rsidRDefault="00435C37" w:rsidP="00212202">
      <w:pPr>
        <w:pStyle w:val="ListParagraph"/>
        <w:tabs>
          <w:tab w:val="left" w:pos="360"/>
        </w:tabs>
        <w:ind w:left="360" w:right="360"/>
        <w:jc w:val="both"/>
        <w:rPr>
          <w:rFonts w:ascii="Cambria" w:hAnsi="Cambria"/>
          <w:sz w:val="18"/>
          <w:szCs w:val="18"/>
          <w:lang w:val="es-AR"/>
        </w:rPr>
      </w:pPr>
      <w:r w:rsidRPr="00435C37">
        <w:rPr>
          <w:rFonts w:ascii="Cambria" w:hAnsi="Cambria"/>
          <w:sz w:val="18"/>
          <w:szCs w:val="18"/>
          <w:lang w:val="es-AR"/>
        </w:rPr>
        <w:t>[C]onstituye hecho probado que el señor Herminio Deras fue objeto de limitaciones para ejercer su derecho a la libertad de expresión por parte de las personas que actuaban en su condición de agentes del Estado de Honduras, entre ellos el señor M</w:t>
      </w:r>
      <w:r>
        <w:rPr>
          <w:rFonts w:ascii="Cambria" w:hAnsi="Cambria"/>
          <w:sz w:val="18"/>
          <w:szCs w:val="18"/>
          <w:lang w:val="es-AR"/>
        </w:rPr>
        <w:t xml:space="preserve">arco Tulio Regalado Hernández, </w:t>
      </w:r>
      <w:r w:rsidRPr="00435C37">
        <w:rPr>
          <w:rFonts w:ascii="Cambria" w:hAnsi="Cambria"/>
          <w:sz w:val="18"/>
          <w:szCs w:val="18"/>
          <w:lang w:val="es-AR"/>
        </w:rPr>
        <w:t>durante la década de los años 80 al 90</w:t>
      </w:r>
      <w:r>
        <w:rPr>
          <w:rFonts w:ascii="Cambria" w:hAnsi="Cambria"/>
          <w:sz w:val="18"/>
          <w:szCs w:val="18"/>
          <w:lang w:val="es-AR"/>
        </w:rPr>
        <w:t>.</w:t>
      </w:r>
    </w:p>
    <w:p w14:paraId="549E05DB" w14:textId="77777777" w:rsidR="0062582B" w:rsidRPr="003A651A" w:rsidRDefault="0062582B" w:rsidP="005332DA">
      <w:pPr>
        <w:rPr>
          <w:rFonts w:ascii="Cambria" w:hAnsi="Cambria"/>
          <w:color w:val="FF0000"/>
          <w:sz w:val="20"/>
          <w:szCs w:val="20"/>
          <w:lang w:val="es-AR"/>
        </w:rPr>
      </w:pPr>
    </w:p>
    <w:p w14:paraId="4D537D25" w14:textId="77777777" w:rsidR="00D12193" w:rsidRPr="00DD7055" w:rsidRDefault="00D12193" w:rsidP="00212202">
      <w:pPr>
        <w:pStyle w:val="Heading1"/>
        <w:tabs>
          <w:tab w:val="left" w:pos="360"/>
        </w:tabs>
        <w:ind w:hanging="1080"/>
      </w:pPr>
      <w:bookmarkStart w:id="10" w:name="_Toc15047997"/>
      <w:bookmarkStart w:id="11" w:name="_Toc21442033"/>
      <w:r w:rsidRPr="00DD7055">
        <w:t>DETERMINACIONES DE HECHO</w:t>
      </w:r>
      <w:bookmarkEnd w:id="10"/>
      <w:bookmarkEnd w:id="11"/>
    </w:p>
    <w:p w14:paraId="16F4E570" w14:textId="77777777" w:rsidR="007C756A" w:rsidRPr="003A651A" w:rsidRDefault="007C756A" w:rsidP="00212202">
      <w:pPr>
        <w:tabs>
          <w:tab w:val="left" w:pos="360"/>
        </w:tabs>
        <w:ind w:hanging="1080"/>
        <w:rPr>
          <w:rFonts w:ascii="Cambria" w:hAnsi="Cambria"/>
          <w:b/>
          <w:sz w:val="20"/>
          <w:szCs w:val="20"/>
          <w:lang w:val="es-ES_tradnl"/>
        </w:rPr>
      </w:pPr>
    </w:p>
    <w:p w14:paraId="4C12A9DE" w14:textId="77777777" w:rsidR="00815021" w:rsidRPr="00DD7055" w:rsidRDefault="0022273F" w:rsidP="00212202">
      <w:pPr>
        <w:pStyle w:val="Heading2"/>
        <w:numPr>
          <w:ilvl w:val="0"/>
          <w:numId w:val="61"/>
        </w:numPr>
        <w:tabs>
          <w:tab w:val="left" w:pos="360"/>
        </w:tabs>
        <w:ind w:hanging="720"/>
      </w:pPr>
      <w:bookmarkStart w:id="12" w:name="_Toc15047998"/>
      <w:bookmarkStart w:id="13" w:name="_Toc21442034"/>
      <w:r w:rsidRPr="00DD7055">
        <w:t>Contexto</w:t>
      </w:r>
      <w:bookmarkEnd w:id="12"/>
      <w:bookmarkEnd w:id="13"/>
    </w:p>
    <w:p w14:paraId="030B7BA0" w14:textId="77777777" w:rsidR="007C756A" w:rsidRPr="003A651A" w:rsidRDefault="007C756A" w:rsidP="00212202">
      <w:pPr>
        <w:tabs>
          <w:tab w:val="left" w:pos="360"/>
        </w:tabs>
        <w:suppressAutoHyphens/>
        <w:rPr>
          <w:rFonts w:ascii="Cambria" w:hAnsi="Cambria"/>
          <w:b/>
          <w:sz w:val="20"/>
          <w:szCs w:val="20"/>
          <w:lang w:val="es-ES_tradnl"/>
        </w:rPr>
      </w:pPr>
    </w:p>
    <w:p w14:paraId="6A9251A9" w14:textId="77777777" w:rsidR="008B05A4" w:rsidRPr="008B05A4" w:rsidRDefault="00281B6A"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CL"/>
        </w:rPr>
      </w:pPr>
      <w:r>
        <w:rPr>
          <w:rFonts w:ascii="Cambria" w:hAnsi="Cambria"/>
          <w:sz w:val="20"/>
          <w:szCs w:val="20"/>
          <w:lang w:val="es-VE"/>
        </w:rPr>
        <w:t>Los órganos del sistema interamericano</w:t>
      </w:r>
      <w:r w:rsidR="00383350">
        <w:rPr>
          <w:rFonts w:ascii="Cambria" w:hAnsi="Cambria"/>
          <w:sz w:val="20"/>
          <w:szCs w:val="20"/>
          <w:lang w:val="es-VE"/>
        </w:rPr>
        <w:t xml:space="preserve"> se han pronunciado sobre </w:t>
      </w:r>
      <w:r>
        <w:rPr>
          <w:rFonts w:ascii="Cambria" w:hAnsi="Cambria"/>
          <w:sz w:val="20"/>
          <w:szCs w:val="20"/>
          <w:lang w:val="es-VE"/>
        </w:rPr>
        <w:t>el contexto</w:t>
      </w:r>
      <w:r w:rsidR="00383350">
        <w:rPr>
          <w:rFonts w:ascii="Cambria" w:hAnsi="Cambria"/>
          <w:sz w:val="20"/>
          <w:szCs w:val="20"/>
          <w:lang w:val="es-VE"/>
        </w:rPr>
        <w:t xml:space="preserve"> </w:t>
      </w:r>
      <w:r>
        <w:rPr>
          <w:rFonts w:ascii="Cambria" w:hAnsi="Cambria"/>
          <w:sz w:val="20"/>
          <w:szCs w:val="20"/>
          <w:lang w:val="es-VE"/>
        </w:rPr>
        <w:t>de graves violaciones de derechos humanos ocurridas en e</w:t>
      </w:r>
      <w:r w:rsidR="00383350">
        <w:rPr>
          <w:rFonts w:ascii="Cambria" w:hAnsi="Cambria"/>
          <w:sz w:val="20"/>
          <w:szCs w:val="20"/>
          <w:lang w:val="es-VE"/>
        </w:rPr>
        <w:t>l Estado hondureño durante la década de 1980</w:t>
      </w:r>
      <w:r>
        <w:rPr>
          <w:rStyle w:val="FootnoteReference"/>
          <w:rFonts w:ascii="Cambria" w:hAnsi="Cambria"/>
          <w:sz w:val="20"/>
          <w:szCs w:val="20"/>
          <w:lang w:val="es-VE"/>
        </w:rPr>
        <w:footnoteReference w:id="4"/>
      </w:r>
      <w:r>
        <w:rPr>
          <w:rFonts w:ascii="Cambria" w:hAnsi="Cambria"/>
          <w:sz w:val="20"/>
          <w:szCs w:val="20"/>
          <w:lang w:val="es-VE"/>
        </w:rPr>
        <w:t xml:space="preserve">. Al respecto, la Corte </w:t>
      </w:r>
      <w:r w:rsidR="001818CB">
        <w:rPr>
          <w:rFonts w:ascii="Cambria" w:hAnsi="Cambria"/>
          <w:sz w:val="20"/>
          <w:szCs w:val="20"/>
          <w:lang w:val="es-VE"/>
        </w:rPr>
        <w:t xml:space="preserve">Interamericana </w:t>
      </w:r>
      <w:r>
        <w:rPr>
          <w:rFonts w:ascii="Cambria" w:hAnsi="Cambria"/>
          <w:sz w:val="20"/>
          <w:szCs w:val="20"/>
          <w:lang w:val="es-VE"/>
        </w:rPr>
        <w:t>sostuvo lo siguiente:</w:t>
      </w:r>
      <w:r w:rsidR="00383350">
        <w:rPr>
          <w:rFonts w:ascii="Cambria" w:hAnsi="Cambria"/>
          <w:sz w:val="20"/>
          <w:szCs w:val="20"/>
          <w:lang w:val="es-VE"/>
        </w:rPr>
        <w:t xml:space="preserve"> </w:t>
      </w:r>
    </w:p>
    <w:p w14:paraId="0A53A481" w14:textId="77777777" w:rsidR="008B05A4" w:rsidRDefault="008B05A4"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CL"/>
        </w:rPr>
      </w:pPr>
    </w:p>
    <w:p w14:paraId="45DAA6C1" w14:textId="77777777" w:rsidR="00383350" w:rsidRPr="00A21666" w:rsidRDefault="00383350" w:rsidP="00212202">
      <w:pPr>
        <w:pStyle w:val="ListParagraph"/>
        <w:tabs>
          <w:tab w:val="left" w:pos="360"/>
        </w:tabs>
        <w:ind w:left="360" w:right="360"/>
        <w:jc w:val="both"/>
        <w:rPr>
          <w:rFonts w:ascii="Cambria" w:hAnsi="Cambria"/>
          <w:sz w:val="18"/>
          <w:szCs w:val="18"/>
          <w:lang w:val="es-ES"/>
        </w:rPr>
      </w:pPr>
      <w:r w:rsidRPr="00A21666">
        <w:rPr>
          <w:rFonts w:ascii="Cambria" w:hAnsi="Cambria"/>
          <w:sz w:val="18"/>
          <w:szCs w:val="18"/>
          <w:lang w:val="es-ES"/>
        </w:rPr>
        <w:t xml:space="preserve">En </w:t>
      </w:r>
      <w:r w:rsidRPr="00212202">
        <w:rPr>
          <w:rFonts w:ascii="Cambria" w:hAnsi="Cambria"/>
          <w:snapToGrid w:val="0"/>
          <w:sz w:val="18"/>
          <w:szCs w:val="18"/>
          <w:lang w:val="es-ES"/>
        </w:rPr>
        <w:t>Honduras</w:t>
      </w:r>
      <w:r w:rsidRPr="00A21666">
        <w:rPr>
          <w:rFonts w:ascii="Cambria" w:hAnsi="Cambria"/>
          <w:sz w:val="18"/>
          <w:szCs w:val="18"/>
          <w:lang w:val="es-ES"/>
        </w:rPr>
        <w:t xml:space="preserve"> existía un patrón de desapariciones forzadas y ejecuciones extrajudiciales cometidas por las fuerzas militares. Éstas tenían un estatus especial de autonomía y actuaban bajo cierta doctrina de seguridad nacional, en razón de la cual éstas capturaban a las personas “peligrosas” o “sospechosas” de ser presuntos subversivos hondureños, simpatizantes de la guerrilla salvadoreña o de los sandinistas. Usualmente estas personas eran detenidas en horas de la noche, interrogadas, torturadas y se les daba un tiro de gracia, y se les enterraba en cementerios clandestinos o en sitios no autorizados. A su vez, las fuerzas militares controlaban a las fuerzas policíacas y los jueces se sentían intimidados de investigar efectivamente las causas penales, donde se denunciaban violaciones de derechos humanos por parte de las fuerzas armadas, creándose un clima de impunidad</w:t>
      </w:r>
      <w:r w:rsidR="00281B6A" w:rsidRPr="00A21666">
        <w:rPr>
          <w:rStyle w:val="FootnoteReference"/>
          <w:rFonts w:ascii="Cambria" w:hAnsi="Cambria"/>
          <w:sz w:val="18"/>
          <w:szCs w:val="18"/>
          <w:lang w:val="es-ES"/>
        </w:rPr>
        <w:footnoteReference w:id="5"/>
      </w:r>
      <w:r w:rsidRPr="00A21666">
        <w:rPr>
          <w:rFonts w:ascii="Cambria" w:hAnsi="Cambria"/>
          <w:sz w:val="18"/>
          <w:szCs w:val="18"/>
          <w:lang w:val="es-ES"/>
        </w:rPr>
        <w:t>.</w:t>
      </w:r>
    </w:p>
    <w:p w14:paraId="703C154C" w14:textId="77777777" w:rsidR="00383350" w:rsidRPr="008B05A4" w:rsidRDefault="00383350"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CL"/>
        </w:rPr>
      </w:pPr>
    </w:p>
    <w:p w14:paraId="4C0A06FC" w14:textId="77777777" w:rsidR="008B05A4" w:rsidRPr="00281B6A" w:rsidRDefault="00383350"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ind w:left="0" w:firstLine="0"/>
        <w:jc w:val="both"/>
        <w:rPr>
          <w:rFonts w:ascii="Cambria" w:hAnsi="Cambria"/>
          <w:sz w:val="20"/>
          <w:szCs w:val="20"/>
          <w:lang w:val="es-CL"/>
        </w:rPr>
      </w:pPr>
      <w:r>
        <w:rPr>
          <w:rFonts w:ascii="Cambria" w:hAnsi="Cambria"/>
          <w:sz w:val="20"/>
          <w:szCs w:val="20"/>
          <w:lang w:val="es-CL"/>
        </w:rPr>
        <w:t xml:space="preserve">Dicho contexto ha sido también descrito a nivel doméstico. </w:t>
      </w:r>
      <w:r w:rsidR="008B05A4" w:rsidRPr="00281B6A">
        <w:rPr>
          <w:rFonts w:ascii="Cambria" w:hAnsi="Cambria"/>
          <w:sz w:val="20"/>
          <w:szCs w:val="20"/>
          <w:lang w:val="es-CL"/>
        </w:rPr>
        <w:t xml:space="preserve">En el informe de la Comisión de la Verdad y Reconciliación de julio de 2011 se indicó lo siguiente: </w:t>
      </w:r>
    </w:p>
    <w:p w14:paraId="37BACD7C" w14:textId="77777777" w:rsidR="008B05A4" w:rsidRDefault="008B05A4" w:rsidP="00212202">
      <w:pPr>
        <w:pStyle w:val="ListParagraph"/>
        <w:tabs>
          <w:tab w:val="left" w:pos="360"/>
        </w:tabs>
        <w:rPr>
          <w:rFonts w:ascii="Cambria" w:hAnsi="Cambria"/>
          <w:sz w:val="20"/>
          <w:szCs w:val="20"/>
          <w:lang w:val="es-CL"/>
        </w:rPr>
      </w:pPr>
    </w:p>
    <w:p w14:paraId="1469E305" w14:textId="77777777" w:rsidR="008B05A4" w:rsidRPr="00A21666" w:rsidRDefault="008B05A4" w:rsidP="00212202">
      <w:pPr>
        <w:pStyle w:val="ListParagraph"/>
        <w:tabs>
          <w:tab w:val="left" w:pos="360"/>
        </w:tabs>
        <w:ind w:left="360" w:right="360"/>
        <w:jc w:val="both"/>
        <w:rPr>
          <w:rFonts w:ascii="Cambria" w:hAnsi="Cambria"/>
          <w:sz w:val="18"/>
          <w:szCs w:val="18"/>
          <w:lang w:val="es-CL"/>
        </w:rPr>
      </w:pPr>
      <w:r w:rsidRPr="00A21666">
        <w:rPr>
          <w:rFonts w:ascii="Cambria" w:hAnsi="Cambria"/>
          <w:sz w:val="18"/>
          <w:szCs w:val="18"/>
          <w:lang w:val="es-CL"/>
        </w:rPr>
        <w:t xml:space="preserve">En el marco ideológico de la doctrina de la seguridad nacional, como resultado de la represión </w:t>
      </w:r>
      <w:r w:rsidRPr="00212202">
        <w:rPr>
          <w:rFonts w:ascii="Cambria" w:hAnsi="Cambria"/>
          <w:snapToGrid w:val="0"/>
          <w:sz w:val="18"/>
          <w:szCs w:val="18"/>
          <w:lang w:val="es-ES"/>
        </w:rPr>
        <w:t>proveniente</w:t>
      </w:r>
      <w:r w:rsidRPr="00A21666">
        <w:rPr>
          <w:rFonts w:ascii="Cambria" w:hAnsi="Cambria"/>
          <w:sz w:val="18"/>
          <w:szCs w:val="18"/>
          <w:lang w:val="es-CL"/>
        </w:rPr>
        <w:t xml:space="preserve"> del Estado y grupos paramilitares en Honduras, se practicó la desaparición de personas, ejecuciones extrajudiciales, torturas, detenciones ilegales y otras formas de violencia social. (…)</w:t>
      </w:r>
      <w:r w:rsidRPr="00A21666">
        <w:rPr>
          <w:rFonts w:ascii="Cambria" w:hAnsi="Cambria"/>
          <w:sz w:val="18"/>
          <w:szCs w:val="18"/>
          <w:lang w:val="es-ES"/>
        </w:rPr>
        <w:t xml:space="preserve"> [E]ntre 1982 y 1984 (…) las instituciones judiciales prácticamente estaban subordinadas a las directrices militares y policiales en torno a la doctrina de la seguridad nacional</w:t>
      </w:r>
      <w:r w:rsidRPr="00A21666">
        <w:rPr>
          <w:rStyle w:val="FootnoteReference"/>
          <w:rFonts w:ascii="Cambria" w:hAnsi="Cambria"/>
          <w:sz w:val="18"/>
          <w:szCs w:val="18"/>
          <w:lang w:val="es-CL"/>
        </w:rPr>
        <w:footnoteReference w:id="6"/>
      </w:r>
      <w:r w:rsidRPr="00A21666">
        <w:rPr>
          <w:rFonts w:ascii="Cambria" w:hAnsi="Cambria"/>
          <w:sz w:val="18"/>
          <w:szCs w:val="18"/>
          <w:lang w:val="es-CL"/>
        </w:rPr>
        <w:t>.</w:t>
      </w:r>
    </w:p>
    <w:p w14:paraId="3D36E98B" w14:textId="77777777" w:rsidR="008B05A4" w:rsidRDefault="008B05A4"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CL"/>
        </w:rPr>
      </w:pPr>
    </w:p>
    <w:p w14:paraId="7EAA5235" w14:textId="77777777" w:rsidR="00281B6A" w:rsidRDefault="00281B6A"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CL"/>
        </w:rPr>
        <w:t>De acuerdo al informe preliminar sobre los desaparecidos en Honduras 1980-1993 del Comisionado Nacional de los Derechos Humanos,</w:t>
      </w:r>
      <w:r w:rsidRPr="00281B6A">
        <w:rPr>
          <w:rFonts w:ascii="Cambria" w:hAnsi="Cambria"/>
          <w:sz w:val="20"/>
          <w:szCs w:val="20"/>
          <w:lang w:val="es-VE"/>
        </w:rPr>
        <w:t xml:space="preserve"> </w:t>
      </w:r>
      <w:r w:rsidRPr="003A651A">
        <w:rPr>
          <w:rFonts w:ascii="Cambria" w:hAnsi="Cambria"/>
          <w:sz w:val="20"/>
          <w:szCs w:val="20"/>
          <w:lang w:val="es-VE"/>
        </w:rPr>
        <w:t xml:space="preserve">estas actividades fueron realizadas por unidades de inteligencia de las Fuerzas Armadas, en particular del </w:t>
      </w:r>
      <w:r>
        <w:rPr>
          <w:rFonts w:ascii="Cambria" w:hAnsi="Cambria"/>
          <w:sz w:val="20"/>
          <w:szCs w:val="20"/>
          <w:lang w:val="es-VE"/>
        </w:rPr>
        <w:t>Batallón de I</w:t>
      </w:r>
      <w:r w:rsidRPr="003A651A">
        <w:rPr>
          <w:rFonts w:ascii="Cambria" w:hAnsi="Cambria"/>
          <w:sz w:val="20"/>
          <w:szCs w:val="20"/>
          <w:lang w:val="es-VE"/>
        </w:rPr>
        <w:t>nteligencia 3-16</w:t>
      </w:r>
      <w:r>
        <w:rPr>
          <w:rFonts w:ascii="Cambria" w:hAnsi="Cambria"/>
          <w:sz w:val="20"/>
          <w:szCs w:val="20"/>
          <w:lang w:val="es-VE"/>
        </w:rPr>
        <w:t>. Dicho batallón</w:t>
      </w:r>
      <w:r w:rsidRPr="003A651A">
        <w:rPr>
          <w:rFonts w:ascii="Cambria" w:hAnsi="Cambria"/>
          <w:sz w:val="20"/>
          <w:szCs w:val="20"/>
          <w:lang w:val="es-VE"/>
        </w:rPr>
        <w:t xml:space="preserve"> recibió un entrenamiento </w:t>
      </w:r>
      <w:r w:rsidRPr="003A651A">
        <w:rPr>
          <w:rFonts w:ascii="Cambria" w:hAnsi="Cambria"/>
          <w:sz w:val="20"/>
          <w:szCs w:val="20"/>
          <w:lang w:val="es-VE"/>
        </w:rPr>
        <w:lastRenderedPageBreak/>
        <w:t xml:space="preserve">especializado en actividades de contrainsurgencia, </w:t>
      </w:r>
      <w:r w:rsidR="001041ED">
        <w:rPr>
          <w:rFonts w:ascii="Cambria" w:hAnsi="Cambria"/>
          <w:sz w:val="20"/>
          <w:szCs w:val="20"/>
          <w:lang w:val="es-VE"/>
        </w:rPr>
        <w:t>lo que les dio “</w:t>
      </w:r>
      <w:r w:rsidRPr="003A651A">
        <w:rPr>
          <w:rFonts w:ascii="Cambria" w:hAnsi="Cambria"/>
          <w:sz w:val="20"/>
          <w:szCs w:val="20"/>
          <w:lang w:val="es-VE"/>
        </w:rPr>
        <w:t xml:space="preserve">la seguridad y convicción de que tenían autoridad para detener, </w:t>
      </w:r>
      <w:r>
        <w:rPr>
          <w:rFonts w:ascii="Cambria" w:hAnsi="Cambria"/>
          <w:sz w:val="20"/>
          <w:szCs w:val="20"/>
          <w:lang w:val="es-VE"/>
        </w:rPr>
        <w:t>torturar y ejecutar ciudadanos”</w:t>
      </w:r>
      <w:r w:rsidRPr="003A651A">
        <w:rPr>
          <w:rStyle w:val="FootnoteReference"/>
          <w:rFonts w:ascii="Cambria" w:hAnsi="Cambria"/>
          <w:sz w:val="20"/>
          <w:szCs w:val="20"/>
          <w:lang w:val="es-VE"/>
        </w:rPr>
        <w:footnoteReference w:id="7"/>
      </w:r>
      <w:r>
        <w:rPr>
          <w:rFonts w:ascii="Cambria" w:hAnsi="Cambria"/>
          <w:sz w:val="20"/>
          <w:szCs w:val="20"/>
          <w:lang w:val="es-VE"/>
        </w:rPr>
        <w:t>.</w:t>
      </w:r>
    </w:p>
    <w:p w14:paraId="6720BDDA" w14:textId="77777777" w:rsidR="008B05A4" w:rsidRDefault="008B05A4"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Cambria" w:hAnsi="Cambria"/>
          <w:sz w:val="20"/>
          <w:szCs w:val="20"/>
          <w:lang w:val="es-CL"/>
        </w:rPr>
      </w:pPr>
    </w:p>
    <w:p w14:paraId="6E20451C" w14:textId="77777777" w:rsidR="00F66CDD" w:rsidRPr="00E216B6" w:rsidRDefault="00F66CDD" w:rsidP="00212202">
      <w:pPr>
        <w:pStyle w:val="Heading2"/>
        <w:numPr>
          <w:ilvl w:val="0"/>
          <w:numId w:val="61"/>
        </w:numPr>
        <w:tabs>
          <w:tab w:val="left" w:pos="360"/>
        </w:tabs>
        <w:ind w:hanging="720"/>
      </w:pPr>
      <w:bookmarkStart w:id="14" w:name="_Toc15047999"/>
      <w:bookmarkStart w:id="15" w:name="_Toc21442035"/>
      <w:r w:rsidRPr="00E216B6">
        <w:t>Sobre Herminio Deras</w:t>
      </w:r>
      <w:r w:rsidR="0074541D" w:rsidRPr="00E216B6">
        <w:t xml:space="preserve"> y los hechos ocurridos antes de su muerte</w:t>
      </w:r>
      <w:bookmarkEnd w:id="14"/>
      <w:bookmarkEnd w:id="15"/>
      <w:r w:rsidR="0074541D" w:rsidRPr="00E216B6">
        <w:t xml:space="preserve"> </w:t>
      </w:r>
    </w:p>
    <w:p w14:paraId="6708391B" w14:textId="77777777" w:rsidR="00F66CDD" w:rsidRPr="003A651A" w:rsidRDefault="00F66CDD"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26"/>
          <w:tab w:val="left" w:pos="1440"/>
        </w:tabs>
        <w:jc w:val="both"/>
        <w:rPr>
          <w:rFonts w:ascii="Cambria" w:hAnsi="Cambria"/>
          <w:sz w:val="20"/>
          <w:szCs w:val="20"/>
          <w:lang w:val="es-VE"/>
        </w:rPr>
      </w:pPr>
    </w:p>
    <w:p w14:paraId="4183BD6A" w14:textId="77777777" w:rsidR="004D5BAA" w:rsidRPr="00A21666" w:rsidRDefault="00E84F32"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ES_tradnl"/>
        </w:rPr>
      </w:pPr>
      <w:r w:rsidRPr="003A651A">
        <w:rPr>
          <w:rFonts w:ascii="Cambria" w:hAnsi="Cambria"/>
          <w:sz w:val="20"/>
          <w:szCs w:val="20"/>
          <w:lang w:val="es-VE"/>
        </w:rPr>
        <w:t>En</w:t>
      </w:r>
      <w:r w:rsidR="00CD1F94" w:rsidRPr="003A651A">
        <w:rPr>
          <w:rFonts w:ascii="Cambria" w:hAnsi="Cambria"/>
          <w:sz w:val="20"/>
          <w:szCs w:val="20"/>
          <w:lang w:val="es-ES_tradnl"/>
        </w:rPr>
        <w:t xml:space="preserve"> la época de los </w:t>
      </w:r>
      <w:r w:rsidR="008A3112" w:rsidRPr="003A651A">
        <w:rPr>
          <w:rFonts w:ascii="Cambria" w:hAnsi="Cambria"/>
          <w:sz w:val="20"/>
          <w:szCs w:val="20"/>
          <w:lang w:val="es-ES_tradnl"/>
        </w:rPr>
        <w:t>hechos,</w:t>
      </w:r>
      <w:r w:rsidR="00367033" w:rsidRPr="003A651A">
        <w:rPr>
          <w:rFonts w:ascii="Cambria" w:hAnsi="Cambria"/>
          <w:sz w:val="20"/>
          <w:szCs w:val="20"/>
          <w:lang w:val="es-ES_tradnl"/>
        </w:rPr>
        <w:t xml:space="preserve"> Herminio Deras </w:t>
      </w:r>
      <w:r w:rsidR="004D5BAA" w:rsidRPr="003A651A">
        <w:rPr>
          <w:rFonts w:ascii="Cambria" w:hAnsi="Cambria"/>
          <w:sz w:val="20"/>
          <w:szCs w:val="20"/>
          <w:lang w:val="es-ES_tradnl"/>
        </w:rPr>
        <w:t xml:space="preserve">tenía 42 años y vivía </w:t>
      </w:r>
      <w:r w:rsidR="004D5BAA">
        <w:rPr>
          <w:rFonts w:ascii="Cambria" w:hAnsi="Cambria"/>
          <w:sz w:val="20"/>
          <w:szCs w:val="20"/>
          <w:lang w:val="es-ES_tradnl"/>
        </w:rPr>
        <w:t>en la ciudad de</w:t>
      </w:r>
      <w:r w:rsidR="004D5BAA" w:rsidRPr="004D5BAA">
        <w:rPr>
          <w:rFonts w:ascii="Cambria" w:hAnsi="Cambria"/>
          <w:sz w:val="20"/>
          <w:szCs w:val="20"/>
          <w:lang w:val="es-ES_tradnl"/>
        </w:rPr>
        <w:t xml:space="preserve"> San Pedro de Sula</w:t>
      </w:r>
      <w:r w:rsidR="004D5BAA">
        <w:rPr>
          <w:rFonts w:ascii="Cambria" w:hAnsi="Cambria"/>
          <w:sz w:val="20"/>
          <w:szCs w:val="20"/>
          <w:lang w:val="es-ES_tradnl"/>
        </w:rPr>
        <w:t xml:space="preserve">, departamento de Cortés. El señor Deras era </w:t>
      </w:r>
      <w:r w:rsidR="004D5BAA" w:rsidRPr="004D5BAA">
        <w:rPr>
          <w:rFonts w:ascii="Cambria" w:hAnsi="Cambria"/>
          <w:sz w:val="20"/>
          <w:szCs w:val="20"/>
          <w:lang w:val="es-ES_tradnl"/>
        </w:rPr>
        <w:t>maestro de profesión y dirigente político del Partido Comunista de Honduras.</w:t>
      </w:r>
      <w:r w:rsidR="004D5BAA">
        <w:rPr>
          <w:rFonts w:ascii="Cambria" w:hAnsi="Cambria"/>
          <w:sz w:val="20"/>
          <w:szCs w:val="20"/>
          <w:lang w:val="es-ES_tradnl"/>
        </w:rPr>
        <w:t xml:space="preserve"> </w:t>
      </w:r>
      <w:r w:rsidR="004D5BAA" w:rsidRPr="00A21666">
        <w:rPr>
          <w:rFonts w:ascii="Cambria" w:hAnsi="Cambria"/>
          <w:sz w:val="20"/>
          <w:szCs w:val="20"/>
          <w:lang w:val="es-ES_tradnl"/>
        </w:rPr>
        <w:t>Asimismo, se desempeñaba como asesor de varios sindicatos de la costa norte de Honduras</w:t>
      </w:r>
      <w:r w:rsidR="0058157C" w:rsidRPr="004D5BAA">
        <w:rPr>
          <w:rStyle w:val="FootnoteReference"/>
          <w:rFonts w:ascii="Cambria" w:hAnsi="Cambria"/>
          <w:sz w:val="20"/>
          <w:szCs w:val="20"/>
          <w:lang w:val="es-ES_tradnl"/>
        </w:rPr>
        <w:footnoteReference w:id="8"/>
      </w:r>
      <w:r w:rsidR="0058157C" w:rsidRPr="00A21666">
        <w:rPr>
          <w:rFonts w:ascii="Cambria" w:hAnsi="Cambria"/>
          <w:sz w:val="20"/>
          <w:szCs w:val="20"/>
          <w:lang w:val="es-ES_tradnl"/>
        </w:rPr>
        <w:t>.</w:t>
      </w:r>
      <w:r w:rsidR="00847BB9">
        <w:rPr>
          <w:rFonts w:ascii="Cambria" w:hAnsi="Cambria"/>
          <w:sz w:val="20"/>
          <w:szCs w:val="20"/>
          <w:lang w:val="es-ES_tradnl"/>
        </w:rPr>
        <w:t xml:space="preserve"> Según la información aportada por la parte peticionaria, </w:t>
      </w:r>
      <w:r w:rsidR="001818CB">
        <w:rPr>
          <w:rFonts w:ascii="Cambria" w:hAnsi="Cambria"/>
          <w:sz w:val="20"/>
          <w:szCs w:val="20"/>
          <w:lang w:val="es-ES_tradnl"/>
        </w:rPr>
        <w:t>en la época de los hechos</w:t>
      </w:r>
      <w:r w:rsidR="00D721D4" w:rsidRPr="00A21666">
        <w:rPr>
          <w:rFonts w:ascii="Cambria" w:hAnsi="Cambria"/>
          <w:sz w:val="20"/>
          <w:szCs w:val="20"/>
          <w:lang w:val="es-ES_tradnl"/>
        </w:rPr>
        <w:t xml:space="preserve"> la familia del señor Deras</w:t>
      </w:r>
      <w:r w:rsidR="008830CE" w:rsidRPr="00A21666">
        <w:rPr>
          <w:rFonts w:ascii="Cambria" w:hAnsi="Cambria"/>
          <w:sz w:val="20"/>
          <w:szCs w:val="20"/>
          <w:lang w:val="es-ES_tradnl"/>
        </w:rPr>
        <w:t xml:space="preserve"> </w:t>
      </w:r>
      <w:r w:rsidR="00D721D4" w:rsidRPr="00A21666">
        <w:rPr>
          <w:rFonts w:ascii="Cambria" w:hAnsi="Cambria"/>
          <w:sz w:val="20"/>
          <w:szCs w:val="20"/>
          <w:lang w:val="es-ES_tradnl"/>
        </w:rPr>
        <w:t>estaba</w:t>
      </w:r>
      <w:r w:rsidR="003956CF" w:rsidRPr="00A21666">
        <w:rPr>
          <w:rFonts w:ascii="Cambria" w:hAnsi="Cambria"/>
          <w:sz w:val="20"/>
          <w:szCs w:val="20"/>
          <w:lang w:val="es-ES_tradnl"/>
        </w:rPr>
        <w:t xml:space="preserve"> compuesta por: </w:t>
      </w:r>
      <w:r w:rsidR="00D721D4" w:rsidRPr="00A21666">
        <w:rPr>
          <w:rFonts w:ascii="Cambria" w:hAnsi="Cambria"/>
          <w:sz w:val="20"/>
          <w:szCs w:val="20"/>
          <w:lang w:val="es-ES_tradnl"/>
        </w:rPr>
        <w:t>i) su esposa Otilia Flores; ii) sus dos hijos Herminio y Lorena de 7 y 11 años de edad, respectivamente; ii</w:t>
      </w:r>
      <w:r w:rsidR="003956CF" w:rsidRPr="00A21666">
        <w:rPr>
          <w:rFonts w:ascii="Cambria" w:hAnsi="Cambria"/>
          <w:sz w:val="20"/>
          <w:szCs w:val="20"/>
          <w:lang w:val="es-ES_tradnl"/>
        </w:rPr>
        <w:t>i) sus padres Maria Eustaquia García y Domingo Deras</w:t>
      </w:r>
      <w:r w:rsidR="00D721D4" w:rsidRPr="00A21666">
        <w:rPr>
          <w:rFonts w:ascii="Cambria" w:hAnsi="Cambria"/>
          <w:sz w:val="20"/>
          <w:szCs w:val="20"/>
          <w:lang w:val="es-ES_tradnl"/>
        </w:rPr>
        <w:t>; iv</w:t>
      </w:r>
      <w:r w:rsidR="003956CF" w:rsidRPr="00A21666">
        <w:rPr>
          <w:rFonts w:ascii="Cambria" w:hAnsi="Cambria"/>
          <w:sz w:val="20"/>
          <w:szCs w:val="20"/>
          <w:lang w:val="es-ES_tradnl"/>
        </w:rPr>
        <w:t>) sus hermanos</w:t>
      </w:r>
      <w:r w:rsidR="001818CB">
        <w:rPr>
          <w:rFonts w:ascii="Cambria" w:hAnsi="Cambria"/>
          <w:sz w:val="20"/>
          <w:szCs w:val="20"/>
          <w:lang w:val="es-ES_tradnl"/>
        </w:rPr>
        <w:t>/as</w:t>
      </w:r>
      <w:r w:rsidR="003956CF" w:rsidRPr="00A21666">
        <w:rPr>
          <w:rFonts w:ascii="Cambria" w:hAnsi="Cambria"/>
          <w:sz w:val="20"/>
          <w:szCs w:val="20"/>
          <w:lang w:val="es-ES_tradnl"/>
        </w:rPr>
        <w:t xml:space="preserve"> </w:t>
      </w:r>
      <w:r w:rsidR="00D721D4" w:rsidRPr="00A21666">
        <w:rPr>
          <w:rFonts w:ascii="Cambria" w:hAnsi="Cambria"/>
          <w:sz w:val="20"/>
          <w:szCs w:val="20"/>
          <w:lang w:val="es-ES_tradnl"/>
        </w:rPr>
        <w:t>Alba Luz, Irma Isabel, Consuelo, Héctor y Luis Rolando Deras; y v)</w:t>
      </w:r>
      <w:r w:rsidR="0074541D" w:rsidRPr="00A21666">
        <w:rPr>
          <w:rFonts w:ascii="Cambria" w:hAnsi="Cambria"/>
          <w:sz w:val="20"/>
          <w:szCs w:val="20"/>
          <w:lang w:val="es-ES_tradnl"/>
        </w:rPr>
        <w:t xml:space="preserve"> sus sobrinos/as, primos/as, cuñados/as José Herminio Deras Barahona, Sandra Ivón Hernández Deras, Marlin García, Julio Cesar Chavarría Banegas</w:t>
      </w:r>
      <w:r w:rsidR="00376779" w:rsidRPr="00A21666">
        <w:rPr>
          <w:rFonts w:ascii="Cambria" w:hAnsi="Cambria"/>
          <w:sz w:val="20"/>
          <w:szCs w:val="20"/>
          <w:lang w:val="es-ES_tradnl"/>
        </w:rPr>
        <w:t>, Elba Flores Ortiz</w:t>
      </w:r>
      <w:r w:rsidR="0074541D" w:rsidRPr="00A21666">
        <w:rPr>
          <w:rFonts w:ascii="Cambria" w:hAnsi="Cambria"/>
          <w:sz w:val="20"/>
          <w:szCs w:val="20"/>
          <w:lang w:val="es-ES_tradnl"/>
        </w:rPr>
        <w:t xml:space="preserve"> y Cristóbal Hernández Pérez</w:t>
      </w:r>
      <w:r w:rsidR="00D721D4" w:rsidRPr="00A21666">
        <w:rPr>
          <w:rStyle w:val="FootnoteReference"/>
          <w:rFonts w:ascii="Cambria" w:hAnsi="Cambria"/>
          <w:sz w:val="20"/>
          <w:szCs w:val="20"/>
          <w:lang w:val="es-ES_tradnl"/>
        </w:rPr>
        <w:footnoteReference w:id="9"/>
      </w:r>
      <w:r w:rsidR="0074541D" w:rsidRPr="00A21666">
        <w:rPr>
          <w:rFonts w:ascii="Cambria" w:hAnsi="Cambria"/>
          <w:sz w:val="20"/>
          <w:szCs w:val="20"/>
          <w:lang w:val="es-ES_tradnl"/>
        </w:rPr>
        <w:t>.</w:t>
      </w:r>
      <w:r w:rsidR="00D721D4" w:rsidRPr="00A21666">
        <w:rPr>
          <w:rFonts w:ascii="Cambria" w:hAnsi="Cambria"/>
          <w:sz w:val="20"/>
          <w:szCs w:val="20"/>
          <w:lang w:val="es-ES_tradnl"/>
        </w:rPr>
        <w:t xml:space="preserve"> </w:t>
      </w:r>
    </w:p>
    <w:p w14:paraId="760667F7" w14:textId="77777777" w:rsidR="004E6568" w:rsidRPr="00A21666" w:rsidRDefault="004E6568" w:rsidP="00212202">
      <w:pPr>
        <w:tabs>
          <w:tab w:val="left" w:pos="360"/>
        </w:tabs>
        <w:jc w:val="both"/>
        <w:rPr>
          <w:rFonts w:ascii="Cambria" w:hAnsi="Cambria"/>
          <w:b/>
          <w:sz w:val="20"/>
          <w:szCs w:val="20"/>
          <w:lang w:val="es-ES_tradnl"/>
        </w:rPr>
      </w:pPr>
    </w:p>
    <w:p w14:paraId="6ECF747A" w14:textId="77777777" w:rsidR="00376779" w:rsidRPr="00A21666" w:rsidRDefault="00376779"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A21666">
        <w:rPr>
          <w:rFonts w:ascii="Cambria" w:hAnsi="Cambria"/>
          <w:sz w:val="20"/>
          <w:szCs w:val="20"/>
          <w:lang w:val="es-VE"/>
        </w:rPr>
        <w:t>La CIDH toma nota de la información proporcionada por la parte peticionaria y por declaraciones de los familiares del señor Deras respecto de diversos actos de allanamiento, detenciones, golpes y amenazas en contra de Herminio y varios de sus familiares</w:t>
      </w:r>
      <w:r w:rsidR="003F3442" w:rsidRPr="00A21666">
        <w:rPr>
          <w:rFonts w:ascii="Cambria" w:hAnsi="Cambria"/>
          <w:sz w:val="20"/>
          <w:szCs w:val="20"/>
          <w:lang w:val="es-VE"/>
        </w:rPr>
        <w:t xml:space="preserve"> entre los años 1977 y 1982, cometidos en muchos casos por agentes públicos</w:t>
      </w:r>
      <w:r w:rsidR="003F3442" w:rsidRPr="00A21666">
        <w:rPr>
          <w:rStyle w:val="FootnoteReference"/>
          <w:rFonts w:ascii="Cambria" w:hAnsi="Cambria"/>
          <w:sz w:val="20"/>
          <w:szCs w:val="20"/>
          <w:lang w:val="es-VE"/>
        </w:rPr>
        <w:footnoteReference w:id="10"/>
      </w:r>
      <w:r w:rsidRPr="00A21666">
        <w:rPr>
          <w:rFonts w:ascii="Cambria" w:hAnsi="Cambria"/>
          <w:sz w:val="20"/>
          <w:szCs w:val="20"/>
          <w:lang w:val="es-VE"/>
        </w:rPr>
        <w:t xml:space="preserve">. </w:t>
      </w:r>
      <w:r w:rsidR="008830CE" w:rsidRPr="00A21666">
        <w:rPr>
          <w:rFonts w:ascii="Cambria" w:hAnsi="Cambria"/>
          <w:sz w:val="20"/>
          <w:szCs w:val="20"/>
          <w:lang w:val="es-VE"/>
        </w:rPr>
        <w:t>Ello debido a la participación del señor Deras y sus familiares en</w:t>
      </w:r>
      <w:r w:rsidR="003F7AB8">
        <w:rPr>
          <w:rFonts w:ascii="Cambria" w:hAnsi="Cambria"/>
          <w:sz w:val="20"/>
          <w:szCs w:val="20"/>
          <w:lang w:val="es-VE"/>
        </w:rPr>
        <w:t xml:space="preserve"> actividades políticas del partido </w:t>
      </w:r>
      <w:r w:rsidR="00C57149">
        <w:rPr>
          <w:rFonts w:ascii="Cambria" w:hAnsi="Cambria"/>
          <w:sz w:val="20"/>
          <w:szCs w:val="20"/>
          <w:lang w:val="es-VE"/>
        </w:rPr>
        <w:t>y en</w:t>
      </w:r>
      <w:r w:rsidR="008830CE" w:rsidRPr="00A21666">
        <w:rPr>
          <w:rFonts w:ascii="Cambria" w:hAnsi="Cambria"/>
          <w:sz w:val="20"/>
          <w:szCs w:val="20"/>
          <w:lang w:val="es-VE"/>
        </w:rPr>
        <w:t xml:space="preserve"> </w:t>
      </w:r>
      <w:r w:rsidR="008830CE" w:rsidRPr="00A21666">
        <w:rPr>
          <w:rFonts w:ascii="Cambria" w:hAnsi="Cambria"/>
          <w:sz w:val="20"/>
          <w:szCs w:val="20"/>
          <w:lang w:val="es-ES_tradnl"/>
        </w:rPr>
        <w:t>organizaciones sindicales.</w:t>
      </w:r>
      <w:r w:rsidR="008830CE" w:rsidRPr="00A21666">
        <w:rPr>
          <w:rFonts w:ascii="Cambria" w:hAnsi="Cambria"/>
          <w:sz w:val="20"/>
          <w:szCs w:val="20"/>
          <w:lang w:val="es-VE"/>
        </w:rPr>
        <w:t xml:space="preserve"> </w:t>
      </w:r>
      <w:r w:rsidR="0058157C" w:rsidRPr="00A21666">
        <w:rPr>
          <w:rFonts w:ascii="Cambria" w:hAnsi="Cambria"/>
          <w:sz w:val="20"/>
          <w:szCs w:val="20"/>
          <w:lang w:val="es-VE"/>
        </w:rPr>
        <w:t xml:space="preserve">Se agregó que a pesar de haber denunciado estos hechos, no se realizó ninguna investigación. </w:t>
      </w:r>
      <w:r w:rsidRPr="00A21666">
        <w:rPr>
          <w:rFonts w:ascii="Cambria" w:hAnsi="Cambria"/>
          <w:sz w:val="20"/>
          <w:szCs w:val="20"/>
          <w:lang w:val="es-VE"/>
        </w:rPr>
        <w:t>Dicha información no fue controvertid</w:t>
      </w:r>
      <w:r w:rsidR="00E216B6" w:rsidRPr="00A21666">
        <w:rPr>
          <w:rFonts w:ascii="Cambria" w:hAnsi="Cambria"/>
          <w:sz w:val="20"/>
          <w:szCs w:val="20"/>
          <w:lang w:val="es-VE"/>
        </w:rPr>
        <w:t>a</w:t>
      </w:r>
      <w:r w:rsidRPr="00A21666">
        <w:rPr>
          <w:rFonts w:ascii="Cambria" w:hAnsi="Cambria"/>
          <w:sz w:val="20"/>
          <w:szCs w:val="20"/>
          <w:lang w:val="es-VE"/>
        </w:rPr>
        <w:t xml:space="preserve"> por el Estado</w:t>
      </w:r>
      <w:r w:rsidR="006C3427">
        <w:rPr>
          <w:rFonts w:ascii="Cambria" w:hAnsi="Cambria"/>
          <w:sz w:val="20"/>
          <w:szCs w:val="20"/>
          <w:lang w:val="es-VE"/>
        </w:rPr>
        <w:t xml:space="preserve"> ni el mismo aportó documentación en contrario</w:t>
      </w:r>
      <w:r w:rsidRPr="00A21666">
        <w:rPr>
          <w:rFonts w:ascii="Cambria" w:hAnsi="Cambria"/>
          <w:sz w:val="20"/>
          <w:szCs w:val="20"/>
          <w:lang w:val="es-VE"/>
        </w:rPr>
        <w:t xml:space="preserve">. La Comisión </w:t>
      </w:r>
      <w:r w:rsidR="003F3442" w:rsidRPr="00A21666">
        <w:rPr>
          <w:rFonts w:ascii="Cambria" w:hAnsi="Cambria"/>
          <w:sz w:val="20"/>
          <w:szCs w:val="20"/>
          <w:lang w:val="es-VE"/>
        </w:rPr>
        <w:t xml:space="preserve">pasa </w:t>
      </w:r>
      <w:r w:rsidR="001041ED" w:rsidRPr="00A21666">
        <w:rPr>
          <w:rFonts w:ascii="Cambria" w:hAnsi="Cambria"/>
          <w:sz w:val="20"/>
          <w:szCs w:val="20"/>
          <w:lang w:val="es-VE"/>
        </w:rPr>
        <w:t>a recapitular dicha información:</w:t>
      </w:r>
    </w:p>
    <w:p w14:paraId="27B44F01" w14:textId="77777777" w:rsidR="00376779" w:rsidRPr="003A651A" w:rsidRDefault="00376779" w:rsidP="00212202">
      <w:pPr>
        <w:pStyle w:val="MediumGrid1-Accent21"/>
        <w:tabs>
          <w:tab w:val="left" w:pos="360"/>
          <w:tab w:val="left" w:pos="1530"/>
        </w:tabs>
        <w:ind w:left="0"/>
        <w:jc w:val="both"/>
        <w:rPr>
          <w:sz w:val="20"/>
          <w:szCs w:val="20"/>
          <w:lang w:val="es-VE"/>
        </w:rPr>
      </w:pPr>
    </w:p>
    <w:p w14:paraId="4B479561" w14:textId="77777777" w:rsidR="00686061" w:rsidRPr="003A651A" w:rsidRDefault="00686061" w:rsidP="00212202">
      <w:pPr>
        <w:pStyle w:val="MediumGrid1-Accent21"/>
        <w:tabs>
          <w:tab w:val="left" w:pos="360"/>
          <w:tab w:val="left" w:pos="720"/>
        </w:tabs>
        <w:ind w:left="0"/>
        <w:jc w:val="both"/>
        <w:rPr>
          <w:b/>
          <w:sz w:val="20"/>
          <w:szCs w:val="20"/>
          <w:lang w:val="es-VE"/>
        </w:rPr>
      </w:pPr>
      <w:r w:rsidRPr="003A651A">
        <w:rPr>
          <w:sz w:val="20"/>
          <w:szCs w:val="20"/>
          <w:lang w:val="es-VE"/>
        </w:rPr>
        <w:tab/>
      </w:r>
      <w:r w:rsidRPr="003A651A">
        <w:rPr>
          <w:b/>
          <w:sz w:val="20"/>
          <w:szCs w:val="20"/>
          <w:lang w:val="es-VE"/>
        </w:rPr>
        <w:t>1977</w:t>
      </w:r>
    </w:p>
    <w:p w14:paraId="143A970A" w14:textId="77777777" w:rsidR="00686061" w:rsidRPr="003A651A" w:rsidRDefault="00686061" w:rsidP="00212202">
      <w:pPr>
        <w:pStyle w:val="MediumGrid1-Accent21"/>
        <w:numPr>
          <w:ilvl w:val="0"/>
          <w:numId w:val="58"/>
        </w:numPr>
        <w:tabs>
          <w:tab w:val="left" w:pos="360"/>
          <w:tab w:val="left" w:pos="630"/>
        </w:tabs>
        <w:ind w:left="360" w:right="360" w:firstLine="0"/>
        <w:jc w:val="both"/>
        <w:rPr>
          <w:sz w:val="20"/>
          <w:szCs w:val="20"/>
          <w:lang w:val="es-VE"/>
        </w:rPr>
      </w:pPr>
      <w:r w:rsidRPr="003A651A">
        <w:rPr>
          <w:sz w:val="20"/>
          <w:szCs w:val="20"/>
          <w:lang w:val="es-VE"/>
        </w:rPr>
        <w:t>A</w:t>
      </w:r>
      <w:r w:rsidR="003F3442" w:rsidRPr="003A651A">
        <w:rPr>
          <w:sz w:val="20"/>
          <w:szCs w:val="20"/>
          <w:lang w:val="es-VE"/>
        </w:rPr>
        <w:t>gentes militares allanaron la casa de la madre del señor Deras</w:t>
      </w:r>
      <w:r w:rsidRPr="003A651A">
        <w:rPr>
          <w:sz w:val="20"/>
          <w:szCs w:val="20"/>
          <w:lang w:val="es-VE"/>
        </w:rPr>
        <w:t>. Debido a que no lo encontraron,</w:t>
      </w:r>
      <w:r w:rsidR="003F3442" w:rsidRPr="003A651A">
        <w:rPr>
          <w:sz w:val="20"/>
          <w:szCs w:val="20"/>
          <w:lang w:val="es-VE"/>
        </w:rPr>
        <w:t xml:space="preserve"> </w:t>
      </w:r>
      <w:r w:rsidR="003F3442" w:rsidRPr="003F3442">
        <w:rPr>
          <w:sz w:val="20"/>
          <w:szCs w:val="20"/>
          <w:lang w:val="es-VE"/>
        </w:rPr>
        <w:t xml:space="preserve">golpearon </w:t>
      </w:r>
      <w:r>
        <w:rPr>
          <w:sz w:val="20"/>
          <w:szCs w:val="20"/>
          <w:lang w:val="es-VE"/>
        </w:rPr>
        <w:t xml:space="preserve">a su madre </w:t>
      </w:r>
      <w:r w:rsidR="003F3442" w:rsidRPr="003F3442">
        <w:rPr>
          <w:sz w:val="20"/>
          <w:szCs w:val="20"/>
          <w:lang w:val="es-VE"/>
        </w:rPr>
        <w:t>en la cabeza con</w:t>
      </w:r>
      <w:r w:rsidR="003F3442">
        <w:rPr>
          <w:sz w:val="20"/>
          <w:szCs w:val="20"/>
          <w:lang w:val="es-VE"/>
        </w:rPr>
        <w:t xml:space="preserve"> una pistola</w:t>
      </w:r>
      <w:r>
        <w:rPr>
          <w:sz w:val="20"/>
          <w:szCs w:val="20"/>
          <w:lang w:val="es-VE"/>
        </w:rPr>
        <w:t xml:space="preserve"> y la amenzaron con matarla si es que no encontraban un mimeógra</w:t>
      </w:r>
      <w:r w:rsidR="006C3427">
        <w:rPr>
          <w:sz w:val="20"/>
          <w:szCs w:val="20"/>
          <w:lang w:val="es-VE"/>
        </w:rPr>
        <w:t>f</w:t>
      </w:r>
      <w:r>
        <w:rPr>
          <w:sz w:val="20"/>
          <w:szCs w:val="20"/>
          <w:lang w:val="es-VE"/>
        </w:rPr>
        <w:t>o que presuntamente tenía el señor Deras para realizar sus actividades políticas. Dichos hechos fueron presenciados por Irma Isabel, hermana del señor Deras</w:t>
      </w:r>
      <w:r w:rsidR="008830CE">
        <w:rPr>
          <w:sz w:val="20"/>
          <w:szCs w:val="20"/>
          <w:lang w:val="es-VE"/>
        </w:rPr>
        <w:t>, quien en la época tenía quince años</w:t>
      </w:r>
      <w:r>
        <w:rPr>
          <w:sz w:val="20"/>
          <w:szCs w:val="20"/>
          <w:lang w:val="es-VE"/>
        </w:rPr>
        <w:t>.</w:t>
      </w:r>
    </w:p>
    <w:p w14:paraId="26C10438" w14:textId="77777777" w:rsidR="003F3442" w:rsidRPr="003A651A" w:rsidRDefault="00686061" w:rsidP="00212202">
      <w:pPr>
        <w:pStyle w:val="MediumGrid1-Accent21"/>
        <w:numPr>
          <w:ilvl w:val="0"/>
          <w:numId w:val="58"/>
        </w:numPr>
        <w:tabs>
          <w:tab w:val="left" w:pos="360"/>
          <w:tab w:val="left" w:pos="630"/>
        </w:tabs>
        <w:ind w:left="360" w:right="360" w:firstLine="0"/>
        <w:jc w:val="both"/>
        <w:rPr>
          <w:sz w:val="20"/>
          <w:szCs w:val="20"/>
          <w:lang w:val="es-VE"/>
        </w:rPr>
      </w:pPr>
      <w:r w:rsidRPr="003A651A">
        <w:rPr>
          <w:sz w:val="20"/>
          <w:szCs w:val="20"/>
          <w:lang w:val="es-VE"/>
        </w:rPr>
        <w:t xml:space="preserve">Agentes militares allanaron la casa del padre del señor Deras y lo acusaron </w:t>
      </w:r>
      <w:r w:rsidR="0087394F">
        <w:rPr>
          <w:sz w:val="20"/>
          <w:szCs w:val="20"/>
          <w:lang w:val="es-VE"/>
        </w:rPr>
        <w:t>de manejar una radio clandestina</w:t>
      </w:r>
      <w:r w:rsidRPr="003A651A">
        <w:rPr>
          <w:sz w:val="20"/>
          <w:szCs w:val="20"/>
          <w:lang w:val="es-VE"/>
        </w:rPr>
        <w:t xml:space="preserve">. Su padre fue </w:t>
      </w:r>
      <w:r w:rsidR="008830CE" w:rsidRPr="003A651A">
        <w:rPr>
          <w:sz w:val="20"/>
          <w:szCs w:val="20"/>
          <w:lang w:val="es-VE"/>
        </w:rPr>
        <w:t xml:space="preserve">golpeado, </w:t>
      </w:r>
      <w:r w:rsidRPr="003A651A">
        <w:rPr>
          <w:sz w:val="20"/>
          <w:szCs w:val="20"/>
          <w:lang w:val="es-VE"/>
        </w:rPr>
        <w:t>amarrado y sacado de su residencia.</w:t>
      </w:r>
    </w:p>
    <w:p w14:paraId="55CBAAEA" w14:textId="77777777" w:rsidR="00686061" w:rsidRPr="003A651A" w:rsidRDefault="00686061" w:rsidP="00212202">
      <w:pPr>
        <w:pStyle w:val="MediumGrid1-Accent21"/>
        <w:numPr>
          <w:ilvl w:val="0"/>
          <w:numId w:val="58"/>
        </w:numPr>
        <w:tabs>
          <w:tab w:val="left" w:pos="360"/>
          <w:tab w:val="left" w:pos="630"/>
        </w:tabs>
        <w:ind w:left="360" w:right="360" w:firstLine="0"/>
        <w:jc w:val="both"/>
        <w:rPr>
          <w:sz w:val="20"/>
          <w:szCs w:val="20"/>
          <w:lang w:val="es-VE"/>
        </w:rPr>
      </w:pPr>
      <w:r w:rsidRPr="003A651A">
        <w:rPr>
          <w:sz w:val="20"/>
          <w:szCs w:val="20"/>
          <w:lang w:val="es-VE"/>
        </w:rPr>
        <w:t>Irma Isabel, hermana del señor Deras, fue detenida</w:t>
      </w:r>
      <w:r w:rsidR="008830CE" w:rsidRPr="003A651A">
        <w:rPr>
          <w:sz w:val="20"/>
          <w:szCs w:val="20"/>
          <w:lang w:val="es-VE"/>
        </w:rPr>
        <w:t xml:space="preserve"> junto con dos personas más</w:t>
      </w:r>
      <w:r w:rsidRPr="003A651A">
        <w:rPr>
          <w:sz w:val="20"/>
          <w:szCs w:val="20"/>
          <w:lang w:val="es-VE"/>
        </w:rPr>
        <w:t xml:space="preserve"> por agentes públicos</w:t>
      </w:r>
      <w:r w:rsidR="008830CE" w:rsidRPr="003A651A">
        <w:rPr>
          <w:sz w:val="20"/>
          <w:szCs w:val="20"/>
          <w:lang w:val="es-VE"/>
        </w:rPr>
        <w:t xml:space="preserve"> </w:t>
      </w:r>
      <w:r w:rsidR="0056603B" w:rsidRPr="003A651A">
        <w:rPr>
          <w:sz w:val="20"/>
          <w:szCs w:val="20"/>
          <w:lang w:val="es-VE"/>
        </w:rPr>
        <w:t>por presuntamente distribuir</w:t>
      </w:r>
      <w:r w:rsidR="008830CE" w:rsidRPr="003A651A">
        <w:rPr>
          <w:sz w:val="20"/>
          <w:szCs w:val="20"/>
          <w:lang w:val="es-VE"/>
        </w:rPr>
        <w:t xml:space="preserve"> </w:t>
      </w:r>
      <w:r w:rsidR="008830CE" w:rsidRPr="008830CE">
        <w:rPr>
          <w:rFonts w:eastAsia="Arial Unicode MS" w:cs="Times New Roman"/>
          <w:color w:val="auto"/>
          <w:sz w:val="20"/>
          <w:szCs w:val="20"/>
          <w:lang w:val="es-VE" w:eastAsia="en-US"/>
        </w:rPr>
        <w:t>el periódico Vanguardia</w:t>
      </w:r>
      <w:r w:rsidR="008830CE">
        <w:rPr>
          <w:rFonts w:eastAsia="Arial Unicode MS" w:cs="Times New Roman"/>
          <w:color w:val="auto"/>
          <w:sz w:val="20"/>
          <w:szCs w:val="20"/>
          <w:lang w:val="es-VE" w:eastAsia="en-US"/>
        </w:rPr>
        <w:t xml:space="preserve">, el cual </w:t>
      </w:r>
      <w:r w:rsidR="0058157C">
        <w:rPr>
          <w:rFonts w:eastAsia="Arial Unicode MS" w:cs="Times New Roman"/>
          <w:color w:val="auto"/>
          <w:sz w:val="20"/>
          <w:szCs w:val="20"/>
          <w:lang w:val="es-VE" w:eastAsia="en-US"/>
        </w:rPr>
        <w:t xml:space="preserve">sería </w:t>
      </w:r>
      <w:r w:rsidR="008830CE">
        <w:rPr>
          <w:rFonts w:eastAsia="Arial Unicode MS" w:cs="Times New Roman"/>
          <w:color w:val="auto"/>
          <w:sz w:val="20"/>
          <w:szCs w:val="20"/>
          <w:lang w:val="es-VE" w:eastAsia="en-US"/>
        </w:rPr>
        <w:t>producido y editado por</w:t>
      </w:r>
      <w:r w:rsidR="008830CE" w:rsidRPr="008830CE">
        <w:rPr>
          <w:rFonts w:eastAsia="Arial Unicode MS" w:cs="Times New Roman"/>
          <w:color w:val="auto"/>
          <w:sz w:val="20"/>
          <w:szCs w:val="20"/>
          <w:lang w:val="es-VE" w:eastAsia="en-US"/>
        </w:rPr>
        <w:t xml:space="preserve"> el Partido Comunista</w:t>
      </w:r>
      <w:r w:rsidR="008830CE">
        <w:rPr>
          <w:rFonts w:eastAsia="Arial Unicode MS" w:cs="Times New Roman"/>
          <w:color w:val="auto"/>
          <w:sz w:val="20"/>
          <w:szCs w:val="20"/>
          <w:lang w:val="es-VE" w:eastAsia="en-US"/>
        </w:rPr>
        <w:t xml:space="preserve">. Las tres personas fueron llevadas a </w:t>
      </w:r>
      <w:r w:rsidR="008830CE" w:rsidRPr="008830CE">
        <w:rPr>
          <w:rFonts w:eastAsia="Arial Unicode MS" w:cs="Times New Roman"/>
          <w:color w:val="auto"/>
          <w:sz w:val="20"/>
          <w:szCs w:val="20"/>
          <w:lang w:val="es-VE" w:eastAsia="en-US"/>
        </w:rPr>
        <w:t>las celdas de la Dirección Nacional de Investigación (</w:t>
      </w:r>
      <w:r w:rsidR="0056603B">
        <w:rPr>
          <w:rFonts w:eastAsia="Arial Unicode MS" w:cs="Times New Roman"/>
          <w:color w:val="auto"/>
          <w:sz w:val="20"/>
          <w:szCs w:val="20"/>
          <w:lang w:val="es-VE" w:eastAsia="en-US"/>
        </w:rPr>
        <w:t xml:space="preserve">en adelante </w:t>
      </w:r>
      <w:r w:rsidR="008830CE" w:rsidRPr="008830CE">
        <w:rPr>
          <w:rFonts w:eastAsia="Arial Unicode MS" w:cs="Times New Roman"/>
          <w:color w:val="auto"/>
          <w:sz w:val="20"/>
          <w:szCs w:val="20"/>
          <w:lang w:val="es-VE" w:eastAsia="en-US"/>
        </w:rPr>
        <w:t>DNI)</w:t>
      </w:r>
      <w:r w:rsidR="008830CE">
        <w:rPr>
          <w:rFonts w:eastAsia="Arial Unicode MS" w:cs="Times New Roman"/>
          <w:color w:val="auto"/>
          <w:sz w:val="20"/>
          <w:szCs w:val="20"/>
          <w:lang w:val="es-VE" w:eastAsia="en-US"/>
        </w:rPr>
        <w:t xml:space="preserve">, en donde </w:t>
      </w:r>
      <w:r w:rsidR="008830CE" w:rsidRPr="008830CE">
        <w:rPr>
          <w:rFonts w:eastAsia="Arial Unicode MS" w:cs="Times New Roman"/>
          <w:color w:val="auto"/>
          <w:sz w:val="20"/>
          <w:szCs w:val="20"/>
          <w:lang w:val="es-VE" w:eastAsia="en-US"/>
        </w:rPr>
        <w:t>fueron vendad</w:t>
      </w:r>
      <w:r w:rsidR="0058157C">
        <w:rPr>
          <w:rFonts w:eastAsia="Arial Unicode MS" w:cs="Times New Roman"/>
          <w:color w:val="auto"/>
          <w:sz w:val="20"/>
          <w:szCs w:val="20"/>
          <w:lang w:val="es-VE" w:eastAsia="en-US"/>
        </w:rPr>
        <w:t>a</w:t>
      </w:r>
      <w:r w:rsidR="008830CE" w:rsidRPr="008830CE">
        <w:rPr>
          <w:rFonts w:eastAsia="Arial Unicode MS" w:cs="Times New Roman"/>
          <w:color w:val="auto"/>
          <w:sz w:val="20"/>
          <w:szCs w:val="20"/>
          <w:lang w:val="es-VE" w:eastAsia="en-US"/>
        </w:rPr>
        <w:t>s y amarrad</w:t>
      </w:r>
      <w:r w:rsidR="0058157C">
        <w:rPr>
          <w:rFonts w:eastAsia="Arial Unicode MS" w:cs="Times New Roman"/>
          <w:color w:val="auto"/>
          <w:sz w:val="20"/>
          <w:szCs w:val="20"/>
          <w:lang w:val="es-VE" w:eastAsia="en-US"/>
        </w:rPr>
        <w:t>a</w:t>
      </w:r>
      <w:r w:rsidR="008830CE" w:rsidRPr="008830CE">
        <w:rPr>
          <w:rFonts w:eastAsia="Arial Unicode MS" w:cs="Times New Roman"/>
          <w:color w:val="auto"/>
          <w:sz w:val="20"/>
          <w:szCs w:val="20"/>
          <w:lang w:val="es-VE" w:eastAsia="en-US"/>
        </w:rPr>
        <w:t>s de manos a pies</w:t>
      </w:r>
      <w:r w:rsidR="0056603B">
        <w:rPr>
          <w:rFonts w:eastAsia="Arial Unicode MS" w:cs="Times New Roman"/>
          <w:color w:val="auto"/>
          <w:sz w:val="20"/>
          <w:szCs w:val="20"/>
          <w:lang w:val="es-VE" w:eastAsia="en-US"/>
        </w:rPr>
        <w:t>, y l</w:t>
      </w:r>
      <w:r w:rsidR="0058157C">
        <w:rPr>
          <w:rFonts w:eastAsia="Arial Unicode MS" w:cs="Times New Roman"/>
          <w:color w:val="auto"/>
          <w:sz w:val="20"/>
          <w:szCs w:val="20"/>
          <w:lang w:val="es-VE" w:eastAsia="en-US"/>
        </w:rPr>
        <w:t>a</w:t>
      </w:r>
      <w:r w:rsidR="0056603B">
        <w:rPr>
          <w:rFonts w:eastAsia="Arial Unicode MS" w:cs="Times New Roman"/>
          <w:color w:val="auto"/>
          <w:sz w:val="20"/>
          <w:szCs w:val="20"/>
          <w:lang w:val="es-VE" w:eastAsia="en-US"/>
        </w:rPr>
        <w:t>s amenazaron “</w:t>
      </w:r>
      <w:r w:rsidR="0056603B" w:rsidRPr="0056603B">
        <w:rPr>
          <w:rFonts w:eastAsia="Arial Unicode MS" w:cs="Times New Roman"/>
          <w:color w:val="auto"/>
          <w:sz w:val="20"/>
          <w:szCs w:val="20"/>
          <w:lang w:val="es-VE" w:eastAsia="en-US"/>
        </w:rPr>
        <w:t>con sacarles el periódico del estómago si no entregaban un ejemplar</w:t>
      </w:r>
      <w:r w:rsidR="0056603B">
        <w:rPr>
          <w:rFonts w:eastAsia="Arial Unicode MS" w:cs="Times New Roman"/>
          <w:color w:val="auto"/>
          <w:sz w:val="20"/>
          <w:szCs w:val="20"/>
          <w:lang w:val="es-VE" w:eastAsia="en-US"/>
        </w:rPr>
        <w:t>”.</w:t>
      </w:r>
    </w:p>
    <w:p w14:paraId="0168B34B" w14:textId="77777777" w:rsidR="003F3442" w:rsidRPr="003A651A" w:rsidRDefault="003F3442" w:rsidP="00212202">
      <w:pPr>
        <w:pStyle w:val="MediumGrid1-Accent21"/>
        <w:tabs>
          <w:tab w:val="left" w:pos="360"/>
          <w:tab w:val="left" w:pos="990"/>
        </w:tabs>
        <w:ind w:left="0"/>
        <w:jc w:val="both"/>
        <w:rPr>
          <w:sz w:val="20"/>
          <w:szCs w:val="20"/>
          <w:lang w:val="es-VE"/>
        </w:rPr>
      </w:pPr>
    </w:p>
    <w:p w14:paraId="28B30762" w14:textId="77777777" w:rsidR="0056603B" w:rsidRPr="0056603B" w:rsidRDefault="00E216B6" w:rsidP="00212202">
      <w:pPr>
        <w:pStyle w:val="MediumGrid1-Accent21"/>
        <w:tabs>
          <w:tab w:val="left" w:pos="360"/>
          <w:tab w:val="left" w:pos="720"/>
          <w:tab w:val="left" w:pos="990"/>
        </w:tabs>
        <w:ind w:left="0"/>
        <w:jc w:val="both"/>
        <w:rPr>
          <w:b/>
          <w:sz w:val="20"/>
          <w:szCs w:val="20"/>
          <w:lang w:val="es-VE"/>
        </w:rPr>
      </w:pPr>
      <w:r>
        <w:rPr>
          <w:sz w:val="20"/>
          <w:szCs w:val="20"/>
          <w:lang w:val="es-VE"/>
        </w:rPr>
        <w:tab/>
      </w:r>
      <w:r w:rsidR="0056603B" w:rsidRPr="0056603B">
        <w:rPr>
          <w:b/>
          <w:sz w:val="20"/>
          <w:szCs w:val="20"/>
          <w:lang w:val="es-VE"/>
        </w:rPr>
        <w:t>197</w:t>
      </w:r>
      <w:r w:rsidR="0056603B">
        <w:rPr>
          <w:b/>
          <w:sz w:val="20"/>
          <w:szCs w:val="20"/>
          <w:lang w:val="es-VE"/>
        </w:rPr>
        <w:t>9</w:t>
      </w:r>
    </w:p>
    <w:p w14:paraId="772F0AD9" w14:textId="77777777" w:rsidR="000B11E0" w:rsidRPr="006B1904" w:rsidRDefault="0056603B" w:rsidP="00212202">
      <w:pPr>
        <w:numPr>
          <w:ilvl w:val="0"/>
          <w:numId w:val="58"/>
        </w:numPr>
        <w:tabs>
          <w:tab w:val="left" w:pos="360"/>
          <w:tab w:val="left" w:pos="630"/>
        </w:tabs>
        <w:ind w:left="360" w:right="360" w:firstLine="0"/>
        <w:jc w:val="both"/>
        <w:rPr>
          <w:rFonts w:ascii="Times" w:eastAsia="Times New Roman" w:hAnsi="Times"/>
          <w:sz w:val="20"/>
          <w:szCs w:val="20"/>
          <w:bdr w:val="none" w:sz="0" w:space="0" w:color="auto"/>
          <w:lang w:val="es-CL"/>
        </w:rPr>
      </w:pPr>
      <w:r w:rsidRPr="003A651A">
        <w:rPr>
          <w:rFonts w:ascii="Cambria" w:hAnsi="Cambria"/>
          <w:sz w:val="20"/>
          <w:szCs w:val="20"/>
          <w:lang w:val="es-VE"/>
        </w:rPr>
        <w:t xml:space="preserve">El </w:t>
      </w:r>
      <w:r w:rsidRPr="003A651A">
        <w:rPr>
          <w:rFonts w:ascii="Cambria" w:eastAsia="Cambria" w:hAnsi="Cambria" w:cs="Cambria"/>
          <w:color w:val="000000"/>
          <w:sz w:val="20"/>
          <w:szCs w:val="20"/>
          <w:u w:color="000000"/>
          <w:lang w:val="es-VE" w:eastAsia="es-ES"/>
        </w:rPr>
        <w:t>señor</w:t>
      </w:r>
      <w:r w:rsidRPr="003A651A">
        <w:rPr>
          <w:rFonts w:ascii="Cambria" w:hAnsi="Cambria"/>
          <w:sz w:val="20"/>
          <w:szCs w:val="20"/>
          <w:lang w:val="es-VE"/>
        </w:rPr>
        <w:t xml:space="preserve"> Deras </w:t>
      </w:r>
      <w:r w:rsidRPr="003A651A">
        <w:rPr>
          <w:rFonts w:ascii="Cambria" w:eastAsia="Cambria" w:hAnsi="Cambria" w:cs="Cambria"/>
          <w:color w:val="000000"/>
          <w:sz w:val="20"/>
          <w:szCs w:val="20"/>
          <w:u w:color="000000"/>
          <w:lang w:val="es-VE" w:eastAsia="es-ES"/>
        </w:rPr>
        <w:t>f</w:t>
      </w:r>
      <w:r w:rsidRPr="003A651A">
        <w:rPr>
          <w:rFonts w:ascii="Cambria" w:hAnsi="Cambria"/>
          <w:sz w:val="20"/>
          <w:szCs w:val="20"/>
          <w:lang w:val="es-VE"/>
        </w:rPr>
        <w:t xml:space="preserve">ue detenido por agentes públicos debido a que presuntamente instigó una huelga de trabajadores de una fábrica de textiles. El señor Deras </w:t>
      </w:r>
      <w:r w:rsidR="000B11E0" w:rsidRPr="003A651A">
        <w:rPr>
          <w:rFonts w:ascii="Cambria" w:hAnsi="Cambria"/>
          <w:sz w:val="20"/>
          <w:szCs w:val="20"/>
          <w:lang w:val="es-VE"/>
        </w:rPr>
        <w:t xml:space="preserve">“escapó de la detención en las instalaciones de la </w:t>
      </w:r>
      <w:r w:rsidR="000B11E0" w:rsidRPr="006B1904">
        <w:rPr>
          <w:rFonts w:ascii="Cambria" w:eastAsia="Times New Roman" w:hAnsi="Cambria" w:cs="Arial"/>
          <w:sz w:val="20"/>
          <w:szCs w:val="20"/>
          <w:bdr w:val="none" w:sz="0" w:space="0" w:color="auto"/>
          <w:shd w:val="clear" w:color="auto" w:fill="FFFFFF"/>
          <w:lang w:val="es-CL"/>
        </w:rPr>
        <w:t>[DNI]”.</w:t>
      </w:r>
      <w:r w:rsidR="000B11E0" w:rsidRPr="006B1904">
        <w:rPr>
          <w:rFonts w:ascii="Times" w:eastAsia="Times New Roman" w:hAnsi="Times"/>
          <w:sz w:val="20"/>
          <w:szCs w:val="20"/>
          <w:bdr w:val="none" w:sz="0" w:space="0" w:color="auto"/>
          <w:lang w:val="es-CL"/>
        </w:rPr>
        <w:t> </w:t>
      </w:r>
    </w:p>
    <w:p w14:paraId="62C020C7" w14:textId="77777777" w:rsidR="00593673" w:rsidRPr="003A651A" w:rsidRDefault="00593673" w:rsidP="00212202">
      <w:pPr>
        <w:pStyle w:val="MediumGrid1-Accent21"/>
        <w:tabs>
          <w:tab w:val="left" w:pos="360"/>
          <w:tab w:val="left" w:pos="990"/>
        </w:tabs>
        <w:jc w:val="both"/>
        <w:rPr>
          <w:rFonts w:eastAsia="Arial Unicode MS" w:cs="Times New Roman"/>
          <w:color w:val="auto"/>
          <w:sz w:val="20"/>
          <w:szCs w:val="20"/>
          <w:lang w:val="es-VE" w:eastAsia="en-US"/>
        </w:rPr>
      </w:pPr>
    </w:p>
    <w:p w14:paraId="7FB650C6" w14:textId="77777777" w:rsidR="000B11E0" w:rsidRPr="0056603B" w:rsidRDefault="000B11E0" w:rsidP="00212202">
      <w:pPr>
        <w:pStyle w:val="MediumGrid1-Accent21"/>
        <w:tabs>
          <w:tab w:val="left" w:pos="360"/>
          <w:tab w:val="left" w:pos="720"/>
          <w:tab w:val="left" w:pos="990"/>
        </w:tabs>
        <w:ind w:left="0"/>
        <w:jc w:val="both"/>
        <w:rPr>
          <w:b/>
          <w:sz w:val="20"/>
          <w:szCs w:val="20"/>
          <w:lang w:val="es-VE"/>
        </w:rPr>
      </w:pPr>
      <w:r>
        <w:rPr>
          <w:b/>
          <w:sz w:val="20"/>
          <w:szCs w:val="20"/>
          <w:lang w:val="es-VE"/>
        </w:rPr>
        <w:tab/>
      </w:r>
      <w:r w:rsidRPr="0056603B">
        <w:rPr>
          <w:b/>
          <w:sz w:val="20"/>
          <w:szCs w:val="20"/>
          <w:lang w:val="es-VE"/>
        </w:rPr>
        <w:t>19</w:t>
      </w:r>
      <w:r>
        <w:rPr>
          <w:b/>
          <w:sz w:val="20"/>
          <w:szCs w:val="20"/>
          <w:lang w:val="es-VE"/>
        </w:rPr>
        <w:t>81</w:t>
      </w:r>
    </w:p>
    <w:p w14:paraId="1045BE02" w14:textId="77777777" w:rsidR="000B11E0" w:rsidRPr="006B1904" w:rsidRDefault="00390667" w:rsidP="00212202">
      <w:pPr>
        <w:numPr>
          <w:ilvl w:val="0"/>
          <w:numId w:val="58"/>
        </w:numPr>
        <w:tabs>
          <w:tab w:val="left" w:pos="360"/>
          <w:tab w:val="left" w:pos="630"/>
        </w:tabs>
        <w:ind w:left="360" w:right="360" w:firstLine="0"/>
        <w:jc w:val="both"/>
        <w:rPr>
          <w:rFonts w:ascii="Times" w:eastAsia="Times New Roman" w:hAnsi="Times"/>
          <w:sz w:val="20"/>
          <w:szCs w:val="20"/>
          <w:bdr w:val="none" w:sz="0" w:space="0" w:color="auto"/>
          <w:lang w:val="es-CL"/>
        </w:rPr>
      </w:pPr>
      <w:r>
        <w:rPr>
          <w:rFonts w:ascii="Cambria" w:hAnsi="Cambria"/>
          <w:sz w:val="20"/>
          <w:szCs w:val="20"/>
          <w:lang w:val="es-VE"/>
        </w:rPr>
        <w:t>El</w:t>
      </w:r>
      <w:r w:rsidR="000B11E0" w:rsidRPr="000B11E0">
        <w:rPr>
          <w:rFonts w:ascii="Cambria" w:hAnsi="Cambria"/>
          <w:sz w:val="20"/>
          <w:szCs w:val="20"/>
          <w:lang w:val="es-VE"/>
        </w:rPr>
        <w:t xml:space="preserve"> </w:t>
      </w:r>
      <w:r w:rsidR="00BC32B3">
        <w:rPr>
          <w:rFonts w:ascii="Cambria" w:eastAsia="Cambria" w:hAnsi="Cambria" w:cs="Cambria"/>
          <w:color w:val="000000"/>
          <w:sz w:val="20"/>
          <w:szCs w:val="20"/>
          <w:u w:color="000000"/>
          <w:lang w:val="es-VE" w:eastAsia="es-ES"/>
        </w:rPr>
        <w:t xml:space="preserve">26 de noviembre miembros del </w:t>
      </w:r>
      <w:r w:rsidR="00BC32B3" w:rsidRPr="00BC32B3">
        <w:rPr>
          <w:rFonts w:ascii="Cambria" w:hAnsi="Cambria"/>
          <w:sz w:val="20"/>
          <w:szCs w:val="20"/>
          <w:lang w:val="es-VE"/>
        </w:rPr>
        <w:t>T</w:t>
      </w:r>
      <w:r w:rsidR="00BC32B3">
        <w:rPr>
          <w:rFonts w:ascii="Cambria" w:hAnsi="Cambria"/>
          <w:sz w:val="20"/>
          <w:szCs w:val="20"/>
          <w:lang w:val="es-VE"/>
        </w:rPr>
        <w:t>ercer Batallón de Infantería y a</w:t>
      </w:r>
      <w:r w:rsidR="00BC32B3" w:rsidRPr="00BC32B3">
        <w:rPr>
          <w:rFonts w:ascii="Cambria" w:hAnsi="Cambria"/>
          <w:sz w:val="20"/>
          <w:szCs w:val="20"/>
          <w:lang w:val="es-VE"/>
        </w:rPr>
        <w:t>gentes de la DNI</w:t>
      </w:r>
      <w:r w:rsidR="00BC32B3">
        <w:rPr>
          <w:rFonts w:ascii="Cambria" w:hAnsi="Cambria"/>
          <w:sz w:val="20"/>
          <w:szCs w:val="20"/>
          <w:lang w:val="es-VE"/>
        </w:rPr>
        <w:t xml:space="preserve"> allanaron el domicilio del señor Deras</w:t>
      </w:r>
      <w:r w:rsidR="007F7236">
        <w:rPr>
          <w:rFonts w:ascii="Cambria" w:hAnsi="Cambria"/>
          <w:sz w:val="20"/>
          <w:szCs w:val="20"/>
          <w:lang w:val="es-VE"/>
        </w:rPr>
        <w:t xml:space="preserve">, </w:t>
      </w:r>
      <w:r w:rsidR="00BC32B3">
        <w:rPr>
          <w:rFonts w:ascii="Cambria" w:hAnsi="Cambria"/>
          <w:sz w:val="20"/>
          <w:szCs w:val="20"/>
          <w:lang w:val="es-VE"/>
        </w:rPr>
        <w:t>destruyeron su vivienda</w:t>
      </w:r>
      <w:r w:rsidR="007F7236">
        <w:rPr>
          <w:rFonts w:ascii="Cambria" w:hAnsi="Cambria"/>
          <w:sz w:val="20"/>
          <w:szCs w:val="20"/>
          <w:lang w:val="es-VE"/>
        </w:rPr>
        <w:t xml:space="preserve"> y se llevaron diversos objetos que se encontraban </w:t>
      </w:r>
      <w:r w:rsidR="007F7236">
        <w:rPr>
          <w:rFonts w:ascii="Cambria" w:hAnsi="Cambria"/>
          <w:sz w:val="20"/>
          <w:szCs w:val="20"/>
          <w:lang w:val="es-VE"/>
        </w:rPr>
        <w:lastRenderedPageBreak/>
        <w:t>ahí</w:t>
      </w:r>
      <w:r w:rsidR="00BC32B3">
        <w:rPr>
          <w:rFonts w:ascii="Cambria" w:hAnsi="Cambria"/>
          <w:sz w:val="20"/>
          <w:szCs w:val="20"/>
          <w:lang w:val="es-VE"/>
        </w:rPr>
        <w:t>. En su vivienda arrestaron a su esposa</w:t>
      </w:r>
      <w:r w:rsidR="007F7236">
        <w:rPr>
          <w:rFonts w:ascii="Cambria" w:hAnsi="Cambria"/>
          <w:sz w:val="20"/>
          <w:szCs w:val="20"/>
          <w:lang w:val="es-VE"/>
        </w:rPr>
        <w:t xml:space="preserve"> Otilia Flores</w:t>
      </w:r>
      <w:r w:rsidR="00BC32B3">
        <w:rPr>
          <w:rFonts w:ascii="Cambria" w:hAnsi="Cambria"/>
          <w:sz w:val="20"/>
          <w:szCs w:val="20"/>
          <w:lang w:val="es-VE"/>
        </w:rPr>
        <w:t xml:space="preserve"> y su</w:t>
      </w:r>
      <w:r w:rsidR="007F7236">
        <w:rPr>
          <w:rFonts w:ascii="Cambria" w:hAnsi="Cambria"/>
          <w:sz w:val="20"/>
          <w:szCs w:val="20"/>
          <w:lang w:val="es-VE"/>
        </w:rPr>
        <w:t xml:space="preserve"> cuñada Elba Flores. </w:t>
      </w:r>
      <w:r>
        <w:rPr>
          <w:rFonts w:ascii="Cambria" w:hAnsi="Cambria"/>
          <w:sz w:val="20"/>
          <w:szCs w:val="20"/>
          <w:lang w:val="es-VE"/>
        </w:rPr>
        <w:t>El señor Deras logró escapar al saltar el muro perimetral de su vivienda. Tanto Otilia como Elba fueron llevadas a las instalaciones de la DNI y trasladadas a la ciudad de Tegucigalpa, donde fueron amenazadas, vendadas y no se les dio comida ni bebida por días. Los agentes públicos las interrogaron para que indiquen el paradero del señor Deras. Ambas indicaron que el Teniente Marco Tulio Regalado estuvo a cargo de sus interrogatorios.</w:t>
      </w:r>
    </w:p>
    <w:p w14:paraId="5E9712CA" w14:textId="77777777" w:rsidR="00AD46FC" w:rsidRPr="006B1904" w:rsidRDefault="00AD46FC" w:rsidP="00212202">
      <w:pPr>
        <w:numPr>
          <w:ilvl w:val="0"/>
          <w:numId w:val="58"/>
        </w:numPr>
        <w:tabs>
          <w:tab w:val="left" w:pos="360"/>
          <w:tab w:val="left" w:pos="630"/>
        </w:tabs>
        <w:ind w:left="360" w:right="360" w:firstLine="0"/>
        <w:jc w:val="both"/>
        <w:rPr>
          <w:rFonts w:ascii="Times" w:eastAsia="Times New Roman" w:hAnsi="Times"/>
          <w:sz w:val="20"/>
          <w:szCs w:val="20"/>
          <w:bdr w:val="none" w:sz="0" w:space="0" w:color="auto"/>
          <w:lang w:val="es-CL"/>
        </w:rPr>
      </w:pPr>
      <w:r>
        <w:rPr>
          <w:rFonts w:ascii="Cambria" w:hAnsi="Cambria"/>
          <w:sz w:val="20"/>
          <w:szCs w:val="20"/>
          <w:lang w:val="es-VE"/>
        </w:rPr>
        <w:t xml:space="preserve">El mismo día el hermano del señor Deras, Luis Rolando, fue detenido por agentes públicos y llevado a las instalaciones de la DNI. Indicó que fue amenazado y “torturado físicamente”. Señaló que le indicaron que iban a encontrar y asesinar a su hermano Herminio “porque era </w:t>
      </w:r>
      <w:r w:rsidR="00AA30CA">
        <w:rPr>
          <w:rFonts w:ascii="Cambria" w:hAnsi="Cambria"/>
          <w:sz w:val="20"/>
          <w:szCs w:val="20"/>
          <w:lang w:val="es-VE"/>
        </w:rPr>
        <w:t xml:space="preserve">un </w:t>
      </w:r>
      <w:r>
        <w:rPr>
          <w:rFonts w:ascii="Cambria" w:hAnsi="Cambria"/>
          <w:sz w:val="20"/>
          <w:szCs w:val="20"/>
          <w:lang w:val="es-VE"/>
        </w:rPr>
        <w:t>comunista”.</w:t>
      </w:r>
    </w:p>
    <w:p w14:paraId="64B8B4D5" w14:textId="77777777" w:rsidR="000B11E0" w:rsidRPr="003A651A" w:rsidRDefault="000B11E0" w:rsidP="00212202">
      <w:pPr>
        <w:pStyle w:val="MediumGrid1-Accent21"/>
        <w:tabs>
          <w:tab w:val="left" w:pos="360"/>
          <w:tab w:val="left" w:pos="990"/>
        </w:tabs>
        <w:ind w:left="0"/>
        <w:jc w:val="both"/>
        <w:rPr>
          <w:rFonts w:eastAsia="Arial Unicode MS" w:cs="Times New Roman"/>
          <w:color w:val="auto"/>
          <w:sz w:val="20"/>
          <w:szCs w:val="20"/>
          <w:lang w:val="es-VE" w:eastAsia="en-US"/>
        </w:rPr>
      </w:pPr>
    </w:p>
    <w:p w14:paraId="1CFE4D56" w14:textId="77777777" w:rsidR="004E4EA1" w:rsidRPr="0056603B" w:rsidRDefault="00EC51FE" w:rsidP="00212202">
      <w:pPr>
        <w:tabs>
          <w:tab w:val="left" w:pos="360"/>
          <w:tab w:val="left" w:pos="720"/>
          <w:tab w:val="left" w:pos="990"/>
        </w:tabs>
        <w:jc w:val="both"/>
        <w:rPr>
          <w:b/>
          <w:sz w:val="20"/>
          <w:szCs w:val="20"/>
          <w:lang w:val="es-VE"/>
        </w:rPr>
      </w:pPr>
      <w:r>
        <w:rPr>
          <w:rFonts w:ascii="Cambria" w:eastAsia="Cambria" w:hAnsi="Cambria" w:cs="Cambria"/>
          <w:b/>
          <w:color w:val="000000"/>
          <w:sz w:val="20"/>
          <w:szCs w:val="20"/>
          <w:u w:color="000000"/>
          <w:lang w:val="es-VE" w:eastAsia="es-ES"/>
        </w:rPr>
        <w:tab/>
      </w:r>
      <w:r w:rsidR="004E4EA1" w:rsidRPr="004E4EA1">
        <w:rPr>
          <w:rFonts w:ascii="Cambria" w:eastAsia="Cambria" w:hAnsi="Cambria" w:cs="Cambria"/>
          <w:b/>
          <w:color w:val="000000"/>
          <w:sz w:val="20"/>
          <w:szCs w:val="20"/>
          <w:u w:color="000000"/>
          <w:lang w:val="es-VE" w:eastAsia="es-ES"/>
        </w:rPr>
        <w:t>1982</w:t>
      </w:r>
    </w:p>
    <w:p w14:paraId="62E99CAE" w14:textId="77777777" w:rsidR="00853D77" w:rsidRPr="004E4EA1" w:rsidRDefault="004E4EA1" w:rsidP="00212202">
      <w:pPr>
        <w:numPr>
          <w:ilvl w:val="0"/>
          <w:numId w:val="58"/>
        </w:numPr>
        <w:tabs>
          <w:tab w:val="left" w:pos="360"/>
          <w:tab w:val="left" w:pos="630"/>
        </w:tabs>
        <w:ind w:left="360" w:right="360" w:firstLine="0"/>
        <w:jc w:val="both"/>
        <w:rPr>
          <w:sz w:val="20"/>
          <w:szCs w:val="20"/>
          <w:lang w:val="es-VE"/>
        </w:rPr>
      </w:pPr>
      <w:r>
        <w:rPr>
          <w:rFonts w:ascii="Cambria" w:hAnsi="Cambria"/>
          <w:sz w:val="20"/>
          <w:szCs w:val="20"/>
          <w:lang w:val="es-VE"/>
        </w:rPr>
        <w:t>El</w:t>
      </w:r>
      <w:r w:rsidRPr="000B11E0">
        <w:rPr>
          <w:rFonts w:ascii="Cambria" w:hAnsi="Cambria"/>
          <w:sz w:val="20"/>
          <w:szCs w:val="20"/>
          <w:lang w:val="es-VE"/>
        </w:rPr>
        <w:t xml:space="preserve"> </w:t>
      </w:r>
      <w:r>
        <w:rPr>
          <w:rFonts w:ascii="Cambria" w:hAnsi="Cambria"/>
          <w:sz w:val="20"/>
          <w:szCs w:val="20"/>
          <w:lang w:val="es-VE"/>
        </w:rPr>
        <w:t>1 de enero la residencia del señor Deras fue ametrallada por personas desconocidas.</w:t>
      </w:r>
    </w:p>
    <w:p w14:paraId="372CA125" w14:textId="77777777" w:rsidR="004E4EA1" w:rsidRPr="00C60008" w:rsidRDefault="004E4EA1" w:rsidP="00212202">
      <w:pPr>
        <w:numPr>
          <w:ilvl w:val="0"/>
          <w:numId w:val="58"/>
        </w:numPr>
        <w:tabs>
          <w:tab w:val="left" w:pos="360"/>
          <w:tab w:val="left" w:pos="630"/>
        </w:tabs>
        <w:ind w:left="360" w:right="360" w:firstLine="0"/>
        <w:jc w:val="both"/>
        <w:rPr>
          <w:sz w:val="20"/>
          <w:szCs w:val="20"/>
          <w:lang w:val="es-VE"/>
        </w:rPr>
      </w:pPr>
      <w:r>
        <w:rPr>
          <w:rFonts w:ascii="Cambria" w:hAnsi="Cambria"/>
          <w:sz w:val="20"/>
          <w:szCs w:val="20"/>
          <w:lang w:val="es-VE"/>
        </w:rPr>
        <w:t xml:space="preserve">Durante este año la vivienda del señor Deras fue vigilada por “agentes encubiertos” desde una casa vecina que se encontraba desocupada, </w:t>
      </w:r>
      <w:r w:rsidR="00A3644B">
        <w:rPr>
          <w:rFonts w:ascii="Cambria" w:hAnsi="Cambria"/>
          <w:sz w:val="20"/>
          <w:szCs w:val="20"/>
          <w:lang w:val="es-VE"/>
        </w:rPr>
        <w:t>los cuales realizaban disparos a su domicilio.</w:t>
      </w:r>
    </w:p>
    <w:p w14:paraId="462ECB6D" w14:textId="77777777" w:rsidR="0058157C" w:rsidRPr="003A651A" w:rsidRDefault="0058157C" w:rsidP="00212202">
      <w:pPr>
        <w:tabs>
          <w:tab w:val="left" w:pos="360"/>
          <w:tab w:val="left" w:pos="1440"/>
        </w:tabs>
        <w:jc w:val="both"/>
        <w:rPr>
          <w:rFonts w:ascii="Cambria" w:hAnsi="Cambria"/>
          <w:sz w:val="20"/>
          <w:szCs w:val="20"/>
          <w:lang w:val="es-VE"/>
        </w:rPr>
      </w:pPr>
    </w:p>
    <w:p w14:paraId="0C3EFD47" w14:textId="77777777" w:rsidR="004E6568" w:rsidRPr="00EC51FE" w:rsidRDefault="007266DC" w:rsidP="00212202">
      <w:pPr>
        <w:pStyle w:val="Heading2"/>
        <w:numPr>
          <w:ilvl w:val="0"/>
          <w:numId w:val="61"/>
        </w:numPr>
        <w:tabs>
          <w:tab w:val="left" w:pos="360"/>
        </w:tabs>
        <w:ind w:left="360"/>
        <w:jc w:val="both"/>
      </w:pPr>
      <w:bookmarkStart w:id="16" w:name="_Toc15048000"/>
      <w:bookmarkStart w:id="17" w:name="_Toc21442036"/>
      <w:r w:rsidRPr="00EC51FE">
        <w:t>Sobre la muerte del señor Deras</w:t>
      </w:r>
      <w:r w:rsidR="001B6053" w:rsidRPr="00EC51FE">
        <w:t xml:space="preserve"> y los hechos ocurridos </w:t>
      </w:r>
      <w:r w:rsidR="004F5102">
        <w:t xml:space="preserve">con posterioridad </w:t>
      </w:r>
      <w:r w:rsidR="001B6053" w:rsidRPr="00EC51FE">
        <w:t>en perjuicio de su familia</w:t>
      </w:r>
      <w:bookmarkEnd w:id="16"/>
      <w:bookmarkEnd w:id="17"/>
    </w:p>
    <w:p w14:paraId="678736C0" w14:textId="77777777" w:rsidR="007266DC" w:rsidRPr="003A651A" w:rsidRDefault="007266DC" w:rsidP="00212202">
      <w:pPr>
        <w:tabs>
          <w:tab w:val="left" w:pos="360"/>
          <w:tab w:val="left" w:pos="1440"/>
        </w:tabs>
        <w:jc w:val="both"/>
        <w:rPr>
          <w:rFonts w:ascii="Cambria" w:hAnsi="Cambria"/>
          <w:sz w:val="20"/>
          <w:szCs w:val="20"/>
          <w:lang w:val="es-VE"/>
        </w:rPr>
      </w:pPr>
    </w:p>
    <w:p w14:paraId="494C592A" w14:textId="77777777" w:rsidR="00AA30CA" w:rsidRPr="003A651A" w:rsidRDefault="00AA30CA"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De acuerdo a lo manifestado por la parte peticionara e Irma Deras, hermana del señor Deras, e</w:t>
      </w:r>
      <w:r w:rsidR="007266DC" w:rsidRPr="003A651A">
        <w:rPr>
          <w:rFonts w:ascii="Cambria" w:hAnsi="Cambria"/>
          <w:sz w:val="20"/>
          <w:szCs w:val="20"/>
          <w:lang w:val="es-VE"/>
        </w:rPr>
        <w:t xml:space="preserve">l 26 de </w:t>
      </w:r>
      <w:r w:rsidR="001818CB">
        <w:rPr>
          <w:rFonts w:ascii="Cambria" w:hAnsi="Cambria"/>
          <w:sz w:val="20"/>
          <w:szCs w:val="20"/>
          <w:lang w:val="es-VE"/>
        </w:rPr>
        <w:t>enero de 1983</w:t>
      </w:r>
      <w:r w:rsidR="00D74459" w:rsidRPr="003A651A">
        <w:rPr>
          <w:rFonts w:ascii="Cambria" w:hAnsi="Cambria"/>
          <w:sz w:val="20"/>
          <w:szCs w:val="20"/>
          <w:lang w:val="es-VE"/>
        </w:rPr>
        <w:t xml:space="preserve"> </w:t>
      </w:r>
      <w:r w:rsidRPr="003A651A">
        <w:rPr>
          <w:rFonts w:ascii="Cambria" w:hAnsi="Cambria"/>
          <w:sz w:val="20"/>
          <w:szCs w:val="20"/>
          <w:lang w:val="es-VE"/>
        </w:rPr>
        <w:t xml:space="preserve">Herminio pidió a su padre </w:t>
      </w:r>
      <w:r w:rsidR="00D74459" w:rsidRPr="003A651A">
        <w:rPr>
          <w:rFonts w:ascii="Cambria" w:hAnsi="Cambria"/>
          <w:sz w:val="20"/>
          <w:szCs w:val="20"/>
          <w:lang w:val="es-VE"/>
        </w:rPr>
        <w:t xml:space="preserve">que intercambiaran de </w:t>
      </w:r>
      <w:r w:rsidRPr="003A651A">
        <w:rPr>
          <w:rFonts w:ascii="Cambria" w:hAnsi="Cambria"/>
          <w:sz w:val="20"/>
          <w:szCs w:val="20"/>
          <w:lang w:val="es-VE"/>
        </w:rPr>
        <w:t xml:space="preserve">autos. Ello debido a que </w:t>
      </w:r>
      <w:r w:rsidR="00D74459" w:rsidRPr="003A651A">
        <w:rPr>
          <w:rFonts w:ascii="Cambria" w:hAnsi="Cambria"/>
          <w:sz w:val="20"/>
          <w:szCs w:val="20"/>
          <w:lang w:val="es-VE"/>
        </w:rPr>
        <w:t xml:space="preserve">la policía de tránsito </w:t>
      </w:r>
      <w:r w:rsidRPr="003A651A">
        <w:rPr>
          <w:rFonts w:ascii="Cambria" w:hAnsi="Cambria"/>
          <w:sz w:val="20"/>
          <w:szCs w:val="20"/>
          <w:lang w:val="es-VE"/>
        </w:rPr>
        <w:t xml:space="preserve">lo </w:t>
      </w:r>
      <w:r w:rsidR="00BC3E74" w:rsidRPr="003A651A">
        <w:rPr>
          <w:rFonts w:ascii="Cambria" w:hAnsi="Cambria"/>
          <w:sz w:val="20"/>
          <w:szCs w:val="20"/>
          <w:lang w:val="es-VE"/>
        </w:rPr>
        <w:t>interceptó</w:t>
      </w:r>
      <w:r w:rsidRPr="003A651A">
        <w:rPr>
          <w:rFonts w:ascii="Cambria" w:hAnsi="Cambria"/>
          <w:sz w:val="20"/>
          <w:szCs w:val="20"/>
          <w:lang w:val="es-VE"/>
        </w:rPr>
        <w:t xml:space="preserve"> y anot</w:t>
      </w:r>
      <w:r w:rsidR="00BC3E74" w:rsidRPr="003A651A">
        <w:rPr>
          <w:rFonts w:ascii="Cambria" w:hAnsi="Cambria"/>
          <w:sz w:val="20"/>
          <w:szCs w:val="20"/>
          <w:lang w:val="es-VE"/>
        </w:rPr>
        <w:t>ó</w:t>
      </w:r>
      <w:r w:rsidRPr="003A651A">
        <w:rPr>
          <w:rFonts w:ascii="Cambria" w:hAnsi="Cambria"/>
          <w:sz w:val="20"/>
          <w:szCs w:val="20"/>
          <w:lang w:val="es-VE"/>
        </w:rPr>
        <w:t xml:space="preserve"> el número de placa de su vehículo. </w:t>
      </w:r>
      <w:r w:rsidR="001818CB">
        <w:rPr>
          <w:rFonts w:ascii="Cambria" w:hAnsi="Cambria"/>
          <w:sz w:val="20"/>
          <w:szCs w:val="20"/>
          <w:lang w:val="es-VE"/>
        </w:rPr>
        <w:t>Señalaron que e</w:t>
      </w:r>
      <w:r w:rsidR="00BC3E74" w:rsidRPr="003A651A">
        <w:rPr>
          <w:rFonts w:ascii="Cambria" w:hAnsi="Cambria"/>
          <w:sz w:val="20"/>
          <w:szCs w:val="20"/>
          <w:lang w:val="es-VE"/>
        </w:rPr>
        <w:t>l señor Deras manifestó que “temía que lo capturaran y desaparecier</w:t>
      </w:r>
      <w:r w:rsidR="0058157C">
        <w:rPr>
          <w:rFonts w:ascii="Cambria" w:hAnsi="Cambria"/>
          <w:sz w:val="20"/>
          <w:szCs w:val="20"/>
          <w:lang w:val="es-VE"/>
        </w:rPr>
        <w:t>a</w:t>
      </w:r>
      <w:r w:rsidR="00BC3E74" w:rsidRPr="003A651A">
        <w:rPr>
          <w:rFonts w:ascii="Cambria" w:hAnsi="Cambria"/>
          <w:sz w:val="20"/>
          <w:szCs w:val="20"/>
          <w:lang w:val="es-VE"/>
        </w:rPr>
        <w:t xml:space="preserve">n”. </w:t>
      </w:r>
      <w:r w:rsidR="001818CB">
        <w:rPr>
          <w:rFonts w:ascii="Cambria" w:hAnsi="Cambria"/>
          <w:sz w:val="20"/>
          <w:szCs w:val="20"/>
          <w:lang w:val="es-VE"/>
        </w:rPr>
        <w:t>Agregaron que el</w:t>
      </w:r>
      <w:r w:rsidR="00BC3E74" w:rsidRPr="003A651A">
        <w:rPr>
          <w:rFonts w:ascii="Cambria" w:hAnsi="Cambria"/>
          <w:sz w:val="20"/>
          <w:szCs w:val="20"/>
          <w:lang w:val="es-VE"/>
        </w:rPr>
        <w:t xml:space="preserve"> padre</w:t>
      </w:r>
      <w:r w:rsidR="001818CB">
        <w:rPr>
          <w:rFonts w:ascii="Cambria" w:hAnsi="Cambria"/>
          <w:sz w:val="20"/>
          <w:szCs w:val="20"/>
          <w:lang w:val="es-VE"/>
        </w:rPr>
        <w:t xml:space="preserve"> del señor Deras se negó a hacerlo y </w:t>
      </w:r>
      <w:r w:rsidR="00BC3E74" w:rsidRPr="003A651A">
        <w:rPr>
          <w:rFonts w:ascii="Cambria" w:hAnsi="Cambria"/>
          <w:sz w:val="20"/>
          <w:szCs w:val="20"/>
          <w:lang w:val="es-VE"/>
        </w:rPr>
        <w:t>pidió</w:t>
      </w:r>
      <w:r w:rsidR="001818CB">
        <w:rPr>
          <w:rFonts w:ascii="Cambria" w:hAnsi="Cambria"/>
          <w:sz w:val="20"/>
          <w:szCs w:val="20"/>
          <w:lang w:val="es-VE"/>
        </w:rPr>
        <w:t xml:space="preserve"> a su hijo</w:t>
      </w:r>
      <w:r w:rsidR="00BC3E74" w:rsidRPr="003A651A">
        <w:rPr>
          <w:rFonts w:ascii="Cambria" w:hAnsi="Cambria"/>
          <w:sz w:val="20"/>
          <w:szCs w:val="20"/>
          <w:lang w:val="es-VE"/>
        </w:rPr>
        <w:t xml:space="preserve"> que </w:t>
      </w:r>
      <w:r w:rsidR="001818CB">
        <w:rPr>
          <w:rFonts w:ascii="Cambria" w:hAnsi="Cambria"/>
          <w:sz w:val="20"/>
          <w:szCs w:val="20"/>
          <w:lang w:val="es-VE"/>
        </w:rPr>
        <w:t>“</w:t>
      </w:r>
      <w:r w:rsidR="00BC3E74" w:rsidRPr="003A651A">
        <w:rPr>
          <w:rFonts w:ascii="Cambria" w:hAnsi="Cambria"/>
          <w:sz w:val="20"/>
          <w:szCs w:val="20"/>
          <w:lang w:val="es-VE"/>
        </w:rPr>
        <w:t>salga del país lo antes posible</w:t>
      </w:r>
      <w:r w:rsidR="001818CB">
        <w:rPr>
          <w:rFonts w:ascii="Cambria" w:hAnsi="Cambria"/>
          <w:sz w:val="20"/>
          <w:szCs w:val="20"/>
          <w:lang w:val="es-VE"/>
        </w:rPr>
        <w:t>”</w:t>
      </w:r>
      <w:r w:rsidR="00BC3E74" w:rsidRPr="00BC3E74">
        <w:rPr>
          <w:rStyle w:val="FootnoteReference"/>
          <w:rFonts w:ascii="Cambria" w:hAnsi="Cambria"/>
          <w:sz w:val="20"/>
          <w:szCs w:val="20"/>
          <w:lang w:val="es-VE"/>
        </w:rPr>
        <w:footnoteReference w:id="11"/>
      </w:r>
      <w:r w:rsidR="00BC3E74" w:rsidRPr="003A651A">
        <w:rPr>
          <w:rFonts w:ascii="Cambria" w:hAnsi="Cambria"/>
          <w:sz w:val="20"/>
          <w:szCs w:val="20"/>
          <w:lang w:val="es-VE"/>
        </w:rPr>
        <w:t>.</w:t>
      </w:r>
    </w:p>
    <w:p w14:paraId="11056BF0" w14:textId="77777777" w:rsidR="004209E0" w:rsidRPr="003A651A" w:rsidRDefault="004209E0" w:rsidP="00212202">
      <w:pPr>
        <w:tabs>
          <w:tab w:val="left" w:pos="360"/>
          <w:tab w:val="left" w:pos="1440"/>
        </w:tabs>
        <w:ind w:left="630"/>
        <w:jc w:val="both"/>
        <w:rPr>
          <w:rFonts w:ascii="Cambria" w:hAnsi="Cambria"/>
          <w:sz w:val="20"/>
          <w:szCs w:val="20"/>
          <w:lang w:val="es-VE"/>
        </w:rPr>
      </w:pPr>
    </w:p>
    <w:p w14:paraId="180A9B33" w14:textId="77777777" w:rsidR="002D38EE" w:rsidRPr="003A651A" w:rsidRDefault="00EE7D35"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b/>
          <w:sz w:val="20"/>
          <w:szCs w:val="20"/>
          <w:lang w:val="es-VE"/>
        </w:rPr>
      </w:pPr>
      <w:r w:rsidRPr="003A651A">
        <w:rPr>
          <w:rFonts w:ascii="Cambria" w:hAnsi="Cambria"/>
          <w:sz w:val="20"/>
          <w:szCs w:val="20"/>
          <w:lang w:val="es-VE"/>
        </w:rPr>
        <w:t>En la madrugada del</w:t>
      </w:r>
      <w:r w:rsidR="002D38EE" w:rsidRPr="003A651A">
        <w:rPr>
          <w:rFonts w:ascii="Cambria" w:hAnsi="Cambria"/>
          <w:sz w:val="20"/>
          <w:szCs w:val="20"/>
          <w:lang w:val="es-VE"/>
        </w:rPr>
        <w:t xml:space="preserve"> 29 de enero de 1983 </w:t>
      </w:r>
      <w:r w:rsidR="00EB7E59" w:rsidRPr="003A651A">
        <w:rPr>
          <w:rFonts w:ascii="Cambria" w:hAnsi="Cambria"/>
          <w:sz w:val="20"/>
          <w:szCs w:val="20"/>
          <w:lang w:val="es-VE"/>
        </w:rPr>
        <w:t xml:space="preserve">Herminio Deras </w:t>
      </w:r>
      <w:r w:rsidR="002D38EE" w:rsidRPr="003A651A">
        <w:rPr>
          <w:rFonts w:ascii="Cambria" w:hAnsi="Cambria"/>
          <w:sz w:val="20"/>
          <w:szCs w:val="20"/>
          <w:lang w:val="es-VE"/>
        </w:rPr>
        <w:t xml:space="preserve">se encontraba manejando su vehículo en el barrio Las Flores en San Pedro Sula cuando fue interceptado por el oficial de tránsito Fausto Reyes. De acuerdo a la declaración del señor </w:t>
      </w:r>
      <w:r w:rsidR="009738D3" w:rsidRPr="003A651A">
        <w:rPr>
          <w:rFonts w:ascii="Cambria" w:hAnsi="Cambria"/>
          <w:sz w:val="20"/>
          <w:szCs w:val="20"/>
          <w:lang w:val="es-VE"/>
        </w:rPr>
        <w:t xml:space="preserve">Reyes, ese día se “montó un operativo de registro de documentos” ordenado por el Capitán </w:t>
      </w:r>
      <w:r w:rsidR="009738D3" w:rsidRPr="009738D3">
        <w:rPr>
          <w:rFonts w:ascii="Cambria" w:hAnsi="Cambria"/>
          <w:sz w:val="20"/>
          <w:szCs w:val="20"/>
          <w:lang w:val="es-VE"/>
        </w:rPr>
        <w:t>Rafael Canales Núñez, a cargo del Batallón de Inteligencia 3-16</w:t>
      </w:r>
      <w:r w:rsidR="009738D3">
        <w:rPr>
          <w:rFonts w:ascii="Cambria" w:hAnsi="Cambria"/>
          <w:sz w:val="20"/>
          <w:szCs w:val="20"/>
          <w:lang w:val="es-VE"/>
        </w:rPr>
        <w:t>. El señor Reyes sostuvo que el Capitán Canales le advirtió que dicho operativo “era una misión especial” en tanto se tenía como objetivo “</w:t>
      </w:r>
      <w:r w:rsidR="009738D3" w:rsidRPr="009738D3">
        <w:rPr>
          <w:rFonts w:ascii="Cambria" w:hAnsi="Cambria"/>
          <w:sz w:val="20"/>
          <w:szCs w:val="20"/>
          <w:lang w:val="es-VE"/>
        </w:rPr>
        <w:t>detener y poner bajo disposición de la Fuerza de Seguridad</w:t>
      </w:r>
      <w:r w:rsidR="009738D3">
        <w:rPr>
          <w:rFonts w:ascii="Cambria" w:hAnsi="Cambria"/>
          <w:sz w:val="20"/>
          <w:szCs w:val="20"/>
          <w:lang w:val="es-VE"/>
        </w:rPr>
        <w:t xml:space="preserve">” a “un terrorista”. Agregó que la persona a cargo de dicha misión </w:t>
      </w:r>
      <w:r w:rsidR="0058157C">
        <w:rPr>
          <w:rFonts w:ascii="Cambria" w:hAnsi="Cambria"/>
          <w:sz w:val="20"/>
          <w:szCs w:val="20"/>
          <w:lang w:val="es-VE"/>
        </w:rPr>
        <w:t>era</w:t>
      </w:r>
      <w:r w:rsidR="009738D3">
        <w:rPr>
          <w:rFonts w:ascii="Cambria" w:hAnsi="Cambria"/>
          <w:sz w:val="20"/>
          <w:szCs w:val="20"/>
          <w:lang w:val="es-VE"/>
        </w:rPr>
        <w:t xml:space="preserve"> el Teniente Marco Tulio Regalado.</w:t>
      </w:r>
    </w:p>
    <w:p w14:paraId="69F0B22A" w14:textId="77777777" w:rsidR="002D38EE" w:rsidRPr="003A651A" w:rsidRDefault="002D38EE" w:rsidP="00212202">
      <w:pPr>
        <w:tabs>
          <w:tab w:val="left" w:pos="360"/>
          <w:tab w:val="left" w:pos="1440"/>
        </w:tabs>
        <w:jc w:val="both"/>
        <w:rPr>
          <w:rFonts w:ascii="Cambria" w:hAnsi="Cambria"/>
          <w:sz w:val="20"/>
          <w:szCs w:val="20"/>
          <w:lang w:val="es-VE"/>
        </w:rPr>
      </w:pPr>
    </w:p>
    <w:p w14:paraId="51EFEFC4" w14:textId="77777777" w:rsidR="00DB477F" w:rsidRPr="003A651A" w:rsidRDefault="009E0CDD"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El señor Reyes manifestó que mientras “hacía la revisión de rutina” al vehículo del señor Deras, “se parqueó (...) un vehículo” de donde “se bajaron dos (...) miembros de contrainteligencia </w:t>
      </w:r>
      <w:r w:rsidRPr="009E0CDD">
        <w:rPr>
          <w:rFonts w:ascii="Cambria" w:hAnsi="Cambria"/>
          <w:sz w:val="20"/>
          <w:szCs w:val="20"/>
          <w:lang w:val="es-VE"/>
        </w:rPr>
        <w:t>militar, conocido como el  batallón 3-16”</w:t>
      </w:r>
      <w:r w:rsidRPr="003A651A">
        <w:rPr>
          <w:rFonts w:ascii="Cambria" w:hAnsi="Cambria"/>
          <w:sz w:val="20"/>
          <w:szCs w:val="20"/>
          <w:lang w:val="es-VE"/>
        </w:rPr>
        <w:t xml:space="preserve">. Indicó que uno de estos dos oficiales era el Teniente </w:t>
      </w:r>
      <w:r w:rsidRPr="009E0CDD">
        <w:rPr>
          <w:rFonts w:ascii="Cambria" w:hAnsi="Cambria"/>
          <w:sz w:val="20"/>
          <w:szCs w:val="20"/>
          <w:lang w:val="es-VE"/>
        </w:rPr>
        <w:t>Marco Tulio Regalado</w:t>
      </w:r>
      <w:r>
        <w:rPr>
          <w:rFonts w:ascii="Cambria" w:hAnsi="Cambria"/>
          <w:sz w:val="20"/>
          <w:szCs w:val="20"/>
          <w:lang w:val="es-VE"/>
        </w:rPr>
        <w:t xml:space="preserve">, los cuales ingresaron al vehículo del señor Deras. </w:t>
      </w:r>
      <w:r w:rsidR="00DB477F">
        <w:rPr>
          <w:rFonts w:ascii="Cambria" w:hAnsi="Cambria"/>
          <w:sz w:val="20"/>
          <w:szCs w:val="20"/>
          <w:lang w:val="es-VE"/>
        </w:rPr>
        <w:t xml:space="preserve">Manifestó que </w:t>
      </w:r>
      <w:r w:rsidR="00DB477F" w:rsidRPr="00DB477F">
        <w:rPr>
          <w:rFonts w:ascii="Cambria" w:hAnsi="Cambria"/>
          <w:sz w:val="20"/>
          <w:szCs w:val="20"/>
          <w:lang w:val="es-VE"/>
        </w:rPr>
        <w:t>“se comentaba qu</w:t>
      </w:r>
      <w:r w:rsidR="00DB477F">
        <w:rPr>
          <w:rFonts w:ascii="Cambria" w:hAnsi="Cambria"/>
          <w:sz w:val="20"/>
          <w:szCs w:val="20"/>
          <w:lang w:val="es-VE"/>
        </w:rPr>
        <w:t xml:space="preserve">e Marco Tulio, era un enfermo, </w:t>
      </w:r>
      <w:r w:rsidR="00DB477F" w:rsidRPr="00DB477F">
        <w:rPr>
          <w:rFonts w:ascii="Cambria" w:hAnsi="Cambria"/>
          <w:sz w:val="20"/>
          <w:szCs w:val="20"/>
          <w:lang w:val="es-VE"/>
        </w:rPr>
        <w:t>dijo que no podí</w:t>
      </w:r>
      <w:r w:rsidR="00DB477F">
        <w:rPr>
          <w:rFonts w:ascii="Cambria" w:hAnsi="Cambria"/>
          <w:sz w:val="20"/>
          <w:szCs w:val="20"/>
          <w:lang w:val="es-VE"/>
        </w:rPr>
        <w:t xml:space="preserve">a vivir sin matar a un persona (...) </w:t>
      </w:r>
      <w:r w:rsidR="00DB477F" w:rsidRPr="00DB477F">
        <w:rPr>
          <w:rFonts w:ascii="Cambria" w:hAnsi="Cambria"/>
          <w:sz w:val="20"/>
          <w:szCs w:val="20"/>
          <w:lang w:val="es-VE"/>
        </w:rPr>
        <w:t>yo personalmente, sé que es un hombre muy violento</w:t>
      </w:r>
      <w:r w:rsidR="00DB477F">
        <w:rPr>
          <w:rFonts w:ascii="Cambria" w:hAnsi="Cambria"/>
          <w:sz w:val="20"/>
          <w:szCs w:val="20"/>
          <w:lang w:val="es-VE"/>
        </w:rPr>
        <w:t>”.</w:t>
      </w:r>
    </w:p>
    <w:p w14:paraId="7CCE0B5D" w14:textId="77777777" w:rsidR="00DB477F" w:rsidRDefault="00DB477F" w:rsidP="00212202">
      <w:pPr>
        <w:tabs>
          <w:tab w:val="left" w:pos="360"/>
          <w:tab w:val="left" w:pos="1440"/>
        </w:tabs>
        <w:jc w:val="both"/>
        <w:rPr>
          <w:rFonts w:ascii="Cambria" w:hAnsi="Cambria"/>
          <w:sz w:val="20"/>
          <w:szCs w:val="20"/>
          <w:lang w:val="es-VE"/>
        </w:rPr>
      </w:pPr>
    </w:p>
    <w:p w14:paraId="0796F4D6" w14:textId="77777777" w:rsidR="002D38EE" w:rsidRPr="003A651A" w:rsidRDefault="009E0CDD"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DB477F">
        <w:rPr>
          <w:rFonts w:ascii="Cambria" w:hAnsi="Cambria"/>
          <w:sz w:val="20"/>
          <w:szCs w:val="20"/>
          <w:lang w:val="es-VE"/>
        </w:rPr>
        <w:t>Sostuvo que al preguntar al Teniente</w:t>
      </w:r>
      <w:r w:rsidR="00642E8B" w:rsidRPr="00DB477F">
        <w:rPr>
          <w:rFonts w:ascii="Cambria" w:hAnsi="Cambria"/>
          <w:sz w:val="20"/>
          <w:szCs w:val="20"/>
          <w:lang w:val="es-VE"/>
        </w:rPr>
        <w:t xml:space="preserve"> </w:t>
      </w:r>
      <w:r w:rsidR="00DB477F" w:rsidRPr="00DB477F">
        <w:rPr>
          <w:rFonts w:ascii="Cambria" w:hAnsi="Cambria"/>
          <w:sz w:val="20"/>
          <w:szCs w:val="20"/>
          <w:lang w:val="es-VE"/>
        </w:rPr>
        <w:t xml:space="preserve">Marco Tulio </w:t>
      </w:r>
      <w:r w:rsidR="00642E8B" w:rsidRPr="00DB477F">
        <w:rPr>
          <w:rFonts w:ascii="Cambria" w:hAnsi="Cambria"/>
          <w:sz w:val="20"/>
          <w:szCs w:val="20"/>
          <w:lang w:val="es-VE"/>
        </w:rPr>
        <w:t xml:space="preserve">Regalado por qué motivo se lo iban a llevar, éste le indicó que “eran órdenes superiores”. Explicó que vio al señor Deras conduciendo el auto junto con los dos oficiales. </w:t>
      </w:r>
      <w:r w:rsidR="008C768F">
        <w:rPr>
          <w:rFonts w:ascii="Cambria" w:hAnsi="Cambria"/>
          <w:sz w:val="20"/>
          <w:szCs w:val="20"/>
          <w:lang w:val="es-VE"/>
        </w:rPr>
        <w:t>El señor Reyes a</w:t>
      </w:r>
      <w:r w:rsidR="00642E8B" w:rsidRPr="00DB477F">
        <w:rPr>
          <w:rFonts w:ascii="Cambria" w:hAnsi="Cambria"/>
          <w:sz w:val="20"/>
          <w:szCs w:val="20"/>
          <w:lang w:val="es-VE"/>
        </w:rPr>
        <w:t>gregó que momentos después, mientras se encontraba comprando café en un mercado cercano, oyó un disparo de bala. Manifestó que cuando llegó al lugar de los hechos “allí estaba el señor Herminio, sin vida, estaba dentro del carro en la calle”</w:t>
      </w:r>
      <w:r w:rsidR="00642E8B" w:rsidRPr="00642E8B">
        <w:rPr>
          <w:rStyle w:val="FootnoteReference"/>
          <w:rFonts w:ascii="Cambria" w:hAnsi="Cambria"/>
          <w:sz w:val="20"/>
          <w:szCs w:val="20"/>
          <w:lang w:val="es-VE"/>
        </w:rPr>
        <w:footnoteReference w:id="12"/>
      </w:r>
      <w:r w:rsidR="00642E8B" w:rsidRPr="00DB477F">
        <w:rPr>
          <w:rFonts w:ascii="Cambria" w:hAnsi="Cambria"/>
          <w:sz w:val="20"/>
          <w:szCs w:val="20"/>
          <w:lang w:val="es-VE"/>
        </w:rPr>
        <w:t>.</w:t>
      </w:r>
    </w:p>
    <w:p w14:paraId="453B6792" w14:textId="77777777" w:rsidR="00642E8B" w:rsidRPr="003A651A" w:rsidRDefault="00642E8B" w:rsidP="00212202">
      <w:pPr>
        <w:tabs>
          <w:tab w:val="left" w:pos="360"/>
          <w:tab w:val="left" w:pos="1440"/>
        </w:tabs>
        <w:jc w:val="both"/>
        <w:rPr>
          <w:rFonts w:ascii="Cambria" w:hAnsi="Cambria"/>
          <w:sz w:val="20"/>
          <w:szCs w:val="20"/>
          <w:lang w:val="es-VE"/>
        </w:rPr>
      </w:pPr>
    </w:p>
    <w:p w14:paraId="13011DDD" w14:textId="77777777" w:rsidR="00642E8B" w:rsidRPr="003A651A" w:rsidRDefault="00642E8B"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Asimismo, la Comisión toma nota de que </w:t>
      </w:r>
      <w:r w:rsidR="00EE7D35">
        <w:rPr>
          <w:rFonts w:ascii="Cambria" w:hAnsi="Cambria"/>
          <w:sz w:val="20"/>
          <w:szCs w:val="20"/>
          <w:lang w:val="es-VE"/>
        </w:rPr>
        <w:t>Irma Isabel Deras</w:t>
      </w:r>
      <w:r>
        <w:rPr>
          <w:rFonts w:ascii="Cambria" w:hAnsi="Cambria"/>
          <w:sz w:val="20"/>
          <w:szCs w:val="20"/>
          <w:lang w:val="es-VE"/>
        </w:rPr>
        <w:t xml:space="preserve"> manifestó </w:t>
      </w:r>
      <w:r w:rsidR="00EE7D35">
        <w:rPr>
          <w:rFonts w:ascii="Cambria" w:hAnsi="Cambria"/>
          <w:sz w:val="20"/>
          <w:szCs w:val="20"/>
          <w:lang w:val="es-VE"/>
        </w:rPr>
        <w:t>lo siguiente sobre la muerte de su hermano:</w:t>
      </w:r>
    </w:p>
    <w:p w14:paraId="2CE36840" w14:textId="77777777" w:rsidR="00EE7D35" w:rsidRPr="003A651A" w:rsidRDefault="00EE7D35" w:rsidP="00212202">
      <w:pPr>
        <w:tabs>
          <w:tab w:val="left" w:pos="360"/>
          <w:tab w:val="left" w:pos="1440"/>
        </w:tabs>
        <w:jc w:val="both"/>
        <w:rPr>
          <w:rFonts w:ascii="Cambria" w:hAnsi="Cambria"/>
          <w:sz w:val="20"/>
          <w:szCs w:val="20"/>
          <w:lang w:val="es-VE"/>
        </w:rPr>
      </w:pPr>
    </w:p>
    <w:p w14:paraId="2B23253C" w14:textId="77777777" w:rsidR="00EE7D35" w:rsidRPr="00DD7055" w:rsidRDefault="00EE7D35" w:rsidP="00212202">
      <w:pPr>
        <w:pStyle w:val="ListParagraph"/>
        <w:tabs>
          <w:tab w:val="left" w:pos="360"/>
        </w:tabs>
        <w:ind w:left="360" w:right="360"/>
        <w:jc w:val="both"/>
        <w:rPr>
          <w:rFonts w:ascii="Cambria" w:hAnsi="Cambria"/>
          <w:sz w:val="18"/>
          <w:szCs w:val="18"/>
          <w:lang w:val="es-VE"/>
        </w:rPr>
      </w:pPr>
      <w:r w:rsidRPr="00DD7055">
        <w:rPr>
          <w:rFonts w:ascii="Cambria" w:eastAsia="Times New Roman" w:hAnsi="Cambria" w:cs="Arial"/>
          <w:sz w:val="18"/>
          <w:szCs w:val="18"/>
          <w:bdr w:val="none" w:sz="0" w:space="0" w:color="auto"/>
          <w:shd w:val="clear" w:color="auto" w:fill="FFFFFF"/>
          <w:lang w:val="es-CL"/>
        </w:rPr>
        <w:t>[Herminio Deras]</w:t>
      </w:r>
      <w:r w:rsidRPr="00DD7055">
        <w:rPr>
          <w:rFonts w:ascii="Cambria" w:hAnsi="Cambria"/>
          <w:sz w:val="18"/>
          <w:szCs w:val="18"/>
          <w:lang w:val="es-VE"/>
        </w:rPr>
        <w:t xml:space="preserve"> </w:t>
      </w:r>
      <w:r w:rsidR="006C517C" w:rsidRPr="00DD7055">
        <w:rPr>
          <w:rFonts w:ascii="Cambria" w:hAnsi="Cambria"/>
          <w:sz w:val="18"/>
          <w:szCs w:val="18"/>
          <w:lang w:val="es-VE"/>
        </w:rPr>
        <w:t xml:space="preserve">forzó con sus captores, quienes querían introducirlo al vehículo, y al no lograrlo le </w:t>
      </w:r>
      <w:r w:rsidR="006C517C" w:rsidRPr="00212202">
        <w:rPr>
          <w:rFonts w:ascii="Cambria" w:hAnsi="Cambria"/>
          <w:sz w:val="18"/>
          <w:szCs w:val="18"/>
          <w:lang w:val="es-CL"/>
        </w:rPr>
        <w:t>dispararon</w:t>
      </w:r>
      <w:r w:rsidR="006C517C" w:rsidRPr="00DD7055">
        <w:rPr>
          <w:rFonts w:ascii="Cambria" w:hAnsi="Cambria"/>
          <w:sz w:val="18"/>
          <w:szCs w:val="18"/>
          <w:lang w:val="es-VE"/>
        </w:rPr>
        <w:t>, contamos casi 30 disparos que presentaba su cuerpo (…)</w:t>
      </w:r>
      <w:r w:rsidR="00C3478E" w:rsidRPr="00DD7055">
        <w:rPr>
          <w:rFonts w:ascii="Cambria" w:hAnsi="Cambria"/>
          <w:sz w:val="18"/>
          <w:szCs w:val="18"/>
          <w:lang w:val="es-VE"/>
        </w:rPr>
        <w:t>.</w:t>
      </w:r>
      <w:r w:rsidRPr="00DD7055">
        <w:rPr>
          <w:rFonts w:ascii="Cambria" w:hAnsi="Cambria"/>
          <w:sz w:val="18"/>
          <w:szCs w:val="18"/>
          <w:lang w:val="es-VE"/>
        </w:rPr>
        <w:t xml:space="preserve"> En el momento que lo forsejenado (sic) pasó un taxista a quien Herminio le gritaba que avisara a sus familiares, pero este señor fue amenazado por el hombre de la motocicleta. Esto lo sabemos porque él nos envió una nota donde contaba eso pero no la firmó por eso no </w:t>
      </w:r>
      <w:r w:rsidRPr="00DD7055">
        <w:rPr>
          <w:rFonts w:ascii="Cambria" w:hAnsi="Cambria"/>
          <w:sz w:val="18"/>
          <w:szCs w:val="18"/>
          <w:lang w:val="es-VE"/>
        </w:rPr>
        <w:lastRenderedPageBreak/>
        <w:t>pudimos localizarlo (...) ahora que el señor Fausto Reyes ha hecho pública</w:t>
      </w:r>
      <w:r w:rsidR="00EF2976">
        <w:rPr>
          <w:rFonts w:ascii="Cambria" w:hAnsi="Cambria"/>
          <w:sz w:val="18"/>
          <w:szCs w:val="18"/>
          <w:lang w:val="es-VE"/>
        </w:rPr>
        <w:t>s</w:t>
      </w:r>
      <w:r w:rsidRPr="00DD7055">
        <w:rPr>
          <w:rFonts w:ascii="Cambria" w:hAnsi="Cambria"/>
          <w:sz w:val="18"/>
          <w:szCs w:val="18"/>
          <w:lang w:val="es-VE"/>
        </w:rPr>
        <w:t xml:space="preserve"> sus declaraciones, entiendo que fue el quien sacó a Herminio del carro, y se lo entregó a quienes lo asesinaron</w:t>
      </w:r>
      <w:r w:rsidRPr="00DD7055">
        <w:rPr>
          <w:rStyle w:val="FootnoteReference"/>
          <w:rFonts w:ascii="Cambria" w:hAnsi="Cambria"/>
          <w:sz w:val="18"/>
          <w:szCs w:val="18"/>
          <w:lang w:val="es-VE"/>
        </w:rPr>
        <w:footnoteReference w:id="13"/>
      </w:r>
      <w:r w:rsidRPr="00DD7055">
        <w:rPr>
          <w:rFonts w:ascii="Cambria" w:hAnsi="Cambria"/>
          <w:sz w:val="18"/>
          <w:szCs w:val="18"/>
          <w:lang w:val="es-VE"/>
        </w:rPr>
        <w:t>.</w:t>
      </w:r>
    </w:p>
    <w:p w14:paraId="7E583B4C" w14:textId="77777777" w:rsidR="00EE7D35" w:rsidRPr="003A651A" w:rsidRDefault="00EE7D35" w:rsidP="00212202">
      <w:pPr>
        <w:tabs>
          <w:tab w:val="left" w:pos="360"/>
          <w:tab w:val="left" w:pos="1440"/>
        </w:tabs>
        <w:ind w:left="630"/>
        <w:jc w:val="both"/>
        <w:rPr>
          <w:rFonts w:ascii="Cambria" w:hAnsi="Cambria"/>
          <w:sz w:val="20"/>
          <w:szCs w:val="20"/>
          <w:lang w:val="es-VE"/>
        </w:rPr>
      </w:pPr>
    </w:p>
    <w:p w14:paraId="19E7BDE9" w14:textId="77777777" w:rsidR="00E23436" w:rsidRPr="003A651A" w:rsidRDefault="00E23436"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La CIDH también observa que conforme a una nota de prensa en el diario La Tribuna se indicó lo siguiente sobre la muerte del señor Deras:</w:t>
      </w:r>
    </w:p>
    <w:p w14:paraId="6A6D4B50" w14:textId="77777777" w:rsidR="00E23436" w:rsidRPr="003A651A" w:rsidRDefault="00E23436" w:rsidP="00212202">
      <w:pPr>
        <w:tabs>
          <w:tab w:val="left" w:pos="360"/>
          <w:tab w:val="left" w:pos="1440"/>
        </w:tabs>
        <w:ind w:left="630"/>
        <w:jc w:val="both"/>
        <w:rPr>
          <w:rFonts w:ascii="Cambria" w:hAnsi="Cambria"/>
          <w:sz w:val="20"/>
          <w:szCs w:val="20"/>
          <w:lang w:val="es-VE"/>
        </w:rPr>
      </w:pPr>
    </w:p>
    <w:p w14:paraId="7DEF3AB0" w14:textId="77777777" w:rsidR="00E23436" w:rsidRPr="00DD7055" w:rsidRDefault="00E23436" w:rsidP="00212202">
      <w:pPr>
        <w:pStyle w:val="ListParagraph"/>
        <w:tabs>
          <w:tab w:val="left" w:pos="360"/>
        </w:tabs>
        <w:ind w:left="360" w:right="360"/>
        <w:jc w:val="both"/>
        <w:rPr>
          <w:rFonts w:ascii="Cambria" w:eastAsia="Times New Roman" w:hAnsi="Cambria" w:cs="Arial"/>
          <w:sz w:val="18"/>
          <w:szCs w:val="18"/>
          <w:bdr w:val="none" w:sz="0" w:space="0" w:color="auto"/>
          <w:shd w:val="clear" w:color="auto" w:fill="FFFFFF"/>
          <w:lang w:val="es-CL"/>
        </w:rPr>
      </w:pPr>
      <w:r w:rsidRPr="00DD7055">
        <w:rPr>
          <w:rFonts w:ascii="Cambria" w:eastAsia="Times New Roman" w:hAnsi="Cambria" w:cs="Arial"/>
          <w:sz w:val="18"/>
          <w:szCs w:val="18"/>
          <w:bdr w:val="none" w:sz="0" w:space="0" w:color="auto"/>
          <w:shd w:val="clear" w:color="auto" w:fill="FFFFFF"/>
          <w:lang w:val="es-CL"/>
        </w:rPr>
        <w:t xml:space="preserve">Algunos vecinos, con temor aseguraron a la viuda que tres hombres fuertemente armados y una mujer </w:t>
      </w:r>
      <w:r w:rsidRPr="00212202">
        <w:rPr>
          <w:rFonts w:ascii="Cambria" w:hAnsi="Cambria"/>
          <w:sz w:val="18"/>
          <w:szCs w:val="18"/>
          <w:lang w:val="es-CL"/>
        </w:rPr>
        <w:t>se</w:t>
      </w:r>
      <w:r w:rsidRPr="00DD7055">
        <w:rPr>
          <w:rFonts w:ascii="Cambria" w:eastAsia="Times New Roman" w:hAnsi="Cambria" w:cs="Arial"/>
          <w:sz w:val="18"/>
          <w:szCs w:val="18"/>
          <w:bdr w:val="none" w:sz="0" w:space="0" w:color="auto"/>
          <w:shd w:val="clear" w:color="auto" w:fill="FFFFFF"/>
          <w:lang w:val="es-CL"/>
        </w:rPr>
        <w:t xml:space="preserve"> </w:t>
      </w:r>
      <w:r w:rsidRPr="00EC51FE">
        <w:rPr>
          <w:rFonts w:ascii="Cambria" w:hAnsi="Cambria"/>
          <w:sz w:val="18"/>
          <w:szCs w:val="18"/>
          <w:lang w:val="es-VE"/>
        </w:rPr>
        <w:t>bajaron</w:t>
      </w:r>
      <w:r w:rsidRPr="00DD7055">
        <w:rPr>
          <w:rFonts w:ascii="Cambria" w:eastAsia="Times New Roman" w:hAnsi="Cambria" w:cs="Arial"/>
          <w:sz w:val="18"/>
          <w:szCs w:val="18"/>
          <w:bdr w:val="none" w:sz="0" w:space="0" w:color="auto"/>
          <w:shd w:val="clear" w:color="auto" w:fill="FFFFFF"/>
          <w:lang w:val="es-CL"/>
        </w:rPr>
        <w:t xml:space="preserve"> de ambos carros y enseguida, dándole golpes trataban que [Herminio Deras] se subiera a uno de los vehículos. Momentos después recibió un fuerte castigo de sus agresores, quienes no solamente golpearon su cráneo, sino que lo acuchillaron y luego lo mataron de siete balazos.</w:t>
      </w:r>
    </w:p>
    <w:p w14:paraId="5DAB7117" w14:textId="77777777" w:rsidR="00E23436" w:rsidRPr="003A651A" w:rsidRDefault="00E23436" w:rsidP="00212202">
      <w:pPr>
        <w:tabs>
          <w:tab w:val="left" w:pos="360"/>
          <w:tab w:val="left" w:pos="1440"/>
        </w:tabs>
        <w:jc w:val="both"/>
        <w:rPr>
          <w:rFonts w:ascii="Cambria" w:hAnsi="Cambria"/>
          <w:sz w:val="20"/>
          <w:szCs w:val="20"/>
          <w:lang w:val="es-VE"/>
        </w:rPr>
      </w:pPr>
    </w:p>
    <w:p w14:paraId="151E62A3" w14:textId="77777777" w:rsidR="00111F5E" w:rsidRPr="003A651A" w:rsidRDefault="00E23436"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La misma nota sostiene que el cadáver del señor Deras fue llevado por agentes de la </w:t>
      </w:r>
      <w:r w:rsidR="00EA3F07" w:rsidRPr="003A651A">
        <w:rPr>
          <w:rFonts w:ascii="Cambria" w:hAnsi="Cambria"/>
          <w:sz w:val="20"/>
          <w:szCs w:val="20"/>
          <w:lang w:val="es-VE"/>
        </w:rPr>
        <w:t>Fuerza de Seguridad Pública (FUSEP) a</w:t>
      </w:r>
      <w:r w:rsidR="00111F5E" w:rsidRPr="003A651A">
        <w:rPr>
          <w:rFonts w:ascii="Cambria" w:hAnsi="Cambria"/>
          <w:sz w:val="20"/>
          <w:szCs w:val="20"/>
          <w:lang w:val="es-VE"/>
        </w:rPr>
        <w:t xml:space="preserve"> </w:t>
      </w:r>
      <w:r w:rsidR="00EA3F07" w:rsidRPr="003A651A">
        <w:rPr>
          <w:rFonts w:ascii="Cambria" w:hAnsi="Cambria"/>
          <w:sz w:val="20"/>
          <w:szCs w:val="20"/>
          <w:lang w:val="es-VE"/>
        </w:rPr>
        <w:t>l</w:t>
      </w:r>
      <w:r w:rsidR="00111F5E" w:rsidRPr="003A651A">
        <w:rPr>
          <w:rFonts w:ascii="Cambria" w:hAnsi="Cambria"/>
          <w:sz w:val="20"/>
          <w:szCs w:val="20"/>
          <w:lang w:val="es-VE"/>
        </w:rPr>
        <w:t>a morgue del</w:t>
      </w:r>
      <w:r w:rsidR="00EA3F07" w:rsidRPr="003A651A">
        <w:rPr>
          <w:rFonts w:ascii="Cambria" w:hAnsi="Cambria"/>
          <w:sz w:val="20"/>
          <w:szCs w:val="20"/>
          <w:lang w:val="es-VE"/>
        </w:rPr>
        <w:t xml:space="preserve"> hospital Leonardo Martínez</w:t>
      </w:r>
      <w:r w:rsidR="00EA3F07">
        <w:rPr>
          <w:rStyle w:val="FootnoteReference"/>
          <w:rFonts w:ascii="Cambria" w:eastAsia="Times New Roman" w:hAnsi="Cambria" w:cs="Arial"/>
          <w:sz w:val="20"/>
          <w:szCs w:val="20"/>
          <w:bdr w:val="none" w:sz="0" w:space="0" w:color="auto"/>
          <w:shd w:val="clear" w:color="auto" w:fill="FFFFFF"/>
        </w:rPr>
        <w:footnoteReference w:id="14"/>
      </w:r>
      <w:r w:rsidR="00EA3F07" w:rsidRPr="003A651A">
        <w:rPr>
          <w:rFonts w:ascii="Cambria" w:hAnsi="Cambria"/>
          <w:sz w:val="20"/>
          <w:szCs w:val="20"/>
          <w:lang w:val="es-VE"/>
        </w:rPr>
        <w:t xml:space="preserve">. </w:t>
      </w:r>
      <w:r w:rsidR="00111F5E" w:rsidRPr="003A651A">
        <w:rPr>
          <w:rFonts w:ascii="Cambria" w:hAnsi="Cambria"/>
          <w:sz w:val="20"/>
          <w:szCs w:val="20"/>
          <w:lang w:val="es-VE"/>
        </w:rPr>
        <w:t>La parte peticionaria explicó que el Comandante de la Tercera Estación Policial del barrio Las Flores, la cual se encontraba ubicada cerca de donde ocurrieron los hechos, se hizo presente en el lugar de los hechos y ordenó que el cuerpo de</w:t>
      </w:r>
      <w:r w:rsidR="00306948" w:rsidRPr="003A651A">
        <w:rPr>
          <w:rFonts w:ascii="Cambria" w:hAnsi="Cambria"/>
          <w:sz w:val="20"/>
          <w:szCs w:val="20"/>
          <w:lang w:val="es-VE"/>
        </w:rPr>
        <w:t xml:space="preserve">l señor Deras </w:t>
      </w:r>
      <w:r w:rsidR="00EF2976">
        <w:rPr>
          <w:rFonts w:ascii="Cambria" w:hAnsi="Cambria"/>
          <w:sz w:val="20"/>
          <w:szCs w:val="20"/>
          <w:lang w:val="es-VE"/>
        </w:rPr>
        <w:t>fuera</w:t>
      </w:r>
      <w:r w:rsidR="00306948" w:rsidRPr="003A651A">
        <w:rPr>
          <w:rFonts w:ascii="Cambria" w:hAnsi="Cambria"/>
          <w:sz w:val="20"/>
          <w:szCs w:val="20"/>
          <w:lang w:val="es-VE"/>
        </w:rPr>
        <w:t xml:space="preserve"> enviado a la m</w:t>
      </w:r>
      <w:r w:rsidR="00111F5E" w:rsidRPr="003A651A">
        <w:rPr>
          <w:rFonts w:ascii="Cambria" w:hAnsi="Cambria"/>
          <w:sz w:val="20"/>
          <w:szCs w:val="20"/>
          <w:lang w:val="es-VE"/>
        </w:rPr>
        <w:t>orgue</w:t>
      </w:r>
      <w:r w:rsidR="00111F5E" w:rsidRPr="003A651A">
        <w:rPr>
          <w:rStyle w:val="FootnoteReference"/>
          <w:rFonts w:ascii="Cambria" w:hAnsi="Cambria"/>
          <w:sz w:val="20"/>
          <w:szCs w:val="20"/>
          <w:lang w:val="es-VE"/>
        </w:rPr>
        <w:footnoteReference w:id="15"/>
      </w:r>
      <w:r w:rsidR="00111F5E" w:rsidRPr="003A651A">
        <w:rPr>
          <w:rFonts w:ascii="Cambria" w:hAnsi="Cambria"/>
          <w:sz w:val="20"/>
          <w:szCs w:val="20"/>
          <w:lang w:val="es-VE"/>
        </w:rPr>
        <w:t>. El Estado no controvirtió dicha información.</w:t>
      </w:r>
    </w:p>
    <w:p w14:paraId="49BAD48A" w14:textId="77777777" w:rsidR="00111F5E" w:rsidRPr="003A651A" w:rsidRDefault="00111F5E" w:rsidP="00212202">
      <w:pPr>
        <w:tabs>
          <w:tab w:val="left" w:pos="360"/>
          <w:tab w:val="left" w:pos="1440"/>
        </w:tabs>
        <w:ind w:left="630"/>
        <w:jc w:val="both"/>
        <w:rPr>
          <w:rFonts w:ascii="Cambria" w:hAnsi="Cambria"/>
          <w:sz w:val="20"/>
          <w:szCs w:val="20"/>
          <w:lang w:val="es-VE"/>
        </w:rPr>
      </w:pPr>
    </w:p>
    <w:p w14:paraId="1F789D5C" w14:textId="77777777" w:rsidR="003E5A0B" w:rsidRPr="003A651A" w:rsidRDefault="00EA3F07"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Otilia Flores, esposa del señor Deras, manifestó que tomó conocim</w:t>
      </w:r>
      <w:r w:rsidR="00306948" w:rsidRPr="003A651A">
        <w:rPr>
          <w:rFonts w:ascii="Cambria" w:hAnsi="Cambria"/>
          <w:sz w:val="20"/>
          <w:szCs w:val="20"/>
          <w:lang w:val="es-VE"/>
        </w:rPr>
        <w:t>iento de lo ocurrido y acudió a dicho</w:t>
      </w:r>
      <w:r w:rsidRPr="003A651A">
        <w:rPr>
          <w:rFonts w:ascii="Cambria" w:hAnsi="Cambria"/>
          <w:sz w:val="20"/>
          <w:szCs w:val="20"/>
          <w:lang w:val="es-VE"/>
        </w:rPr>
        <w:t xml:space="preserve"> hospital. Agregó lo siguiente:</w:t>
      </w:r>
    </w:p>
    <w:p w14:paraId="7139831F" w14:textId="77777777" w:rsidR="00EA3F07" w:rsidRPr="003A651A" w:rsidRDefault="00EA3F07" w:rsidP="00212202">
      <w:pPr>
        <w:tabs>
          <w:tab w:val="left" w:pos="360"/>
          <w:tab w:val="left" w:pos="1440"/>
        </w:tabs>
        <w:ind w:left="630"/>
        <w:jc w:val="both"/>
        <w:rPr>
          <w:rFonts w:ascii="Cambria" w:hAnsi="Cambria"/>
          <w:sz w:val="20"/>
          <w:szCs w:val="20"/>
          <w:lang w:val="es-VE"/>
        </w:rPr>
      </w:pPr>
    </w:p>
    <w:p w14:paraId="46683F03" w14:textId="77777777" w:rsidR="00EA3F07" w:rsidRPr="00DD7055" w:rsidRDefault="00EA3F07" w:rsidP="00212202">
      <w:pPr>
        <w:pStyle w:val="ListParagraph"/>
        <w:tabs>
          <w:tab w:val="left" w:pos="360"/>
        </w:tabs>
        <w:ind w:left="360" w:right="360"/>
        <w:jc w:val="both"/>
        <w:rPr>
          <w:rFonts w:ascii="Cambria" w:hAnsi="Cambria"/>
          <w:sz w:val="18"/>
          <w:szCs w:val="18"/>
          <w:lang w:val="es-VE"/>
        </w:rPr>
      </w:pPr>
      <w:r w:rsidRPr="00DD7055">
        <w:rPr>
          <w:rFonts w:ascii="Cambria" w:eastAsia="Times New Roman" w:hAnsi="Cambria" w:cs="Arial"/>
          <w:sz w:val="18"/>
          <w:szCs w:val="18"/>
          <w:bdr w:val="none" w:sz="0" w:space="0" w:color="auto"/>
          <w:shd w:val="clear" w:color="auto" w:fill="FFFFFF"/>
          <w:lang w:val="es-CL"/>
        </w:rPr>
        <w:t xml:space="preserve">[El </w:t>
      </w:r>
      <w:r w:rsidRPr="00212202">
        <w:rPr>
          <w:rFonts w:ascii="Cambria" w:hAnsi="Cambria"/>
          <w:sz w:val="18"/>
          <w:szCs w:val="18"/>
          <w:lang w:val="es-CL"/>
        </w:rPr>
        <w:t>cuerpo</w:t>
      </w:r>
      <w:r w:rsidRPr="00DD7055">
        <w:rPr>
          <w:rFonts w:ascii="Cambria" w:eastAsia="Times New Roman" w:hAnsi="Cambria" w:cs="Arial"/>
          <w:sz w:val="18"/>
          <w:szCs w:val="18"/>
          <w:bdr w:val="none" w:sz="0" w:space="0" w:color="auto"/>
          <w:shd w:val="clear" w:color="auto" w:fill="FFFFFF"/>
          <w:lang w:val="es-CL"/>
        </w:rPr>
        <w:t xml:space="preserve"> de Herminio Deras] </w:t>
      </w:r>
      <w:r w:rsidRPr="00DD7055">
        <w:rPr>
          <w:rFonts w:ascii="Cambria" w:hAnsi="Cambria"/>
          <w:sz w:val="18"/>
          <w:szCs w:val="18"/>
          <w:lang w:val="es-VE"/>
        </w:rPr>
        <w:t>estaba en la puerta (...) custodiado por militares y lo tenían en un carro de paila tirado cuando yo lo solicité me dijeron ellos (los militares) que me llevara ese maldito de allí</w:t>
      </w:r>
      <w:r w:rsidRPr="00DD7055">
        <w:rPr>
          <w:rStyle w:val="FootnoteReference"/>
          <w:rFonts w:ascii="Cambria" w:hAnsi="Cambria"/>
          <w:sz w:val="18"/>
          <w:szCs w:val="18"/>
          <w:lang w:val="es-VE"/>
        </w:rPr>
        <w:footnoteReference w:id="16"/>
      </w:r>
      <w:r w:rsidRPr="00DD7055">
        <w:rPr>
          <w:rFonts w:ascii="Cambria" w:hAnsi="Cambria"/>
          <w:sz w:val="18"/>
          <w:szCs w:val="18"/>
          <w:lang w:val="es-VE"/>
        </w:rPr>
        <w:t>.</w:t>
      </w:r>
    </w:p>
    <w:p w14:paraId="28462E95" w14:textId="77777777" w:rsidR="00EA3F07" w:rsidRPr="003A651A" w:rsidRDefault="00EA3F07" w:rsidP="00212202">
      <w:pPr>
        <w:tabs>
          <w:tab w:val="left" w:pos="360"/>
          <w:tab w:val="left" w:pos="1440"/>
        </w:tabs>
        <w:jc w:val="both"/>
        <w:rPr>
          <w:rFonts w:ascii="Cambria" w:hAnsi="Cambria"/>
          <w:sz w:val="20"/>
          <w:szCs w:val="20"/>
          <w:lang w:val="es-VE"/>
        </w:rPr>
      </w:pPr>
    </w:p>
    <w:p w14:paraId="2775D176" w14:textId="77777777" w:rsidR="00306948" w:rsidRDefault="00111F5E"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La parte peticionaria sostuvo que </w:t>
      </w:r>
      <w:r w:rsidR="00EA3F07" w:rsidRPr="00EA3F07">
        <w:rPr>
          <w:rFonts w:ascii="Cambria" w:hAnsi="Cambria"/>
          <w:sz w:val="20"/>
          <w:szCs w:val="20"/>
          <w:lang w:val="es-VE"/>
        </w:rPr>
        <w:t xml:space="preserve">Otilia </w:t>
      </w:r>
      <w:r w:rsidR="00EA3F07">
        <w:rPr>
          <w:rFonts w:ascii="Cambria" w:hAnsi="Cambria"/>
          <w:sz w:val="20"/>
          <w:szCs w:val="20"/>
          <w:lang w:val="es-VE"/>
        </w:rPr>
        <w:t>Flores llevó el cuerpo de Herminio a su domicilio, y que los militares la siguieron</w:t>
      </w:r>
      <w:r>
        <w:rPr>
          <w:rFonts w:ascii="Cambria" w:hAnsi="Cambria"/>
          <w:sz w:val="20"/>
          <w:szCs w:val="20"/>
          <w:lang w:val="es-VE"/>
        </w:rPr>
        <w:t xml:space="preserve">. </w:t>
      </w:r>
      <w:r w:rsidR="00306948">
        <w:rPr>
          <w:rFonts w:ascii="Cambria" w:hAnsi="Cambria"/>
          <w:sz w:val="20"/>
          <w:szCs w:val="20"/>
          <w:lang w:val="es-VE"/>
        </w:rPr>
        <w:t xml:space="preserve">Agregó que un par de horas </w:t>
      </w:r>
      <w:r w:rsidR="008C768F">
        <w:rPr>
          <w:rFonts w:ascii="Cambria" w:hAnsi="Cambria"/>
          <w:sz w:val="20"/>
          <w:szCs w:val="20"/>
          <w:lang w:val="es-VE"/>
        </w:rPr>
        <w:t xml:space="preserve">después </w:t>
      </w:r>
      <w:r w:rsidR="00306948">
        <w:rPr>
          <w:rFonts w:ascii="Cambria" w:hAnsi="Cambria"/>
          <w:sz w:val="20"/>
          <w:szCs w:val="20"/>
          <w:lang w:val="es-VE"/>
        </w:rPr>
        <w:t>el padre de Herminio llegó con un ataúd y procedieron a lle</w:t>
      </w:r>
      <w:r w:rsidR="002A41ED">
        <w:rPr>
          <w:rFonts w:ascii="Cambria" w:hAnsi="Cambria"/>
          <w:sz w:val="20"/>
          <w:szCs w:val="20"/>
          <w:lang w:val="es-VE"/>
        </w:rPr>
        <w:t>v</w:t>
      </w:r>
      <w:r w:rsidR="00306948">
        <w:rPr>
          <w:rFonts w:ascii="Cambria" w:hAnsi="Cambria"/>
          <w:sz w:val="20"/>
          <w:szCs w:val="20"/>
          <w:lang w:val="es-VE"/>
        </w:rPr>
        <w:t>a</w:t>
      </w:r>
      <w:r w:rsidR="006158A4">
        <w:rPr>
          <w:rFonts w:ascii="Cambria" w:hAnsi="Cambria"/>
          <w:sz w:val="20"/>
          <w:szCs w:val="20"/>
          <w:lang w:val="es-VE"/>
        </w:rPr>
        <w:t>r sus restos a su ciudad natal</w:t>
      </w:r>
      <w:r w:rsidR="002A41ED">
        <w:rPr>
          <w:rFonts w:ascii="Cambria" w:hAnsi="Cambria"/>
          <w:sz w:val="20"/>
          <w:szCs w:val="20"/>
          <w:lang w:val="es-VE"/>
        </w:rPr>
        <w:t xml:space="preserve"> de</w:t>
      </w:r>
      <w:r w:rsidR="006158A4">
        <w:rPr>
          <w:rFonts w:ascii="Cambria" w:hAnsi="Cambria"/>
          <w:sz w:val="20"/>
          <w:szCs w:val="20"/>
          <w:lang w:val="es-VE"/>
        </w:rPr>
        <w:t xml:space="preserve"> El Progreso, departamento de Yoro. Agregó que el mismo día el Sargento Virgilio Padilla, a cargo de la </w:t>
      </w:r>
      <w:r w:rsidR="006158A4" w:rsidRPr="006158A4">
        <w:rPr>
          <w:rFonts w:ascii="Cambria" w:hAnsi="Cambria"/>
          <w:sz w:val="20"/>
          <w:szCs w:val="20"/>
          <w:lang w:val="es-VE"/>
        </w:rPr>
        <w:t>Tercera Estación Policial</w:t>
      </w:r>
      <w:r w:rsidR="006158A4">
        <w:rPr>
          <w:rFonts w:ascii="Cambria" w:hAnsi="Cambria"/>
          <w:sz w:val="20"/>
          <w:szCs w:val="20"/>
          <w:lang w:val="es-VE"/>
        </w:rPr>
        <w:t>, declaró ante los medios de comunicación que frente a dicha estación “había pasado el carro de los criminales, quien para saber que allí iban los asesinos”</w:t>
      </w:r>
      <w:r w:rsidR="006158A4" w:rsidRPr="00EA3F07">
        <w:rPr>
          <w:rStyle w:val="FootnoteReference"/>
          <w:rFonts w:ascii="Cambria" w:hAnsi="Cambria"/>
          <w:sz w:val="20"/>
          <w:szCs w:val="20"/>
          <w:lang w:val="es-VE"/>
        </w:rPr>
        <w:footnoteReference w:id="17"/>
      </w:r>
      <w:r w:rsidR="006158A4">
        <w:rPr>
          <w:rFonts w:ascii="Cambria" w:hAnsi="Cambria"/>
          <w:sz w:val="20"/>
          <w:szCs w:val="20"/>
          <w:lang w:val="es-VE"/>
        </w:rPr>
        <w:t xml:space="preserve">. </w:t>
      </w:r>
      <w:r w:rsidR="006158A4" w:rsidRPr="006158A4">
        <w:rPr>
          <w:rFonts w:ascii="Cambria" w:hAnsi="Cambria"/>
          <w:sz w:val="20"/>
          <w:szCs w:val="20"/>
          <w:lang w:val="es-VE"/>
        </w:rPr>
        <w:t>Dicha información no fue controvertida por el Es</w:t>
      </w:r>
      <w:r w:rsidR="006158A4">
        <w:rPr>
          <w:rFonts w:ascii="Cambria" w:hAnsi="Cambria"/>
          <w:sz w:val="20"/>
          <w:szCs w:val="20"/>
          <w:lang w:val="es-VE"/>
        </w:rPr>
        <w:t>tado.</w:t>
      </w:r>
    </w:p>
    <w:p w14:paraId="6DF172B5" w14:textId="77777777" w:rsidR="006158A4" w:rsidRDefault="006158A4" w:rsidP="00212202">
      <w:pPr>
        <w:tabs>
          <w:tab w:val="left" w:pos="360"/>
          <w:tab w:val="left" w:pos="1440"/>
        </w:tabs>
        <w:ind w:left="630"/>
        <w:jc w:val="both"/>
        <w:rPr>
          <w:rFonts w:ascii="Cambria" w:hAnsi="Cambria"/>
          <w:sz w:val="20"/>
          <w:szCs w:val="20"/>
          <w:lang w:val="es-VE"/>
        </w:rPr>
      </w:pPr>
    </w:p>
    <w:p w14:paraId="62CA7799" w14:textId="77777777" w:rsidR="006158A4" w:rsidRDefault="006158A4"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El 4 de </w:t>
      </w:r>
      <w:r w:rsidRPr="006158A4">
        <w:rPr>
          <w:rFonts w:ascii="Cambria" w:hAnsi="Cambria"/>
          <w:sz w:val="20"/>
          <w:szCs w:val="20"/>
          <w:lang w:val="es-VE"/>
        </w:rPr>
        <w:t>febrero de 1983</w:t>
      </w:r>
      <w:r>
        <w:rPr>
          <w:rFonts w:ascii="Cambria" w:hAnsi="Cambria"/>
          <w:sz w:val="20"/>
          <w:szCs w:val="20"/>
          <w:lang w:val="es-VE"/>
        </w:rPr>
        <w:t xml:space="preserve"> Otilia Flores presentó una denuncia por la muerte de su espos</w:t>
      </w:r>
      <w:r w:rsidR="00A03885">
        <w:rPr>
          <w:rFonts w:ascii="Cambria" w:hAnsi="Cambria"/>
          <w:sz w:val="20"/>
          <w:szCs w:val="20"/>
          <w:lang w:val="es-VE"/>
        </w:rPr>
        <w:t>o</w:t>
      </w:r>
      <w:r>
        <w:rPr>
          <w:rFonts w:ascii="Cambria" w:hAnsi="Cambria"/>
          <w:sz w:val="20"/>
          <w:szCs w:val="20"/>
          <w:lang w:val="es-VE"/>
        </w:rPr>
        <w:t xml:space="preserve"> ante el Juzgado Primero de Letr</w:t>
      </w:r>
      <w:r w:rsidR="00A03885">
        <w:rPr>
          <w:rFonts w:ascii="Cambria" w:hAnsi="Cambria"/>
          <w:sz w:val="20"/>
          <w:szCs w:val="20"/>
          <w:lang w:val="es-VE"/>
        </w:rPr>
        <w:t>a</w:t>
      </w:r>
      <w:r>
        <w:rPr>
          <w:rFonts w:ascii="Cambria" w:hAnsi="Cambria"/>
          <w:sz w:val="20"/>
          <w:szCs w:val="20"/>
          <w:lang w:val="es-VE"/>
        </w:rPr>
        <w:t>s de lo Criminal de San Pedro Sula. La señora Flores denunció como presuntos responsables a miembros de la fuerza pública y agregó que en años anteriores Herminio y sus familiares fueron víctimas de diversas amenazas y atentados</w:t>
      </w:r>
      <w:r w:rsidRPr="006158A4">
        <w:rPr>
          <w:rStyle w:val="FootnoteReference"/>
          <w:rFonts w:ascii="Cambria" w:hAnsi="Cambria"/>
          <w:sz w:val="20"/>
          <w:szCs w:val="20"/>
          <w:lang w:val="es-VE"/>
        </w:rPr>
        <w:footnoteReference w:id="18"/>
      </w:r>
      <w:r>
        <w:rPr>
          <w:rFonts w:ascii="Cambria" w:hAnsi="Cambria"/>
          <w:sz w:val="20"/>
          <w:szCs w:val="20"/>
          <w:lang w:val="es-VE"/>
        </w:rPr>
        <w:t>.</w:t>
      </w:r>
    </w:p>
    <w:p w14:paraId="0C5B0D84" w14:textId="77777777" w:rsidR="00C60008" w:rsidRDefault="00C60008" w:rsidP="00212202">
      <w:pPr>
        <w:tabs>
          <w:tab w:val="left" w:pos="360"/>
          <w:tab w:val="left" w:pos="1440"/>
        </w:tabs>
        <w:jc w:val="both"/>
        <w:rPr>
          <w:rFonts w:ascii="Cambria" w:hAnsi="Cambria"/>
          <w:sz w:val="20"/>
          <w:szCs w:val="20"/>
          <w:lang w:val="es-VE"/>
        </w:rPr>
      </w:pPr>
    </w:p>
    <w:p w14:paraId="1C2227C5" w14:textId="77777777" w:rsidR="006E17EF" w:rsidRPr="00C60008" w:rsidRDefault="00C60008"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El señor Reyes declaró que días después del asesinato del señor Deras, le informó a su superior, </w:t>
      </w:r>
      <w:r w:rsidRPr="00C60008">
        <w:rPr>
          <w:rFonts w:ascii="Cambria" w:hAnsi="Cambria"/>
          <w:sz w:val="20"/>
          <w:szCs w:val="20"/>
          <w:lang w:val="es-VE"/>
        </w:rPr>
        <w:t>General Gustavo Adolfo Álvarez Martinez,</w:t>
      </w:r>
      <w:r>
        <w:rPr>
          <w:rFonts w:ascii="Cambria" w:hAnsi="Cambria"/>
          <w:sz w:val="20"/>
          <w:szCs w:val="20"/>
          <w:lang w:val="es-VE"/>
        </w:rPr>
        <w:t xml:space="preserve"> que tenía conocimiento sobre las personas que cometieron dicho delito. Sostuvo que dicho General le respondió</w:t>
      </w:r>
      <w:r w:rsidR="006E17EF" w:rsidRPr="003A651A">
        <w:rPr>
          <w:rFonts w:ascii="Cambria" w:hAnsi="Cambria"/>
          <w:sz w:val="20"/>
          <w:szCs w:val="20"/>
          <w:lang w:val="es-VE"/>
        </w:rPr>
        <w:t xml:space="preserve"> “que un soldado, lo que él ve, se lo guarda dentro, po</w:t>
      </w:r>
      <w:r w:rsidRPr="003A651A">
        <w:rPr>
          <w:rFonts w:ascii="Cambria" w:hAnsi="Cambria"/>
          <w:sz w:val="20"/>
          <w:szCs w:val="20"/>
          <w:lang w:val="es-VE"/>
        </w:rPr>
        <w:t>rque de otro forma deja de ser soldado h</w:t>
      </w:r>
      <w:r w:rsidR="006E17EF" w:rsidRPr="003A651A">
        <w:rPr>
          <w:rFonts w:ascii="Cambria" w:hAnsi="Cambria"/>
          <w:sz w:val="20"/>
          <w:szCs w:val="20"/>
          <w:lang w:val="es-VE"/>
        </w:rPr>
        <w:t>onorable, quebrantado el juramento que hizo</w:t>
      </w:r>
      <w:r w:rsidR="00AA326F" w:rsidRPr="003A651A">
        <w:rPr>
          <w:rFonts w:ascii="Cambria" w:hAnsi="Cambria"/>
          <w:sz w:val="20"/>
          <w:szCs w:val="20"/>
          <w:lang w:val="es-VE"/>
        </w:rPr>
        <w:t xml:space="preserve"> a la P</w:t>
      </w:r>
      <w:r w:rsidR="006E17EF" w:rsidRPr="003A651A">
        <w:rPr>
          <w:rFonts w:ascii="Cambria" w:hAnsi="Cambria"/>
          <w:sz w:val="20"/>
          <w:szCs w:val="20"/>
          <w:lang w:val="es-VE"/>
        </w:rPr>
        <w:t>atria</w:t>
      </w:r>
      <w:r w:rsidR="00AA326F" w:rsidRPr="003A651A">
        <w:rPr>
          <w:rFonts w:ascii="Cambria" w:hAnsi="Cambria"/>
          <w:sz w:val="20"/>
          <w:szCs w:val="20"/>
          <w:lang w:val="es-VE"/>
        </w:rPr>
        <w:t xml:space="preserve"> y que él iba a resolver este problema”</w:t>
      </w:r>
      <w:r w:rsidR="00AA326F" w:rsidRPr="003A651A">
        <w:rPr>
          <w:rStyle w:val="FootnoteReference"/>
          <w:rFonts w:ascii="Cambria" w:hAnsi="Cambria"/>
          <w:sz w:val="20"/>
          <w:szCs w:val="20"/>
          <w:lang w:val="es-VE"/>
        </w:rPr>
        <w:footnoteReference w:id="19"/>
      </w:r>
      <w:r w:rsidR="00AA326F" w:rsidRPr="003A651A">
        <w:rPr>
          <w:rFonts w:ascii="Cambria" w:hAnsi="Cambria"/>
          <w:sz w:val="20"/>
          <w:szCs w:val="20"/>
          <w:lang w:val="es-VE"/>
        </w:rPr>
        <w:t>.</w:t>
      </w:r>
      <w:r w:rsidRPr="003A651A">
        <w:rPr>
          <w:rFonts w:ascii="Cambria" w:hAnsi="Cambria"/>
          <w:sz w:val="20"/>
          <w:szCs w:val="20"/>
          <w:lang w:val="es-VE"/>
        </w:rPr>
        <w:t xml:space="preserve"> </w:t>
      </w:r>
    </w:p>
    <w:p w14:paraId="655C677D" w14:textId="77777777" w:rsidR="00C60008" w:rsidRDefault="00C60008" w:rsidP="00212202">
      <w:pPr>
        <w:tabs>
          <w:tab w:val="left" w:pos="360"/>
          <w:tab w:val="left" w:pos="1440"/>
        </w:tabs>
        <w:jc w:val="both"/>
        <w:rPr>
          <w:rFonts w:ascii="Cambria" w:hAnsi="Cambria"/>
          <w:sz w:val="20"/>
          <w:szCs w:val="20"/>
          <w:lang w:val="es-VE"/>
        </w:rPr>
      </w:pPr>
    </w:p>
    <w:p w14:paraId="24FB05B9" w14:textId="77777777" w:rsidR="000F7FC1" w:rsidRPr="00C60008" w:rsidRDefault="009F0DF6"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No consta en el expediente </w:t>
      </w:r>
      <w:r w:rsidR="00C60008" w:rsidRPr="003A651A">
        <w:rPr>
          <w:rFonts w:ascii="Cambria" w:hAnsi="Cambria"/>
          <w:sz w:val="20"/>
          <w:szCs w:val="20"/>
          <w:lang w:val="es-VE"/>
        </w:rPr>
        <w:t xml:space="preserve">información alguna sobre </w:t>
      </w:r>
      <w:r w:rsidR="00366568" w:rsidRPr="003A651A">
        <w:rPr>
          <w:rFonts w:ascii="Cambria" w:hAnsi="Cambria"/>
          <w:sz w:val="20"/>
          <w:szCs w:val="20"/>
          <w:lang w:val="es-VE"/>
        </w:rPr>
        <w:t xml:space="preserve">diligencias </w:t>
      </w:r>
      <w:r w:rsidR="00C60008" w:rsidRPr="003A651A">
        <w:rPr>
          <w:rFonts w:ascii="Cambria" w:hAnsi="Cambria"/>
          <w:sz w:val="20"/>
          <w:szCs w:val="20"/>
          <w:lang w:val="es-VE"/>
        </w:rPr>
        <w:t>realizadas desde la presentación de la denuncia</w:t>
      </w:r>
      <w:r w:rsidR="00366568" w:rsidRPr="003A651A">
        <w:rPr>
          <w:rFonts w:ascii="Cambria" w:hAnsi="Cambria"/>
          <w:sz w:val="20"/>
          <w:szCs w:val="20"/>
          <w:lang w:val="es-VE"/>
        </w:rPr>
        <w:t xml:space="preserve"> hasta </w:t>
      </w:r>
      <w:r w:rsidR="00877B6B" w:rsidRPr="003A651A">
        <w:rPr>
          <w:rFonts w:ascii="Cambria" w:hAnsi="Cambria"/>
          <w:sz w:val="20"/>
          <w:szCs w:val="20"/>
          <w:lang w:val="es-VE"/>
        </w:rPr>
        <w:t>1998,</w:t>
      </w:r>
      <w:r w:rsidR="000D7620" w:rsidRPr="003A651A">
        <w:rPr>
          <w:rFonts w:ascii="Cambria" w:hAnsi="Cambria"/>
          <w:sz w:val="20"/>
          <w:szCs w:val="20"/>
          <w:lang w:val="es-VE"/>
        </w:rPr>
        <w:t xml:space="preserve"> fecha en la que el Ministerio P</w:t>
      </w:r>
      <w:r w:rsidR="00A13074" w:rsidRPr="003A651A">
        <w:rPr>
          <w:rFonts w:ascii="Cambria" w:hAnsi="Cambria"/>
          <w:sz w:val="20"/>
          <w:szCs w:val="20"/>
          <w:lang w:val="es-VE"/>
        </w:rPr>
        <w:t>úblico presentó</w:t>
      </w:r>
      <w:r w:rsidR="00366568" w:rsidRPr="003A651A">
        <w:rPr>
          <w:rFonts w:ascii="Cambria" w:hAnsi="Cambria"/>
          <w:sz w:val="20"/>
          <w:szCs w:val="20"/>
          <w:lang w:val="es-VE"/>
        </w:rPr>
        <w:t xml:space="preserve"> nuevamente una denuncia,</w:t>
      </w:r>
      <w:r w:rsidR="0066200A" w:rsidRPr="003A651A">
        <w:rPr>
          <w:rFonts w:ascii="Cambria" w:hAnsi="Cambria"/>
          <w:sz w:val="20"/>
          <w:szCs w:val="20"/>
          <w:lang w:val="es-VE"/>
        </w:rPr>
        <w:t xml:space="preserve"> </w:t>
      </w:r>
      <w:r w:rsidR="00877B6B" w:rsidRPr="003A651A">
        <w:rPr>
          <w:rFonts w:ascii="Cambria" w:hAnsi="Cambria"/>
          <w:sz w:val="20"/>
          <w:szCs w:val="20"/>
          <w:lang w:val="es-VE"/>
        </w:rPr>
        <w:t xml:space="preserve">tal como se indicará </w:t>
      </w:r>
      <w:r w:rsidR="001B6053" w:rsidRPr="003A651A">
        <w:rPr>
          <w:rFonts w:ascii="Cambria" w:hAnsi="Cambria"/>
          <w:sz w:val="20"/>
          <w:szCs w:val="20"/>
          <w:lang w:val="es-VE"/>
        </w:rPr>
        <w:t>en la siguiente sección</w:t>
      </w:r>
      <w:r w:rsidR="00877B6B" w:rsidRPr="003A651A">
        <w:rPr>
          <w:rFonts w:ascii="Cambria" w:hAnsi="Cambria"/>
          <w:sz w:val="20"/>
          <w:szCs w:val="20"/>
          <w:lang w:val="es-VE"/>
        </w:rPr>
        <w:t xml:space="preserve">. </w:t>
      </w:r>
    </w:p>
    <w:p w14:paraId="4D173F7B" w14:textId="77777777" w:rsidR="00CB507B" w:rsidRPr="003A651A" w:rsidRDefault="00CB507B" w:rsidP="00212202">
      <w:pPr>
        <w:tabs>
          <w:tab w:val="left" w:pos="360"/>
          <w:tab w:val="left" w:pos="1440"/>
        </w:tabs>
        <w:jc w:val="both"/>
        <w:rPr>
          <w:rFonts w:ascii="Cambria" w:hAnsi="Cambria"/>
          <w:sz w:val="20"/>
          <w:szCs w:val="20"/>
          <w:lang w:val="es-VE"/>
        </w:rPr>
      </w:pPr>
    </w:p>
    <w:p w14:paraId="0FEB3125" w14:textId="77777777" w:rsidR="00E2015A" w:rsidRPr="003A651A" w:rsidRDefault="001B6053"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Adicionalmente, </w:t>
      </w:r>
      <w:r w:rsidR="00A13074" w:rsidRPr="003A651A">
        <w:rPr>
          <w:rFonts w:ascii="Cambria" w:hAnsi="Cambria"/>
          <w:sz w:val="20"/>
          <w:szCs w:val="20"/>
          <w:lang w:val="es-VE"/>
        </w:rPr>
        <w:t xml:space="preserve">la Comisión observa que conforme a lo indicado por la parte peticionaria y declaraciones de familiares del señor Deras, el 8 de junio de </w:t>
      </w:r>
      <w:r w:rsidR="00D25371" w:rsidRPr="003A651A">
        <w:rPr>
          <w:rFonts w:ascii="Cambria" w:hAnsi="Cambria"/>
          <w:sz w:val="20"/>
          <w:szCs w:val="20"/>
          <w:lang w:val="es-VE"/>
        </w:rPr>
        <w:t>1984</w:t>
      </w:r>
      <w:r w:rsidR="0018003B" w:rsidRPr="003A651A">
        <w:rPr>
          <w:rFonts w:ascii="Cambria" w:hAnsi="Cambria"/>
          <w:sz w:val="20"/>
          <w:szCs w:val="20"/>
          <w:lang w:val="es-VE"/>
        </w:rPr>
        <w:t xml:space="preserve"> efectivos militares </w:t>
      </w:r>
      <w:r w:rsidR="00A13074" w:rsidRPr="003A651A">
        <w:rPr>
          <w:rFonts w:ascii="Cambria" w:hAnsi="Cambria"/>
          <w:sz w:val="20"/>
          <w:szCs w:val="20"/>
          <w:lang w:val="es-VE"/>
        </w:rPr>
        <w:t>allanaron dos viviendas de la familia Deras en la ciudad de El Progreso.</w:t>
      </w:r>
      <w:r w:rsidR="00091D5E" w:rsidRPr="003A651A">
        <w:rPr>
          <w:rFonts w:ascii="Cambria" w:hAnsi="Cambria"/>
          <w:sz w:val="20"/>
          <w:szCs w:val="20"/>
          <w:lang w:val="es-VE"/>
        </w:rPr>
        <w:t xml:space="preserve"> Los siguientes familiares del señor Deras fueron detenidos: i)</w:t>
      </w:r>
      <w:r w:rsidR="00FB6610" w:rsidRPr="003A651A">
        <w:rPr>
          <w:rFonts w:ascii="Cambria" w:hAnsi="Cambria"/>
          <w:sz w:val="20"/>
          <w:szCs w:val="20"/>
          <w:lang w:val="es-VE"/>
        </w:rPr>
        <w:t xml:space="preserve"> su hermana </w:t>
      </w:r>
      <w:r w:rsidR="00FB6610" w:rsidRPr="00FB6610">
        <w:rPr>
          <w:rFonts w:ascii="Cambria" w:hAnsi="Cambria"/>
          <w:sz w:val="20"/>
          <w:szCs w:val="20"/>
          <w:lang w:val="es-VE"/>
        </w:rPr>
        <w:lastRenderedPageBreak/>
        <w:t>Irma Isabel Deras</w:t>
      </w:r>
      <w:r w:rsidR="00FB6610">
        <w:rPr>
          <w:rFonts w:ascii="Cambria" w:hAnsi="Cambria"/>
          <w:sz w:val="20"/>
          <w:szCs w:val="20"/>
          <w:lang w:val="es-VE"/>
        </w:rPr>
        <w:t xml:space="preserve">; ii) su hermana </w:t>
      </w:r>
      <w:r w:rsidR="00FB6610" w:rsidRPr="00FB6610">
        <w:rPr>
          <w:rFonts w:ascii="Cambria" w:hAnsi="Cambria"/>
          <w:sz w:val="20"/>
          <w:szCs w:val="20"/>
          <w:lang w:val="es-VE"/>
        </w:rPr>
        <w:t>Consuelo Deras</w:t>
      </w:r>
      <w:r w:rsidR="00FB6610">
        <w:rPr>
          <w:rFonts w:ascii="Cambria" w:hAnsi="Cambria"/>
          <w:sz w:val="20"/>
          <w:szCs w:val="20"/>
          <w:lang w:val="es-VE"/>
        </w:rPr>
        <w:t xml:space="preserve">; iii) su hermano Héctor Deras; iv) su sobrino </w:t>
      </w:r>
      <w:r w:rsidR="00FB6610" w:rsidRPr="00FB6610">
        <w:rPr>
          <w:rFonts w:ascii="Cambria" w:hAnsi="Cambria"/>
          <w:sz w:val="20"/>
          <w:szCs w:val="20"/>
          <w:lang w:val="es-VE"/>
        </w:rPr>
        <w:t>José Herminio Deras</w:t>
      </w:r>
      <w:r w:rsidR="00FB6610">
        <w:rPr>
          <w:rFonts w:ascii="Cambria" w:hAnsi="Cambria"/>
          <w:sz w:val="20"/>
          <w:szCs w:val="20"/>
          <w:lang w:val="es-VE"/>
        </w:rPr>
        <w:t xml:space="preserve"> de 16 años; v) su padre Domingo Deras; vi) su sobrina </w:t>
      </w:r>
      <w:r w:rsidR="00FB6610" w:rsidRPr="00FB6610">
        <w:rPr>
          <w:rFonts w:ascii="Cambria" w:hAnsi="Cambria"/>
          <w:sz w:val="20"/>
          <w:szCs w:val="20"/>
          <w:lang w:val="es-VE"/>
        </w:rPr>
        <w:t>Sandra Ivonne Hernández Deras</w:t>
      </w:r>
      <w:r w:rsidR="00FB6610">
        <w:rPr>
          <w:rFonts w:ascii="Cambria" w:hAnsi="Cambria"/>
          <w:sz w:val="20"/>
          <w:szCs w:val="20"/>
          <w:lang w:val="es-VE"/>
        </w:rPr>
        <w:t xml:space="preserve"> de 17 años; vi</w:t>
      </w:r>
      <w:r w:rsidR="004D35C3">
        <w:rPr>
          <w:rFonts w:ascii="Cambria" w:hAnsi="Cambria"/>
          <w:sz w:val="20"/>
          <w:szCs w:val="20"/>
          <w:lang w:val="es-VE"/>
        </w:rPr>
        <w:t>i</w:t>
      </w:r>
      <w:r w:rsidR="00FB6610">
        <w:rPr>
          <w:rFonts w:ascii="Cambria" w:hAnsi="Cambria"/>
          <w:sz w:val="20"/>
          <w:szCs w:val="20"/>
          <w:lang w:val="es-VE"/>
        </w:rPr>
        <w:t>) su prima Marlen García; y vi</w:t>
      </w:r>
      <w:r w:rsidR="004D35C3">
        <w:rPr>
          <w:rFonts w:ascii="Cambria" w:hAnsi="Cambria"/>
          <w:sz w:val="20"/>
          <w:szCs w:val="20"/>
          <w:lang w:val="es-VE"/>
        </w:rPr>
        <w:t>i</w:t>
      </w:r>
      <w:r w:rsidR="00FB6610">
        <w:rPr>
          <w:rFonts w:ascii="Cambria" w:hAnsi="Cambria"/>
          <w:sz w:val="20"/>
          <w:szCs w:val="20"/>
          <w:lang w:val="es-VE"/>
        </w:rPr>
        <w:t xml:space="preserve">i) sus cuñados </w:t>
      </w:r>
      <w:r w:rsidR="00FB6610" w:rsidRPr="00FB6610">
        <w:rPr>
          <w:rFonts w:ascii="Cambria" w:hAnsi="Cambria"/>
          <w:sz w:val="20"/>
          <w:szCs w:val="20"/>
          <w:lang w:val="es-VE"/>
        </w:rPr>
        <w:t>Julio Cesar Chavarría Benegas</w:t>
      </w:r>
      <w:r w:rsidR="00FB6610">
        <w:rPr>
          <w:rFonts w:ascii="Cambria" w:hAnsi="Cambria"/>
          <w:sz w:val="20"/>
          <w:szCs w:val="20"/>
          <w:lang w:val="es-VE"/>
        </w:rPr>
        <w:t xml:space="preserve"> y </w:t>
      </w:r>
      <w:r w:rsidR="00FB6610" w:rsidRPr="00FB6610">
        <w:rPr>
          <w:rFonts w:ascii="Cambria" w:hAnsi="Cambria"/>
          <w:sz w:val="20"/>
          <w:szCs w:val="20"/>
          <w:lang w:val="es-VE"/>
        </w:rPr>
        <w:t>Cristóbal Hernández Pérez</w:t>
      </w:r>
      <w:r w:rsidR="00FB6610" w:rsidRPr="00FB6610">
        <w:rPr>
          <w:rStyle w:val="FootnoteReference"/>
          <w:rFonts w:ascii="Cambria" w:hAnsi="Cambria"/>
          <w:sz w:val="20"/>
          <w:szCs w:val="20"/>
          <w:lang w:val="es-VE"/>
        </w:rPr>
        <w:footnoteReference w:id="20"/>
      </w:r>
      <w:r w:rsidR="00FB6610">
        <w:rPr>
          <w:rFonts w:ascii="Cambria" w:hAnsi="Cambria"/>
          <w:sz w:val="20"/>
          <w:szCs w:val="20"/>
          <w:lang w:val="es-VE"/>
        </w:rPr>
        <w:t>.</w:t>
      </w:r>
      <w:r w:rsidR="004D35C3">
        <w:rPr>
          <w:rFonts w:ascii="Cambria" w:hAnsi="Cambria"/>
          <w:sz w:val="20"/>
          <w:szCs w:val="20"/>
          <w:lang w:val="es-VE"/>
        </w:rPr>
        <w:t xml:space="preserve"> </w:t>
      </w:r>
      <w:r w:rsidR="008C768F">
        <w:rPr>
          <w:rFonts w:ascii="Cambria" w:hAnsi="Cambria"/>
          <w:sz w:val="20"/>
          <w:szCs w:val="20"/>
          <w:lang w:val="es-VE"/>
        </w:rPr>
        <w:t>Dicha información no fue controvertida por el Estado.</w:t>
      </w:r>
    </w:p>
    <w:p w14:paraId="4CC91BA7" w14:textId="77777777" w:rsidR="00E2015A" w:rsidRDefault="00E2015A" w:rsidP="00212202">
      <w:pPr>
        <w:tabs>
          <w:tab w:val="left" w:pos="360"/>
          <w:tab w:val="left" w:pos="1440"/>
        </w:tabs>
        <w:jc w:val="both"/>
        <w:rPr>
          <w:rFonts w:ascii="Cambria" w:hAnsi="Cambria"/>
          <w:sz w:val="20"/>
          <w:szCs w:val="20"/>
          <w:lang w:val="es-VE"/>
        </w:rPr>
      </w:pPr>
    </w:p>
    <w:p w14:paraId="5A36ACE2" w14:textId="77777777" w:rsidR="004F5102" w:rsidRDefault="00E2015A"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E2015A">
        <w:rPr>
          <w:rFonts w:ascii="Cambria" w:hAnsi="Cambria"/>
          <w:sz w:val="20"/>
          <w:szCs w:val="20"/>
          <w:lang w:val="es-VE"/>
        </w:rPr>
        <w:t>La parte peticionaria indicó que José Herminio Deras declaró que estuvo en una celda</w:t>
      </w:r>
      <w:r>
        <w:rPr>
          <w:rFonts w:ascii="Cambria" w:hAnsi="Cambria"/>
          <w:sz w:val="20"/>
          <w:szCs w:val="20"/>
          <w:lang w:val="es-VE"/>
        </w:rPr>
        <w:t xml:space="preserve"> en la DNI</w:t>
      </w:r>
      <w:r w:rsidRPr="00E2015A">
        <w:rPr>
          <w:rFonts w:ascii="Cambria" w:hAnsi="Cambria"/>
          <w:sz w:val="20"/>
          <w:szCs w:val="20"/>
          <w:lang w:val="es-VE"/>
        </w:rPr>
        <w:t xml:space="preserve"> con dieciocho personas y que “tenía prohibido hablar para no identificarse entre sí</w:t>
      </w:r>
      <w:r w:rsidR="004831AE">
        <w:rPr>
          <w:rFonts w:ascii="Cambria" w:hAnsi="Cambria"/>
          <w:sz w:val="20"/>
          <w:szCs w:val="20"/>
          <w:lang w:val="es-VE"/>
        </w:rPr>
        <w:t>”. Sostuvo que un agente público</w:t>
      </w:r>
      <w:r>
        <w:rPr>
          <w:rFonts w:ascii="Cambria" w:hAnsi="Cambria"/>
          <w:sz w:val="20"/>
          <w:szCs w:val="20"/>
          <w:lang w:val="es-VE"/>
        </w:rPr>
        <w:t xml:space="preserve"> le dijo que “así como matamos al árbol, vamos a matar a las hojitas”. Indicó que todos </w:t>
      </w:r>
      <w:r w:rsidR="0067011E">
        <w:rPr>
          <w:rFonts w:ascii="Cambria" w:hAnsi="Cambria"/>
          <w:sz w:val="20"/>
          <w:szCs w:val="20"/>
          <w:lang w:val="es-VE"/>
        </w:rPr>
        <w:t>fueron fotografiados</w:t>
      </w:r>
      <w:r>
        <w:rPr>
          <w:rFonts w:ascii="Cambria" w:hAnsi="Cambria"/>
          <w:sz w:val="20"/>
          <w:szCs w:val="20"/>
          <w:lang w:val="es-VE"/>
        </w:rPr>
        <w:t xml:space="preserve">, y </w:t>
      </w:r>
      <w:r w:rsidR="0067011E">
        <w:rPr>
          <w:rFonts w:ascii="Cambria" w:hAnsi="Cambria"/>
          <w:sz w:val="20"/>
          <w:szCs w:val="20"/>
          <w:lang w:val="es-VE"/>
        </w:rPr>
        <w:t xml:space="preserve">que </w:t>
      </w:r>
      <w:r w:rsidR="00E93BD7">
        <w:rPr>
          <w:rFonts w:ascii="Cambria" w:hAnsi="Cambria"/>
          <w:sz w:val="20"/>
          <w:szCs w:val="20"/>
          <w:lang w:val="es-VE"/>
        </w:rPr>
        <w:t xml:space="preserve">el 9 de junio </w:t>
      </w:r>
      <w:r w:rsidR="004809E7">
        <w:rPr>
          <w:rFonts w:ascii="Cambria" w:hAnsi="Cambria"/>
          <w:sz w:val="20"/>
          <w:szCs w:val="20"/>
          <w:lang w:val="es-VE"/>
        </w:rPr>
        <w:t xml:space="preserve">él y </w:t>
      </w:r>
      <w:r>
        <w:rPr>
          <w:rFonts w:ascii="Cambria" w:hAnsi="Cambria"/>
          <w:sz w:val="20"/>
          <w:szCs w:val="20"/>
          <w:lang w:val="es-VE"/>
        </w:rPr>
        <w:t xml:space="preserve">su abuelo Domingo Deras </w:t>
      </w:r>
      <w:r w:rsidR="004809E7">
        <w:rPr>
          <w:rFonts w:ascii="Cambria" w:hAnsi="Cambria"/>
          <w:sz w:val="20"/>
          <w:szCs w:val="20"/>
          <w:lang w:val="es-VE"/>
        </w:rPr>
        <w:t>fueron puestos</w:t>
      </w:r>
      <w:r>
        <w:rPr>
          <w:rFonts w:ascii="Cambria" w:hAnsi="Cambria"/>
          <w:sz w:val="20"/>
          <w:szCs w:val="20"/>
          <w:lang w:val="es-VE"/>
        </w:rPr>
        <w:t xml:space="preserve"> en libertad</w:t>
      </w:r>
      <w:r w:rsidRPr="00E2015A">
        <w:rPr>
          <w:rStyle w:val="FootnoteReference"/>
          <w:rFonts w:ascii="Cambria" w:hAnsi="Cambria"/>
          <w:sz w:val="20"/>
          <w:szCs w:val="20"/>
          <w:lang w:val="es-VE"/>
        </w:rPr>
        <w:footnoteReference w:id="21"/>
      </w:r>
      <w:r>
        <w:rPr>
          <w:rFonts w:ascii="Cambria" w:hAnsi="Cambria"/>
          <w:sz w:val="20"/>
          <w:szCs w:val="20"/>
          <w:lang w:val="es-VE"/>
        </w:rPr>
        <w:t xml:space="preserve">. </w:t>
      </w:r>
    </w:p>
    <w:p w14:paraId="7E93446C" w14:textId="77777777" w:rsidR="004F5102" w:rsidRDefault="004F5102" w:rsidP="00212202">
      <w:pPr>
        <w:pStyle w:val="ListParagraph"/>
        <w:tabs>
          <w:tab w:val="left" w:pos="360"/>
        </w:tabs>
        <w:rPr>
          <w:rFonts w:ascii="Cambria" w:hAnsi="Cambria"/>
          <w:sz w:val="20"/>
          <w:szCs w:val="20"/>
          <w:lang w:val="es-VE"/>
        </w:rPr>
      </w:pPr>
    </w:p>
    <w:p w14:paraId="72B4D9C5" w14:textId="77777777" w:rsidR="00A13074" w:rsidRDefault="00E2015A"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Por su parte, </w:t>
      </w:r>
      <w:r w:rsidR="004D35C3" w:rsidRPr="00E2015A">
        <w:rPr>
          <w:rFonts w:ascii="Cambria" w:hAnsi="Cambria"/>
          <w:sz w:val="20"/>
          <w:szCs w:val="20"/>
          <w:lang w:val="es-VE"/>
        </w:rPr>
        <w:t xml:space="preserve">Irma Deras manifestó </w:t>
      </w:r>
      <w:r>
        <w:rPr>
          <w:rFonts w:ascii="Cambria" w:hAnsi="Cambria"/>
          <w:sz w:val="20"/>
          <w:szCs w:val="20"/>
          <w:lang w:val="es-VE"/>
        </w:rPr>
        <w:t xml:space="preserve">que </w:t>
      </w:r>
      <w:r w:rsidR="004809E7">
        <w:rPr>
          <w:rFonts w:ascii="Cambria" w:hAnsi="Cambria"/>
          <w:sz w:val="20"/>
          <w:szCs w:val="20"/>
          <w:lang w:val="es-VE"/>
        </w:rPr>
        <w:t>las demás personas fueron sometidas</w:t>
      </w:r>
      <w:r w:rsidRPr="00E2015A">
        <w:rPr>
          <w:rFonts w:ascii="Cambria" w:hAnsi="Cambria"/>
          <w:sz w:val="20"/>
          <w:szCs w:val="20"/>
          <w:lang w:val="es-VE"/>
        </w:rPr>
        <w:t xml:space="preserve"> a golpes constantes y puntapiés.</w:t>
      </w:r>
      <w:r>
        <w:rPr>
          <w:rFonts w:ascii="Cambria" w:hAnsi="Cambria"/>
          <w:sz w:val="20"/>
          <w:szCs w:val="20"/>
          <w:lang w:val="es-VE"/>
        </w:rPr>
        <w:t xml:space="preserve"> </w:t>
      </w:r>
      <w:r w:rsidR="004F5102">
        <w:rPr>
          <w:rFonts w:ascii="Cambria" w:hAnsi="Cambria"/>
          <w:sz w:val="20"/>
          <w:szCs w:val="20"/>
          <w:lang w:val="es-VE"/>
        </w:rPr>
        <w:t>Sostuvo</w:t>
      </w:r>
      <w:r>
        <w:rPr>
          <w:rFonts w:ascii="Cambria" w:hAnsi="Cambria"/>
          <w:sz w:val="20"/>
          <w:szCs w:val="20"/>
          <w:lang w:val="es-VE"/>
        </w:rPr>
        <w:t xml:space="preserve"> lo siguiente:</w:t>
      </w:r>
    </w:p>
    <w:p w14:paraId="1F134232" w14:textId="77777777" w:rsidR="00E2015A" w:rsidRPr="00E2015A" w:rsidRDefault="00E2015A" w:rsidP="00212202">
      <w:pPr>
        <w:tabs>
          <w:tab w:val="left" w:pos="360"/>
          <w:tab w:val="left" w:pos="1440"/>
        </w:tabs>
        <w:jc w:val="both"/>
        <w:rPr>
          <w:rFonts w:ascii="Cambria" w:hAnsi="Cambria"/>
          <w:sz w:val="20"/>
          <w:szCs w:val="20"/>
          <w:lang w:val="es-VE"/>
        </w:rPr>
      </w:pPr>
    </w:p>
    <w:p w14:paraId="40DF33BB" w14:textId="77777777" w:rsidR="00AB2DD2" w:rsidRPr="00DD7055" w:rsidRDefault="004D35C3" w:rsidP="00212202">
      <w:pPr>
        <w:pStyle w:val="ListParagraph"/>
        <w:tabs>
          <w:tab w:val="left" w:pos="360"/>
        </w:tabs>
        <w:ind w:left="360" w:right="360"/>
        <w:jc w:val="both"/>
        <w:rPr>
          <w:rFonts w:ascii="Cambria" w:hAnsi="Cambria"/>
          <w:sz w:val="18"/>
          <w:szCs w:val="18"/>
          <w:lang w:val="es-VE"/>
        </w:rPr>
      </w:pPr>
      <w:r w:rsidRPr="00DD7055">
        <w:rPr>
          <w:rFonts w:ascii="Cambria" w:hAnsi="Cambria"/>
          <w:sz w:val="18"/>
          <w:szCs w:val="18"/>
          <w:lang w:val="es-VE"/>
        </w:rPr>
        <w:t>N</w:t>
      </w:r>
      <w:r w:rsidR="00227A25" w:rsidRPr="00DD7055">
        <w:rPr>
          <w:rFonts w:ascii="Cambria" w:hAnsi="Cambria"/>
          <w:sz w:val="18"/>
          <w:szCs w:val="18"/>
          <w:lang w:val="es-VE"/>
        </w:rPr>
        <w:t>o identificamos a nadie porque estábamos vendados, ama</w:t>
      </w:r>
      <w:r w:rsidR="00D777F5" w:rsidRPr="00DD7055">
        <w:rPr>
          <w:rFonts w:ascii="Cambria" w:hAnsi="Cambria"/>
          <w:sz w:val="18"/>
          <w:szCs w:val="18"/>
          <w:lang w:val="es-VE"/>
        </w:rPr>
        <w:t>r</w:t>
      </w:r>
      <w:r w:rsidR="00227A25" w:rsidRPr="00DD7055">
        <w:rPr>
          <w:rFonts w:ascii="Cambria" w:hAnsi="Cambria"/>
          <w:sz w:val="18"/>
          <w:szCs w:val="18"/>
          <w:lang w:val="es-VE"/>
        </w:rPr>
        <w:t xml:space="preserve">rados, pero si cuando nos soltaron </w:t>
      </w:r>
      <w:r w:rsidR="00227A25" w:rsidRPr="00212202">
        <w:rPr>
          <w:rFonts w:ascii="Cambria" w:hAnsi="Cambria"/>
          <w:sz w:val="18"/>
          <w:szCs w:val="18"/>
          <w:lang w:val="es-CL"/>
        </w:rPr>
        <w:t>estábamos</w:t>
      </w:r>
      <w:r w:rsidR="00227A25" w:rsidRPr="00DD7055">
        <w:rPr>
          <w:rFonts w:ascii="Cambria" w:hAnsi="Cambria"/>
          <w:sz w:val="18"/>
          <w:szCs w:val="18"/>
          <w:lang w:val="es-VE"/>
        </w:rPr>
        <w:t xml:space="preserve"> en la dirección de investigación nacional y de ahí </w:t>
      </w:r>
      <w:r w:rsidR="005F742C" w:rsidRPr="00DD7055">
        <w:rPr>
          <w:rFonts w:ascii="Cambria" w:hAnsi="Cambria"/>
          <w:sz w:val="18"/>
          <w:szCs w:val="18"/>
          <w:lang w:val="es-VE"/>
        </w:rPr>
        <w:t>fuimos trasladados en camiones del ejército hacia las instalaciones de la base área en Tegucigalpa, y nos enviaron a la base área de San Pedro de Sula</w:t>
      </w:r>
      <w:r w:rsidR="005554BA" w:rsidRPr="00DD7055">
        <w:rPr>
          <w:rFonts w:ascii="Cambria" w:hAnsi="Cambria"/>
          <w:sz w:val="18"/>
          <w:szCs w:val="18"/>
          <w:lang w:val="es-VE"/>
        </w:rPr>
        <w:t>, de ahí nos trasladaron al juzgado del Progreso</w:t>
      </w:r>
      <w:r w:rsidRPr="00DD7055">
        <w:rPr>
          <w:rFonts w:ascii="Cambria" w:hAnsi="Cambria"/>
          <w:sz w:val="18"/>
          <w:szCs w:val="18"/>
          <w:lang w:val="es-VE"/>
        </w:rPr>
        <w:t>.</w:t>
      </w:r>
    </w:p>
    <w:p w14:paraId="4DD07648" w14:textId="77777777" w:rsidR="004D35C3" w:rsidRPr="003A651A" w:rsidRDefault="004D35C3" w:rsidP="00212202">
      <w:pPr>
        <w:tabs>
          <w:tab w:val="left" w:pos="360"/>
          <w:tab w:val="left" w:pos="1440"/>
        </w:tabs>
        <w:ind w:left="630" w:right="720"/>
        <w:jc w:val="both"/>
        <w:rPr>
          <w:rFonts w:ascii="Cambria" w:hAnsi="Cambria"/>
          <w:sz w:val="20"/>
          <w:szCs w:val="20"/>
          <w:lang w:val="es-VE"/>
        </w:rPr>
      </w:pPr>
    </w:p>
    <w:p w14:paraId="515690D5" w14:textId="77777777" w:rsidR="004F5102" w:rsidRDefault="00E2015A"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Irma Deras agregó que en diversas ocasiones fueron interrogados</w:t>
      </w:r>
      <w:r w:rsidR="004F5102">
        <w:rPr>
          <w:rFonts w:ascii="Cambria" w:hAnsi="Cambria"/>
          <w:sz w:val="20"/>
          <w:szCs w:val="20"/>
          <w:lang w:val="es-VE"/>
        </w:rPr>
        <w:t xml:space="preserve"> por los agentes militares quienes les preguntaban</w:t>
      </w:r>
      <w:r w:rsidRPr="003A651A">
        <w:rPr>
          <w:rFonts w:ascii="Cambria" w:hAnsi="Cambria"/>
          <w:sz w:val="20"/>
          <w:szCs w:val="20"/>
          <w:lang w:val="es-VE"/>
        </w:rPr>
        <w:t xml:space="preserve"> </w:t>
      </w:r>
      <w:r w:rsidR="00E93BD7" w:rsidRPr="003A651A">
        <w:rPr>
          <w:rFonts w:ascii="Cambria" w:hAnsi="Cambria"/>
          <w:sz w:val="20"/>
          <w:szCs w:val="20"/>
          <w:lang w:val="es-VE"/>
        </w:rPr>
        <w:t>“</w:t>
      </w:r>
      <w:r w:rsidR="00E93BD7" w:rsidRPr="00E93BD7">
        <w:rPr>
          <w:rFonts w:ascii="Cambria" w:hAnsi="Cambria"/>
          <w:sz w:val="20"/>
          <w:szCs w:val="20"/>
          <w:lang w:val="es-VE"/>
        </w:rPr>
        <w:t>¿</w:t>
      </w:r>
      <w:r w:rsidR="00E93BD7" w:rsidRPr="003A651A">
        <w:rPr>
          <w:rFonts w:ascii="Cambria" w:hAnsi="Cambria"/>
          <w:sz w:val="20"/>
          <w:szCs w:val="20"/>
          <w:lang w:val="es-VE"/>
        </w:rPr>
        <w:t>d</w:t>
      </w:r>
      <w:r w:rsidR="00F74025" w:rsidRPr="003A651A">
        <w:rPr>
          <w:rFonts w:ascii="Cambria" w:hAnsi="Cambria"/>
          <w:sz w:val="20"/>
          <w:szCs w:val="20"/>
          <w:lang w:val="es-VE"/>
        </w:rPr>
        <w:t xml:space="preserve">ónde estaban las armas?, </w:t>
      </w:r>
      <w:r w:rsidR="00031E94" w:rsidRPr="003A651A">
        <w:rPr>
          <w:rFonts w:ascii="Cambria" w:hAnsi="Cambria"/>
          <w:sz w:val="20"/>
          <w:szCs w:val="20"/>
          <w:lang w:val="es-VE"/>
        </w:rPr>
        <w:t>¿cómo se llamaba la célula guerrillera</w:t>
      </w:r>
      <w:r w:rsidR="00E93BD7" w:rsidRPr="003A651A">
        <w:rPr>
          <w:rFonts w:ascii="Cambria" w:hAnsi="Cambria"/>
          <w:sz w:val="20"/>
          <w:szCs w:val="20"/>
          <w:lang w:val="es-VE"/>
        </w:rPr>
        <w:t>? ¿c</w:t>
      </w:r>
      <w:r w:rsidR="00F74025" w:rsidRPr="003A651A">
        <w:rPr>
          <w:rFonts w:ascii="Cambria" w:hAnsi="Cambria"/>
          <w:sz w:val="20"/>
          <w:szCs w:val="20"/>
          <w:lang w:val="es-VE"/>
        </w:rPr>
        <w:t>uántas veces había ido al Salvador?</w:t>
      </w:r>
      <w:r w:rsidR="00E93BD7" w:rsidRPr="003A651A">
        <w:rPr>
          <w:rFonts w:ascii="Cambria" w:hAnsi="Cambria"/>
          <w:sz w:val="20"/>
          <w:szCs w:val="20"/>
          <w:lang w:val="es-VE"/>
        </w:rPr>
        <w:t xml:space="preserve">”. Indicó que al negar dicha información les restregaban lodo en la cara. Sostuvo que pagaron una </w:t>
      </w:r>
      <w:r w:rsidR="009D46E7" w:rsidRPr="003A651A">
        <w:rPr>
          <w:rFonts w:ascii="Cambria" w:hAnsi="Cambria"/>
          <w:sz w:val="20"/>
          <w:szCs w:val="20"/>
          <w:lang w:val="es-VE"/>
        </w:rPr>
        <w:t>“</w:t>
      </w:r>
      <w:r w:rsidR="00E93BD7" w:rsidRPr="003A651A">
        <w:rPr>
          <w:rFonts w:ascii="Cambria" w:hAnsi="Cambria"/>
          <w:sz w:val="20"/>
          <w:szCs w:val="20"/>
          <w:lang w:val="es-VE"/>
        </w:rPr>
        <w:t>fianza colectiva</w:t>
      </w:r>
      <w:r w:rsidR="009D46E7" w:rsidRPr="003A651A">
        <w:rPr>
          <w:rFonts w:ascii="Cambria" w:hAnsi="Cambria"/>
          <w:sz w:val="20"/>
          <w:szCs w:val="20"/>
          <w:lang w:val="es-VE"/>
        </w:rPr>
        <w:t>”</w:t>
      </w:r>
      <w:r w:rsidR="00E93BD7" w:rsidRPr="003A651A">
        <w:rPr>
          <w:rFonts w:ascii="Cambria" w:hAnsi="Cambria"/>
          <w:sz w:val="20"/>
          <w:szCs w:val="20"/>
          <w:lang w:val="es-VE"/>
        </w:rPr>
        <w:t xml:space="preserve"> y “</w:t>
      </w:r>
      <w:r w:rsidR="00E93BD7" w:rsidRPr="00E93BD7">
        <w:rPr>
          <w:rFonts w:ascii="Cambria" w:hAnsi="Cambria"/>
          <w:sz w:val="20"/>
          <w:szCs w:val="20"/>
          <w:lang w:val="es-VE"/>
        </w:rPr>
        <w:t>por presiones de los familiares y las organizaciones populares nos dejaron en libertad</w:t>
      </w:r>
      <w:r w:rsidR="00E93BD7" w:rsidRPr="003A651A">
        <w:rPr>
          <w:rFonts w:ascii="Cambria" w:hAnsi="Cambria"/>
          <w:sz w:val="20"/>
          <w:szCs w:val="20"/>
          <w:lang w:val="es-VE"/>
        </w:rPr>
        <w:t>”</w:t>
      </w:r>
      <w:r w:rsidR="00E93BD7" w:rsidRPr="00E93BD7">
        <w:rPr>
          <w:rStyle w:val="FootnoteReference"/>
          <w:rFonts w:ascii="Cambria" w:hAnsi="Cambria"/>
          <w:sz w:val="20"/>
          <w:szCs w:val="20"/>
          <w:lang w:val="es-VE"/>
        </w:rPr>
        <w:footnoteReference w:id="22"/>
      </w:r>
      <w:r w:rsidR="004F5102">
        <w:rPr>
          <w:rFonts w:ascii="Cambria" w:hAnsi="Cambria"/>
          <w:sz w:val="20"/>
          <w:szCs w:val="20"/>
          <w:lang w:val="es-VE"/>
        </w:rPr>
        <w:t>.</w:t>
      </w:r>
    </w:p>
    <w:p w14:paraId="00FF0BB5" w14:textId="77777777" w:rsidR="004F5102" w:rsidRDefault="004F5102"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VE"/>
        </w:rPr>
      </w:pPr>
    </w:p>
    <w:p w14:paraId="5370C770" w14:textId="77777777" w:rsidR="00E93BD7" w:rsidRPr="003A651A" w:rsidRDefault="009D46E7"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La parte peticionaria informó que “por falta de pruebas a los detenidos se les decretó libertad provisional” por el delito de sedición. </w:t>
      </w:r>
      <w:r w:rsidR="00E93BD7" w:rsidRPr="003A651A">
        <w:rPr>
          <w:rFonts w:ascii="Cambria" w:hAnsi="Cambria"/>
          <w:sz w:val="20"/>
          <w:szCs w:val="20"/>
          <w:lang w:val="es-VE"/>
        </w:rPr>
        <w:t xml:space="preserve">La Comisión toma nota de que el Estado no controvirtió esta información ni presentó </w:t>
      </w:r>
      <w:r w:rsidRPr="003A651A">
        <w:rPr>
          <w:rFonts w:ascii="Cambria" w:hAnsi="Cambria"/>
          <w:sz w:val="20"/>
          <w:szCs w:val="20"/>
          <w:lang w:val="es-VE"/>
        </w:rPr>
        <w:t>documentación</w:t>
      </w:r>
      <w:r w:rsidR="00E93BD7" w:rsidRPr="003A651A">
        <w:rPr>
          <w:rFonts w:ascii="Cambria" w:hAnsi="Cambria"/>
          <w:sz w:val="20"/>
          <w:szCs w:val="20"/>
          <w:lang w:val="es-VE"/>
        </w:rPr>
        <w:t xml:space="preserve"> sobre una investigación realizada en contra de los familiares del señor Deras</w:t>
      </w:r>
      <w:r w:rsidRPr="003A651A">
        <w:rPr>
          <w:rFonts w:ascii="Cambria" w:hAnsi="Cambria"/>
          <w:sz w:val="20"/>
          <w:szCs w:val="20"/>
          <w:lang w:val="es-VE"/>
        </w:rPr>
        <w:t xml:space="preserve"> por el delito de sedición</w:t>
      </w:r>
      <w:r w:rsidR="00E93BD7" w:rsidRPr="003A651A">
        <w:rPr>
          <w:rFonts w:ascii="Cambria" w:hAnsi="Cambria"/>
          <w:sz w:val="20"/>
          <w:szCs w:val="20"/>
          <w:lang w:val="es-VE"/>
        </w:rPr>
        <w:t xml:space="preserve">. </w:t>
      </w:r>
    </w:p>
    <w:p w14:paraId="28A005BB" w14:textId="77777777" w:rsidR="00DF49F5" w:rsidRPr="003A651A" w:rsidRDefault="00DF49F5" w:rsidP="00212202">
      <w:pPr>
        <w:tabs>
          <w:tab w:val="left" w:pos="360"/>
          <w:tab w:val="left" w:pos="1440"/>
        </w:tabs>
        <w:jc w:val="both"/>
        <w:rPr>
          <w:rFonts w:ascii="Cambria" w:hAnsi="Cambria"/>
          <w:sz w:val="20"/>
          <w:szCs w:val="20"/>
          <w:lang w:val="es-VE"/>
        </w:rPr>
      </w:pPr>
    </w:p>
    <w:p w14:paraId="1E08A769" w14:textId="77777777" w:rsidR="00734541" w:rsidRDefault="004F5102"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Adicionalmente, </w:t>
      </w:r>
      <w:r w:rsidR="00CD6822">
        <w:rPr>
          <w:rFonts w:ascii="Cambria" w:hAnsi="Cambria"/>
          <w:sz w:val="20"/>
          <w:szCs w:val="20"/>
          <w:lang w:val="es-VE"/>
        </w:rPr>
        <w:t>l</w:t>
      </w:r>
      <w:r w:rsidR="00A50DAD">
        <w:rPr>
          <w:rFonts w:ascii="Cambria" w:hAnsi="Cambria"/>
          <w:sz w:val="20"/>
          <w:szCs w:val="20"/>
          <w:lang w:val="es-VE"/>
        </w:rPr>
        <w:t>a Comisión toma nota de la información proporcionada por la parte peticionaria resp</w:t>
      </w:r>
      <w:r w:rsidR="00DC55B9">
        <w:rPr>
          <w:rFonts w:ascii="Cambria" w:hAnsi="Cambria"/>
          <w:sz w:val="20"/>
          <w:szCs w:val="20"/>
          <w:lang w:val="es-VE"/>
        </w:rPr>
        <w:t xml:space="preserve">ecto de los padres </w:t>
      </w:r>
      <w:r>
        <w:rPr>
          <w:rFonts w:ascii="Cambria" w:hAnsi="Cambria"/>
          <w:sz w:val="20"/>
          <w:szCs w:val="20"/>
          <w:lang w:val="es-VE"/>
        </w:rPr>
        <w:t xml:space="preserve">y dos de los hermanos </w:t>
      </w:r>
      <w:r w:rsidR="00DC55B9">
        <w:rPr>
          <w:rFonts w:ascii="Cambria" w:hAnsi="Cambria"/>
          <w:sz w:val="20"/>
          <w:szCs w:val="20"/>
          <w:lang w:val="es-VE"/>
        </w:rPr>
        <w:t>de Herminio D</w:t>
      </w:r>
      <w:r w:rsidR="00A50DAD">
        <w:rPr>
          <w:rFonts w:ascii="Cambria" w:hAnsi="Cambria"/>
          <w:sz w:val="20"/>
          <w:szCs w:val="20"/>
          <w:lang w:val="es-VE"/>
        </w:rPr>
        <w:t>eras</w:t>
      </w:r>
      <w:r w:rsidRPr="00DD7055">
        <w:rPr>
          <w:rStyle w:val="FootnoteReference"/>
          <w:rFonts w:ascii="Cambria" w:hAnsi="Cambria"/>
          <w:sz w:val="18"/>
          <w:szCs w:val="18"/>
          <w:lang w:val="es-VE"/>
        </w:rPr>
        <w:footnoteReference w:id="23"/>
      </w:r>
      <w:r w:rsidR="00A50DAD">
        <w:rPr>
          <w:rFonts w:ascii="Cambria" w:hAnsi="Cambria"/>
          <w:sz w:val="20"/>
          <w:szCs w:val="20"/>
          <w:lang w:val="es-VE"/>
        </w:rPr>
        <w:t>, la cual no fue controvertida por el Estado. En relación con Domingo Deras, padre de Herminio, l</w:t>
      </w:r>
      <w:r w:rsidR="00E37F31">
        <w:rPr>
          <w:rFonts w:ascii="Cambria" w:hAnsi="Cambria"/>
          <w:sz w:val="20"/>
          <w:szCs w:val="20"/>
          <w:lang w:val="es-VE"/>
        </w:rPr>
        <w:t xml:space="preserve">a parte peticionaria </w:t>
      </w:r>
      <w:r w:rsidR="00734541">
        <w:rPr>
          <w:rFonts w:ascii="Cambria" w:hAnsi="Cambria"/>
          <w:sz w:val="20"/>
          <w:szCs w:val="20"/>
          <w:lang w:val="es-VE"/>
        </w:rPr>
        <w:t>indicó lo siguiente:</w:t>
      </w:r>
    </w:p>
    <w:p w14:paraId="4D0B1DC4" w14:textId="77777777" w:rsidR="00734541" w:rsidRDefault="00734541" w:rsidP="00212202">
      <w:pPr>
        <w:tabs>
          <w:tab w:val="left" w:pos="360"/>
          <w:tab w:val="left" w:pos="1440"/>
        </w:tabs>
        <w:jc w:val="both"/>
        <w:rPr>
          <w:rFonts w:ascii="Cambria" w:hAnsi="Cambria"/>
          <w:sz w:val="20"/>
          <w:szCs w:val="20"/>
          <w:lang w:val="es-VE"/>
        </w:rPr>
      </w:pPr>
    </w:p>
    <w:p w14:paraId="3E81D201" w14:textId="77777777" w:rsidR="00DF49F5" w:rsidRPr="00DD7055" w:rsidRDefault="00DF49F5" w:rsidP="00212202">
      <w:pPr>
        <w:pStyle w:val="ListParagraph"/>
        <w:tabs>
          <w:tab w:val="left" w:pos="360"/>
        </w:tabs>
        <w:ind w:left="360" w:right="360"/>
        <w:jc w:val="both"/>
        <w:rPr>
          <w:rFonts w:ascii="Cambria" w:hAnsi="Cambria"/>
          <w:sz w:val="18"/>
          <w:szCs w:val="18"/>
          <w:lang w:val="es-VE"/>
        </w:rPr>
      </w:pPr>
      <w:r w:rsidRPr="00DD7055">
        <w:rPr>
          <w:rFonts w:ascii="Cambria" w:hAnsi="Cambria"/>
          <w:sz w:val="18"/>
          <w:szCs w:val="18"/>
          <w:lang w:val="es-VE"/>
        </w:rPr>
        <w:t xml:space="preserve">Domingo Deras entró en una profunda depresión, no hablaba con nadie, su trabajo de constructor y su </w:t>
      </w:r>
      <w:r w:rsidRPr="00212202">
        <w:rPr>
          <w:rFonts w:ascii="Cambria" w:hAnsi="Cambria"/>
          <w:sz w:val="18"/>
          <w:szCs w:val="18"/>
          <w:lang w:val="es-CL"/>
        </w:rPr>
        <w:t>fábrica</w:t>
      </w:r>
      <w:r w:rsidRPr="00DD7055">
        <w:rPr>
          <w:rFonts w:ascii="Cambria" w:hAnsi="Cambria"/>
          <w:sz w:val="18"/>
          <w:szCs w:val="18"/>
          <w:lang w:val="es-VE"/>
        </w:rPr>
        <w:t xml:space="preserve"> de bloques y mosaicos quebró, tanto porque estaba estigmatizado y nadie lo contrataba, como por descuidarlo para atendar la demanda de justicia (...). Comenzó a ingerir licor en forma excesiva y cuando se encontraba bajo los efectos del alcohol, repetía reiteradamente “si no me hubiera negado a cambiar el vehículo, Herminio estaría vivo” y repetía que era un mal padre. El 12 de junio de 1987 tenía 72 años, se sentó en una silla y se disparó a la cabeza (</w:t>
      </w:r>
      <w:r w:rsidR="004831AE" w:rsidRPr="00DD7055">
        <w:rPr>
          <w:rFonts w:ascii="Cambria" w:hAnsi="Cambria"/>
          <w:sz w:val="18"/>
          <w:szCs w:val="18"/>
          <w:lang w:val="es-VE"/>
        </w:rPr>
        <w:t>...)</w:t>
      </w:r>
      <w:r w:rsidRPr="00DD7055">
        <w:rPr>
          <w:rFonts w:ascii="Cambria" w:hAnsi="Cambria"/>
          <w:sz w:val="18"/>
          <w:szCs w:val="18"/>
          <w:lang w:val="es-VE"/>
        </w:rPr>
        <w:t xml:space="preserve"> pocos minutos después murió. Dejó una nota que decía “Perdónenme por no haber sido valiente para defenderlos”.</w:t>
      </w:r>
    </w:p>
    <w:p w14:paraId="15623620" w14:textId="77777777" w:rsidR="00734541" w:rsidRDefault="00734541" w:rsidP="00212202">
      <w:pPr>
        <w:tabs>
          <w:tab w:val="left" w:pos="360"/>
          <w:tab w:val="left" w:pos="1440"/>
        </w:tabs>
        <w:ind w:left="630"/>
        <w:jc w:val="both"/>
        <w:rPr>
          <w:rFonts w:ascii="Cambria" w:hAnsi="Cambria"/>
          <w:sz w:val="20"/>
          <w:szCs w:val="20"/>
          <w:lang w:val="es-VE"/>
        </w:rPr>
      </w:pPr>
      <w:r>
        <w:rPr>
          <w:rFonts w:ascii="Cambria" w:hAnsi="Cambria"/>
          <w:sz w:val="20"/>
          <w:szCs w:val="20"/>
          <w:lang w:val="es-VE"/>
        </w:rPr>
        <w:t xml:space="preserve"> </w:t>
      </w:r>
    </w:p>
    <w:p w14:paraId="73C32138" w14:textId="77777777" w:rsidR="00DF49F5" w:rsidRDefault="00A50DAD"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Respecto de María Eustaquia García, madre de Herminio, </w:t>
      </w:r>
      <w:r w:rsidR="00DF49F5">
        <w:rPr>
          <w:rFonts w:ascii="Cambria" w:hAnsi="Cambria"/>
          <w:sz w:val="20"/>
          <w:szCs w:val="20"/>
          <w:lang w:val="es-VE"/>
        </w:rPr>
        <w:t>la parte peticionaria sostuvo lo siguiente:</w:t>
      </w:r>
    </w:p>
    <w:p w14:paraId="1FDE5902" w14:textId="77777777" w:rsidR="00DF49F5" w:rsidRDefault="00DF49F5" w:rsidP="00212202">
      <w:pPr>
        <w:tabs>
          <w:tab w:val="left" w:pos="360"/>
          <w:tab w:val="left" w:pos="1440"/>
        </w:tabs>
        <w:ind w:left="630"/>
        <w:jc w:val="both"/>
        <w:rPr>
          <w:rFonts w:ascii="Cambria" w:hAnsi="Cambria"/>
          <w:sz w:val="20"/>
          <w:szCs w:val="20"/>
          <w:lang w:val="es-VE"/>
        </w:rPr>
      </w:pPr>
    </w:p>
    <w:p w14:paraId="3009585A" w14:textId="77777777" w:rsidR="00E37F31" w:rsidRPr="00DD7055" w:rsidRDefault="00DF49F5" w:rsidP="00212202">
      <w:pPr>
        <w:pStyle w:val="ListParagraph"/>
        <w:tabs>
          <w:tab w:val="left" w:pos="360"/>
        </w:tabs>
        <w:ind w:left="360" w:right="360"/>
        <w:jc w:val="both"/>
        <w:rPr>
          <w:rFonts w:ascii="Cambria" w:hAnsi="Cambria"/>
          <w:sz w:val="18"/>
          <w:szCs w:val="18"/>
          <w:lang w:val="es-VE"/>
        </w:rPr>
      </w:pPr>
      <w:r w:rsidRPr="00DD7055">
        <w:rPr>
          <w:rFonts w:ascii="Cambria" w:hAnsi="Cambria"/>
          <w:sz w:val="18"/>
          <w:szCs w:val="18"/>
          <w:lang w:val="es-VE"/>
        </w:rPr>
        <w:t>A</w:t>
      </w:r>
      <w:r w:rsidR="00734541" w:rsidRPr="00DD7055">
        <w:rPr>
          <w:rFonts w:ascii="Cambria" w:hAnsi="Cambria"/>
          <w:sz w:val="18"/>
          <w:szCs w:val="18"/>
          <w:lang w:val="es-VE"/>
        </w:rPr>
        <w:t xml:space="preserve"> raíz de la muerte violenta de su hijo Herminio, entró en una profunda depresión que</w:t>
      </w:r>
      <w:r w:rsidRPr="00DD7055">
        <w:rPr>
          <w:rFonts w:ascii="Cambria" w:hAnsi="Cambria"/>
          <w:sz w:val="18"/>
          <w:szCs w:val="18"/>
          <w:lang w:val="es-VE"/>
        </w:rPr>
        <w:t xml:space="preserve"> le activó el foco epiléptico, </w:t>
      </w:r>
      <w:r w:rsidR="00734541" w:rsidRPr="00DD7055">
        <w:rPr>
          <w:rFonts w:ascii="Cambria" w:hAnsi="Cambria"/>
          <w:sz w:val="18"/>
          <w:szCs w:val="18"/>
          <w:lang w:val="es-VE"/>
        </w:rPr>
        <w:t xml:space="preserve">constantemente sufría ataques y su salud se fue deteriorando, la economía familiar se </w:t>
      </w:r>
      <w:r w:rsidR="00734541" w:rsidRPr="00212202">
        <w:rPr>
          <w:rFonts w:ascii="Cambria" w:hAnsi="Cambria"/>
          <w:sz w:val="18"/>
          <w:szCs w:val="18"/>
          <w:lang w:val="es-CL"/>
        </w:rPr>
        <w:t>deprimió</w:t>
      </w:r>
      <w:r w:rsidR="00734541" w:rsidRPr="00DD7055">
        <w:rPr>
          <w:rFonts w:ascii="Cambria" w:hAnsi="Cambria"/>
          <w:sz w:val="18"/>
          <w:szCs w:val="18"/>
          <w:lang w:val="es-VE"/>
        </w:rPr>
        <w:t>, e</w:t>
      </w:r>
      <w:r w:rsidRPr="00DD7055">
        <w:rPr>
          <w:rFonts w:ascii="Cambria" w:hAnsi="Cambria"/>
          <w:sz w:val="18"/>
          <w:szCs w:val="18"/>
          <w:lang w:val="es-VE"/>
        </w:rPr>
        <w:t>l negocio de construcción de su esposo quebró</w:t>
      </w:r>
      <w:r w:rsidR="00A50DAD" w:rsidRPr="00DD7055">
        <w:rPr>
          <w:rFonts w:ascii="Cambria" w:hAnsi="Cambria"/>
          <w:sz w:val="18"/>
          <w:szCs w:val="18"/>
          <w:lang w:val="es-VE"/>
        </w:rPr>
        <w:t xml:space="preserve">, su hijo Héctor se marchó al exilio para salvar su vida. (...) El suicidio de su esposo profundizó su depresión. Finalmente perdió la salud y se debilitó al extremo que no salió de la cama nunca más. Murió el 22 de mayo de 2010. </w:t>
      </w:r>
    </w:p>
    <w:p w14:paraId="718F3821" w14:textId="77777777" w:rsidR="00E37F31" w:rsidRPr="003A651A" w:rsidRDefault="00E37F31" w:rsidP="00212202">
      <w:pPr>
        <w:tabs>
          <w:tab w:val="left" w:pos="360"/>
          <w:tab w:val="left" w:pos="1440"/>
        </w:tabs>
        <w:jc w:val="both"/>
        <w:rPr>
          <w:rFonts w:ascii="Cambria" w:hAnsi="Cambria"/>
          <w:sz w:val="20"/>
          <w:szCs w:val="20"/>
          <w:lang w:val="es-VE"/>
        </w:rPr>
      </w:pPr>
    </w:p>
    <w:p w14:paraId="1E69361D" w14:textId="77777777" w:rsidR="00DF49F5" w:rsidRPr="00A50DAD" w:rsidRDefault="004F5102"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En relación con los hermanos del señor Deras, l</w:t>
      </w:r>
      <w:r w:rsidR="00A50DAD">
        <w:rPr>
          <w:rFonts w:ascii="Cambria" w:hAnsi="Cambria"/>
          <w:sz w:val="20"/>
          <w:szCs w:val="20"/>
          <w:lang w:val="es-VE"/>
        </w:rPr>
        <w:t xml:space="preserve">a </w:t>
      </w:r>
      <w:r w:rsidR="00DF49F5" w:rsidRPr="00A50DAD">
        <w:rPr>
          <w:rFonts w:ascii="Cambria" w:hAnsi="Cambria"/>
          <w:sz w:val="20"/>
          <w:szCs w:val="20"/>
          <w:lang w:val="es-VE"/>
        </w:rPr>
        <w:t xml:space="preserve">parte peticionaria informó que en septiembre de 1984 </w:t>
      </w:r>
      <w:r>
        <w:rPr>
          <w:rFonts w:ascii="Cambria" w:hAnsi="Cambria"/>
          <w:sz w:val="20"/>
          <w:szCs w:val="20"/>
          <w:lang w:val="es-VE"/>
        </w:rPr>
        <w:t>Héctor Deras</w:t>
      </w:r>
      <w:r w:rsidR="00DF49F5" w:rsidRPr="00A50DAD">
        <w:rPr>
          <w:rFonts w:ascii="Cambria" w:hAnsi="Cambria"/>
          <w:sz w:val="20"/>
          <w:szCs w:val="20"/>
          <w:lang w:val="es-VE"/>
        </w:rPr>
        <w:t xml:space="preserve"> salió del país rumbo a Estados Unidos. Ello luego de que su padre Domingo le dijera que recibió información de agentes de la DNI sobre un plan para asesinarlo. Explicó que dichos agentes le dijeron “ya </w:t>
      </w:r>
      <w:r w:rsidR="00DF49F5" w:rsidRPr="00A50DAD">
        <w:rPr>
          <w:rFonts w:ascii="Cambria" w:hAnsi="Cambria"/>
          <w:sz w:val="20"/>
          <w:szCs w:val="20"/>
          <w:lang w:val="es-VE"/>
        </w:rPr>
        <w:lastRenderedPageBreak/>
        <w:t>perdió un hijo, no pierda a otro”. La parte peticionaria informó que Hécto</w:t>
      </w:r>
      <w:r w:rsidR="00DE4E51">
        <w:rPr>
          <w:rFonts w:ascii="Cambria" w:hAnsi="Cambria"/>
          <w:sz w:val="20"/>
          <w:szCs w:val="20"/>
          <w:lang w:val="es-VE"/>
        </w:rPr>
        <w:t>r</w:t>
      </w:r>
      <w:r w:rsidR="00DF49F5" w:rsidRPr="00A50DAD">
        <w:rPr>
          <w:rFonts w:ascii="Cambria" w:hAnsi="Cambria"/>
          <w:sz w:val="20"/>
          <w:szCs w:val="20"/>
          <w:lang w:val="es-VE"/>
        </w:rPr>
        <w:t xml:space="preserve"> Deras falleció en el año 2010, un día después de regresar a Honduras para visitar a su madre. La Comisión no cuenta con información sobre el fallecimiento de Héctor Deras. </w:t>
      </w:r>
    </w:p>
    <w:p w14:paraId="454DAE35" w14:textId="77777777" w:rsidR="00DF49F5" w:rsidRPr="00DF49F5" w:rsidRDefault="00DF49F5" w:rsidP="00212202">
      <w:pPr>
        <w:tabs>
          <w:tab w:val="left" w:pos="360"/>
          <w:tab w:val="left" w:pos="1440"/>
        </w:tabs>
        <w:jc w:val="both"/>
        <w:rPr>
          <w:rFonts w:ascii="Cambria" w:hAnsi="Cambria"/>
          <w:sz w:val="20"/>
          <w:szCs w:val="20"/>
          <w:lang w:val="es-VE"/>
        </w:rPr>
      </w:pPr>
    </w:p>
    <w:p w14:paraId="5020FF85" w14:textId="77777777" w:rsidR="00DF49F5" w:rsidRPr="00E37F31" w:rsidRDefault="00A50DAD"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Finalmente,</w:t>
      </w:r>
      <w:r w:rsidR="00DF49F5" w:rsidRPr="00DF49F5">
        <w:rPr>
          <w:rFonts w:ascii="Cambria" w:hAnsi="Cambria"/>
          <w:sz w:val="20"/>
          <w:szCs w:val="20"/>
          <w:lang w:val="es-VE"/>
        </w:rPr>
        <w:t xml:space="preserve"> la parte peticionaria manifestó que la hermana del señor Deras, Alba Luz, se encontraba estudiando en Rumania desde 1975. Sostuvo que debido a “la situación política imperante y por la persecusión de que era objeto su familia” no pudo regresar a Honduras. Explicó que Alba Luz recién regresó a Honduras en el año 2000 a trabajar en el Equipo de Reflexión de la Iglesia Católica y que en el año 2009, debido a sus funciones de acompañamiento “al proceso de resistencia”, recibió un mensaje de texto que decía “te vamos a joder”. </w:t>
      </w:r>
    </w:p>
    <w:p w14:paraId="1CF76A1C" w14:textId="77777777" w:rsidR="0099177A" w:rsidRPr="003A651A" w:rsidRDefault="0099177A" w:rsidP="00212202">
      <w:pPr>
        <w:tabs>
          <w:tab w:val="left" w:pos="360"/>
          <w:tab w:val="left" w:pos="1440"/>
        </w:tabs>
        <w:ind w:left="630"/>
        <w:jc w:val="both"/>
        <w:rPr>
          <w:rFonts w:ascii="Cambria" w:hAnsi="Cambria"/>
          <w:sz w:val="20"/>
          <w:szCs w:val="20"/>
          <w:lang w:val="es-VE"/>
        </w:rPr>
      </w:pPr>
    </w:p>
    <w:p w14:paraId="5AAE7103" w14:textId="77777777" w:rsidR="008B59BB" w:rsidRPr="00EC51FE" w:rsidRDefault="008B59BB" w:rsidP="00212202">
      <w:pPr>
        <w:pStyle w:val="Heading2"/>
        <w:numPr>
          <w:ilvl w:val="0"/>
          <w:numId w:val="61"/>
        </w:numPr>
        <w:tabs>
          <w:tab w:val="left" w:pos="360"/>
        </w:tabs>
        <w:ind w:hanging="720"/>
      </w:pPr>
      <w:bookmarkStart w:id="18" w:name="_Toc15048001"/>
      <w:bookmarkStart w:id="19" w:name="_Toc21442037"/>
      <w:r w:rsidRPr="00EC51FE">
        <w:t>Sobre el proceso penal</w:t>
      </w:r>
      <w:bookmarkEnd w:id="18"/>
      <w:bookmarkEnd w:id="19"/>
    </w:p>
    <w:p w14:paraId="71326CCF" w14:textId="77777777" w:rsidR="00927564" w:rsidRPr="003A651A" w:rsidRDefault="00927564" w:rsidP="00212202">
      <w:pPr>
        <w:tabs>
          <w:tab w:val="left" w:pos="360"/>
          <w:tab w:val="left" w:pos="1440"/>
        </w:tabs>
        <w:jc w:val="both"/>
        <w:rPr>
          <w:rFonts w:ascii="Cambria" w:hAnsi="Cambria"/>
          <w:sz w:val="20"/>
          <w:szCs w:val="20"/>
          <w:lang w:val="es-VE"/>
        </w:rPr>
      </w:pPr>
    </w:p>
    <w:p w14:paraId="3685308B" w14:textId="77777777" w:rsidR="0099177A" w:rsidRPr="003A651A" w:rsidRDefault="006B30E8"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El 30 de julio de 1998</w:t>
      </w:r>
      <w:r w:rsidR="0077682D" w:rsidRPr="003A651A">
        <w:rPr>
          <w:rFonts w:ascii="Cambria" w:hAnsi="Cambria"/>
          <w:sz w:val="20"/>
          <w:szCs w:val="20"/>
          <w:lang w:val="es-VE"/>
        </w:rPr>
        <w:t xml:space="preserve"> el Ministerio P</w:t>
      </w:r>
      <w:r w:rsidR="00F7433B" w:rsidRPr="003A651A">
        <w:rPr>
          <w:rFonts w:ascii="Cambria" w:hAnsi="Cambria"/>
          <w:sz w:val="20"/>
          <w:szCs w:val="20"/>
          <w:lang w:val="es-VE"/>
        </w:rPr>
        <w:t>úblic</w:t>
      </w:r>
      <w:r w:rsidR="00A50DAD" w:rsidRPr="003A651A">
        <w:rPr>
          <w:rFonts w:ascii="Cambria" w:hAnsi="Cambria"/>
          <w:sz w:val="20"/>
          <w:szCs w:val="20"/>
          <w:lang w:val="es-VE"/>
        </w:rPr>
        <w:t xml:space="preserve">o presentó una denuncia contra </w:t>
      </w:r>
      <w:r w:rsidR="00A173DF" w:rsidRPr="003A651A">
        <w:rPr>
          <w:rFonts w:ascii="Cambria" w:hAnsi="Cambria"/>
          <w:sz w:val="20"/>
          <w:szCs w:val="20"/>
          <w:lang w:val="es-VE"/>
        </w:rPr>
        <w:t>los miembros del Batallón 3-16</w:t>
      </w:r>
      <w:r w:rsidR="00A50DAD" w:rsidRPr="003A651A">
        <w:rPr>
          <w:rFonts w:ascii="Cambria" w:hAnsi="Cambria"/>
          <w:sz w:val="20"/>
          <w:szCs w:val="20"/>
          <w:lang w:val="es-VE"/>
        </w:rPr>
        <w:t xml:space="preserve"> </w:t>
      </w:r>
      <w:r w:rsidR="00F7433B" w:rsidRPr="003A651A">
        <w:rPr>
          <w:rFonts w:ascii="Cambria" w:hAnsi="Cambria"/>
          <w:sz w:val="20"/>
          <w:szCs w:val="20"/>
          <w:lang w:val="es-VE"/>
        </w:rPr>
        <w:t>Marco Tulio Regalado, Rafael Canales Núñez</w:t>
      </w:r>
      <w:r w:rsidR="0033636E" w:rsidRPr="003A651A">
        <w:rPr>
          <w:rFonts w:ascii="Cambria" w:hAnsi="Cambria"/>
          <w:sz w:val="20"/>
          <w:szCs w:val="20"/>
          <w:lang w:val="es-VE"/>
        </w:rPr>
        <w:t xml:space="preserve"> y</w:t>
      </w:r>
      <w:r w:rsidR="00F7433B" w:rsidRPr="003A651A">
        <w:rPr>
          <w:rFonts w:ascii="Cambria" w:hAnsi="Cambria"/>
          <w:sz w:val="20"/>
          <w:szCs w:val="20"/>
          <w:lang w:val="es-VE"/>
        </w:rPr>
        <w:t xml:space="preserve"> </w:t>
      </w:r>
      <w:r w:rsidR="00332D9A" w:rsidRPr="003A651A">
        <w:rPr>
          <w:rFonts w:ascii="Cambria" w:hAnsi="Cambria"/>
          <w:sz w:val="20"/>
          <w:szCs w:val="20"/>
          <w:lang w:val="es-VE"/>
        </w:rPr>
        <w:t>Alexa</w:t>
      </w:r>
      <w:r w:rsidR="00A50DAD" w:rsidRPr="003A651A">
        <w:rPr>
          <w:rFonts w:ascii="Cambria" w:hAnsi="Cambria"/>
          <w:sz w:val="20"/>
          <w:szCs w:val="20"/>
          <w:lang w:val="es-VE"/>
        </w:rPr>
        <w:t xml:space="preserve">nder Raymundo Hernández Santos </w:t>
      </w:r>
      <w:r w:rsidR="00332D9A" w:rsidRPr="003A651A">
        <w:rPr>
          <w:rFonts w:ascii="Cambria" w:hAnsi="Cambria"/>
          <w:sz w:val="20"/>
          <w:szCs w:val="20"/>
          <w:lang w:val="es-VE"/>
        </w:rPr>
        <w:t>por el asesinato de</w:t>
      </w:r>
      <w:r w:rsidR="00A50DAD" w:rsidRPr="003A651A">
        <w:rPr>
          <w:rFonts w:ascii="Cambria" w:hAnsi="Cambria"/>
          <w:sz w:val="20"/>
          <w:szCs w:val="20"/>
          <w:lang w:val="es-VE"/>
        </w:rPr>
        <w:t xml:space="preserve"> </w:t>
      </w:r>
      <w:r w:rsidR="00332D9A" w:rsidRPr="003A651A">
        <w:rPr>
          <w:rFonts w:ascii="Cambria" w:hAnsi="Cambria"/>
          <w:sz w:val="20"/>
          <w:szCs w:val="20"/>
          <w:lang w:val="es-VE"/>
        </w:rPr>
        <w:t>Herminio Deras</w:t>
      </w:r>
      <w:r w:rsidR="005169CE" w:rsidRPr="003A651A">
        <w:rPr>
          <w:rFonts w:ascii="Cambria" w:hAnsi="Cambria"/>
          <w:sz w:val="20"/>
          <w:szCs w:val="20"/>
          <w:lang w:val="es-VE"/>
        </w:rPr>
        <w:t xml:space="preserve">. </w:t>
      </w:r>
      <w:r w:rsidR="00A173DF" w:rsidRPr="003A651A">
        <w:rPr>
          <w:rFonts w:ascii="Cambria" w:hAnsi="Cambria"/>
          <w:sz w:val="20"/>
          <w:szCs w:val="20"/>
          <w:lang w:val="es-VE"/>
        </w:rPr>
        <w:t xml:space="preserve">En la denuncia se hizo referencia </w:t>
      </w:r>
      <w:r w:rsidR="00D06BB8" w:rsidRPr="003A651A">
        <w:rPr>
          <w:rFonts w:ascii="Cambria" w:hAnsi="Cambria"/>
          <w:sz w:val="20"/>
          <w:szCs w:val="20"/>
          <w:lang w:val="es-VE"/>
        </w:rPr>
        <w:t xml:space="preserve">al contexto del país </w:t>
      </w:r>
      <w:r w:rsidR="00AB1B4D">
        <w:rPr>
          <w:rFonts w:ascii="Cambria" w:hAnsi="Cambria"/>
          <w:sz w:val="20"/>
          <w:szCs w:val="20"/>
          <w:lang w:val="es-VE"/>
        </w:rPr>
        <w:t>entre</w:t>
      </w:r>
      <w:r w:rsidR="00D06BB8" w:rsidRPr="003A651A">
        <w:rPr>
          <w:rFonts w:ascii="Cambria" w:hAnsi="Cambria"/>
          <w:sz w:val="20"/>
          <w:szCs w:val="20"/>
          <w:lang w:val="es-VE"/>
        </w:rPr>
        <w:t xml:space="preserve"> 1980-1984</w:t>
      </w:r>
      <w:r w:rsidR="0033636E" w:rsidRPr="003A651A">
        <w:rPr>
          <w:rFonts w:ascii="Cambria" w:hAnsi="Cambria"/>
          <w:sz w:val="20"/>
          <w:szCs w:val="20"/>
          <w:lang w:val="es-VE"/>
        </w:rPr>
        <w:t xml:space="preserve">, </w:t>
      </w:r>
      <w:r w:rsidR="00762EF9" w:rsidRPr="003A651A">
        <w:rPr>
          <w:rFonts w:ascii="Cambria" w:hAnsi="Cambria"/>
          <w:sz w:val="20"/>
          <w:szCs w:val="20"/>
          <w:lang w:val="es-VE"/>
        </w:rPr>
        <w:t xml:space="preserve">específicamente </w:t>
      </w:r>
      <w:r w:rsidR="0033636E" w:rsidRPr="003A651A">
        <w:rPr>
          <w:rFonts w:ascii="Cambria" w:hAnsi="Cambria"/>
          <w:sz w:val="20"/>
          <w:szCs w:val="20"/>
          <w:lang w:val="es-VE"/>
        </w:rPr>
        <w:t xml:space="preserve">a la persecución y posterior ejecución extrajudicial </w:t>
      </w:r>
      <w:r w:rsidR="00762EF9" w:rsidRPr="003A651A">
        <w:rPr>
          <w:rFonts w:ascii="Cambria" w:hAnsi="Cambria"/>
          <w:sz w:val="20"/>
          <w:szCs w:val="20"/>
          <w:lang w:val="es-VE"/>
        </w:rPr>
        <w:t>de</w:t>
      </w:r>
      <w:r w:rsidR="0033636E" w:rsidRPr="003A651A">
        <w:rPr>
          <w:rFonts w:ascii="Cambria" w:hAnsi="Cambria"/>
          <w:sz w:val="20"/>
          <w:szCs w:val="20"/>
          <w:lang w:val="es-VE"/>
        </w:rPr>
        <w:t xml:space="preserve"> personas que eran consideradas una amenaza para el gobierno</w:t>
      </w:r>
      <w:r w:rsidR="00A173DF" w:rsidRPr="003A651A">
        <w:rPr>
          <w:rFonts w:ascii="Cambria" w:hAnsi="Cambria"/>
          <w:sz w:val="20"/>
          <w:szCs w:val="20"/>
          <w:lang w:val="es-VE"/>
        </w:rPr>
        <w:t xml:space="preserve"> de dicha época</w:t>
      </w:r>
      <w:r w:rsidR="0033636E" w:rsidRPr="003A651A">
        <w:rPr>
          <w:rFonts w:ascii="Cambria" w:hAnsi="Cambria"/>
          <w:sz w:val="20"/>
          <w:szCs w:val="20"/>
          <w:lang w:val="es-VE"/>
        </w:rPr>
        <w:t>.</w:t>
      </w:r>
      <w:r w:rsidR="00762EF9" w:rsidRPr="003A651A">
        <w:rPr>
          <w:rFonts w:ascii="Cambria" w:hAnsi="Cambria"/>
          <w:sz w:val="20"/>
          <w:szCs w:val="20"/>
          <w:lang w:val="es-VE"/>
        </w:rPr>
        <w:t xml:space="preserve"> </w:t>
      </w:r>
      <w:r w:rsidR="00A173DF" w:rsidRPr="003A651A">
        <w:rPr>
          <w:rFonts w:ascii="Cambria" w:hAnsi="Cambria"/>
          <w:sz w:val="20"/>
          <w:szCs w:val="20"/>
          <w:lang w:val="es-VE"/>
        </w:rPr>
        <w:t xml:space="preserve">Asimismo, en la denuncia se relató </w:t>
      </w:r>
      <w:r w:rsidR="00762EF9" w:rsidRPr="003A651A">
        <w:rPr>
          <w:rFonts w:ascii="Cambria" w:hAnsi="Cambria"/>
          <w:sz w:val="20"/>
          <w:szCs w:val="20"/>
          <w:lang w:val="es-VE"/>
        </w:rPr>
        <w:t>el testimonio rendido por Fausto Reyes sobre lo sucedido el día de la muerte de Herminio Deras</w:t>
      </w:r>
      <w:r w:rsidR="00A173DF" w:rsidRPr="003A651A">
        <w:rPr>
          <w:rFonts w:ascii="Cambria" w:hAnsi="Cambria"/>
          <w:sz w:val="20"/>
          <w:szCs w:val="20"/>
          <w:lang w:val="es-VE"/>
        </w:rPr>
        <w:t xml:space="preserve"> y las declaraciones de diversos familiares</w:t>
      </w:r>
      <w:r w:rsidR="00762EF9" w:rsidRPr="003A651A">
        <w:rPr>
          <w:rStyle w:val="FootnoteReference"/>
          <w:rFonts w:ascii="Cambria" w:hAnsi="Cambria"/>
          <w:sz w:val="20"/>
          <w:szCs w:val="20"/>
          <w:lang w:val="es-VE"/>
        </w:rPr>
        <w:footnoteReference w:id="24"/>
      </w:r>
      <w:r w:rsidR="00A173DF" w:rsidRPr="003A651A">
        <w:rPr>
          <w:rFonts w:ascii="Cambria" w:hAnsi="Cambria"/>
          <w:sz w:val="20"/>
          <w:szCs w:val="20"/>
          <w:lang w:val="es-VE"/>
        </w:rPr>
        <w:t>. Es</w:t>
      </w:r>
      <w:r w:rsidR="009136C9" w:rsidRPr="003A651A">
        <w:rPr>
          <w:rFonts w:ascii="Cambria" w:hAnsi="Cambria"/>
          <w:sz w:val="20"/>
          <w:szCs w:val="20"/>
          <w:lang w:val="es-VE"/>
        </w:rPr>
        <w:t>e mismo d</w:t>
      </w:r>
      <w:r w:rsidR="00A173DF" w:rsidRPr="003A651A">
        <w:rPr>
          <w:rFonts w:ascii="Cambria" w:hAnsi="Cambria"/>
          <w:sz w:val="20"/>
          <w:szCs w:val="20"/>
          <w:lang w:val="es-VE"/>
        </w:rPr>
        <w:t>ía</w:t>
      </w:r>
      <w:r w:rsidR="006807B5" w:rsidRPr="003A651A">
        <w:rPr>
          <w:rFonts w:ascii="Cambria" w:hAnsi="Cambria"/>
          <w:sz w:val="20"/>
          <w:szCs w:val="20"/>
          <w:lang w:val="es-VE"/>
        </w:rPr>
        <w:t xml:space="preserve"> </w:t>
      </w:r>
      <w:r w:rsidR="00EB78BC" w:rsidRPr="003A651A">
        <w:rPr>
          <w:rFonts w:ascii="Cambria" w:hAnsi="Cambria"/>
          <w:sz w:val="20"/>
          <w:szCs w:val="20"/>
          <w:lang w:val="es-VE"/>
        </w:rPr>
        <w:t>la Jueza</w:t>
      </w:r>
      <w:r w:rsidR="00636D4A" w:rsidRPr="003A651A">
        <w:rPr>
          <w:rFonts w:ascii="Cambria" w:hAnsi="Cambria"/>
          <w:sz w:val="20"/>
          <w:szCs w:val="20"/>
          <w:lang w:val="es-VE"/>
        </w:rPr>
        <w:t xml:space="preserve"> de Letras Tercero</w:t>
      </w:r>
      <w:r w:rsidR="00A173DF" w:rsidRPr="003A651A">
        <w:rPr>
          <w:rFonts w:ascii="Cambria" w:hAnsi="Cambria"/>
          <w:sz w:val="20"/>
          <w:szCs w:val="20"/>
          <w:lang w:val="es-VE"/>
        </w:rPr>
        <w:t xml:space="preserve"> de lo C</w:t>
      </w:r>
      <w:r w:rsidR="009136C9" w:rsidRPr="003A651A">
        <w:rPr>
          <w:rFonts w:ascii="Cambria" w:hAnsi="Cambria"/>
          <w:sz w:val="20"/>
          <w:szCs w:val="20"/>
          <w:lang w:val="es-VE"/>
        </w:rPr>
        <w:t>riminal</w:t>
      </w:r>
      <w:r w:rsidR="0038167B" w:rsidRPr="003A651A">
        <w:rPr>
          <w:rFonts w:ascii="Cambria" w:hAnsi="Cambria"/>
          <w:sz w:val="20"/>
          <w:szCs w:val="20"/>
          <w:lang w:val="es-VE"/>
        </w:rPr>
        <w:t xml:space="preserve"> de San Pedro Sula </w:t>
      </w:r>
      <w:r w:rsidR="009136C9" w:rsidRPr="003A651A">
        <w:rPr>
          <w:rFonts w:ascii="Cambria" w:hAnsi="Cambria"/>
          <w:sz w:val="20"/>
          <w:szCs w:val="20"/>
          <w:lang w:val="es-VE"/>
        </w:rPr>
        <w:t>admitió la denuncia</w:t>
      </w:r>
      <w:r w:rsidR="009136C9" w:rsidRPr="003A651A">
        <w:rPr>
          <w:rStyle w:val="FootnoteReference"/>
          <w:rFonts w:ascii="Cambria" w:hAnsi="Cambria"/>
          <w:sz w:val="20"/>
          <w:szCs w:val="20"/>
          <w:lang w:val="es-VE"/>
        </w:rPr>
        <w:footnoteReference w:id="25"/>
      </w:r>
      <w:r w:rsidR="0038167B" w:rsidRPr="003A651A">
        <w:rPr>
          <w:rFonts w:ascii="Cambria" w:hAnsi="Cambria"/>
          <w:sz w:val="20"/>
          <w:szCs w:val="20"/>
          <w:lang w:val="es-VE"/>
        </w:rPr>
        <w:t xml:space="preserve">. </w:t>
      </w:r>
      <w:r w:rsidR="0033636E" w:rsidRPr="003A651A">
        <w:rPr>
          <w:rFonts w:ascii="Cambria" w:hAnsi="Cambria"/>
          <w:sz w:val="20"/>
          <w:szCs w:val="20"/>
          <w:lang w:val="es-VE"/>
        </w:rPr>
        <w:t xml:space="preserve"> </w:t>
      </w:r>
    </w:p>
    <w:p w14:paraId="2EA41B57" w14:textId="77777777" w:rsidR="003B184D" w:rsidRPr="003A651A" w:rsidRDefault="003B184D" w:rsidP="00212202">
      <w:pPr>
        <w:tabs>
          <w:tab w:val="left" w:pos="360"/>
          <w:tab w:val="left" w:pos="1440"/>
        </w:tabs>
        <w:ind w:left="630"/>
        <w:jc w:val="both"/>
        <w:rPr>
          <w:rFonts w:ascii="Cambria" w:hAnsi="Cambria"/>
          <w:sz w:val="20"/>
          <w:szCs w:val="20"/>
          <w:lang w:val="es-VE"/>
        </w:rPr>
      </w:pPr>
    </w:p>
    <w:p w14:paraId="68B9A016" w14:textId="77777777" w:rsidR="0038167B" w:rsidRPr="003A651A" w:rsidRDefault="0038167B"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La Comisión toma nota de que la Jueza tomó la declaración de varios familiares de Herminio Deras, quienes hicieron referencia a los diversos hechos de persecusión, amenazas y hostigamientos por parte de agentes públicos, así como </w:t>
      </w:r>
      <w:r w:rsidR="002D7CE5">
        <w:rPr>
          <w:rFonts w:ascii="Cambria" w:hAnsi="Cambria"/>
          <w:sz w:val="20"/>
          <w:szCs w:val="20"/>
          <w:lang w:val="es-VE"/>
        </w:rPr>
        <w:t>a</w:t>
      </w:r>
      <w:r w:rsidRPr="003A651A">
        <w:rPr>
          <w:rFonts w:ascii="Cambria" w:hAnsi="Cambria"/>
          <w:sz w:val="20"/>
          <w:szCs w:val="20"/>
          <w:lang w:val="es-VE"/>
        </w:rPr>
        <w:t xml:space="preserve"> los hechos del 29 de enero de 1983. </w:t>
      </w:r>
      <w:r w:rsidR="00AB1B4D">
        <w:rPr>
          <w:rFonts w:ascii="Cambria" w:hAnsi="Cambria"/>
          <w:sz w:val="20"/>
          <w:szCs w:val="20"/>
          <w:lang w:val="es-VE"/>
        </w:rPr>
        <w:t xml:space="preserve">Al respecto, </w:t>
      </w:r>
      <w:r w:rsidRPr="003A651A">
        <w:rPr>
          <w:rFonts w:ascii="Cambria" w:hAnsi="Cambria"/>
          <w:sz w:val="20"/>
          <w:szCs w:val="20"/>
          <w:lang w:val="es-VE"/>
        </w:rPr>
        <w:t>Isabel García manifestó lo siguiente:</w:t>
      </w:r>
    </w:p>
    <w:p w14:paraId="343F50C6" w14:textId="77777777" w:rsidR="0038167B" w:rsidRPr="003A651A" w:rsidRDefault="0038167B" w:rsidP="00212202">
      <w:pPr>
        <w:tabs>
          <w:tab w:val="left" w:pos="360"/>
          <w:tab w:val="left" w:pos="1440"/>
        </w:tabs>
        <w:jc w:val="both"/>
        <w:rPr>
          <w:rFonts w:ascii="Cambria" w:hAnsi="Cambria"/>
          <w:sz w:val="20"/>
          <w:szCs w:val="20"/>
          <w:lang w:val="es-VE"/>
        </w:rPr>
      </w:pPr>
    </w:p>
    <w:p w14:paraId="7C0A7B2A" w14:textId="77777777" w:rsidR="0038167B" w:rsidRPr="00DD7055" w:rsidRDefault="0038167B" w:rsidP="00212202">
      <w:pPr>
        <w:pStyle w:val="ListParagraph"/>
        <w:tabs>
          <w:tab w:val="left" w:pos="360"/>
        </w:tabs>
        <w:ind w:left="360" w:right="360"/>
        <w:jc w:val="both"/>
        <w:rPr>
          <w:rFonts w:ascii="Cambria" w:hAnsi="Cambria"/>
          <w:sz w:val="18"/>
          <w:szCs w:val="18"/>
          <w:lang w:val="es-VE"/>
        </w:rPr>
      </w:pPr>
      <w:r w:rsidRPr="00DD7055">
        <w:rPr>
          <w:rFonts w:ascii="Cambria" w:hAnsi="Cambria"/>
          <w:sz w:val="18"/>
          <w:szCs w:val="18"/>
          <w:lang w:val="es-VE"/>
        </w:rPr>
        <w:t xml:space="preserve">Estoy completamente segura de que fue un asesinato planificado (…) quiero manifestar también que </w:t>
      </w:r>
      <w:r w:rsidRPr="00212202">
        <w:rPr>
          <w:rFonts w:ascii="Cambria" w:hAnsi="Cambria"/>
          <w:sz w:val="18"/>
          <w:szCs w:val="18"/>
          <w:lang w:val="es-CL"/>
        </w:rPr>
        <w:t>desde</w:t>
      </w:r>
      <w:r w:rsidRPr="00DD7055">
        <w:rPr>
          <w:rFonts w:ascii="Cambria" w:hAnsi="Cambria"/>
          <w:sz w:val="18"/>
          <w:szCs w:val="18"/>
          <w:lang w:val="es-VE"/>
        </w:rPr>
        <w:t xml:space="preserve"> que tengo uso de razón, mi hermano fue perseguido continuamente, por la policía por elementos del DNI en ese entonces, ya que él era un dirigente político y asesor sindical, pertenecía al partido comunista de Honduras era su secretario general al momento de su muerte, est</w:t>
      </w:r>
      <w:r w:rsidR="005D6742">
        <w:rPr>
          <w:rFonts w:ascii="Cambria" w:hAnsi="Cambria"/>
          <w:sz w:val="18"/>
          <w:szCs w:val="18"/>
          <w:lang w:val="es-VE"/>
        </w:rPr>
        <w:t>a</w:t>
      </w:r>
      <w:r w:rsidRPr="00DD7055">
        <w:rPr>
          <w:rFonts w:ascii="Cambria" w:hAnsi="Cambria"/>
          <w:sz w:val="18"/>
          <w:szCs w:val="18"/>
          <w:lang w:val="es-VE"/>
        </w:rPr>
        <w:t>s persecuciones fueron durante años (…)</w:t>
      </w:r>
      <w:r w:rsidRPr="00DD7055">
        <w:rPr>
          <w:rStyle w:val="FootnoteReference"/>
          <w:rFonts w:ascii="Cambria" w:hAnsi="Cambria"/>
          <w:sz w:val="18"/>
          <w:szCs w:val="18"/>
          <w:lang w:val="es-VE"/>
        </w:rPr>
        <w:footnoteReference w:id="26"/>
      </w:r>
      <w:r w:rsidRPr="00DD7055">
        <w:rPr>
          <w:rFonts w:ascii="Cambria" w:hAnsi="Cambria"/>
          <w:sz w:val="18"/>
          <w:szCs w:val="18"/>
          <w:lang w:val="es-VE"/>
        </w:rPr>
        <w:t>.</w:t>
      </w:r>
    </w:p>
    <w:p w14:paraId="39240626" w14:textId="77777777" w:rsidR="0038167B" w:rsidRPr="003A651A" w:rsidRDefault="0038167B" w:rsidP="00212202">
      <w:pPr>
        <w:tabs>
          <w:tab w:val="left" w:pos="360"/>
          <w:tab w:val="left" w:pos="1440"/>
        </w:tabs>
        <w:jc w:val="both"/>
        <w:rPr>
          <w:rFonts w:ascii="Cambria" w:hAnsi="Cambria"/>
          <w:sz w:val="20"/>
          <w:szCs w:val="20"/>
          <w:lang w:val="es-VE"/>
        </w:rPr>
      </w:pPr>
    </w:p>
    <w:p w14:paraId="360CBE71" w14:textId="77777777" w:rsidR="0038167B" w:rsidRPr="00C60008" w:rsidRDefault="0038167B"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Otilia Flores manifestó que </w:t>
      </w:r>
      <w:r w:rsidRPr="00EA3F07">
        <w:rPr>
          <w:rFonts w:ascii="Cambria" w:hAnsi="Cambria"/>
          <w:sz w:val="20"/>
          <w:szCs w:val="20"/>
          <w:lang w:val="es-VE"/>
        </w:rPr>
        <w:t>no se siguió la investigación</w:t>
      </w:r>
      <w:r>
        <w:rPr>
          <w:rFonts w:ascii="Cambria" w:hAnsi="Cambria"/>
          <w:sz w:val="20"/>
          <w:szCs w:val="20"/>
          <w:lang w:val="es-VE"/>
        </w:rPr>
        <w:t xml:space="preserve"> luego de presentada su denuncia en 1983</w:t>
      </w:r>
      <w:r w:rsidRPr="00EA3F07">
        <w:rPr>
          <w:rFonts w:ascii="Cambria" w:hAnsi="Cambria"/>
          <w:sz w:val="20"/>
          <w:szCs w:val="20"/>
          <w:lang w:val="es-VE"/>
        </w:rPr>
        <w:t xml:space="preserve"> porque </w:t>
      </w:r>
      <w:r>
        <w:rPr>
          <w:rFonts w:ascii="Cambria" w:hAnsi="Cambria"/>
          <w:sz w:val="20"/>
          <w:szCs w:val="20"/>
          <w:lang w:val="es-VE"/>
        </w:rPr>
        <w:t>“</w:t>
      </w:r>
      <w:r w:rsidRPr="00EA3F07">
        <w:rPr>
          <w:rFonts w:ascii="Cambria" w:hAnsi="Cambria"/>
          <w:sz w:val="20"/>
          <w:szCs w:val="20"/>
          <w:lang w:val="es-VE"/>
        </w:rPr>
        <w:t>nadie fue a investigar por miedo porque fue en la década de los ochenta cuando había represión contra todos los dirigentes populares (…)”</w:t>
      </w:r>
      <w:r w:rsidRPr="00EA3F07">
        <w:rPr>
          <w:rStyle w:val="FootnoteReference"/>
          <w:rFonts w:ascii="Cambria" w:hAnsi="Cambria"/>
          <w:sz w:val="20"/>
          <w:szCs w:val="20"/>
          <w:lang w:val="es-VE"/>
        </w:rPr>
        <w:footnoteReference w:id="27"/>
      </w:r>
      <w:r w:rsidRPr="00EA3F07">
        <w:rPr>
          <w:rFonts w:ascii="Cambria" w:hAnsi="Cambria"/>
          <w:sz w:val="20"/>
          <w:szCs w:val="20"/>
          <w:lang w:val="es-VE"/>
        </w:rPr>
        <w:t>.</w:t>
      </w:r>
      <w:r w:rsidR="00B77D81">
        <w:rPr>
          <w:rFonts w:ascii="Cambria" w:hAnsi="Cambria"/>
          <w:sz w:val="20"/>
          <w:szCs w:val="20"/>
          <w:lang w:val="es-VE"/>
        </w:rPr>
        <w:t xml:space="preserve"> </w:t>
      </w:r>
    </w:p>
    <w:p w14:paraId="21F2B857" w14:textId="77777777" w:rsidR="00AA30CA" w:rsidRPr="003A651A" w:rsidRDefault="00AA30CA" w:rsidP="00212202">
      <w:pPr>
        <w:tabs>
          <w:tab w:val="left" w:pos="360"/>
          <w:tab w:val="left" w:pos="1440"/>
        </w:tabs>
        <w:jc w:val="both"/>
        <w:rPr>
          <w:rFonts w:ascii="Cambria" w:hAnsi="Cambria"/>
          <w:sz w:val="20"/>
          <w:szCs w:val="20"/>
          <w:lang w:val="es-VE"/>
        </w:rPr>
      </w:pPr>
    </w:p>
    <w:p w14:paraId="7796996D" w14:textId="77777777" w:rsidR="00441F42" w:rsidRPr="003A651A" w:rsidRDefault="0038167B"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El 19 de enero de 1999 la Jueza</w:t>
      </w:r>
      <w:r w:rsidR="0040464D" w:rsidRPr="003A651A">
        <w:rPr>
          <w:rFonts w:ascii="Cambria" w:hAnsi="Cambria"/>
          <w:sz w:val="20"/>
          <w:szCs w:val="20"/>
          <w:lang w:val="es-VE"/>
        </w:rPr>
        <w:t xml:space="preserve"> ordenó</w:t>
      </w:r>
      <w:r w:rsidR="00A53823" w:rsidRPr="003A651A">
        <w:rPr>
          <w:rFonts w:ascii="Cambria" w:hAnsi="Cambria"/>
          <w:sz w:val="20"/>
          <w:szCs w:val="20"/>
          <w:lang w:val="es-VE"/>
        </w:rPr>
        <w:t xml:space="preserve"> la captura del</w:t>
      </w:r>
      <w:r w:rsidR="007C3DF7" w:rsidRPr="003A651A">
        <w:rPr>
          <w:rFonts w:ascii="Cambria" w:hAnsi="Cambria"/>
          <w:sz w:val="20"/>
          <w:szCs w:val="20"/>
          <w:lang w:val="es-VE"/>
        </w:rPr>
        <w:t xml:space="preserve"> encausado Marco Tulio Regalado</w:t>
      </w:r>
      <w:r w:rsidR="00A53823" w:rsidRPr="003A651A">
        <w:rPr>
          <w:rStyle w:val="FootnoteReference"/>
          <w:rFonts w:ascii="Cambria" w:hAnsi="Cambria"/>
          <w:sz w:val="20"/>
          <w:szCs w:val="20"/>
          <w:lang w:val="es-VE"/>
        </w:rPr>
        <w:footnoteReference w:id="28"/>
      </w:r>
      <w:r w:rsidR="007C3DF7" w:rsidRPr="003A651A">
        <w:rPr>
          <w:rFonts w:ascii="Cambria" w:hAnsi="Cambria"/>
          <w:sz w:val="20"/>
          <w:szCs w:val="20"/>
          <w:lang w:val="es-VE"/>
        </w:rPr>
        <w:t>, por solicitud de la Fiscalía del Ministerio Público</w:t>
      </w:r>
      <w:r w:rsidR="007C3DF7" w:rsidRPr="003A651A">
        <w:rPr>
          <w:rStyle w:val="FootnoteReference"/>
          <w:rFonts w:ascii="Cambria" w:hAnsi="Cambria"/>
          <w:sz w:val="20"/>
          <w:szCs w:val="20"/>
          <w:lang w:val="es-VE"/>
        </w:rPr>
        <w:footnoteReference w:id="29"/>
      </w:r>
      <w:r w:rsidR="007C3DF7" w:rsidRPr="003A651A">
        <w:rPr>
          <w:rFonts w:ascii="Cambria" w:hAnsi="Cambria"/>
          <w:sz w:val="20"/>
          <w:szCs w:val="20"/>
          <w:lang w:val="es-VE"/>
        </w:rPr>
        <w:t>.</w:t>
      </w:r>
      <w:r w:rsidR="00B77D81" w:rsidRPr="003A651A">
        <w:rPr>
          <w:rFonts w:ascii="Cambria" w:hAnsi="Cambria"/>
          <w:sz w:val="20"/>
          <w:szCs w:val="20"/>
          <w:lang w:val="es-VE"/>
        </w:rPr>
        <w:t xml:space="preserve"> La CIDH toma nota de que en octubre</w:t>
      </w:r>
      <w:r w:rsidR="00B736C6">
        <w:rPr>
          <w:rFonts w:ascii="Cambria" w:hAnsi="Cambria"/>
          <w:sz w:val="20"/>
          <w:szCs w:val="20"/>
          <w:lang w:val="es-VE"/>
        </w:rPr>
        <w:t xml:space="preserve"> de 1999</w:t>
      </w:r>
      <w:r w:rsidR="00B77D81" w:rsidRPr="003A651A">
        <w:rPr>
          <w:rFonts w:ascii="Cambria" w:hAnsi="Cambria"/>
          <w:sz w:val="20"/>
          <w:szCs w:val="20"/>
          <w:lang w:val="es-VE"/>
        </w:rPr>
        <w:t xml:space="preserve"> </w:t>
      </w:r>
      <w:r w:rsidR="00B77D81" w:rsidRPr="00B77D81">
        <w:rPr>
          <w:rFonts w:ascii="Cambria" w:hAnsi="Cambria"/>
          <w:sz w:val="20"/>
          <w:szCs w:val="20"/>
          <w:lang w:val="es-VE"/>
        </w:rPr>
        <w:t>Marco Tulio Regalado</w:t>
      </w:r>
      <w:r w:rsidR="00B77D81">
        <w:rPr>
          <w:rFonts w:ascii="Cambria" w:hAnsi="Cambria"/>
          <w:sz w:val="20"/>
          <w:szCs w:val="20"/>
          <w:lang w:val="es-VE"/>
        </w:rPr>
        <w:t xml:space="preserve"> fue detenido y rindió su indagatoria. </w:t>
      </w:r>
      <w:r w:rsidR="00B77D81" w:rsidRPr="003A651A">
        <w:rPr>
          <w:rFonts w:ascii="Cambria" w:hAnsi="Cambria"/>
          <w:sz w:val="20"/>
          <w:szCs w:val="20"/>
          <w:lang w:val="es-VE"/>
        </w:rPr>
        <w:t>Sostuvo que no participó de la muerte del señor Deras y que no conocía a Fausto Reyes.</w:t>
      </w:r>
      <w:r w:rsidR="00E0170A" w:rsidRPr="003A651A">
        <w:rPr>
          <w:rFonts w:ascii="Cambria" w:hAnsi="Cambria"/>
          <w:sz w:val="20"/>
          <w:szCs w:val="20"/>
          <w:lang w:val="es-VE"/>
        </w:rPr>
        <w:t xml:space="preserve"> Agregó que </w:t>
      </w:r>
      <w:r w:rsidR="00441F42" w:rsidRPr="003A651A">
        <w:rPr>
          <w:rFonts w:ascii="Cambria" w:hAnsi="Cambria"/>
          <w:sz w:val="20"/>
          <w:szCs w:val="20"/>
          <w:lang w:val="es-VE"/>
        </w:rPr>
        <w:t>su labor dent</w:t>
      </w:r>
      <w:r w:rsidR="00E0170A" w:rsidRPr="003A651A">
        <w:rPr>
          <w:rFonts w:ascii="Cambria" w:hAnsi="Cambria"/>
          <w:sz w:val="20"/>
          <w:szCs w:val="20"/>
          <w:lang w:val="es-VE"/>
        </w:rPr>
        <w:t>ro del Batallón 3-16 consistía en</w:t>
      </w:r>
      <w:r w:rsidR="00441F42" w:rsidRPr="003A651A">
        <w:rPr>
          <w:rFonts w:ascii="Cambria" w:hAnsi="Cambria"/>
          <w:sz w:val="20"/>
          <w:szCs w:val="20"/>
          <w:lang w:val="es-VE"/>
        </w:rPr>
        <w:t xml:space="preserve"> “analizar el fin de las organizaciones gremiales, religiosas, políticas, militares y otras, con el fin de dar segurid</w:t>
      </w:r>
      <w:r w:rsidR="00E0170A" w:rsidRPr="003A651A">
        <w:rPr>
          <w:rFonts w:ascii="Cambria" w:hAnsi="Cambria"/>
          <w:sz w:val="20"/>
          <w:szCs w:val="20"/>
          <w:lang w:val="es-VE"/>
        </w:rPr>
        <w:t>ad al país en la guerra fría</w:t>
      </w:r>
      <w:r w:rsidR="00441F42" w:rsidRPr="003A651A">
        <w:rPr>
          <w:rFonts w:ascii="Cambria" w:hAnsi="Cambria"/>
          <w:sz w:val="20"/>
          <w:szCs w:val="20"/>
          <w:lang w:val="es-VE"/>
        </w:rPr>
        <w:t>”</w:t>
      </w:r>
      <w:r w:rsidR="005554FE" w:rsidRPr="003A651A">
        <w:rPr>
          <w:rFonts w:ascii="Cambria" w:hAnsi="Cambria"/>
          <w:sz w:val="20"/>
          <w:szCs w:val="20"/>
          <w:lang w:val="es-VE"/>
        </w:rPr>
        <w:t xml:space="preserve">. </w:t>
      </w:r>
      <w:r w:rsidR="00B736C6">
        <w:rPr>
          <w:rFonts w:ascii="Cambria" w:hAnsi="Cambria"/>
          <w:sz w:val="20"/>
          <w:szCs w:val="20"/>
          <w:lang w:val="es-VE"/>
        </w:rPr>
        <w:t>Añadió</w:t>
      </w:r>
      <w:r w:rsidR="00E0170A" w:rsidRPr="003A651A">
        <w:rPr>
          <w:rFonts w:ascii="Cambria" w:hAnsi="Cambria"/>
          <w:sz w:val="20"/>
          <w:szCs w:val="20"/>
          <w:lang w:val="es-VE"/>
        </w:rPr>
        <w:t xml:space="preserve"> que</w:t>
      </w:r>
      <w:r w:rsidR="00D61F79" w:rsidRPr="003A651A">
        <w:rPr>
          <w:rFonts w:ascii="Cambria" w:hAnsi="Cambria"/>
          <w:sz w:val="20"/>
          <w:szCs w:val="20"/>
          <w:lang w:val="es-VE"/>
        </w:rPr>
        <w:t xml:space="preserve"> “yo no lo conocí al señor</w:t>
      </w:r>
      <w:r w:rsidR="00B736C6">
        <w:rPr>
          <w:rFonts w:ascii="Cambria" w:hAnsi="Cambria"/>
          <w:sz w:val="20"/>
          <w:szCs w:val="20"/>
          <w:lang w:val="es-VE"/>
        </w:rPr>
        <w:t xml:space="preserve"> [Deras]</w:t>
      </w:r>
      <w:r w:rsidR="00D61F79" w:rsidRPr="003A651A">
        <w:rPr>
          <w:rFonts w:ascii="Cambria" w:hAnsi="Cambria"/>
          <w:sz w:val="20"/>
          <w:szCs w:val="20"/>
          <w:lang w:val="es-VE"/>
        </w:rPr>
        <w:t>, ni sé si está vivo o está muerto, esa pregunta me la hizieron (</w:t>
      </w:r>
      <w:r w:rsidR="00714865" w:rsidRPr="003A651A">
        <w:rPr>
          <w:rFonts w:ascii="Cambria" w:hAnsi="Cambria"/>
          <w:sz w:val="20"/>
          <w:szCs w:val="20"/>
          <w:lang w:val="es-VE"/>
        </w:rPr>
        <w:t>sic</w:t>
      </w:r>
      <w:r w:rsidR="00D61F79" w:rsidRPr="003A651A">
        <w:rPr>
          <w:rFonts w:ascii="Cambria" w:hAnsi="Cambria"/>
          <w:sz w:val="20"/>
          <w:szCs w:val="20"/>
          <w:lang w:val="es-VE"/>
        </w:rPr>
        <w:t>) en la Corte Interamericana de Derechos Human</w:t>
      </w:r>
      <w:r w:rsidR="00E0170A" w:rsidRPr="003A651A">
        <w:rPr>
          <w:rFonts w:ascii="Cambria" w:hAnsi="Cambria"/>
          <w:sz w:val="20"/>
          <w:szCs w:val="20"/>
          <w:lang w:val="es-VE"/>
        </w:rPr>
        <w:t>os, me preguntaron  lo anterior</w:t>
      </w:r>
      <w:r w:rsidR="00D61F79" w:rsidRPr="003A651A">
        <w:rPr>
          <w:rFonts w:ascii="Cambria" w:hAnsi="Cambria"/>
          <w:sz w:val="20"/>
          <w:szCs w:val="20"/>
          <w:lang w:val="es-VE"/>
        </w:rPr>
        <w:t>”</w:t>
      </w:r>
      <w:r w:rsidR="00D61F79" w:rsidRPr="003A651A">
        <w:rPr>
          <w:rStyle w:val="FootnoteReference"/>
          <w:rFonts w:ascii="Cambria" w:hAnsi="Cambria"/>
          <w:sz w:val="20"/>
          <w:szCs w:val="20"/>
          <w:lang w:val="es-VE"/>
        </w:rPr>
        <w:footnoteReference w:id="30"/>
      </w:r>
      <w:r w:rsidR="00E0170A" w:rsidRPr="003A651A">
        <w:rPr>
          <w:rFonts w:ascii="Cambria" w:hAnsi="Cambria"/>
          <w:sz w:val="20"/>
          <w:szCs w:val="20"/>
          <w:lang w:val="es-VE"/>
        </w:rPr>
        <w:t>.</w:t>
      </w:r>
    </w:p>
    <w:p w14:paraId="6788D0CC" w14:textId="77777777" w:rsidR="003B184D" w:rsidRPr="003A651A" w:rsidRDefault="003B184D" w:rsidP="00212202">
      <w:pPr>
        <w:tabs>
          <w:tab w:val="left" w:pos="360"/>
          <w:tab w:val="left" w:pos="1440"/>
        </w:tabs>
        <w:ind w:left="630"/>
        <w:jc w:val="both"/>
        <w:rPr>
          <w:rFonts w:ascii="Cambria" w:hAnsi="Cambria"/>
          <w:sz w:val="20"/>
          <w:szCs w:val="20"/>
          <w:lang w:val="es-VE"/>
        </w:rPr>
      </w:pPr>
    </w:p>
    <w:p w14:paraId="06BF1906" w14:textId="77777777" w:rsidR="003B184D" w:rsidRPr="003A651A" w:rsidRDefault="003B184D"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El 7 de octubre</w:t>
      </w:r>
      <w:r w:rsidR="00441F42" w:rsidRPr="003A651A">
        <w:rPr>
          <w:rFonts w:ascii="Cambria" w:hAnsi="Cambria"/>
          <w:sz w:val="20"/>
          <w:szCs w:val="20"/>
          <w:lang w:val="es-VE"/>
        </w:rPr>
        <w:t xml:space="preserve"> de 1999</w:t>
      </w:r>
      <w:r w:rsidR="00E0170A" w:rsidRPr="003A651A">
        <w:rPr>
          <w:rFonts w:ascii="Cambria" w:hAnsi="Cambria"/>
          <w:sz w:val="20"/>
          <w:szCs w:val="20"/>
          <w:lang w:val="es-VE"/>
        </w:rPr>
        <w:t xml:space="preserve"> la Jueza </w:t>
      </w:r>
      <w:r w:rsidR="00186A0A" w:rsidRPr="003A651A">
        <w:rPr>
          <w:rFonts w:ascii="Cambria" w:hAnsi="Cambria"/>
          <w:sz w:val="20"/>
          <w:szCs w:val="20"/>
          <w:lang w:val="es-VE"/>
        </w:rPr>
        <w:t xml:space="preserve">ordenó la realización </w:t>
      </w:r>
      <w:r w:rsidRPr="003A651A">
        <w:rPr>
          <w:rFonts w:ascii="Cambria" w:hAnsi="Cambria"/>
          <w:sz w:val="20"/>
          <w:szCs w:val="20"/>
          <w:lang w:val="es-VE"/>
        </w:rPr>
        <w:t>de una inspección ocular a la Sección de Personal  de las Fue</w:t>
      </w:r>
      <w:r w:rsidR="00186A0A" w:rsidRPr="003A651A">
        <w:rPr>
          <w:rFonts w:ascii="Cambria" w:hAnsi="Cambria"/>
          <w:sz w:val="20"/>
          <w:szCs w:val="20"/>
          <w:lang w:val="es-VE"/>
        </w:rPr>
        <w:t>rzas Armadas a fin de constatar</w:t>
      </w:r>
      <w:r w:rsidRPr="003A651A">
        <w:rPr>
          <w:rFonts w:ascii="Cambria" w:hAnsi="Cambria"/>
          <w:sz w:val="20"/>
          <w:szCs w:val="20"/>
          <w:lang w:val="es-VE"/>
        </w:rPr>
        <w:t xml:space="preserve"> </w:t>
      </w:r>
      <w:r w:rsidR="00F671FE" w:rsidRPr="003A651A">
        <w:rPr>
          <w:rFonts w:ascii="Cambria" w:hAnsi="Cambria"/>
          <w:sz w:val="20"/>
          <w:szCs w:val="20"/>
          <w:lang w:val="es-VE"/>
        </w:rPr>
        <w:t>las actividades que</w:t>
      </w:r>
      <w:r w:rsidRPr="003A651A">
        <w:rPr>
          <w:rFonts w:ascii="Cambria" w:hAnsi="Cambria"/>
          <w:sz w:val="20"/>
          <w:szCs w:val="20"/>
          <w:lang w:val="es-VE"/>
        </w:rPr>
        <w:t xml:space="preserve"> desempeña</w:t>
      </w:r>
      <w:r w:rsidR="00F671FE" w:rsidRPr="003A651A">
        <w:rPr>
          <w:rFonts w:ascii="Cambria" w:hAnsi="Cambria"/>
          <w:sz w:val="20"/>
          <w:szCs w:val="20"/>
          <w:lang w:val="es-VE"/>
        </w:rPr>
        <w:t>ba</w:t>
      </w:r>
      <w:r w:rsidRPr="003A651A">
        <w:rPr>
          <w:rFonts w:ascii="Cambria" w:hAnsi="Cambria"/>
          <w:sz w:val="20"/>
          <w:szCs w:val="20"/>
          <w:lang w:val="es-VE"/>
        </w:rPr>
        <w:t xml:space="preserve"> Marco Tulio Regalado</w:t>
      </w:r>
      <w:r w:rsidR="00F671FE" w:rsidRPr="003A651A">
        <w:rPr>
          <w:rFonts w:ascii="Cambria" w:hAnsi="Cambria"/>
          <w:sz w:val="20"/>
          <w:szCs w:val="20"/>
          <w:lang w:val="es-VE"/>
        </w:rPr>
        <w:t xml:space="preserve">. </w:t>
      </w:r>
      <w:r w:rsidR="00B736C6">
        <w:rPr>
          <w:rFonts w:ascii="Cambria" w:hAnsi="Cambria"/>
          <w:sz w:val="20"/>
          <w:szCs w:val="20"/>
          <w:lang w:val="es-VE"/>
        </w:rPr>
        <w:t>L</w:t>
      </w:r>
      <w:r w:rsidRPr="003A651A">
        <w:rPr>
          <w:rFonts w:ascii="Cambria" w:hAnsi="Cambria"/>
          <w:sz w:val="20"/>
          <w:szCs w:val="20"/>
          <w:lang w:val="es-VE"/>
        </w:rPr>
        <w:t xml:space="preserve">a misma no se llevó a cabo por encontrarse dichos archivos en la Dirección de Personal </w:t>
      </w:r>
      <w:r w:rsidR="00F671FE" w:rsidRPr="003A651A">
        <w:rPr>
          <w:rFonts w:ascii="Cambria" w:hAnsi="Cambria"/>
          <w:sz w:val="20"/>
          <w:szCs w:val="20"/>
          <w:lang w:val="es-VE"/>
        </w:rPr>
        <w:t>en</w:t>
      </w:r>
      <w:r w:rsidRPr="003A651A">
        <w:rPr>
          <w:rFonts w:ascii="Cambria" w:hAnsi="Cambria"/>
          <w:sz w:val="20"/>
          <w:szCs w:val="20"/>
          <w:lang w:val="es-VE"/>
        </w:rPr>
        <w:t xml:space="preserve"> la ciudad de Tegucigalpa</w:t>
      </w:r>
      <w:r w:rsidR="00186A0A" w:rsidRPr="003A651A">
        <w:rPr>
          <w:rFonts w:ascii="Cambria" w:hAnsi="Cambria"/>
          <w:sz w:val="20"/>
          <w:szCs w:val="20"/>
          <w:lang w:val="es-VE"/>
        </w:rPr>
        <w:t xml:space="preserve">. La </w:t>
      </w:r>
      <w:r w:rsidR="00B736C6">
        <w:rPr>
          <w:rFonts w:ascii="Cambria" w:hAnsi="Cambria"/>
          <w:sz w:val="20"/>
          <w:szCs w:val="20"/>
          <w:lang w:val="es-VE"/>
        </w:rPr>
        <w:lastRenderedPageBreak/>
        <w:t>J</w:t>
      </w:r>
      <w:r w:rsidR="00186A0A" w:rsidRPr="003A651A">
        <w:rPr>
          <w:rFonts w:ascii="Cambria" w:hAnsi="Cambria"/>
          <w:sz w:val="20"/>
          <w:szCs w:val="20"/>
          <w:lang w:val="es-VE"/>
        </w:rPr>
        <w:t>ueza</w:t>
      </w:r>
      <w:r w:rsidR="00454721" w:rsidRPr="003A651A">
        <w:rPr>
          <w:rFonts w:ascii="Cambria" w:hAnsi="Cambria"/>
          <w:sz w:val="20"/>
          <w:szCs w:val="20"/>
          <w:lang w:val="es-VE"/>
        </w:rPr>
        <w:t xml:space="preserve"> ofició a </w:t>
      </w:r>
      <w:r w:rsidR="00714865" w:rsidRPr="003A651A">
        <w:rPr>
          <w:rFonts w:ascii="Cambria" w:hAnsi="Cambria"/>
          <w:sz w:val="20"/>
          <w:szCs w:val="20"/>
          <w:lang w:val="es-VE"/>
        </w:rPr>
        <w:t>esa</w:t>
      </w:r>
      <w:r w:rsidR="00454721" w:rsidRPr="003A651A">
        <w:rPr>
          <w:rFonts w:ascii="Cambria" w:hAnsi="Cambria"/>
          <w:sz w:val="20"/>
          <w:szCs w:val="20"/>
          <w:lang w:val="es-VE"/>
        </w:rPr>
        <w:t xml:space="preserve"> dependencia </w:t>
      </w:r>
      <w:r w:rsidR="00714865" w:rsidRPr="003A651A">
        <w:rPr>
          <w:rFonts w:ascii="Cambria" w:hAnsi="Cambria"/>
          <w:sz w:val="20"/>
          <w:szCs w:val="20"/>
          <w:lang w:val="es-VE"/>
        </w:rPr>
        <w:t>para que certificará</w:t>
      </w:r>
      <w:r w:rsidR="00454721" w:rsidRPr="003A651A">
        <w:rPr>
          <w:rFonts w:ascii="Cambria" w:hAnsi="Cambria"/>
          <w:sz w:val="20"/>
          <w:szCs w:val="20"/>
          <w:lang w:val="es-VE"/>
        </w:rPr>
        <w:t xml:space="preserve"> vía fax la hoja </w:t>
      </w:r>
      <w:r w:rsidR="00714865" w:rsidRPr="003A651A">
        <w:rPr>
          <w:rFonts w:ascii="Cambria" w:hAnsi="Cambria"/>
          <w:sz w:val="20"/>
          <w:szCs w:val="20"/>
          <w:lang w:val="es-VE"/>
        </w:rPr>
        <w:t xml:space="preserve">de vida </w:t>
      </w:r>
      <w:r w:rsidR="00454721" w:rsidRPr="003A651A">
        <w:rPr>
          <w:rFonts w:ascii="Cambria" w:hAnsi="Cambria"/>
          <w:sz w:val="20"/>
          <w:szCs w:val="20"/>
          <w:lang w:val="es-VE"/>
        </w:rPr>
        <w:t>de</w:t>
      </w:r>
      <w:r w:rsidR="00714865" w:rsidRPr="003A651A">
        <w:rPr>
          <w:rFonts w:ascii="Cambria" w:hAnsi="Cambria"/>
          <w:sz w:val="20"/>
          <w:szCs w:val="20"/>
          <w:lang w:val="es-VE"/>
        </w:rPr>
        <w:t>l oficial</w:t>
      </w:r>
      <w:r w:rsidR="00454721" w:rsidRPr="003A651A">
        <w:rPr>
          <w:rFonts w:ascii="Cambria" w:hAnsi="Cambria"/>
          <w:sz w:val="20"/>
          <w:szCs w:val="20"/>
          <w:lang w:val="es-VE"/>
        </w:rPr>
        <w:t xml:space="preserve"> en mención</w:t>
      </w:r>
      <w:r w:rsidR="00F671FE" w:rsidRPr="003A651A">
        <w:rPr>
          <w:rStyle w:val="FootnoteReference"/>
          <w:rFonts w:ascii="Cambria" w:hAnsi="Cambria"/>
          <w:sz w:val="20"/>
          <w:szCs w:val="20"/>
          <w:lang w:val="es-VE"/>
        </w:rPr>
        <w:footnoteReference w:id="31"/>
      </w:r>
      <w:r w:rsidR="00186A0A" w:rsidRPr="003A651A">
        <w:rPr>
          <w:rFonts w:ascii="Cambria" w:hAnsi="Cambria"/>
          <w:sz w:val="20"/>
          <w:szCs w:val="20"/>
          <w:lang w:val="es-VE"/>
        </w:rPr>
        <w:t xml:space="preserve">. La CIDH no cuenta con información sobre si dicha información fue enviada a la </w:t>
      </w:r>
      <w:r w:rsidR="00B736C6">
        <w:rPr>
          <w:rFonts w:ascii="Cambria" w:hAnsi="Cambria"/>
          <w:sz w:val="20"/>
          <w:szCs w:val="20"/>
          <w:lang w:val="es-VE"/>
        </w:rPr>
        <w:t>J</w:t>
      </w:r>
      <w:r w:rsidR="00186A0A" w:rsidRPr="003A651A">
        <w:rPr>
          <w:rFonts w:ascii="Cambria" w:hAnsi="Cambria"/>
          <w:sz w:val="20"/>
          <w:szCs w:val="20"/>
          <w:lang w:val="es-VE"/>
        </w:rPr>
        <w:t>ueza.</w:t>
      </w:r>
    </w:p>
    <w:p w14:paraId="6C2FB8C5" w14:textId="77777777" w:rsidR="005C5B62" w:rsidRPr="003A651A" w:rsidRDefault="005C5B62" w:rsidP="00212202">
      <w:pPr>
        <w:tabs>
          <w:tab w:val="left" w:pos="360"/>
          <w:tab w:val="left" w:pos="1440"/>
        </w:tabs>
        <w:jc w:val="both"/>
        <w:rPr>
          <w:rFonts w:ascii="Cambria" w:hAnsi="Cambria"/>
          <w:sz w:val="20"/>
          <w:szCs w:val="20"/>
          <w:lang w:val="es-VE"/>
        </w:rPr>
      </w:pPr>
    </w:p>
    <w:p w14:paraId="7DD0433E" w14:textId="77777777" w:rsidR="00A26534" w:rsidRPr="003A651A" w:rsidRDefault="00443725"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El </w:t>
      </w:r>
      <w:r w:rsidR="00186A0A" w:rsidRPr="003A651A">
        <w:rPr>
          <w:rFonts w:ascii="Cambria" w:hAnsi="Cambria"/>
          <w:sz w:val="20"/>
          <w:szCs w:val="20"/>
          <w:lang w:val="es-VE"/>
        </w:rPr>
        <w:t>mismo día</w:t>
      </w:r>
      <w:r w:rsidR="00A26534" w:rsidRPr="003A651A">
        <w:rPr>
          <w:rFonts w:ascii="Cambria" w:hAnsi="Cambria"/>
          <w:sz w:val="20"/>
          <w:szCs w:val="20"/>
          <w:lang w:val="es-VE"/>
        </w:rPr>
        <w:t xml:space="preserve"> la</w:t>
      </w:r>
      <w:r w:rsidR="00186A0A" w:rsidRPr="003A651A">
        <w:rPr>
          <w:rFonts w:ascii="Cambria" w:hAnsi="Cambria"/>
          <w:sz w:val="20"/>
          <w:szCs w:val="20"/>
          <w:lang w:val="es-VE"/>
        </w:rPr>
        <w:t xml:space="preserve"> fiscal del Ministerio público solicitó</w:t>
      </w:r>
      <w:r w:rsidR="00A26534" w:rsidRPr="003A651A">
        <w:rPr>
          <w:rFonts w:ascii="Cambria" w:hAnsi="Cambria"/>
          <w:sz w:val="20"/>
          <w:szCs w:val="20"/>
          <w:lang w:val="es-VE"/>
        </w:rPr>
        <w:t xml:space="preserve"> una audiencia de careo entre Otilia Flores y Marco Tulio Regalado</w:t>
      </w:r>
      <w:r w:rsidR="00A26534" w:rsidRPr="003A651A">
        <w:rPr>
          <w:rStyle w:val="FootnoteReference"/>
          <w:rFonts w:ascii="Cambria" w:hAnsi="Cambria"/>
          <w:sz w:val="20"/>
          <w:szCs w:val="20"/>
          <w:lang w:val="es-VE"/>
        </w:rPr>
        <w:footnoteReference w:id="32"/>
      </w:r>
      <w:r w:rsidR="00186A0A" w:rsidRPr="003A651A">
        <w:rPr>
          <w:rFonts w:ascii="Cambria" w:hAnsi="Cambria"/>
          <w:sz w:val="20"/>
          <w:szCs w:val="20"/>
          <w:lang w:val="es-VE"/>
        </w:rPr>
        <w:t xml:space="preserve">. </w:t>
      </w:r>
      <w:r w:rsidR="00A26534" w:rsidRPr="003A651A">
        <w:rPr>
          <w:rFonts w:ascii="Cambria" w:hAnsi="Cambria"/>
          <w:sz w:val="20"/>
          <w:szCs w:val="20"/>
          <w:lang w:val="es-VE"/>
        </w:rPr>
        <w:t xml:space="preserve">El 8 de octubre </w:t>
      </w:r>
      <w:r w:rsidR="00C319D5">
        <w:rPr>
          <w:rFonts w:ascii="Cambria" w:hAnsi="Cambria"/>
          <w:sz w:val="20"/>
          <w:szCs w:val="20"/>
          <w:lang w:val="es-VE"/>
        </w:rPr>
        <w:t xml:space="preserve">de 1999 </w:t>
      </w:r>
      <w:r w:rsidR="00A26534" w:rsidRPr="003A651A">
        <w:rPr>
          <w:rFonts w:ascii="Cambria" w:hAnsi="Cambria"/>
          <w:sz w:val="20"/>
          <w:szCs w:val="20"/>
          <w:lang w:val="es-VE"/>
        </w:rPr>
        <w:t>se llevó a cab</w:t>
      </w:r>
      <w:r w:rsidR="005D735A" w:rsidRPr="003A651A">
        <w:rPr>
          <w:rFonts w:ascii="Cambria" w:hAnsi="Cambria"/>
          <w:sz w:val="20"/>
          <w:szCs w:val="20"/>
          <w:lang w:val="es-VE"/>
        </w:rPr>
        <w:t xml:space="preserve">o </w:t>
      </w:r>
      <w:r w:rsidR="00186A0A" w:rsidRPr="003A651A">
        <w:rPr>
          <w:rFonts w:ascii="Cambria" w:hAnsi="Cambria"/>
          <w:sz w:val="20"/>
          <w:szCs w:val="20"/>
          <w:lang w:val="es-VE"/>
        </w:rPr>
        <w:t xml:space="preserve">dicha </w:t>
      </w:r>
      <w:r w:rsidR="00B26250" w:rsidRPr="003A651A">
        <w:rPr>
          <w:rFonts w:ascii="Cambria" w:hAnsi="Cambria"/>
          <w:sz w:val="20"/>
          <w:szCs w:val="20"/>
          <w:lang w:val="es-VE"/>
        </w:rPr>
        <w:t>diligencia</w:t>
      </w:r>
      <w:r w:rsidR="005D14EA" w:rsidRPr="003A651A">
        <w:rPr>
          <w:rFonts w:ascii="Cambria" w:hAnsi="Cambria"/>
          <w:sz w:val="20"/>
          <w:szCs w:val="20"/>
          <w:lang w:val="es-VE"/>
        </w:rPr>
        <w:t xml:space="preserve"> en San Pedro de Sula</w:t>
      </w:r>
      <w:r w:rsidR="00C152CA" w:rsidRPr="003A651A">
        <w:rPr>
          <w:rFonts w:ascii="Cambria" w:hAnsi="Cambria"/>
          <w:sz w:val="20"/>
          <w:szCs w:val="20"/>
          <w:lang w:val="es-VE"/>
        </w:rPr>
        <w:t xml:space="preserve">. En la misma, el señor </w:t>
      </w:r>
      <w:r w:rsidR="00186A0A" w:rsidRPr="003A651A">
        <w:rPr>
          <w:rFonts w:ascii="Cambria" w:hAnsi="Cambria"/>
          <w:sz w:val="20"/>
          <w:szCs w:val="20"/>
          <w:lang w:val="es-VE"/>
        </w:rPr>
        <w:t>Regalado negó</w:t>
      </w:r>
      <w:r w:rsidR="00C152CA" w:rsidRPr="003A651A">
        <w:rPr>
          <w:rFonts w:ascii="Cambria" w:hAnsi="Cambria"/>
          <w:sz w:val="20"/>
          <w:szCs w:val="20"/>
          <w:lang w:val="es-VE"/>
        </w:rPr>
        <w:t xml:space="preserve"> </w:t>
      </w:r>
      <w:r w:rsidR="00186A0A" w:rsidRPr="003A651A">
        <w:rPr>
          <w:rFonts w:ascii="Cambria" w:hAnsi="Cambria"/>
          <w:sz w:val="20"/>
          <w:szCs w:val="20"/>
          <w:lang w:val="es-VE"/>
        </w:rPr>
        <w:t>conocer</w:t>
      </w:r>
      <w:r w:rsidR="00C152CA" w:rsidRPr="003A651A">
        <w:rPr>
          <w:rFonts w:ascii="Cambria" w:hAnsi="Cambria"/>
          <w:sz w:val="20"/>
          <w:szCs w:val="20"/>
          <w:lang w:val="es-VE"/>
        </w:rPr>
        <w:t xml:space="preserve"> a Fausto Reyes o haber revi</w:t>
      </w:r>
      <w:r w:rsidR="00186A0A" w:rsidRPr="003A651A">
        <w:rPr>
          <w:rFonts w:ascii="Cambria" w:hAnsi="Cambria"/>
          <w:sz w:val="20"/>
          <w:szCs w:val="20"/>
          <w:lang w:val="es-VE"/>
        </w:rPr>
        <w:t>sado el carro de Herminio Deras</w:t>
      </w:r>
      <w:r w:rsidR="00C152CA" w:rsidRPr="003A651A">
        <w:rPr>
          <w:rFonts w:ascii="Cambria" w:hAnsi="Cambria"/>
          <w:sz w:val="20"/>
          <w:szCs w:val="20"/>
          <w:lang w:val="es-VE"/>
        </w:rPr>
        <w:t xml:space="preserve"> el día </w:t>
      </w:r>
      <w:r w:rsidR="00186A0A" w:rsidRPr="003A651A">
        <w:rPr>
          <w:rFonts w:ascii="Cambria" w:hAnsi="Cambria"/>
          <w:sz w:val="20"/>
          <w:szCs w:val="20"/>
          <w:lang w:val="es-VE"/>
        </w:rPr>
        <w:t xml:space="preserve">de su asesinato. Por su parte, </w:t>
      </w:r>
      <w:r w:rsidR="00C152CA" w:rsidRPr="003A651A">
        <w:rPr>
          <w:rFonts w:ascii="Cambria" w:hAnsi="Cambria"/>
          <w:sz w:val="20"/>
          <w:szCs w:val="20"/>
          <w:lang w:val="es-VE"/>
        </w:rPr>
        <w:t>Otilia Flores adujo haber sido torturada por Marco Tulio</w:t>
      </w:r>
      <w:r w:rsidR="00186A0A" w:rsidRPr="003A651A">
        <w:rPr>
          <w:rFonts w:ascii="Cambria" w:hAnsi="Cambria"/>
          <w:sz w:val="20"/>
          <w:szCs w:val="20"/>
          <w:lang w:val="es-VE"/>
        </w:rPr>
        <w:t xml:space="preserve"> Regalado</w:t>
      </w:r>
      <w:r w:rsidR="00B54F88" w:rsidRPr="003A651A">
        <w:rPr>
          <w:rStyle w:val="FootnoteReference"/>
          <w:rFonts w:ascii="Cambria" w:hAnsi="Cambria"/>
          <w:sz w:val="20"/>
          <w:szCs w:val="20"/>
          <w:lang w:val="es-VE"/>
        </w:rPr>
        <w:footnoteReference w:id="33"/>
      </w:r>
      <w:r w:rsidR="00B736C6">
        <w:rPr>
          <w:rFonts w:ascii="Cambria" w:hAnsi="Cambria"/>
          <w:sz w:val="20"/>
          <w:szCs w:val="20"/>
          <w:lang w:val="es-VE"/>
        </w:rPr>
        <w:t>.</w:t>
      </w:r>
    </w:p>
    <w:p w14:paraId="39B08E18" w14:textId="77777777" w:rsidR="00EE1AA1" w:rsidRPr="003A651A" w:rsidRDefault="00EE1AA1" w:rsidP="00212202">
      <w:pPr>
        <w:tabs>
          <w:tab w:val="left" w:pos="0"/>
          <w:tab w:val="left" w:pos="360"/>
          <w:tab w:val="left" w:pos="1440"/>
        </w:tabs>
        <w:jc w:val="both"/>
        <w:rPr>
          <w:rFonts w:ascii="Cambria" w:hAnsi="Cambria"/>
          <w:sz w:val="20"/>
          <w:szCs w:val="20"/>
          <w:lang w:val="es-VE"/>
        </w:rPr>
      </w:pPr>
    </w:p>
    <w:p w14:paraId="45481033" w14:textId="77777777" w:rsidR="00B403FC" w:rsidRPr="003A651A" w:rsidRDefault="00FD00E1"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El </w:t>
      </w:r>
      <w:r w:rsidR="00B403FC" w:rsidRPr="003A651A">
        <w:rPr>
          <w:rFonts w:ascii="Cambria" w:hAnsi="Cambria"/>
          <w:sz w:val="20"/>
          <w:szCs w:val="20"/>
          <w:lang w:val="es-VE"/>
        </w:rPr>
        <w:t>11</w:t>
      </w:r>
      <w:r w:rsidR="00186A0A" w:rsidRPr="003A651A">
        <w:rPr>
          <w:rFonts w:ascii="Cambria" w:hAnsi="Cambria"/>
          <w:sz w:val="20"/>
          <w:szCs w:val="20"/>
          <w:lang w:val="es-VE"/>
        </w:rPr>
        <w:t xml:space="preserve"> de </w:t>
      </w:r>
      <w:r w:rsidR="00C319D5" w:rsidRPr="003A651A">
        <w:rPr>
          <w:rFonts w:ascii="Cambria" w:hAnsi="Cambria"/>
          <w:sz w:val="20"/>
          <w:szCs w:val="20"/>
          <w:lang w:val="es-VE"/>
        </w:rPr>
        <w:t>octubre</w:t>
      </w:r>
      <w:r w:rsidR="00C319D5">
        <w:rPr>
          <w:rFonts w:ascii="Cambria" w:hAnsi="Cambria"/>
          <w:sz w:val="20"/>
          <w:szCs w:val="20"/>
          <w:lang w:val="es-VE"/>
        </w:rPr>
        <w:t xml:space="preserve"> de 1999 </w:t>
      </w:r>
      <w:r w:rsidR="00186A0A" w:rsidRPr="003A651A">
        <w:rPr>
          <w:rFonts w:ascii="Cambria" w:hAnsi="Cambria"/>
          <w:sz w:val="20"/>
          <w:szCs w:val="20"/>
          <w:lang w:val="es-VE"/>
        </w:rPr>
        <w:t xml:space="preserve">la </w:t>
      </w:r>
      <w:r w:rsidR="00B736C6">
        <w:rPr>
          <w:rFonts w:ascii="Cambria" w:hAnsi="Cambria"/>
          <w:sz w:val="20"/>
          <w:szCs w:val="20"/>
          <w:lang w:val="es-VE"/>
        </w:rPr>
        <w:t>J</w:t>
      </w:r>
      <w:r w:rsidR="00186A0A" w:rsidRPr="003A651A">
        <w:rPr>
          <w:rFonts w:ascii="Cambria" w:hAnsi="Cambria"/>
          <w:sz w:val="20"/>
          <w:szCs w:val="20"/>
          <w:lang w:val="es-VE"/>
        </w:rPr>
        <w:t>ueza</w:t>
      </w:r>
      <w:r w:rsidR="00EE1AA1" w:rsidRPr="003A651A">
        <w:rPr>
          <w:rFonts w:ascii="Cambria" w:hAnsi="Cambria"/>
          <w:sz w:val="20"/>
          <w:szCs w:val="20"/>
          <w:lang w:val="es-VE"/>
        </w:rPr>
        <w:t xml:space="preserve"> </w:t>
      </w:r>
      <w:r w:rsidR="00496C12" w:rsidRPr="003A651A">
        <w:rPr>
          <w:rFonts w:ascii="Cambria" w:hAnsi="Cambria"/>
          <w:sz w:val="20"/>
          <w:szCs w:val="20"/>
          <w:lang w:val="es-VE"/>
        </w:rPr>
        <w:t>dictó</w:t>
      </w:r>
      <w:r w:rsidR="00EE1AA1" w:rsidRPr="003A651A">
        <w:rPr>
          <w:rFonts w:ascii="Cambria" w:hAnsi="Cambria"/>
          <w:sz w:val="20"/>
          <w:szCs w:val="20"/>
          <w:lang w:val="es-VE"/>
        </w:rPr>
        <w:t xml:space="preserve"> un auto de prisi</w:t>
      </w:r>
      <w:r w:rsidR="005B30B3" w:rsidRPr="003A651A">
        <w:rPr>
          <w:rFonts w:ascii="Cambria" w:hAnsi="Cambria"/>
          <w:sz w:val="20"/>
          <w:szCs w:val="20"/>
          <w:lang w:val="es-VE"/>
        </w:rPr>
        <w:t xml:space="preserve">ón </w:t>
      </w:r>
      <w:r w:rsidR="00186A0A" w:rsidRPr="003A651A">
        <w:rPr>
          <w:rFonts w:ascii="Cambria" w:hAnsi="Cambria"/>
          <w:sz w:val="20"/>
          <w:szCs w:val="20"/>
          <w:lang w:val="es-VE"/>
        </w:rPr>
        <w:t xml:space="preserve">en </w:t>
      </w:r>
      <w:r w:rsidR="005B30B3" w:rsidRPr="003A651A">
        <w:rPr>
          <w:rFonts w:ascii="Cambria" w:hAnsi="Cambria"/>
          <w:sz w:val="20"/>
          <w:szCs w:val="20"/>
          <w:lang w:val="es-VE"/>
        </w:rPr>
        <w:t>contra Marco Tulio Regalado</w:t>
      </w:r>
      <w:r w:rsidR="00B403FC" w:rsidRPr="003A651A">
        <w:rPr>
          <w:rFonts w:ascii="Cambria" w:hAnsi="Cambria"/>
          <w:sz w:val="20"/>
          <w:szCs w:val="20"/>
          <w:lang w:val="es-VE"/>
        </w:rPr>
        <w:t xml:space="preserve"> por el delito de asesinato</w:t>
      </w:r>
      <w:r w:rsidR="00186A0A" w:rsidRPr="003A651A">
        <w:rPr>
          <w:rStyle w:val="FootnoteReference"/>
          <w:rFonts w:ascii="Cambria" w:hAnsi="Cambria"/>
          <w:sz w:val="20"/>
          <w:szCs w:val="20"/>
          <w:lang w:val="es-VE"/>
        </w:rPr>
        <w:footnoteReference w:id="34"/>
      </w:r>
      <w:r w:rsidR="005B30B3" w:rsidRPr="003A651A">
        <w:rPr>
          <w:rFonts w:ascii="Cambria" w:hAnsi="Cambria"/>
          <w:sz w:val="20"/>
          <w:szCs w:val="20"/>
          <w:lang w:val="es-VE"/>
        </w:rPr>
        <w:t xml:space="preserve">. </w:t>
      </w:r>
      <w:r w:rsidR="00861A8D" w:rsidRPr="003A651A">
        <w:rPr>
          <w:rFonts w:ascii="Cambria" w:hAnsi="Cambria"/>
          <w:sz w:val="20"/>
          <w:szCs w:val="20"/>
          <w:lang w:val="es-VE"/>
        </w:rPr>
        <w:t xml:space="preserve">El 3 de noviembre de 1999 la </w:t>
      </w:r>
      <w:r w:rsidR="00B736C6">
        <w:rPr>
          <w:rFonts w:ascii="Cambria" w:hAnsi="Cambria"/>
          <w:sz w:val="20"/>
          <w:szCs w:val="20"/>
          <w:lang w:val="es-VE"/>
        </w:rPr>
        <w:t>J</w:t>
      </w:r>
      <w:r w:rsidR="00861A8D" w:rsidRPr="003A651A">
        <w:rPr>
          <w:rFonts w:ascii="Cambria" w:hAnsi="Cambria"/>
          <w:sz w:val="20"/>
          <w:szCs w:val="20"/>
          <w:lang w:val="es-VE"/>
        </w:rPr>
        <w:t xml:space="preserve">ueza emitió una resolución en donde decidió tramitar por separada la investigación a </w:t>
      </w:r>
      <w:r w:rsidR="00861A8D" w:rsidRPr="00861A8D">
        <w:rPr>
          <w:rFonts w:ascii="Cambria" w:hAnsi="Cambria"/>
          <w:sz w:val="20"/>
          <w:szCs w:val="20"/>
          <w:lang w:val="es-VE"/>
        </w:rPr>
        <w:t>Rafael Canales Núñez y Alexander Raymundo Hernández Santos</w:t>
      </w:r>
      <w:r w:rsidR="00861A8D">
        <w:rPr>
          <w:rFonts w:ascii="Cambria" w:hAnsi="Cambria"/>
          <w:sz w:val="20"/>
          <w:szCs w:val="20"/>
          <w:lang w:val="es-VE"/>
        </w:rPr>
        <w:t xml:space="preserve"> “por encontrarse prófugos”</w:t>
      </w:r>
      <w:r w:rsidR="00861A8D" w:rsidRPr="00861A8D">
        <w:rPr>
          <w:rStyle w:val="FootnoteReference"/>
          <w:rFonts w:ascii="Cambria" w:hAnsi="Cambria"/>
          <w:sz w:val="20"/>
          <w:szCs w:val="20"/>
          <w:lang w:val="es-VE"/>
        </w:rPr>
        <w:footnoteReference w:id="35"/>
      </w:r>
      <w:r w:rsidR="00861A8D">
        <w:rPr>
          <w:rFonts w:ascii="Cambria" w:hAnsi="Cambria"/>
          <w:sz w:val="20"/>
          <w:szCs w:val="20"/>
          <w:lang w:val="es-VE"/>
        </w:rPr>
        <w:t>.</w:t>
      </w:r>
    </w:p>
    <w:p w14:paraId="78A25A6D" w14:textId="77777777" w:rsidR="00B403FC" w:rsidRPr="003A651A" w:rsidRDefault="00B403FC" w:rsidP="00212202">
      <w:pPr>
        <w:tabs>
          <w:tab w:val="left" w:pos="360"/>
          <w:tab w:val="left" w:pos="1440"/>
        </w:tabs>
        <w:jc w:val="both"/>
        <w:rPr>
          <w:rFonts w:ascii="Cambria" w:hAnsi="Cambria"/>
          <w:sz w:val="20"/>
          <w:szCs w:val="20"/>
          <w:lang w:val="es-VE"/>
        </w:rPr>
      </w:pPr>
    </w:p>
    <w:p w14:paraId="07740901" w14:textId="77777777" w:rsidR="00FC56C2" w:rsidRPr="00FC56C2" w:rsidRDefault="00FC56C2"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FC56C2">
        <w:rPr>
          <w:rFonts w:ascii="Cambria" w:hAnsi="Cambria"/>
          <w:sz w:val="20"/>
          <w:szCs w:val="20"/>
          <w:lang w:val="es-VE"/>
        </w:rPr>
        <w:t xml:space="preserve">Según la parte peticionaria, </w:t>
      </w:r>
      <w:r>
        <w:rPr>
          <w:rFonts w:ascii="Cambria" w:hAnsi="Cambria"/>
          <w:sz w:val="20"/>
          <w:szCs w:val="20"/>
          <w:lang w:val="es-VE"/>
        </w:rPr>
        <w:t>e</w:t>
      </w:r>
      <w:r w:rsidRPr="00FC56C2">
        <w:rPr>
          <w:rFonts w:ascii="Cambria" w:hAnsi="Cambria"/>
          <w:sz w:val="20"/>
          <w:szCs w:val="20"/>
          <w:lang w:val="es-VE"/>
        </w:rPr>
        <w:t xml:space="preserve">l 6 de febrero </w:t>
      </w:r>
      <w:r>
        <w:rPr>
          <w:rFonts w:ascii="Cambria" w:hAnsi="Cambria"/>
          <w:sz w:val="20"/>
          <w:szCs w:val="20"/>
          <w:lang w:val="es-VE"/>
        </w:rPr>
        <w:t xml:space="preserve">de 2000 </w:t>
      </w:r>
      <w:r w:rsidRPr="00FC56C2">
        <w:rPr>
          <w:rFonts w:ascii="Cambria" w:hAnsi="Cambria"/>
          <w:sz w:val="20"/>
          <w:szCs w:val="20"/>
          <w:lang w:val="es-VE"/>
        </w:rPr>
        <w:t>Otilia Flores y Elba Flores Ortiz</w:t>
      </w:r>
      <w:r>
        <w:rPr>
          <w:rFonts w:ascii="Cambria" w:hAnsi="Cambria"/>
          <w:sz w:val="20"/>
          <w:szCs w:val="20"/>
          <w:lang w:val="es-VE"/>
        </w:rPr>
        <w:t xml:space="preserve"> fueron amenazadas, mientras se encontraban en el juzgado para rendir una nueva declaración, por</w:t>
      </w:r>
      <w:r w:rsidRPr="00FC56C2">
        <w:rPr>
          <w:rFonts w:ascii="Cambria" w:hAnsi="Cambria"/>
          <w:sz w:val="20"/>
          <w:szCs w:val="20"/>
          <w:lang w:val="es-VE"/>
        </w:rPr>
        <w:t xml:space="preserve"> un grupo de miembros de la</w:t>
      </w:r>
      <w:r>
        <w:rPr>
          <w:rFonts w:ascii="Cambria" w:hAnsi="Cambria"/>
          <w:sz w:val="20"/>
          <w:szCs w:val="20"/>
          <w:lang w:val="es-VE"/>
        </w:rPr>
        <w:t xml:space="preserve"> familia de Marco Tulio Reg</w:t>
      </w:r>
      <w:r w:rsidR="000F2008">
        <w:rPr>
          <w:rFonts w:ascii="Cambria" w:hAnsi="Cambria"/>
          <w:sz w:val="20"/>
          <w:szCs w:val="20"/>
          <w:lang w:val="es-VE"/>
        </w:rPr>
        <w:t>a</w:t>
      </w:r>
      <w:r>
        <w:rPr>
          <w:rFonts w:ascii="Cambria" w:hAnsi="Cambria"/>
          <w:sz w:val="20"/>
          <w:szCs w:val="20"/>
          <w:lang w:val="es-VE"/>
        </w:rPr>
        <w:t>lado. Indicó que tuvieron</w:t>
      </w:r>
      <w:r w:rsidRPr="00FC56C2">
        <w:rPr>
          <w:rFonts w:ascii="Cambria" w:hAnsi="Cambria"/>
          <w:sz w:val="20"/>
          <w:szCs w:val="20"/>
          <w:lang w:val="es-VE"/>
        </w:rPr>
        <w:t xml:space="preserve"> </w:t>
      </w:r>
      <w:r>
        <w:rPr>
          <w:rFonts w:ascii="Cambria" w:hAnsi="Cambria"/>
          <w:sz w:val="20"/>
          <w:szCs w:val="20"/>
          <w:lang w:val="es-VE"/>
        </w:rPr>
        <w:t>que</w:t>
      </w:r>
      <w:r w:rsidRPr="00FC56C2">
        <w:rPr>
          <w:rFonts w:ascii="Cambria" w:hAnsi="Cambria"/>
          <w:sz w:val="20"/>
          <w:szCs w:val="20"/>
          <w:lang w:val="es-VE"/>
        </w:rPr>
        <w:t xml:space="preserve"> ser escoltadas por la fiscalía</w:t>
      </w:r>
      <w:r w:rsidRPr="00FC56C2">
        <w:rPr>
          <w:rStyle w:val="FootnoteReference"/>
          <w:rFonts w:ascii="Cambria" w:hAnsi="Cambria"/>
          <w:sz w:val="20"/>
          <w:szCs w:val="20"/>
          <w:lang w:val="es-VE"/>
        </w:rPr>
        <w:footnoteReference w:id="36"/>
      </w:r>
      <w:r>
        <w:rPr>
          <w:rFonts w:ascii="Cambria" w:hAnsi="Cambria"/>
          <w:sz w:val="20"/>
          <w:szCs w:val="20"/>
          <w:lang w:val="es-VE"/>
        </w:rPr>
        <w:t>. El Estado no controvirtió dicha información.</w:t>
      </w:r>
    </w:p>
    <w:p w14:paraId="098A1327" w14:textId="77777777" w:rsidR="00FC56C2" w:rsidRPr="003A651A" w:rsidRDefault="00FC56C2" w:rsidP="00212202">
      <w:pPr>
        <w:tabs>
          <w:tab w:val="left" w:pos="360"/>
          <w:tab w:val="left" w:pos="1440"/>
        </w:tabs>
        <w:jc w:val="both"/>
        <w:rPr>
          <w:rFonts w:ascii="Cambria" w:hAnsi="Cambria"/>
          <w:sz w:val="20"/>
          <w:szCs w:val="20"/>
          <w:lang w:val="es-VE"/>
        </w:rPr>
      </w:pPr>
    </w:p>
    <w:p w14:paraId="110D83F5" w14:textId="77777777" w:rsidR="00B403FC" w:rsidRPr="003A651A" w:rsidRDefault="00B403FC"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El </w:t>
      </w:r>
      <w:r w:rsidR="00861A8D" w:rsidRPr="003A651A">
        <w:rPr>
          <w:rFonts w:ascii="Cambria" w:hAnsi="Cambria"/>
          <w:sz w:val="20"/>
          <w:szCs w:val="20"/>
          <w:lang w:val="es-VE"/>
        </w:rPr>
        <w:t xml:space="preserve">17 de marzo de 2004 </w:t>
      </w:r>
      <w:r w:rsidRPr="003A651A">
        <w:rPr>
          <w:rFonts w:ascii="Cambria" w:hAnsi="Cambria"/>
          <w:sz w:val="20"/>
          <w:szCs w:val="20"/>
          <w:lang w:val="es-VE"/>
        </w:rPr>
        <w:t>e</w:t>
      </w:r>
      <w:r w:rsidR="00C40D8A" w:rsidRPr="003A651A">
        <w:rPr>
          <w:rFonts w:ascii="Cambria" w:hAnsi="Cambria"/>
          <w:sz w:val="20"/>
          <w:szCs w:val="20"/>
          <w:lang w:val="es-VE"/>
        </w:rPr>
        <w:t>l Juzgado Penal Seccional Judi</w:t>
      </w:r>
      <w:r w:rsidRPr="003A651A">
        <w:rPr>
          <w:rFonts w:ascii="Cambria" w:hAnsi="Cambria"/>
          <w:sz w:val="20"/>
          <w:szCs w:val="20"/>
          <w:lang w:val="es-VE"/>
        </w:rPr>
        <w:t>cial de San Pedro de Sula</w:t>
      </w:r>
      <w:r w:rsidR="00B0366F" w:rsidRPr="003A651A">
        <w:rPr>
          <w:rFonts w:ascii="Cambria" w:hAnsi="Cambria"/>
          <w:sz w:val="20"/>
          <w:szCs w:val="20"/>
          <w:lang w:val="es-VE"/>
        </w:rPr>
        <w:t xml:space="preserve"> dictó</w:t>
      </w:r>
      <w:r w:rsidR="00C40D8A" w:rsidRPr="003A651A">
        <w:rPr>
          <w:rFonts w:ascii="Cambria" w:hAnsi="Cambria"/>
          <w:sz w:val="20"/>
          <w:szCs w:val="20"/>
          <w:lang w:val="es-VE"/>
        </w:rPr>
        <w:t xml:space="preserve"> </w:t>
      </w:r>
      <w:r w:rsidRPr="003A651A">
        <w:rPr>
          <w:rFonts w:ascii="Cambria" w:hAnsi="Cambria"/>
          <w:sz w:val="20"/>
          <w:szCs w:val="20"/>
          <w:lang w:val="es-VE"/>
        </w:rPr>
        <w:t xml:space="preserve">una </w:t>
      </w:r>
      <w:r w:rsidR="00C40D8A" w:rsidRPr="003A651A">
        <w:rPr>
          <w:rFonts w:ascii="Cambria" w:hAnsi="Cambria"/>
          <w:sz w:val="20"/>
          <w:szCs w:val="20"/>
          <w:lang w:val="es-VE"/>
        </w:rPr>
        <w:t>sentencia abs</w:t>
      </w:r>
      <w:r w:rsidR="00886B83" w:rsidRPr="003A651A">
        <w:rPr>
          <w:rFonts w:ascii="Cambria" w:hAnsi="Cambria"/>
          <w:sz w:val="20"/>
          <w:szCs w:val="20"/>
          <w:lang w:val="es-VE"/>
        </w:rPr>
        <w:t xml:space="preserve">olutoria a favor </w:t>
      </w:r>
      <w:r w:rsidRPr="003A651A">
        <w:rPr>
          <w:rFonts w:ascii="Cambria" w:hAnsi="Cambria"/>
          <w:sz w:val="20"/>
          <w:szCs w:val="20"/>
          <w:lang w:val="es-VE"/>
        </w:rPr>
        <w:t>de</w:t>
      </w:r>
      <w:r w:rsidR="00C40D8A" w:rsidRPr="003A651A">
        <w:rPr>
          <w:rFonts w:ascii="Cambria" w:hAnsi="Cambria"/>
          <w:sz w:val="20"/>
          <w:szCs w:val="20"/>
          <w:lang w:val="es-VE"/>
        </w:rPr>
        <w:t xml:space="preserve"> Marco Tulio Regalado</w:t>
      </w:r>
      <w:r w:rsidRPr="003A651A">
        <w:rPr>
          <w:rFonts w:ascii="Cambria" w:hAnsi="Cambria"/>
          <w:sz w:val="20"/>
          <w:szCs w:val="20"/>
          <w:lang w:val="es-VE"/>
        </w:rPr>
        <w:t>. El Juzgado consideró que “</w:t>
      </w:r>
      <w:r w:rsidR="00886BCE" w:rsidRPr="003A651A">
        <w:rPr>
          <w:rFonts w:ascii="Cambria" w:hAnsi="Cambria"/>
          <w:sz w:val="20"/>
          <w:szCs w:val="20"/>
          <w:lang w:val="es-VE"/>
        </w:rPr>
        <w:t xml:space="preserve">al analizar  y valorar toda la prueba aportada </w:t>
      </w:r>
      <w:r w:rsidR="00544981" w:rsidRPr="003A651A">
        <w:rPr>
          <w:rFonts w:ascii="Cambria" w:hAnsi="Cambria"/>
          <w:sz w:val="20"/>
          <w:szCs w:val="20"/>
          <w:lang w:val="es-VE"/>
        </w:rPr>
        <w:t xml:space="preserve">durante el proceso persiste en este tribunal la duda en cuanto la autoría por parte del acusado por lo que considera procedente dictar sentencia </w:t>
      </w:r>
      <w:r w:rsidR="00DF049E" w:rsidRPr="003A651A">
        <w:rPr>
          <w:rFonts w:ascii="Cambria" w:hAnsi="Cambria"/>
          <w:sz w:val="20"/>
          <w:szCs w:val="20"/>
          <w:lang w:val="es-VE"/>
        </w:rPr>
        <w:t>absolutoria</w:t>
      </w:r>
      <w:r w:rsidR="00544981" w:rsidRPr="003A651A">
        <w:rPr>
          <w:rFonts w:ascii="Cambria" w:hAnsi="Cambria"/>
          <w:sz w:val="20"/>
          <w:szCs w:val="20"/>
          <w:lang w:val="es-VE"/>
        </w:rPr>
        <w:t>”</w:t>
      </w:r>
      <w:r w:rsidR="00544981" w:rsidRPr="003A651A">
        <w:rPr>
          <w:rStyle w:val="FootnoteReference"/>
          <w:rFonts w:ascii="Cambria" w:hAnsi="Cambria"/>
          <w:sz w:val="20"/>
          <w:szCs w:val="20"/>
          <w:lang w:val="es-VE"/>
        </w:rPr>
        <w:footnoteReference w:id="37"/>
      </w:r>
      <w:r w:rsidR="0089231F" w:rsidRPr="003A651A">
        <w:rPr>
          <w:rFonts w:ascii="Cambria" w:hAnsi="Cambria"/>
          <w:sz w:val="20"/>
          <w:szCs w:val="20"/>
          <w:lang w:val="es-VE"/>
        </w:rPr>
        <w:t xml:space="preserve">. </w:t>
      </w:r>
      <w:r w:rsidR="00F67C4D">
        <w:rPr>
          <w:rFonts w:ascii="Cambria" w:hAnsi="Cambria"/>
          <w:sz w:val="20"/>
          <w:szCs w:val="20"/>
          <w:lang w:val="es-VE"/>
        </w:rPr>
        <w:t xml:space="preserve">El Estado sostuvo </w:t>
      </w:r>
      <w:r w:rsidR="0034698A">
        <w:rPr>
          <w:rFonts w:ascii="Cambria" w:hAnsi="Cambria"/>
          <w:sz w:val="20"/>
          <w:szCs w:val="20"/>
          <w:lang w:val="es-VE"/>
        </w:rPr>
        <w:t>que luego de dicha sentencia e</w:t>
      </w:r>
      <w:r w:rsidR="00F67C4D">
        <w:rPr>
          <w:rFonts w:ascii="Cambria" w:hAnsi="Cambria"/>
          <w:sz w:val="20"/>
          <w:szCs w:val="20"/>
          <w:lang w:val="es-VE"/>
        </w:rPr>
        <w:t xml:space="preserve">l </w:t>
      </w:r>
      <w:r w:rsidR="0034698A">
        <w:rPr>
          <w:rFonts w:ascii="Cambria" w:hAnsi="Cambria"/>
          <w:sz w:val="20"/>
          <w:szCs w:val="20"/>
          <w:lang w:val="es-VE"/>
        </w:rPr>
        <w:t>señor Tulio Regalado</w:t>
      </w:r>
      <w:r w:rsidR="00F67C4D">
        <w:rPr>
          <w:rFonts w:ascii="Cambria" w:hAnsi="Cambria"/>
          <w:sz w:val="20"/>
          <w:szCs w:val="20"/>
          <w:lang w:val="es-VE"/>
        </w:rPr>
        <w:t xml:space="preserve"> </w:t>
      </w:r>
      <w:r w:rsidR="0034698A">
        <w:rPr>
          <w:rFonts w:ascii="Cambria" w:hAnsi="Cambria"/>
          <w:sz w:val="20"/>
          <w:szCs w:val="20"/>
          <w:lang w:val="es-VE"/>
        </w:rPr>
        <w:t>fue puesto en libertad</w:t>
      </w:r>
      <w:r w:rsidR="00F67C4D">
        <w:rPr>
          <w:rStyle w:val="FootnoteReference"/>
          <w:rFonts w:ascii="Cambria" w:hAnsi="Cambria"/>
          <w:sz w:val="20"/>
          <w:szCs w:val="20"/>
          <w:lang w:val="es-VE"/>
        </w:rPr>
        <w:footnoteReference w:id="38"/>
      </w:r>
      <w:r w:rsidR="0034698A">
        <w:rPr>
          <w:rFonts w:ascii="Cambria" w:hAnsi="Cambria"/>
          <w:sz w:val="20"/>
          <w:szCs w:val="20"/>
          <w:lang w:val="es-VE"/>
        </w:rPr>
        <w:t>.</w:t>
      </w:r>
    </w:p>
    <w:p w14:paraId="4E8BF7BD" w14:textId="77777777" w:rsidR="00B403FC" w:rsidRPr="003A651A" w:rsidRDefault="00B403FC" w:rsidP="00212202">
      <w:pPr>
        <w:tabs>
          <w:tab w:val="left" w:pos="360"/>
          <w:tab w:val="left" w:pos="1440"/>
        </w:tabs>
        <w:jc w:val="both"/>
        <w:rPr>
          <w:rFonts w:ascii="Cambria" w:hAnsi="Cambria"/>
          <w:sz w:val="20"/>
          <w:szCs w:val="20"/>
          <w:lang w:val="es-VE"/>
        </w:rPr>
      </w:pPr>
    </w:p>
    <w:p w14:paraId="6AABEE2A" w14:textId="77777777" w:rsidR="008B7EC1" w:rsidRPr="003A651A" w:rsidRDefault="00861A8D"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t xml:space="preserve">Frente al recurso de apelación presentado por el Ministerio Público, el </w:t>
      </w:r>
      <w:r w:rsidR="00517183" w:rsidRPr="003A651A">
        <w:rPr>
          <w:rFonts w:ascii="Cambria" w:hAnsi="Cambria"/>
          <w:sz w:val="20"/>
          <w:szCs w:val="20"/>
          <w:lang w:val="es-VE"/>
        </w:rPr>
        <w:t>23 de mayo de 2005</w:t>
      </w:r>
      <w:r w:rsidR="00774F25" w:rsidRPr="003A651A">
        <w:rPr>
          <w:rFonts w:ascii="Cambria" w:hAnsi="Cambria"/>
          <w:sz w:val="20"/>
          <w:szCs w:val="20"/>
          <w:lang w:val="es-VE"/>
        </w:rPr>
        <w:t xml:space="preserve"> </w:t>
      </w:r>
      <w:r w:rsidR="003F4F9F" w:rsidRPr="003A651A">
        <w:rPr>
          <w:rFonts w:ascii="Cambria" w:hAnsi="Cambria"/>
          <w:sz w:val="20"/>
          <w:szCs w:val="20"/>
          <w:lang w:val="es-VE"/>
        </w:rPr>
        <w:t xml:space="preserve">la Corte de Apelaciones Seccional </w:t>
      </w:r>
      <w:r w:rsidR="00517183" w:rsidRPr="003A651A">
        <w:rPr>
          <w:rFonts w:ascii="Cambria" w:hAnsi="Cambria"/>
          <w:sz w:val="20"/>
          <w:szCs w:val="20"/>
          <w:lang w:val="es-VE"/>
        </w:rPr>
        <w:t xml:space="preserve">de </w:t>
      </w:r>
      <w:r w:rsidR="003F4F9F" w:rsidRPr="003A651A">
        <w:rPr>
          <w:rFonts w:ascii="Cambria" w:hAnsi="Cambria"/>
          <w:sz w:val="20"/>
          <w:szCs w:val="20"/>
          <w:lang w:val="es-VE"/>
        </w:rPr>
        <w:t xml:space="preserve">San Pedro de Sula </w:t>
      </w:r>
      <w:r w:rsidR="00517183" w:rsidRPr="003A651A">
        <w:rPr>
          <w:rFonts w:ascii="Cambria" w:hAnsi="Cambria"/>
          <w:sz w:val="20"/>
          <w:szCs w:val="20"/>
          <w:lang w:val="es-VE"/>
        </w:rPr>
        <w:t>revocó la sentencia de primera instancia y condenó a Marco Tulio Regalado a doce años de prisión por el delito de asesinato.</w:t>
      </w:r>
      <w:r w:rsidR="008B7EC1" w:rsidRPr="003A651A">
        <w:rPr>
          <w:rFonts w:ascii="Cambria" w:hAnsi="Cambria"/>
          <w:sz w:val="20"/>
          <w:szCs w:val="20"/>
          <w:lang w:val="es-VE"/>
        </w:rPr>
        <w:t xml:space="preserve"> La Corte </w:t>
      </w:r>
      <w:r w:rsidR="00504507" w:rsidRPr="003A651A">
        <w:rPr>
          <w:rFonts w:ascii="Cambria" w:hAnsi="Cambria"/>
          <w:sz w:val="20"/>
          <w:szCs w:val="20"/>
          <w:lang w:val="es-VE"/>
        </w:rPr>
        <w:t xml:space="preserve">sostuvo </w:t>
      </w:r>
      <w:r w:rsidR="003F4F9F" w:rsidRPr="003A651A">
        <w:rPr>
          <w:rFonts w:ascii="Cambria" w:hAnsi="Cambria"/>
          <w:sz w:val="20"/>
          <w:szCs w:val="20"/>
          <w:lang w:val="es-VE"/>
        </w:rPr>
        <w:t>que “apreciando en conjunto las declaraciones de Otilia Flores Ortiz, Luis Rolando Deras García, Irma Isabel Deras García</w:t>
      </w:r>
      <w:r w:rsidR="00EB4D54" w:rsidRPr="003A651A">
        <w:rPr>
          <w:rFonts w:ascii="Cambria" w:hAnsi="Cambria"/>
          <w:sz w:val="20"/>
          <w:szCs w:val="20"/>
          <w:lang w:val="es-VE"/>
        </w:rPr>
        <w:t xml:space="preserve">, y Fausto Ramón Reyes Caballero, al acta de defunción y el careo </w:t>
      </w:r>
      <w:r w:rsidR="008B7EC1" w:rsidRPr="003A651A">
        <w:rPr>
          <w:rFonts w:ascii="Cambria" w:hAnsi="Cambria"/>
          <w:sz w:val="20"/>
          <w:szCs w:val="20"/>
          <w:lang w:val="es-VE"/>
        </w:rPr>
        <w:t>(...)</w:t>
      </w:r>
      <w:r w:rsidR="00EB4D54" w:rsidRPr="003A651A">
        <w:rPr>
          <w:rFonts w:ascii="Cambria" w:hAnsi="Cambria"/>
          <w:sz w:val="20"/>
          <w:szCs w:val="20"/>
          <w:lang w:val="es-VE"/>
        </w:rPr>
        <w:t xml:space="preserve">, adquiere la convicción que el procesado Tulio Regalado Hernández </w:t>
      </w:r>
      <w:r w:rsidR="00504507" w:rsidRPr="003A651A">
        <w:rPr>
          <w:rFonts w:ascii="Cambria" w:hAnsi="Cambria"/>
          <w:sz w:val="20"/>
          <w:szCs w:val="20"/>
          <w:lang w:val="es-VE"/>
        </w:rPr>
        <w:t xml:space="preserve"> participo a título de autor en el ilícito objeto de este proceso”</w:t>
      </w:r>
      <w:r w:rsidR="00504507" w:rsidRPr="003A651A">
        <w:rPr>
          <w:rStyle w:val="FootnoteReference"/>
          <w:rFonts w:ascii="Cambria" w:hAnsi="Cambria"/>
          <w:sz w:val="20"/>
          <w:szCs w:val="20"/>
          <w:lang w:val="es-VE"/>
        </w:rPr>
        <w:footnoteReference w:id="39"/>
      </w:r>
      <w:r w:rsidR="00E82B19" w:rsidRPr="003A651A">
        <w:rPr>
          <w:rFonts w:ascii="Cambria" w:hAnsi="Cambria"/>
          <w:sz w:val="20"/>
          <w:szCs w:val="20"/>
          <w:lang w:val="es-VE"/>
        </w:rPr>
        <w:t>.</w:t>
      </w:r>
      <w:r w:rsidR="007815D1" w:rsidRPr="003A651A">
        <w:rPr>
          <w:rFonts w:ascii="Cambria" w:hAnsi="Cambria"/>
          <w:sz w:val="20"/>
          <w:szCs w:val="20"/>
          <w:lang w:val="es-VE"/>
        </w:rPr>
        <w:t xml:space="preserve"> </w:t>
      </w:r>
    </w:p>
    <w:p w14:paraId="60DCBFA9" w14:textId="77777777" w:rsidR="008B7EC1" w:rsidRPr="003A651A" w:rsidRDefault="008B7EC1" w:rsidP="00212202">
      <w:pPr>
        <w:tabs>
          <w:tab w:val="left" w:pos="360"/>
          <w:tab w:val="left" w:pos="1440"/>
        </w:tabs>
        <w:jc w:val="both"/>
        <w:rPr>
          <w:rFonts w:ascii="Cambria" w:hAnsi="Cambria"/>
          <w:sz w:val="20"/>
          <w:szCs w:val="20"/>
          <w:lang w:val="es-VE"/>
        </w:rPr>
      </w:pPr>
    </w:p>
    <w:p w14:paraId="0FB1A0A5" w14:textId="77777777" w:rsidR="006B1904" w:rsidRDefault="000B18EE"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La defensa del señor Regalado interpuso recurso de casación que fue declarado sin lugar </w:t>
      </w:r>
      <w:r w:rsidR="008B7EC1" w:rsidRPr="003A651A">
        <w:rPr>
          <w:rFonts w:ascii="Cambria" w:hAnsi="Cambria"/>
          <w:sz w:val="20"/>
          <w:szCs w:val="20"/>
          <w:lang w:val="es-VE"/>
        </w:rPr>
        <w:t>el 5 de marzo de 2009</w:t>
      </w:r>
      <w:r w:rsidR="008F6F6B">
        <w:rPr>
          <w:rFonts w:ascii="Cambria" w:hAnsi="Cambria"/>
          <w:sz w:val="20"/>
          <w:szCs w:val="20"/>
          <w:lang w:val="es-VE"/>
        </w:rPr>
        <w:t xml:space="preserve"> por </w:t>
      </w:r>
      <w:r w:rsidR="00F10C5B" w:rsidRPr="003A651A">
        <w:rPr>
          <w:rFonts w:ascii="Cambria" w:hAnsi="Cambria"/>
          <w:sz w:val="20"/>
          <w:szCs w:val="20"/>
          <w:lang w:val="es-VE"/>
        </w:rPr>
        <w:t>la Corte Suprema de Justicia</w:t>
      </w:r>
      <w:r w:rsidR="0034698A">
        <w:rPr>
          <w:rFonts w:ascii="Cambria" w:hAnsi="Cambria"/>
          <w:sz w:val="20"/>
          <w:szCs w:val="20"/>
          <w:lang w:val="es-VE"/>
        </w:rPr>
        <w:t xml:space="preserve">. </w:t>
      </w:r>
      <w:r w:rsidR="009660F6">
        <w:rPr>
          <w:rFonts w:ascii="Cambria" w:hAnsi="Cambria"/>
          <w:sz w:val="20"/>
          <w:szCs w:val="20"/>
          <w:lang w:val="es-VE"/>
        </w:rPr>
        <w:t xml:space="preserve">Este Tribunal indicó que: </w:t>
      </w:r>
    </w:p>
    <w:p w14:paraId="2C6CA326" w14:textId="77777777" w:rsidR="006B1904" w:rsidRDefault="006B1904" w:rsidP="00212202">
      <w:pPr>
        <w:tabs>
          <w:tab w:val="left" w:pos="360"/>
          <w:tab w:val="left" w:pos="1440"/>
        </w:tabs>
        <w:ind w:left="630"/>
        <w:jc w:val="both"/>
        <w:rPr>
          <w:rFonts w:ascii="Cambria" w:hAnsi="Cambria"/>
          <w:sz w:val="20"/>
          <w:szCs w:val="20"/>
          <w:lang w:val="es-VE"/>
        </w:rPr>
      </w:pPr>
    </w:p>
    <w:p w14:paraId="5EBBAE09" w14:textId="77777777" w:rsidR="006B1904" w:rsidRPr="00DD7055" w:rsidRDefault="006B1904" w:rsidP="00212202">
      <w:pPr>
        <w:pStyle w:val="ListParagraph"/>
        <w:tabs>
          <w:tab w:val="left" w:pos="360"/>
        </w:tabs>
        <w:ind w:left="360" w:right="360"/>
        <w:jc w:val="both"/>
        <w:rPr>
          <w:rFonts w:ascii="Cambria" w:hAnsi="Cambria"/>
          <w:sz w:val="18"/>
          <w:szCs w:val="18"/>
          <w:lang w:val="es-VE"/>
        </w:rPr>
      </w:pPr>
      <w:r w:rsidRPr="00DD7055">
        <w:rPr>
          <w:rFonts w:ascii="Cambria" w:hAnsi="Cambria"/>
          <w:sz w:val="18"/>
          <w:szCs w:val="18"/>
          <w:lang w:val="es-VE"/>
        </w:rPr>
        <w:t xml:space="preserve">Centra su reclamo el casacioncita el afirmar que el juzgador no tomo en cuenta varios documentos </w:t>
      </w:r>
      <w:r w:rsidRPr="00212202">
        <w:rPr>
          <w:rFonts w:ascii="Cambria" w:hAnsi="Cambria"/>
          <w:sz w:val="18"/>
          <w:szCs w:val="18"/>
          <w:lang w:val="es-CL"/>
        </w:rPr>
        <w:t>expedidos</w:t>
      </w:r>
      <w:r w:rsidRPr="00DD7055">
        <w:rPr>
          <w:rFonts w:ascii="Cambria" w:hAnsi="Cambria"/>
          <w:sz w:val="18"/>
          <w:szCs w:val="18"/>
          <w:lang w:val="es-VE"/>
        </w:rPr>
        <w:t xml:space="preserve"> por</w:t>
      </w:r>
      <w:r w:rsidR="00105820">
        <w:rPr>
          <w:rFonts w:ascii="Cambria" w:hAnsi="Cambria"/>
          <w:sz w:val="18"/>
          <w:szCs w:val="18"/>
          <w:lang w:val="es-VE"/>
        </w:rPr>
        <w:t xml:space="preserve"> las fuerzas armadas y los que </w:t>
      </w:r>
      <w:r w:rsidRPr="00DD7055">
        <w:rPr>
          <w:rFonts w:ascii="Cambria" w:hAnsi="Cambria"/>
          <w:sz w:val="18"/>
          <w:szCs w:val="18"/>
          <w:lang w:val="es-VE"/>
        </w:rPr>
        <w:t xml:space="preserve">a su criterio tienen la calidad de documentos auténticos, pero se reitera nuevamente estos documentos </w:t>
      </w:r>
      <w:r w:rsidR="00C77979" w:rsidRPr="00DD7055">
        <w:rPr>
          <w:rFonts w:ascii="Cambria" w:hAnsi="Cambria"/>
          <w:sz w:val="18"/>
          <w:szCs w:val="18"/>
          <w:lang w:val="es-VE"/>
        </w:rPr>
        <w:t xml:space="preserve">únicamente ilustran la trayectoria de la carrera del imputado, pero no demuestran de ninguna manera la participación o no participación del delito que se le imputa, no revistiendo para efectos de casación calidad de documentos auténticos. El juzgador valora la prueba evacuada en juicio y en base a esta valoración, determina la culpabilidad </w:t>
      </w:r>
      <w:r w:rsidR="009155F0" w:rsidRPr="00DD7055">
        <w:rPr>
          <w:rFonts w:ascii="Cambria" w:hAnsi="Cambria"/>
          <w:sz w:val="18"/>
          <w:szCs w:val="18"/>
          <w:lang w:val="es-VE"/>
        </w:rPr>
        <w:t xml:space="preserve">del imputado. No existiendo error de hecho en la apreciación de la prueba tal como lo manifiesta el recurrente, siendo </w:t>
      </w:r>
      <w:r w:rsidR="0034698A">
        <w:rPr>
          <w:rFonts w:ascii="Cambria" w:hAnsi="Cambria"/>
          <w:sz w:val="18"/>
          <w:szCs w:val="18"/>
          <w:lang w:val="es-VE"/>
        </w:rPr>
        <w:t>declarado sin lugar este motivo</w:t>
      </w:r>
      <w:r w:rsidR="0034698A" w:rsidRPr="003A651A">
        <w:rPr>
          <w:rStyle w:val="FootnoteReference"/>
          <w:rFonts w:ascii="Cambria" w:hAnsi="Cambria"/>
          <w:sz w:val="20"/>
          <w:szCs w:val="20"/>
          <w:lang w:val="es-VE"/>
        </w:rPr>
        <w:footnoteReference w:id="40"/>
      </w:r>
      <w:r w:rsidR="0034698A">
        <w:rPr>
          <w:rFonts w:ascii="Cambria" w:hAnsi="Cambria"/>
          <w:sz w:val="18"/>
          <w:szCs w:val="18"/>
          <w:lang w:val="es-VE"/>
        </w:rPr>
        <w:t>.</w:t>
      </w:r>
    </w:p>
    <w:p w14:paraId="6110892D" w14:textId="77777777" w:rsidR="00FC56C2" w:rsidRPr="003A651A" w:rsidRDefault="00FC56C2" w:rsidP="00212202">
      <w:pPr>
        <w:tabs>
          <w:tab w:val="left" w:pos="360"/>
          <w:tab w:val="left" w:pos="1440"/>
        </w:tabs>
        <w:jc w:val="both"/>
        <w:rPr>
          <w:rFonts w:ascii="Cambria" w:hAnsi="Cambria"/>
          <w:sz w:val="20"/>
          <w:szCs w:val="20"/>
          <w:lang w:val="es-VE"/>
        </w:rPr>
      </w:pPr>
    </w:p>
    <w:p w14:paraId="526B717E" w14:textId="77777777" w:rsidR="00083505" w:rsidRDefault="00FC56C2"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sidRPr="003A651A">
        <w:rPr>
          <w:rFonts w:ascii="Cambria" w:hAnsi="Cambria"/>
          <w:sz w:val="20"/>
          <w:szCs w:val="20"/>
          <w:lang w:val="es-VE"/>
        </w:rPr>
        <w:lastRenderedPageBreak/>
        <w:t xml:space="preserve">El 27 de febrero del 2009 </w:t>
      </w:r>
      <w:r w:rsidR="00F63820" w:rsidRPr="003A651A">
        <w:rPr>
          <w:rFonts w:ascii="Cambria" w:hAnsi="Cambria"/>
          <w:sz w:val="20"/>
          <w:szCs w:val="20"/>
          <w:lang w:val="es-VE"/>
        </w:rPr>
        <w:t>el Juzgado de Ejecución Sección Jud</w:t>
      </w:r>
      <w:r w:rsidRPr="003A651A">
        <w:rPr>
          <w:rFonts w:ascii="Cambria" w:hAnsi="Cambria"/>
          <w:sz w:val="20"/>
          <w:szCs w:val="20"/>
          <w:lang w:val="es-VE"/>
        </w:rPr>
        <w:t>icial de San Pedro de Sula dictó</w:t>
      </w:r>
      <w:r w:rsidR="00F63820" w:rsidRPr="003A651A">
        <w:rPr>
          <w:rFonts w:ascii="Cambria" w:hAnsi="Cambria"/>
          <w:sz w:val="20"/>
          <w:szCs w:val="20"/>
          <w:lang w:val="es-VE"/>
        </w:rPr>
        <w:t xml:space="preserve"> </w:t>
      </w:r>
      <w:r w:rsidRPr="003A651A">
        <w:rPr>
          <w:rFonts w:ascii="Cambria" w:hAnsi="Cambria"/>
          <w:sz w:val="20"/>
          <w:szCs w:val="20"/>
          <w:lang w:val="es-VE"/>
        </w:rPr>
        <w:t xml:space="preserve">una </w:t>
      </w:r>
      <w:r w:rsidR="00F63820" w:rsidRPr="003A651A">
        <w:rPr>
          <w:rFonts w:ascii="Cambria" w:hAnsi="Cambria"/>
          <w:sz w:val="20"/>
          <w:szCs w:val="20"/>
          <w:lang w:val="es-VE"/>
        </w:rPr>
        <w:t>orden de capt</w:t>
      </w:r>
      <w:r w:rsidRPr="003A651A">
        <w:rPr>
          <w:rFonts w:ascii="Cambria" w:hAnsi="Cambria"/>
          <w:sz w:val="20"/>
          <w:szCs w:val="20"/>
          <w:lang w:val="es-VE"/>
        </w:rPr>
        <w:t>ura contra Marco Tulio Regalado</w:t>
      </w:r>
      <w:r w:rsidR="00F63820" w:rsidRPr="003A651A">
        <w:rPr>
          <w:rStyle w:val="FootnoteReference"/>
          <w:rFonts w:ascii="Cambria" w:hAnsi="Cambria"/>
          <w:sz w:val="20"/>
          <w:szCs w:val="20"/>
          <w:lang w:val="es-VE"/>
        </w:rPr>
        <w:footnoteReference w:id="41"/>
      </w:r>
      <w:r w:rsidRPr="003A651A">
        <w:rPr>
          <w:rFonts w:ascii="Cambria" w:hAnsi="Cambria"/>
          <w:sz w:val="20"/>
          <w:szCs w:val="20"/>
          <w:lang w:val="es-VE"/>
        </w:rPr>
        <w:t>.</w:t>
      </w:r>
      <w:r w:rsidR="00EF4CCA" w:rsidRPr="003A651A">
        <w:rPr>
          <w:rFonts w:ascii="Cambria" w:hAnsi="Cambria"/>
          <w:sz w:val="20"/>
          <w:szCs w:val="20"/>
          <w:lang w:val="es-VE"/>
        </w:rPr>
        <w:t xml:space="preserve"> El Estado</w:t>
      </w:r>
      <w:r w:rsidRPr="003A651A">
        <w:rPr>
          <w:rFonts w:ascii="Cambria" w:hAnsi="Cambria"/>
          <w:sz w:val="20"/>
          <w:szCs w:val="20"/>
          <w:lang w:val="es-VE"/>
        </w:rPr>
        <w:t xml:space="preserve"> indicó que</w:t>
      </w:r>
      <w:r w:rsidR="00EF4CCA" w:rsidRPr="003A651A">
        <w:rPr>
          <w:rFonts w:ascii="Cambria" w:hAnsi="Cambria"/>
          <w:sz w:val="20"/>
          <w:szCs w:val="20"/>
          <w:lang w:val="es-VE"/>
        </w:rPr>
        <w:t xml:space="preserve"> </w:t>
      </w:r>
      <w:r w:rsidRPr="003A651A">
        <w:rPr>
          <w:rFonts w:ascii="Cambria" w:hAnsi="Cambria"/>
          <w:sz w:val="20"/>
          <w:szCs w:val="20"/>
          <w:lang w:val="es-VE"/>
        </w:rPr>
        <w:t>solicitó</w:t>
      </w:r>
      <w:r w:rsidR="00EF4CCA" w:rsidRPr="003A651A">
        <w:rPr>
          <w:rFonts w:ascii="Cambria" w:hAnsi="Cambria"/>
          <w:sz w:val="20"/>
          <w:szCs w:val="20"/>
          <w:lang w:val="es-VE"/>
        </w:rPr>
        <w:t xml:space="preserve"> a la Interpol y la Direc</w:t>
      </w:r>
      <w:r w:rsidRPr="003A651A">
        <w:rPr>
          <w:rFonts w:ascii="Cambria" w:hAnsi="Cambria"/>
          <w:sz w:val="20"/>
          <w:szCs w:val="20"/>
          <w:lang w:val="es-VE"/>
        </w:rPr>
        <w:t>ción Nacional de Investigación C</w:t>
      </w:r>
      <w:r w:rsidR="00EF4CCA" w:rsidRPr="003A651A">
        <w:rPr>
          <w:rFonts w:ascii="Cambria" w:hAnsi="Cambria"/>
          <w:sz w:val="20"/>
          <w:szCs w:val="20"/>
          <w:lang w:val="es-VE"/>
        </w:rPr>
        <w:t>riminal</w:t>
      </w:r>
      <w:r w:rsidR="00505DE7" w:rsidRPr="003A651A">
        <w:rPr>
          <w:rFonts w:ascii="Cambria" w:hAnsi="Cambria"/>
          <w:sz w:val="20"/>
          <w:szCs w:val="20"/>
          <w:lang w:val="es-VE"/>
        </w:rPr>
        <w:t xml:space="preserve"> </w:t>
      </w:r>
      <w:r w:rsidR="00EF4CCA" w:rsidRPr="003A651A">
        <w:rPr>
          <w:rFonts w:ascii="Cambria" w:hAnsi="Cambria"/>
          <w:sz w:val="20"/>
          <w:szCs w:val="20"/>
          <w:lang w:val="es-VE"/>
        </w:rPr>
        <w:t>la captura del condenado</w:t>
      </w:r>
      <w:r w:rsidRPr="003A651A">
        <w:rPr>
          <w:rFonts w:ascii="Cambria" w:hAnsi="Cambria"/>
          <w:sz w:val="20"/>
          <w:szCs w:val="20"/>
          <w:lang w:val="es-VE"/>
        </w:rPr>
        <w:t>,</w:t>
      </w:r>
      <w:r w:rsidR="00EF4CCA" w:rsidRPr="003A651A">
        <w:rPr>
          <w:rFonts w:ascii="Cambria" w:hAnsi="Cambria"/>
          <w:sz w:val="20"/>
          <w:szCs w:val="20"/>
          <w:lang w:val="es-VE"/>
        </w:rPr>
        <w:t xml:space="preserve"> siendo la última vez el 15 de enero de 2015</w:t>
      </w:r>
      <w:r w:rsidR="00505DE7" w:rsidRPr="003A651A">
        <w:rPr>
          <w:rStyle w:val="FootnoteReference"/>
          <w:rFonts w:ascii="Cambria" w:hAnsi="Cambria"/>
          <w:sz w:val="20"/>
          <w:szCs w:val="20"/>
          <w:lang w:val="es-VE"/>
        </w:rPr>
        <w:footnoteReference w:id="42"/>
      </w:r>
      <w:r w:rsidR="00EF4CCA" w:rsidRPr="003A651A">
        <w:rPr>
          <w:rFonts w:ascii="Cambria" w:hAnsi="Cambria"/>
          <w:sz w:val="20"/>
          <w:szCs w:val="20"/>
          <w:lang w:val="es-VE"/>
        </w:rPr>
        <w:t>.</w:t>
      </w:r>
      <w:r w:rsidR="00911A4B">
        <w:rPr>
          <w:rFonts w:ascii="Cambria" w:hAnsi="Cambria"/>
          <w:sz w:val="20"/>
          <w:szCs w:val="20"/>
          <w:lang w:val="es-VE"/>
        </w:rPr>
        <w:t xml:space="preserve"> La CIDH no cuenta con información sobre la captura del señor Tulio Regalado.</w:t>
      </w:r>
    </w:p>
    <w:p w14:paraId="7EEDC90F" w14:textId="77777777" w:rsidR="00083505" w:rsidRDefault="00083505" w:rsidP="00212202">
      <w:pPr>
        <w:tabs>
          <w:tab w:val="left" w:pos="360"/>
          <w:tab w:val="left" w:pos="1440"/>
        </w:tabs>
        <w:jc w:val="both"/>
        <w:rPr>
          <w:rFonts w:ascii="Cambria" w:hAnsi="Cambria"/>
          <w:sz w:val="20"/>
          <w:szCs w:val="20"/>
          <w:lang w:val="es-VE"/>
        </w:rPr>
      </w:pPr>
    </w:p>
    <w:p w14:paraId="03473FEF" w14:textId="77777777" w:rsidR="00A15652" w:rsidRDefault="00A15652"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Adicionalmente, la CIDH toma nota de la información presentada por la parte peticionaria respecto de </w:t>
      </w:r>
      <w:r w:rsidR="00484AE0">
        <w:rPr>
          <w:rFonts w:ascii="Cambria" w:hAnsi="Cambria"/>
          <w:sz w:val="20"/>
          <w:szCs w:val="20"/>
          <w:lang w:val="es-VE"/>
        </w:rPr>
        <w:t xml:space="preserve">otros </w:t>
      </w:r>
      <w:r>
        <w:rPr>
          <w:rFonts w:ascii="Cambria" w:hAnsi="Cambria"/>
          <w:sz w:val="20"/>
          <w:szCs w:val="20"/>
          <w:lang w:val="es-VE"/>
        </w:rPr>
        <w:t>hostigamientos y amenazas a los familiares del señor Deras. Al respecto, la parte peticionaria sostuvo que el 9 de marzo de 2009 tres hombres no identificados ingresaron a</w:t>
      </w:r>
      <w:r w:rsidR="00B27F6E" w:rsidRPr="00083505">
        <w:rPr>
          <w:rFonts w:ascii="Cambria" w:hAnsi="Cambria"/>
          <w:sz w:val="20"/>
          <w:szCs w:val="20"/>
          <w:lang w:val="es-VE"/>
        </w:rPr>
        <w:t xml:space="preserve"> la residencia de Otilia Flores y su hija, Lore</w:t>
      </w:r>
      <w:r w:rsidR="0070063C" w:rsidRPr="00083505">
        <w:rPr>
          <w:rFonts w:ascii="Cambria" w:hAnsi="Cambria"/>
          <w:sz w:val="20"/>
          <w:szCs w:val="20"/>
          <w:lang w:val="es-VE"/>
        </w:rPr>
        <w:t xml:space="preserve">na,  </w:t>
      </w:r>
      <w:r>
        <w:rPr>
          <w:rFonts w:ascii="Cambria" w:hAnsi="Cambria"/>
          <w:sz w:val="20"/>
          <w:szCs w:val="20"/>
          <w:lang w:val="es-VE"/>
        </w:rPr>
        <w:t>en donde “</w:t>
      </w:r>
      <w:r w:rsidR="0070063C" w:rsidRPr="00083505">
        <w:rPr>
          <w:rFonts w:ascii="Cambria" w:hAnsi="Cambria"/>
          <w:sz w:val="20"/>
          <w:szCs w:val="20"/>
          <w:lang w:val="es-VE"/>
        </w:rPr>
        <w:t>destruyeron todo en la casa</w:t>
      </w:r>
      <w:r>
        <w:rPr>
          <w:rFonts w:ascii="Cambria" w:hAnsi="Cambria"/>
          <w:sz w:val="20"/>
          <w:szCs w:val="20"/>
          <w:lang w:val="es-VE"/>
        </w:rPr>
        <w:t>”</w:t>
      </w:r>
      <w:r w:rsidR="0070063C" w:rsidRPr="00083505">
        <w:rPr>
          <w:rFonts w:ascii="Cambria" w:hAnsi="Cambria"/>
          <w:sz w:val="20"/>
          <w:szCs w:val="20"/>
          <w:lang w:val="es-VE"/>
        </w:rPr>
        <w:t xml:space="preserve"> y se llevaron objetos personales. </w:t>
      </w:r>
      <w:r>
        <w:rPr>
          <w:rFonts w:ascii="Cambria" w:hAnsi="Cambria"/>
          <w:sz w:val="20"/>
          <w:szCs w:val="20"/>
          <w:lang w:val="es-VE"/>
        </w:rPr>
        <w:t>Indicó que a</w:t>
      </w:r>
      <w:r w:rsidR="0070063C" w:rsidRPr="00083505">
        <w:rPr>
          <w:rFonts w:ascii="Cambria" w:hAnsi="Cambria"/>
          <w:sz w:val="20"/>
          <w:szCs w:val="20"/>
          <w:lang w:val="es-VE"/>
        </w:rPr>
        <w:t xml:space="preserve">l hijo de Lorena, de 15 años, lo levantaron abruptamente de su cama </w:t>
      </w:r>
      <w:r>
        <w:rPr>
          <w:rFonts w:ascii="Cambria" w:hAnsi="Cambria"/>
          <w:sz w:val="20"/>
          <w:szCs w:val="20"/>
          <w:lang w:val="es-VE"/>
        </w:rPr>
        <w:t>y le apuntaron en la cara con</w:t>
      </w:r>
      <w:r w:rsidR="00FD7DDB">
        <w:rPr>
          <w:rFonts w:ascii="Cambria" w:hAnsi="Cambria"/>
          <w:sz w:val="20"/>
          <w:szCs w:val="20"/>
          <w:lang w:val="es-VE"/>
        </w:rPr>
        <w:t xml:space="preserve"> </w:t>
      </w:r>
      <w:r>
        <w:rPr>
          <w:rFonts w:ascii="Cambria" w:hAnsi="Cambria"/>
          <w:sz w:val="20"/>
          <w:szCs w:val="20"/>
          <w:lang w:val="es-VE"/>
        </w:rPr>
        <w:t>un arma</w:t>
      </w:r>
      <w:r w:rsidR="0070063C" w:rsidRPr="003A651A">
        <w:rPr>
          <w:rStyle w:val="FootnoteReference"/>
          <w:rFonts w:ascii="Cambria" w:hAnsi="Cambria"/>
          <w:sz w:val="20"/>
          <w:szCs w:val="20"/>
          <w:lang w:val="es-VE"/>
        </w:rPr>
        <w:footnoteReference w:id="43"/>
      </w:r>
      <w:r w:rsidR="0070063C" w:rsidRPr="00083505">
        <w:rPr>
          <w:rFonts w:ascii="Cambria" w:hAnsi="Cambria"/>
          <w:sz w:val="20"/>
          <w:szCs w:val="20"/>
          <w:lang w:val="es-VE"/>
        </w:rPr>
        <w:t xml:space="preserve"> </w:t>
      </w:r>
      <w:r w:rsidR="00FD7DDB">
        <w:rPr>
          <w:rFonts w:ascii="Cambria" w:hAnsi="Cambria"/>
          <w:sz w:val="20"/>
          <w:szCs w:val="20"/>
          <w:lang w:val="es-VE"/>
        </w:rPr>
        <w:t>.</w:t>
      </w:r>
      <w:r>
        <w:rPr>
          <w:rFonts w:ascii="Cambria" w:hAnsi="Cambria"/>
          <w:sz w:val="20"/>
          <w:szCs w:val="20"/>
          <w:lang w:val="es-VE"/>
        </w:rPr>
        <w:t xml:space="preserve"> Asimismo, la parte peticionaria informó sobre los siguientes hechos: </w:t>
      </w:r>
    </w:p>
    <w:p w14:paraId="5F6C747C" w14:textId="77777777" w:rsidR="00A15652" w:rsidRDefault="00A15652" w:rsidP="00212202">
      <w:pPr>
        <w:pStyle w:val="ListParagraph"/>
        <w:tabs>
          <w:tab w:val="left" w:pos="360"/>
        </w:tabs>
        <w:rPr>
          <w:rFonts w:ascii="Cambria" w:hAnsi="Cambria"/>
          <w:sz w:val="20"/>
          <w:szCs w:val="20"/>
          <w:lang w:val="es-VE"/>
        </w:rPr>
      </w:pPr>
    </w:p>
    <w:p w14:paraId="5EBDAFE2" w14:textId="77777777" w:rsidR="00E96282" w:rsidRPr="00A15652" w:rsidRDefault="00501846" w:rsidP="00212202">
      <w:pPr>
        <w:pStyle w:val="ListParagraph"/>
        <w:tabs>
          <w:tab w:val="left" w:pos="360"/>
        </w:tabs>
        <w:ind w:left="360" w:right="360"/>
        <w:jc w:val="both"/>
        <w:rPr>
          <w:rFonts w:ascii="Cambria" w:hAnsi="Cambria"/>
          <w:sz w:val="18"/>
          <w:szCs w:val="18"/>
          <w:lang w:val="es-VE"/>
        </w:rPr>
      </w:pPr>
      <w:r w:rsidRPr="00A15652">
        <w:rPr>
          <w:rFonts w:ascii="Cambria" w:hAnsi="Cambria"/>
          <w:sz w:val="18"/>
          <w:szCs w:val="18"/>
          <w:lang w:val="es-VE"/>
        </w:rPr>
        <w:t>Patricia Alejandra Chavarría, de 15 años,  h</w:t>
      </w:r>
      <w:r w:rsidR="00A15652" w:rsidRPr="00A15652">
        <w:rPr>
          <w:rFonts w:ascii="Cambria" w:hAnsi="Cambria"/>
          <w:sz w:val="18"/>
          <w:szCs w:val="18"/>
          <w:lang w:val="es-VE"/>
        </w:rPr>
        <w:t>ija de Irma Isabel Deras fue fil</w:t>
      </w:r>
      <w:r w:rsidRPr="00A15652">
        <w:rPr>
          <w:rFonts w:ascii="Cambria" w:hAnsi="Cambria"/>
          <w:sz w:val="18"/>
          <w:szCs w:val="18"/>
          <w:lang w:val="es-VE"/>
        </w:rPr>
        <w:t xml:space="preserve">mada y amenazada por </w:t>
      </w:r>
      <w:r w:rsidRPr="00212202">
        <w:rPr>
          <w:rFonts w:ascii="Cambria" w:hAnsi="Cambria"/>
          <w:sz w:val="18"/>
          <w:szCs w:val="18"/>
          <w:lang w:val="es-CL"/>
        </w:rPr>
        <w:t>agentes</w:t>
      </w:r>
      <w:r w:rsidRPr="00A15652">
        <w:rPr>
          <w:rFonts w:ascii="Cambria" w:hAnsi="Cambria"/>
          <w:sz w:val="18"/>
          <w:szCs w:val="18"/>
          <w:lang w:val="es-VE"/>
        </w:rPr>
        <w:t xml:space="preserve"> de la Dirección Nacional de Investigación Criminal, Alba Luz Deras que labora para la Compañía de Jesús, recibió amenazas de muertes a raíz de la militarización de Radio Progreso. Y la residencia </w:t>
      </w:r>
      <w:r w:rsidR="004C2C37" w:rsidRPr="00A15652">
        <w:rPr>
          <w:rFonts w:ascii="Cambria" w:hAnsi="Cambria"/>
          <w:sz w:val="18"/>
          <w:szCs w:val="18"/>
          <w:lang w:val="es-VE"/>
        </w:rPr>
        <w:t>de Luis Rolando Deras García, es sujeto de vigilancia por desconocidos que se transportan en un carro verde, marca Chevrolet, sin placas y vidrios polarizados. Generalmente hac</w:t>
      </w:r>
      <w:r w:rsidR="00A15652" w:rsidRPr="00A15652">
        <w:rPr>
          <w:rFonts w:ascii="Cambria" w:hAnsi="Cambria"/>
          <w:sz w:val="18"/>
          <w:szCs w:val="18"/>
          <w:lang w:val="es-VE"/>
        </w:rPr>
        <w:t>en rondas entre 7:30 y 9:30 pm.</w:t>
      </w:r>
      <w:r w:rsidR="004C2C37" w:rsidRPr="00A15652">
        <w:rPr>
          <w:rStyle w:val="FootnoteReference"/>
          <w:rFonts w:ascii="Cambria" w:hAnsi="Cambria"/>
          <w:sz w:val="18"/>
          <w:szCs w:val="18"/>
          <w:lang w:val="es-VE"/>
        </w:rPr>
        <w:footnoteReference w:id="44"/>
      </w:r>
      <w:r w:rsidR="00A15652" w:rsidRPr="00A15652">
        <w:rPr>
          <w:rFonts w:ascii="Cambria" w:hAnsi="Cambria"/>
          <w:sz w:val="18"/>
          <w:szCs w:val="18"/>
          <w:lang w:val="es-VE"/>
        </w:rPr>
        <w:t>.</w:t>
      </w:r>
    </w:p>
    <w:p w14:paraId="2E116518" w14:textId="77777777" w:rsidR="00083505" w:rsidRDefault="00083505" w:rsidP="00212202">
      <w:pPr>
        <w:tabs>
          <w:tab w:val="left" w:pos="360"/>
          <w:tab w:val="left" w:pos="1440"/>
        </w:tabs>
        <w:ind w:left="630"/>
        <w:jc w:val="both"/>
        <w:rPr>
          <w:rFonts w:ascii="Cambria" w:hAnsi="Cambria"/>
          <w:sz w:val="20"/>
          <w:szCs w:val="20"/>
          <w:lang w:val="es-VE"/>
        </w:rPr>
      </w:pPr>
    </w:p>
    <w:p w14:paraId="6C600416" w14:textId="77777777" w:rsidR="00083505" w:rsidRPr="00FD7DDB" w:rsidRDefault="00083505" w:rsidP="00212202">
      <w:pPr>
        <w:pStyle w:val="Heading1"/>
        <w:tabs>
          <w:tab w:val="left" w:pos="360"/>
        </w:tabs>
        <w:ind w:hanging="1080"/>
      </w:pPr>
      <w:bookmarkStart w:id="20" w:name="_Toc15048002"/>
      <w:bookmarkStart w:id="21" w:name="_Toc21442038"/>
      <w:r w:rsidRPr="00FD7DDB">
        <w:t>ANÁLISIS DE DERECHO</w:t>
      </w:r>
      <w:bookmarkEnd w:id="20"/>
      <w:bookmarkEnd w:id="21"/>
    </w:p>
    <w:p w14:paraId="3A89ACF0" w14:textId="77777777" w:rsidR="00251B12" w:rsidRPr="00A21666" w:rsidRDefault="00251B12" w:rsidP="00212202">
      <w:pPr>
        <w:tabs>
          <w:tab w:val="left" w:pos="360"/>
        </w:tabs>
        <w:suppressAutoHyphens/>
        <w:jc w:val="both"/>
        <w:rPr>
          <w:rFonts w:ascii="Cambria" w:hAnsi="Cambria"/>
          <w:b/>
          <w:sz w:val="20"/>
          <w:szCs w:val="20"/>
          <w:lang w:val="es-ES_tradnl"/>
        </w:rPr>
      </w:pPr>
    </w:p>
    <w:p w14:paraId="4EBC5139" w14:textId="77777777" w:rsidR="00251B12" w:rsidRPr="00A21666" w:rsidRDefault="00251B12" w:rsidP="00617E74">
      <w:pPr>
        <w:pStyle w:val="Heading2"/>
        <w:numPr>
          <w:ilvl w:val="0"/>
          <w:numId w:val="71"/>
        </w:numPr>
        <w:ind w:left="360"/>
      </w:pPr>
      <w:bookmarkStart w:id="22" w:name="_Toc21442039"/>
      <w:r w:rsidRPr="00A21666">
        <w:t>Derecho a la vida</w:t>
      </w:r>
      <w:r w:rsidR="00F5758A" w:rsidRPr="00A21666">
        <w:t xml:space="preserve">, libertad de </w:t>
      </w:r>
      <w:r w:rsidR="00645D73" w:rsidRPr="00A21666">
        <w:t xml:space="preserve">pensamiento y de </w:t>
      </w:r>
      <w:r w:rsidR="00F5758A" w:rsidRPr="00A21666">
        <w:t>expresión</w:t>
      </w:r>
      <w:r w:rsidR="00040810">
        <w:t xml:space="preserve"> </w:t>
      </w:r>
      <w:r w:rsidR="00F5758A" w:rsidRPr="00A21666">
        <w:t>y libertad de asociación (artículos 4</w:t>
      </w:r>
      <w:r w:rsidR="00645D73" w:rsidRPr="00A21666">
        <w:t>.1</w:t>
      </w:r>
      <w:r w:rsidR="00645D73" w:rsidRPr="00645D73">
        <w:rPr>
          <w:rStyle w:val="FootnoteReference"/>
          <w:lang w:val="es-ES"/>
        </w:rPr>
        <w:footnoteReference w:id="45"/>
      </w:r>
      <w:r w:rsidR="00F5758A" w:rsidRPr="00A21666">
        <w:t>, 13</w:t>
      </w:r>
      <w:r w:rsidR="00645D73" w:rsidRPr="00A21666">
        <w:t>.1</w:t>
      </w:r>
      <w:r w:rsidR="00645D73" w:rsidRPr="00645D73">
        <w:rPr>
          <w:rStyle w:val="FootnoteReference"/>
          <w:lang w:val="es-ES"/>
        </w:rPr>
        <w:footnoteReference w:id="46"/>
      </w:r>
      <w:r w:rsidR="00040810">
        <w:t xml:space="preserve"> </w:t>
      </w:r>
      <w:r w:rsidR="00F5758A" w:rsidRPr="00A21666">
        <w:t>y 16</w:t>
      </w:r>
      <w:r w:rsidR="00645D73" w:rsidRPr="00A21666">
        <w:t>.1</w:t>
      </w:r>
      <w:r w:rsidR="00645D73" w:rsidRPr="00645D73">
        <w:rPr>
          <w:rStyle w:val="FootnoteReference"/>
          <w:lang w:val="es-ES"/>
        </w:rPr>
        <w:footnoteReference w:id="47"/>
      </w:r>
      <w:r w:rsidR="00F5758A" w:rsidRPr="00A21666">
        <w:rPr>
          <w:lang w:val="es-CL"/>
        </w:rPr>
        <w:t xml:space="preserve"> </w:t>
      </w:r>
      <w:r w:rsidR="00040810" w:rsidRPr="00040810">
        <w:rPr>
          <w:lang w:val="es-CL"/>
        </w:rPr>
        <w:t xml:space="preserve">de la Convención Americana </w:t>
      </w:r>
      <w:r w:rsidR="00F5758A" w:rsidRPr="00A21666">
        <w:t xml:space="preserve">en relación con el artículo 1.1 </w:t>
      </w:r>
      <w:r w:rsidR="00040810">
        <w:t>del mismo instrumento</w:t>
      </w:r>
      <w:r w:rsidR="00F5758A" w:rsidRPr="00A21666">
        <w:t>)</w:t>
      </w:r>
      <w:bookmarkEnd w:id="22"/>
      <w:r w:rsidR="00527259" w:rsidRPr="00A21666">
        <w:t xml:space="preserve"> </w:t>
      </w:r>
    </w:p>
    <w:p w14:paraId="2984CFF9" w14:textId="77777777" w:rsidR="00F968B0" w:rsidRPr="00A21666" w:rsidRDefault="00F968B0" w:rsidP="00212202">
      <w:pPr>
        <w:tabs>
          <w:tab w:val="left" w:pos="360"/>
          <w:tab w:val="left" w:pos="1440"/>
        </w:tabs>
        <w:jc w:val="both"/>
        <w:rPr>
          <w:rFonts w:ascii="Cambria" w:hAnsi="Cambria"/>
          <w:sz w:val="20"/>
          <w:szCs w:val="20"/>
          <w:lang w:val="es-VE"/>
        </w:rPr>
      </w:pPr>
    </w:p>
    <w:p w14:paraId="672B5C3F" w14:textId="77777777" w:rsidR="00985F2A" w:rsidRPr="00002B1B" w:rsidRDefault="00985F2A"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MX"/>
        </w:rPr>
      </w:pPr>
      <w:r w:rsidRPr="00002B1B">
        <w:rPr>
          <w:rFonts w:ascii="Cambria" w:hAnsi="Cambria"/>
          <w:sz w:val="20"/>
          <w:szCs w:val="20"/>
          <w:lang w:val="es-ES"/>
        </w:rPr>
        <w:t xml:space="preserve">Tanto la CIDH como la Corte Interamericana han señalado que el </w:t>
      </w:r>
      <w:r w:rsidRPr="00002B1B">
        <w:rPr>
          <w:rFonts w:ascii="Cambria" w:hAnsi="Cambria"/>
          <w:sz w:val="20"/>
          <w:szCs w:val="20"/>
          <w:lang w:val="es-ES_tradnl"/>
        </w:rPr>
        <w:t>derecho</w:t>
      </w:r>
      <w:r w:rsidRPr="00002B1B">
        <w:rPr>
          <w:rFonts w:ascii="Cambria" w:hAnsi="Cambria"/>
          <w:sz w:val="20"/>
          <w:szCs w:val="20"/>
          <w:lang w:val="es-ES"/>
        </w:rPr>
        <w:t xml:space="preserve"> a la vida es prerrequisito del disfrute de todos los demás derechos humanos y sin cuyo respeto los demás carecen de sentido</w:t>
      </w:r>
      <w:r w:rsidRPr="00002B1B">
        <w:rPr>
          <w:rStyle w:val="FootnoteReference"/>
          <w:rFonts w:ascii="Cambria" w:hAnsi="Cambria"/>
          <w:sz w:val="20"/>
          <w:szCs w:val="20"/>
          <w:lang w:val="es-ES"/>
        </w:rPr>
        <w:footnoteReference w:id="48"/>
      </w:r>
      <w:r w:rsidRPr="00002B1B">
        <w:rPr>
          <w:rFonts w:ascii="Cambria" w:hAnsi="Cambria"/>
          <w:sz w:val="20"/>
          <w:szCs w:val="20"/>
          <w:lang w:val="es-ES"/>
        </w:rPr>
        <w:t xml:space="preserve">. Asimismo, el cumplimiento de las obligaciones que se derivan del artículo 4.1 de la Convención Americana no sólo presupone que ninguna persona sea privada de su vida arbitrariamente, sino que además establece el deber de los Estados de </w:t>
      </w:r>
      <w:r w:rsidRPr="00002B1B">
        <w:rPr>
          <w:rFonts w:ascii="Cambria" w:hAnsi="Cambria"/>
          <w:sz w:val="20"/>
          <w:szCs w:val="20"/>
          <w:lang w:val="es-ES_tradnl"/>
        </w:rPr>
        <w:t>de impedir que sus agentes atenten contra el mismo</w:t>
      </w:r>
      <w:r w:rsidRPr="00002B1B">
        <w:rPr>
          <w:rStyle w:val="FootnoteReference"/>
          <w:rFonts w:ascii="Cambria" w:hAnsi="Cambria"/>
          <w:sz w:val="20"/>
          <w:szCs w:val="20"/>
          <w:lang w:val="es-ES"/>
        </w:rPr>
        <w:footnoteReference w:id="49"/>
      </w:r>
      <w:r w:rsidRPr="00002B1B">
        <w:rPr>
          <w:rFonts w:ascii="Cambria" w:hAnsi="Cambria"/>
          <w:sz w:val="20"/>
          <w:szCs w:val="20"/>
          <w:lang w:val="es-ES"/>
        </w:rPr>
        <w:t>. La Corte agregó lo siguiente:</w:t>
      </w:r>
    </w:p>
    <w:p w14:paraId="057EC018" w14:textId="77777777" w:rsidR="00985F2A" w:rsidRPr="00002B1B" w:rsidRDefault="00985F2A"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ES"/>
        </w:rPr>
      </w:pPr>
    </w:p>
    <w:p w14:paraId="6A9C1F13" w14:textId="77777777" w:rsidR="00985F2A" w:rsidRPr="00002B1B" w:rsidRDefault="00985F2A" w:rsidP="00212202">
      <w:pPr>
        <w:pStyle w:val="ListParagraph"/>
        <w:tabs>
          <w:tab w:val="left" w:pos="360"/>
        </w:tabs>
        <w:ind w:left="360" w:right="360"/>
        <w:jc w:val="both"/>
        <w:rPr>
          <w:rFonts w:ascii="Cambria" w:hAnsi="Cambria"/>
          <w:sz w:val="18"/>
          <w:szCs w:val="18"/>
          <w:lang w:val="es-ES_tradnl"/>
        </w:rPr>
      </w:pPr>
      <w:r w:rsidRPr="00002B1B">
        <w:rPr>
          <w:rFonts w:ascii="Cambria" w:hAnsi="Cambria"/>
          <w:sz w:val="18"/>
          <w:szCs w:val="18"/>
          <w:lang w:val="es-ES_tradnl"/>
        </w:rPr>
        <w:t xml:space="preserve">[L]os Estados deben adoptar las medidas necesarias para crear un marco normativo adecuado que disuada cualquier amenaza al derecho a la vida; establecer un sistema de justicia efectivo capaz de investigar, </w:t>
      </w:r>
      <w:r w:rsidRPr="00212202">
        <w:rPr>
          <w:rFonts w:ascii="Cambria" w:hAnsi="Cambria"/>
          <w:sz w:val="18"/>
          <w:szCs w:val="18"/>
          <w:lang w:val="es-VE"/>
        </w:rPr>
        <w:t>castigar</w:t>
      </w:r>
      <w:r w:rsidRPr="00002B1B">
        <w:rPr>
          <w:rFonts w:ascii="Cambria" w:hAnsi="Cambria"/>
          <w:sz w:val="18"/>
          <w:szCs w:val="18"/>
          <w:lang w:val="es-ES_tradnl"/>
        </w:rPr>
        <w:t xml:space="preserve"> y dar reparación por la privación de la vida por parte de agentes estatales o particulares; y salvaguardar el derecho a que no se impida el acceso a las condiciones que garanticen una existencia digna. De manera especial los Estados deben vigilar que sus cuerpos de seguridad, a quienes les está atribuido el uso legítimo de la fuerza, respeten el derecho a la vida de quienes se encuentren bajo su jurisdicción</w:t>
      </w:r>
      <w:r w:rsidRPr="00002B1B">
        <w:rPr>
          <w:rStyle w:val="FootnoteReference"/>
          <w:rFonts w:ascii="Cambria" w:hAnsi="Cambria"/>
          <w:sz w:val="18"/>
          <w:szCs w:val="18"/>
        </w:rPr>
        <w:footnoteReference w:id="50"/>
      </w:r>
      <w:r w:rsidRPr="00002B1B">
        <w:rPr>
          <w:rFonts w:ascii="Cambria" w:hAnsi="Cambria"/>
          <w:sz w:val="18"/>
          <w:szCs w:val="18"/>
          <w:lang w:val="es-ES_tradnl"/>
        </w:rPr>
        <w:t>.</w:t>
      </w:r>
    </w:p>
    <w:p w14:paraId="02610B40" w14:textId="77777777" w:rsidR="00040810" w:rsidRDefault="00040810" w:rsidP="00212202">
      <w:pPr>
        <w:tabs>
          <w:tab w:val="left" w:pos="360"/>
          <w:tab w:val="left" w:pos="1440"/>
        </w:tabs>
        <w:jc w:val="both"/>
        <w:rPr>
          <w:rFonts w:ascii="Cambria" w:hAnsi="Cambria"/>
          <w:sz w:val="20"/>
          <w:szCs w:val="20"/>
          <w:lang w:val="es-ES"/>
        </w:rPr>
      </w:pPr>
    </w:p>
    <w:p w14:paraId="5FF94694" w14:textId="77777777" w:rsidR="00524B25" w:rsidRPr="00524B25" w:rsidRDefault="00524B25"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E5682B">
        <w:rPr>
          <w:rFonts w:ascii="Cambria" w:hAnsi="Cambria"/>
          <w:sz w:val="20"/>
          <w:szCs w:val="20"/>
          <w:lang w:val="es-ES"/>
        </w:rPr>
        <w:t xml:space="preserve">Respecto del derecho a la libertad de expresión </w:t>
      </w:r>
      <w:r>
        <w:rPr>
          <w:rFonts w:ascii="Cambria" w:hAnsi="Cambria"/>
          <w:sz w:val="20"/>
          <w:szCs w:val="20"/>
          <w:lang w:val="es-ES"/>
        </w:rPr>
        <w:t xml:space="preserve">establecido en el artículo 13 de la Convención Americana, </w:t>
      </w:r>
      <w:r w:rsidRPr="00E5682B">
        <w:rPr>
          <w:rFonts w:ascii="Cambria" w:hAnsi="Cambria"/>
          <w:sz w:val="20"/>
          <w:szCs w:val="20"/>
          <w:lang w:val="es-ES"/>
        </w:rPr>
        <w:t xml:space="preserve">la CIDH ha enfatizado su amplio contenido y ha examinado la norma convencional que lo protege desde </w:t>
      </w:r>
      <w:r w:rsidRPr="00E5682B">
        <w:rPr>
          <w:rFonts w:ascii="Cambria" w:hAnsi="Cambria"/>
          <w:sz w:val="20"/>
          <w:szCs w:val="20"/>
          <w:lang w:val="es-ES"/>
        </w:rPr>
        <w:lastRenderedPageBreak/>
        <w:t>diversas perspectivas, a través de las cuales los seres humanos se relacionan con la información</w:t>
      </w:r>
      <w:r w:rsidRPr="00E5682B">
        <w:rPr>
          <w:rStyle w:val="FootnoteReference"/>
          <w:rFonts w:ascii="Cambria" w:hAnsi="Cambria"/>
          <w:sz w:val="20"/>
          <w:szCs w:val="20"/>
        </w:rPr>
        <w:footnoteReference w:id="51"/>
      </w:r>
      <w:r w:rsidRPr="00E5682B">
        <w:rPr>
          <w:rFonts w:ascii="Cambria" w:hAnsi="Cambria"/>
          <w:sz w:val="20"/>
          <w:szCs w:val="20"/>
          <w:lang w:val="es-ES"/>
        </w:rPr>
        <w:t>. Tanto la CIDH como la Corte han efectuado esta interpretación amplia del derecho a la libertad de pensamiento y de expresión a través del análisis de sus dos dimensiones, individual y social. En ese sentido, la Corte ha establecido que el derecho a la libertad de pensamiento y de expresión otorga a quienes están bajo la protección de la Convención no sólo el derecho y la libertad de expresar su propio pensamiento, sino también el derecho y la libertad de buscar, recibir y difundir informaciones e ideas de toda índole</w:t>
      </w:r>
      <w:r w:rsidRPr="00E5682B">
        <w:rPr>
          <w:rStyle w:val="FootnoteReference"/>
          <w:rFonts w:ascii="Cambria" w:hAnsi="Cambria"/>
          <w:sz w:val="20"/>
          <w:szCs w:val="20"/>
        </w:rPr>
        <w:footnoteReference w:id="52"/>
      </w:r>
      <w:r w:rsidRPr="00E5682B">
        <w:rPr>
          <w:rFonts w:ascii="Cambria" w:hAnsi="Cambria"/>
          <w:sz w:val="20"/>
          <w:szCs w:val="20"/>
          <w:lang w:val="es-ES"/>
        </w:rPr>
        <w:t>.</w:t>
      </w:r>
      <w:r>
        <w:rPr>
          <w:rFonts w:ascii="Cambria" w:hAnsi="Cambria"/>
          <w:sz w:val="20"/>
          <w:szCs w:val="20"/>
          <w:lang w:val="es-ES"/>
        </w:rPr>
        <w:t xml:space="preserve"> </w:t>
      </w:r>
      <w:r w:rsidRPr="00524B25">
        <w:rPr>
          <w:rFonts w:ascii="Cambria" w:hAnsi="Cambria"/>
          <w:sz w:val="20"/>
          <w:szCs w:val="20"/>
          <w:lang w:val="es-ES"/>
        </w:rPr>
        <w:t xml:space="preserve">La Comisión </w:t>
      </w:r>
      <w:r>
        <w:rPr>
          <w:rFonts w:ascii="Cambria" w:hAnsi="Cambria"/>
          <w:sz w:val="20"/>
          <w:szCs w:val="20"/>
          <w:lang w:val="es-ES"/>
        </w:rPr>
        <w:t>resalta</w:t>
      </w:r>
      <w:r w:rsidRPr="00524B25">
        <w:rPr>
          <w:rFonts w:ascii="Cambria" w:hAnsi="Cambria"/>
          <w:sz w:val="20"/>
          <w:szCs w:val="20"/>
          <w:lang w:val="es-ES"/>
        </w:rPr>
        <w:t xml:space="preserve"> que este derecho puede verse afectado cuando</w:t>
      </w:r>
      <w:r w:rsidR="005B34C0">
        <w:rPr>
          <w:rFonts w:ascii="Cambria" w:hAnsi="Cambria"/>
          <w:sz w:val="20"/>
          <w:szCs w:val="20"/>
          <w:lang w:val="es-ES"/>
        </w:rPr>
        <w:t xml:space="preserve"> defensores de derechos humanos, incluyendo </w:t>
      </w:r>
      <w:r w:rsidRPr="00524B25">
        <w:rPr>
          <w:rFonts w:ascii="Cambria" w:hAnsi="Cambria"/>
          <w:sz w:val="20"/>
          <w:szCs w:val="20"/>
          <w:lang w:val="es-ES"/>
        </w:rPr>
        <w:t>líderes sindicales son víctimas de actos de agresión, amenazas y hostigamientos. Ello en tanto tales hechos pueden silenciar o intimidar a quienes ejercen su derecho a expresarse críticamente o a formular denuncias por presuntas violaciones de derechos humanos.</w:t>
      </w:r>
    </w:p>
    <w:p w14:paraId="79157BAC" w14:textId="77777777" w:rsidR="00524B25" w:rsidRDefault="00524B25"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48367982" w14:textId="77777777" w:rsidR="00435C37" w:rsidRPr="00E5682B" w:rsidRDefault="00435C37"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E5682B">
        <w:rPr>
          <w:rFonts w:ascii="Cambria" w:hAnsi="Cambria"/>
          <w:sz w:val="20"/>
          <w:szCs w:val="20"/>
          <w:lang w:val="es-ES"/>
        </w:rPr>
        <w:t>En relación con el derecho a la libertad de asociación,</w:t>
      </w:r>
      <w:r>
        <w:rPr>
          <w:rFonts w:ascii="Cambria" w:hAnsi="Cambria"/>
          <w:sz w:val="20"/>
          <w:szCs w:val="20"/>
          <w:lang w:val="es-ES"/>
        </w:rPr>
        <w:t xml:space="preserve"> establecido en el artículo 16 de la Convención Americana,</w:t>
      </w:r>
      <w:r w:rsidRPr="00E5682B">
        <w:rPr>
          <w:rFonts w:ascii="Cambria" w:hAnsi="Cambria"/>
          <w:sz w:val="20"/>
          <w:szCs w:val="20"/>
          <w:lang w:val="es-ES"/>
        </w:rPr>
        <w:t xml:space="preserve"> la Comisión recuerda que éste tiene dos dimensiones: una individual y otra social. Por un lado, ello implica que “quienes están bajo la protección de la Convención tienen (…) el derecho y la libertad de asociarse libremente con otras personas, sin intervención de las autoridades públicas que limiten o entorpezcan el ejercicio del respectivo derecho”</w:t>
      </w:r>
      <w:r w:rsidRPr="00E5682B">
        <w:rPr>
          <w:rStyle w:val="FootnoteReference"/>
          <w:rFonts w:ascii="Cambria" w:hAnsi="Cambria"/>
          <w:sz w:val="20"/>
          <w:szCs w:val="20"/>
        </w:rPr>
        <w:footnoteReference w:id="53"/>
      </w:r>
      <w:r w:rsidRPr="00E5682B">
        <w:rPr>
          <w:rFonts w:ascii="Cambria" w:hAnsi="Cambria"/>
          <w:sz w:val="20"/>
          <w:szCs w:val="20"/>
          <w:lang w:val="es-ES"/>
        </w:rPr>
        <w:t>.  Por otro lado, la CIDH ha señalado las personas “gozan del derecho y la libertad de buscar la realización común de un fin lícito, sin presiones o intromisiones que puedan alterar o desnaturalizar su finalidad”</w:t>
      </w:r>
      <w:r w:rsidRPr="00E5682B">
        <w:rPr>
          <w:rStyle w:val="FootnoteReference"/>
          <w:rFonts w:ascii="Cambria" w:hAnsi="Cambria"/>
          <w:sz w:val="20"/>
          <w:szCs w:val="20"/>
        </w:rPr>
        <w:footnoteReference w:id="54"/>
      </w:r>
      <w:r w:rsidRPr="00E5682B">
        <w:rPr>
          <w:rFonts w:ascii="Cambria" w:hAnsi="Cambria"/>
          <w:sz w:val="20"/>
          <w:szCs w:val="20"/>
          <w:lang w:val="es-ES"/>
        </w:rPr>
        <w:t xml:space="preserve">. </w:t>
      </w:r>
    </w:p>
    <w:p w14:paraId="6CE04C29" w14:textId="77777777" w:rsidR="00524B25" w:rsidRDefault="00524B25"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73D6BC39" w14:textId="77777777" w:rsidR="00524B25" w:rsidRPr="00A21666" w:rsidRDefault="00524B25"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Por su parte, l</w:t>
      </w:r>
      <w:r w:rsidRPr="00A21666">
        <w:rPr>
          <w:rFonts w:ascii="Cambria" w:hAnsi="Cambria"/>
          <w:sz w:val="20"/>
          <w:szCs w:val="20"/>
          <w:lang w:val="es-VE"/>
        </w:rPr>
        <w:t>a Corte</w:t>
      </w:r>
      <w:r w:rsidR="00FB7835">
        <w:rPr>
          <w:rFonts w:ascii="Cambria" w:hAnsi="Cambria"/>
          <w:sz w:val="20"/>
          <w:szCs w:val="20"/>
          <w:lang w:val="es-VE"/>
        </w:rPr>
        <w:t xml:space="preserve"> ha sostenido que est</w:t>
      </w:r>
      <w:r w:rsidR="00A13322">
        <w:rPr>
          <w:rFonts w:ascii="Cambria" w:hAnsi="Cambria"/>
          <w:sz w:val="20"/>
          <w:szCs w:val="20"/>
          <w:lang w:val="es-VE"/>
        </w:rPr>
        <w:t>os</w:t>
      </w:r>
      <w:r w:rsidR="00FB7835">
        <w:rPr>
          <w:rFonts w:ascii="Cambria" w:hAnsi="Cambria"/>
          <w:sz w:val="20"/>
          <w:szCs w:val="20"/>
          <w:lang w:val="es-VE"/>
        </w:rPr>
        <w:t xml:space="preserve"> derecho</w:t>
      </w:r>
      <w:r w:rsidR="00A13322">
        <w:rPr>
          <w:rFonts w:ascii="Cambria" w:hAnsi="Cambria"/>
          <w:sz w:val="20"/>
          <w:szCs w:val="20"/>
          <w:lang w:val="es-VE"/>
        </w:rPr>
        <w:t>s</w:t>
      </w:r>
      <w:r w:rsidR="00FB7835">
        <w:rPr>
          <w:rFonts w:ascii="Cambria" w:hAnsi="Cambria"/>
          <w:sz w:val="20"/>
          <w:szCs w:val="20"/>
          <w:lang w:val="es-VE"/>
        </w:rPr>
        <w:t xml:space="preserve"> </w:t>
      </w:r>
      <w:r w:rsidRPr="00A21666">
        <w:rPr>
          <w:rFonts w:ascii="Cambria" w:hAnsi="Cambria"/>
          <w:sz w:val="20"/>
          <w:szCs w:val="20"/>
          <w:lang w:val="es-VE"/>
        </w:rPr>
        <w:t>resu</w:t>
      </w:r>
      <w:r w:rsidR="00FB7835">
        <w:rPr>
          <w:rFonts w:ascii="Cambria" w:hAnsi="Cambria"/>
          <w:sz w:val="20"/>
          <w:szCs w:val="20"/>
          <w:lang w:val="es-VE"/>
        </w:rPr>
        <w:t>lta</w:t>
      </w:r>
      <w:r w:rsidR="00A13322">
        <w:rPr>
          <w:rFonts w:ascii="Cambria" w:hAnsi="Cambria"/>
          <w:sz w:val="20"/>
          <w:szCs w:val="20"/>
          <w:lang w:val="es-VE"/>
        </w:rPr>
        <w:t>n</w:t>
      </w:r>
      <w:r>
        <w:rPr>
          <w:rFonts w:ascii="Cambria" w:hAnsi="Cambria"/>
          <w:sz w:val="20"/>
          <w:szCs w:val="20"/>
          <w:lang w:val="es-VE"/>
        </w:rPr>
        <w:t xml:space="preserve"> particularmente aplicable</w:t>
      </w:r>
      <w:r w:rsidR="00C02502">
        <w:rPr>
          <w:rFonts w:ascii="Cambria" w:hAnsi="Cambria"/>
          <w:sz w:val="20"/>
          <w:szCs w:val="20"/>
          <w:lang w:val="es-VE"/>
        </w:rPr>
        <w:t>s</w:t>
      </w:r>
      <w:r>
        <w:rPr>
          <w:rFonts w:ascii="Cambria" w:hAnsi="Cambria"/>
          <w:sz w:val="20"/>
          <w:szCs w:val="20"/>
          <w:lang w:val="es-VE"/>
        </w:rPr>
        <w:t xml:space="preserve"> en</w:t>
      </w:r>
      <w:r w:rsidR="00105820">
        <w:rPr>
          <w:rFonts w:ascii="Cambria" w:hAnsi="Cambria"/>
          <w:sz w:val="20"/>
          <w:szCs w:val="20"/>
          <w:lang w:val="es-VE"/>
        </w:rPr>
        <w:t xml:space="preserve"> contextos </w:t>
      </w:r>
      <w:r w:rsidRPr="00A21666">
        <w:rPr>
          <w:rFonts w:ascii="Cambria" w:hAnsi="Cambria"/>
          <w:sz w:val="20"/>
          <w:szCs w:val="20"/>
          <w:lang w:val="es-VE"/>
        </w:rPr>
        <w:t>laborales, por lo cual el Estado debe respetarlo y garantizarlo con la finalidad de</w:t>
      </w:r>
      <w:r w:rsidR="00105820">
        <w:rPr>
          <w:rFonts w:ascii="Cambria" w:hAnsi="Cambria"/>
          <w:sz w:val="20"/>
          <w:szCs w:val="20"/>
          <w:lang w:val="es-VE"/>
        </w:rPr>
        <w:t xml:space="preserve"> que los trabajadores o sus </w:t>
      </w:r>
      <w:r w:rsidRPr="00A21666">
        <w:rPr>
          <w:rFonts w:ascii="Cambria" w:hAnsi="Cambria"/>
          <w:sz w:val="20"/>
          <w:szCs w:val="20"/>
          <w:lang w:val="es-VE"/>
        </w:rPr>
        <w:t>representantes  puedan ejercerlo a cabalidad</w:t>
      </w:r>
      <w:r w:rsidR="00105820">
        <w:rPr>
          <w:rFonts w:ascii="Cambria" w:hAnsi="Cambria"/>
          <w:sz w:val="20"/>
          <w:szCs w:val="20"/>
          <w:lang w:val="es-VE"/>
        </w:rPr>
        <w:t>. Es por ello que,</w:t>
      </w:r>
      <w:r w:rsidRPr="00A21666">
        <w:rPr>
          <w:rFonts w:ascii="Cambria" w:hAnsi="Cambria"/>
          <w:sz w:val="20"/>
          <w:szCs w:val="20"/>
          <w:lang w:val="es-VE"/>
        </w:rPr>
        <w:t xml:space="preserve"> “</w:t>
      </w:r>
      <w:r w:rsidR="00FB7835">
        <w:rPr>
          <w:rFonts w:ascii="Cambria" w:hAnsi="Cambria"/>
          <w:sz w:val="20"/>
          <w:szCs w:val="20"/>
          <w:lang w:val="es-VE"/>
        </w:rPr>
        <w:t xml:space="preserve">en caso en que </w:t>
      </w:r>
      <w:r w:rsidRPr="00A21666">
        <w:rPr>
          <w:rFonts w:ascii="Cambria" w:hAnsi="Cambria"/>
          <w:sz w:val="20"/>
          <w:szCs w:val="20"/>
          <w:lang w:val="es-VE"/>
        </w:rPr>
        <w:t>exist</w:t>
      </w:r>
      <w:r w:rsidR="00FB7835">
        <w:rPr>
          <w:rFonts w:ascii="Cambria" w:hAnsi="Cambria"/>
          <w:sz w:val="20"/>
          <w:szCs w:val="20"/>
          <w:lang w:val="es-VE"/>
        </w:rPr>
        <w:t>a un interés general</w:t>
      </w:r>
      <w:r w:rsidR="00105820">
        <w:rPr>
          <w:rFonts w:ascii="Cambria" w:hAnsi="Cambria"/>
          <w:sz w:val="20"/>
          <w:szCs w:val="20"/>
          <w:lang w:val="es-VE"/>
        </w:rPr>
        <w:t xml:space="preserve"> o público, se requiere de un nivel reforzado de protección de la libertad de expresión, y especialmente respecto de quienes</w:t>
      </w:r>
      <w:r w:rsidRPr="00A21666">
        <w:rPr>
          <w:rFonts w:ascii="Cambria" w:hAnsi="Cambria"/>
          <w:sz w:val="20"/>
          <w:szCs w:val="20"/>
          <w:lang w:val="es-VE"/>
        </w:rPr>
        <w:t xml:space="preserve"> ejercen un cargo de representación”</w:t>
      </w:r>
      <w:r w:rsidRPr="00A21666">
        <w:rPr>
          <w:rStyle w:val="FootnoteReference"/>
          <w:rFonts w:ascii="Cambria" w:hAnsi="Cambria"/>
          <w:sz w:val="20"/>
          <w:szCs w:val="20"/>
          <w:lang w:val="es-VE"/>
        </w:rPr>
        <w:footnoteReference w:id="55"/>
      </w:r>
      <w:r w:rsidRPr="00A21666">
        <w:rPr>
          <w:rFonts w:ascii="Cambria" w:hAnsi="Cambria"/>
          <w:sz w:val="20"/>
          <w:szCs w:val="20"/>
          <w:lang w:val="es-VE"/>
        </w:rPr>
        <w:t>.</w:t>
      </w:r>
    </w:p>
    <w:p w14:paraId="0FFFD650" w14:textId="77777777" w:rsidR="00524B25" w:rsidRPr="00524B25" w:rsidRDefault="00524B25" w:rsidP="002122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VE"/>
        </w:rPr>
      </w:pPr>
    </w:p>
    <w:p w14:paraId="64CD7B6D" w14:textId="77777777" w:rsidR="00524B25" w:rsidRDefault="00FC2904" w:rsidP="002122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En el presente caso, la Comisión </w:t>
      </w:r>
      <w:r w:rsidR="00212202">
        <w:rPr>
          <w:rFonts w:ascii="Cambria" w:hAnsi="Cambria"/>
          <w:sz w:val="20"/>
          <w:szCs w:val="20"/>
          <w:lang w:val="es-ES"/>
        </w:rPr>
        <w:t xml:space="preserve">observa que no es un hecho controvertido que el señor Deras falleció el 29 de enero de 1983 como consecuencia de varios disparos realizados por agentes militares luego de haber </w:t>
      </w:r>
      <w:r w:rsidR="00427EB0">
        <w:rPr>
          <w:rFonts w:ascii="Cambria" w:hAnsi="Cambria"/>
          <w:sz w:val="20"/>
          <w:szCs w:val="20"/>
          <w:lang w:val="es-ES"/>
        </w:rPr>
        <w:t>sido retenido mientras se encontraba conduciendo</w:t>
      </w:r>
      <w:r w:rsidR="00C15B04">
        <w:rPr>
          <w:rFonts w:ascii="Cambria" w:hAnsi="Cambria"/>
          <w:sz w:val="20"/>
          <w:szCs w:val="20"/>
          <w:lang w:val="es-ES"/>
        </w:rPr>
        <w:t xml:space="preserve"> un vehículo</w:t>
      </w:r>
      <w:r w:rsidR="00105820">
        <w:rPr>
          <w:rFonts w:ascii="Cambria" w:hAnsi="Cambria"/>
          <w:sz w:val="20"/>
          <w:szCs w:val="20"/>
          <w:lang w:val="es-ES"/>
        </w:rPr>
        <w:t xml:space="preserve">. </w:t>
      </w:r>
      <w:r w:rsidR="00105820" w:rsidRPr="00B97AE6">
        <w:rPr>
          <w:rFonts w:ascii="Cambria" w:hAnsi="Cambria"/>
          <w:sz w:val="20"/>
          <w:szCs w:val="20"/>
          <w:lang w:val="es-ES"/>
        </w:rPr>
        <w:t>La CIDH también toma nota de que, a partir de las declaraciones de agentes policiales</w:t>
      </w:r>
      <w:r w:rsidR="00105820">
        <w:rPr>
          <w:rFonts w:ascii="Cambria" w:hAnsi="Cambria"/>
          <w:sz w:val="20"/>
          <w:szCs w:val="20"/>
          <w:lang w:val="es-ES"/>
        </w:rPr>
        <w:t xml:space="preserve"> y testigos</w:t>
      </w:r>
      <w:r w:rsidR="00105820" w:rsidRPr="00B97AE6">
        <w:rPr>
          <w:rFonts w:ascii="Cambria" w:hAnsi="Cambria"/>
          <w:sz w:val="20"/>
          <w:szCs w:val="20"/>
          <w:lang w:val="es-ES"/>
        </w:rPr>
        <w:t xml:space="preserve">, </w:t>
      </w:r>
      <w:r w:rsidR="00105820">
        <w:rPr>
          <w:rFonts w:ascii="Cambria" w:hAnsi="Cambria"/>
          <w:sz w:val="20"/>
          <w:szCs w:val="20"/>
          <w:lang w:val="es-ES"/>
        </w:rPr>
        <w:t>la Corte de Apelaciones Seccional de San Pedro de Sula condenó en segunda instancia al agente militar Marco Tulio</w:t>
      </w:r>
      <w:r w:rsidR="00063AF9">
        <w:rPr>
          <w:rFonts w:ascii="Cambria" w:hAnsi="Cambria"/>
          <w:sz w:val="20"/>
          <w:szCs w:val="20"/>
          <w:lang w:val="es-ES"/>
        </w:rPr>
        <w:t xml:space="preserve"> Regalado</w:t>
      </w:r>
      <w:r w:rsidR="00105820">
        <w:rPr>
          <w:rFonts w:ascii="Cambria" w:hAnsi="Cambria"/>
          <w:sz w:val="20"/>
          <w:szCs w:val="20"/>
          <w:lang w:val="es-ES"/>
        </w:rPr>
        <w:t xml:space="preserve"> por el delito de asesinato. </w:t>
      </w:r>
      <w:r w:rsidR="00063AF9">
        <w:rPr>
          <w:rFonts w:ascii="Cambria" w:hAnsi="Cambria"/>
          <w:sz w:val="20"/>
          <w:szCs w:val="20"/>
          <w:lang w:val="es-ES"/>
        </w:rPr>
        <w:t>La Comisión resalta que dicha sentencia quedó en firme luego de haberse rechazado un recurso de casación presentado por la defensa del señor Regalado.</w:t>
      </w:r>
      <w:r w:rsidR="00C15B04">
        <w:rPr>
          <w:rFonts w:ascii="Cambria" w:hAnsi="Cambria"/>
          <w:sz w:val="20"/>
          <w:szCs w:val="20"/>
          <w:lang w:val="es-ES"/>
        </w:rPr>
        <w:t xml:space="preserve"> Ni el Estado hondureño ni la parte peticionaria han controvertido ante la CIDH el resultado de ese proceso. </w:t>
      </w:r>
    </w:p>
    <w:p w14:paraId="3A04DF90" w14:textId="77777777" w:rsidR="00063AF9" w:rsidRDefault="00063AF9" w:rsidP="00063AF9">
      <w:pPr>
        <w:pStyle w:val="ListParagraph"/>
        <w:rPr>
          <w:rFonts w:ascii="Cambria" w:hAnsi="Cambria"/>
          <w:sz w:val="20"/>
          <w:szCs w:val="20"/>
          <w:lang w:val="es-ES"/>
        </w:rPr>
      </w:pPr>
    </w:p>
    <w:p w14:paraId="68015E6B" w14:textId="77777777" w:rsidR="00063AF9" w:rsidRDefault="00C15B04" w:rsidP="00063A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_tradnl"/>
        </w:rPr>
      </w:pPr>
      <w:r>
        <w:rPr>
          <w:rFonts w:ascii="Cambria" w:hAnsi="Cambria"/>
          <w:sz w:val="20"/>
          <w:szCs w:val="20"/>
          <w:lang w:val="es-ES"/>
        </w:rPr>
        <w:t xml:space="preserve">Existiendo claridad sobre el hecho de que Herminio Deras murió de manos de agentes estatales, la Comisión destaca que </w:t>
      </w:r>
      <w:r w:rsidR="00063AF9">
        <w:rPr>
          <w:rFonts w:ascii="Cambria" w:hAnsi="Cambria"/>
          <w:sz w:val="20"/>
          <w:szCs w:val="20"/>
          <w:lang w:val="es-ES"/>
        </w:rPr>
        <w:t xml:space="preserve">el Estado hondureño </w:t>
      </w:r>
      <w:r w:rsidR="00063AF9" w:rsidRPr="00B97AE6">
        <w:rPr>
          <w:rFonts w:ascii="Cambria" w:hAnsi="Cambria"/>
          <w:sz w:val="20"/>
          <w:szCs w:val="20"/>
          <w:lang w:val="es-ES_tradnl"/>
        </w:rPr>
        <w:t xml:space="preserve">no ha aportado una explicación que permita considerar que la muerte del señor </w:t>
      </w:r>
      <w:r w:rsidR="00063AF9">
        <w:rPr>
          <w:rFonts w:ascii="Cambria" w:hAnsi="Cambria"/>
          <w:sz w:val="20"/>
          <w:szCs w:val="20"/>
          <w:lang w:val="es-ES_tradnl"/>
        </w:rPr>
        <w:t>Deras</w:t>
      </w:r>
      <w:r w:rsidR="00063AF9" w:rsidRPr="00B97AE6">
        <w:rPr>
          <w:rFonts w:ascii="Cambria" w:hAnsi="Cambria"/>
          <w:sz w:val="20"/>
          <w:szCs w:val="20"/>
          <w:lang w:val="es-ES_tradnl"/>
        </w:rPr>
        <w:t xml:space="preserve"> constituyó un uso legítimo de la fuerza</w:t>
      </w:r>
      <w:r>
        <w:rPr>
          <w:rFonts w:ascii="Cambria" w:hAnsi="Cambria"/>
          <w:sz w:val="20"/>
          <w:szCs w:val="20"/>
          <w:lang w:val="es-ES_tradnl"/>
        </w:rPr>
        <w:t>, a la luz de los principios de finalidad legítima y estricta necesidad y proporcionalidad,</w:t>
      </w:r>
      <w:r w:rsidR="00063AF9" w:rsidRPr="00B97AE6">
        <w:rPr>
          <w:rFonts w:ascii="Cambria" w:hAnsi="Cambria"/>
          <w:sz w:val="20"/>
          <w:szCs w:val="20"/>
          <w:lang w:val="es-ES_tradnl"/>
        </w:rPr>
        <w:t xml:space="preserve"> ni tal información se desprende del expediente.</w:t>
      </w:r>
      <w:r w:rsidR="00063AF9">
        <w:rPr>
          <w:rFonts w:ascii="Cambria" w:hAnsi="Cambria"/>
          <w:sz w:val="20"/>
          <w:szCs w:val="20"/>
          <w:lang w:val="es-ES_tradnl"/>
        </w:rPr>
        <w:t xml:space="preserve"> </w:t>
      </w:r>
      <w:r w:rsidR="00063AF9" w:rsidRPr="00B97AE6">
        <w:rPr>
          <w:rFonts w:ascii="Cambria" w:hAnsi="Cambria"/>
          <w:sz w:val="20"/>
          <w:szCs w:val="20"/>
          <w:lang w:val="es-ES_tradnl"/>
        </w:rPr>
        <w:t xml:space="preserve">Por el contrario, </w:t>
      </w:r>
      <w:r w:rsidR="00092F23">
        <w:rPr>
          <w:rFonts w:ascii="Cambria" w:hAnsi="Cambria"/>
          <w:sz w:val="20"/>
          <w:szCs w:val="20"/>
          <w:lang w:val="es-ES_tradnl"/>
        </w:rPr>
        <w:t xml:space="preserve">como se indicó, </w:t>
      </w:r>
      <w:r w:rsidR="00063AF9" w:rsidRPr="00063AF9">
        <w:rPr>
          <w:rFonts w:ascii="Cambria" w:hAnsi="Cambria"/>
          <w:sz w:val="20"/>
          <w:szCs w:val="20"/>
          <w:lang w:val="es-ES_tradnl"/>
        </w:rPr>
        <w:t xml:space="preserve">el Estado ha reconocido que el agente </w:t>
      </w:r>
      <w:r w:rsidR="00063AF9">
        <w:rPr>
          <w:rFonts w:ascii="Cambria" w:hAnsi="Cambria"/>
          <w:sz w:val="20"/>
          <w:szCs w:val="20"/>
          <w:lang w:val="es-ES_tradnl"/>
        </w:rPr>
        <w:t>Regalado resultó ser responsable</w:t>
      </w:r>
      <w:r w:rsidR="00092F23">
        <w:rPr>
          <w:rFonts w:ascii="Cambria" w:hAnsi="Cambria"/>
          <w:sz w:val="20"/>
          <w:szCs w:val="20"/>
          <w:lang w:val="es-ES_tradnl"/>
        </w:rPr>
        <w:t xml:space="preserve"> penalmente</w:t>
      </w:r>
      <w:r w:rsidR="00063AF9">
        <w:rPr>
          <w:rFonts w:ascii="Cambria" w:hAnsi="Cambria"/>
          <w:sz w:val="20"/>
          <w:szCs w:val="20"/>
          <w:lang w:val="es-ES_tradnl"/>
        </w:rPr>
        <w:t xml:space="preserve"> por la muerte de Herminio Deras. </w:t>
      </w:r>
    </w:p>
    <w:p w14:paraId="1790172D" w14:textId="77777777" w:rsidR="00063AF9" w:rsidRDefault="00063AF9" w:rsidP="00063AF9">
      <w:pPr>
        <w:pStyle w:val="ListParagraph"/>
        <w:rPr>
          <w:rFonts w:ascii="Cambria" w:hAnsi="Cambria"/>
          <w:sz w:val="20"/>
          <w:szCs w:val="20"/>
          <w:lang w:val="es-ES_tradnl"/>
        </w:rPr>
      </w:pPr>
    </w:p>
    <w:p w14:paraId="0DD5C6D5" w14:textId="77777777" w:rsidR="00063AF9" w:rsidRPr="00063AF9" w:rsidRDefault="00063AF9" w:rsidP="00063A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_tradnl"/>
        </w:rPr>
      </w:pPr>
      <w:r>
        <w:rPr>
          <w:rFonts w:ascii="Cambria" w:hAnsi="Cambria"/>
          <w:sz w:val="20"/>
          <w:szCs w:val="20"/>
          <w:lang w:val="es-ES_tradnl"/>
        </w:rPr>
        <w:t>Por ello la Comisión considera que</w:t>
      </w:r>
      <w:r w:rsidRPr="00063AF9">
        <w:rPr>
          <w:rFonts w:ascii="Cambria" w:hAnsi="Cambria"/>
          <w:sz w:val="20"/>
          <w:szCs w:val="20"/>
          <w:lang w:val="es-ES_tradnl"/>
        </w:rPr>
        <w:t xml:space="preserve"> se desprende con claridad que lo sucedido en el presente caso constituyó una ejecución extrajudicial. </w:t>
      </w:r>
      <w:r w:rsidRPr="00063AF9">
        <w:rPr>
          <w:rFonts w:ascii="Cambria" w:hAnsi="Cambria"/>
          <w:sz w:val="20"/>
          <w:szCs w:val="20"/>
          <w:lang w:val="es-ES"/>
        </w:rPr>
        <w:t>En consecuencia, la CIDH concluye que el Estado hondureño violó el derecho a la vida de Herminio Deras García, establecido en el artículo 4.1 de la Convención Americana, en relación con el artículo 1.1 del mismo instrumento.</w:t>
      </w:r>
    </w:p>
    <w:p w14:paraId="5D3996AB" w14:textId="77777777" w:rsidR="00063AF9" w:rsidRDefault="00063AF9" w:rsidP="00063AF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05560E4B" w14:textId="77777777" w:rsidR="00270C7F" w:rsidRPr="00270C7F" w:rsidRDefault="00063AF9"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Adicionalmente, la Comisión toma nota de </w:t>
      </w:r>
      <w:r w:rsidR="00427EB0">
        <w:rPr>
          <w:rFonts w:ascii="Cambria" w:hAnsi="Cambria"/>
          <w:sz w:val="20"/>
          <w:szCs w:val="20"/>
          <w:lang w:val="es-ES"/>
        </w:rPr>
        <w:t>que la ejecución extrajudicial del señor Deras se dio en el marco de un contexto, reconocido por organi</w:t>
      </w:r>
      <w:r w:rsidR="00E97B16">
        <w:rPr>
          <w:rFonts w:ascii="Cambria" w:hAnsi="Cambria"/>
          <w:sz w:val="20"/>
          <w:szCs w:val="20"/>
          <w:lang w:val="es-ES"/>
        </w:rPr>
        <w:t xml:space="preserve">smos internacionales e internos, denominada “doctrina de </w:t>
      </w:r>
      <w:r w:rsidR="00E97B16">
        <w:rPr>
          <w:rFonts w:ascii="Cambria" w:hAnsi="Cambria"/>
          <w:sz w:val="20"/>
          <w:szCs w:val="20"/>
          <w:lang w:val="es-ES"/>
        </w:rPr>
        <w:lastRenderedPageBreak/>
        <w:t>seguridad nacional”.</w:t>
      </w:r>
      <w:r w:rsidR="009D6394">
        <w:rPr>
          <w:rFonts w:ascii="Cambria" w:hAnsi="Cambria"/>
          <w:sz w:val="20"/>
          <w:szCs w:val="20"/>
          <w:lang w:val="es-ES"/>
        </w:rPr>
        <w:t xml:space="preserve"> Ello implicó la adopción de una práctica de graves violaciones de derechos humanos, incluyendo ejecuciones extrajudiciales, en contra de </w:t>
      </w:r>
      <w:r w:rsidR="001F3E40">
        <w:rPr>
          <w:rFonts w:ascii="Cambria" w:hAnsi="Cambria"/>
          <w:sz w:val="20"/>
          <w:szCs w:val="20"/>
          <w:lang w:val="es-ES"/>
        </w:rPr>
        <w:t>personas consideradas como miembros o simpatizantes de la guerrilla salvadoreña o de los sandinistas.</w:t>
      </w:r>
      <w:r w:rsidR="0019618E">
        <w:rPr>
          <w:rFonts w:ascii="Cambria" w:hAnsi="Cambria"/>
          <w:sz w:val="20"/>
          <w:szCs w:val="20"/>
          <w:lang w:val="es-ES"/>
        </w:rPr>
        <w:t xml:space="preserve"> La CIDH observa que la condición de líder sindical y dirigente político del Partido Comunista del señor Deras se circunscribe al tipo de perfil que era considerado como objetivo del entonces gobierno</w:t>
      </w:r>
      <w:r w:rsidR="007A2D81">
        <w:rPr>
          <w:rFonts w:ascii="Cambria" w:hAnsi="Cambria"/>
          <w:sz w:val="20"/>
          <w:szCs w:val="20"/>
          <w:lang w:val="es-ES"/>
        </w:rPr>
        <w:t xml:space="preserve"> conforme al contexto ampliamente establecido</w:t>
      </w:r>
      <w:r w:rsidR="0019618E">
        <w:rPr>
          <w:rFonts w:ascii="Cambria" w:hAnsi="Cambria"/>
          <w:sz w:val="20"/>
          <w:szCs w:val="20"/>
          <w:lang w:val="es-ES"/>
        </w:rPr>
        <w:t>. A ello se suma la información proporcionada por la parte peticionaria</w:t>
      </w:r>
      <w:r w:rsidR="00916070">
        <w:rPr>
          <w:rFonts w:ascii="Cambria" w:hAnsi="Cambria"/>
          <w:sz w:val="20"/>
          <w:szCs w:val="20"/>
          <w:lang w:val="es-ES"/>
        </w:rPr>
        <w:t xml:space="preserve"> </w:t>
      </w:r>
      <w:r w:rsidR="0019618E">
        <w:rPr>
          <w:rFonts w:ascii="Cambria" w:hAnsi="Cambria"/>
          <w:sz w:val="20"/>
          <w:szCs w:val="20"/>
          <w:lang w:val="es-ES"/>
        </w:rPr>
        <w:t xml:space="preserve"> respecto de los diversos allanamientos a su domicilio, intentos de detenciones y actos agresión que el señor Deras sufrió por parte de agentes militares durante años antes de su ejecución</w:t>
      </w:r>
      <w:r w:rsidR="00916070">
        <w:rPr>
          <w:rFonts w:ascii="Cambria" w:hAnsi="Cambria"/>
          <w:sz w:val="20"/>
          <w:szCs w:val="20"/>
          <w:lang w:val="es-ES"/>
        </w:rPr>
        <w:t>, debido precisamente a las labores sindicales y políticas que realiza</w:t>
      </w:r>
      <w:r w:rsidR="004D2E0D">
        <w:rPr>
          <w:rFonts w:ascii="Cambria" w:hAnsi="Cambria"/>
          <w:sz w:val="20"/>
          <w:szCs w:val="20"/>
          <w:lang w:val="es-ES"/>
        </w:rPr>
        <w:t>b</w:t>
      </w:r>
      <w:r w:rsidR="00916070">
        <w:rPr>
          <w:rFonts w:ascii="Cambria" w:hAnsi="Cambria"/>
          <w:sz w:val="20"/>
          <w:szCs w:val="20"/>
          <w:lang w:val="es-ES"/>
        </w:rPr>
        <w:t>a. Dicha información, que será analizada en la siguiente sección, no fue controvertida por el Estado.</w:t>
      </w:r>
      <w:r w:rsidR="00270C7F">
        <w:rPr>
          <w:rFonts w:ascii="Cambria" w:hAnsi="Cambria"/>
          <w:sz w:val="20"/>
          <w:szCs w:val="20"/>
          <w:lang w:val="es-ES"/>
        </w:rPr>
        <w:t xml:space="preserve"> </w:t>
      </w:r>
    </w:p>
    <w:p w14:paraId="516F0380" w14:textId="77777777" w:rsidR="00270C7F" w:rsidRDefault="00270C7F" w:rsidP="00270C7F">
      <w:pPr>
        <w:pStyle w:val="ListParagraph"/>
        <w:rPr>
          <w:rFonts w:ascii="Cambria" w:hAnsi="Cambria"/>
          <w:sz w:val="20"/>
          <w:szCs w:val="20"/>
          <w:lang w:val="es-ES"/>
        </w:rPr>
      </w:pPr>
    </w:p>
    <w:p w14:paraId="2AE61E71" w14:textId="77777777" w:rsidR="006C4DDE" w:rsidRPr="00270C7F" w:rsidRDefault="00270C7F"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De esta forma, la CIDH observa que el Estado intentó </w:t>
      </w:r>
      <w:r w:rsidR="000705E2">
        <w:rPr>
          <w:rFonts w:ascii="Cambria" w:hAnsi="Cambria"/>
          <w:sz w:val="20"/>
          <w:szCs w:val="20"/>
          <w:lang w:val="es-ES"/>
        </w:rPr>
        <w:t xml:space="preserve">anular por múltiples medios </w:t>
      </w:r>
      <w:r>
        <w:rPr>
          <w:rFonts w:ascii="Cambria" w:hAnsi="Cambria"/>
          <w:sz w:val="20"/>
          <w:szCs w:val="20"/>
          <w:lang w:val="es-ES"/>
        </w:rPr>
        <w:t>el ejercicio del derecho a la libertad de expresión y libertad de asociación del señor Deras, lo cual concluyó con su</w:t>
      </w:r>
      <w:r w:rsidR="000705E2">
        <w:rPr>
          <w:rFonts w:ascii="Cambria" w:hAnsi="Cambria"/>
          <w:sz w:val="20"/>
          <w:szCs w:val="20"/>
          <w:lang w:val="es-ES"/>
        </w:rPr>
        <w:t xml:space="preserve"> ejecución extrajudicial.</w:t>
      </w:r>
      <w:r>
        <w:rPr>
          <w:rFonts w:ascii="Cambria" w:hAnsi="Cambria"/>
          <w:sz w:val="20"/>
          <w:szCs w:val="20"/>
          <w:lang w:val="es-ES"/>
        </w:rPr>
        <w:t xml:space="preserve"> </w:t>
      </w:r>
      <w:r w:rsidR="00916070" w:rsidRPr="00270C7F">
        <w:rPr>
          <w:rFonts w:ascii="Cambria" w:hAnsi="Cambria"/>
          <w:sz w:val="20"/>
          <w:szCs w:val="20"/>
          <w:lang w:val="es-ES"/>
        </w:rPr>
        <w:t>Por lo expuesto, la Comisión considera que la ejecución extrajudicial del señor Deras</w:t>
      </w:r>
      <w:r w:rsidRPr="00270C7F">
        <w:rPr>
          <w:rFonts w:ascii="Cambria" w:hAnsi="Cambria"/>
          <w:sz w:val="20"/>
          <w:szCs w:val="20"/>
          <w:lang w:val="es-ES"/>
        </w:rPr>
        <w:t>, al haber sido cometida</w:t>
      </w:r>
      <w:r w:rsidR="007D7A4F">
        <w:rPr>
          <w:rFonts w:ascii="Cambria" w:hAnsi="Cambria"/>
          <w:sz w:val="20"/>
          <w:szCs w:val="20"/>
          <w:lang w:val="es-ES"/>
        </w:rPr>
        <w:t xml:space="preserve"> con un claro móvil de represalia por sus actividades como líder político y sindicalista, </w:t>
      </w:r>
      <w:r w:rsidRPr="00270C7F">
        <w:rPr>
          <w:rFonts w:ascii="Cambria" w:hAnsi="Cambria"/>
          <w:sz w:val="20"/>
          <w:szCs w:val="20"/>
          <w:lang w:val="es-ES"/>
        </w:rPr>
        <w:t>vulneró también sus derechos a la libertad de expresión y de asociación. En consecuencia la CIDH concluye que el Estado vulneró</w:t>
      </w:r>
      <w:r w:rsidR="009037C6">
        <w:rPr>
          <w:rFonts w:ascii="Cambria" w:hAnsi="Cambria"/>
          <w:sz w:val="20"/>
          <w:szCs w:val="20"/>
          <w:lang w:val="es-ES"/>
        </w:rPr>
        <w:t xml:space="preserve">, en su perjuicio, </w:t>
      </w:r>
      <w:r w:rsidRPr="00270C7F">
        <w:rPr>
          <w:rFonts w:ascii="Cambria" w:hAnsi="Cambria"/>
          <w:sz w:val="20"/>
          <w:szCs w:val="20"/>
          <w:lang w:val="es-ES"/>
        </w:rPr>
        <w:t xml:space="preserve">los derechos establecidos en los artículos 13.1 y 16.1 de la Convención Americana, en relación con el artículo 1.1 del mismo instrumento. </w:t>
      </w:r>
    </w:p>
    <w:p w14:paraId="592A9FD4" w14:textId="77777777" w:rsidR="005B420E" w:rsidRPr="00A21666" w:rsidRDefault="005B420E" w:rsidP="00FD7DDB">
      <w:pPr>
        <w:tabs>
          <w:tab w:val="left" w:pos="90"/>
        </w:tabs>
        <w:ind w:left="630"/>
        <w:jc w:val="both"/>
        <w:rPr>
          <w:rFonts w:ascii="Cambria" w:hAnsi="Cambria"/>
          <w:sz w:val="20"/>
          <w:szCs w:val="20"/>
          <w:lang w:val="es-ES"/>
        </w:rPr>
      </w:pPr>
    </w:p>
    <w:p w14:paraId="53426C7E" w14:textId="77777777" w:rsidR="005B420E" w:rsidRPr="00FC2904" w:rsidRDefault="00435A16" w:rsidP="00617E74">
      <w:pPr>
        <w:pStyle w:val="Heading2"/>
        <w:numPr>
          <w:ilvl w:val="0"/>
          <w:numId w:val="71"/>
        </w:numPr>
        <w:ind w:left="360"/>
        <w:jc w:val="both"/>
        <w:rPr>
          <w:b w:val="0"/>
          <w:lang w:val="es-ES"/>
        </w:rPr>
      </w:pPr>
      <w:bookmarkStart w:id="23" w:name="_Toc21442040"/>
      <w:r w:rsidRPr="00FC2904">
        <w:rPr>
          <w:lang w:val="es-ES"/>
        </w:rPr>
        <w:t>Derechos</w:t>
      </w:r>
      <w:r w:rsidR="00AF4741">
        <w:rPr>
          <w:lang w:val="es-ES"/>
        </w:rPr>
        <w:t xml:space="preserve"> </w:t>
      </w:r>
      <w:r w:rsidR="005B420E" w:rsidRPr="00FC2904">
        <w:rPr>
          <w:lang w:val="es-ES"/>
        </w:rPr>
        <w:t xml:space="preserve">a la integridad personal, libertad personal, </w:t>
      </w:r>
      <w:r w:rsidR="00193FEF">
        <w:rPr>
          <w:lang w:val="es-ES"/>
        </w:rPr>
        <w:t>vida privada</w:t>
      </w:r>
      <w:r w:rsidR="005B420E" w:rsidRPr="00FC2904">
        <w:rPr>
          <w:lang w:val="es-ES"/>
        </w:rPr>
        <w:t>, protección de la familia</w:t>
      </w:r>
      <w:r w:rsidR="00E97B16">
        <w:rPr>
          <w:lang w:val="es-ES"/>
        </w:rPr>
        <w:t xml:space="preserve"> y</w:t>
      </w:r>
      <w:r w:rsidR="005B420E" w:rsidRPr="00FC2904">
        <w:rPr>
          <w:lang w:val="es-ES"/>
        </w:rPr>
        <w:t xml:space="preserve"> derechos del niño</w:t>
      </w:r>
      <w:r w:rsidRPr="00FC2904">
        <w:rPr>
          <w:lang w:val="es-ES"/>
        </w:rPr>
        <w:t xml:space="preserve"> </w:t>
      </w:r>
      <w:r w:rsidR="005B420E" w:rsidRPr="00FC2904">
        <w:rPr>
          <w:lang w:val="es-ES"/>
        </w:rPr>
        <w:t>(artículos 5</w:t>
      </w:r>
      <w:r w:rsidRPr="00FC2904">
        <w:rPr>
          <w:lang w:val="es-ES"/>
        </w:rPr>
        <w:t>.1</w:t>
      </w:r>
      <w:r w:rsidR="005B420E" w:rsidRPr="00FC2904">
        <w:rPr>
          <w:lang w:val="es-ES"/>
        </w:rPr>
        <w:t>,</w:t>
      </w:r>
      <w:r w:rsidRPr="00FC2904">
        <w:rPr>
          <w:lang w:val="es-ES"/>
        </w:rPr>
        <w:t xml:space="preserve"> 5.2</w:t>
      </w:r>
      <w:r w:rsidR="00BF2B90" w:rsidRPr="00FC2904">
        <w:rPr>
          <w:rStyle w:val="FootnoteReference"/>
          <w:lang w:val="es-ES"/>
        </w:rPr>
        <w:footnoteReference w:id="56"/>
      </w:r>
      <w:r w:rsidR="005B420E" w:rsidRPr="00FC2904">
        <w:rPr>
          <w:lang w:val="es-ES"/>
        </w:rPr>
        <w:t xml:space="preserve"> 7</w:t>
      </w:r>
      <w:r w:rsidR="00C42E5C">
        <w:rPr>
          <w:lang w:val="es-ES"/>
        </w:rPr>
        <w:t>.1, 7.2, 7.3</w:t>
      </w:r>
      <w:r w:rsidR="00C42E5C">
        <w:rPr>
          <w:rStyle w:val="FootnoteReference"/>
          <w:lang w:val="es-ES"/>
        </w:rPr>
        <w:footnoteReference w:id="57"/>
      </w:r>
      <w:r w:rsidR="005B420E" w:rsidRPr="00FC2904">
        <w:rPr>
          <w:lang w:val="es-ES"/>
        </w:rPr>
        <w:t xml:space="preserve">, </w:t>
      </w:r>
      <w:r w:rsidRPr="00FC2904">
        <w:rPr>
          <w:lang w:val="es-ES"/>
        </w:rPr>
        <w:t>11.2</w:t>
      </w:r>
      <w:r w:rsidRPr="00FC2904">
        <w:rPr>
          <w:rStyle w:val="FootnoteReference"/>
          <w:lang w:val="es-ES"/>
        </w:rPr>
        <w:footnoteReference w:id="58"/>
      </w:r>
      <w:r w:rsidRPr="00FC2904">
        <w:rPr>
          <w:lang w:val="es-ES"/>
        </w:rPr>
        <w:t>,</w:t>
      </w:r>
      <w:r w:rsidR="00585572" w:rsidRPr="00FC2904">
        <w:rPr>
          <w:lang w:val="es-ES"/>
        </w:rPr>
        <w:t xml:space="preserve"> </w:t>
      </w:r>
      <w:r w:rsidR="005B420E" w:rsidRPr="00FC2904">
        <w:rPr>
          <w:lang w:val="es-ES"/>
        </w:rPr>
        <w:t>17</w:t>
      </w:r>
      <w:r w:rsidRPr="00FC2904">
        <w:rPr>
          <w:lang w:val="es-ES"/>
        </w:rPr>
        <w:t>.1</w:t>
      </w:r>
      <w:r w:rsidR="00BF2B90" w:rsidRPr="00FC2904">
        <w:rPr>
          <w:rStyle w:val="FootnoteReference"/>
          <w:lang w:val="es-ES"/>
        </w:rPr>
        <w:footnoteReference w:id="59"/>
      </w:r>
      <w:r w:rsidR="00270C7F">
        <w:rPr>
          <w:lang w:val="es-ES"/>
        </w:rPr>
        <w:t xml:space="preserve">, </w:t>
      </w:r>
      <w:r w:rsidRPr="00FC2904">
        <w:rPr>
          <w:lang w:val="es-ES"/>
        </w:rPr>
        <w:t>19</w:t>
      </w:r>
      <w:r w:rsidR="00E97B16">
        <w:rPr>
          <w:rStyle w:val="FootnoteReference"/>
          <w:lang w:val="es-ES"/>
        </w:rPr>
        <w:footnoteReference w:id="60"/>
      </w:r>
      <w:r w:rsidR="00270C7F">
        <w:rPr>
          <w:lang w:val="es-ES"/>
        </w:rPr>
        <w:t xml:space="preserve"> y 22.1</w:t>
      </w:r>
      <w:r w:rsidR="00270C7F">
        <w:rPr>
          <w:rStyle w:val="FootnoteReference"/>
          <w:lang w:val="es-ES"/>
        </w:rPr>
        <w:footnoteReference w:id="61"/>
      </w:r>
      <w:r w:rsidRPr="00FC2904">
        <w:rPr>
          <w:lang w:val="es-ES"/>
        </w:rPr>
        <w:t xml:space="preserve"> </w:t>
      </w:r>
      <w:r w:rsidR="00FC2904" w:rsidRPr="00FC2904">
        <w:rPr>
          <w:lang w:val="es-CL"/>
        </w:rPr>
        <w:t xml:space="preserve">de la Convención Americana, </w:t>
      </w:r>
      <w:r w:rsidR="005B420E" w:rsidRPr="00FC2904">
        <w:rPr>
          <w:lang w:val="es-ES"/>
        </w:rPr>
        <w:t xml:space="preserve">en relación con el artículo 1.1 </w:t>
      </w:r>
      <w:r w:rsidR="00FC2904" w:rsidRPr="00FC2904">
        <w:rPr>
          <w:lang w:val="es-ES"/>
        </w:rPr>
        <w:t>del mismo instrumento</w:t>
      </w:r>
      <w:r w:rsidR="005B420E" w:rsidRPr="00FC2904">
        <w:rPr>
          <w:lang w:val="es-ES"/>
        </w:rPr>
        <w:t>)</w:t>
      </w:r>
      <w:bookmarkEnd w:id="23"/>
      <w:r w:rsidR="005B420E" w:rsidRPr="00FC2904">
        <w:rPr>
          <w:lang w:val="es-ES"/>
        </w:rPr>
        <w:t xml:space="preserve"> </w:t>
      </w:r>
    </w:p>
    <w:p w14:paraId="36490DDE" w14:textId="77777777" w:rsidR="00BF2B90" w:rsidRDefault="00BF2B90" w:rsidP="00BF2B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2BA5CD4C" w14:textId="77777777" w:rsidR="00270C7F" w:rsidRDefault="00270C7F" w:rsidP="009F3FC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La Comisión toma nota de los alegatos de la parte peticionaria sobre los allanamientos, actos de violencia, detenciones y allanamientos ilegales y arbitrarios, hostigamientos y amenazas en contra de Herminio Deras y su familia cometidos por agentes estatales </w:t>
      </w:r>
      <w:r w:rsidR="00B93179">
        <w:rPr>
          <w:rFonts w:ascii="Cambria" w:hAnsi="Cambria"/>
          <w:sz w:val="20"/>
          <w:szCs w:val="20"/>
          <w:lang w:val="es-ES"/>
        </w:rPr>
        <w:t xml:space="preserve">antes de su muerte, </w:t>
      </w:r>
      <w:r>
        <w:rPr>
          <w:rFonts w:ascii="Cambria" w:hAnsi="Cambria"/>
          <w:sz w:val="20"/>
          <w:szCs w:val="20"/>
          <w:lang w:val="es-ES"/>
        </w:rPr>
        <w:t xml:space="preserve">entre 1977 y 1982. La parte peticionaria informó que se identificaron a miembros del Tercer Batallón de Infantería y agentes de la </w:t>
      </w:r>
      <w:r w:rsidR="00CD6822">
        <w:rPr>
          <w:rFonts w:ascii="Cambria" w:hAnsi="Cambria"/>
          <w:sz w:val="20"/>
          <w:szCs w:val="20"/>
          <w:lang w:val="es-ES"/>
        </w:rPr>
        <w:t>DNI</w:t>
      </w:r>
      <w:r>
        <w:rPr>
          <w:rFonts w:ascii="Cambria" w:hAnsi="Cambria"/>
          <w:sz w:val="20"/>
          <w:szCs w:val="20"/>
          <w:lang w:val="es-ES"/>
        </w:rPr>
        <w:t xml:space="preserve"> como las personas que cometieron los hechos mencionados. Agregó que se presentaron las denuncias correspondientes por los hechos sucedidos y que no se realizó ninguna investigación. </w:t>
      </w:r>
      <w:r w:rsidR="009F3FC6" w:rsidRPr="009F3FC6">
        <w:rPr>
          <w:rFonts w:ascii="Cambria" w:hAnsi="Cambria"/>
          <w:sz w:val="20"/>
          <w:szCs w:val="20"/>
          <w:lang w:val="es-ES"/>
        </w:rPr>
        <w:t>Al res</w:t>
      </w:r>
      <w:r w:rsidRPr="009F3FC6">
        <w:rPr>
          <w:rFonts w:ascii="Cambria" w:hAnsi="Cambria"/>
          <w:sz w:val="20"/>
          <w:szCs w:val="20"/>
          <w:lang w:val="es-ES"/>
        </w:rPr>
        <w:t>pecto, la CIDH observa que no cuenta con documentación al respecto. Sin perjuicio de ello, el Estado no controvirtió la información alegada por la parte peticionaria</w:t>
      </w:r>
      <w:r w:rsidR="002D1B8D">
        <w:rPr>
          <w:rFonts w:ascii="Cambria" w:hAnsi="Cambria"/>
          <w:sz w:val="20"/>
          <w:szCs w:val="20"/>
          <w:lang w:val="es-ES"/>
        </w:rPr>
        <w:t xml:space="preserve"> ni aportó información sobre el inicio de investigaciones al respecto. </w:t>
      </w:r>
    </w:p>
    <w:p w14:paraId="12C1B9AC" w14:textId="77777777" w:rsidR="009F3FC6" w:rsidRDefault="009F3FC6" w:rsidP="009F3FC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2CFCC5E4" w14:textId="77777777" w:rsidR="00CD6822" w:rsidRDefault="009F3FC6" w:rsidP="00CD68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A</w:t>
      </w:r>
      <w:r w:rsidR="004B0900">
        <w:rPr>
          <w:rFonts w:ascii="Cambria" w:hAnsi="Cambria"/>
          <w:sz w:val="20"/>
          <w:szCs w:val="20"/>
          <w:lang w:val="es-ES"/>
        </w:rPr>
        <w:t xml:space="preserve">dicionalmente, la CIDH nota que, conforme a lo señalado por la parte peticionaria y la declaración de la hermana Irma Deras, en junio de 1984, luego de la muerte del señor Deras, agentes militares allanaron y detuvieron ilegal y arbitrariamente a varios de sus familiares. </w:t>
      </w:r>
      <w:r w:rsidR="00CD6822">
        <w:rPr>
          <w:rFonts w:ascii="Cambria" w:hAnsi="Cambria"/>
          <w:sz w:val="20"/>
          <w:szCs w:val="20"/>
          <w:lang w:val="es-ES"/>
        </w:rPr>
        <w:t xml:space="preserve">Se indicó que dichas personas estuvieron en celdas de la DNI donde fueron golpeados,  amenazados e interrogados sobre su presunta participación en la guerrilla. </w:t>
      </w:r>
      <w:r w:rsidR="00C61CAD">
        <w:rPr>
          <w:rFonts w:ascii="Cambria" w:hAnsi="Cambria"/>
          <w:sz w:val="20"/>
          <w:szCs w:val="20"/>
          <w:lang w:val="es-ES"/>
        </w:rPr>
        <w:t xml:space="preserve">Nuevamente, </w:t>
      </w:r>
      <w:r w:rsidR="00CD6822">
        <w:rPr>
          <w:rFonts w:ascii="Cambria" w:hAnsi="Cambria"/>
          <w:sz w:val="20"/>
          <w:szCs w:val="20"/>
          <w:lang w:val="es-ES"/>
        </w:rPr>
        <w:t xml:space="preserve">el </w:t>
      </w:r>
      <w:r w:rsidR="00CD6822" w:rsidRPr="009F3FC6">
        <w:rPr>
          <w:rFonts w:ascii="Cambria" w:hAnsi="Cambria"/>
          <w:sz w:val="20"/>
          <w:szCs w:val="20"/>
          <w:lang w:val="es-ES"/>
        </w:rPr>
        <w:t xml:space="preserve">Estado no controvirtió la información alegada por la parte peticionaria. </w:t>
      </w:r>
    </w:p>
    <w:p w14:paraId="78407D76" w14:textId="77777777" w:rsidR="00270C7F" w:rsidRDefault="00270C7F"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La Comisión considera que los alegatos presentados por la parte peticionaria y no controvertidos por el Estado, se circunscriben al contexto previamente señalad</w:t>
      </w:r>
      <w:r w:rsidR="00C00784">
        <w:rPr>
          <w:rFonts w:ascii="Cambria" w:hAnsi="Cambria"/>
          <w:sz w:val="20"/>
          <w:szCs w:val="20"/>
          <w:lang w:val="es-ES"/>
        </w:rPr>
        <w:t>o</w:t>
      </w:r>
      <w:r>
        <w:rPr>
          <w:rFonts w:ascii="Cambria" w:hAnsi="Cambria"/>
          <w:sz w:val="20"/>
          <w:szCs w:val="20"/>
          <w:lang w:val="es-ES"/>
        </w:rPr>
        <w:t xml:space="preserve"> de la doctrina de seguridad nacional. La CIDH advierte que</w:t>
      </w:r>
      <w:r w:rsidR="00A96F13">
        <w:rPr>
          <w:rFonts w:ascii="Cambria" w:hAnsi="Cambria"/>
          <w:sz w:val="20"/>
          <w:szCs w:val="20"/>
          <w:lang w:val="es-ES"/>
        </w:rPr>
        <w:t xml:space="preserve"> de la información aportada por la parte peticionaria</w:t>
      </w:r>
      <w:r w:rsidR="00026CD5">
        <w:rPr>
          <w:rFonts w:ascii="Cambria" w:hAnsi="Cambria"/>
          <w:sz w:val="20"/>
          <w:szCs w:val="20"/>
          <w:lang w:val="es-ES"/>
        </w:rPr>
        <w:t xml:space="preserve"> sobre el detalle de cada uno de estos hechos</w:t>
      </w:r>
      <w:r w:rsidR="00A96F13">
        <w:rPr>
          <w:rFonts w:ascii="Cambria" w:hAnsi="Cambria"/>
          <w:sz w:val="20"/>
          <w:szCs w:val="20"/>
          <w:lang w:val="es-ES"/>
        </w:rPr>
        <w:t xml:space="preserve">, es posible </w:t>
      </w:r>
      <w:r w:rsidR="00026CD5">
        <w:rPr>
          <w:rFonts w:ascii="Cambria" w:hAnsi="Cambria"/>
          <w:sz w:val="20"/>
          <w:szCs w:val="20"/>
          <w:lang w:val="es-ES"/>
        </w:rPr>
        <w:t xml:space="preserve">determinar que los mismos guardan relación de conexidad con la </w:t>
      </w:r>
      <w:r>
        <w:rPr>
          <w:rFonts w:ascii="Cambria" w:hAnsi="Cambria"/>
          <w:sz w:val="20"/>
          <w:szCs w:val="20"/>
          <w:lang w:val="es-ES"/>
        </w:rPr>
        <w:t xml:space="preserve">participación del señor </w:t>
      </w:r>
      <w:r>
        <w:rPr>
          <w:rFonts w:ascii="Cambria" w:hAnsi="Cambria"/>
          <w:sz w:val="20"/>
          <w:szCs w:val="20"/>
          <w:lang w:val="es-ES"/>
        </w:rPr>
        <w:lastRenderedPageBreak/>
        <w:t>Deras y de algunos de sus familiares en organizaciones sindicales</w:t>
      </w:r>
      <w:r w:rsidR="009105E0">
        <w:rPr>
          <w:rFonts w:ascii="Cambria" w:hAnsi="Cambria"/>
          <w:sz w:val="20"/>
          <w:szCs w:val="20"/>
          <w:lang w:val="es-ES"/>
        </w:rPr>
        <w:t xml:space="preserve"> y políticas</w:t>
      </w:r>
      <w:r>
        <w:rPr>
          <w:rFonts w:ascii="Cambria" w:hAnsi="Cambria"/>
          <w:sz w:val="20"/>
          <w:szCs w:val="20"/>
          <w:lang w:val="es-ES"/>
        </w:rPr>
        <w:t xml:space="preserve">, identificadas por el entonces gobierno como participantes o simpatizantes de la guerrilla salvadoreña. </w:t>
      </w:r>
    </w:p>
    <w:p w14:paraId="5D1A1C90" w14:textId="77777777" w:rsidR="009105E0" w:rsidRDefault="009105E0" w:rsidP="009105E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4DC6B487" w14:textId="77777777" w:rsidR="009105E0" w:rsidRDefault="009105E0"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En vista de que los alegatos presentados por la parte peticionaria y no controvertid</w:t>
      </w:r>
      <w:r w:rsidR="00B510F4">
        <w:rPr>
          <w:rFonts w:ascii="Cambria" w:hAnsi="Cambria"/>
          <w:sz w:val="20"/>
          <w:szCs w:val="20"/>
          <w:lang w:val="es-ES"/>
        </w:rPr>
        <w:t>os</w:t>
      </w:r>
      <w:r>
        <w:rPr>
          <w:rFonts w:ascii="Cambria" w:hAnsi="Cambria"/>
          <w:sz w:val="20"/>
          <w:szCs w:val="20"/>
          <w:lang w:val="es-ES"/>
        </w:rPr>
        <w:t xml:space="preserve"> por el Estado implican diversas vulneraciones a derechos establecidos en la Convención Americana, la Comisión pasará a pronunciarse sobre cada uno de ellos.</w:t>
      </w:r>
    </w:p>
    <w:p w14:paraId="5B086E51" w14:textId="77777777" w:rsidR="00270C7F" w:rsidRDefault="00270C7F" w:rsidP="00BF2B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6D7CFA02" w14:textId="77777777" w:rsidR="00270C7F" w:rsidRPr="00CC44C8" w:rsidRDefault="00270C7F"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CC44C8">
        <w:rPr>
          <w:rFonts w:ascii="Cambria" w:hAnsi="Cambria"/>
          <w:sz w:val="20"/>
          <w:szCs w:val="20"/>
          <w:lang w:val="es-ES"/>
        </w:rPr>
        <w:t xml:space="preserve">En relación con el derecho a la integridad personal, </w:t>
      </w:r>
      <w:r w:rsidR="009105E0" w:rsidRPr="00CC44C8">
        <w:rPr>
          <w:rFonts w:ascii="Cambria" w:hAnsi="Cambria"/>
          <w:sz w:val="20"/>
          <w:szCs w:val="20"/>
          <w:lang w:val="es-ES"/>
        </w:rPr>
        <w:t>el</w:t>
      </w:r>
      <w:r w:rsidR="004D0725" w:rsidRPr="00CC44C8">
        <w:rPr>
          <w:rFonts w:ascii="Cambria" w:hAnsi="Cambria"/>
          <w:sz w:val="20"/>
          <w:szCs w:val="20"/>
          <w:lang w:val="es-ES"/>
        </w:rPr>
        <w:t xml:space="preserve"> artículo 5.1 de la Convención </w:t>
      </w:r>
      <w:r w:rsidR="009105E0" w:rsidRPr="00CC44C8">
        <w:rPr>
          <w:rFonts w:ascii="Cambria" w:hAnsi="Cambria"/>
          <w:sz w:val="20"/>
          <w:szCs w:val="20"/>
          <w:lang w:val="es-ES"/>
        </w:rPr>
        <w:t xml:space="preserve">Americana </w:t>
      </w:r>
      <w:r w:rsidR="004D0725" w:rsidRPr="00CC44C8">
        <w:rPr>
          <w:rFonts w:ascii="Cambria" w:hAnsi="Cambria"/>
          <w:sz w:val="20"/>
          <w:szCs w:val="20"/>
          <w:lang w:val="es-ES"/>
        </w:rPr>
        <w:t>c</w:t>
      </w:r>
      <w:r w:rsidR="009105E0" w:rsidRPr="00CC44C8">
        <w:rPr>
          <w:rFonts w:ascii="Cambria" w:hAnsi="Cambria"/>
          <w:sz w:val="20"/>
          <w:szCs w:val="20"/>
          <w:lang w:val="es-ES"/>
        </w:rPr>
        <w:t>onsagra en términos generales el derecho a la integridad personal, tanto física y psíquica como moral. Por su parte, el artículo 5.2 establece, de manera más específica, la prohibición absoluta de someter a alguien a torturas o a penas o tratos crueles, inhumanos o degradantes, así como el derecho de toda persona privada de libertad a ser tratada con el respeto debido a la dignidad inherente al ser humano. La Corte Interamericana ha entendido que cualquier violación del artículo 5.2 de la Convención Americana acarreará necesariamente la violación del artículo 5.1 de la misma</w:t>
      </w:r>
      <w:r w:rsidR="009105E0" w:rsidRPr="00CC44C8">
        <w:rPr>
          <w:rStyle w:val="FootnoteReference"/>
          <w:rFonts w:ascii="Cambria" w:hAnsi="Cambria"/>
          <w:sz w:val="20"/>
          <w:szCs w:val="20"/>
          <w:lang w:val="es-ES"/>
        </w:rPr>
        <w:footnoteReference w:id="62"/>
      </w:r>
      <w:r w:rsidR="009105E0" w:rsidRPr="00CC44C8">
        <w:rPr>
          <w:rFonts w:ascii="Cambria" w:hAnsi="Cambria"/>
          <w:sz w:val="20"/>
          <w:szCs w:val="20"/>
          <w:lang w:val="es-ES"/>
        </w:rPr>
        <w:t>.</w:t>
      </w:r>
    </w:p>
    <w:p w14:paraId="6E8FFDBC" w14:textId="77777777" w:rsidR="009105E0" w:rsidRPr="00CC44C8" w:rsidRDefault="009105E0" w:rsidP="009105E0">
      <w:pPr>
        <w:pStyle w:val="ListParagraph"/>
        <w:rPr>
          <w:rFonts w:ascii="Cambria" w:hAnsi="Cambria"/>
          <w:sz w:val="20"/>
          <w:szCs w:val="20"/>
          <w:lang w:val="es-ES"/>
        </w:rPr>
      </w:pPr>
    </w:p>
    <w:p w14:paraId="2505FB6D" w14:textId="77777777" w:rsidR="009105E0" w:rsidRPr="00CC44C8" w:rsidRDefault="004D0725"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CC44C8">
        <w:rPr>
          <w:rFonts w:ascii="Cambria" w:hAnsi="Cambria"/>
          <w:sz w:val="20"/>
          <w:szCs w:val="20"/>
          <w:lang w:val="es-ES"/>
        </w:rPr>
        <w:t>Asimismo, tanto la CIDH como la Corte han señalado</w:t>
      </w:r>
      <w:r w:rsidR="009105E0" w:rsidRPr="00CC44C8">
        <w:rPr>
          <w:rFonts w:ascii="Cambria" w:hAnsi="Cambria"/>
          <w:sz w:val="20"/>
          <w:szCs w:val="20"/>
          <w:lang w:val="es-ES"/>
        </w:rPr>
        <w:t xml:space="preserve"> que la tortura y las penas o tratos crueles, inhumanos o degradantes están absoluta y estrictamente prohibidos por el Derecho Internacional de los Derechos Humanos</w:t>
      </w:r>
      <w:r w:rsidRPr="00CC44C8">
        <w:rPr>
          <w:rStyle w:val="FootnoteReference"/>
          <w:rFonts w:ascii="Cambria" w:hAnsi="Cambria"/>
          <w:sz w:val="20"/>
          <w:szCs w:val="20"/>
          <w:lang w:val="es-ES"/>
        </w:rPr>
        <w:footnoteReference w:id="63"/>
      </w:r>
      <w:r w:rsidR="009105E0" w:rsidRPr="00CC44C8">
        <w:rPr>
          <w:rFonts w:ascii="Cambria" w:hAnsi="Cambria"/>
          <w:sz w:val="20"/>
          <w:szCs w:val="20"/>
          <w:lang w:val="es-ES"/>
        </w:rPr>
        <w:t>. Esta prohibi</w:t>
      </w:r>
      <w:r w:rsidRPr="00CC44C8">
        <w:rPr>
          <w:rFonts w:ascii="Cambria" w:hAnsi="Cambria"/>
          <w:sz w:val="20"/>
          <w:szCs w:val="20"/>
          <w:lang w:val="es-ES"/>
        </w:rPr>
        <w:t xml:space="preserve">ción es absoluta e inderogable </w:t>
      </w:r>
      <w:r w:rsidR="009105E0" w:rsidRPr="00CC44C8">
        <w:rPr>
          <w:rFonts w:ascii="Cambria" w:hAnsi="Cambria"/>
          <w:sz w:val="20"/>
          <w:szCs w:val="20"/>
          <w:lang w:val="es-ES"/>
        </w:rPr>
        <w:t>y pertenece hoy día al dominio</w:t>
      </w:r>
      <w:r w:rsidRPr="00CC44C8">
        <w:rPr>
          <w:rFonts w:ascii="Cambria" w:hAnsi="Cambria"/>
          <w:sz w:val="20"/>
          <w:szCs w:val="20"/>
          <w:lang w:val="es-ES"/>
        </w:rPr>
        <w:t xml:space="preserve"> del </w:t>
      </w:r>
      <w:r w:rsidRPr="00CC44C8">
        <w:rPr>
          <w:rFonts w:ascii="Cambria" w:hAnsi="Cambria"/>
          <w:i/>
          <w:sz w:val="20"/>
          <w:szCs w:val="20"/>
          <w:lang w:val="es-ES"/>
        </w:rPr>
        <w:t>jus cogens</w:t>
      </w:r>
      <w:r w:rsidRPr="00CC44C8">
        <w:rPr>
          <w:rFonts w:ascii="Cambria" w:hAnsi="Cambria"/>
          <w:sz w:val="20"/>
          <w:szCs w:val="20"/>
          <w:lang w:val="es-ES"/>
        </w:rPr>
        <w:t xml:space="preserve"> internacional</w:t>
      </w:r>
      <w:r w:rsidRPr="004D0725">
        <w:rPr>
          <w:rStyle w:val="FootnoteReference"/>
          <w:rFonts w:ascii="Cambria" w:hAnsi="Cambria"/>
          <w:sz w:val="20"/>
          <w:szCs w:val="20"/>
          <w:lang w:val="es-ES"/>
        </w:rPr>
        <w:footnoteReference w:id="64"/>
      </w:r>
      <w:r w:rsidR="009105E0" w:rsidRPr="00CC44C8">
        <w:rPr>
          <w:rFonts w:ascii="Cambria" w:hAnsi="Cambria"/>
          <w:sz w:val="20"/>
          <w:szCs w:val="20"/>
          <w:lang w:val="es-ES"/>
        </w:rPr>
        <w:t xml:space="preserve">. </w:t>
      </w:r>
    </w:p>
    <w:p w14:paraId="718B4E40" w14:textId="77777777" w:rsidR="000E0F31" w:rsidRDefault="000E0F31" w:rsidP="000E0F31">
      <w:pPr>
        <w:pStyle w:val="ListParagraph"/>
        <w:rPr>
          <w:rFonts w:ascii="Cambria" w:hAnsi="Cambria"/>
          <w:sz w:val="20"/>
          <w:szCs w:val="20"/>
          <w:lang w:val="es-ES"/>
        </w:rPr>
      </w:pPr>
    </w:p>
    <w:p w14:paraId="0845DC4C" w14:textId="77777777" w:rsidR="000E0F31" w:rsidRDefault="000E0F31"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La CIDH observa que en el presente caso la parte peticionaria alegó que i) la madre del señor Deras fue golpeada en su domicilio por parte de agentes militares; ii) el padre del señor Deras fue golpeado en su domicilio, amarrado y sacado de su residencia por parte de agentes militares; iii) la hermana del señor Deras, Irma Isabel, fue vendada, amarradas de manos a pies y amenazada en una celda de la DNI; iv) la esposa del señor Deras y su cuñada fueron vendadas y amenazadas en una celda de la DNI, y no se les dio comida ni bebida por días; v)</w:t>
      </w:r>
      <w:r w:rsidR="00813EB4">
        <w:rPr>
          <w:rFonts w:ascii="Cambria" w:hAnsi="Cambria"/>
          <w:sz w:val="20"/>
          <w:szCs w:val="20"/>
          <w:lang w:val="es-ES"/>
        </w:rPr>
        <w:t xml:space="preserve"> el hermano del señor Deras, Luis Rolando, fue amenazado y golpeado</w:t>
      </w:r>
      <w:r w:rsidR="00F60AE0">
        <w:rPr>
          <w:rFonts w:ascii="Cambria" w:hAnsi="Cambria"/>
          <w:sz w:val="20"/>
          <w:szCs w:val="20"/>
          <w:lang w:val="es-ES"/>
        </w:rPr>
        <w:t xml:space="preserve"> por miembros de la DNI; y vi) varios familiares del señor Deras fueron llevados a celdas de la DNI donde fueron golpeados y pateados por agentes militares.</w:t>
      </w:r>
    </w:p>
    <w:p w14:paraId="7B210A93" w14:textId="77777777" w:rsidR="000E0F31" w:rsidRDefault="000E0F31" w:rsidP="000E0F31">
      <w:pPr>
        <w:pStyle w:val="ListParagraph"/>
        <w:rPr>
          <w:rFonts w:ascii="Cambria" w:hAnsi="Cambria"/>
          <w:sz w:val="20"/>
          <w:szCs w:val="20"/>
          <w:lang w:val="es-ES"/>
        </w:rPr>
      </w:pPr>
    </w:p>
    <w:p w14:paraId="3D9FA7BB" w14:textId="77777777" w:rsidR="000E0F31" w:rsidRDefault="000E0F31" w:rsidP="005900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 xml:space="preserve">La Comisión </w:t>
      </w:r>
      <w:r w:rsidR="00F60AE0">
        <w:rPr>
          <w:rFonts w:ascii="Cambria" w:hAnsi="Cambria"/>
          <w:sz w:val="20"/>
          <w:szCs w:val="20"/>
          <w:lang w:val="es-ES"/>
        </w:rPr>
        <w:t>toma nota de</w:t>
      </w:r>
      <w:r>
        <w:rPr>
          <w:rFonts w:ascii="Cambria" w:hAnsi="Cambria"/>
          <w:sz w:val="20"/>
          <w:szCs w:val="20"/>
          <w:lang w:val="es-ES"/>
        </w:rPr>
        <w:t xml:space="preserve"> que estos hechos alegados</w:t>
      </w:r>
      <w:r w:rsidR="00F60AE0">
        <w:rPr>
          <w:rFonts w:ascii="Cambria" w:hAnsi="Cambria"/>
          <w:sz w:val="20"/>
          <w:szCs w:val="20"/>
          <w:lang w:val="es-ES"/>
        </w:rPr>
        <w:t xml:space="preserve">, </w:t>
      </w:r>
      <w:r>
        <w:rPr>
          <w:rFonts w:ascii="Cambria" w:hAnsi="Cambria"/>
          <w:sz w:val="20"/>
          <w:szCs w:val="20"/>
          <w:lang w:val="es-ES"/>
        </w:rPr>
        <w:t>cometidos por agentes militares</w:t>
      </w:r>
      <w:r w:rsidR="00F60AE0">
        <w:rPr>
          <w:rFonts w:ascii="Cambria" w:hAnsi="Cambria"/>
          <w:sz w:val="20"/>
          <w:szCs w:val="20"/>
          <w:lang w:val="es-ES"/>
        </w:rPr>
        <w:t>,</w:t>
      </w:r>
      <w:r>
        <w:rPr>
          <w:rFonts w:ascii="Cambria" w:hAnsi="Cambria"/>
          <w:sz w:val="20"/>
          <w:szCs w:val="20"/>
          <w:lang w:val="es-ES"/>
        </w:rPr>
        <w:t xml:space="preserve"> no </w:t>
      </w:r>
      <w:r w:rsidR="00F60AE0">
        <w:rPr>
          <w:rFonts w:ascii="Cambria" w:hAnsi="Cambria"/>
          <w:sz w:val="20"/>
          <w:szCs w:val="20"/>
          <w:lang w:val="es-ES"/>
        </w:rPr>
        <w:t xml:space="preserve">fueron controvertidos por el Estado. Asimismo, la CIDH observa que estos hechos se enmarcan en el contexto ya descrito de doctrina de seguridad nacional. </w:t>
      </w:r>
      <w:r w:rsidR="00A210F9">
        <w:rPr>
          <w:rFonts w:ascii="Cambria" w:hAnsi="Cambria"/>
          <w:sz w:val="20"/>
          <w:szCs w:val="20"/>
          <w:lang w:val="es-ES"/>
        </w:rPr>
        <w:t xml:space="preserve">Aunque la </w:t>
      </w:r>
      <w:r w:rsidR="00037E9F">
        <w:rPr>
          <w:rFonts w:ascii="Cambria" w:hAnsi="Cambria"/>
          <w:sz w:val="20"/>
          <w:szCs w:val="20"/>
          <w:lang w:val="es-ES"/>
        </w:rPr>
        <w:t>Comisión</w:t>
      </w:r>
      <w:r w:rsidR="00A210F9">
        <w:rPr>
          <w:rFonts w:ascii="Cambria" w:hAnsi="Cambria"/>
          <w:sz w:val="20"/>
          <w:szCs w:val="20"/>
          <w:lang w:val="es-ES"/>
        </w:rPr>
        <w:t xml:space="preserve"> no cuent</w:t>
      </w:r>
      <w:r w:rsidR="00037E9F">
        <w:rPr>
          <w:rFonts w:ascii="Cambria" w:hAnsi="Cambria"/>
          <w:sz w:val="20"/>
          <w:szCs w:val="20"/>
          <w:lang w:val="es-ES"/>
        </w:rPr>
        <w:t xml:space="preserve">a con elementos suficientes para pronunciarse sobre si en cada uno de los hechos descritos en los que tuvieron lugar afectaciones a la integridad personal, están presentes los elementos constitutivos de la tortura, se encuentra suficientemente acreditado que las personas mencionadas sufrieron al menos tratos crueles e inhumanos. </w:t>
      </w:r>
      <w:r w:rsidR="0055538A">
        <w:rPr>
          <w:rFonts w:ascii="Cambria" w:hAnsi="Cambria"/>
          <w:sz w:val="20"/>
          <w:szCs w:val="20"/>
          <w:lang w:val="es-ES"/>
        </w:rPr>
        <w:t xml:space="preserve">La Comisión reitera que estos hechos no fueron ni controvertidos ni investigados por el Estado. </w:t>
      </w:r>
      <w:r>
        <w:rPr>
          <w:rFonts w:ascii="Cambria" w:hAnsi="Cambria"/>
          <w:sz w:val="20"/>
          <w:szCs w:val="20"/>
          <w:lang w:val="es-ES"/>
        </w:rPr>
        <w:t xml:space="preserve">En consecuencia, la CIDH considera que el Estado es responsable por la violación del derecho establecido en los artículos 5.1 y 5.2 de la Convención Americana, en relación con el artículo 1.1 del mismo instrumento, en perjuicio de las personas identificadas </w:t>
      </w:r>
      <w:r w:rsidR="00F60AE0">
        <w:rPr>
          <w:rFonts w:ascii="Cambria" w:hAnsi="Cambria"/>
          <w:sz w:val="20"/>
          <w:szCs w:val="20"/>
          <w:lang w:val="es-ES"/>
        </w:rPr>
        <w:t xml:space="preserve">en el párrafo </w:t>
      </w:r>
      <w:r w:rsidR="008B742C">
        <w:rPr>
          <w:rFonts w:ascii="Cambria" w:hAnsi="Cambria"/>
          <w:sz w:val="20"/>
          <w:szCs w:val="20"/>
          <w:lang w:val="es-ES"/>
        </w:rPr>
        <w:t>6</w:t>
      </w:r>
      <w:r w:rsidR="00D05BEE">
        <w:rPr>
          <w:rFonts w:ascii="Cambria" w:hAnsi="Cambria"/>
          <w:sz w:val="20"/>
          <w:szCs w:val="20"/>
          <w:lang w:val="es-ES"/>
        </w:rPr>
        <w:t>2</w:t>
      </w:r>
      <w:r w:rsidR="008B742C">
        <w:rPr>
          <w:rFonts w:ascii="Cambria" w:hAnsi="Cambria"/>
          <w:sz w:val="20"/>
          <w:szCs w:val="20"/>
          <w:lang w:val="es-ES"/>
        </w:rPr>
        <w:t xml:space="preserve"> del presente informe</w:t>
      </w:r>
      <w:r w:rsidR="00F60AE0">
        <w:rPr>
          <w:rFonts w:ascii="Cambria" w:hAnsi="Cambria"/>
          <w:sz w:val="20"/>
          <w:szCs w:val="20"/>
          <w:lang w:val="es-ES"/>
        </w:rPr>
        <w:t>.</w:t>
      </w:r>
    </w:p>
    <w:p w14:paraId="30F2945D" w14:textId="77777777" w:rsidR="002D7285" w:rsidRPr="00CC44C8" w:rsidRDefault="002D7285" w:rsidP="00BF0FEA">
      <w:pPr>
        <w:pStyle w:val="ListParagraph"/>
        <w:ind w:left="0"/>
        <w:rPr>
          <w:rFonts w:ascii="Cambria" w:hAnsi="Cambria"/>
          <w:sz w:val="20"/>
          <w:szCs w:val="20"/>
          <w:lang w:val="es-ES"/>
        </w:rPr>
      </w:pPr>
    </w:p>
    <w:p w14:paraId="65328F0C" w14:textId="77777777" w:rsidR="00813EB4" w:rsidRPr="00CC44C8" w:rsidRDefault="00C8533B"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CC44C8">
        <w:rPr>
          <w:rFonts w:ascii="Cambria" w:hAnsi="Cambria"/>
          <w:sz w:val="20"/>
          <w:szCs w:val="20"/>
          <w:lang w:val="es-ES"/>
        </w:rPr>
        <w:t>En relación con el derecho</w:t>
      </w:r>
      <w:r w:rsidR="00740C4E" w:rsidRPr="00CC44C8">
        <w:rPr>
          <w:rFonts w:ascii="Cambria" w:hAnsi="Cambria"/>
          <w:sz w:val="20"/>
          <w:szCs w:val="20"/>
          <w:lang w:val="es-ES"/>
        </w:rPr>
        <w:t xml:space="preserve"> </w:t>
      </w:r>
      <w:r w:rsidRPr="00CC44C8">
        <w:rPr>
          <w:rFonts w:ascii="Cambria" w:hAnsi="Cambria"/>
          <w:sz w:val="20"/>
          <w:szCs w:val="20"/>
          <w:lang w:val="es-ES"/>
        </w:rPr>
        <w:t xml:space="preserve">establecido en el artículo 11.2 de la Convención Americana, la Corte ha sostenido que </w:t>
      </w:r>
      <w:r w:rsidR="00740C4E" w:rsidRPr="00CC44C8">
        <w:rPr>
          <w:rFonts w:ascii="Cambria" w:hAnsi="Cambria"/>
          <w:sz w:val="20"/>
          <w:szCs w:val="20"/>
          <w:lang w:val="es-ES"/>
        </w:rPr>
        <w:t>el ámbito de la privacidad se caracteriza por quedar exento e inmune a las invasiones o agresiones abusivas o arbitrarias por parte de terceros o de la autoridad pública</w:t>
      </w:r>
      <w:r w:rsidR="00740C4E" w:rsidRPr="00CC44C8">
        <w:rPr>
          <w:rStyle w:val="FootnoteReference"/>
          <w:rFonts w:ascii="Cambria" w:hAnsi="Cambria"/>
          <w:sz w:val="20"/>
          <w:szCs w:val="20"/>
          <w:lang w:val="es-ES"/>
        </w:rPr>
        <w:footnoteReference w:id="65"/>
      </w:r>
      <w:r w:rsidR="00740C4E" w:rsidRPr="00CC44C8">
        <w:rPr>
          <w:rFonts w:ascii="Cambria" w:hAnsi="Cambria"/>
          <w:sz w:val="20"/>
          <w:szCs w:val="20"/>
          <w:lang w:val="es-ES"/>
        </w:rPr>
        <w:t>. En este orden de ideas, el domicilio se convierte en un espacio en el cual se puede desarrollar libremente la vida privada</w:t>
      </w:r>
      <w:r w:rsidR="00740C4E" w:rsidRPr="00CC44C8">
        <w:rPr>
          <w:rStyle w:val="FootnoteReference"/>
          <w:rFonts w:ascii="Cambria" w:hAnsi="Cambria"/>
          <w:sz w:val="20"/>
          <w:szCs w:val="20"/>
          <w:lang w:val="es-ES"/>
        </w:rPr>
        <w:footnoteReference w:id="66"/>
      </w:r>
      <w:r w:rsidR="00740C4E" w:rsidRPr="00CC44C8">
        <w:rPr>
          <w:rFonts w:ascii="Cambria" w:hAnsi="Cambria"/>
          <w:sz w:val="20"/>
          <w:szCs w:val="20"/>
          <w:lang w:val="es-ES"/>
        </w:rPr>
        <w:t xml:space="preserve">. Es así como </w:t>
      </w:r>
      <w:r w:rsidR="00740C4E" w:rsidRPr="00CC44C8">
        <w:rPr>
          <w:rFonts w:ascii="Cambria" w:hAnsi="Cambria"/>
          <w:sz w:val="20"/>
          <w:szCs w:val="20"/>
          <w:lang w:val="es-ES"/>
        </w:rPr>
        <w:lastRenderedPageBreak/>
        <w:t>la Corte ha considerado que la intrusión ilegal de fuerzas armadas a una vivienda, constituye una injerencia abusiva y arbitraria en la vida privada y domicilio de las personas afectadas</w:t>
      </w:r>
      <w:r w:rsidR="00740C4E" w:rsidRPr="00CC44C8">
        <w:rPr>
          <w:rStyle w:val="FootnoteReference"/>
          <w:rFonts w:ascii="Cambria" w:hAnsi="Cambria"/>
          <w:sz w:val="20"/>
          <w:szCs w:val="20"/>
          <w:lang w:val="es-ES"/>
        </w:rPr>
        <w:footnoteReference w:id="67"/>
      </w:r>
      <w:r w:rsidR="00740C4E" w:rsidRPr="00CC44C8">
        <w:rPr>
          <w:rFonts w:ascii="Cambria" w:hAnsi="Cambria"/>
          <w:sz w:val="20"/>
          <w:szCs w:val="20"/>
          <w:lang w:val="es-ES"/>
        </w:rPr>
        <w:t>.</w:t>
      </w:r>
      <w:r w:rsidR="00270C7F" w:rsidRPr="00CC44C8">
        <w:rPr>
          <w:rFonts w:ascii="Cambria" w:hAnsi="Cambria"/>
          <w:sz w:val="20"/>
          <w:szCs w:val="20"/>
          <w:lang w:val="es-ES"/>
        </w:rPr>
        <w:t xml:space="preserve"> </w:t>
      </w:r>
    </w:p>
    <w:p w14:paraId="5FA6A257" w14:textId="77777777" w:rsidR="00813EB4" w:rsidRPr="00CC44C8" w:rsidRDefault="00813EB4" w:rsidP="00813EB4">
      <w:pPr>
        <w:pStyle w:val="ListParagraph"/>
        <w:rPr>
          <w:rFonts w:ascii="Cambria" w:hAnsi="Cambria"/>
          <w:sz w:val="20"/>
          <w:szCs w:val="20"/>
          <w:lang w:val="es-ES"/>
        </w:rPr>
      </w:pPr>
    </w:p>
    <w:p w14:paraId="16AEBB6D" w14:textId="77777777" w:rsidR="00270C7F" w:rsidRPr="00CC44C8" w:rsidRDefault="00270C7F"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CC44C8">
        <w:rPr>
          <w:rFonts w:ascii="Cambria" w:hAnsi="Cambria"/>
          <w:sz w:val="20"/>
          <w:szCs w:val="20"/>
          <w:lang w:val="es-ES"/>
        </w:rPr>
        <w:t xml:space="preserve">En el presente caso la </w:t>
      </w:r>
      <w:r w:rsidR="00813EB4" w:rsidRPr="00CC44C8">
        <w:rPr>
          <w:rFonts w:ascii="Cambria" w:hAnsi="Cambria"/>
          <w:sz w:val="20"/>
          <w:szCs w:val="20"/>
          <w:lang w:val="es-ES"/>
        </w:rPr>
        <w:t xml:space="preserve">parte peticionaria alegó que agentes militares allanaron sin ninguna orden judicial los domicilios de i) Herminio Deras; ii) los padres del señor Deras; y iii) dos domicilios de sus familiares en la ciudad de El Progreso. Dicha información no fue controvertida por el Estado. En consecuencia, la Comisión considera que el Estado vulneró el derecho establecido en el artículo 11.2 de la Convención Americana, en relación con el artículo 1.1 del mismo instrumento, en perjuicio </w:t>
      </w:r>
      <w:r w:rsidR="00813EB4">
        <w:rPr>
          <w:rFonts w:ascii="Cambria" w:hAnsi="Cambria"/>
          <w:sz w:val="20"/>
          <w:szCs w:val="20"/>
          <w:lang w:val="es-ES"/>
        </w:rPr>
        <w:t>de las personas identificadas en el párrafo anterior.</w:t>
      </w:r>
    </w:p>
    <w:p w14:paraId="4858F394" w14:textId="77777777" w:rsidR="00C8533B" w:rsidRDefault="00C8533B" w:rsidP="00BF2B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17854A56" w14:textId="77777777" w:rsidR="00BF0FEA" w:rsidRPr="002D7285" w:rsidRDefault="00BF0FEA" w:rsidP="00BF0F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Cambria" w:hAnsi="Cambria"/>
          <w:sz w:val="20"/>
          <w:szCs w:val="20"/>
          <w:lang w:val="es-ES"/>
        </w:rPr>
      </w:pPr>
      <w:r w:rsidRPr="00BF0FEA">
        <w:rPr>
          <w:rFonts w:ascii="Cambria" w:hAnsi="Cambria"/>
          <w:sz w:val="20"/>
          <w:szCs w:val="20"/>
          <w:lang w:val="es-ES"/>
        </w:rPr>
        <w:t>Respecto</w:t>
      </w:r>
      <w:r w:rsidRPr="002D7285">
        <w:rPr>
          <w:rFonts w:ascii="Cambria" w:hAnsi="Cambria"/>
          <w:sz w:val="20"/>
          <w:szCs w:val="20"/>
          <w:lang w:val="es-ES"/>
        </w:rPr>
        <w:t xml:space="preserve"> del derecho a la libertad personal, </w:t>
      </w:r>
      <w:r w:rsidRPr="002D7285">
        <w:rPr>
          <w:rFonts w:ascii="Cambria" w:hAnsi="Cambria"/>
          <w:sz w:val="20"/>
          <w:lang w:val="es-CO"/>
        </w:rPr>
        <w:t xml:space="preserve">la Comisión resalta que el artículo 7 de la Convención Americana consagra las garantías relativas a dicho derecho que los Estados deben respetar y </w:t>
      </w:r>
      <w:r w:rsidRPr="002D7285">
        <w:rPr>
          <w:rFonts w:ascii="Cambria" w:hAnsi="Cambria"/>
          <w:spacing w:val="-2"/>
          <w:sz w:val="20"/>
          <w:szCs w:val="20"/>
          <w:lang w:val="es-ES"/>
        </w:rPr>
        <w:t>garantizar</w:t>
      </w:r>
      <w:r w:rsidRPr="002D7285">
        <w:rPr>
          <w:rFonts w:ascii="Cambria" w:hAnsi="Cambria"/>
          <w:sz w:val="20"/>
          <w:lang w:val="es-CO"/>
        </w:rPr>
        <w:t xml:space="preserve">. </w:t>
      </w:r>
      <w:r>
        <w:rPr>
          <w:rFonts w:ascii="Cambria" w:hAnsi="Cambria"/>
          <w:spacing w:val="-2"/>
          <w:sz w:val="20"/>
          <w:szCs w:val="20"/>
          <w:lang w:val="es-ES"/>
        </w:rPr>
        <w:t>l</w:t>
      </w:r>
      <w:r w:rsidRPr="00243C2A">
        <w:rPr>
          <w:rFonts w:ascii="Cambria" w:hAnsi="Cambria"/>
          <w:spacing w:val="-2"/>
          <w:sz w:val="20"/>
          <w:szCs w:val="20"/>
          <w:lang w:val="es-ES"/>
        </w:rPr>
        <w:t>a Corte ha</w:t>
      </w:r>
      <w:r>
        <w:rPr>
          <w:rFonts w:ascii="Cambria" w:hAnsi="Cambria"/>
          <w:spacing w:val="-2"/>
          <w:sz w:val="20"/>
          <w:szCs w:val="20"/>
          <w:lang w:val="es-ES"/>
        </w:rPr>
        <w:t>n</w:t>
      </w:r>
      <w:r w:rsidRPr="00243C2A">
        <w:rPr>
          <w:rFonts w:ascii="Cambria" w:hAnsi="Cambria"/>
          <w:spacing w:val="-2"/>
          <w:sz w:val="20"/>
          <w:szCs w:val="20"/>
          <w:lang w:val="es-ES"/>
        </w:rPr>
        <w:t xml:space="preserve"> establecido que </w:t>
      </w:r>
      <w:bookmarkStart w:id="24" w:name="_Ref375137748"/>
      <w:r w:rsidRPr="00243C2A">
        <w:rPr>
          <w:rFonts w:ascii="Cambria" w:hAnsi="Cambria"/>
          <w:spacing w:val="-2"/>
          <w:sz w:val="20"/>
          <w:szCs w:val="20"/>
          <w:lang w:val="es-ES"/>
        </w:rPr>
        <w:t>el artículo 7 de la Convención Americana 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w:t>
      </w:r>
      <w:r w:rsidRPr="00243C2A">
        <w:rPr>
          <w:rFonts w:ascii="Cambria" w:hAnsi="Cambria"/>
          <w:spacing w:val="-2"/>
          <w:sz w:val="20"/>
          <w:szCs w:val="20"/>
          <w:vertAlign w:val="superscript"/>
        </w:rPr>
        <w:footnoteReference w:id="68"/>
      </w:r>
      <w:r w:rsidRPr="00243C2A">
        <w:rPr>
          <w:rFonts w:ascii="Cambria" w:hAnsi="Cambria"/>
          <w:spacing w:val="-2"/>
          <w:sz w:val="20"/>
          <w:szCs w:val="20"/>
          <w:lang w:val="es-ES"/>
        </w:rPr>
        <w:t>. Cualquier violación de los numerales 2 al 7 del artículo 7 de la Convención acarreará necesariamente la violación del artículo 7.1 de la misma</w:t>
      </w:r>
      <w:r w:rsidRPr="00243C2A">
        <w:rPr>
          <w:rFonts w:ascii="Cambria" w:hAnsi="Cambria"/>
          <w:spacing w:val="-2"/>
          <w:sz w:val="20"/>
          <w:szCs w:val="20"/>
          <w:vertAlign w:val="superscript"/>
        </w:rPr>
        <w:footnoteReference w:id="69"/>
      </w:r>
      <w:r w:rsidRPr="00243C2A">
        <w:rPr>
          <w:rFonts w:ascii="Cambria" w:hAnsi="Cambria"/>
          <w:spacing w:val="-2"/>
          <w:sz w:val="20"/>
          <w:szCs w:val="20"/>
          <w:lang w:val="es-ES"/>
        </w:rPr>
        <w:t>.</w:t>
      </w:r>
      <w:bookmarkEnd w:id="24"/>
    </w:p>
    <w:p w14:paraId="6F818959" w14:textId="77777777" w:rsidR="00BF0FEA" w:rsidRDefault="00BF0FEA" w:rsidP="00BF2B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577F1FCE" w14:textId="77777777" w:rsidR="00BF0FEA" w:rsidRPr="00BF0FEA" w:rsidRDefault="00BF0FEA" w:rsidP="00BF0F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BF0FEA">
        <w:rPr>
          <w:rFonts w:ascii="Cambria" w:hAnsi="Cambria"/>
          <w:sz w:val="20"/>
          <w:szCs w:val="20"/>
          <w:lang w:val="es-ES"/>
        </w:rPr>
        <w:t xml:space="preserve">En el presente caso la parte peticionaria alegó que agentes militares detuvieron a i) Irma Isabel Deras luego de haber sido allanado su domicilio; ii) Otilia Flores y Elba Flores luego de haber sido allanado su domicilio; iii) Luis Rolando Deras; y iv) varios familiares del señor Deras en junio de 1984. </w:t>
      </w:r>
      <w:r w:rsidR="00D05BEE">
        <w:rPr>
          <w:rFonts w:ascii="Cambria" w:hAnsi="Cambria"/>
          <w:sz w:val="20"/>
          <w:szCs w:val="20"/>
          <w:lang w:val="es-ES"/>
        </w:rPr>
        <w:t xml:space="preserve">La CIDH reitera que </w:t>
      </w:r>
      <w:r w:rsidRPr="00BF0FEA">
        <w:rPr>
          <w:rFonts w:ascii="Cambria" w:hAnsi="Cambria"/>
          <w:sz w:val="20"/>
          <w:szCs w:val="20"/>
          <w:lang w:val="es-ES"/>
        </w:rPr>
        <w:t>el Estado no controvirtió dicha información.</w:t>
      </w:r>
    </w:p>
    <w:p w14:paraId="42F40112" w14:textId="77777777" w:rsidR="00BF0FEA" w:rsidRPr="00BF0FEA" w:rsidRDefault="00BF0FEA" w:rsidP="00BF0FEA">
      <w:pPr>
        <w:pStyle w:val="ListParagraph"/>
        <w:rPr>
          <w:rFonts w:ascii="Cambria" w:hAnsi="Cambria"/>
          <w:sz w:val="20"/>
          <w:szCs w:val="20"/>
          <w:lang w:val="es-ES"/>
        </w:rPr>
      </w:pPr>
    </w:p>
    <w:p w14:paraId="25D9E436" w14:textId="77777777" w:rsidR="00BF0FEA" w:rsidRDefault="00BF0FEA" w:rsidP="00BF0F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BF0FEA">
        <w:rPr>
          <w:rFonts w:ascii="Cambria" w:hAnsi="Cambria"/>
          <w:sz w:val="20"/>
          <w:szCs w:val="20"/>
          <w:lang w:val="es-ES"/>
        </w:rPr>
        <w:t xml:space="preserve">La Comisión observa que el Estado no presentó información sobre la base legal en que se habrían dado las detenciones en perjuicio de las personas mencionadas en el párrafo anterior. La CIDH nota que conforme a la información presentada las detenciones se efectuaron sin una orden judicial y sin que </w:t>
      </w:r>
      <w:r w:rsidR="00404C19">
        <w:rPr>
          <w:rFonts w:ascii="Cambria" w:hAnsi="Cambria"/>
          <w:sz w:val="20"/>
          <w:szCs w:val="20"/>
          <w:lang w:val="es-ES"/>
        </w:rPr>
        <w:t xml:space="preserve">pueda afirmarse la existencia de una </w:t>
      </w:r>
      <w:r w:rsidRPr="00BF0FEA">
        <w:rPr>
          <w:rFonts w:ascii="Cambria" w:hAnsi="Cambria"/>
          <w:sz w:val="20"/>
          <w:szCs w:val="20"/>
          <w:lang w:val="es-ES"/>
        </w:rPr>
        <w:t>situación de flagrancia. Por el contrario, la Comisión toma nota de que éstas se realizaron luego de haberse efectuado un allanamiento</w:t>
      </w:r>
      <w:r>
        <w:rPr>
          <w:rFonts w:ascii="Cambria" w:hAnsi="Cambria"/>
          <w:sz w:val="20"/>
          <w:szCs w:val="20"/>
          <w:lang w:val="es-ES"/>
        </w:rPr>
        <w:t xml:space="preserve"> arbitrario en diversos domicilios de los familiares del señor Deras. En vista de ello, la CIDH considera que las detenciones se realizaron de forma ilegal y arbitraria. </w:t>
      </w:r>
    </w:p>
    <w:p w14:paraId="3314A8D6" w14:textId="77777777" w:rsidR="006815E2" w:rsidRDefault="006815E2" w:rsidP="00BF2B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3A9DDC94" w14:textId="77777777" w:rsidR="003D3886" w:rsidRPr="003D3886" w:rsidRDefault="00924369" w:rsidP="003D3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Adicionalmente, l</w:t>
      </w:r>
      <w:r w:rsidRPr="00AF4741">
        <w:rPr>
          <w:rFonts w:ascii="Cambria" w:hAnsi="Cambria"/>
          <w:sz w:val="20"/>
          <w:szCs w:val="20"/>
          <w:lang w:val="es-ES"/>
        </w:rPr>
        <w:t xml:space="preserve">a </w:t>
      </w:r>
      <w:r w:rsidRPr="00AF4741">
        <w:rPr>
          <w:rFonts w:ascii="Cambria" w:hAnsi="Cambria" w:cs="Univers"/>
          <w:sz w:val="20"/>
          <w:szCs w:val="20"/>
          <w:lang w:val="es-ES"/>
        </w:rPr>
        <w:t>CIDH</w:t>
      </w:r>
      <w:r w:rsidRPr="00AF4741">
        <w:rPr>
          <w:rFonts w:ascii="Cambria" w:hAnsi="Cambria"/>
          <w:sz w:val="20"/>
          <w:szCs w:val="20"/>
          <w:lang w:val="es-ES"/>
        </w:rPr>
        <w:t xml:space="preserve"> cuenta con información que algunos de </w:t>
      </w:r>
      <w:r>
        <w:rPr>
          <w:rFonts w:ascii="Cambria" w:hAnsi="Cambria"/>
          <w:sz w:val="20"/>
          <w:szCs w:val="20"/>
          <w:lang w:val="es-ES"/>
        </w:rPr>
        <w:t xml:space="preserve">los </w:t>
      </w:r>
      <w:r w:rsidRPr="00AF4741">
        <w:rPr>
          <w:rFonts w:ascii="Cambria" w:hAnsi="Cambria"/>
          <w:sz w:val="20"/>
          <w:szCs w:val="20"/>
          <w:lang w:val="es-ES"/>
        </w:rPr>
        <w:t>familiares</w:t>
      </w:r>
      <w:r>
        <w:rPr>
          <w:rFonts w:ascii="Cambria" w:hAnsi="Cambria"/>
          <w:sz w:val="20"/>
          <w:szCs w:val="20"/>
          <w:lang w:val="es-ES"/>
        </w:rPr>
        <w:t xml:space="preserve"> del señor </w:t>
      </w:r>
      <w:r w:rsidRPr="00AF4741">
        <w:rPr>
          <w:rFonts w:ascii="Cambria" w:hAnsi="Cambria"/>
          <w:sz w:val="20"/>
          <w:szCs w:val="20"/>
          <w:lang w:val="es-ES"/>
        </w:rPr>
        <w:t>eran niños o niñas al momento de los hechos</w:t>
      </w:r>
      <w:r w:rsidR="003D3886">
        <w:rPr>
          <w:rFonts w:ascii="Cambria" w:hAnsi="Cambria"/>
          <w:sz w:val="20"/>
          <w:szCs w:val="20"/>
          <w:lang w:val="es-ES"/>
        </w:rPr>
        <w:t xml:space="preserve"> mencionados en esta sección</w:t>
      </w:r>
      <w:r w:rsidRPr="00562573">
        <w:rPr>
          <w:rStyle w:val="FootnoteReference"/>
          <w:rFonts w:ascii="Cambria" w:hAnsi="Cambria"/>
          <w:sz w:val="20"/>
          <w:szCs w:val="20"/>
        </w:rPr>
        <w:footnoteReference w:id="70"/>
      </w:r>
      <w:r w:rsidRPr="00AF4741">
        <w:rPr>
          <w:rFonts w:ascii="Cambria" w:hAnsi="Cambria"/>
          <w:sz w:val="20"/>
          <w:szCs w:val="20"/>
          <w:lang w:val="es-ES"/>
        </w:rPr>
        <w:t>. En ese sentido, la Comisión concluye que el Estado vulneró sus deberes de especial protección de los niños y niñas establecido en el artículo 19 de la Convención Americana, en relación con el art</w:t>
      </w:r>
      <w:r w:rsidR="003D3886">
        <w:rPr>
          <w:rFonts w:ascii="Cambria" w:hAnsi="Cambria"/>
          <w:sz w:val="20"/>
          <w:szCs w:val="20"/>
          <w:lang w:val="es-ES"/>
        </w:rPr>
        <w:t>ículo 1.1 del mismo instrumento</w:t>
      </w:r>
      <w:r w:rsidRPr="00AF4741">
        <w:rPr>
          <w:rFonts w:ascii="Cambria" w:hAnsi="Cambria"/>
          <w:sz w:val="20"/>
          <w:szCs w:val="20"/>
          <w:lang w:val="es-ES"/>
        </w:rPr>
        <w:t>.</w:t>
      </w:r>
    </w:p>
    <w:p w14:paraId="5523F481" w14:textId="77777777" w:rsidR="003D3886" w:rsidRPr="003D3886" w:rsidRDefault="003D3886" w:rsidP="003D388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Cambria" w:hAnsi="Cambria"/>
          <w:sz w:val="20"/>
          <w:szCs w:val="20"/>
          <w:lang w:val="es-ES"/>
        </w:rPr>
      </w:pPr>
    </w:p>
    <w:p w14:paraId="5F67D16D" w14:textId="77777777" w:rsidR="00270C7F" w:rsidRPr="00BF2B90" w:rsidRDefault="00813EB4"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ES"/>
        </w:rPr>
        <w:t>Respecto del derecho establecido en el</w:t>
      </w:r>
      <w:r w:rsidR="00270C7F" w:rsidRPr="00BF2B90">
        <w:rPr>
          <w:rFonts w:ascii="Cambria" w:hAnsi="Cambria"/>
          <w:sz w:val="20"/>
          <w:szCs w:val="20"/>
          <w:lang w:val="es-ES"/>
        </w:rPr>
        <w:t xml:space="preserve"> artículo 22</w:t>
      </w:r>
      <w:r>
        <w:rPr>
          <w:rFonts w:ascii="Cambria" w:hAnsi="Cambria"/>
          <w:sz w:val="20"/>
          <w:szCs w:val="20"/>
          <w:lang w:val="es-ES"/>
        </w:rPr>
        <w:t>.1</w:t>
      </w:r>
      <w:r w:rsidR="00270C7F" w:rsidRPr="00BF2B90">
        <w:rPr>
          <w:rFonts w:ascii="Cambria" w:hAnsi="Cambria"/>
          <w:sz w:val="20"/>
          <w:szCs w:val="20"/>
          <w:lang w:val="es-ES"/>
        </w:rPr>
        <w:t xml:space="preserve"> de la Convención Americana</w:t>
      </w:r>
      <w:r>
        <w:rPr>
          <w:rFonts w:ascii="Cambria" w:hAnsi="Cambria"/>
          <w:sz w:val="20"/>
          <w:szCs w:val="20"/>
          <w:lang w:val="es-ES"/>
        </w:rPr>
        <w:t>, la Corte ha señalado que éste establece</w:t>
      </w:r>
      <w:r w:rsidR="00270C7F" w:rsidRPr="00BF2B90">
        <w:rPr>
          <w:rFonts w:ascii="Cambria" w:hAnsi="Cambria"/>
          <w:sz w:val="20"/>
          <w:szCs w:val="20"/>
          <w:lang w:val="es-ES"/>
        </w:rPr>
        <w:t xml:space="preserve"> la protección del dere</w:t>
      </w:r>
      <w:r>
        <w:rPr>
          <w:rFonts w:ascii="Cambria" w:hAnsi="Cambria"/>
          <w:sz w:val="20"/>
          <w:szCs w:val="20"/>
          <w:lang w:val="es-ES"/>
        </w:rPr>
        <w:t>cho de circulación y residencia. Ello en tanto</w:t>
      </w:r>
      <w:r w:rsidR="00270C7F" w:rsidRPr="00BF2B90">
        <w:rPr>
          <w:rFonts w:ascii="Cambria" w:hAnsi="Cambria"/>
          <w:sz w:val="20"/>
          <w:szCs w:val="20"/>
          <w:lang w:val="es-ES"/>
        </w:rPr>
        <w:t xml:space="preserve"> toda persona que se halle legalmente en territorio</w:t>
      </w:r>
      <w:r w:rsidR="00270C7F" w:rsidRPr="00BF2B90">
        <w:rPr>
          <w:rFonts w:ascii="Cambria" w:hAnsi="Cambria" w:cs="Univers"/>
          <w:sz w:val="20"/>
          <w:szCs w:val="20"/>
          <w:lang w:val="es-ES"/>
        </w:rPr>
        <w:t xml:space="preserve"> de un Estado, tiene el derecho a circular y a residir libremente dentro de él, y el derecho de ingresar, permanecer y salir del territorio del Estado sin interferencia ilegal</w:t>
      </w:r>
      <w:r w:rsidR="00270C7F" w:rsidRPr="00562573">
        <w:rPr>
          <w:rStyle w:val="FootnoteReference"/>
          <w:rFonts w:ascii="Cambria" w:hAnsi="Cambria" w:cs="Univers"/>
          <w:sz w:val="20"/>
          <w:szCs w:val="20"/>
        </w:rPr>
        <w:footnoteReference w:id="71"/>
      </w:r>
      <w:r w:rsidR="00270C7F" w:rsidRPr="00BF2B90">
        <w:rPr>
          <w:rFonts w:ascii="Cambria" w:hAnsi="Cambria" w:cs="Univers"/>
          <w:sz w:val="20"/>
          <w:szCs w:val="20"/>
          <w:lang w:val="es-ES"/>
        </w:rPr>
        <w:t xml:space="preserve">. Asimismo, la Corte ha establecido que este derecho puede resultar afectado cuando una persona es víctima de amenazas u hostigamientos y el Estado no provee las garantías necesarias para que pueda transitar y residir libremente </w:t>
      </w:r>
      <w:r w:rsidR="00270C7F" w:rsidRPr="00BF2B90">
        <w:rPr>
          <w:rFonts w:ascii="Cambria" w:hAnsi="Cambria" w:cs="Univers"/>
          <w:sz w:val="20"/>
          <w:szCs w:val="20"/>
          <w:lang w:val="es-ES"/>
        </w:rPr>
        <w:lastRenderedPageBreak/>
        <w:t>en el territorio de que se trate, incluso cuando las amenazas y hostigamientos provienen de actores no estatales</w:t>
      </w:r>
      <w:r w:rsidR="00270C7F" w:rsidRPr="00562573">
        <w:rPr>
          <w:rStyle w:val="FootnoteReference"/>
          <w:rFonts w:ascii="Cambria" w:hAnsi="Cambria"/>
          <w:sz w:val="20"/>
          <w:szCs w:val="20"/>
        </w:rPr>
        <w:footnoteReference w:id="72"/>
      </w:r>
      <w:r w:rsidR="00270C7F" w:rsidRPr="00BF2B90">
        <w:rPr>
          <w:rFonts w:ascii="Cambria" w:hAnsi="Cambria" w:cs="Univers"/>
          <w:sz w:val="20"/>
          <w:szCs w:val="20"/>
          <w:lang w:val="es-ES"/>
        </w:rPr>
        <w:t xml:space="preserve">. </w:t>
      </w:r>
    </w:p>
    <w:p w14:paraId="2CDA3743" w14:textId="77777777" w:rsidR="00270C7F" w:rsidRPr="00562573" w:rsidRDefault="00270C7F" w:rsidP="00270C7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4A86D80F" w14:textId="77777777" w:rsidR="00270C7F" w:rsidRPr="00270C7F" w:rsidRDefault="00270C7F"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270C7F">
        <w:rPr>
          <w:rFonts w:ascii="Cambria" w:hAnsi="Cambria" w:cs="Univers"/>
          <w:sz w:val="20"/>
          <w:szCs w:val="20"/>
          <w:lang w:val="es-ES"/>
        </w:rPr>
        <w:t>La Corte ha encontrado violado el artículo 22.1 de la Convención en perjuicio de varias personas quienes se vieron forzadas a salir al exilio, “sin poder o sin querer retornar a su hogar debido al temor bien fundado de persecución”</w:t>
      </w:r>
      <w:r w:rsidRPr="00270C7F">
        <w:rPr>
          <w:rStyle w:val="FootnoteReference"/>
          <w:rFonts w:ascii="Cambria" w:hAnsi="Cambria" w:cs="Univers"/>
          <w:sz w:val="20"/>
          <w:szCs w:val="20"/>
        </w:rPr>
        <w:footnoteReference w:id="73"/>
      </w:r>
      <w:r w:rsidRPr="00270C7F">
        <w:rPr>
          <w:rFonts w:ascii="Cambria" w:hAnsi="Cambria" w:cs="Univers"/>
          <w:sz w:val="20"/>
          <w:szCs w:val="20"/>
          <w:lang w:val="es-ES"/>
        </w:rPr>
        <w:t>. A ese respecto, la Corte ha hecho referencia al impacto social, familiar y económico que tuvo la salida al exilio para estas personas</w:t>
      </w:r>
      <w:r w:rsidRPr="00270C7F">
        <w:rPr>
          <w:rStyle w:val="FootnoteReference"/>
          <w:rFonts w:ascii="Cambria" w:hAnsi="Cambria" w:cs="Univers"/>
          <w:sz w:val="20"/>
          <w:szCs w:val="20"/>
        </w:rPr>
        <w:footnoteReference w:id="74"/>
      </w:r>
      <w:r w:rsidRPr="00270C7F">
        <w:rPr>
          <w:rFonts w:ascii="Cambria" w:hAnsi="Cambria" w:cs="Univers"/>
          <w:sz w:val="20"/>
          <w:szCs w:val="20"/>
          <w:lang w:val="es-ES"/>
        </w:rPr>
        <w:t xml:space="preserve">. </w:t>
      </w:r>
      <w:r w:rsidRPr="00270C7F">
        <w:rPr>
          <w:rFonts w:ascii="Cambria" w:hAnsi="Cambria"/>
          <w:sz w:val="20"/>
          <w:szCs w:val="20"/>
          <w:lang w:val="es-ES"/>
        </w:rPr>
        <w:t>Asimismo, la falta de una investigación efectiva de hechos violentos, así como la situación de impunidad, pueden menoscabar la confianza de las víctimas en el sistema de justicia y contribuir a condiciones de inseguridad. Por ello dicha situación de impunidad puede propiciar o perpetuar un exilio</w:t>
      </w:r>
      <w:r w:rsidRPr="00270C7F">
        <w:rPr>
          <w:rStyle w:val="FootnoteReference"/>
          <w:rFonts w:ascii="Cambria" w:hAnsi="Cambria"/>
          <w:sz w:val="20"/>
          <w:szCs w:val="20"/>
          <w:lang w:val="es-ES"/>
        </w:rPr>
        <w:footnoteReference w:id="75"/>
      </w:r>
      <w:r w:rsidRPr="00270C7F">
        <w:rPr>
          <w:rFonts w:ascii="Cambria" w:hAnsi="Cambria"/>
          <w:sz w:val="20"/>
          <w:szCs w:val="20"/>
          <w:lang w:val="es-ES"/>
        </w:rPr>
        <w:t>.</w:t>
      </w:r>
    </w:p>
    <w:p w14:paraId="321BA5AB" w14:textId="77777777" w:rsidR="00270C7F" w:rsidRDefault="00270C7F" w:rsidP="00270C7F">
      <w:pPr>
        <w:ind w:left="1260"/>
        <w:jc w:val="both"/>
        <w:rPr>
          <w:rFonts w:ascii="Cambria" w:hAnsi="Cambria"/>
          <w:sz w:val="20"/>
          <w:szCs w:val="20"/>
          <w:lang w:val="es-ES"/>
        </w:rPr>
      </w:pPr>
    </w:p>
    <w:p w14:paraId="69AF7260" w14:textId="77777777" w:rsidR="00270C7F" w:rsidRPr="00E97B16" w:rsidRDefault="00270C7F" w:rsidP="00270C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cs="Univers"/>
          <w:sz w:val="20"/>
          <w:szCs w:val="20"/>
          <w:lang w:val="es-ES"/>
        </w:rPr>
        <w:t>En el presente caso, la Comisión observa que Héctor Deras, hermano de la víctima, salió del país debido a los hechos de violencia, amenazas y hostigamientos que la familia recibió y, en particular, por la presunta existencia de un plan de agentes militares para asesinarlo. Asimismo, la CIDH toma nota de que Alba Luz, hermana de la víctima, no pudo regresar a Honduras durante la época de los hechos debido a la misma situación.</w:t>
      </w:r>
    </w:p>
    <w:p w14:paraId="0AC3C43D" w14:textId="77777777" w:rsidR="00270C7F" w:rsidRDefault="00270C7F" w:rsidP="00270C7F">
      <w:pPr>
        <w:pStyle w:val="ListParagraph"/>
        <w:rPr>
          <w:rFonts w:ascii="Cambria" w:hAnsi="Cambria" w:cs="Univers"/>
          <w:sz w:val="20"/>
          <w:szCs w:val="20"/>
          <w:lang w:val="es-ES"/>
        </w:rPr>
      </w:pPr>
    </w:p>
    <w:p w14:paraId="134C1933" w14:textId="77777777" w:rsidR="00BF2B90" w:rsidRPr="00CC44C8" w:rsidRDefault="00270C7F" w:rsidP="00BF2B9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EB3C87">
        <w:rPr>
          <w:rFonts w:ascii="Cambria" w:hAnsi="Cambria" w:cs="Univers"/>
          <w:sz w:val="20"/>
          <w:szCs w:val="20"/>
          <w:lang w:val="es-ES"/>
        </w:rPr>
        <w:t>La Comisión considera que la falta de investigación</w:t>
      </w:r>
      <w:r>
        <w:rPr>
          <w:rFonts w:ascii="Cambria" w:hAnsi="Cambria" w:cs="Univers"/>
          <w:sz w:val="20"/>
          <w:szCs w:val="20"/>
          <w:lang w:val="es-ES"/>
        </w:rPr>
        <w:t xml:space="preserve"> sobre estos asuntos</w:t>
      </w:r>
      <w:r w:rsidRPr="00EB3C87">
        <w:rPr>
          <w:rFonts w:ascii="Cambria" w:hAnsi="Cambria" w:cs="Univers"/>
          <w:sz w:val="20"/>
          <w:szCs w:val="20"/>
          <w:lang w:val="es-ES"/>
        </w:rPr>
        <w:t>,</w:t>
      </w:r>
      <w:r>
        <w:rPr>
          <w:rFonts w:ascii="Cambria" w:hAnsi="Cambria" w:cs="Univers"/>
          <w:sz w:val="20"/>
          <w:szCs w:val="20"/>
          <w:lang w:val="es-ES"/>
        </w:rPr>
        <w:t xml:space="preserve"> tal como se explicará en la siguiente sección,</w:t>
      </w:r>
      <w:r w:rsidRPr="00EB3C87">
        <w:rPr>
          <w:rFonts w:ascii="Cambria" w:hAnsi="Cambria" w:cs="Univers"/>
          <w:sz w:val="20"/>
          <w:szCs w:val="20"/>
          <w:lang w:val="es-ES"/>
        </w:rPr>
        <w:t xml:space="preserve"> así como la ausencia de medidas efectivas de protección, tienen un</w:t>
      </w:r>
      <w:r w:rsidR="007962B2">
        <w:rPr>
          <w:rFonts w:ascii="Cambria" w:hAnsi="Cambria" w:cs="Univers"/>
          <w:sz w:val="20"/>
          <w:szCs w:val="20"/>
          <w:lang w:val="es-ES"/>
        </w:rPr>
        <w:t xml:space="preserve"> nexo </w:t>
      </w:r>
      <w:r w:rsidRPr="00EB3C87">
        <w:rPr>
          <w:rFonts w:ascii="Cambria" w:hAnsi="Cambria" w:cs="Univers"/>
          <w:sz w:val="20"/>
          <w:szCs w:val="20"/>
          <w:lang w:val="es-ES"/>
        </w:rPr>
        <w:t>de causalidad suficientemente sólida con la salida</w:t>
      </w:r>
      <w:r>
        <w:rPr>
          <w:rFonts w:ascii="Cambria" w:hAnsi="Cambria" w:cs="Univers"/>
          <w:sz w:val="20"/>
          <w:szCs w:val="20"/>
          <w:lang w:val="es-ES"/>
        </w:rPr>
        <w:t xml:space="preserve"> del país de Héctor Deras y con la imposibilidad de regresar de Alba Luz, </w:t>
      </w:r>
      <w:r w:rsidRPr="00EB3C87">
        <w:rPr>
          <w:rFonts w:ascii="Cambria" w:hAnsi="Cambria" w:cs="Univers"/>
          <w:sz w:val="20"/>
          <w:szCs w:val="20"/>
          <w:lang w:val="es-ES"/>
        </w:rPr>
        <w:t xml:space="preserve">para atribuir al Estado responsabilidad </w:t>
      </w:r>
      <w:r>
        <w:rPr>
          <w:rFonts w:ascii="Cambria" w:hAnsi="Cambria" w:cs="Univers"/>
          <w:sz w:val="20"/>
          <w:szCs w:val="20"/>
          <w:lang w:val="es-ES"/>
        </w:rPr>
        <w:t>internacional.</w:t>
      </w:r>
      <w:r>
        <w:rPr>
          <w:rFonts w:ascii="Cambria" w:hAnsi="Cambria"/>
          <w:sz w:val="20"/>
          <w:szCs w:val="20"/>
          <w:lang w:val="es-ES"/>
        </w:rPr>
        <w:t xml:space="preserve"> </w:t>
      </w:r>
      <w:r w:rsidRPr="00E97B16">
        <w:rPr>
          <w:rFonts w:ascii="Cambria" w:hAnsi="Cambria"/>
          <w:sz w:val="20"/>
          <w:szCs w:val="20"/>
          <w:lang w:val="es-ES"/>
        </w:rPr>
        <w:t xml:space="preserve">Por lo tanto, la CIDH concluye que el Estado es responsable por la </w:t>
      </w:r>
      <w:r w:rsidRPr="00CC44C8">
        <w:rPr>
          <w:rFonts w:ascii="Cambria" w:hAnsi="Cambria"/>
          <w:sz w:val="20"/>
          <w:szCs w:val="20"/>
          <w:lang w:val="es-ES"/>
        </w:rPr>
        <w:t>violación del derecho de circulación y de residencia, protegido en el artículo 22.1 de la Convención Americana, en relación con el artículo 1.1 de la misma, en perjuicio de Héctor  y Alba Luz Deras.</w:t>
      </w:r>
    </w:p>
    <w:p w14:paraId="696F867A" w14:textId="77777777" w:rsidR="002C6E40" w:rsidRPr="00CC44C8" w:rsidRDefault="002C6E40" w:rsidP="00222B16">
      <w:pPr>
        <w:pStyle w:val="ListParagraph"/>
        <w:ind w:left="0"/>
        <w:rPr>
          <w:rFonts w:ascii="Cambria" w:hAnsi="Cambria"/>
          <w:sz w:val="20"/>
          <w:szCs w:val="20"/>
          <w:lang w:val="es-ES"/>
        </w:rPr>
      </w:pPr>
    </w:p>
    <w:p w14:paraId="7686E510" w14:textId="77777777" w:rsidR="0059069B" w:rsidRPr="00CC44C8" w:rsidRDefault="00CD345C" w:rsidP="00CD345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_tradnl"/>
        </w:rPr>
      </w:pPr>
      <w:r w:rsidRPr="00CC44C8">
        <w:rPr>
          <w:rFonts w:ascii="Cambria" w:hAnsi="Cambria" w:cs="Univers"/>
          <w:sz w:val="20"/>
          <w:szCs w:val="20"/>
          <w:lang w:val="es-ES"/>
        </w:rPr>
        <w:t>Finalmente</w:t>
      </w:r>
      <w:r w:rsidRPr="00CC44C8">
        <w:rPr>
          <w:rFonts w:ascii="Cambria" w:hAnsi="Cambria"/>
          <w:sz w:val="20"/>
          <w:szCs w:val="20"/>
          <w:lang w:val="es-ES"/>
        </w:rPr>
        <w:t xml:space="preserve">, </w:t>
      </w:r>
      <w:r w:rsidR="0059069B" w:rsidRPr="00CC44C8">
        <w:rPr>
          <w:rFonts w:ascii="Cambria" w:hAnsi="Cambria"/>
          <w:sz w:val="20"/>
          <w:szCs w:val="20"/>
          <w:lang w:val="es-ES"/>
        </w:rPr>
        <w:t xml:space="preserve">en relación con la protección de </w:t>
      </w:r>
      <w:r w:rsidR="001E0188">
        <w:rPr>
          <w:rFonts w:ascii="Cambria" w:hAnsi="Cambria"/>
          <w:sz w:val="20"/>
          <w:szCs w:val="20"/>
          <w:lang w:val="es-ES"/>
        </w:rPr>
        <w:t xml:space="preserve">la </w:t>
      </w:r>
      <w:r w:rsidR="0059069B" w:rsidRPr="00CC44C8">
        <w:rPr>
          <w:rFonts w:ascii="Cambria" w:hAnsi="Cambria"/>
          <w:sz w:val="20"/>
          <w:szCs w:val="20"/>
          <w:lang w:val="es-ES"/>
        </w:rPr>
        <w:t>familia establecid</w:t>
      </w:r>
      <w:r w:rsidR="003E236D">
        <w:rPr>
          <w:rFonts w:ascii="Cambria" w:hAnsi="Cambria"/>
          <w:sz w:val="20"/>
          <w:szCs w:val="20"/>
          <w:lang w:val="es-ES"/>
        </w:rPr>
        <w:t>a</w:t>
      </w:r>
      <w:r w:rsidR="0059069B" w:rsidRPr="00CC44C8">
        <w:rPr>
          <w:rFonts w:ascii="Cambria" w:hAnsi="Cambria"/>
          <w:sz w:val="20"/>
          <w:szCs w:val="20"/>
          <w:lang w:val="es-ES"/>
        </w:rPr>
        <w:t xml:space="preserve"> en el artículo 17.1 de la Convención Americana, la Comisión considera que alegatos se refieren a supuestas afectaciones que, en lo sustancial, se examinan en distintas secciones del presente informe. En consecuencia, la CIDH no estima necesario hacer un pronunciamiento </w:t>
      </w:r>
      <w:r w:rsidR="00DA313C">
        <w:rPr>
          <w:rFonts w:ascii="Cambria" w:hAnsi="Cambria"/>
          <w:sz w:val="20"/>
          <w:szCs w:val="20"/>
          <w:lang w:val="es-ES"/>
        </w:rPr>
        <w:t xml:space="preserve">autónomo </w:t>
      </w:r>
      <w:r w:rsidR="0059069B" w:rsidRPr="00CC44C8">
        <w:rPr>
          <w:rFonts w:ascii="Cambria" w:hAnsi="Cambria"/>
          <w:sz w:val="20"/>
          <w:szCs w:val="20"/>
          <w:lang w:val="es-ES"/>
        </w:rPr>
        <w:t>al respecto.</w:t>
      </w:r>
    </w:p>
    <w:p w14:paraId="300E827C" w14:textId="77777777" w:rsidR="003D3886" w:rsidRPr="00A21666" w:rsidRDefault="003D3886" w:rsidP="00222B16">
      <w:pPr>
        <w:pStyle w:val="ListParagraph"/>
        <w:ind w:left="0"/>
        <w:rPr>
          <w:rFonts w:ascii="Cambria" w:hAnsi="Cambria"/>
          <w:sz w:val="20"/>
          <w:szCs w:val="20"/>
          <w:lang w:val="es-ES"/>
        </w:rPr>
      </w:pPr>
    </w:p>
    <w:p w14:paraId="37B0A9A3" w14:textId="77777777" w:rsidR="00A56846" w:rsidRPr="00A21666" w:rsidRDefault="00435A16" w:rsidP="00617E74">
      <w:pPr>
        <w:pStyle w:val="Heading2"/>
        <w:numPr>
          <w:ilvl w:val="0"/>
          <w:numId w:val="71"/>
        </w:numPr>
        <w:ind w:left="360"/>
        <w:jc w:val="both"/>
        <w:rPr>
          <w:b w:val="0"/>
          <w:lang w:val="es-ES"/>
        </w:rPr>
      </w:pPr>
      <w:bookmarkStart w:id="25" w:name="_Toc21442041"/>
      <w:r w:rsidRPr="00A21666">
        <w:rPr>
          <w:lang w:val="es-ES"/>
        </w:rPr>
        <w:t>Derecho</w:t>
      </w:r>
      <w:r w:rsidR="005D2518" w:rsidRPr="00A21666">
        <w:rPr>
          <w:lang w:val="es-ES"/>
        </w:rPr>
        <w:t xml:space="preserve"> a la</w:t>
      </w:r>
      <w:r w:rsidRPr="00A21666">
        <w:rPr>
          <w:lang w:val="es-ES"/>
        </w:rPr>
        <w:t>s garantías j</w:t>
      </w:r>
      <w:r w:rsidR="005D2518" w:rsidRPr="00A21666">
        <w:rPr>
          <w:lang w:val="es-ES"/>
        </w:rPr>
        <w:t>udiciales</w:t>
      </w:r>
      <w:r w:rsidRPr="00A21666">
        <w:rPr>
          <w:lang w:val="es-ES"/>
        </w:rPr>
        <w:t xml:space="preserve"> y</w:t>
      </w:r>
      <w:r w:rsidR="005D2518" w:rsidRPr="00A21666">
        <w:rPr>
          <w:lang w:val="es-ES"/>
        </w:rPr>
        <w:t xml:space="preserve"> </w:t>
      </w:r>
      <w:r w:rsidRPr="00A21666">
        <w:rPr>
          <w:lang w:val="es-ES"/>
        </w:rPr>
        <w:t>p</w:t>
      </w:r>
      <w:r w:rsidR="005D2518" w:rsidRPr="00A21666">
        <w:rPr>
          <w:lang w:val="es-ES"/>
        </w:rPr>
        <w:t xml:space="preserve">rotección </w:t>
      </w:r>
      <w:r w:rsidRPr="00A21666">
        <w:rPr>
          <w:lang w:val="es-ES"/>
        </w:rPr>
        <w:t>j</w:t>
      </w:r>
      <w:r w:rsidR="005D2518" w:rsidRPr="00A21666">
        <w:rPr>
          <w:lang w:val="es-ES"/>
        </w:rPr>
        <w:t>udicial</w:t>
      </w:r>
      <w:r w:rsidRPr="00A21666">
        <w:rPr>
          <w:lang w:val="es-ES"/>
        </w:rPr>
        <w:t xml:space="preserve"> </w:t>
      </w:r>
      <w:r w:rsidR="005D2518" w:rsidRPr="00A21666">
        <w:rPr>
          <w:lang w:val="es-ES"/>
        </w:rPr>
        <w:t>(artículos 8</w:t>
      </w:r>
      <w:r w:rsidRPr="00A21666">
        <w:rPr>
          <w:lang w:val="es-ES"/>
        </w:rPr>
        <w:t>.1</w:t>
      </w:r>
      <w:r w:rsidR="005D2518" w:rsidRPr="00A21666">
        <w:rPr>
          <w:lang w:val="es-ES"/>
        </w:rPr>
        <w:t xml:space="preserve"> y 25</w:t>
      </w:r>
      <w:r w:rsidRPr="00A21666">
        <w:rPr>
          <w:lang w:val="es-ES"/>
        </w:rPr>
        <w:t>.1</w:t>
      </w:r>
      <w:r w:rsidR="005D2518" w:rsidRPr="00A21666">
        <w:rPr>
          <w:lang w:val="es-CL"/>
        </w:rPr>
        <w:t xml:space="preserve"> </w:t>
      </w:r>
      <w:r w:rsidR="005D2518" w:rsidRPr="00A21666">
        <w:rPr>
          <w:lang w:val="es-ES"/>
        </w:rPr>
        <w:t>en relación con el artículo 1.1 de la Convención Americana)</w:t>
      </w:r>
      <w:bookmarkEnd w:id="25"/>
      <w:r w:rsidR="005D2518" w:rsidRPr="00A21666">
        <w:rPr>
          <w:lang w:val="es-ES"/>
        </w:rPr>
        <w:t xml:space="preserve"> </w:t>
      </w:r>
    </w:p>
    <w:p w14:paraId="0F689CD9" w14:textId="77777777" w:rsidR="00435A16" w:rsidRDefault="00435A16" w:rsidP="00435A16">
      <w:pPr>
        <w:ind w:left="630"/>
        <w:jc w:val="both"/>
        <w:rPr>
          <w:rFonts w:ascii="Cambria" w:hAnsi="Cambria"/>
          <w:sz w:val="20"/>
          <w:szCs w:val="20"/>
          <w:lang w:val="es-ES"/>
        </w:rPr>
      </w:pPr>
    </w:p>
    <w:p w14:paraId="3B55E103" w14:textId="77777777" w:rsidR="00654D1C" w:rsidRPr="00B97AE6" w:rsidRDefault="00654D1C" w:rsidP="00654D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VE"/>
        </w:rPr>
      </w:pPr>
      <w:r w:rsidRPr="00B97AE6">
        <w:rPr>
          <w:rFonts w:ascii="Cambria" w:hAnsi="Cambria"/>
          <w:sz w:val="20"/>
          <w:szCs w:val="20"/>
          <w:lang w:val="es-ES"/>
        </w:rPr>
        <w:t>Tanto la CIDH como la Corte han establecido que en casos relacionados con muertes violentas</w:t>
      </w:r>
      <w:r w:rsidRPr="00B97AE6">
        <w:rPr>
          <w:rFonts w:ascii="Cambria" w:hAnsi="Cambria" w:cs="Verdana"/>
          <w:sz w:val="20"/>
          <w:szCs w:val="20"/>
          <w:lang w:val="es-ES"/>
        </w:rPr>
        <w:t xml:space="preserve">, </w:t>
      </w:r>
      <w:r w:rsidRPr="00B97AE6">
        <w:rPr>
          <w:rFonts w:ascii="Cambria" w:hAnsi="Cambria"/>
          <w:sz w:val="20"/>
          <w:szCs w:val="20"/>
          <w:lang w:val="es-VE"/>
        </w:rPr>
        <w:t>especialmente</w:t>
      </w:r>
      <w:r w:rsidRPr="00B97AE6">
        <w:rPr>
          <w:rFonts w:ascii="Cambria" w:hAnsi="Cambria" w:cs="Verdana"/>
          <w:sz w:val="20"/>
          <w:szCs w:val="20"/>
          <w:lang w:val="es-ES"/>
        </w:rPr>
        <w:t xml:space="preserve"> cuando puedan estar involucrados agentes estatales, la investigación debe ser realizada </w:t>
      </w:r>
      <w:r w:rsidRPr="00B97AE6">
        <w:rPr>
          <w:rFonts w:ascii="Cambria" w:hAnsi="Cambria"/>
          <w:sz w:val="20"/>
          <w:szCs w:val="20"/>
          <w:lang w:val="es-ES"/>
        </w:rPr>
        <w:t>a través de todos los medios legales disponibles para la determinación de la verdad y el enjuiciamiento y castigo de todos los responsables de los hechos</w:t>
      </w:r>
      <w:r w:rsidRPr="00B97AE6">
        <w:rPr>
          <w:rStyle w:val="FootnoteReference"/>
          <w:rFonts w:ascii="Cambria" w:hAnsi="Cambria" w:cs="Verdana"/>
          <w:sz w:val="20"/>
          <w:szCs w:val="20"/>
          <w:lang w:val="es-ES"/>
        </w:rPr>
        <w:footnoteReference w:id="76"/>
      </w:r>
      <w:r w:rsidRPr="00B97AE6">
        <w:rPr>
          <w:rFonts w:ascii="Cambria" w:hAnsi="Cambria"/>
          <w:sz w:val="20"/>
          <w:szCs w:val="20"/>
          <w:lang w:val="es-ES"/>
        </w:rPr>
        <w:t xml:space="preserve">. Asimismo, los Estados deben </w:t>
      </w:r>
      <w:r w:rsidRPr="00B97AE6">
        <w:rPr>
          <w:rFonts w:ascii="Cambria" w:hAnsi="Cambria"/>
          <w:sz w:val="20"/>
          <w:szCs w:val="20"/>
          <w:lang w:val="es-VE"/>
        </w:rPr>
        <w:t>debe proveer un recurso rápido y sencillo para lograr que los responsables de violaciones de derechos humanos sean juzgados y las víctimas obtengan reparación por el daño sufrido</w:t>
      </w:r>
      <w:r w:rsidRPr="00B97AE6">
        <w:rPr>
          <w:rStyle w:val="FootnoteReference"/>
          <w:rFonts w:ascii="Cambria" w:hAnsi="Cambria"/>
          <w:sz w:val="20"/>
          <w:szCs w:val="20"/>
          <w:lang w:val="es-VE"/>
        </w:rPr>
        <w:footnoteReference w:id="77"/>
      </w:r>
      <w:r w:rsidRPr="00B97AE6">
        <w:rPr>
          <w:rFonts w:ascii="Cambria" w:hAnsi="Cambria"/>
          <w:sz w:val="20"/>
          <w:szCs w:val="20"/>
          <w:lang w:val="es-VE"/>
        </w:rPr>
        <w:t>.</w:t>
      </w:r>
    </w:p>
    <w:p w14:paraId="68A6020F" w14:textId="77777777" w:rsidR="00654D1C" w:rsidRPr="00B97AE6" w:rsidRDefault="00654D1C" w:rsidP="00654D1C">
      <w:pPr>
        <w:jc w:val="both"/>
        <w:rPr>
          <w:rFonts w:ascii="Cambria" w:hAnsi="Cambria"/>
          <w:sz w:val="20"/>
          <w:szCs w:val="20"/>
          <w:lang w:val="es-VE"/>
        </w:rPr>
      </w:pPr>
    </w:p>
    <w:p w14:paraId="43A9EEB6" w14:textId="77777777" w:rsidR="00654D1C" w:rsidRPr="00B97AE6" w:rsidRDefault="00654D1C" w:rsidP="00654D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VE"/>
        </w:rPr>
      </w:pPr>
      <w:r w:rsidRPr="00B97AE6">
        <w:rPr>
          <w:rFonts w:ascii="Cambria" w:hAnsi="Cambria"/>
          <w:sz w:val="20"/>
          <w:szCs w:val="20"/>
          <w:lang w:val="es-CL"/>
        </w:rPr>
        <w:t xml:space="preserve">Adicionalmente, en casos en los que la muerte pudo haber sido consecuencia del uso letal de la fuerza por parte de agentes estatales, el Tribunal Europeo ha señalado que debe realizarse el “más cuidadoso escrutinio” tomando en consideración no “sólo las acciones de los agentes del Estado quienes ejercieron la fuerza, sino todas las circunstancias respectivas incluyendo materias tales como la planificación y control de las acciones </w:t>
      </w:r>
      <w:r w:rsidRPr="00B97AE6">
        <w:rPr>
          <w:rFonts w:ascii="Cambria" w:hAnsi="Cambria"/>
          <w:sz w:val="20"/>
          <w:szCs w:val="20"/>
          <w:lang w:val="es-CL"/>
        </w:rPr>
        <w:lastRenderedPageBreak/>
        <w:t>bajo examen”</w:t>
      </w:r>
      <w:r w:rsidRPr="00B97AE6">
        <w:rPr>
          <w:rStyle w:val="FootnoteReference"/>
          <w:rFonts w:ascii="Cambria" w:hAnsi="Cambria"/>
          <w:sz w:val="20"/>
          <w:szCs w:val="20"/>
          <w:lang w:val="es-CL"/>
        </w:rPr>
        <w:footnoteReference w:id="78"/>
      </w:r>
      <w:r w:rsidRPr="00B97AE6">
        <w:rPr>
          <w:rFonts w:ascii="Cambria" w:hAnsi="Cambria"/>
          <w:sz w:val="20"/>
          <w:szCs w:val="20"/>
          <w:lang w:val="es-CL"/>
        </w:rPr>
        <w:t>. De esta forma, “cualquier deficiencia en la investigación que socave su capacidad para establecer la causa de la muerte o a la persona responsable arriesgará el cumplimiento de esta norma”</w:t>
      </w:r>
      <w:r w:rsidRPr="00B97AE6">
        <w:rPr>
          <w:rStyle w:val="FootnoteReference"/>
          <w:rFonts w:ascii="Cambria" w:hAnsi="Cambria"/>
          <w:sz w:val="20"/>
          <w:szCs w:val="20"/>
          <w:lang w:val="es-CL"/>
        </w:rPr>
        <w:footnoteReference w:id="79"/>
      </w:r>
      <w:r w:rsidRPr="00B97AE6">
        <w:rPr>
          <w:rFonts w:ascii="Cambria" w:hAnsi="Cambria"/>
          <w:sz w:val="20"/>
          <w:szCs w:val="20"/>
          <w:lang w:val="es-VE"/>
        </w:rPr>
        <w:t>.</w:t>
      </w:r>
    </w:p>
    <w:p w14:paraId="6937A038" w14:textId="77777777" w:rsidR="0056499E" w:rsidRPr="00A21666" w:rsidRDefault="0056499E" w:rsidP="00B97BC0">
      <w:pPr>
        <w:jc w:val="both"/>
        <w:rPr>
          <w:rFonts w:ascii="Cambria" w:hAnsi="Cambria"/>
          <w:sz w:val="20"/>
          <w:szCs w:val="20"/>
          <w:lang w:val="es-ES"/>
        </w:rPr>
      </w:pPr>
    </w:p>
    <w:p w14:paraId="160A77F6" w14:textId="77777777" w:rsidR="008E0351" w:rsidRDefault="00B97BC0" w:rsidP="002212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Pr>
          <w:rFonts w:ascii="Cambria" w:hAnsi="Cambria"/>
          <w:sz w:val="20"/>
          <w:szCs w:val="20"/>
          <w:lang w:val="es-CL"/>
        </w:rPr>
        <w:t>En el presente caso, la Comisión observa</w:t>
      </w:r>
      <w:r w:rsidR="002212A3">
        <w:rPr>
          <w:rFonts w:ascii="Cambria" w:hAnsi="Cambria"/>
          <w:sz w:val="20"/>
          <w:szCs w:val="20"/>
          <w:lang w:val="es-CL"/>
        </w:rPr>
        <w:t xml:space="preserve"> diversas omisiones e irregularidades en las diligencias que debían realizarse luego de la muerte del señor Deras. </w:t>
      </w:r>
      <w:r w:rsidR="002212A3">
        <w:rPr>
          <w:rFonts w:ascii="Cambria" w:hAnsi="Cambria"/>
          <w:sz w:val="20"/>
          <w:szCs w:val="20"/>
          <w:lang w:val="es-ES"/>
        </w:rPr>
        <w:t xml:space="preserve"> </w:t>
      </w:r>
      <w:r w:rsidR="00B30F05" w:rsidRPr="002212A3">
        <w:rPr>
          <w:rFonts w:ascii="Cambria" w:hAnsi="Cambria"/>
          <w:sz w:val="20"/>
          <w:szCs w:val="20"/>
          <w:lang w:val="es-ES"/>
        </w:rPr>
        <w:t xml:space="preserve">En primer lugar, la Comisión nota que </w:t>
      </w:r>
      <w:r w:rsidR="000E51BB" w:rsidRPr="002212A3">
        <w:rPr>
          <w:rFonts w:ascii="Cambria" w:hAnsi="Cambria"/>
          <w:sz w:val="20"/>
          <w:szCs w:val="20"/>
          <w:lang w:val="es-ES"/>
        </w:rPr>
        <w:t>miembros de la Fuerza Pública</w:t>
      </w:r>
      <w:r w:rsidR="00B30F05" w:rsidRPr="002212A3">
        <w:rPr>
          <w:rFonts w:ascii="Cambria" w:hAnsi="Cambria"/>
          <w:sz w:val="20"/>
          <w:szCs w:val="20"/>
          <w:lang w:val="es-ES"/>
        </w:rPr>
        <w:t xml:space="preserve"> </w:t>
      </w:r>
      <w:r w:rsidR="008E0351">
        <w:rPr>
          <w:rFonts w:ascii="Cambria" w:hAnsi="Cambria"/>
          <w:sz w:val="20"/>
          <w:szCs w:val="20"/>
          <w:lang w:val="es-ES"/>
        </w:rPr>
        <w:t xml:space="preserve">no preservaron la escena del crimen sino que se llevaron </w:t>
      </w:r>
      <w:r w:rsidR="002212A3">
        <w:rPr>
          <w:rFonts w:ascii="Cambria" w:hAnsi="Cambria"/>
          <w:sz w:val="20"/>
          <w:szCs w:val="20"/>
          <w:lang w:val="es-ES"/>
        </w:rPr>
        <w:t>los restos del señor Deras</w:t>
      </w:r>
      <w:r w:rsidR="008E0351">
        <w:rPr>
          <w:rFonts w:ascii="Cambria" w:hAnsi="Cambria"/>
          <w:sz w:val="20"/>
          <w:szCs w:val="20"/>
          <w:lang w:val="es-ES"/>
        </w:rPr>
        <w:t xml:space="preserve"> a la morgue</w:t>
      </w:r>
      <w:r w:rsidR="002212A3">
        <w:rPr>
          <w:rFonts w:ascii="Cambria" w:hAnsi="Cambria"/>
          <w:sz w:val="20"/>
          <w:szCs w:val="20"/>
          <w:lang w:val="es-ES"/>
        </w:rPr>
        <w:t xml:space="preserve">. En segundo lugar, </w:t>
      </w:r>
      <w:r w:rsidR="008E0351">
        <w:rPr>
          <w:rFonts w:ascii="Cambria" w:hAnsi="Cambria"/>
          <w:sz w:val="20"/>
          <w:szCs w:val="20"/>
          <w:lang w:val="es-ES"/>
        </w:rPr>
        <w:t xml:space="preserve">las autoridades públicas no realizaron la autopsia una vez que los restos del señor Deras fueron llevados a la morgue, a efectos de esclarecer las razones de su muerte. En tercer lugar, no se realizaron diligencias para determinar la cantidad de disparos recibidos, el tipo de balas utilizadas y el cotejo con las armas de los agentes militares involucrados. </w:t>
      </w:r>
    </w:p>
    <w:p w14:paraId="2AA8D642" w14:textId="77777777" w:rsidR="008E0351" w:rsidRDefault="008E0351" w:rsidP="008E0351">
      <w:pPr>
        <w:pStyle w:val="ListParagraph"/>
        <w:rPr>
          <w:rFonts w:ascii="Cambria" w:hAnsi="Cambria"/>
          <w:sz w:val="20"/>
          <w:szCs w:val="20"/>
          <w:lang w:val="es-ES"/>
        </w:rPr>
      </w:pPr>
    </w:p>
    <w:p w14:paraId="2A307D2A" w14:textId="77777777" w:rsidR="004B4858" w:rsidRPr="00B97AE6" w:rsidRDefault="008E0351" w:rsidP="004B48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ES"/>
        </w:rPr>
        <w:t>A ello se suma que</w:t>
      </w:r>
      <w:r w:rsidR="004B4858">
        <w:rPr>
          <w:rFonts w:ascii="Cambria" w:hAnsi="Cambria"/>
          <w:sz w:val="20"/>
          <w:szCs w:val="20"/>
          <w:lang w:val="es-ES"/>
        </w:rPr>
        <w:t xml:space="preserve"> luego de la denuncia presentada por </w:t>
      </w:r>
      <w:r w:rsidR="004B4858" w:rsidRPr="00A21666">
        <w:rPr>
          <w:rFonts w:ascii="Cambria" w:hAnsi="Cambria"/>
          <w:sz w:val="20"/>
          <w:szCs w:val="20"/>
          <w:lang w:val="es-ES"/>
        </w:rPr>
        <w:t>Otilia Flores</w:t>
      </w:r>
      <w:r w:rsidR="004B4858">
        <w:rPr>
          <w:rFonts w:ascii="Cambria" w:hAnsi="Cambria"/>
          <w:sz w:val="20"/>
          <w:szCs w:val="20"/>
          <w:lang w:val="es-ES"/>
        </w:rPr>
        <w:t xml:space="preserve"> inmediatamente después de la muerte del señor Deras, las autoridades judiciales no iniciaron una investigación para esclarecer lo sucedido ni identificar a las personas responsables. La Comisión observa que </w:t>
      </w:r>
      <w:r w:rsidR="00F34A05">
        <w:rPr>
          <w:rFonts w:ascii="Cambria" w:hAnsi="Cambria"/>
          <w:sz w:val="20"/>
          <w:szCs w:val="20"/>
          <w:lang w:val="es-ES"/>
        </w:rPr>
        <w:t>fue</w:t>
      </w:r>
      <w:r w:rsidR="004B4858">
        <w:rPr>
          <w:rFonts w:ascii="Cambria" w:hAnsi="Cambria"/>
          <w:sz w:val="20"/>
          <w:szCs w:val="20"/>
          <w:lang w:val="es-ES"/>
        </w:rPr>
        <w:t xml:space="preserve"> recién quince años después de lo sucedido, que el Ministerio Público presentó una denuncia, la cual culminó con una sentencia condenatoria en segunda instancia en contra de Marco Tulio Regalado por el delito de asesinato. La CIDH remarca que dicha sentencia no ha sido ejecutada a la fecha. </w:t>
      </w:r>
      <w:r w:rsidR="004B4858" w:rsidRPr="00B97AE6">
        <w:rPr>
          <w:rFonts w:ascii="Cambria" w:hAnsi="Cambria"/>
          <w:sz w:val="20"/>
          <w:szCs w:val="20"/>
          <w:lang w:val="es-VE"/>
        </w:rPr>
        <w:t>La CIDH observa que de la información disponible dicha persona se encuentra prófuga y el Estado no ha</w:t>
      </w:r>
      <w:r w:rsidR="00852592">
        <w:rPr>
          <w:rFonts w:ascii="Cambria" w:hAnsi="Cambria"/>
          <w:sz w:val="20"/>
          <w:szCs w:val="20"/>
          <w:lang w:val="es-VE"/>
        </w:rPr>
        <w:t xml:space="preserve"> aportado información que indique que ha realizado todos los esfuerzos a su alcance para </w:t>
      </w:r>
      <w:r w:rsidR="004B4858" w:rsidRPr="00B97AE6">
        <w:rPr>
          <w:rFonts w:ascii="Cambria" w:hAnsi="Cambria"/>
          <w:sz w:val="20"/>
          <w:szCs w:val="20"/>
          <w:lang w:val="es-VE"/>
        </w:rPr>
        <w:t>localizarl</w:t>
      </w:r>
      <w:r w:rsidR="001269E9">
        <w:rPr>
          <w:rFonts w:ascii="Cambria" w:hAnsi="Cambria"/>
          <w:sz w:val="20"/>
          <w:szCs w:val="20"/>
          <w:lang w:val="es-VE"/>
        </w:rPr>
        <w:t>a</w:t>
      </w:r>
      <w:r w:rsidR="004B4858" w:rsidRPr="00B97AE6">
        <w:rPr>
          <w:rFonts w:ascii="Cambria" w:hAnsi="Cambria"/>
          <w:sz w:val="20"/>
          <w:szCs w:val="20"/>
          <w:lang w:val="es-VE"/>
        </w:rPr>
        <w:t xml:space="preserve">. En el mismo sentido </w:t>
      </w:r>
      <w:r w:rsidR="00C80E2B">
        <w:rPr>
          <w:rFonts w:ascii="Cambria" w:hAnsi="Cambria"/>
          <w:sz w:val="20"/>
          <w:szCs w:val="20"/>
          <w:lang w:val="es-VE"/>
        </w:rPr>
        <w:t>el Estado informó que otros dos</w:t>
      </w:r>
      <w:r w:rsidR="004B4858" w:rsidRPr="00B97AE6">
        <w:rPr>
          <w:rFonts w:ascii="Cambria" w:hAnsi="Cambria"/>
          <w:sz w:val="20"/>
          <w:szCs w:val="20"/>
          <w:lang w:val="es-VE"/>
        </w:rPr>
        <w:t xml:space="preserve"> agente</w:t>
      </w:r>
      <w:r w:rsidR="00C80E2B">
        <w:rPr>
          <w:rFonts w:ascii="Cambria" w:hAnsi="Cambria"/>
          <w:sz w:val="20"/>
          <w:szCs w:val="20"/>
          <w:lang w:val="es-VE"/>
        </w:rPr>
        <w:t>s</w:t>
      </w:r>
      <w:r w:rsidR="004B4858" w:rsidRPr="00B97AE6">
        <w:rPr>
          <w:rFonts w:ascii="Cambria" w:hAnsi="Cambria"/>
          <w:sz w:val="20"/>
          <w:szCs w:val="20"/>
          <w:lang w:val="es-VE"/>
        </w:rPr>
        <w:t xml:space="preserve"> </w:t>
      </w:r>
      <w:r w:rsidR="00C80E2B">
        <w:rPr>
          <w:rFonts w:ascii="Cambria" w:hAnsi="Cambria"/>
          <w:sz w:val="20"/>
          <w:szCs w:val="20"/>
          <w:lang w:val="es-VE"/>
        </w:rPr>
        <w:t>públicos involucrados en los hechos</w:t>
      </w:r>
      <w:r w:rsidR="004B4858" w:rsidRPr="00B97AE6">
        <w:rPr>
          <w:rFonts w:ascii="Cambria" w:hAnsi="Cambria"/>
          <w:sz w:val="20"/>
          <w:szCs w:val="20"/>
          <w:lang w:val="es-VE"/>
        </w:rPr>
        <w:t xml:space="preserve"> se di</w:t>
      </w:r>
      <w:r w:rsidR="00C80E2B">
        <w:rPr>
          <w:rFonts w:ascii="Cambria" w:hAnsi="Cambria"/>
          <w:sz w:val="20"/>
          <w:szCs w:val="20"/>
          <w:lang w:val="es-VE"/>
        </w:rPr>
        <w:t>eron</w:t>
      </w:r>
      <w:r w:rsidR="004B4858" w:rsidRPr="00B97AE6">
        <w:rPr>
          <w:rFonts w:ascii="Cambria" w:hAnsi="Cambria"/>
          <w:sz w:val="20"/>
          <w:szCs w:val="20"/>
          <w:lang w:val="es-VE"/>
        </w:rPr>
        <w:t xml:space="preserve"> a la fuga y el proceso en su contra </w:t>
      </w:r>
      <w:r w:rsidR="00C80E2B">
        <w:rPr>
          <w:rFonts w:ascii="Cambria" w:hAnsi="Cambria"/>
          <w:sz w:val="20"/>
          <w:szCs w:val="20"/>
          <w:lang w:val="es-VE"/>
        </w:rPr>
        <w:t>está pendiente</w:t>
      </w:r>
      <w:r w:rsidR="004B4858" w:rsidRPr="00B97AE6">
        <w:rPr>
          <w:rFonts w:ascii="Cambria" w:hAnsi="Cambria"/>
          <w:sz w:val="20"/>
          <w:szCs w:val="20"/>
          <w:lang w:val="es-VE"/>
        </w:rPr>
        <w:t>. La Comisión observa que el Estado tampoco presentó información sobre las medidas adoptadas para localizarlo</w:t>
      </w:r>
      <w:r w:rsidR="00C80E2B">
        <w:rPr>
          <w:rFonts w:ascii="Cambria" w:hAnsi="Cambria"/>
          <w:sz w:val="20"/>
          <w:szCs w:val="20"/>
          <w:lang w:val="es-VE"/>
        </w:rPr>
        <w:t>s</w:t>
      </w:r>
      <w:r w:rsidR="004B4858" w:rsidRPr="00B97AE6">
        <w:rPr>
          <w:rFonts w:ascii="Cambria" w:hAnsi="Cambria"/>
          <w:sz w:val="20"/>
          <w:szCs w:val="20"/>
          <w:lang w:val="es-VE"/>
        </w:rPr>
        <w:t xml:space="preserve"> a fin de dar continuidad a este proceso y establecer todas las responsabilidades por la muerte de la víctima. </w:t>
      </w:r>
    </w:p>
    <w:p w14:paraId="213E9046" w14:textId="77777777" w:rsidR="004B4858" w:rsidRPr="00B97AE6" w:rsidRDefault="004B4858" w:rsidP="004B4858">
      <w:pPr>
        <w:pStyle w:val="ListParagraph"/>
        <w:rPr>
          <w:rFonts w:ascii="Cambria" w:hAnsi="Cambria"/>
          <w:sz w:val="20"/>
          <w:szCs w:val="20"/>
          <w:lang w:val="es-VE"/>
        </w:rPr>
      </w:pPr>
    </w:p>
    <w:p w14:paraId="78318300" w14:textId="77777777" w:rsidR="004B4858" w:rsidRPr="00B97AE6" w:rsidRDefault="00C80E2B" w:rsidP="00C80E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Es por ello que </w:t>
      </w:r>
      <w:r w:rsidR="004B4858" w:rsidRPr="00B97AE6">
        <w:rPr>
          <w:rFonts w:ascii="Cambria" w:hAnsi="Cambria"/>
          <w:sz w:val="20"/>
          <w:szCs w:val="20"/>
          <w:lang w:val="es-VE"/>
        </w:rPr>
        <w:t xml:space="preserve">la CIDH nota que, conforme a la documentación presentada, </w:t>
      </w:r>
      <w:r>
        <w:rPr>
          <w:rFonts w:ascii="Cambria" w:hAnsi="Cambria"/>
          <w:sz w:val="20"/>
          <w:szCs w:val="20"/>
          <w:lang w:val="es-VE"/>
        </w:rPr>
        <w:t>las investigaciones</w:t>
      </w:r>
      <w:r w:rsidR="004B4858" w:rsidRPr="00B97AE6">
        <w:rPr>
          <w:rFonts w:ascii="Cambria" w:hAnsi="Cambria"/>
          <w:sz w:val="20"/>
          <w:szCs w:val="20"/>
          <w:lang w:val="es-VE"/>
        </w:rPr>
        <w:t xml:space="preserve"> continuaría</w:t>
      </w:r>
      <w:r>
        <w:rPr>
          <w:rFonts w:ascii="Cambria" w:hAnsi="Cambria"/>
          <w:sz w:val="20"/>
          <w:szCs w:val="20"/>
          <w:lang w:val="es-VE"/>
        </w:rPr>
        <w:t>n abiertas</w:t>
      </w:r>
      <w:r w:rsidR="004B4858" w:rsidRPr="00B97AE6">
        <w:rPr>
          <w:rFonts w:ascii="Cambria" w:hAnsi="Cambria"/>
          <w:sz w:val="20"/>
          <w:szCs w:val="20"/>
          <w:lang w:val="es-VE"/>
        </w:rPr>
        <w:t xml:space="preserve"> después de más de </w:t>
      </w:r>
      <w:r>
        <w:rPr>
          <w:rFonts w:ascii="Cambria" w:hAnsi="Cambria"/>
          <w:sz w:val="20"/>
          <w:szCs w:val="20"/>
          <w:lang w:val="es-VE"/>
        </w:rPr>
        <w:t>35</w:t>
      </w:r>
      <w:r w:rsidR="004B4858" w:rsidRPr="00B97AE6">
        <w:rPr>
          <w:rFonts w:ascii="Cambria" w:hAnsi="Cambria"/>
          <w:sz w:val="20"/>
          <w:szCs w:val="20"/>
          <w:lang w:val="es-VE"/>
        </w:rPr>
        <w:t xml:space="preserve"> años de ocurridos los hechos. De la escasa información disponible sobre este proceso y tomando en cuenta el tiempo transcurrido, la Comisión considera que el Estado no demostró haberlo llevado a cabo con la debida diligencia ni en un plazo razonable. Además, la Comisión destaca que la responsabilidad penal del agente </w:t>
      </w:r>
      <w:r>
        <w:rPr>
          <w:rFonts w:ascii="Cambria" w:hAnsi="Cambria"/>
          <w:sz w:val="20"/>
          <w:szCs w:val="20"/>
          <w:lang w:val="es-VE"/>
        </w:rPr>
        <w:t>Marco Tulio Regalado</w:t>
      </w:r>
      <w:r w:rsidR="004B4858" w:rsidRPr="00B97AE6">
        <w:rPr>
          <w:rFonts w:ascii="Cambria" w:hAnsi="Cambria"/>
          <w:sz w:val="20"/>
          <w:szCs w:val="20"/>
          <w:lang w:val="es-VE"/>
        </w:rPr>
        <w:t xml:space="preserve"> fue </w:t>
      </w:r>
      <w:r>
        <w:rPr>
          <w:rFonts w:ascii="Cambria" w:hAnsi="Cambria"/>
          <w:sz w:val="20"/>
          <w:szCs w:val="20"/>
          <w:lang w:val="es-VE"/>
        </w:rPr>
        <w:t>establecid</w:t>
      </w:r>
      <w:r w:rsidR="00C64842">
        <w:rPr>
          <w:rFonts w:ascii="Cambria" w:hAnsi="Cambria"/>
          <w:sz w:val="20"/>
          <w:szCs w:val="20"/>
          <w:lang w:val="es-VE"/>
        </w:rPr>
        <w:t>a</w:t>
      </w:r>
      <w:r>
        <w:rPr>
          <w:rFonts w:ascii="Cambria" w:hAnsi="Cambria"/>
          <w:sz w:val="20"/>
          <w:szCs w:val="20"/>
          <w:lang w:val="es-VE"/>
        </w:rPr>
        <w:t xml:space="preserve"> en el marco de un proceso penal con diversas omisiones e irregularidades</w:t>
      </w:r>
      <w:r w:rsidR="004B4858" w:rsidRPr="00B97AE6">
        <w:rPr>
          <w:rFonts w:ascii="Cambria" w:hAnsi="Cambria"/>
          <w:sz w:val="20"/>
          <w:szCs w:val="20"/>
          <w:lang w:val="es-VE"/>
        </w:rPr>
        <w:t>, sin que la familia de la víctima h</w:t>
      </w:r>
      <w:r w:rsidR="004E6554">
        <w:rPr>
          <w:rFonts w:ascii="Cambria" w:hAnsi="Cambria"/>
          <w:sz w:val="20"/>
          <w:szCs w:val="20"/>
          <w:lang w:val="es-VE"/>
        </w:rPr>
        <w:t>ubiera</w:t>
      </w:r>
      <w:r w:rsidR="004B4858" w:rsidRPr="00B97AE6">
        <w:rPr>
          <w:rFonts w:ascii="Cambria" w:hAnsi="Cambria"/>
          <w:sz w:val="20"/>
          <w:szCs w:val="20"/>
          <w:lang w:val="es-VE"/>
        </w:rPr>
        <w:t xml:space="preserve"> contado con un esclarecimiento</w:t>
      </w:r>
      <w:r w:rsidR="00E31C35">
        <w:rPr>
          <w:rFonts w:ascii="Cambria" w:hAnsi="Cambria"/>
          <w:sz w:val="20"/>
          <w:szCs w:val="20"/>
          <w:lang w:val="es-VE"/>
        </w:rPr>
        <w:t xml:space="preserve"> total</w:t>
      </w:r>
      <w:r w:rsidR="004B4858" w:rsidRPr="00B97AE6">
        <w:rPr>
          <w:rFonts w:ascii="Cambria" w:hAnsi="Cambria"/>
          <w:sz w:val="20"/>
          <w:szCs w:val="20"/>
          <w:lang w:val="es-VE"/>
        </w:rPr>
        <w:t xml:space="preserve"> de los hechos </w:t>
      </w:r>
      <w:r w:rsidR="0041549B">
        <w:rPr>
          <w:rFonts w:ascii="Cambria" w:hAnsi="Cambria"/>
          <w:sz w:val="20"/>
          <w:szCs w:val="20"/>
          <w:lang w:val="es-VE"/>
        </w:rPr>
        <w:t xml:space="preserve">ni la </w:t>
      </w:r>
      <w:r w:rsidR="004B4858" w:rsidRPr="00B97AE6">
        <w:rPr>
          <w:rFonts w:ascii="Cambria" w:hAnsi="Cambria"/>
          <w:sz w:val="20"/>
          <w:szCs w:val="20"/>
          <w:lang w:val="es-VE"/>
        </w:rPr>
        <w:t xml:space="preserve">determinación de todas las responsabilidades. </w:t>
      </w:r>
    </w:p>
    <w:p w14:paraId="1E7B9256" w14:textId="77777777" w:rsidR="004B4858" w:rsidRPr="00B97AE6" w:rsidRDefault="004B4858" w:rsidP="004B4858">
      <w:pPr>
        <w:pStyle w:val="ListParagraph"/>
        <w:rPr>
          <w:rFonts w:ascii="Cambria" w:hAnsi="Cambria"/>
          <w:sz w:val="20"/>
          <w:szCs w:val="20"/>
          <w:lang w:val="es-VE"/>
        </w:rPr>
      </w:pPr>
    </w:p>
    <w:p w14:paraId="05A9A01F" w14:textId="77777777" w:rsidR="004B4858" w:rsidRPr="00C80E2B" w:rsidRDefault="004B4858" w:rsidP="00C80E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VE"/>
        </w:rPr>
      </w:pPr>
      <w:r w:rsidRPr="00B97AE6">
        <w:rPr>
          <w:rFonts w:ascii="Cambria" w:hAnsi="Cambria"/>
          <w:sz w:val="20"/>
          <w:szCs w:val="20"/>
          <w:lang w:val="es-VE"/>
        </w:rPr>
        <w:t xml:space="preserve">Por lo expuesto, la Comisión considera que a la fecha se mantiene una situación de impunidad por los hechos del caso y que el Estado ha incumplido su deber de garantizar una adecuada investigación a efectos de identificar y en su caso, sancionar a todas las personas responsables de la muerte del señor </w:t>
      </w:r>
      <w:r w:rsidR="00C80E2B">
        <w:rPr>
          <w:rFonts w:ascii="Cambria" w:hAnsi="Cambria"/>
          <w:sz w:val="20"/>
          <w:szCs w:val="20"/>
          <w:lang w:val="es-VE"/>
        </w:rPr>
        <w:t>Deras</w:t>
      </w:r>
      <w:r w:rsidRPr="00B97AE6">
        <w:rPr>
          <w:rFonts w:ascii="Cambria" w:hAnsi="Cambria"/>
          <w:sz w:val="20"/>
          <w:szCs w:val="20"/>
          <w:lang w:val="es-VE"/>
        </w:rPr>
        <w:t xml:space="preserve">, así como para hacer cumplir la única condena impuesta por su ejecución extrajudicial. En consecuencia, la CIDH concluye que el Estado vulneró los </w:t>
      </w:r>
      <w:r w:rsidRPr="00B97AE6">
        <w:rPr>
          <w:rFonts w:ascii="Cambria" w:hAnsi="Cambria"/>
          <w:sz w:val="20"/>
          <w:szCs w:val="20"/>
          <w:lang w:val="es-CL"/>
        </w:rPr>
        <w:t xml:space="preserve">derechos a las garantías judiciales y protección judicial conforme a los artículos 8.1 y 25.1 de la Convención Americana, en relación con el artículo 1.1 del mismo instrumento, en perjuicio de los familiares del señor </w:t>
      </w:r>
      <w:r w:rsidR="00D74FE0">
        <w:rPr>
          <w:rFonts w:ascii="Cambria" w:hAnsi="Cambria"/>
          <w:sz w:val="20"/>
          <w:szCs w:val="20"/>
          <w:lang w:val="es-CL"/>
        </w:rPr>
        <w:t>Deras</w:t>
      </w:r>
      <w:r w:rsidRPr="00B97AE6">
        <w:rPr>
          <w:rFonts w:ascii="Cambria" w:hAnsi="Cambria"/>
          <w:sz w:val="20"/>
          <w:szCs w:val="20"/>
          <w:lang w:val="es-CL"/>
        </w:rPr>
        <w:t xml:space="preserve">. </w:t>
      </w:r>
    </w:p>
    <w:p w14:paraId="5770858D" w14:textId="77777777" w:rsidR="00C80E2B" w:rsidRDefault="00C80E2B" w:rsidP="00C80E2B">
      <w:pPr>
        <w:pStyle w:val="ListParagraph"/>
        <w:rPr>
          <w:rFonts w:ascii="Cambria" w:hAnsi="Cambria"/>
          <w:sz w:val="20"/>
          <w:szCs w:val="20"/>
          <w:lang w:val="es-VE"/>
        </w:rPr>
      </w:pPr>
    </w:p>
    <w:p w14:paraId="12C04638" w14:textId="77777777" w:rsidR="00C80E2B" w:rsidRPr="00467F89" w:rsidRDefault="00C80E2B" w:rsidP="00467F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VE"/>
        </w:rPr>
      </w:pPr>
      <w:r>
        <w:rPr>
          <w:rFonts w:ascii="Cambria" w:hAnsi="Cambria"/>
          <w:sz w:val="20"/>
          <w:szCs w:val="20"/>
          <w:lang w:val="es-VE"/>
        </w:rPr>
        <w:t xml:space="preserve">La Comisión también resalta que el Estado no ha presentado información sobre el inicio de investigaciones a efectos de esclarecer las diversas </w:t>
      </w:r>
      <w:r w:rsidR="009F3FC6">
        <w:rPr>
          <w:rFonts w:ascii="Cambria" w:hAnsi="Cambria"/>
          <w:sz w:val="20"/>
          <w:szCs w:val="20"/>
          <w:lang w:val="es-VE"/>
        </w:rPr>
        <w:t>violaciones a la Convención Americana</w:t>
      </w:r>
      <w:r>
        <w:rPr>
          <w:rFonts w:ascii="Cambria" w:hAnsi="Cambria"/>
          <w:sz w:val="20"/>
          <w:szCs w:val="20"/>
          <w:lang w:val="es-VE"/>
        </w:rPr>
        <w:t xml:space="preserve"> ya identificadas en el presente </w:t>
      </w:r>
      <w:r w:rsidR="009F3FC6">
        <w:rPr>
          <w:rFonts w:ascii="Cambria" w:hAnsi="Cambria"/>
          <w:sz w:val="20"/>
          <w:szCs w:val="20"/>
          <w:lang w:val="es-VE"/>
        </w:rPr>
        <w:t>informe</w:t>
      </w:r>
      <w:r>
        <w:rPr>
          <w:rFonts w:ascii="Cambria" w:hAnsi="Cambria"/>
          <w:sz w:val="20"/>
          <w:szCs w:val="20"/>
          <w:lang w:val="es-VE"/>
        </w:rPr>
        <w:t xml:space="preserve"> en contra de los familiares del señor Deras. En consecuencia, la Comisión considera que el Estado </w:t>
      </w:r>
      <w:r w:rsidR="00467F89">
        <w:rPr>
          <w:rFonts w:ascii="Cambria" w:hAnsi="Cambria"/>
          <w:sz w:val="20"/>
          <w:szCs w:val="20"/>
          <w:lang w:val="es-VE"/>
        </w:rPr>
        <w:t>también incumplió su deber de garantizar una adecuada investigación a efectos de identificar y en su caso, sancionar a todas las personas responsables de los actos</w:t>
      </w:r>
      <w:r w:rsidR="009F5FE4">
        <w:rPr>
          <w:rFonts w:ascii="Cambria" w:hAnsi="Cambria"/>
          <w:sz w:val="20"/>
          <w:szCs w:val="20"/>
          <w:lang w:val="es-VE"/>
        </w:rPr>
        <w:t xml:space="preserve"> contra la integridad personal, </w:t>
      </w:r>
      <w:r w:rsidR="00467F89">
        <w:rPr>
          <w:rFonts w:ascii="Cambria" w:hAnsi="Cambria"/>
          <w:sz w:val="20"/>
          <w:szCs w:val="20"/>
          <w:lang w:val="es-VE"/>
        </w:rPr>
        <w:t xml:space="preserve">detenciones ilegales y arbitrarias, allanamientos, entre otros. Por ello la CIDH concluye que el Estado </w:t>
      </w:r>
      <w:r w:rsidR="00467F89" w:rsidRPr="00B97AE6">
        <w:rPr>
          <w:rFonts w:ascii="Cambria" w:hAnsi="Cambria"/>
          <w:sz w:val="20"/>
          <w:szCs w:val="20"/>
          <w:lang w:val="es-VE"/>
        </w:rPr>
        <w:t xml:space="preserve">vulneró los </w:t>
      </w:r>
      <w:r w:rsidR="00467F89" w:rsidRPr="00B97AE6">
        <w:rPr>
          <w:rFonts w:ascii="Cambria" w:hAnsi="Cambria"/>
          <w:sz w:val="20"/>
          <w:szCs w:val="20"/>
          <w:lang w:val="es-CL"/>
        </w:rPr>
        <w:t xml:space="preserve">derechos a las garantías judiciales y protección judicial conforme a los artículos 8.1 y 25.1 de la Convención Americana, en relación con el artículo 1.1 del mismo instrumento, en perjuicio de los familiares del señor </w:t>
      </w:r>
      <w:r w:rsidR="008E13F6">
        <w:rPr>
          <w:rFonts w:ascii="Cambria" w:hAnsi="Cambria"/>
          <w:sz w:val="20"/>
          <w:szCs w:val="20"/>
          <w:lang w:val="es-CL"/>
        </w:rPr>
        <w:t>Deras</w:t>
      </w:r>
      <w:r w:rsidR="00467F89" w:rsidRPr="00B97AE6">
        <w:rPr>
          <w:rFonts w:ascii="Cambria" w:hAnsi="Cambria"/>
          <w:sz w:val="20"/>
          <w:szCs w:val="20"/>
          <w:lang w:val="es-CL"/>
        </w:rPr>
        <w:t xml:space="preserve">. </w:t>
      </w:r>
    </w:p>
    <w:p w14:paraId="75529D92" w14:textId="77777777" w:rsidR="003D67C7" w:rsidRDefault="003D67C7" w:rsidP="00FD7D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L"/>
        </w:rPr>
      </w:pPr>
    </w:p>
    <w:p w14:paraId="7D73D1F6" w14:textId="77777777" w:rsidR="00617E74" w:rsidRDefault="00617E74" w:rsidP="00FD7D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L"/>
        </w:rPr>
      </w:pPr>
    </w:p>
    <w:p w14:paraId="5F4AC82C" w14:textId="77777777" w:rsidR="00617E74" w:rsidRDefault="00617E74" w:rsidP="00FD7D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L"/>
        </w:rPr>
      </w:pPr>
    </w:p>
    <w:p w14:paraId="52EE18EC" w14:textId="77777777" w:rsidR="00617E74" w:rsidRDefault="00617E74" w:rsidP="00FD7D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L"/>
        </w:rPr>
      </w:pPr>
    </w:p>
    <w:p w14:paraId="133F06E1" w14:textId="77777777" w:rsidR="003D3886" w:rsidRPr="00A21666" w:rsidRDefault="003D3886" w:rsidP="00617E74">
      <w:pPr>
        <w:pStyle w:val="Heading2"/>
        <w:numPr>
          <w:ilvl w:val="0"/>
          <w:numId w:val="71"/>
        </w:numPr>
        <w:ind w:left="360"/>
        <w:jc w:val="both"/>
        <w:rPr>
          <w:b w:val="0"/>
          <w:lang w:val="es-ES"/>
        </w:rPr>
      </w:pPr>
      <w:bookmarkStart w:id="26" w:name="_Toc21442042"/>
      <w:r w:rsidRPr="00A21666">
        <w:rPr>
          <w:lang w:val="es-ES"/>
        </w:rPr>
        <w:lastRenderedPageBreak/>
        <w:t xml:space="preserve">Derecho a </w:t>
      </w:r>
      <w:r>
        <w:rPr>
          <w:lang w:val="es-ES"/>
        </w:rPr>
        <w:t>la integridad personal</w:t>
      </w:r>
      <w:r w:rsidRPr="00A21666">
        <w:rPr>
          <w:lang w:val="es-ES"/>
        </w:rPr>
        <w:t xml:space="preserve"> </w:t>
      </w:r>
      <w:r>
        <w:rPr>
          <w:lang w:val="es-ES"/>
        </w:rPr>
        <w:t>(artículo</w:t>
      </w:r>
      <w:r w:rsidRPr="00A21666">
        <w:rPr>
          <w:lang w:val="es-ES"/>
        </w:rPr>
        <w:t xml:space="preserve"> </w:t>
      </w:r>
      <w:r>
        <w:rPr>
          <w:lang w:val="es-ES"/>
        </w:rPr>
        <w:t>5</w:t>
      </w:r>
      <w:r w:rsidRPr="00A21666">
        <w:rPr>
          <w:lang w:val="es-ES"/>
        </w:rPr>
        <w:t>.1</w:t>
      </w:r>
      <w:r w:rsidRPr="00A21666">
        <w:rPr>
          <w:lang w:val="es-CL"/>
        </w:rPr>
        <w:t xml:space="preserve"> </w:t>
      </w:r>
      <w:r w:rsidRPr="00A21666">
        <w:rPr>
          <w:lang w:val="es-ES"/>
        </w:rPr>
        <w:t>en relación con el artículo 1.1 de la Convención Americana)</w:t>
      </w:r>
      <w:bookmarkEnd w:id="26"/>
      <w:r w:rsidRPr="00A21666">
        <w:rPr>
          <w:lang w:val="es-ES"/>
        </w:rPr>
        <w:t xml:space="preserve"> </w:t>
      </w:r>
    </w:p>
    <w:p w14:paraId="73F7A3DA" w14:textId="77777777" w:rsidR="003D3886" w:rsidRDefault="003D3886" w:rsidP="00FD7D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L"/>
        </w:rPr>
      </w:pPr>
    </w:p>
    <w:p w14:paraId="7E55D249" w14:textId="77777777" w:rsidR="003D3886" w:rsidRPr="003D3886" w:rsidRDefault="003D3886" w:rsidP="003D3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3D3886">
        <w:rPr>
          <w:rFonts w:ascii="Cambria" w:hAnsi="Cambria"/>
          <w:sz w:val="20"/>
          <w:szCs w:val="20"/>
          <w:lang w:val="es-CL"/>
        </w:rPr>
        <w:t>Respecto de los familiares de víctimas de violaciones graves de derechos humanos, la Corte Interamericana ha afirmado, en diferentes oportunidades, que estos pueden ser, a su vez, víctimas</w:t>
      </w:r>
      <w:r w:rsidRPr="003D3886">
        <w:rPr>
          <w:rStyle w:val="FootnoteReference"/>
          <w:rFonts w:ascii="Cambria" w:hAnsi="Cambria"/>
          <w:sz w:val="20"/>
          <w:szCs w:val="20"/>
          <w:lang w:val="es-CL"/>
        </w:rPr>
        <w:footnoteReference w:id="80"/>
      </w:r>
      <w:r w:rsidRPr="003D3886">
        <w:rPr>
          <w:rFonts w:ascii="Cambria" w:hAnsi="Cambria"/>
          <w:sz w:val="20"/>
          <w:szCs w:val="20"/>
          <w:lang w:val="es-ES"/>
        </w:rPr>
        <w:t>. Asimismo, la Comisión ha determinado que “la sola perdida de un ser querido como consecuencia del uso arbitrario de la fuerza por parte de agentes de seguridad (…) seguido además de la falta de esclarecimiento e impunidad de los hechos permite inferir una afectación a la integridad psíquica y moral del núcleo familiar directo de las personas fallecidas”</w:t>
      </w:r>
      <w:r w:rsidRPr="003D3886">
        <w:rPr>
          <w:rStyle w:val="FootnoteReference"/>
          <w:rFonts w:ascii="Cambria" w:hAnsi="Cambria"/>
          <w:sz w:val="20"/>
          <w:szCs w:val="20"/>
          <w:lang w:val="es-ES"/>
        </w:rPr>
        <w:footnoteReference w:id="81"/>
      </w:r>
      <w:r w:rsidRPr="003D3886">
        <w:rPr>
          <w:rFonts w:ascii="Cambria" w:hAnsi="Cambria"/>
          <w:sz w:val="20"/>
          <w:szCs w:val="20"/>
          <w:lang w:val="es-ES"/>
        </w:rPr>
        <w:t>.</w:t>
      </w:r>
    </w:p>
    <w:p w14:paraId="3D713088" w14:textId="77777777" w:rsidR="003D3886" w:rsidRPr="003D3886" w:rsidRDefault="003D3886" w:rsidP="003D38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r w:rsidRPr="003D3886">
        <w:rPr>
          <w:rFonts w:ascii="Cambria" w:hAnsi="Cambria"/>
          <w:sz w:val="20"/>
          <w:szCs w:val="20"/>
          <w:lang w:val="es-ES"/>
        </w:rPr>
        <w:t xml:space="preserve"> </w:t>
      </w:r>
    </w:p>
    <w:p w14:paraId="3A5FAE8B" w14:textId="77777777" w:rsidR="003D3886" w:rsidRPr="003D3886" w:rsidRDefault="003D3886" w:rsidP="003D3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3D3886">
        <w:rPr>
          <w:rFonts w:ascii="Cambria" w:hAnsi="Cambria"/>
          <w:sz w:val="20"/>
          <w:szCs w:val="20"/>
          <w:lang w:val="es-CL"/>
        </w:rPr>
        <w:t>Sobre</w:t>
      </w:r>
      <w:r w:rsidRPr="003D3886">
        <w:rPr>
          <w:rFonts w:ascii="Cambria" w:hAnsi="Cambria"/>
          <w:sz w:val="20"/>
          <w:szCs w:val="20"/>
          <w:lang w:val="es-ES"/>
        </w:rPr>
        <w:t xml:space="preserve"> la situación de impunidad, la Corte ha indicado lo siguiente:</w:t>
      </w:r>
    </w:p>
    <w:p w14:paraId="03B7DBDF" w14:textId="77777777" w:rsidR="003D3886" w:rsidRPr="003D3886" w:rsidRDefault="003D3886" w:rsidP="003D3886">
      <w:pPr>
        <w:ind w:left="540"/>
        <w:jc w:val="both"/>
        <w:rPr>
          <w:rFonts w:ascii="Cambria" w:hAnsi="Cambria"/>
          <w:sz w:val="20"/>
          <w:szCs w:val="20"/>
          <w:lang w:val="es-ES"/>
        </w:rPr>
      </w:pPr>
    </w:p>
    <w:p w14:paraId="3F7AB787" w14:textId="77777777" w:rsidR="003D3886" w:rsidRPr="003D3886" w:rsidRDefault="003D3886" w:rsidP="003D3886">
      <w:pPr>
        <w:ind w:left="360" w:right="387"/>
        <w:jc w:val="both"/>
        <w:rPr>
          <w:rFonts w:ascii="Cambria" w:hAnsi="Cambria"/>
          <w:sz w:val="18"/>
          <w:szCs w:val="18"/>
          <w:lang w:val="es-CL"/>
        </w:rPr>
      </w:pPr>
      <w:r w:rsidRPr="003D3886">
        <w:rPr>
          <w:rFonts w:ascii="Cambria" w:hAnsi="Cambria"/>
          <w:sz w:val="18"/>
          <w:szCs w:val="18"/>
          <w:lang w:val="es-CL"/>
        </w:rPr>
        <w:t>[L]a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3D3886">
        <w:rPr>
          <w:rStyle w:val="FootnoteReference"/>
          <w:rFonts w:ascii="Cambria" w:hAnsi="Cambria"/>
          <w:sz w:val="18"/>
          <w:szCs w:val="18"/>
          <w:lang w:val="es-CL"/>
        </w:rPr>
        <w:footnoteReference w:id="82"/>
      </w:r>
      <w:r w:rsidRPr="003D3886">
        <w:rPr>
          <w:rFonts w:ascii="Cambria" w:hAnsi="Cambria"/>
          <w:sz w:val="18"/>
          <w:szCs w:val="18"/>
          <w:lang w:val="es-CL"/>
        </w:rPr>
        <w:t>.</w:t>
      </w:r>
    </w:p>
    <w:p w14:paraId="61DF94C0" w14:textId="77777777" w:rsidR="003D3886" w:rsidRPr="003D3886" w:rsidRDefault="003D3886" w:rsidP="003D388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L"/>
        </w:rPr>
      </w:pPr>
    </w:p>
    <w:p w14:paraId="595A7A5E" w14:textId="77777777" w:rsidR="003D3886" w:rsidRPr="003D3886" w:rsidRDefault="003D3886" w:rsidP="003D38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CL"/>
        </w:rPr>
      </w:pPr>
      <w:r w:rsidRPr="003D3886">
        <w:rPr>
          <w:rFonts w:ascii="Cambria" w:hAnsi="Cambria"/>
          <w:sz w:val="20"/>
          <w:szCs w:val="20"/>
          <w:lang w:val="es-ES"/>
        </w:rPr>
        <w:t xml:space="preserve">En el presente caso </w:t>
      </w:r>
      <w:r w:rsidRPr="003D3886">
        <w:rPr>
          <w:rFonts w:ascii="Cambria" w:hAnsi="Cambria"/>
          <w:sz w:val="20"/>
          <w:szCs w:val="20"/>
          <w:lang w:val="es-CL"/>
        </w:rPr>
        <w:t xml:space="preserve">la Comisión ya dio por establecido que </w:t>
      </w:r>
      <w:r w:rsidR="00873A5D">
        <w:rPr>
          <w:rFonts w:ascii="Cambria" w:hAnsi="Cambria"/>
          <w:sz w:val="20"/>
          <w:szCs w:val="20"/>
          <w:lang w:val="es-CL"/>
        </w:rPr>
        <w:t xml:space="preserve">Herminio Deras </w:t>
      </w:r>
      <w:r w:rsidRPr="003D3886">
        <w:rPr>
          <w:rFonts w:ascii="Cambria" w:hAnsi="Cambria"/>
          <w:sz w:val="20"/>
          <w:szCs w:val="20"/>
          <w:lang w:val="es-CL"/>
        </w:rPr>
        <w:t>perdi</w:t>
      </w:r>
      <w:r w:rsidR="004145B3">
        <w:rPr>
          <w:rFonts w:ascii="Cambria" w:hAnsi="Cambria"/>
          <w:sz w:val="20"/>
          <w:szCs w:val="20"/>
          <w:lang w:val="es-CL"/>
        </w:rPr>
        <w:t xml:space="preserve">ó </w:t>
      </w:r>
      <w:r w:rsidRPr="003D3886">
        <w:rPr>
          <w:rFonts w:ascii="Cambria" w:hAnsi="Cambria"/>
          <w:sz w:val="20"/>
          <w:szCs w:val="20"/>
          <w:lang w:val="es-CL"/>
        </w:rPr>
        <w:t xml:space="preserve">la vida como resultado de una ejecución extrajudicial cometida por agentes </w:t>
      </w:r>
      <w:r w:rsidR="00FC53F9">
        <w:rPr>
          <w:rFonts w:ascii="Cambria" w:hAnsi="Cambria"/>
          <w:sz w:val="20"/>
          <w:szCs w:val="20"/>
          <w:lang w:val="es-CL"/>
        </w:rPr>
        <w:t>militares</w:t>
      </w:r>
      <w:r w:rsidRPr="003D3886">
        <w:rPr>
          <w:rFonts w:ascii="Cambria" w:hAnsi="Cambria"/>
          <w:sz w:val="20"/>
          <w:szCs w:val="20"/>
          <w:lang w:val="es-CL"/>
        </w:rPr>
        <w:t xml:space="preserve">, lo cual constituye una grave violación de derechos humanos que necesariamente causó un sufrimiento en sus familiares. A ello se suma que en el presente caso existe una situación de impunidad en </w:t>
      </w:r>
      <w:r w:rsidR="00E60F14">
        <w:rPr>
          <w:rFonts w:ascii="Cambria" w:hAnsi="Cambria"/>
          <w:sz w:val="20"/>
          <w:szCs w:val="20"/>
          <w:lang w:val="es-CL"/>
        </w:rPr>
        <w:t xml:space="preserve">solo una </w:t>
      </w:r>
      <w:r w:rsidRPr="003D3886">
        <w:rPr>
          <w:rFonts w:ascii="Cambria" w:hAnsi="Cambria"/>
          <w:sz w:val="20"/>
          <w:szCs w:val="20"/>
          <w:lang w:val="es-CL"/>
        </w:rPr>
        <w:t>persona ha sido condenada por estos hechos</w:t>
      </w:r>
      <w:r w:rsidR="00E60F14">
        <w:rPr>
          <w:rFonts w:ascii="Cambria" w:hAnsi="Cambria"/>
          <w:sz w:val="20"/>
          <w:szCs w:val="20"/>
          <w:lang w:val="es-CL"/>
        </w:rPr>
        <w:t xml:space="preserve"> y la misma no se ha cumplido</w:t>
      </w:r>
      <w:r w:rsidRPr="003D3886">
        <w:rPr>
          <w:rFonts w:ascii="Cambria" w:hAnsi="Cambria"/>
          <w:sz w:val="20"/>
          <w:szCs w:val="20"/>
          <w:lang w:val="es-CL"/>
        </w:rPr>
        <w:t xml:space="preserve">. Adicionalmente, la Comisión toma nota de las alegadas amenazas que habrían recibido los familiares durante el proceso, las cuales tampoco fueron controvertidas por el Estado. </w:t>
      </w:r>
      <w:r>
        <w:rPr>
          <w:rFonts w:ascii="Cambria" w:hAnsi="Cambria"/>
          <w:sz w:val="20"/>
          <w:szCs w:val="20"/>
          <w:lang w:val="es-CL"/>
        </w:rPr>
        <w:t xml:space="preserve">En consecuencia, la CIDH concluye que el Estado vulneró el derecho a la integridad personal, establecido en el artículo 5.1 de la Convención Americana en relación con el artículo 1.1 del mismo instrumento, en perjuicio de los familiares de </w:t>
      </w:r>
      <w:r w:rsidR="00CD345C">
        <w:rPr>
          <w:rFonts w:ascii="Cambria" w:hAnsi="Cambria"/>
          <w:color w:val="000000"/>
          <w:sz w:val="20"/>
          <w:szCs w:val="20"/>
          <w:lang w:val="es-VE"/>
        </w:rPr>
        <w:t>Herm</w:t>
      </w:r>
      <w:r w:rsidR="008628D0">
        <w:rPr>
          <w:rFonts w:ascii="Cambria" w:hAnsi="Cambria"/>
          <w:color w:val="000000"/>
          <w:sz w:val="20"/>
          <w:szCs w:val="20"/>
          <w:lang w:val="es-VE"/>
        </w:rPr>
        <w:t>i</w:t>
      </w:r>
      <w:r w:rsidR="00CD345C">
        <w:rPr>
          <w:rFonts w:ascii="Cambria" w:hAnsi="Cambria"/>
          <w:color w:val="000000"/>
          <w:sz w:val="20"/>
          <w:szCs w:val="20"/>
          <w:lang w:val="es-VE"/>
        </w:rPr>
        <w:t>nio Deras García</w:t>
      </w:r>
      <w:r>
        <w:rPr>
          <w:rFonts w:ascii="Cambria" w:hAnsi="Cambria"/>
          <w:color w:val="000000"/>
          <w:sz w:val="20"/>
          <w:szCs w:val="20"/>
          <w:lang w:val="es-VE"/>
        </w:rPr>
        <w:t xml:space="preserve"> </w:t>
      </w:r>
      <w:r>
        <w:rPr>
          <w:rFonts w:ascii="Cambria" w:hAnsi="Cambria"/>
          <w:sz w:val="20"/>
          <w:szCs w:val="20"/>
          <w:lang w:val="es-CL"/>
        </w:rPr>
        <w:t>individualizados en el presente informe de fondo.</w:t>
      </w:r>
    </w:p>
    <w:p w14:paraId="7F154235" w14:textId="77777777" w:rsidR="003D3886" w:rsidRPr="00A21666" w:rsidRDefault="003D3886" w:rsidP="00FD7D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CL"/>
        </w:rPr>
      </w:pPr>
    </w:p>
    <w:p w14:paraId="6D99F831" w14:textId="77777777" w:rsidR="00D12193" w:rsidRPr="00AE06B2" w:rsidRDefault="00D12193" w:rsidP="00654D1C">
      <w:pPr>
        <w:pStyle w:val="Heading1"/>
        <w:ind w:left="360" w:hanging="360"/>
      </w:pPr>
      <w:bookmarkStart w:id="27" w:name="_Toc15048003"/>
      <w:bookmarkStart w:id="28" w:name="_Toc21442043"/>
      <w:r w:rsidRPr="00AE06B2">
        <w:t>CONCLUSIONES Y RECOMENDACIONES</w:t>
      </w:r>
      <w:bookmarkEnd w:id="27"/>
      <w:bookmarkEnd w:id="28"/>
      <w:r w:rsidRPr="00AE06B2">
        <w:t xml:space="preserve"> </w:t>
      </w:r>
    </w:p>
    <w:p w14:paraId="46D36344" w14:textId="77777777" w:rsidR="00D12193" w:rsidRPr="00A21666" w:rsidRDefault="00D12193" w:rsidP="00FD7DDB">
      <w:pPr>
        <w:suppressAutoHyphens/>
        <w:rPr>
          <w:rFonts w:ascii="Cambria" w:hAnsi="Cambria"/>
          <w:b/>
          <w:sz w:val="20"/>
          <w:szCs w:val="20"/>
          <w:lang w:val="es-ES_tradnl"/>
        </w:rPr>
      </w:pPr>
    </w:p>
    <w:p w14:paraId="3693FE19" w14:textId="77777777" w:rsidR="00654D1C" w:rsidRPr="00417CF3" w:rsidRDefault="00654D1C" w:rsidP="00654D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ind w:left="0" w:firstLine="0"/>
        <w:jc w:val="both"/>
        <w:rPr>
          <w:rFonts w:ascii="Cambria" w:hAnsi="Cambria"/>
          <w:sz w:val="20"/>
          <w:szCs w:val="20"/>
          <w:lang w:val="es-ES"/>
        </w:rPr>
      </w:pPr>
      <w:r w:rsidRPr="00417CF3">
        <w:rPr>
          <w:rFonts w:ascii="Cambria" w:hAnsi="Cambria"/>
          <w:color w:val="000000"/>
          <w:sz w:val="20"/>
          <w:szCs w:val="20"/>
          <w:lang w:val="es-VE"/>
        </w:rPr>
        <w:t xml:space="preserve">Con base en las determinaciones de hecho y de derecho, la Comisión Interamericana concluyó que el Estado es responsable por la violación de los derechos a la vida, integridad personal, libertad personal, garantías judiciales. honra y dignidad, libertad de pensamiento y expresión, libertad de asociación, derechos del niño, circulación y residencia, y protección judicial, establecidos en los artículos 4.1, 5.1, </w:t>
      </w:r>
      <w:r w:rsidR="00417CF3" w:rsidRPr="00417CF3">
        <w:rPr>
          <w:rFonts w:ascii="Cambria" w:hAnsi="Cambria"/>
          <w:color w:val="000000"/>
          <w:sz w:val="20"/>
          <w:szCs w:val="20"/>
          <w:lang w:val="es-VE"/>
        </w:rPr>
        <w:t xml:space="preserve">5.2, </w:t>
      </w:r>
      <w:r w:rsidRPr="00417CF3">
        <w:rPr>
          <w:rFonts w:ascii="Cambria" w:hAnsi="Cambria"/>
          <w:color w:val="000000"/>
          <w:sz w:val="20"/>
          <w:szCs w:val="20"/>
          <w:lang w:val="es-VE"/>
        </w:rPr>
        <w:t>7.1, 7.2, 7.3, 8.1</w:t>
      </w:r>
      <w:r w:rsidR="00417CF3" w:rsidRPr="00417CF3">
        <w:rPr>
          <w:rFonts w:ascii="Cambria" w:hAnsi="Cambria"/>
          <w:color w:val="000000"/>
          <w:sz w:val="20"/>
          <w:szCs w:val="20"/>
          <w:lang w:val="es-VE"/>
        </w:rPr>
        <w:t>, 11.</w:t>
      </w:r>
      <w:r w:rsidR="0059069B">
        <w:rPr>
          <w:rFonts w:ascii="Cambria" w:hAnsi="Cambria"/>
          <w:color w:val="000000"/>
          <w:sz w:val="20"/>
          <w:szCs w:val="20"/>
          <w:lang w:val="es-VE"/>
        </w:rPr>
        <w:t>2,</w:t>
      </w:r>
      <w:r w:rsidR="005C7F1B">
        <w:rPr>
          <w:rFonts w:ascii="Cambria" w:hAnsi="Cambria"/>
          <w:color w:val="000000"/>
          <w:sz w:val="20"/>
          <w:szCs w:val="20"/>
          <w:lang w:val="es-VE"/>
        </w:rPr>
        <w:t xml:space="preserve"> 13.1, 16.1,</w:t>
      </w:r>
      <w:r w:rsidR="0059069B">
        <w:rPr>
          <w:rFonts w:ascii="Cambria" w:hAnsi="Cambria"/>
          <w:color w:val="000000"/>
          <w:sz w:val="20"/>
          <w:szCs w:val="20"/>
          <w:lang w:val="es-VE"/>
        </w:rPr>
        <w:t xml:space="preserve"> </w:t>
      </w:r>
      <w:r w:rsidR="00417CF3" w:rsidRPr="00417CF3">
        <w:rPr>
          <w:rFonts w:ascii="Cambria" w:hAnsi="Cambria"/>
          <w:color w:val="000000"/>
          <w:sz w:val="20"/>
          <w:szCs w:val="20"/>
          <w:lang w:val="es-VE"/>
        </w:rPr>
        <w:t>19,</w:t>
      </w:r>
      <w:r w:rsidRPr="00417CF3">
        <w:rPr>
          <w:rFonts w:ascii="Cambria" w:hAnsi="Cambria"/>
          <w:color w:val="000000"/>
          <w:sz w:val="20"/>
          <w:szCs w:val="20"/>
          <w:lang w:val="es-VE"/>
        </w:rPr>
        <w:t xml:space="preserve"> </w:t>
      </w:r>
      <w:r w:rsidR="00EB3C87" w:rsidRPr="00417CF3">
        <w:rPr>
          <w:rFonts w:ascii="Cambria" w:hAnsi="Cambria"/>
          <w:color w:val="000000"/>
          <w:sz w:val="20"/>
          <w:szCs w:val="20"/>
          <w:lang w:val="es-VE"/>
        </w:rPr>
        <w:t xml:space="preserve">22.1 </w:t>
      </w:r>
      <w:r w:rsidRPr="00417CF3">
        <w:rPr>
          <w:rFonts w:ascii="Cambria" w:hAnsi="Cambria"/>
          <w:color w:val="000000"/>
          <w:sz w:val="20"/>
          <w:szCs w:val="20"/>
          <w:lang w:val="es-VE"/>
        </w:rPr>
        <w:t xml:space="preserve">y 25.1 de la Convención Americana sobre Derechos Humanos, en relación con </w:t>
      </w:r>
      <w:r w:rsidR="0085147A">
        <w:rPr>
          <w:rFonts w:ascii="Cambria" w:hAnsi="Cambria"/>
          <w:color w:val="000000"/>
          <w:sz w:val="20"/>
          <w:szCs w:val="20"/>
          <w:lang w:val="es-VE"/>
        </w:rPr>
        <w:t xml:space="preserve">el </w:t>
      </w:r>
      <w:r w:rsidRPr="00417CF3">
        <w:rPr>
          <w:rFonts w:ascii="Cambria" w:hAnsi="Cambria"/>
          <w:color w:val="000000"/>
          <w:sz w:val="20"/>
          <w:szCs w:val="20"/>
          <w:lang w:val="es-VE"/>
        </w:rPr>
        <w:t>artículo 1.1</w:t>
      </w:r>
      <w:r w:rsidR="00C42E5C">
        <w:rPr>
          <w:rFonts w:ascii="Cambria" w:hAnsi="Cambria"/>
          <w:color w:val="000000"/>
          <w:sz w:val="20"/>
          <w:szCs w:val="20"/>
          <w:lang w:val="es-VE"/>
        </w:rPr>
        <w:t xml:space="preserve"> </w:t>
      </w:r>
      <w:r w:rsidRPr="00417CF3">
        <w:rPr>
          <w:rFonts w:ascii="Cambria" w:hAnsi="Cambria"/>
          <w:color w:val="000000"/>
          <w:sz w:val="20"/>
          <w:szCs w:val="20"/>
          <w:lang w:val="es-VE"/>
        </w:rPr>
        <w:t>del mismo instrumento.</w:t>
      </w:r>
    </w:p>
    <w:p w14:paraId="6687C91D" w14:textId="77777777" w:rsidR="00006896" w:rsidRPr="00A21666" w:rsidRDefault="00006896" w:rsidP="00FD7DDB">
      <w:pPr>
        <w:suppressAutoHyphens/>
        <w:jc w:val="both"/>
        <w:rPr>
          <w:rFonts w:ascii="Cambria" w:hAnsi="Cambria"/>
          <w:sz w:val="20"/>
          <w:szCs w:val="20"/>
          <w:lang w:val="es-ES_tradnl"/>
        </w:rPr>
      </w:pPr>
    </w:p>
    <w:p w14:paraId="023B5B0B" w14:textId="77777777" w:rsidR="00617E74" w:rsidRDefault="00006896" w:rsidP="00AE06B2">
      <w:pPr>
        <w:jc w:val="center"/>
        <w:rPr>
          <w:rFonts w:ascii="Cambria" w:hAnsi="Cambria"/>
          <w:b/>
          <w:sz w:val="20"/>
          <w:szCs w:val="20"/>
          <w:lang w:val="es-ES_tradnl"/>
        </w:rPr>
      </w:pPr>
      <w:r w:rsidRPr="00A21666">
        <w:rPr>
          <w:rFonts w:ascii="Cambria" w:hAnsi="Cambria"/>
          <w:b/>
          <w:sz w:val="20"/>
          <w:szCs w:val="20"/>
          <w:lang w:val="es-ES_tradnl"/>
        </w:rPr>
        <w:t>LA COMISIÓN INTERAMERICANA DE DERECHOS HUMANOS,</w:t>
      </w:r>
      <w:r w:rsidR="004451B8">
        <w:rPr>
          <w:rFonts w:ascii="Cambria" w:hAnsi="Cambria"/>
          <w:b/>
          <w:sz w:val="20"/>
          <w:szCs w:val="20"/>
          <w:lang w:val="es-ES_tradnl"/>
        </w:rPr>
        <w:t xml:space="preserve"> </w:t>
      </w:r>
    </w:p>
    <w:p w14:paraId="3A2071FD" w14:textId="77777777" w:rsidR="00006896" w:rsidRPr="00A21666" w:rsidRDefault="00006896" w:rsidP="00AE06B2">
      <w:pPr>
        <w:jc w:val="center"/>
        <w:rPr>
          <w:rFonts w:ascii="Cambria" w:hAnsi="Cambria"/>
          <w:b/>
          <w:sz w:val="20"/>
          <w:szCs w:val="20"/>
          <w:lang w:val="es-ES_tradnl"/>
        </w:rPr>
      </w:pPr>
      <w:r w:rsidRPr="00A21666">
        <w:rPr>
          <w:rFonts w:ascii="Cambria" w:hAnsi="Cambria"/>
          <w:b/>
          <w:sz w:val="20"/>
          <w:szCs w:val="20"/>
          <w:lang w:val="es-ES_tradnl"/>
        </w:rPr>
        <w:t xml:space="preserve">RECOMIENDA AL ESTADO DE </w:t>
      </w:r>
      <w:r w:rsidR="00E66E05" w:rsidRPr="00A21666">
        <w:rPr>
          <w:rFonts w:ascii="Cambria" w:hAnsi="Cambria"/>
          <w:b/>
          <w:sz w:val="20"/>
          <w:szCs w:val="20"/>
          <w:lang w:val="es-ES_tradnl"/>
        </w:rPr>
        <w:t>HONDURAS</w:t>
      </w:r>
      <w:r w:rsidRPr="00A21666">
        <w:rPr>
          <w:rFonts w:ascii="Cambria" w:hAnsi="Cambria"/>
          <w:b/>
          <w:sz w:val="20"/>
          <w:szCs w:val="20"/>
          <w:lang w:val="es-ES_tradnl"/>
        </w:rPr>
        <w:t>,</w:t>
      </w:r>
    </w:p>
    <w:p w14:paraId="09C1CB36" w14:textId="77777777" w:rsidR="00006896" w:rsidRPr="00A21666" w:rsidRDefault="00006896" w:rsidP="00FD7D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666666"/>
          <w:sz w:val="20"/>
          <w:szCs w:val="20"/>
          <w:bdr w:val="none" w:sz="0" w:space="0" w:color="auto"/>
          <w:lang w:val="es-US"/>
        </w:rPr>
      </w:pPr>
    </w:p>
    <w:p w14:paraId="6A9D87FE" w14:textId="77777777" w:rsidR="00654D1C" w:rsidRPr="00B97AE6" w:rsidRDefault="00654D1C" w:rsidP="004451B8">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num" w:pos="360"/>
        </w:tabs>
        <w:suppressAutoHyphens/>
        <w:ind w:left="360" w:right="387"/>
        <w:jc w:val="both"/>
        <w:rPr>
          <w:rFonts w:ascii="Cambria" w:hAnsi="Cambria" w:cs="BookAntiqua"/>
          <w:sz w:val="20"/>
          <w:szCs w:val="20"/>
          <w:lang w:val="es-ES_tradnl"/>
        </w:rPr>
      </w:pPr>
      <w:r w:rsidRPr="00B97AE6">
        <w:rPr>
          <w:rFonts w:ascii="Cambria" w:hAnsi="Cambria"/>
          <w:sz w:val="20"/>
          <w:szCs w:val="20"/>
          <w:lang w:val="es-ES_tradnl"/>
        </w:rPr>
        <w:t xml:space="preserve">Reparar integralmente las violaciones de derechos humanos declaradas en el presente informe, incluyendo una justa compensación por el daño material e inmaterial, así como medidas de satisfacción debidamente concertadas con los familiares. </w:t>
      </w:r>
    </w:p>
    <w:p w14:paraId="38771003" w14:textId="77777777" w:rsidR="00654D1C" w:rsidRPr="00B97AE6" w:rsidRDefault="00654D1C" w:rsidP="004451B8">
      <w:pPr>
        <w:tabs>
          <w:tab w:val="num" w:pos="0"/>
          <w:tab w:val="num" w:pos="360"/>
          <w:tab w:val="num" w:pos="1170"/>
        </w:tabs>
        <w:autoSpaceDE w:val="0"/>
        <w:autoSpaceDN w:val="0"/>
        <w:adjustRightInd w:val="0"/>
        <w:ind w:left="360" w:right="387" w:hanging="360"/>
        <w:jc w:val="both"/>
        <w:rPr>
          <w:rFonts w:ascii="Cambria" w:hAnsi="Cambria" w:cs="BookAntiqua"/>
          <w:sz w:val="20"/>
          <w:szCs w:val="20"/>
          <w:lang w:val="es-ES_tradnl"/>
        </w:rPr>
      </w:pPr>
    </w:p>
    <w:p w14:paraId="4AAE1CC7" w14:textId="77777777" w:rsidR="00654D1C" w:rsidRPr="00B97AE6" w:rsidRDefault="00654D1C" w:rsidP="004451B8">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num" w:pos="360"/>
        </w:tabs>
        <w:suppressAutoHyphens/>
        <w:ind w:left="360" w:right="387"/>
        <w:jc w:val="both"/>
        <w:rPr>
          <w:rFonts w:ascii="Cambria" w:hAnsi="Cambria"/>
          <w:sz w:val="20"/>
          <w:szCs w:val="20"/>
          <w:lang w:val="es-ES"/>
        </w:rPr>
      </w:pPr>
      <w:r w:rsidRPr="00B97AE6">
        <w:rPr>
          <w:rFonts w:ascii="Cambria" w:hAnsi="Cambria" w:cs="Arial"/>
          <w:sz w:val="20"/>
          <w:szCs w:val="20"/>
          <w:lang w:val="es-ES"/>
        </w:rPr>
        <w:t>Disponer</w:t>
      </w:r>
      <w:r w:rsidRPr="00B97AE6">
        <w:rPr>
          <w:rFonts w:ascii="Cambria" w:eastAsia="Batang" w:hAnsi="Cambria"/>
          <w:bCs/>
          <w:sz w:val="20"/>
          <w:szCs w:val="20"/>
          <w:bdr w:val="none" w:sz="0" w:space="0" w:color="auto"/>
          <w:lang w:val="es-AR"/>
        </w:rPr>
        <w:t xml:space="preserve"> las medidas de atención en salud física y mental necesarias para los familiares de </w:t>
      </w:r>
      <w:r>
        <w:rPr>
          <w:rFonts w:ascii="Cambria" w:eastAsia="Batang" w:hAnsi="Cambria"/>
          <w:bCs/>
          <w:sz w:val="20"/>
          <w:szCs w:val="20"/>
          <w:bdr w:val="none" w:sz="0" w:space="0" w:color="auto"/>
          <w:lang w:val="es-AR"/>
        </w:rPr>
        <w:t>Herminio Deras García</w:t>
      </w:r>
      <w:r w:rsidRPr="00B97AE6">
        <w:rPr>
          <w:rFonts w:ascii="Cambria" w:eastAsia="Batang" w:hAnsi="Cambria"/>
          <w:bCs/>
          <w:sz w:val="20"/>
          <w:szCs w:val="20"/>
          <w:bdr w:val="none" w:sz="0" w:space="0" w:color="auto"/>
          <w:lang w:val="es-AR"/>
        </w:rPr>
        <w:t xml:space="preserve">. Estas medidas deben implementarse en caso de ser voluntad de las víctimas y de manera concertada con ellas y sus representantes. </w:t>
      </w:r>
    </w:p>
    <w:p w14:paraId="1492E865" w14:textId="77777777" w:rsidR="00654D1C" w:rsidRPr="00B97AE6" w:rsidRDefault="00654D1C" w:rsidP="004451B8">
      <w:pPr>
        <w:tabs>
          <w:tab w:val="num" w:pos="0"/>
          <w:tab w:val="num" w:pos="360"/>
          <w:tab w:val="num" w:pos="1170"/>
        </w:tabs>
        <w:autoSpaceDE w:val="0"/>
        <w:autoSpaceDN w:val="0"/>
        <w:adjustRightInd w:val="0"/>
        <w:ind w:left="360" w:right="387" w:hanging="360"/>
        <w:jc w:val="both"/>
        <w:rPr>
          <w:rFonts w:ascii="Cambria" w:hAnsi="Cambria" w:cs="BookAntiqua"/>
          <w:sz w:val="20"/>
          <w:szCs w:val="20"/>
          <w:lang w:val="es-ES_tradnl"/>
        </w:rPr>
      </w:pPr>
    </w:p>
    <w:p w14:paraId="62EA25F5" w14:textId="77777777" w:rsidR="00654D1C" w:rsidRPr="00B97AE6" w:rsidRDefault="00654D1C" w:rsidP="004451B8">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1980"/>
          <w:tab w:val="num" w:pos="360"/>
        </w:tabs>
        <w:suppressAutoHyphens/>
        <w:ind w:left="360" w:right="387"/>
        <w:jc w:val="both"/>
        <w:rPr>
          <w:rFonts w:ascii="Cambria" w:hAnsi="Cambria"/>
          <w:sz w:val="20"/>
          <w:szCs w:val="20"/>
          <w:lang w:val="es-CO"/>
        </w:rPr>
      </w:pPr>
      <w:r w:rsidRPr="00B97AE6">
        <w:rPr>
          <w:rFonts w:ascii="Cambria" w:hAnsi="Cambria" w:cs="BookAntiqua"/>
          <w:sz w:val="20"/>
          <w:szCs w:val="20"/>
          <w:lang w:val="es-ES_tradnl"/>
        </w:rPr>
        <w:t>Realizar</w:t>
      </w:r>
      <w:r w:rsidRPr="00B97AE6">
        <w:rPr>
          <w:rFonts w:ascii="Cambria" w:hAnsi="Cambria"/>
          <w:sz w:val="20"/>
          <w:szCs w:val="20"/>
          <w:lang w:val="es-ES"/>
        </w:rPr>
        <w:t xml:space="preserve"> una investigación completa y efectiva de las violaciones de derechos humanos declaradas en el presente informe. Ello debe implicar i) </w:t>
      </w:r>
      <w:r w:rsidRPr="00B97AE6">
        <w:rPr>
          <w:rFonts w:ascii="Cambria" w:hAnsi="Cambria"/>
          <w:sz w:val="20"/>
          <w:szCs w:val="20"/>
          <w:lang w:val="es-CO"/>
        </w:rPr>
        <w:t xml:space="preserve">que se desplieguen todos los esfuerzos necesarios para </w:t>
      </w:r>
      <w:r w:rsidRPr="00B97AE6">
        <w:rPr>
          <w:rFonts w:ascii="Cambria" w:hAnsi="Cambria"/>
          <w:sz w:val="20"/>
          <w:szCs w:val="20"/>
          <w:lang w:val="es-CO"/>
        </w:rPr>
        <w:lastRenderedPageBreak/>
        <w:t xml:space="preserve">lograr la captura de </w:t>
      </w:r>
      <w:r>
        <w:rPr>
          <w:rFonts w:ascii="Cambria" w:hAnsi="Cambria"/>
          <w:sz w:val="20"/>
          <w:szCs w:val="20"/>
          <w:lang w:val="es-CO"/>
        </w:rPr>
        <w:t>Marco Tulio Regalado</w:t>
      </w:r>
      <w:r w:rsidRPr="00B97AE6">
        <w:rPr>
          <w:rFonts w:ascii="Cambria" w:hAnsi="Cambria"/>
          <w:sz w:val="20"/>
          <w:szCs w:val="20"/>
          <w:lang w:val="es-CO"/>
        </w:rPr>
        <w:t xml:space="preserve"> a fin de que cumpla la condena impuesta; y ii) que se investiguen todas las demás responsabilidades en la justicia penal ordinaria.</w:t>
      </w:r>
    </w:p>
    <w:p w14:paraId="4BBF1BD8" w14:textId="77777777" w:rsidR="0033028D" w:rsidRPr="00654D1C" w:rsidRDefault="0033028D" w:rsidP="00A668F1">
      <w:pPr>
        <w:pStyle w:val="MediumGrid1-Accent21"/>
        <w:rPr>
          <w:rFonts w:eastAsia="Times New Roman" w:cs="Tahoma"/>
          <w:sz w:val="20"/>
          <w:szCs w:val="20"/>
          <w:bdr w:val="none" w:sz="0" w:space="0" w:color="auto"/>
          <w:lang w:val="es-CO"/>
        </w:rPr>
      </w:pPr>
    </w:p>
    <w:p w14:paraId="7D9C0043" w14:textId="77777777" w:rsidR="00654D1C" w:rsidRDefault="00654D1C" w:rsidP="00A668F1">
      <w:pPr>
        <w:jc w:val="both"/>
        <w:rPr>
          <w:rFonts w:ascii="Cambria" w:hAnsi="Cambria"/>
          <w:b/>
          <w:sz w:val="20"/>
          <w:szCs w:val="20"/>
          <w:lang w:val="es-ES_tradnl"/>
        </w:rPr>
      </w:pPr>
    </w:p>
    <w:sectPr w:rsidR="00654D1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79C59" w14:textId="77777777" w:rsidR="00055831" w:rsidRDefault="00055831">
      <w:r>
        <w:separator/>
      </w:r>
    </w:p>
  </w:endnote>
  <w:endnote w:type="continuationSeparator" w:id="0">
    <w:p w14:paraId="1C7B0C08" w14:textId="77777777" w:rsidR="00055831" w:rsidRDefault="0005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Bold">
    <w:altName w:val="Verdana"/>
    <w:panose1 w:val="00000000000000000000"/>
    <w:charset w:val="4D"/>
    <w:family w:val="auto"/>
    <w:notTrueType/>
    <w:pitch w:val="default"/>
    <w:sig w:usb0="03000000"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Univers,Italic">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1832" w14:textId="77777777" w:rsidR="009D6394" w:rsidRPr="00934A2C" w:rsidRDefault="009D639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17E74">
      <w:rPr>
        <w:noProof/>
        <w:sz w:val="16"/>
        <w:szCs w:val="22"/>
      </w:rPr>
      <w:t>1</w:t>
    </w:r>
    <w:r w:rsidRPr="00934A2C">
      <w:rPr>
        <w:noProof/>
        <w:sz w:val="16"/>
        <w:szCs w:val="22"/>
      </w:rPr>
      <w:fldChar w:fldCharType="end"/>
    </w:r>
  </w:p>
  <w:p w14:paraId="0668EE11" w14:textId="77777777" w:rsidR="009D6394" w:rsidRDefault="009D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A964" w14:textId="77777777" w:rsidR="009D6394" w:rsidRPr="00934A2C" w:rsidRDefault="009D6394">
    <w:pPr>
      <w:pStyle w:val="Footer"/>
      <w:jc w:val="center"/>
      <w:rPr>
        <w:sz w:val="16"/>
        <w:szCs w:val="22"/>
      </w:rPr>
    </w:pPr>
  </w:p>
  <w:p w14:paraId="0AC2384F" w14:textId="77777777" w:rsidR="009D6394" w:rsidRDefault="009D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7490E" w14:textId="77777777" w:rsidR="00055831" w:rsidRPr="00470D7E" w:rsidRDefault="00055831">
      <w:pPr>
        <w:rPr>
          <w:rFonts w:ascii="Cambria" w:hAnsi="Cambria"/>
          <w:sz w:val="16"/>
          <w:szCs w:val="16"/>
        </w:rPr>
      </w:pPr>
      <w:r w:rsidRPr="00470D7E">
        <w:rPr>
          <w:rFonts w:ascii="Cambria" w:hAnsi="Cambria"/>
          <w:sz w:val="16"/>
          <w:szCs w:val="16"/>
        </w:rPr>
        <w:separator/>
      </w:r>
    </w:p>
  </w:footnote>
  <w:footnote w:type="continuationSeparator" w:id="0">
    <w:p w14:paraId="06BF1245" w14:textId="77777777" w:rsidR="00055831" w:rsidRPr="00470D7E" w:rsidRDefault="00055831" w:rsidP="000F35ED">
      <w:pPr>
        <w:rPr>
          <w:rFonts w:ascii="Cambria" w:hAnsi="Cambria"/>
          <w:sz w:val="16"/>
          <w:szCs w:val="16"/>
        </w:rPr>
      </w:pPr>
      <w:r w:rsidRPr="00470D7E">
        <w:rPr>
          <w:rFonts w:ascii="Cambria" w:hAnsi="Cambria"/>
          <w:sz w:val="16"/>
          <w:szCs w:val="16"/>
        </w:rPr>
        <w:separator/>
      </w:r>
    </w:p>
    <w:p w14:paraId="6B2C8D46" w14:textId="77777777" w:rsidR="00055831" w:rsidRPr="00470D7E" w:rsidRDefault="00055831" w:rsidP="000F35ED">
      <w:pPr>
        <w:pStyle w:val="Footer"/>
        <w:rPr>
          <w:sz w:val="16"/>
          <w:szCs w:val="16"/>
        </w:rPr>
      </w:pPr>
      <w:r w:rsidRPr="00470D7E">
        <w:rPr>
          <w:sz w:val="16"/>
          <w:szCs w:val="16"/>
        </w:rPr>
        <w:t>[… continuación]</w:t>
      </w:r>
    </w:p>
  </w:footnote>
  <w:footnote w:type="continuationNotice" w:id="1">
    <w:p w14:paraId="293FE9E1" w14:textId="77777777" w:rsidR="00055831" w:rsidRPr="00470D7E" w:rsidRDefault="00055831" w:rsidP="000F35ED">
      <w:pPr>
        <w:jc w:val="right"/>
        <w:rPr>
          <w:rFonts w:ascii="Cambria" w:hAnsi="Cambria"/>
          <w:sz w:val="16"/>
          <w:szCs w:val="16"/>
          <w:lang w:val="es-ES"/>
        </w:rPr>
      </w:pPr>
      <w:r w:rsidRPr="00470D7E">
        <w:rPr>
          <w:rFonts w:ascii="Cambria" w:hAnsi="Cambria"/>
          <w:sz w:val="16"/>
          <w:szCs w:val="16"/>
          <w:lang w:val="es-ES"/>
        </w:rPr>
        <w:t>[continúa…]</w:t>
      </w:r>
    </w:p>
  </w:footnote>
  <w:footnote w:id="2">
    <w:p w14:paraId="4B16D68A" w14:textId="77777777" w:rsidR="009D6394" w:rsidRPr="00CC44C8" w:rsidRDefault="009D6394" w:rsidP="00CD345C">
      <w:pPr>
        <w:jc w:val="both"/>
        <w:rPr>
          <w:rFonts w:ascii="Cambria" w:eastAsia="Times New Roman" w:hAnsi="Cambria"/>
          <w:sz w:val="16"/>
          <w:szCs w:val="16"/>
          <w:bdr w:val="none" w:sz="0" w:space="0" w:color="auto"/>
          <w:lang w:val="es-CL"/>
        </w:rPr>
      </w:pPr>
      <w:r w:rsidRPr="00CC44C8">
        <w:rPr>
          <w:rStyle w:val="FootnoteReference"/>
          <w:rFonts w:ascii="Cambria" w:hAnsi="Cambria"/>
          <w:sz w:val="16"/>
          <w:szCs w:val="16"/>
        </w:rPr>
        <w:footnoteRef/>
      </w:r>
      <w:r w:rsidRPr="00CC44C8">
        <w:rPr>
          <w:rFonts w:ascii="Cambria" w:hAnsi="Cambria"/>
          <w:sz w:val="16"/>
          <w:szCs w:val="16"/>
          <w:lang w:val="es-US"/>
        </w:rPr>
        <w:t xml:space="preserve"> Con posterioridad el </w:t>
      </w:r>
      <w:r w:rsidRPr="00CC44C8">
        <w:rPr>
          <w:rFonts w:ascii="Cambria" w:eastAsia="Times New Roman" w:hAnsi="Cambria" w:cs="Arial"/>
          <w:bCs/>
          <w:sz w:val="16"/>
          <w:szCs w:val="16"/>
          <w:bdr w:val="none" w:sz="0" w:space="0" w:color="auto"/>
          <w:shd w:val="clear" w:color="auto" w:fill="FFFFFF"/>
          <w:lang w:val="es-CL"/>
        </w:rPr>
        <w:t>Comité de Familiares</w:t>
      </w:r>
      <w:r w:rsidRPr="00CC44C8">
        <w:rPr>
          <w:rFonts w:ascii="Cambria" w:eastAsia="Times New Roman" w:hAnsi="Cambria" w:cs="Arial"/>
          <w:sz w:val="16"/>
          <w:szCs w:val="16"/>
          <w:bdr w:val="none" w:sz="0" w:space="0" w:color="auto"/>
          <w:shd w:val="clear" w:color="auto" w:fill="FFFFFF"/>
          <w:lang w:val="es-CL"/>
        </w:rPr>
        <w:t> de </w:t>
      </w:r>
      <w:r w:rsidRPr="00CC44C8">
        <w:rPr>
          <w:rFonts w:ascii="Cambria" w:eastAsia="Times New Roman" w:hAnsi="Cambria" w:cs="Arial"/>
          <w:bCs/>
          <w:sz w:val="16"/>
          <w:szCs w:val="16"/>
          <w:bdr w:val="none" w:sz="0" w:space="0" w:color="auto"/>
          <w:shd w:val="clear" w:color="auto" w:fill="FFFFFF"/>
          <w:lang w:val="es-CL"/>
        </w:rPr>
        <w:t>Detenidos</w:t>
      </w:r>
      <w:r w:rsidRPr="00CC44C8">
        <w:rPr>
          <w:rFonts w:ascii="Cambria" w:eastAsia="Times New Roman" w:hAnsi="Cambria" w:cs="Arial"/>
          <w:sz w:val="16"/>
          <w:szCs w:val="16"/>
          <w:bdr w:val="none" w:sz="0" w:space="0" w:color="auto"/>
          <w:shd w:val="clear" w:color="auto" w:fill="FFFFFF"/>
          <w:lang w:val="es-CL"/>
        </w:rPr>
        <w:t>-</w:t>
      </w:r>
      <w:r w:rsidRPr="00CC44C8">
        <w:rPr>
          <w:rFonts w:ascii="Cambria" w:eastAsia="Times New Roman" w:hAnsi="Cambria" w:cs="Arial"/>
          <w:bCs/>
          <w:sz w:val="16"/>
          <w:szCs w:val="16"/>
          <w:bdr w:val="none" w:sz="0" w:space="0" w:color="auto"/>
          <w:shd w:val="clear" w:color="auto" w:fill="FFFFFF"/>
          <w:lang w:val="es-CL"/>
        </w:rPr>
        <w:t>Desaparecidos en Honduras</w:t>
      </w:r>
      <w:r w:rsidRPr="00CC44C8">
        <w:rPr>
          <w:rFonts w:ascii="Cambria" w:eastAsia="Times New Roman" w:hAnsi="Cambria" w:cs="Arial"/>
          <w:sz w:val="16"/>
          <w:szCs w:val="16"/>
          <w:bdr w:val="none" w:sz="0" w:space="0" w:color="auto"/>
          <w:shd w:val="clear" w:color="auto" w:fill="FFFFFF"/>
          <w:lang w:val="es-CL"/>
        </w:rPr>
        <w:t> (</w:t>
      </w:r>
      <w:r w:rsidRPr="00CC44C8">
        <w:rPr>
          <w:rFonts w:ascii="Cambria" w:eastAsia="Times New Roman" w:hAnsi="Cambria" w:cs="Arial"/>
          <w:bCs/>
          <w:sz w:val="16"/>
          <w:szCs w:val="16"/>
          <w:bdr w:val="none" w:sz="0" w:space="0" w:color="auto"/>
          <w:shd w:val="clear" w:color="auto" w:fill="FFFFFF"/>
          <w:lang w:val="es-CL"/>
        </w:rPr>
        <w:t>COFADEH</w:t>
      </w:r>
      <w:r w:rsidRPr="00CC44C8">
        <w:rPr>
          <w:rFonts w:ascii="Cambria" w:eastAsia="Times New Roman" w:hAnsi="Cambria" w:cs="Arial"/>
          <w:sz w:val="16"/>
          <w:szCs w:val="16"/>
          <w:bdr w:val="none" w:sz="0" w:space="0" w:color="auto"/>
          <w:shd w:val="clear" w:color="auto" w:fill="FFFFFF"/>
          <w:lang w:val="es-CL"/>
        </w:rPr>
        <w:t xml:space="preserve">) y Alba Luz Deras </w:t>
      </w:r>
      <w:r w:rsidRPr="00CC44C8">
        <w:rPr>
          <w:rFonts w:ascii="Cambria" w:hAnsi="Cambria"/>
          <w:sz w:val="16"/>
          <w:szCs w:val="16"/>
          <w:lang w:val="es-US"/>
        </w:rPr>
        <w:t>se incorporaron como parte peticionaria.</w:t>
      </w:r>
    </w:p>
  </w:footnote>
  <w:footnote w:id="3">
    <w:p w14:paraId="46315615" w14:textId="77777777" w:rsidR="009D6394" w:rsidRPr="00CC44C8" w:rsidRDefault="009D6394" w:rsidP="00CD34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lang w:val="es-ES"/>
        </w:rPr>
      </w:pPr>
      <w:r w:rsidRPr="00CC44C8">
        <w:rPr>
          <w:rStyle w:val="FootnoteReference"/>
          <w:rFonts w:ascii="Cambria" w:hAnsi="Cambria"/>
          <w:sz w:val="16"/>
          <w:szCs w:val="16"/>
        </w:rPr>
        <w:footnoteRef/>
      </w:r>
      <w:r w:rsidRPr="008628D0">
        <w:rPr>
          <w:rFonts w:ascii="Cambria" w:hAnsi="Cambria"/>
          <w:sz w:val="16"/>
          <w:szCs w:val="16"/>
          <w:lang w:val="es-ES"/>
        </w:rPr>
        <w:t xml:space="preserve"> CIDH. </w:t>
      </w:r>
      <w:r w:rsidRPr="00CC44C8">
        <w:rPr>
          <w:rFonts w:ascii="Cambria" w:hAnsi="Cambria"/>
          <w:sz w:val="16"/>
          <w:szCs w:val="16"/>
          <w:lang w:val="es-ES"/>
        </w:rPr>
        <w:t>Informe No. 56/13. Petición 80-02. Admisibilidad. Herminio Deras García y otros. Honduras. 16 de julio de 2003.</w:t>
      </w:r>
      <w:r w:rsidRPr="00CC44C8">
        <w:rPr>
          <w:rFonts w:ascii="Cambria" w:hAnsi="Cambria"/>
          <w:sz w:val="16"/>
          <w:szCs w:val="16"/>
          <w:lang w:val="es-US"/>
        </w:rPr>
        <w:t xml:space="preserve"> La Comisión declaró admisible la petición en relación con los artículos </w:t>
      </w:r>
      <w:r w:rsidRPr="00CC44C8">
        <w:rPr>
          <w:rFonts w:ascii="Cambria" w:hAnsi="Cambria"/>
          <w:sz w:val="16"/>
          <w:szCs w:val="16"/>
          <w:lang w:val="es-ES"/>
        </w:rPr>
        <w:t>4, 5, 7, 8, 11, 13, 16,  17, 22, 19 y 25  de la Convención Americana, en conexión con el artículo 1.1 de dicho instrumento.</w:t>
      </w:r>
    </w:p>
  </w:footnote>
  <w:footnote w:id="4">
    <w:p w14:paraId="6DC03752"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w:t>
      </w:r>
      <w:r w:rsidRPr="00CC44C8">
        <w:rPr>
          <w:rFonts w:ascii="Cambria" w:hAnsi="Cambria"/>
          <w:sz w:val="16"/>
          <w:szCs w:val="16"/>
          <w:lang w:val="es-CL"/>
        </w:rPr>
        <w:t>CIDH. Informe No. 8/93. Caso 10.793. Fondo. Francisco Javier Bonilla. Honduras. 12 de marzo de 1993, párr. 17.</w:t>
      </w:r>
    </w:p>
  </w:footnote>
  <w:footnote w:id="5">
    <w:p w14:paraId="021740E0"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A668F1">
        <w:rPr>
          <w:rFonts w:ascii="Cambria" w:hAnsi="Cambria"/>
          <w:sz w:val="16"/>
          <w:szCs w:val="16"/>
          <w:lang w:val="es-ES"/>
        </w:rPr>
        <w:t xml:space="preserve"> Corte IDH. </w:t>
      </w:r>
      <w:r w:rsidRPr="00A668F1">
        <w:rPr>
          <w:rFonts w:ascii="Cambria" w:hAnsi="Cambria"/>
          <w:i/>
          <w:sz w:val="16"/>
          <w:szCs w:val="16"/>
          <w:lang w:val="es-ES"/>
        </w:rPr>
        <w:t xml:space="preserve">Caso Juan Humberto Sánchez Vs. </w:t>
      </w:r>
      <w:r w:rsidRPr="00CC44C8">
        <w:rPr>
          <w:rFonts w:ascii="Cambria" w:hAnsi="Cambria"/>
          <w:i/>
          <w:sz w:val="16"/>
          <w:szCs w:val="16"/>
          <w:lang w:val="es-ES"/>
        </w:rPr>
        <w:t>Honduras</w:t>
      </w:r>
      <w:r w:rsidRPr="00CC44C8">
        <w:rPr>
          <w:rFonts w:ascii="Cambria" w:hAnsi="Cambria"/>
          <w:sz w:val="16"/>
          <w:szCs w:val="16"/>
          <w:lang w:val="es-ES"/>
        </w:rPr>
        <w:t xml:space="preserve">. Excepción Preliminar, Fondo, Reparaciones y Costas. Sentencia de 7 de junio de 2003. Serie C No. 99, párr. 70; </w:t>
      </w:r>
      <w:r w:rsidRPr="00CC44C8">
        <w:rPr>
          <w:rFonts w:ascii="Cambria" w:hAnsi="Cambria"/>
          <w:i/>
          <w:sz w:val="16"/>
          <w:szCs w:val="16"/>
          <w:lang w:val="es-ES"/>
        </w:rPr>
        <w:t>Caso Godínez Cruz</w:t>
      </w:r>
      <w:r w:rsidRPr="00CC44C8">
        <w:rPr>
          <w:rFonts w:ascii="Cambria" w:hAnsi="Cambria"/>
          <w:sz w:val="16"/>
          <w:szCs w:val="16"/>
          <w:lang w:val="es-ES"/>
        </w:rPr>
        <w:t xml:space="preserve">. Sentencia de 20 de enero de 1989. Serie C No. 5, párrs. 153.b, 165, 167 y 198; y </w:t>
      </w:r>
      <w:r w:rsidRPr="00CC44C8">
        <w:rPr>
          <w:rFonts w:ascii="Cambria" w:hAnsi="Cambria"/>
          <w:i/>
          <w:sz w:val="16"/>
          <w:szCs w:val="16"/>
          <w:lang w:val="es-ES"/>
        </w:rPr>
        <w:t>Caso Velásquez Rodríguez</w:t>
      </w:r>
      <w:r w:rsidRPr="00CC44C8">
        <w:rPr>
          <w:rFonts w:ascii="Cambria" w:hAnsi="Cambria"/>
          <w:sz w:val="16"/>
          <w:szCs w:val="16"/>
          <w:lang w:val="es-ES"/>
        </w:rPr>
        <w:t>. Sentencia de 29 de julio de 1988. Serie C No. 4, párrs. 147.b), 157 y 188.</w:t>
      </w:r>
    </w:p>
  </w:footnote>
  <w:footnote w:id="6">
    <w:p w14:paraId="51207D0F" w14:textId="77777777" w:rsidR="009D6394" w:rsidRPr="00CC44C8" w:rsidRDefault="009D6394" w:rsidP="00CD345C">
      <w:pPr>
        <w:pStyle w:val="FootnoteText"/>
        <w:jc w:val="both"/>
        <w:rPr>
          <w:rFonts w:ascii="Cambria" w:hAnsi="Cambria"/>
          <w:sz w:val="16"/>
          <w:szCs w:val="16"/>
          <w:lang w:val="es-CO"/>
        </w:rPr>
      </w:pPr>
      <w:r w:rsidRPr="00CC44C8">
        <w:rPr>
          <w:rStyle w:val="FootnoteReference"/>
          <w:rFonts w:ascii="Cambria" w:hAnsi="Cambria"/>
          <w:sz w:val="16"/>
          <w:szCs w:val="16"/>
        </w:rPr>
        <w:footnoteRef/>
      </w:r>
      <w:r w:rsidRPr="00CC44C8">
        <w:rPr>
          <w:rFonts w:ascii="Cambria" w:hAnsi="Cambria"/>
          <w:sz w:val="16"/>
          <w:szCs w:val="16"/>
          <w:lang w:val="es-ES"/>
        </w:rPr>
        <w:t xml:space="preserve"> </w:t>
      </w:r>
      <w:r w:rsidRPr="00CC44C8">
        <w:rPr>
          <w:rFonts w:ascii="Cambria" w:hAnsi="Cambria"/>
          <w:sz w:val="16"/>
          <w:szCs w:val="16"/>
          <w:lang w:val="es-CL"/>
        </w:rPr>
        <w:t>Comisión de la verdad y reconciliación, Informe: Para que los hechos no se repitan,</w:t>
      </w:r>
      <w:r w:rsidRPr="00CC44C8">
        <w:rPr>
          <w:rFonts w:ascii="Cambria" w:hAnsi="Cambria"/>
          <w:i/>
          <w:sz w:val="16"/>
          <w:szCs w:val="16"/>
          <w:lang w:val="es-CL"/>
        </w:rPr>
        <w:t xml:space="preserve"> </w:t>
      </w:r>
      <w:r w:rsidRPr="00CC44C8">
        <w:rPr>
          <w:rFonts w:ascii="Cambria" w:hAnsi="Cambria"/>
          <w:sz w:val="16"/>
          <w:szCs w:val="16"/>
          <w:lang w:val="es-CL"/>
        </w:rPr>
        <w:t>Honduras, 2011, págs. 56, 83.</w:t>
      </w:r>
    </w:p>
  </w:footnote>
  <w:footnote w:id="7">
    <w:p w14:paraId="666A7E51" w14:textId="77777777" w:rsidR="009D6394" w:rsidRPr="00CC44C8" w:rsidRDefault="009D6394" w:rsidP="00CD345C">
      <w:pPr>
        <w:pStyle w:val="FootnoteText"/>
        <w:jc w:val="both"/>
        <w:rPr>
          <w:rFonts w:ascii="Cambria" w:hAnsi="Cambria"/>
          <w:sz w:val="16"/>
          <w:szCs w:val="16"/>
          <w:lang w:val="es-CO"/>
        </w:rPr>
      </w:pPr>
      <w:r w:rsidRPr="00CC44C8">
        <w:rPr>
          <w:rStyle w:val="FootnoteReference"/>
          <w:rFonts w:ascii="Cambria" w:hAnsi="Cambria"/>
          <w:sz w:val="16"/>
          <w:szCs w:val="16"/>
        </w:rPr>
        <w:footnoteRef/>
      </w:r>
      <w:r w:rsidRPr="00CC44C8">
        <w:rPr>
          <w:rFonts w:ascii="Cambria" w:hAnsi="Cambria"/>
          <w:sz w:val="16"/>
          <w:szCs w:val="16"/>
          <w:lang w:val="es-CO"/>
        </w:rPr>
        <w:t xml:space="preserve"> </w:t>
      </w:r>
      <w:r w:rsidRPr="00CC44C8">
        <w:rPr>
          <w:rFonts w:ascii="Cambria" w:hAnsi="Cambria"/>
          <w:sz w:val="16"/>
          <w:szCs w:val="16"/>
          <w:lang w:val="es-CL"/>
        </w:rPr>
        <w:t>Comisionado Nacional de los Derechos Humanos, Los hechos hablan por sí mismo: Informe preliminar sobre los desaparecidos en Honduras 1980-1993</w:t>
      </w:r>
      <w:r w:rsidRPr="00CC44C8">
        <w:rPr>
          <w:rFonts w:ascii="Cambria" w:hAnsi="Cambria"/>
          <w:i/>
          <w:sz w:val="16"/>
          <w:szCs w:val="16"/>
          <w:lang w:val="es-CL"/>
        </w:rPr>
        <w:t xml:space="preserve">. </w:t>
      </w:r>
      <w:r w:rsidRPr="00CC44C8">
        <w:rPr>
          <w:rFonts w:ascii="Cambria" w:hAnsi="Cambria"/>
          <w:sz w:val="16"/>
          <w:szCs w:val="16"/>
          <w:lang w:val="es-CL"/>
        </w:rPr>
        <w:t>Tegucigalpa, 2002, pág. 392.</w:t>
      </w:r>
    </w:p>
  </w:footnote>
  <w:footnote w:id="8">
    <w:p w14:paraId="1E7CE06A"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Declaración de  Otilia Flórez Ortiz  del 12  de agosto de1998. </w:t>
      </w:r>
      <w:r w:rsidRPr="00CC44C8">
        <w:rPr>
          <w:rFonts w:ascii="Cambria" w:hAnsi="Cambria"/>
          <w:color w:val="auto"/>
          <w:sz w:val="16"/>
          <w:szCs w:val="16"/>
          <w:lang w:val="es-US"/>
        </w:rPr>
        <w:t xml:space="preserve">Anexo al expediente judicial 7159-02. </w:t>
      </w:r>
      <w:r w:rsidRPr="00CC44C8">
        <w:rPr>
          <w:rFonts w:ascii="Cambria" w:hAnsi="Cambria"/>
          <w:color w:val="auto"/>
          <w:sz w:val="16"/>
          <w:szCs w:val="16"/>
          <w:lang w:val="es-CL"/>
        </w:rPr>
        <w:t>Nota de Prensa “Acribillan a Herminio Deras”, periódico La Tribuna,  31 de enero de 1983. Anexo al expediente 7591-02.</w:t>
      </w:r>
    </w:p>
  </w:footnote>
  <w:footnote w:id="9">
    <w:p w14:paraId="37BA0711" w14:textId="77777777" w:rsidR="009D6394" w:rsidRPr="00CC44C8" w:rsidRDefault="009D6394" w:rsidP="00CD345C">
      <w:pPr>
        <w:pStyle w:val="FootnoteText"/>
        <w:jc w:val="both"/>
        <w:rPr>
          <w:rFonts w:ascii="Cambria" w:hAnsi="Cambria"/>
          <w:sz w:val="16"/>
          <w:szCs w:val="16"/>
          <w:lang w:val="es-ES_tradn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sz w:val="16"/>
          <w:szCs w:val="16"/>
          <w:lang w:val="es-ES_tradnl"/>
        </w:rPr>
        <w:t>Comunicación de la parte peticionara de 2 de febrero de 2014.</w:t>
      </w:r>
    </w:p>
  </w:footnote>
  <w:footnote w:id="10">
    <w:p w14:paraId="76ADF8BB"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Comunicaciones de la peticionara de 2 de agosto de 2010 y 2 de febrero de 2014. </w:t>
      </w:r>
      <w:r w:rsidRPr="00CC44C8">
        <w:rPr>
          <w:rFonts w:ascii="Cambria" w:hAnsi="Cambria"/>
          <w:sz w:val="16"/>
          <w:szCs w:val="16"/>
          <w:lang w:val="es-CL"/>
        </w:rPr>
        <w:t xml:space="preserve">Anexo 1. Declaración de  Otilia Flores Ortiz, 9 de agosto de1998. </w:t>
      </w:r>
      <w:r w:rsidRPr="00CC44C8">
        <w:rPr>
          <w:rFonts w:ascii="Cambria" w:hAnsi="Cambria"/>
          <w:color w:val="auto"/>
          <w:sz w:val="16"/>
          <w:szCs w:val="16"/>
          <w:lang w:val="es-CL"/>
        </w:rPr>
        <w:t xml:space="preserve">Declaración de  Elba Flores Ortiz, 6 de febrero de 2002. Declaración de Luis Ronaldo Deras García, 12  de agosto de 1998. Declaración de Isabel Deras García, 12  de agosto de 1998. </w:t>
      </w:r>
      <w:r w:rsidRPr="00CC44C8">
        <w:rPr>
          <w:rFonts w:ascii="Cambria" w:hAnsi="Cambria"/>
          <w:color w:val="auto"/>
          <w:sz w:val="16"/>
          <w:szCs w:val="16"/>
          <w:lang w:val="es-US"/>
        </w:rPr>
        <w:t xml:space="preserve">Anexo al expediente judicial 7159-02. </w:t>
      </w:r>
      <w:r w:rsidRPr="00CC44C8">
        <w:rPr>
          <w:rFonts w:ascii="Cambria" w:hAnsi="Cambria"/>
          <w:color w:val="auto"/>
          <w:sz w:val="16"/>
          <w:szCs w:val="16"/>
          <w:lang w:val="es-CL"/>
        </w:rPr>
        <w:t xml:space="preserve">Anexo 2. Notas de prensa sobre el ametrallamiento a la casa de la familia Deras. Anexo a la comunicación de la parte peticionara de 2 de agosto de 2010. Anexo 3. Denuncia presenta por  Otilia Flores Ortiz  el 4 de febrero de 1983. </w:t>
      </w:r>
      <w:r w:rsidRPr="00CC44C8">
        <w:rPr>
          <w:rFonts w:ascii="Cambria" w:hAnsi="Cambria"/>
          <w:color w:val="auto"/>
          <w:sz w:val="16"/>
          <w:szCs w:val="16"/>
          <w:lang w:val="es-US"/>
        </w:rPr>
        <w:t xml:space="preserve">Anexo al comunicado de la parte peticionaria del 02 de agosto del 2010. </w:t>
      </w:r>
    </w:p>
  </w:footnote>
  <w:footnote w:id="11">
    <w:p w14:paraId="0B2C0ACF"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Declaración de  Irma Isabel Deras García  del 12  de agosto de1998. </w:t>
      </w:r>
      <w:r w:rsidRPr="00CC44C8">
        <w:rPr>
          <w:rFonts w:ascii="Cambria" w:hAnsi="Cambria"/>
          <w:color w:val="auto"/>
          <w:sz w:val="16"/>
          <w:szCs w:val="16"/>
          <w:lang w:val="es-US"/>
        </w:rPr>
        <w:t xml:space="preserve">Anexo al expediente judicial 7159-02. </w:t>
      </w:r>
      <w:r w:rsidRPr="00CC44C8">
        <w:rPr>
          <w:rFonts w:ascii="Cambria" w:hAnsi="Cambria"/>
          <w:sz w:val="16"/>
          <w:szCs w:val="16"/>
          <w:lang w:val="es-ES_tradnl"/>
        </w:rPr>
        <w:t>Comunicación de la parte peticionara de 2 de febrero de 2014.</w:t>
      </w:r>
    </w:p>
  </w:footnote>
  <w:footnote w:id="12">
    <w:p w14:paraId="33A757D4"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Testimonio de Fausto Reyes Caballero, 28 de octubre de 1998. Anexo expediente judicial 7159-02.</w:t>
      </w:r>
    </w:p>
  </w:footnote>
  <w:footnote w:id="13">
    <w:p w14:paraId="35E1356F"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Declaración de  Irma Isabel Deras García, 12  de agosto de1998. </w:t>
      </w:r>
      <w:r w:rsidRPr="00CC44C8">
        <w:rPr>
          <w:rFonts w:ascii="Cambria" w:hAnsi="Cambria"/>
          <w:color w:val="auto"/>
          <w:sz w:val="16"/>
          <w:szCs w:val="16"/>
          <w:lang w:val="es-US"/>
        </w:rPr>
        <w:t>Anexo al expediente judicial 7159-02.</w:t>
      </w:r>
    </w:p>
  </w:footnote>
  <w:footnote w:id="14">
    <w:p w14:paraId="1BCBBFDD" w14:textId="77777777" w:rsidR="009D6394" w:rsidRPr="00CC44C8" w:rsidRDefault="009D6394" w:rsidP="00CD345C">
      <w:pPr>
        <w:pStyle w:val="FootnoteText"/>
        <w:jc w:val="both"/>
        <w:rPr>
          <w:rFonts w:ascii="Cambria" w:hAnsi="Cambria"/>
          <w:sz w:val="16"/>
          <w:szCs w:val="16"/>
          <w:lang w:val="es-ES_tradn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Nota de Prensa “Acribillan a Herminio Deras”, periódico La Tribuna,  31 de enero de 1983. Anexo al expediente 7591-02.</w:t>
      </w:r>
    </w:p>
  </w:footnote>
  <w:footnote w:id="15">
    <w:p w14:paraId="728C4145" w14:textId="77777777" w:rsidR="009D6394" w:rsidRPr="00CC44C8" w:rsidRDefault="009D6394" w:rsidP="00CD345C">
      <w:pPr>
        <w:pStyle w:val="FootnoteText"/>
        <w:jc w:val="both"/>
        <w:rPr>
          <w:rFonts w:ascii="Cambria" w:hAnsi="Cambria"/>
          <w:sz w:val="16"/>
          <w:szCs w:val="16"/>
          <w:lang w:val="es-ES_tradn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sz w:val="16"/>
          <w:szCs w:val="16"/>
          <w:lang w:val="es-ES_tradnl"/>
        </w:rPr>
        <w:t>Comunicación de la parte peticionara de 2 de febrero del 2014</w:t>
      </w:r>
    </w:p>
  </w:footnote>
  <w:footnote w:id="16">
    <w:p w14:paraId="09B0F8EB"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Declaración de  Otilia Flores Ortiz, 12  de agosto de1998. </w:t>
      </w:r>
      <w:r w:rsidRPr="00CC44C8">
        <w:rPr>
          <w:rFonts w:ascii="Cambria" w:hAnsi="Cambria"/>
          <w:color w:val="auto"/>
          <w:sz w:val="16"/>
          <w:szCs w:val="16"/>
          <w:lang w:val="es-US"/>
        </w:rPr>
        <w:t>Anexo al expediente judicial 7159-02.</w:t>
      </w:r>
    </w:p>
  </w:footnote>
  <w:footnote w:id="17">
    <w:p w14:paraId="654A04CB"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sz w:val="16"/>
          <w:szCs w:val="16"/>
          <w:lang w:val="es-ES_tradnl"/>
        </w:rPr>
        <w:t>Comunicación de la parte peticionara de 2 de febrero de 2014.</w:t>
      </w:r>
    </w:p>
  </w:footnote>
  <w:footnote w:id="18">
    <w:p w14:paraId="63A6CD24"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3. Denuncia presenta por  Otilia Flores Ortiz  el 4 de febrero de 1983. </w:t>
      </w:r>
      <w:r w:rsidRPr="00CC44C8">
        <w:rPr>
          <w:rFonts w:ascii="Cambria" w:hAnsi="Cambria"/>
          <w:color w:val="auto"/>
          <w:sz w:val="16"/>
          <w:szCs w:val="16"/>
          <w:lang w:val="es-US"/>
        </w:rPr>
        <w:t>Anexo al comunicado de la parte peticionaria del 02 de agosto del 2010.</w:t>
      </w:r>
    </w:p>
  </w:footnote>
  <w:footnote w:id="19">
    <w:p w14:paraId="1118BF6A"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Testimonio de Fausto Reyes Caballero del 28 de octubre de 1998. Anexo expediente judicial 7159-02.</w:t>
      </w:r>
    </w:p>
  </w:footnote>
  <w:footnote w:id="20">
    <w:p w14:paraId="7D73F71B"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sz w:val="16"/>
          <w:szCs w:val="16"/>
          <w:lang w:val="es-ES_tradnl"/>
        </w:rPr>
        <w:t>Comunicación de la parte peticionara de 2 de febrero de 2014</w:t>
      </w:r>
      <w:r w:rsidRPr="00CC44C8">
        <w:rPr>
          <w:rFonts w:ascii="Cambria" w:hAnsi="Cambria"/>
          <w:color w:val="auto"/>
          <w:sz w:val="16"/>
          <w:szCs w:val="16"/>
          <w:lang w:val="es-CL"/>
        </w:rPr>
        <w:t xml:space="preserve">. Anexo 1. Declaración de  Irma Isabel Deras García, 12  de agosto de 1998. </w:t>
      </w:r>
      <w:r w:rsidRPr="00CC44C8">
        <w:rPr>
          <w:rFonts w:ascii="Cambria" w:hAnsi="Cambria"/>
          <w:color w:val="auto"/>
          <w:sz w:val="16"/>
          <w:szCs w:val="16"/>
          <w:lang w:val="es-US"/>
        </w:rPr>
        <w:t>Anexo al expediente judicial 7159-02.</w:t>
      </w:r>
    </w:p>
  </w:footnote>
  <w:footnote w:id="21">
    <w:p w14:paraId="64DBD073"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sz w:val="16"/>
          <w:szCs w:val="16"/>
          <w:lang w:val="es-ES_tradnl"/>
        </w:rPr>
        <w:t>Comunicación de la parte peticionara de 2 de febrero de 2014.</w:t>
      </w:r>
    </w:p>
  </w:footnote>
  <w:footnote w:id="22">
    <w:p w14:paraId="5FD8BF8A"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Declaración de  Irma Isabel Deras García, 12  de agosto de1998. </w:t>
      </w:r>
      <w:r w:rsidRPr="00CC44C8">
        <w:rPr>
          <w:rFonts w:ascii="Cambria" w:hAnsi="Cambria"/>
          <w:color w:val="auto"/>
          <w:sz w:val="16"/>
          <w:szCs w:val="16"/>
          <w:lang w:val="es-US"/>
        </w:rPr>
        <w:t>Anexo al expediente judicial 7159-02.</w:t>
      </w:r>
    </w:p>
  </w:footnote>
  <w:footnote w:id="23">
    <w:p w14:paraId="19390354"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sz w:val="16"/>
          <w:szCs w:val="16"/>
          <w:lang w:val="es-ES_tradnl"/>
        </w:rPr>
        <w:t>Comunicación de la parte peticionara de 2 de febrero de 2014.</w:t>
      </w:r>
    </w:p>
  </w:footnote>
  <w:footnote w:id="24">
    <w:p w14:paraId="3B415A19"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Denuncia presentada por el Ministerio Público del 30 de julio de 1998. </w:t>
      </w:r>
      <w:r w:rsidRPr="00CC44C8">
        <w:rPr>
          <w:rFonts w:ascii="Cambria" w:hAnsi="Cambria"/>
          <w:color w:val="auto"/>
          <w:sz w:val="16"/>
          <w:szCs w:val="16"/>
          <w:lang w:val="es-US"/>
        </w:rPr>
        <w:t>Anexo al expediente judicial 7159-02.</w:t>
      </w:r>
    </w:p>
  </w:footnote>
  <w:footnote w:id="25">
    <w:p w14:paraId="552A4DD8"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Comunicación del Juzgado Tercer de lo Criminal del 30 de julio de 1998. </w:t>
      </w:r>
      <w:r w:rsidRPr="00CC44C8">
        <w:rPr>
          <w:rFonts w:ascii="Cambria" w:hAnsi="Cambria"/>
          <w:color w:val="auto"/>
          <w:sz w:val="16"/>
          <w:szCs w:val="16"/>
          <w:lang w:val="es-US"/>
        </w:rPr>
        <w:t>Anexo al expediente judicial 7159-02.</w:t>
      </w:r>
    </w:p>
  </w:footnote>
  <w:footnote w:id="26">
    <w:p w14:paraId="52F92C5D"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Declaración de Isabel Deras García, 12  de agosto de1998. </w:t>
      </w:r>
      <w:r w:rsidRPr="00CC44C8">
        <w:rPr>
          <w:rFonts w:ascii="Cambria" w:hAnsi="Cambria"/>
          <w:color w:val="auto"/>
          <w:sz w:val="16"/>
          <w:szCs w:val="16"/>
          <w:lang w:val="es-US"/>
        </w:rPr>
        <w:t>Anexo al expediente judicial 7159-02.</w:t>
      </w:r>
    </w:p>
  </w:footnote>
  <w:footnote w:id="27">
    <w:p w14:paraId="3C27BDE8"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Declaración de  Otilia Flores Ortiz, 12  de agosto de1998. </w:t>
      </w:r>
      <w:r w:rsidRPr="00CC44C8">
        <w:rPr>
          <w:rFonts w:ascii="Cambria" w:hAnsi="Cambria"/>
          <w:color w:val="auto"/>
          <w:sz w:val="16"/>
          <w:szCs w:val="16"/>
          <w:lang w:val="es-US"/>
        </w:rPr>
        <w:t>Anexo al expediente judicial 7159-02.</w:t>
      </w:r>
    </w:p>
  </w:footnote>
  <w:footnote w:id="28">
    <w:p w14:paraId="5BAD4A1E"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Orden de captura dictada por el Juzgado de Letras Tercero de lo Criminal del 19 de enero de 1999. Anexo al expediente judicial 7591-02.</w:t>
      </w:r>
    </w:p>
  </w:footnote>
  <w:footnote w:id="29">
    <w:p w14:paraId="22013CC3"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Solicitud de orden captura presentada por el Ministerio Público el 6 de enero de 1999.  Anexo al expediente judicial 7591-02.</w:t>
      </w:r>
    </w:p>
  </w:footnote>
  <w:footnote w:id="30">
    <w:p w14:paraId="2484D2D8"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6. Declaración de indagatoria del imputado, 5 de octubre de 1999. Anexo al expediente judicial 7591-02.</w:t>
      </w:r>
    </w:p>
  </w:footnote>
  <w:footnote w:id="31">
    <w:p w14:paraId="16995F52"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Comunicación del Juzgado Tercer de lo Criminal, 7 de octubre de 1998. </w:t>
      </w:r>
      <w:r w:rsidRPr="00CC44C8">
        <w:rPr>
          <w:rFonts w:ascii="Cambria" w:hAnsi="Cambria"/>
          <w:color w:val="auto"/>
          <w:sz w:val="16"/>
          <w:szCs w:val="16"/>
          <w:lang w:val="es-US"/>
        </w:rPr>
        <w:t>Anexo al expediente judicial 7159-02.</w:t>
      </w:r>
    </w:p>
  </w:footnote>
  <w:footnote w:id="32">
    <w:p w14:paraId="14EA7EC5"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Solicitud de audiencia de careo al Juzgado Tercero de lo Criminal del 7 de octubre de 1999. </w:t>
      </w:r>
      <w:r w:rsidRPr="00CC44C8">
        <w:rPr>
          <w:rFonts w:ascii="Cambria" w:hAnsi="Cambria"/>
          <w:color w:val="auto"/>
          <w:sz w:val="16"/>
          <w:szCs w:val="16"/>
          <w:lang w:val="es-US"/>
        </w:rPr>
        <w:t>Anexo al expediente judicial 7159-02.</w:t>
      </w:r>
    </w:p>
  </w:footnote>
  <w:footnote w:id="33">
    <w:p w14:paraId="030E04F7"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1. Acta de careo, 8 de octubre de 1999. </w:t>
      </w:r>
      <w:r w:rsidRPr="00CC44C8">
        <w:rPr>
          <w:rFonts w:ascii="Cambria" w:hAnsi="Cambria"/>
          <w:color w:val="auto"/>
          <w:sz w:val="16"/>
          <w:szCs w:val="16"/>
          <w:lang w:val="es-US"/>
        </w:rPr>
        <w:t>Anexo al expediente judicial 7159-02.</w:t>
      </w:r>
    </w:p>
  </w:footnote>
  <w:footnote w:id="34">
    <w:p w14:paraId="4BE13073" w14:textId="77777777" w:rsidR="009D6394" w:rsidRPr="00CC44C8" w:rsidRDefault="009D6394" w:rsidP="00CD345C">
      <w:pPr>
        <w:pStyle w:val="FootnoteText"/>
        <w:jc w:val="both"/>
        <w:rPr>
          <w:rFonts w:ascii="Cambria" w:hAnsi="Cambria"/>
          <w:sz w:val="16"/>
          <w:szCs w:val="16"/>
          <w:lang w:val="es-ES_tradn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Auto de prisión dictado por el Juzgado de Letras Tercero de lo Criminal, 11 de octubre de 1999. Anexo al expediente judicial 7591-02.</w:t>
      </w:r>
    </w:p>
  </w:footnote>
  <w:footnote w:id="35">
    <w:p w14:paraId="190C98E1"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5. Fallo del Juzgado de Letras Penal Seccional Judicial de San Pedro de Sula, 17 de marzo de 2004. Anexo al expediente judicial 4366-02.</w:t>
      </w:r>
    </w:p>
  </w:footnote>
  <w:footnote w:id="36">
    <w:p w14:paraId="1351A5D7"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Comunicación de la parte peticionara de 2 de febrero de 2014.</w:t>
      </w:r>
    </w:p>
  </w:footnote>
  <w:footnote w:id="37">
    <w:p w14:paraId="3E53E220"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5. Fallo del Juzgado de Letras Penal Seccional Judicial de San Pedro de Sula del 17 de marzo de 2004. Anexo al expediente judicial 4366-02.</w:t>
      </w:r>
    </w:p>
  </w:footnote>
  <w:footnote w:id="38">
    <w:p w14:paraId="3316C83B"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Comunicación del Estado de 11 de abril de 2016.</w:t>
      </w:r>
    </w:p>
  </w:footnote>
  <w:footnote w:id="39">
    <w:p w14:paraId="0C0C5AC6"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Decisión Corte de Apelaciones Seccional San Pedro de Sula, 23 de mayo de 2005.  Anexo al expediente judicial 7591-02.</w:t>
      </w:r>
    </w:p>
  </w:footnote>
  <w:footnote w:id="40">
    <w:p w14:paraId="51032184"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 xml:space="preserve">Anexo 4. Certificación del auto de la Corte Suprema de Justicia por parte de la Secretaria de la Corte de Apelaciones. Anexo al comunicado de la parte peticionaria del 02 de agosto de 2010. </w:t>
      </w:r>
    </w:p>
  </w:footnote>
  <w:footnote w:id="41">
    <w:p w14:paraId="002998A7"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Orden de captura dictada por el Juzgado de Ejecución Sección Judicial de San Pedro de Sula. Anexo al expediente judicial 7591-02.</w:t>
      </w:r>
    </w:p>
  </w:footnote>
  <w:footnote w:id="42">
    <w:p w14:paraId="56D1EE06"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Comunicación del Estado de 11 de abril de 2016.</w:t>
      </w:r>
    </w:p>
  </w:footnote>
  <w:footnote w:id="43">
    <w:p w14:paraId="4EA52E3A"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Observaciones de fondo de la Parte peticionara del 2 de febrero de 2014, folio 36.</w:t>
      </w:r>
    </w:p>
  </w:footnote>
  <w:footnote w:id="44">
    <w:p w14:paraId="31EB4B53"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w:t>
      </w:r>
      <w:r w:rsidRPr="00CC44C8">
        <w:rPr>
          <w:rFonts w:ascii="Cambria" w:hAnsi="Cambria"/>
          <w:color w:val="auto"/>
          <w:sz w:val="16"/>
          <w:szCs w:val="16"/>
          <w:lang w:val="es-CL"/>
        </w:rPr>
        <w:t>Anexo 1. Observaciones de fondo de la Parte peticionara del 2 de febrero de 2014, folio 36.</w:t>
      </w:r>
    </w:p>
  </w:footnote>
  <w:footnote w:id="45">
    <w:p w14:paraId="2AB58A57" w14:textId="77777777" w:rsidR="009D6394" w:rsidRPr="00CC44C8" w:rsidRDefault="009D6394" w:rsidP="00CD345C">
      <w:pPr>
        <w:shd w:val="clear" w:color="auto" w:fill="FFFFFF"/>
        <w:tabs>
          <w:tab w:val="num" w:pos="720"/>
          <w:tab w:val="left" w:pos="1440"/>
          <w:tab w:val="num" w:pos="2040"/>
        </w:tabs>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VE"/>
        </w:rPr>
        <w:t xml:space="preserve"> Artículo 4.1. </w:t>
      </w:r>
      <w:r w:rsidRPr="00CC44C8">
        <w:rPr>
          <w:rFonts w:ascii="Cambria" w:hAnsi="Cambria" w:cs="Tahoma"/>
          <w:color w:val="000000"/>
          <w:sz w:val="16"/>
          <w:szCs w:val="16"/>
          <w:lang w:val="es-ES"/>
        </w:rPr>
        <w:t>Toda persona tiene derecho a que se respete su vida.  Este derecho estará protegido por la ley y, en general, a partir del momento de la concepción.  Nadie puede ser privado de la vida arbitrariamente.</w:t>
      </w:r>
    </w:p>
  </w:footnote>
  <w:footnote w:id="46">
    <w:p w14:paraId="1189079F"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Artículo 13,1.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47">
    <w:p w14:paraId="50F61456"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Artículo 16.1. Todas las personas tienen derecho a asociarse libremente con fines ideológicos, religiosos, políticos, económicos, laborales, sociales, culturales, deportivos o de cualquiera otra índole.</w:t>
      </w:r>
    </w:p>
  </w:footnote>
  <w:footnote w:id="48">
    <w:p w14:paraId="0B76FC37"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CIDH. Informe No. 33/13. Caso 11.576. Admisibilidad y Fondo. José Luis García Ibarra y familia. Ecuador, 10 de julio de 2013, párr. 129. Corte IDH. </w:t>
      </w:r>
      <w:r w:rsidRPr="00CC44C8">
        <w:rPr>
          <w:rFonts w:ascii="Cambria" w:hAnsi="Cambria"/>
          <w:i/>
          <w:iCs/>
          <w:sz w:val="16"/>
          <w:szCs w:val="16"/>
          <w:lang w:val="es-ES"/>
        </w:rPr>
        <w:t>Caso de los “Niños de la Calle” (Villagrán Morales y otros) Vs. Guatemala.</w:t>
      </w:r>
      <w:r w:rsidRPr="00CC44C8">
        <w:rPr>
          <w:rFonts w:ascii="Cambria" w:hAnsi="Cambria"/>
          <w:sz w:val="16"/>
          <w:szCs w:val="16"/>
          <w:lang w:val="es-ES"/>
        </w:rPr>
        <w:t xml:space="preserve"> Fondo. Sentencia de 19 de noviembre de 1999. Serie C No. 63, párr. 144. </w:t>
      </w:r>
    </w:p>
  </w:footnote>
  <w:footnote w:id="49">
    <w:p w14:paraId="6EB67CB4"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w:t>
      </w:r>
      <w:r w:rsidRPr="00CC44C8">
        <w:rPr>
          <w:rFonts w:ascii="Cambria" w:hAnsi="Cambria"/>
          <w:sz w:val="16"/>
          <w:szCs w:val="16"/>
          <w:lang w:val="es-ES_tradnl"/>
        </w:rPr>
        <w:t xml:space="preserve">Corte IDH. </w:t>
      </w:r>
      <w:r w:rsidRPr="00CC44C8">
        <w:rPr>
          <w:rFonts w:ascii="Cambria" w:hAnsi="Cambria"/>
          <w:i/>
          <w:iCs/>
          <w:sz w:val="16"/>
          <w:szCs w:val="16"/>
          <w:lang w:val="es-ES"/>
        </w:rPr>
        <w:t>Caso</w:t>
      </w:r>
      <w:r w:rsidRPr="00CC44C8">
        <w:rPr>
          <w:rFonts w:ascii="Cambria" w:hAnsi="Cambria"/>
          <w:i/>
          <w:iCs/>
          <w:sz w:val="16"/>
          <w:szCs w:val="16"/>
          <w:lang w:val="es-ES_tradnl"/>
        </w:rPr>
        <w:t xml:space="preserve"> Zambrano Vélez y otros Vs. Ecuador.</w:t>
      </w:r>
      <w:r w:rsidRPr="00CC44C8">
        <w:rPr>
          <w:rFonts w:ascii="Cambria" w:hAnsi="Cambria"/>
          <w:bCs/>
          <w:sz w:val="16"/>
          <w:szCs w:val="16"/>
          <w:lang w:val="es-ES_tradnl"/>
        </w:rPr>
        <w:t xml:space="preserve"> </w:t>
      </w:r>
      <w:r w:rsidRPr="00CC44C8">
        <w:rPr>
          <w:rFonts w:ascii="Cambria" w:hAnsi="Cambria"/>
          <w:sz w:val="16"/>
          <w:szCs w:val="16"/>
          <w:lang w:val="es-ES_tradnl"/>
        </w:rPr>
        <w:t xml:space="preserve">Fondo, Reparaciones y Costas. Sentencia de 4 de julio de 2007. Serie C No. 166, párr. 80; </w:t>
      </w:r>
      <w:r w:rsidRPr="00CC44C8">
        <w:rPr>
          <w:rFonts w:ascii="Cambria" w:hAnsi="Cambria"/>
          <w:i/>
          <w:iCs/>
          <w:sz w:val="16"/>
          <w:szCs w:val="16"/>
          <w:lang w:val="es-ES_tradnl"/>
        </w:rPr>
        <w:t>Caso de los “Niños de la Calle” (Villagrán Morales y otros) Vs. Guatemala.</w:t>
      </w:r>
      <w:r w:rsidRPr="00CC44C8">
        <w:rPr>
          <w:rFonts w:ascii="Cambria" w:hAnsi="Cambria"/>
          <w:sz w:val="16"/>
          <w:szCs w:val="16"/>
          <w:lang w:val="es-ES_tradnl"/>
        </w:rPr>
        <w:t xml:space="preserve"> Sentencia de Fondo. Sentencia de 19 de noviembre de 1999. Serie C No. 63, párr. </w:t>
      </w:r>
      <w:r w:rsidRPr="00CC44C8">
        <w:rPr>
          <w:rFonts w:ascii="Cambria" w:hAnsi="Cambria"/>
          <w:sz w:val="16"/>
          <w:szCs w:val="16"/>
          <w:lang w:val="es-ES"/>
        </w:rPr>
        <w:t>144.</w:t>
      </w:r>
    </w:p>
  </w:footnote>
  <w:footnote w:id="50">
    <w:p w14:paraId="69DB0477" w14:textId="77777777" w:rsidR="009D6394" w:rsidRPr="00CC44C8" w:rsidRDefault="009D6394" w:rsidP="00CD345C">
      <w:pPr>
        <w:tabs>
          <w:tab w:val="left" w:pos="900"/>
          <w:tab w:val="left" w:pos="1080"/>
        </w:tabs>
        <w:jc w:val="both"/>
        <w:rPr>
          <w:rFonts w:ascii="Cambria" w:hAnsi="Cambria"/>
          <w:sz w:val="16"/>
          <w:szCs w:val="16"/>
          <w:lang w:val="es-ES_tradnl"/>
        </w:rPr>
      </w:pPr>
      <w:r w:rsidRPr="00CC44C8">
        <w:rPr>
          <w:rStyle w:val="FootnoteReference"/>
          <w:rFonts w:ascii="Cambria" w:hAnsi="Cambria"/>
          <w:sz w:val="16"/>
          <w:szCs w:val="16"/>
        </w:rPr>
        <w:footnoteRef/>
      </w:r>
      <w:r w:rsidRPr="00CC44C8">
        <w:rPr>
          <w:rFonts w:ascii="Cambria" w:hAnsi="Cambria"/>
          <w:sz w:val="16"/>
          <w:szCs w:val="16"/>
          <w:lang w:val="es-ES_tradnl"/>
        </w:rPr>
        <w:t xml:space="preserve"> Corte IDH. </w:t>
      </w:r>
      <w:r w:rsidRPr="00CC44C8">
        <w:rPr>
          <w:rFonts w:ascii="Cambria" w:hAnsi="Cambria"/>
          <w:i/>
          <w:sz w:val="16"/>
          <w:szCs w:val="16"/>
          <w:lang w:val="es-ES_tradnl"/>
        </w:rPr>
        <w:t>Caso Montero Aranguren y otros (Retén de Catia) Vs. Venezuela</w:t>
      </w:r>
      <w:r w:rsidRPr="00CC44C8">
        <w:rPr>
          <w:rFonts w:ascii="Cambria" w:hAnsi="Cambria"/>
          <w:sz w:val="16"/>
          <w:szCs w:val="16"/>
          <w:lang w:val="es-ES_tradnl"/>
        </w:rPr>
        <w:t>. Sentencia de 5 de julio de 2006. Serie C No. 150, párr. 66.</w:t>
      </w:r>
      <w:r w:rsidRPr="00CC44C8">
        <w:rPr>
          <w:rFonts w:ascii="Cambria" w:hAnsi="Cambria"/>
          <w:sz w:val="16"/>
          <w:szCs w:val="16"/>
          <w:lang w:val="es-ES"/>
        </w:rPr>
        <w:t xml:space="preserve"> </w:t>
      </w:r>
    </w:p>
  </w:footnote>
  <w:footnote w:id="51">
    <w:p w14:paraId="12474BD5"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CIDH. Caso 12.442. Demanda ante la Corte Interamericana de Derechos Humanos, Gabriela Perozo y otros, Venezuela, 12 de abril de 2007, párr. 141.</w:t>
      </w:r>
    </w:p>
  </w:footnote>
  <w:footnote w:id="52">
    <w:p w14:paraId="5434F4DB"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Corte IDH. </w:t>
      </w:r>
      <w:r w:rsidRPr="00CC44C8">
        <w:rPr>
          <w:rStyle w:val="Strong"/>
          <w:rFonts w:ascii="Cambria" w:hAnsi="Cambria"/>
          <w:b w:val="0"/>
          <w:i/>
          <w:sz w:val="16"/>
          <w:szCs w:val="16"/>
          <w:shd w:val="clear" w:color="auto" w:fill="FFFFFF"/>
          <w:lang w:val="es-ES"/>
        </w:rPr>
        <w:t>Caso Herrera Ulloa Vs. Costa Rica</w:t>
      </w:r>
      <w:r w:rsidRPr="00CC44C8">
        <w:rPr>
          <w:rStyle w:val="Strong"/>
          <w:rFonts w:ascii="Cambria" w:hAnsi="Cambria"/>
          <w:b w:val="0"/>
          <w:sz w:val="16"/>
          <w:szCs w:val="16"/>
          <w:shd w:val="clear" w:color="auto" w:fill="FFFFFF"/>
          <w:lang w:val="es-ES"/>
        </w:rPr>
        <w:t>. Excepciones Preliminares, Fondo, Reparaciones y Costas. Sentencia de 2 de julio de 2004. Serie C No. 107, párr. 108.</w:t>
      </w:r>
    </w:p>
  </w:footnote>
  <w:footnote w:id="53">
    <w:p w14:paraId="0EA26488"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lang w:val="es-ES"/>
        </w:rPr>
        <w:footnoteRef/>
      </w:r>
      <w:r w:rsidRPr="008628D0">
        <w:rPr>
          <w:rFonts w:ascii="Cambria" w:hAnsi="Cambria"/>
          <w:sz w:val="16"/>
          <w:szCs w:val="16"/>
          <w:lang w:val="es-ES"/>
        </w:rPr>
        <w:t xml:space="preserve"> </w:t>
      </w:r>
      <w:r w:rsidRPr="008628D0">
        <w:rPr>
          <w:rFonts w:ascii="Cambria" w:hAnsi="Cambria" w:cs="Verdana-Bold"/>
          <w:bCs/>
          <w:sz w:val="16"/>
          <w:szCs w:val="16"/>
          <w:lang w:val="es-ES" w:bidi="en-US"/>
        </w:rPr>
        <w:t xml:space="preserve">Corte IDH. </w:t>
      </w:r>
      <w:r w:rsidRPr="008628D0">
        <w:rPr>
          <w:rFonts w:ascii="Cambria" w:hAnsi="Cambria" w:cs="Verdana-Bold"/>
          <w:bCs/>
          <w:i/>
          <w:sz w:val="16"/>
          <w:szCs w:val="16"/>
          <w:lang w:val="es-ES" w:bidi="en-US"/>
        </w:rPr>
        <w:t xml:space="preserve">Caso Huilca Tecse Vs. </w:t>
      </w:r>
      <w:r w:rsidRPr="00CC44C8">
        <w:rPr>
          <w:rFonts w:ascii="Cambria" w:hAnsi="Cambria" w:cs="Verdana-Bold"/>
          <w:bCs/>
          <w:i/>
          <w:sz w:val="16"/>
          <w:szCs w:val="16"/>
          <w:lang w:val="es-ES" w:bidi="en-US"/>
        </w:rPr>
        <w:t>Perú</w:t>
      </w:r>
      <w:r w:rsidRPr="00CC44C8">
        <w:rPr>
          <w:rFonts w:ascii="Cambria" w:hAnsi="Cambria" w:cs="Verdana-Bold"/>
          <w:bCs/>
          <w:sz w:val="16"/>
          <w:szCs w:val="16"/>
          <w:lang w:val="es-ES" w:bidi="en-US"/>
        </w:rPr>
        <w:t xml:space="preserve">. </w:t>
      </w:r>
      <w:r w:rsidRPr="00CC44C8">
        <w:rPr>
          <w:rFonts w:ascii="Cambria" w:hAnsi="Cambria" w:cs="Verdana"/>
          <w:sz w:val="16"/>
          <w:szCs w:val="16"/>
          <w:lang w:val="es-ES" w:bidi="en-US"/>
        </w:rPr>
        <w:t>Fondo, Reparaciones y Costas. Sentencia de 3 de marzo de 2005, Serie C No. 121</w:t>
      </w:r>
      <w:r w:rsidRPr="00CC44C8">
        <w:rPr>
          <w:rFonts w:ascii="Cambria" w:hAnsi="Cambria"/>
          <w:sz w:val="16"/>
          <w:szCs w:val="16"/>
          <w:lang w:val="es-ES"/>
        </w:rPr>
        <w:t>, párr. 69.</w:t>
      </w:r>
    </w:p>
  </w:footnote>
  <w:footnote w:id="54">
    <w:p w14:paraId="06F76943"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lang w:val="es-ES"/>
        </w:rPr>
        <w:footnoteRef/>
      </w:r>
      <w:r w:rsidRPr="00CC44C8">
        <w:rPr>
          <w:rFonts w:ascii="Cambria" w:hAnsi="Cambria"/>
          <w:sz w:val="16"/>
          <w:szCs w:val="16"/>
          <w:lang w:val="es-ES"/>
        </w:rPr>
        <w:t xml:space="preserve"> </w:t>
      </w:r>
      <w:r w:rsidRPr="00CC44C8">
        <w:rPr>
          <w:rFonts w:ascii="Cambria" w:hAnsi="Cambria" w:cs="Verdana-Bold"/>
          <w:bCs/>
          <w:sz w:val="16"/>
          <w:szCs w:val="16"/>
          <w:lang w:val="es-ES" w:bidi="en-US"/>
        </w:rPr>
        <w:t xml:space="preserve">CIDH. </w:t>
      </w:r>
      <w:r w:rsidRPr="00CC44C8">
        <w:rPr>
          <w:rFonts w:ascii="Cambria" w:hAnsi="Cambria"/>
          <w:sz w:val="16"/>
          <w:szCs w:val="16"/>
          <w:lang w:val="es-ES"/>
        </w:rPr>
        <w:t xml:space="preserve">Informe No. 56/12. Caso 12.775. Fondo. Florentín Gudiel y otros. Guatemala. 21 de marzo de 2012, párr. </w:t>
      </w:r>
      <w:r w:rsidRPr="00CC44C8">
        <w:rPr>
          <w:rFonts w:ascii="Cambria" w:hAnsi="Cambria" w:cs="Verdana-Bold"/>
          <w:bCs/>
          <w:sz w:val="16"/>
          <w:szCs w:val="16"/>
          <w:lang w:val="es-ES" w:bidi="en-US"/>
        </w:rPr>
        <w:t>216.</w:t>
      </w:r>
    </w:p>
  </w:footnote>
  <w:footnote w:id="55">
    <w:p w14:paraId="5C8DD720"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Corte IDH. </w:t>
      </w:r>
      <w:r w:rsidRPr="00CC44C8">
        <w:rPr>
          <w:rFonts w:ascii="Cambria" w:hAnsi="Cambria"/>
          <w:i/>
          <w:sz w:val="16"/>
          <w:szCs w:val="16"/>
          <w:lang w:val="es-CL"/>
        </w:rPr>
        <w:t>Caso Lagos del Campo Vs. Perú</w:t>
      </w:r>
      <w:r w:rsidRPr="00CC44C8">
        <w:rPr>
          <w:rFonts w:ascii="Cambria" w:hAnsi="Cambria"/>
          <w:sz w:val="16"/>
          <w:szCs w:val="16"/>
          <w:lang w:val="es-CL"/>
        </w:rPr>
        <w:t>. Fondo, Reparaciones y Costas. Sentencia de 31 de agosto de 2017. Serie C No. 340, párr. 96.</w:t>
      </w:r>
    </w:p>
  </w:footnote>
  <w:footnote w:id="56">
    <w:p w14:paraId="4882D1C6" w14:textId="77777777" w:rsidR="009D6394" w:rsidRPr="00FB37C1" w:rsidRDefault="009D6394" w:rsidP="00C42E5C">
      <w:pPr>
        <w:shd w:val="clear" w:color="auto" w:fill="FFFFFF"/>
        <w:tabs>
          <w:tab w:val="num" w:pos="720"/>
          <w:tab w:val="left" w:pos="1440"/>
          <w:tab w:val="num" w:pos="2040"/>
        </w:tabs>
        <w:jc w:val="both"/>
        <w:rPr>
          <w:rFonts w:ascii="Cambria" w:hAnsi="Cambria"/>
          <w:sz w:val="16"/>
          <w:szCs w:val="16"/>
          <w:lang w:val="es-VE"/>
        </w:rPr>
      </w:pPr>
      <w:r w:rsidRPr="00FB37C1">
        <w:rPr>
          <w:rStyle w:val="FootnoteReference"/>
          <w:rFonts w:ascii="Cambria" w:hAnsi="Cambria"/>
          <w:sz w:val="16"/>
          <w:szCs w:val="16"/>
        </w:rPr>
        <w:footnoteRef/>
      </w:r>
      <w:r w:rsidRPr="00FB37C1">
        <w:rPr>
          <w:rFonts w:ascii="Cambria" w:hAnsi="Cambria"/>
          <w:sz w:val="16"/>
          <w:szCs w:val="16"/>
          <w:lang w:val="es-VE"/>
        </w:rPr>
        <w:t xml:space="preserve"> Artículo 5.1. Toda persona tiene derecho a que se respete su integridad física, psíquica y moral. </w:t>
      </w:r>
    </w:p>
    <w:p w14:paraId="5DB66907" w14:textId="77777777" w:rsidR="009D6394" w:rsidRPr="00FB37C1" w:rsidRDefault="009D6394" w:rsidP="00C42E5C">
      <w:pPr>
        <w:shd w:val="clear" w:color="auto" w:fill="FFFFFF"/>
        <w:tabs>
          <w:tab w:val="num" w:pos="720"/>
          <w:tab w:val="left" w:pos="1440"/>
          <w:tab w:val="num" w:pos="2040"/>
        </w:tabs>
        <w:jc w:val="both"/>
        <w:rPr>
          <w:rFonts w:ascii="Cambria" w:hAnsi="Cambria"/>
          <w:color w:val="FF0000"/>
          <w:sz w:val="16"/>
          <w:szCs w:val="16"/>
          <w:lang w:val="es-VE"/>
        </w:rPr>
      </w:pPr>
      <w:r w:rsidRPr="00FB37C1">
        <w:rPr>
          <w:rFonts w:ascii="Cambria" w:hAnsi="Cambria"/>
          <w:sz w:val="16"/>
          <w:szCs w:val="16"/>
          <w:lang w:val="es-VE"/>
        </w:rPr>
        <w:t>Artículo 5.2 Nadie debe ser sometido a torturas ni a penas o tratos crueles, inhumanos o degradantes (…).</w:t>
      </w:r>
    </w:p>
  </w:footnote>
  <w:footnote w:id="57">
    <w:p w14:paraId="39E8120D" w14:textId="77777777" w:rsidR="00C42E5C" w:rsidRPr="00FB37C1" w:rsidRDefault="00C42E5C" w:rsidP="00C42E5C">
      <w:pPr>
        <w:pStyle w:val="FootnoteText"/>
        <w:jc w:val="both"/>
        <w:rPr>
          <w:rFonts w:ascii="Cambria" w:hAnsi="Cambria"/>
          <w:sz w:val="16"/>
          <w:szCs w:val="16"/>
          <w:lang w:val="es-ES"/>
        </w:rPr>
      </w:pPr>
      <w:r w:rsidRPr="00FB37C1">
        <w:rPr>
          <w:rStyle w:val="FootnoteReference"/>
          <w:rFonts w:ascii="Cambria" w:hAnsi="Cambria"/>
          <w:sz w:val="16"/>
          <w:szCs w:val="16"/>
        </w:rPr>
        <w:footnoteRef/>
      </w:r>
      <w:r w:rsidRPr="00FB37C1">
        <w:rPr>
          <w:rFonts w:ascii="Cambria" w:hAnsi="Cambria"/>
          <w:sz w:val="16"/>
          <w:szCs w:val="16"/>
          <w:lang w:val="es-ES"/>
        </w:rPr>
        <w:t xml:space="preserve"> Artículo 7.1. </w:t>
      </w:r>
      <w:r w:rsidRPr="00FB37C1">
        <w:rPr>
          <w:rFonts w:ascii="Cambria" w:hAnsi="Cambria" w:cs="Tahoma"/>
          <w:sz w:val="16"/>
          <w:szCs w:val="16"/>
          <w:lang w:val="es-ES"/>
        </w:rPr>
        <w:t>Toda persona tiene derecho a la libertad y a la seguridad personales.</w:t>
      </w:r>
    </w:p>
    <w:p w14:paraId="170954C4" w14:textId="77777777" w:rsidR="00C42E5C" w:rsidRPr="00FB37C1" w:rsidRDefault="00C42E5C" w:rsidP="00C42E5C">
      <w:pPr>
        <w:pStyle w:val="FootnoteText"/>
        <w:jc w:val="both"/>
        <w:rPr>
          <w:rFonts w:ascii="Cambria" w:hAnsi="Cambria"/>
          <w:sz w:val="16"/>
          <w:szCs w:val="16"/>
          <w:lang w:val="es-ES"/>
        </w:rPr>
      </w:pPr>
      <w:r w:rsidRPr="00FB37C1">
        <w:rPr>
          <w:rFonts w:ascii="Cambria" w:hAnsi="Cambria"/>
          <w:sz w:val="16"/>
          <w:szCs w:val="16"/>
          <w:lang w:val="es-ES"/>
        </w:rPr>
        <w:t xml:space="preserve">Artículo 7.2. </w:t>
      </w:r>
      <w:r w:rsidRPr="00FB37C1">
        <w:rPr>
          <w:rFonts w:ascii="Cambria" w:hAnsi="Cambria" w:cs="Tahoma"/>
          <w:sz w:val="16"/>
          <w:szCs w:val="16"/>
          <w:lang w:val="es-ES"/>
        </w:rPr>
        <w:t>Nadie puede ser privado de su libertad física, salvo por las causas y en las condiciones fijadas de antemano por las Constituciones Políticas de los Estados Partes o por las leyes dictadas conforme a ellas.</w:t>
      </w:r>
    </w:p>
    <w:p w14:paraId="5C05A716" w14:textId="77777777" w:rsidR="00C42E5C" w:rsidRPr="00FB37C1" w:rsidRDefault="00C42E5C" w:rsidP="00C42E5C">
      <w:pPr>
        <w:pStyle w:val="FootnoteText"/>
        <w:jc w:val="both"/>
        <w:rPr>
          <w:rFonts w:ascii="Cambria" w:hAnsi="Cambria"/>
          <w:sz w:val="16"/>
          <w:szCs w:val="16"/>
          <w:lang w:val="es-ES"/>
        </w:rPr>
      </w:pPr>
      <w:r w:rsidRPr="00FB37C1">
        <w:rPr>
          <w:rFonts w:ascii="Cambria" w:hAnsi="Cambria"/>
          <w:sz w:val="16"/>
          <w:szCs w:val="16"/>
          <w:lang w:val="es-ES"/>
        </w:rPr>
        <w:t xml:space="preserve">Artículo 7.3. </w:t>
      </w:r>
      <w:r w:rsidRPr="00FB37C1">
        <w:rPr>
          <w:rFonts w:ascii="Cambria" w:hAnsi="Cambria" w:cs="Tahoma"/>
          <w:sz w:val="16"/>
          <w:szCs w:val="16"/>
          <w:lang w:val="es-ES"/>
        </w:rPr>
        <w:t>Nadie puede ser sometido a detención o encarcelamiento arbitrarios.</w:t>
      </w:r>
    </w:p>
  </w:footnote>
  <w:footnote w:id="58">
    <w:p w14:paraId="5FE7E68F" w14:textId="77777777" w:rsidR="009D6394" w:rsidRPr="00FB37C1" w:rsidRDefault="009D6394" w:rsidP="00C42E5C">
      <w:pPr>
        <w:pStyle w:val="FootnoteText"/>
        <w:jc w:val="both"/>
        <w:rPr>
          <w:rFonts w:ascii="Cambria" w:hAnsi="Cambria"/>
          <w:sz w:val="16"/>
          <w:szCs w:val="16"/>
          <w:lang w:val="es-ES"/>
        </w:rPr>
      </w:pPr>
      <w:r w:rsidRPr="00FB37C1">
        <w:rPr>
          <w:rStyle w:val="FootnoteReference"/>
          <w:rFonts w:ascii="Cambria" w:hAnsi="Cambria"/>
          <w:sz w:val="16"/>
          <w:szCs w:val="16"/>
        </w:rPr>
        <w:footnoteRef/>
      </w:r>
      <w:r w:rsidRPr="00FB37C1">
        <w:rPr>
          <w:rFonts w:ascii="Cambria" w:hAnsi="Cambria"/>
          <w:sz w:val="16"/>
          <w:szCs w:val="16"/>
          <w:lang w:val="es-ES"/>
        </w:rPr>
        <w:t xml:space="preserve"> Artículo 11.1. </w:t>
      </w:r>
      <w:r w:rsidRPr="00FB37C1">
        <w:rPr>
          <w:rFonts w:ascii="Cambria" w:hAnsi="Cambria" w:cs="Tahoma"/>
          <w:sz w:val="16"/>
          <w:szCs w:val="16"/>
          <w:lang w:val="es-ES"/>
        </w:rPr>
        <w:t>Toda persona tiene derecho al respeto de su honra y al reconocimiento de su dignidad.</w:t>
      </w:r>
    </w:p>
    <w:p w14:paraId="5E84E78B" w14:textId="77777777" w:rsidR="009D6394" w:rsidRPr="00CC44C8" w:rsidRDefault="009D6394" w:rsidP="00C42E5C">
      <w:pPr>
        <w:pStyle w:val="FootnoteText"/>
        <w:jc w:val="both"/>
        <w:rPr>
          <w:rFonts w:ascii="Cambria" w:hAnsi="Cambria"/>
          <w:sz w:val="16"/>
          <w:szCs w:val="16"/>
          <w:lang w:val="es-ES"/>
        </w:rPr>
      </w:pPr>
      <w:r w:rsidRPr="00FB37C1">
        <w:rPr>
          <w:rFonts w:ascii="Cambria" w:hAnsi="Cambria"/>
          <w:sz w:val="16"/>
          <w:szCs w:val="16"/>
          <w:lang w:val="es-ES"/>
        </w:rPr>
        <w:t xml:space="preserve">Artículo 11.2. </w:t>
      </w:r>
      <w:r w:rsidRPr="00FB37C1">
        <w:rPr>
          <w:rFonts w:ascii="Cambria" w:hAnsi="Cambria" w:cs="Tahoma"/>
          <w:sz w:val="16"/>
          <w:szCs w:val="16"/>
          <w:lang w:val="es-ES"/>
        </w:rPr>
        <w:t>Nadie puede ser objeto</w:t>
      </w:r>
      <w:r w:rsidRPr="00CC44C8">
        <w:rPr>
          <w:rFonts w:ascii="Cambria" w:hAnsi="Cambria" w:cs="Tahoma"/>
          <w:sz w:val="16"/>
          <w:szCs w:val="16"/>
          <w:lang w:val="es-ES"/>
        </w:rPr>
        <w:t xml:space="preserve"> de injerencias arbitrarias o abusivas en su vida privada, en la de su familia, en su domicilio o en su correspondencia, ni de ataques ilegales a su honra o reputación.</w:t>
      </w:r>
    </w:p>
  </w:footnote>
  <w:footnote w:id="59">
    <w:p w14:paraId="2BB3B968" w14:textId="77777777" w:rsidR="009D6394" w:rsidRPr="00CC44C8" w:rsidRDefault="009D6394"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Artículo 17.1.  La familia es el elemento natural y fundamental de la sociedad y debe ser protegida por la sociedad y el Estado-</w:t>
      </w:r>
    </w:p>
  </w:footnote>
  <w:footnote w:id="60">
    <w:p w14:paraId="28DC9290"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Artículo 19. </w:t>
      </w:r>
      <w:r w:rsidRPr="00CC44C8">
        <w:rPr>
          <w:rFonts w:ascii="Cambria" w:hAnsi="Cambria" w:cs="Tahoma"/>
          <w:sz w:val="16"/>
          <w:szCs w:val="16"/>
          <w:lang w:val="es-ES"/>
        </w:rPr>
        <w:t>Todo niño tiene derecho a las medidas de protección que su condición de menor requieren por parte de su familia, de la sociedad y del Estado.</w:t>
      </w:r>
    </w:p>
  </w:footnote>
  <w:footnote w:id="61">
    <w:p w14:paraId="30EF789A" w14:textId="77777777" w:rsidR="00270C7F" w:rsidRPr="00CC44C8" w:rsidRDefault="00270C7F"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Artículo 22.1. </w:t>
      </w:r>
      <w:r w:rsidRPr="00CC44C8">
        <w:rPr>
          <w:rFonts w:ascii="Cambria" w:hAnsi="Cambria" w:cs="Tahoma"/>
          <w:sz w:val="16"/>
          <w:szCs w:val="16"/>
          <w:lang w:val="es-ES"/>
        </w:rPr>
        <w:t>Toda persona que se halle legalmente en el territorio de un Estado tiene derecho a circular por el mismo y, a residir en él con sujeción a las disposiciones legales.</w:t>
      </w:r>
    </w:p>
  </w:footnote>
  <w:footnote w:id="62">
    <w:p w14:paraId="6DF28110" w14:textId="77777777" w:rsidR="009105E0" w:rsidRPr="00CC44C8" w:rsidRDefault="009105E0"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pt-BR"/>
        </w:rPr>
        <w:t xml:space="preserve"> Corte IDH. </w:t>
      </w:r>
      <w:r w:rsidRPr="00CC44C8">
        <w:rPr>
          <w:rFonts w:ascii="Cambria" w:hAnsi="Cambria"/>
          <w:i/>
          <w:sz w:val="16"/>
          <w:szCs w:val="16"/>
          <w:lang w:val="pt-BR"/>
        </w:rPr>
        <w:t xml:space="preserve">Caso Quispialaya Vilcapoma Vs. </w:t>
      </w:r>
      <w:r w:rsidRPr="00CC44C8">
        <w:rPr>
          <w:rFonts w:ascii="Cambria" w:hAnsi="Cambria"/>
          <w:i/>
          <w:sz w:val="16"/>
          <w:szCs w:val="16"/>
          <w:lang w:val="es-ES"/>
        </w:rPr>
        <w:t>Perú</w:t>
      </w:r>
      <w:r w:rsidRPr="00CC44C8">
        <w:rPr>
          <w:rFonts w:ascii="Cambria" w:hAnsi="Cambria"/>
          <w:sz w:val="16"/>
          <w:szCs w:val="16"/>
          <w:lang w:val="es-ES"/>
        </w:rPr>
        <w:t>. Excepciones Preliminares, Fondo, Reparaciones y Costas. Sentencia de 23 de noviembre de 2015. Serie C No. 308, párr. 125.</w:t>
      </w:r>
    </w:p>
  </w:footnote>
  <w:footnote w:id="63">
    <w:p w14:paraId="0B4E29D8" w14:textId="77777777" w:rsidR="004D0725" w:rsidRPr="00CC44C8" w:rsidRDefault="004D0725"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CIDH. Informe No. 33/16. Caso 12.797. Fondo. Linda Loaiza López Soto y familiares. Venezuela. 29 de julio de 2016, párr. 172. Asimismo, véase: </w:t>
      </w:r>
      <w:r w:rsidRPr="00CC44C8">
        <w:rPr>
          <w:rStyle w:val="Strong"/>
          <w:rFonts w:ascii="Cambria" w:hAnsi="Cambria"/>
          <w:b w:val="0"/>
          <w:sz w:val="16"/>
          <w:szCs w:val="16"/>
          <w:shd w:val="clear" w:color="auto" w:fill="FFFFFF"/>
          <w:lang w:val="es-ES"/>
        </w:rPr>
        <w:t xml:space="preserve">Corte IDH. </w:t>
      </w:r>
      <w:r w:rsidRPr="00CC44C8">
        <w:rPr>
          <w:rStyle w:val="Strong"/>
          <w:rFonts w:ascii="Cambria" w:hAnsi="Cambria"/>
          <w:b w:val="0"/>
          <w:i/>
          <w:sz w:val="16"/>
          <w:szCs w:val="16"/>
          <w:shd w:val="clear" w:color="auto" w:fill="FFFFFF"/>
          <w:lang w:val="es-ES"/>
        </w:rPr>
        <w:t>Caso Mujeres Víctimas de Tortura Sexual en Atenco Vs. México</w:t>
      </w:r>
      <w:r w:rsidRPr="00CC44C8">
        <w:rPr>
          <w:rStyle w:val="Strong"/>
          <w:rFonts w:ascii="Cambria" w:hAnsi="Cambria"/>
          <w:b w:val="0"/>
          <w:sz w:val="16"/>
          <w:szCs w:val="16"/>
          <w:shd w:val="clear" w:color="auto" w:fill="FFFFFF"/>
          <w:lang w:val="es-ES"/>
        </w:rPr>
        <w:t>. Excepción Preliminar, Fondo, Reparaciones y Costas. Sentencia de 28 de noviembre de 2018. Serie C No. 371, párr. 177.</w:t>
      </w:r>
    </w:p>
  </w:footnote>
  <w:footnote w:id="64">
    <w:p w14:paraId="50A7EDA7" w14:textId="77777777" w:rsidR="004D0725" w:rsidRPr="00CC44C8" w:rsidRDefault="004D0725"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Corte IDH. </w:t>
      </w:r>
      <w:r w:rsidRPr="00CC44C8">
        <w:rPr>
          <w:rFonts w:ascii="Cambria" w:hAnsi="Cambria"/>
          <w:i/>
          <w:sz w:val="16"/>
          <w:szCs w:val="16"/>
          <w:lang w:val="es-ES"/>
        </w:rPr>
        <w:t>Caso Herzog y otros Vs. Brasil</w:t>
      </w:r>
      <w:r w:rsidRPr="00CC44C8">
        <w:rPr>
          <w:rFonts w:ascii="Cambria" w:hAnsi="Cambria"/>
          <w:sz w:val="16"/>
          <w:szCs w:val="16"/>
          <w:lang w:val="es-ES"/>
        </w:rPr>
        <w:t xml:space="preserve">. Excepciones Preliminares, Fondo, Reparaciones y Costas. </w:t>
      </w:r>
      <w:r w:rsidRPr="008628D0">
        <w:rPr>
          <w:rFonts w:ascii="Cambria" w:hAnsi="Cambria"/>
          <w:sz w:val="16"/>
          <w:szCs w:val="16"/>
          <w:lang w:val="es-ES"/>
        </w:rPr>
        <w:t xml:space="preserve">Sentencia de 15 de </w:t>
      </w:r>
      <w:r w:rsidRPr="00CC44C8">
        <w:rPr>
          <w:rFonts w:ascii="Cambria" w:hAnsi="Cambria"/>
          <w:sz w:val="16"/>
          <w:szCs w:val="16"/>
          <w:lang w:val="es-ES"/>
        </w:rPr>
        <w:t>marzo de 2018. Serie C No. 353, párr. 220.</w:t>
      </w:r>
    </w:p>
  </w:footnote>
  <w:footnote w:id="65">
    <w:p w14:paraId="5555039F"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w:t>
      </w:r>
      <w:r w:rsidRPr="00CC44C8">
        <w:rPr>
          <w:rStyle w:val="Strong"/>
          <w:rFonts w:ascii="Cambria" w:hAnsi="Cambria"/>
          <w:b w:val="0"/>
          <w:sz w:val="16"/>
          <w:szCs w:val="16"/>
          <w:shd w:val="clear" w:color="auto" w:fill="FFFFFF"/>
          <w:lang w:val="es-ES"/>
        </w:rPr>
        <w:t xml:space="preserve">Corte IDH. </w:t>
      </w:r>
      <w:r w:rsidRPr="00CC44C8">
        <w:rPr>
          <w:rStyle w:val="Strong"/>
          <w:rFonts w:ascii="Cambria" w:hAnsi="Cambria"/>
          <w:b w:val="0"/>
          <w:i/>
          <w:sz w:val="16"/>
          <w:szCs w:val="16"/>
          <w:shd w:val="clear" w:color="auto" w:fill="FFFFFF"/>
          <w:lang w:val="es-ES"/>
        </w:rPr>
        <w:t>Caso Yarce y otras Vs. Colombia</w:t>
      </w:r>
      <w:r w:rsidRPr="00CC44C8">
        <w:rPr>
          <w:rStyle w:val="Strong"/>
          <w:rFonts w:ascii="Cambria" w:hAnsi="Cambria"/>
          <w:b w:val="0"/>
          <w:sz w:val="16"/>
          <w:szCs w:val="16"/>
          <w:shd w:val="clear" w:color="auto" w:fill="FFFFFF"/>
          <w:lang w:val="es-ES"/>
        </w:rPr>
        <w:t>. Excepción Preliminar, Fondo, Reparaciones y Costas. Sentencia de 22 de noviembre de 2016. Serie C No. 325, párr. 255.</w:t>
      </w:r>
    </w:p>
  </w:footnote>
  <w:footnote w:id="66">
    <w:p w14:paraId="3978D071"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Corte IDH. </w:t>
      </w:r>
      <w:r w:rsidRPr="00CC44C8">
        <w:rPr>
          <w:rFonts w:ascii="Cambria" w:hAnsi="Cambria"/>
          <w:i/>
          <w:sz w:val="16"/>
          <w:szCs w:val="16"/>
          <w:lang w:val="es-ES"/>
        </w:rPr>
        <w:t>Caso Comunidad Campesina de Santa Bárbara Vs. Perú</w:t>
      </w:r>
      <w:r w:rsidRPr="00CC44C8">
        <w:rPr>
          <w:rFonts w:ascii="Cambria" w:hAnsi="Cambria"/>
          <w:sz w:val="16"/>
          <w:szCs w:val="16"/>
          <w:lang w:val="es-ES"/>
        </w:rPr>
        <w:t>. Excepciones Preliminares, Fondo, Reparaciones y Costas. Sentencia de 1 de septiembre de 2015. Serie C No. 299, párr. 200.</w:t>
      </w:r>
    </w:p>
  </w:footnote>
  <w:footnote w:id="67">
    <w:p w14:paraId="6AE1452E" w14:textId="77777777" w:rsidR="009D6394" w:rsidRPr="00CC44C8"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Corte IDH. </w:t>
      </w:r>
      <w:r w:rsidRPr="00CC44C8">
        <w:rPr>
          <w:rFonts w:ascii="Cambria" w:hAnsi="Cambria"/>
          <w:i/>
          <w:sz w:val="16"/>
          <w:szCs w:val="16"/>
          <w:lang w:val="es-ES"/>
        </w:rPr>
        <w:t>Caso Vereda La Esperanza Vs. Colombia</w:t>
      </w:r>
      <w:r w:rsidRPr="00CC44C8">
        <w:rPr>
          <w:rFonts w:ascii="Cambria" w:hAnsi="Cambria"/>
          <w:sz w:val="16"/>
          <w:szCs w:val="16"/>
          <w:lang w:val="es-ES"/>
        </w:rPr>
        <w:t>. Excepciones Preliminares, Fondo, Reparaciones y Costas. Sentencia de 31 de agosto de 2017. Serie C No. 341, párr. 243.</w:t>
      </w:r>
    </w:p>
  </w:footnote>
  <w:footnote w:id="68">
    <w:p w14:paraId="5F27F683" w14:textId="77777777" w:rsidR="00BF0FEA" w:rsidRPr="00CC44C8" w:rsidRDefault="00BF0FEA" w:rsidP="00CD345C">
      <w:pPr>
        <w:pStyle w:val="FootnoteText"/>
        <w:jc w:val="both"/>
        <w:rPr>
          <w:rFonts w:ascii="Cambria" w:hAnsi="Cambria"/>
          <w:spacing w:val="-4"/>
          <w:sz w:val="16"/>
          <w:szCs w:val="16"/>
          <w:lang w:val="es-PR"/>
        </w:rPr>
      </w:pPr>
      <w:r w:rsidRPr="00CC44C8">
        <w:rPr>
          <w:rStyle w:val="FootnoteReference"/>
          <w:rFonts w:ascii="Cambria" w:hAnsi="Cambria"/>
          <w:spacing w:val="-4"/>
          <w:sz w:val="16"/>
          <w:szCs w:val="16"/>
        </w:rPr>
        <w:footnoteRef/>
      </w:r>
      <w:r w:rsidRPr="00CC44C8">
        <w:rPr>
          <w:rFonts w:ascii="Cambria" w:hAnsi="Cambria"/>
          <w:spacing w:val="-4"/>
          <w:sz w:val="16"/>
          <w:szCs w:val="16"/>
          <w:lang w:val="es-ES"/>
        </w:rPr>
        <w:t xml:space="preserve"> Corte IDH. </w:t>
      </w:r>
      <w:r w:rsidRPr="00CC44C8">
        <w:rPr>
          <w:rStyle w:val="Strong"/>
          <w:rFonts w:ascii="Cambria" w:hAnsi="Cambria" w:cs="Vrinda"/>
          <w:b w:val="0"/>
          <w:i/>
          <w:spacing w:val="-4"/>
          <w:sz w:val="16"/>
          <w:szCs w:val="16"/>
          <w:lang w:val="es-VE"/>
        </w:rPr>
        <w:t xml:space="preserve">Caso de Personas Dominicanas y Haitianas Expulsadas Vs. República Dominicana. </w:t>
      </w:r>
      <w:r w:rsidRPr="00CC44C8">
        <w:rPr>
          <w:rStyle w:val="Strong"/>
          <w:rFonts w:ascii="Cambria" w:hAnsi="Cambria" w:cs="Vrinda"/>
          <w:b w:val="0"/>
          <w:spacing w:val="-4"/>
          <w:sz w:val="16"/>
          <w:szCs w:val="16"/>
          <w:lang w:val="es-VE"/>
        </w:rPr>
        <w:t>Excepciones Preliminares, Fondo, Reparaciones y Costas.</w:t>
      </w:r>
      <w:r w:rsidRPr="00CC44C8">
        <w:rPr>
          <w:rStyle w:val="Strong"/>
          <w:rFonts w:ascii="Cambria" w:hAnsi="Cambria" w:cs="Vrinda"/>
          <w:b w:val="0"/>
          <w:i/>
          <w:spacing w:val="-4"/>
          <w:sz w:val="16"/>
          <w:szCs w:val="16"/>
          <w:lang w:val="es-VE"/>
        </w:rPr>
        <w:t xml:space="preserve"> </w:t>
      </w:r>
      <w:r w:rsidRPr="00CC44C8">
        <w:rPr>
          <w:rStyle w:val="Strong"/>
          <w:rFonts w:ascii="Cambria" w:hAnsi="Cambria" w:cs="Vrinda"/>
          <w:b w:val="0"/>
          <w:spacing w:val="-4"/>
          <w:sz w:val="16"/>
          <w:szCs w:val="16"/>
          <w:lang w:val="es-VE"/>
        </w:rPr>
        <w:t>Sentencia de 28 de agosto de 2014. Serie C No. 282</w:t>
      </w:r>
      <w:r w:rsidRPr="00CC44C8">
        <w:rPr>
          <w:rStyle w:val="Strong"/>
          <w:rFonts w:ascii="Cambria" w:hAnsi="Cambria" w:cs="Vrinda"/>
          <w:spacing w:val="-4"/>
          <w:sz w:val="16"/>
          <w:szCs w:val="16"/>
          <w:lang w:val="es-VE"/>
        </w:rPr>
        <w:t xml:space="preserve">, </w:t>
      </w:r>
      <w:r w:rsidRPr="00CC44C8">
        <w:rPr>
          <w:rFonts w:ascii="Cambria" w:hAnsi="Cambria"/>
          <w:spacing w:val="-4"/>
          <w:sz w:val="16"/>
          <w:szCs w:val="16"/>
          <w:lang w:val="es-GT"/>
        </w:rPr>
        <w:t>párr. 346.</w:t>
      </w:r>
    </w:p>
  </w:footnote>
  <w:footnote w:id="69">
    <w:p w14:paraId="1B28E2B9" w14:textId="77777777" w:rsidR="00BF0FEA" w:rsidRPr="00CC44C8" w:rsidRDefault="00BF0FEA" w:rsidP="00CD345C">
      <w:pPr>
        <w:pStyle w:val="FootnoteText"/>
        <w:jc w:val="both"/>
        <w:rPr>
          <w:rFonts w:ascii="Cambria" w:hAnsi="Cambria"/>
          <w:spacing w:val="-4"/>
          <w:sz w:val="16"/>
          <w:szCs w:val="16"/>
          <w:lang w:val="es-VE"/>
        </w:rPr>
      </w:pPr>
      <w:r w:rsidRPr="00CC44C8">
        <w:rPr>
          <w:rStyle w:val="FootnoteReference"/>
          <w:rFonts w:ascii="Cambria" w:hAnsi="Cambria"/>
          <w:spacing w:val="-4"/>
          <w:sz w:val="16"/>
          <w:szCs w:val="16"/>
        </w:rPr>
        <w:footnoteRef/>
      </w:r>
      <w:r w:rsidRPr="00CC44C8">
        <w:rPr>
          <w:rFonts w:ascii="Cambria" w:hAnsi="Cambria"/>
          <w:spacing w:val="-4"/>
          <w:sz w:val="16"/>
          <w:szCs w:val="16"/>
          <w:lang w:val="es-PR"/>
        </w:rPr>
        <w:t xml:space="preserve"> </w:t>
      </w:r>
      <w:r w:rsidRPr="00CC44C8">
        <w:rPr>
          <w:rFonts w:ascii="Cambria" w:hAnsi="Cambria"/>
          <w:spacing w:val="-4"/>
          <w:sz w:val="16"/>
          <w:szCs w:val="16"/>
          <w:lang w:val="es-GT"/>
        </w:rPr>
        <w:t xml:space="preserve">Corte IDH. </w:t>
      </w:r>
      <w:r w:rsidRPr="00CC44C8">
        <w:rPr>
          <w:rFonts w:ascii="Cambria" w:hAnsi="Cambria"/>
          <w:i/>
          <w:spacing w:val="-4"/>
          <w:sz w:val="16"/>
          <w:szCs w:val="16"/>
          <w:lang w:val="es-ES"/>
        </w:rPr>
        <w:t xml:space="preserve">Caso Chaparro Álvarez y Lapo Íñiguez Vs. Ecuador.  </w:t>
      </w:r>
      <w:r w:rsidRPr="00CC44C8">
        <w:rPr>
          <w:rFonts w:ascii="Cambria" w:hAnsi="Cambria"/>
          <w:spacing w:val="-4"/>
          <w:sz w:val="16"/>
          <w:szCs w:val="16"/>
          <w:lang w:val="es-ES"/>
        </w:rPr>
        <w:t>Excepciones Preliminares, Fondo, Reparaciones y Costas. Sentencia de 21 de noviembre de 2007. Serie C No. 170, párr. 54</w:t>
      </w:r>
      <w:r w:rsidRPr="00CC44C8">
        <w:rPr>
          <w:rFonts w:ascii="Cambria" w:hAnsi="Cambria"/>
          <w:spacing w:val="-4"/>
          <w:sz w:val="16"/>
          <w:szCs w:val="16"/>
          <w:lang w:val="es-GT"/>
        </w:rPr>
        <w:t>.</w:t>
      </w:r>
    </w:p>
  </w:footnote>
  <w:footnote w:id="70">
    <w:p w14:paraId="0A8E929A" w14:textId="77777777" w:rsidR="00924369" w:rsidRPr="00CC44C8" w:rsidRDefault="00924369" w:rsidP="00CD34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Los niños Herminio Deras, José Herminio Deras y la</w:t>
      </w:r>
      <w:r w:rsidR="003D3886" w:rsidRPr="00CC44C8">
        <w:rPr>
          <w:rFonts w:ascii="Cambria" w:hAnsi="Cambria"/>
          <w:sz w:val="16"/>
          <w:szCs w:val="16"/>
          <w:lang w:val="es-ES"/>
        </w:rPr>
        <w:t>s</w:t>
      </w:r>
      <w:r w:rsidRPr="00CC44C8">
        <w:rPr>
          <w:rFonts w:ascii="Cambria" w:hAnsi="Cambria"/>
          <w:sz w:val="16"/>
          <w:szCs w:val="16"/>
          <w:lang w:val="es-ES"/>
        </w:rPr>
        <w:t xml:space="preserve"> niña</w:t>
      </w:r>
      <w:r w:rsidR="003D3886" w:rsidRPr="00CC44C8">
        <w:rPr>
          <w:rFonts w:ascii="Cambria" w:hAnsi="Cambria"/>
          <w:sz w:val="16"/>
          <w:szCs w:val="16"/>
          <w:lang w:val="es-ES"/>
        </w:rPr>
        <w:t>s</w:t>
      </w:r>
      <w:r w:rsidRPr="00CC44C8">
        <w:rPr>
          <w:rFonts w:ascii="Cambria" w:hAnsi="Cambria"/>
          <w:sz w:val="16"/>
          <w:szCs w:val="16"/>
          <w:lang w:val="es-ES"/>
        </w:rPr>
        <w:t xml:space="preserve"> Lorena Deras</w:t>
      </w:r>
      <w:r w:rsidR="003D3886" w:rsidRPr="00CC44C8">
        <w:rPr>
          <w:rFonts w:ascii="Cambria" w:hAnsi="Cambria"/>
          <w:sz w:val="16"/>
          <w:szCs w:val="16"/>
          <w:lang w:val="es-ES"/>
        </w:rPr>
        <w:t xml:space="preserve"> y Sandra Hernández</w:t>
      </w:r>
      <w:r w:rsidRPr="00CC44C8">
        <w:rPr>
          <w:rFonts w:ascii="Cambria" w:hAnsi="Cambria"/>
          <w:sz w:val="16"/>
          <w:szCs w:val="16"/>
          <w:lang w:val="es-ES"/>
        </w:rPr>
        <w:t>.</w:t>
      </w:r>
    </w:p>
  </w:footnote>
  <w:footnote w:id="71">
    <w:p w14:paraId="1A9AC4B0" w14:textId="77777777" w:rsidR="00270C7F" w:rsidRPr="00CC44C8" w:rsidRDefault="00270C7F" w:rsidP="00CD345C">
      <w:pPr>
        <w:autoSpaceDE w:val="0"/>
        <w:autoSpaceDN w:val="0"/>
        <w:adjustRightInd w:val="0"/>
        <w:jc w:val="both"/>
        <w:rPr>
          <w:rFonts w:ascii="Cambria" w:hAnsi="Cambria"/>
          <w:sz w:val="16"/>
          <w:szCs w:val="16"/>
          <w:lang w:val="es-ES"/>
        </w:rPr>
      </w:pPr>
      <w:r w:rsidRPr="00CC44C8">
        <w:rPr>
          <w:rStyle w:val="FootnoteReference"/>
          <w:rFonts w:ascii="Cambria" w:hAnsi="Cambria"/>
          <w:sz w:val="16"/>
          <w:szCs w:val="16"/>
          <w:lang w:val="es-ES"/>
        </w:rPr>
        <w:footnoteRef/>
      </w:r>
      <w:r w:rsidRPr="00CC44C8">
        <w:rPr>
          <w:rFonts w:ascii="Cambria" w:hAnsi="Cambria"/>
          <w:sz w:val="16"/>
          <w:szCs w:val="16"/>
          <w:lang w:val="es-ES"/>
        </w:rPr>
        <w:t xml:space="preserve"> Corte IDH. </w:t>
      </w:r>
      <w:r w:rsidRPr="00CC44C8">
        <w:rPr>
          <w:rFonts w:ascii="Cambria" w:hAnsi="Cambria" w:cs="Univers,Italic"/>
          <w:i/>
          <w:iCs/>
          <w:sz w:val="16"/>
          <w:szCs w:val="16"/>
          <w:lang w:val="es-ES"/>
        </w:rPr>
        <w:t>Caso Valle Jaramillo y otros Vs. Colombia</w:t>
      </w:r>
      <w:r w:rsidRPr="00CC44C8">
        <w:rPr>
          <w:rFonts w:ascii="Cambria" w:hAnsi="Cambria" w:cs="Univers,Italic"/>
          <w:iCs/>
          <w:sz w:val="16"/>
          <w:szCs w:val="16"/>
          <w:lang w:val="es-ES"/>
        </w:rPr>
        <w:t xml:space="preserve">. </w:t>
      </w:r>
      <w:r w:rsidRPr="00CC44C8">
        <w:rPr>
          <w:rFonts w:ascii="Cambria" w:hAnsi="Cambria"/>
          <w:sz w:val="16"/>
          <w:szCs w:val="16"/>
          <w:lang w:val="es-ES"/>
        </w:rPr>
        <w:t xml:space="preserve">Fondo, Reparaciones y Costas. Sentencia de 27 de noviembre de 2008. Serie C No. 192, párr. 138. </w:t>
      </w:r>
    </w:p>
  </w:footnote>
  <w:footnote w:id="72">
    <w:p w14:paraId="3E7843E4" w14:textId="77777777" w:rsidR="00270C7F" w:rsidRPr="00CC44C8" w:rsidRDefault="00270C7F" w:rsidP="00CD345C">
      <w:pPr>
        <w:pStyle w:val="FootnoteText"/>
        <w:jc w:val="both"/>
        <w:rPr>
          <w:rFonts w:ascii="Cambria" w:hAnsi="Cambria" w:cs="Arial"/>
          <w:sz w:val="16"/>
          <w:szCs w:val="16"/>
          <w:lang w:val="es-ES"/>
        </w:rPr>
      </w:pPr>
      <w:r w:rsidRPr="00CC44C8">
        <w:rPr>
          <w:rStyle w:val="FootnoteReference"/>
          <w:rFonts w:ascii="Cambria" w:hAnsi="Cambria" w:cs="Arial"/>
          <w:sz w:val="16"/>
          <w:szCs w:val="16"/>
          <w:lang w:val="es-ES"/>
        </w:rPr>
        <w:footnoteRef/>
      </w:r>
      <w:r w:rsidRPr="00CC44C8">
        <w:rPr>
          <w:rFonts w:ascii="Cambria" w:hAnsi="Cambria" w:cs="Arial"/>
          <w:sz w:val="16"/>
          <w:szCs w:val="16"/>
          <w:lang w:val="es-ES"/>
        </w:rPr>
        <w:t xml:space="preserve"> </w:t>
      </w:r>
      <w:r w:rsidRPr="00CC44C8">
        <w:rPr>
          <w:rStyle w:val="Strong"/>
          <w:rFonts w:ascii="Cambria" w:hAnsi="Cambria"/>
          <w:b w:val="0"/>
          <w:sz w:val="16"/>
          <w:szCs w:val="16"/>
          <w:shd w:val="clear" w:color="auto" w:fill="FFFFFF"/>
          <w:lang w:val="es-ES"/>
        </w:rPr>
        <w:t>Corte IDH</w:t>
      </w:r>
      <w:r w:rsidRPr="00CC44C8">
        <w:rPr>
          <w:rStyle w:val="Strong"/>
          <w:rFonts w:ascii="Cambria" w:hAnsi="Cambria"/>
          <w:b w:val="0"/>
          <w:i/>
          <w:sz w:val="16"/>
          <w:szCs w:val="16"/>
          <w:shd w:val="clear" w:color="auto" w:fill="FFFFFF"/>
          <w:lang w:val="es-ES"/>
        </w:rPr>
        <w:t>. Caso Vélez Restrepo y familiares Vs. Colombia</w:t>
      </w:r>
      <w:r w:rsidRPr="00CC44C8">
        <w:rPr>
          <w:rStyle w:val="Strong"/>
          <w:rFonts w:ascii="Cambria" w:hAnsi="Cambria"/>
          <w:b w:val="0"/>
          <w:sz w:val="16"/>
          <w:szCs w:val="16"/>
          <w:shd w:val="clear" w:color="auto" w:fill="FFFFFF"/>
          <w:lang w:val="es-ES"/>
        </w:rPr>
        <w:t>. Excepción Preliminar, Fondo, Reparaciones y Costas. Sentencia de 3 de septiembre de 2012. Serie C No. 248, párr. 220.</w:t>
      </w:r>
    </w:p>
  </w:footnote>
  <w:footnote w:id="73">
    <w:p w14:paraId="26D16543" w14:textId="77777777" w:rsidR="00270C7F" w:rsidRPr="00CC44C8" w:rsidRDefault="00270C7F" w:rsidP="00CD345C">
      <w:pPr>
        <w:autoSpaceDE w:val="0"/>
        <w:autoSpaceDN w:val="0"/>
        <w:adjustRightInd w:val="0"/>
        <w:jc w:val="both"/>
        <w:rPr>
          <w:rFonts w:ascii="Cambria" w:hAnsi="Cambria"/>
          <w:sz w:val="16"/>
          <w:szCs w:val="16"/>
          <w:lang w:val="es-ES"/>
        </w:rPr>
      </w:pPr>
      <w:r w:rsidRPr="00CC44C8">
        <w:rPr>
          <w:rStyle w:val="FootnoteReference"/>
          <w:rFonts w:ascii="Cambria" w:hAnsi="Cambria"/>
          <w:sz w:val="16"/>
          <w:szCs w:val="16"/>
          <w:lang w:val="es-ES"/>
        </w:rPr>
        <w:footnoteRef/>
      </w:r>
      <w:r w:rsidRPr="00CC44C8">
        <w:rPr>
          <w:rFonts w:ascii="Cambria" w:hAnsi="Cambria"/>
          <w:sz w:val="16"/>
          <w:szCs w:val="16"/>
          <w:lang w:val="es-ES"/>
        </w:rPr>
        <w:t xml:space="preserve"> Corte IDH. </w:t>
      </w:r>
      <w:r w:rsidRPr="00CC44C8">
        <w:rPr>
          <w:rFonts w:ascii="Cambria" w:hAnsi="Cambria" w:cs="Univers,Italic"/>
          <w:i/>
          <w:iCs/>
          <w:sz w:val="16"/>
          <w:szCs w:val="16"/>
          <w:lang w:val="es-ES"/>
        </w:rPr>
        <w:t>Caso Valle Jaramillo y otros Vs. Colombia</w:t>
      </w:r>
      <w:r w:rsidRPr="00CC44C8">
        <w:rPr>
          <w:rFonts w:ascii="Cambria" w:hAnsi="Cambria" w:cs="Univers,Italic"/>
          <w:iCs/>
          <w:sz w:val="16"/>
          <w:szCs w:val="16"/>
          <w:lang w:val="es-ES"/>
        </w:rPr>
        <w:t xml:space="preserve">. </w:t>
      </w:r>
      <w:r w:rsidRPr="00CC44C8">
        <w:rPr>
          <w:rFonts w:ascii="Cambria" w:hAnsi="Cambria"/>
          <w:sz w:val="16"/>
          <w:szCs w:val="16"/>
          <w:lang w:val="es-ES"/>
        </w:rPr>
        <w:t xml:space="preserve">Fondo, Reparaciones y Costas. Sentencia de 27 de noviembre de 2008. Serie C No. 192, párrs. 140, 141 y 144. </w:t>
      </w:r>
    </w:p>
  </w:footnote>
  <w:footnote w:id="74">
    <w:p w14:paraId="4A26703D" w14:textId="77777777" w:rsidR="00270C7F" w:rsidRPr="00CC44C8" w:rsidRDefault="00270C7F" w:rsidP="00CD345C">
      <w:pPr>
        <w:autoSpaceDE w:val="0"/>
        <w:autoSpaceDN w:val="0"/>
        <w:adjustRightInd w:val="0"/>
        <w:jc w:val="both"/>
        <w:rPr>
          <w:rFonts w:ascii="Cambria" w:hAnsi="Cambria"/>
          <w:sz w:val="16"/>
          <w:szCs w:val="16"/>
          <w:lang w:val="es-ES"/>
        </w:rPr>
      </w:pPr>
      <w:r w:rsidRPr="00CC44C8">
        <w:rPr>
          <w:rStyle w:val="FootnoteReference"/>
          <w:rFonts w:ascii="Cambria" w:hAnsi="Cambria"/>
          <w:sz w:val="16"/>
          <w:szCs w:val="16"/>
          <w:lang w:val="es-ES"/>
        </w:rPr>
        <w:footnoteRef/>
      </w:r>
      <w:r w:rsidRPr="00CC44C8">
        <w:rPr>
          <w:rFonts w:ascii="Cambria" w:hAnsi="Cambria"/>
          <w:sz w:val="16"/>
          <w:szCs w:val="16"/>
          <w:lang w:val="es-ES"/>
        </w:rPr>
        <w:t xml:space="preserve"> Corte IDH. </w:t>
      </w:r>
      <w:r w:rsidRPr="00CC44C8">
        <w:rPr>
          <w:rFonts w:ascii="Cambria" w:hAnsi="Cambria" w:cs="Univers,Italic"/>
          <w:iCs/>
          <w:sz w:val="16"/>
          <w:szCs w:val="16"/>
          <w:lang w:val="es-ES"/>
        </w:rPr>
        <w:t xml:space="preserve">Caso Valle Jaramillo y otros Vs. Colombia. </w:t>
      </w:r>
      <w:r w:rsidRPr="00CC44C8">
        <w:rPr>
          <w:rFonts w:ascii="Cambria" w:hAnsi="Cambria"/>
          <w:sz w:val="16"/>
          <w:szCs w:val="16"/>
          <w:lang w:val="es-ES"/>
        </w:rPr>
        <w:t>Fondo, Reparaciones y Costas. Sentencia de 27 de noviembre de 2008. Serie C No. 192, párr. 141.</w:t>
      </w:r>
    </w:p>
  </w:footnote>
  <w:footnote w:id="75">
    <w:p w14:paraId="3FACB724" w14:textId="77777777" w:rsidR="00270C7F" w:rsidRPr="00CC44C8" w:rsidRDefault="00270C7F" w:rsidP="00CD345C">
      <w:pPr>
        <w:pStyle w:val="FootnoteText"/>
        <w:jc w:val="both"/>
        <w:rPr>
          <w:rFonts w:ascii="Cambria" w:hAnsi="Cambria"/>
          <w:b/>
          <w:sz w:val="16"/>
          <w:szCs w:val="16"/>
          <w:lang w:val="es-ES"/>
        </w:rPr>
      </w:pPr>
      <w:r w:rsidRPr="00CC44C8">
        <w:rPr>
          <w:rStyle w:val="FootnoteReference"/>
          <w:rFonts w:ascii="Cambria" w:hAnsi="Cambria"/>
          <w:b/>
          <w:sz w:val="16"/>
          <w:szCs w:val="16"/>
        </w:rPr>
        <w:footnoteRef/>
      </w:r>
      <w:r w:rsidRPr="00CC44C8">
        <w:rPr>
          <w:rFonts w:ascii="Cambria" w:hAnsi="Cambria"/>
          <w:b/>
          <w:sz w:val="16"/>
          <w:szCs w:val="16"/>
          <w:lang w:val="es-ES"/>
        </w:rPr>
        <w:t xml:space="preserve"> </w:t>
      </w:r>
      <w:r w:rsidRPr="00CC44C8">
        <w:rPr>
          <w:rStyle w:val="Strong"/>
          <w:rFonts w:ascii="Cambria" w:hAnsi="Cambria"/>
          <w:b w:val="0"/>
          <w:sz w:val="16"/>
          <w:szCs w:val="16"/>
          <w:shd w:val="clear" w:color="auto" w:fill="FFFFFF"/>
          <w:lang w:val="es-ES"/>
        </w:rPr>
        <w:t xml:space="preserve">Corte IDH. </w:t>
      </w:r>
      <w:r w:rsidRPr="00CC44C8">
        <w:rPr>
          <w:rStyle w:val="Strong"/>
          <w:rFonts w:ascii="Cambria" w:hAnsi="Cambria"/>
          <w:b w:val="0"/>
          <w:i/>
          <w:sz w:val="16"/>
          <w:szCs w:val="16"/>
          <w:shd w:val="clear" w:color="auto" w:fill="FFFFFF"/>
          <w:lang w:val="es-ES"/>
        </w:rPr>
        <w:t>Caso V.R.P., V.P.C. y otros Vs. Nicaragua</w:t>
      </w:r>
      <w:r w:rsidRPr="00CC44C8">
        <w:rPr>
          <w:rStyle w:val="Strong"/>
          <w:rFonts w:ascii="Cambria" w:hAnsi="Cambria"/>
          <w:b w:val="0"/>
          <w:sz w:val="16"/>
          <w:szCs w:val="16"/>
          <w:shd w:val="clear" w:color="auto" w:fill="FFFFFF"/>
          <w:lang w:val="es-ES"/>
        </w:rPr>
        <w:t>. Excepciones Preliminares, Fondo, Reparaciones y Costas. Sentencia de 8 de marzo de 2018. Serie C No. 350, párr. 309.</w:t>
      </w:r>
    </w:p>
  </w:footnote>
  <w:footnote w:id="76">
    <w:p w14:paraId="5FFAB7E4" w14:textId="77777777" w:rsidR="009D6394" w:rsidRPr="00CC44C8" w:rsidRDefault="009D6394" w:rsidP="00CD345C">
      <w:pPr>
        <w:pStyle w:val="FootnoteText"/>
        <w:jc w:val="both"/>
        <w:rPr>
          <w:rFonts w:ascii="Cambria" w:hAnsi="Cambria"/>
          <w:sz w:val="16"/>
          <w:szCs w:val="16"/>
          <w:lang w:val="es-CO"/>
        </w:rPr>
      </w:pPr>
      <w:r w:rsidRPr="00CC44C8">
        <w:rPr>
          <w:rStyle w:val="FootnoteReference"/>
          <w:rFonts w:ascii="Cambria" w:hAnsi="Cambria"/>
          <w:sz w:val="16"/>
          <w:szCs w:val="16"/>
        </w:rPr>
        <w:footnoteRef/>
      </w:r>
      <w:r w:rsidRPr="00CC44C8">
        <w:rPr>
          <w:rStyle w:val="FootnoteReference"/>
          <w:rFonts w:ascii="Cambria" w:hAnsi="Cambria"/>
          <w:sz w:val="16"/>
          <w:szCs w:val="16"/>
          <w:lang w:val="es-US"/>
        </w:rPr>
        <w:t xml:space="preserve"> </w:t>
      </w:r>
      <w:r w:rsidRPr="00CC44C8">
        <w:rPr>
          <w:rFonts w:ascii="Cambria" w:hAnsi="Cambria"/>
          <w:sz w:val="16"/>
          <w:szCs w:val="16"/>
          <w:lang w:val="es-US"/>
        </w:rPr>
        <w:t xml:space="preserve">CIDH. Informe No. 41/15. Casos 12.335, 12. 336, 12. 757, 12.711. Fondo. Gustavo Giraldo Villamizar Durán y otros. Colombia. 28 de julio de 2015, párr. 195. Asimismo, véase: </w:t>
      </w:r>
      <w:r w:rsidRPr="00CC44C8">
        <w:rPr>
          <w:rFonts w:ascii="Cambria" w:hAnsi="Cambria"/>
          <w:sz w:val="16"/>
          <w:szCs w:val="16"/>
          <w:lang w:val="es-CO"/>
        </w:rPr>
        <w:t xml:space="preserve">Corte IDH. </w:t>
      </w:r>
      <w:r w:rsidRPr="00CC44C8">
        <w:rPr>
          <w:rFonts w:ascii="Cambria" w:hAnsi="Cambria"/>
          <w:i/>
          <w:sz w:val="16"/>
          <w:szCs w:val="16"/>
          <w:lang w:val="es-CO"/>
        </w:rPr>
        <w:t>Caso de la Masacre de Mapiripán Vs. Colombia</w:t>
      </w:r>
      <w:r w:rsidRPr="00CC44C8">
        <w:rPr>
          <w:rFonts w:ascii="Cambria" w:hAnsi="Cambria"/>
          <w:sz w:val="16"/>
          <w:szCs w:val="16"/>
          <w:lang w:val="es-CO"/>
        </w:rPr>
        <w:t xml:space="preserve">. Sentencia de 15 de septiembre de 2005. Serie C No. 122, párr. 219; y </w:t>
      </w:r>
      <w:r w:rsidRPr="00CC44C8">
        <w:rPr>
          <w:rFonts w:ascii="Cambria" w:hAnsi="Cambria"/>
          <w:i/>
          <w:sz w:val="16"/>
          <w:szCs w:val="16"/>
          <w:lang w:val="es-CO"/>
        </w:rPr>
        <w:t>Caso Mendoza y otros Vs. Argentina</w:t>
      </w:r>
      <w:r w:rsidRPr="00CC44C8">
        <w:rPr>
          <w:rFonts w:ascii="Cambria" w:hAnsi="Cambria"/>
          <w:sz w:val="16"/>
          <w:szCs w:val="16"/>
          <w:lang w:val="es-CO"/>
        </w:rPr>
        <w:t>. Excepciones Preliminares, Fondo y Reparaciones. Sentencia de 14 de mayo de 2013. Serie C No. 260, párr. 218.</w:t>
      </w:r>
    </w:p>
  </w:footnote>
  <w:footnote w:id="77">
    <w:p w14:paraId="306DA189" w14:textId="77777777" w:rsidR="009D6394" w:rsidRPr="008628D0"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Corte IDH. </w:t>
      </w:r>
      <w:r w:rsidRPr="00CC44C8">
        <w:rPr>
          <w:rFonts w:ascii="Cambria" w:hAnsi="Cambria"/>
          <w:i/>
          <w:sz w:val="16"/>
          <w:szCs w:val="16"/>
          <w:lang w:val="es-ES"/>
        </w:rPr>
        <w:t xml:space="preserve">Caso Loayza Tamayo Vs. </w:t>
      </w:r>
      <w:r w:rsidRPr="00CC44C8">
        <w:rPr>
          <w:rFonts w:ascii="Cambria" w:hAnsi="Cambria"/>
          <w:i/>
          <w:sz w:val="16"/>
          <w:szCs w:val="16"/>
          <w:lang w:val="es-CL"/>
        </w:rPr>
        <w:t>Perú</w:t>
      </w:r>
      <w:r w:rsidRPr="00CC44C8">
        <w:rPr>
          <w:rFonts w:ascii="Cambria" w:hAnsi="Cambria"/>
          <w:sz w:val="16"/>
          <w:szCs w:val="16"/>
          <w:lang w:val="es-CL"/>
        </w:rPr>
        <w:t xml:space="preserve">. Reparaciones. </w:t>
      </w:r>
      <w:r w:rsidRPr="008628D0">
        <w:rPr>
          <w:rFonts w:ascii="Cambria" w:hAnsi="Cambria"/>
          <w:sz w:val="16"/>
          <w:szCs w:val="16"/>
          <w:lang w:val="es-ES"/>
        </w:rPr>
        <w:t>Sentencia de 27 de noviembre de 1998. Serie C No. 42, párr. 169.</w:t>
      </w:r>
    </w:p>
  </w:footnote>
  <w:footnote w:id="78">
    <w:p w14:paraId="78DADA56" w14:textId="77777777" w:rsidR="009D6394" w:rsidRPr="00A668F1"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8628D0">
        <w:rPr>
          <w:rFonts w:ascii="Cambria" w:hAnsi="Cambria"/>
          <w:sz w:val="16"/>
          <w:szCs w:val="16"/>
          <w:lang w:val="es-ES"/>
        </w:rPr>
        <w:t xml:space="preserve"> TEDH. </w:t>
      </w:r>
      <w:r w:rsidRPr="00CC44C8">
        <w:rPr>
          <w:rFonts w:ascii="Cambria" w:hAnsi="Cambria"/>
          <w:sz w:val="16"/>
          <w:szCs w:val="16"/>
          <w:lang w:val="es-ES"/>
        </w:rPr>
        <w:t xml:space="preserve">McCann y otros v. Reino Unido. Sentencia de 27 de septiembre de 1995, párr. </w:t>
      </w:r>
      <w:r w:rsidRPr="00A668F1">
        <w:rPr>
          <w:rFonts w:ascii="Cambria" w:hAnsi="Cambria"/>
          <w:sz w:val="16"/>
          <w:szCs w:val="16"/>
          <w:lang w:val="es-ES"/>
        </w:rPr>
        <w:t>36.</w:t>
      </w:r>
    </w:p>
  </w:footnote>
  <w:footnote w:id="79">
    <w:p w14:paraId="7EF6FFB6" w14:textId="77777777" w:rsidR="009D6394" w:rsidRPr="008628D0" w:rsidRDefault="009D6394"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256E7A">
        <w:rPr>
          <w:rFonts w:ascii="Cambria" w:hAnsi="Cambria"/>
          <w:sz w:val="16"/>
          <w:szCs w:val="16"/>
          <w:lang w:val="es-ES"/>
        </w:rPr>
        <w:t xml:space="preserve"> TEDH. </w:t>
      </w:r>
      <w:r w:rsidRPr="00CC44C8">
        <w:rPr>
          <w:rFonts w:ascii="Cambria" w:hAnsi="Cambria"/>
          <w:sz w:val="16"/>
          <w:szCs w:val="16"/>
          <w:lang w:val="es-ES"/>
        </w:rPr>
        <w:t xml:space="preserve">Milkhalkova y otros v. Ucrania. Sentencia de 13 de enero de 2011, párr. 42. </w:t>
      </w:r>
    </w:p>
  </w:footnote>
  <w:footnote w:id="80">
    <w:p w14:paraId="64BCEDAA" w14:textId="77777777" w:rsidR="003D3886" w:rsidRPr="00CC44C8" w:rsidRDefault="003D3886" w:rsidP="00CD345C">
      <w:pPr>
        <w:pStyle w:val="FootnoteText"/>
        <w:jc w:val="both"/>
        <w:rPr>
          <w:rFonts w:ascii="Cambria" w:hAnsi="Cambria"/>
          <w:sz w:val="16"/>
          <w:szCs w:val="16"/>
          <w:lang w:val="es-ES"/>
        </w:rPr>
      </w:pPr>
      <w:r w:rsidRPr="00CC44C8">
        <w:rPr>
          <w:rStyle w:val="FootnoteReference"/>
          <w:rFonts w:ascii="Cambria" w:hAnsi="Cambria"/>
          <w:sz w:val="16"/>
          <w:szCs w:val="16"/>
        </w:rPr>
        <w:footnoteRef/>
      </w:r>
      <w:r w:rsidRPr="00CC44C8">
        <w:rPr>
          <w:rFonts w:ascii="Cambria" w:hAnsi="Cambria"/>
          <w:sz w:val="16"/>
          <w:szCs w:val="16"/>
          <w:lang w:val="es-ES"/>
        </w:rPr>
        <w:t xml:space="preserve"> </w:t>
      </w:r>
      <w:r w:rsidRPr="00CC44C8">
        <w:rPr>
          <w:rStyle w:val="Strong"/>
          <w:rFonts w:ascii="Cambria" w:hAnsi="Cambria"/>
          <w:b w:val="0"/>
          <w:sz w:val="16"/>
          <w:szCs w:val="16"/>
          <w:shd w:val="clear" w:color="auto" w:fill="FFFFFF"/>
          <w:lang w:val="es-ES"/>
        </w:rPr>
        <w:t xml:space="preserve">Corte IDH. </w:t>
      </w:r>
      <w:r w:rsidRPr="00CC44C8">
        <w:rPr>
          <w:rStyle w:val="Strong"/>
          <w:rFonts w:ascii="Cambria" w:hAnsi="Cambria"/>
          <w:b w:val="0"/>
          <w:i/>
          <w:sz w:val="16"/>
          <w:szCs w:val="16"/>
          <w:shd w:val="clear" w:color="auto" w:fill="FFFFFF"/>
          <w:lang w:val="es-ES"/>
        </w:rPr>
        <w:t xml:space="preserve">Caso Furlan y Familiares Vs. Argentina. </w:t>
      </w:r>
      <w:r w:rsidRPr="00CC44C8">
        <w:rPr>
          <w:rStyle w:val="Strong"/>
          <w:rFonts w:ascii="Cambria" w:hAnsi="Cambria"/>
          <w:b w:val="0"/>
          <w:sz w:val="16"/>
          <w:szCs w:val="16"/>
          <w:shd w:val="clear" w:color="auto" w:fill="FFFFFF"/>
          <w:lang w:val="es-ES"/>
        </w:rPr>
        <w:t>Excepciones Preliminares, Fondo, Reparaciones y Costas. Sentencia de 31 de agosto de 2012. Serie C No. 246, párr. 249.</w:t>
      </w:r>
    </w:p>
  </w:footnote>
  <w:footnote w:id="81">
    <w:p w14:paraId="3EF67909" w14:textId="77777777" w:rsidR="003D3886" w:rsidRPr="00CC44C8" w:rsidRDefault="003D3886"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CIDH. Informe No. 11/10. Caso 12.488. Fondo. Miembros de la Familia Barrios. Venezuela. 26 de julio de 2010, párr. 227.</w:t>
      </w:r>
    </w:p>
  </w:footnote>
  <w:footnote w:id="82">
    <w:p w14:paraId="108E25CA" w14:textId="77777777" w:rsidR="003D3886" w:rsidRPr="00CC44C8" w:rsidRDefault="003D3886" w:rsidP="00CD345C">
      <w:pPr>
        <w:pStyle w:val="FootnoteText"/>
        <w:jc w:val="both"/>
        <w:rPr>
          <w:rFonts w:ascii="Cambria" w:hAnsi="Cambria"/>
          <w:sz w:val="16"/>
          <w:szCs w:val="16"/>
          <w:lang w:val="es-CL"/>
        </w:rPr>
      </w:pPr>
      <w:r w:rsidRPr="00CC44C8">
        <w:rPr>
          <w:rStyle w:val="FootnoteReference"/>
          <w:rFonts w:ascii="Cambria" w:hAnsi="Cambria"/>
          <w:sz w:val="16"/>
          <w:szCs w:val="16"/>
        </w:rPr>
        <w:footnoteRef/>
      </w:r>
      <w:r w:rsidRPr="00CC44C8">
        <w:rPr>
          <w:rFonts w:ascii="Cambria" w:hAnsi="Cambria"/>
          <w:sz w:val="16"/>
          <w:szCs w:val="16"/>
          <w:lang w:val="es-CL"/>
        </w:rPr>
        <w:t xml:space="preserve"> Corte IDH. </w:t>
      </w:r>
      <w:r w:rsidRPr="00CC44C8">
        <w:rPr>
          <w:rFonts w:ascii="Cambria" w:hAnsi="Cambria"/>
          <w:i/>
          <w:sz w:val="16"/>
          <w:szCs w:val="16"/>
          <w:lang w:val="es-CL"/>
        </w:rPr>
        <w:t>Caso Valle Jaramillo y otros Vs. Colombia</w:t>
      </w:r>
      <w:r w:rsidRPr="00CC44C8">
        <w:rPr>
          <w:rFonts w:ascii="Cambria" w:hAnsi="Cambria"/>
          <w:sz w:val="16"/>
          <w:szCs w:val="16"/>
          <w:lang w:val="es-CL"/>
        </w:rPr>
        <w:t xml:space="preserve">. Fondo, Reparaciones y Costas. </w:t>
      </w:r>
      <w:r w:rsidRPr="00CC44C8">
        <w:rPr>
          <w:rFonts w:ascii="Cambria" w:hAnsi="Cambria"/>
          <w:sz w:val="16"/>
          <w:szCs w:val="16"/>
          <w:lang w:val="es-ES"/>
        </w:rPr>
        <w:t>Sentencia de 27 de noviembre de 2008, párr.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B562" w14:textId="77777777" w:rsidR="009D6394" w:rsidRDefault="009D6394" w:rsidP="008C082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E5137C8" w14:textId="77777777" w:rsidR="009D6394" w:rsidRDefault="009D6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6DE5" w14:textId="77777777" w:rsidR="009D6394" w:rsidRDefault="00441039" w:rsidP="00A50FCF">
    <w:pPr>
      <w:pStyle w:val="Header"/>
      <w:tabs>
        <w:tab w:val="clear" w:pos="4320"/>
        <w:tab w:val="clear" w:pos="8640"/>
      </w:tabs>
      <w:jc w:val="center"/>
      <w:rPr>
        <w:sz w:val="22"/>
        <w:szCs w:val="22"/>
      </w:rPr>
    </w:pPr>
    <w:r w:rsidRPr="00470D7E">
      <w:rPr>
        <w:noProof/>
        <w:sz w:val="22"/>
        <w:szCs w:val="22"/>
        <w:lang w:val="es-ES" w:eastAsia="es-ES"/>
      </w:rPr>
      <w:drawing>
        <wp:inline distT="0" distB="0" distL="0" distR="0" wp14:anchorId="4E7E9697" wp14:editId="6963FE3D">
          <wp:extent cx="1974215" cy="104140"/>
          <wp:effectExtent l="0" t="0" r="6985" b="0"/>
          <wp:docPr id="4"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104140"/>
                  </a:xfrm>
                  <a:prstGeom prst="rect">
                    <a:avLst/>
                  </a:prstGeom>
                  <a:noFill/>
                  <a:ln>
                    <a:noFill/>
                  </a:ln>
                </pic:spPr>
              </pic:pic>
            </a:graphicData>
          </a:graphic>
        </wp:inline>
      </w:drawing>
    </w:r>
  </w:p>
  <w:p w14:paraId="71D7D530" w14:textId="77777777" w:rsidR="009D6394" w:rsidRPr="00EC7D62" w:rsidRDefault="005D5215" w:rsidP="00A50FCF">
    <w:pPr>
      <w:pStyle w:val="Header"/>
      <w:tabs>
        <w:tab w:val="clear" w:pos="4320"/>
        <w:tab w:val="clear" w:pos="8640"/>
      </w:tabs>
      <w:jc w:val="center"/>
      <w:rPr>
        <w:sz w:val="22"/>
        <w:szCs w:val="22"/>
      </w:rPr>
    </w:pPr>
    <w:r>
      <w:rPr>
        <w:sz w:val="22"/>
        <w:szCs w:val="22"/>
      </w:rPr>
      <w:pict w14:anchorId="3C1D4CC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077034"/>
    <w:multiLevelType w:val="hybridMultilevel"/>
    <w:tmpl w:val="64F46286"/>
    <w:lvl w:ilvl="0" w:tplc="9E0CAF0C">
      <w:start w:val="1"/>
      <w:numFmt w:val="decimal"/>
      <w:lvlText w:val="%1."/>
      <w:lvlJc w:val="left"/>
      <w:pPr>
        <w:ind w:left="99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9F770A"/>
    <w:multiLevelType w:val="hybridMultilevel"/>
    <w:tmpl w:val="94A4D71C"/>
    <w:lvl w:ilvl="0" w:tplc="D25C92B0">
      <w:start w:val="1"/>
      <w:numFmt w:val="decimal"/>
      <w:lvlText w:val="%1."/>
      <w:lvlJc w:val="left"/>
      <w:pPr>
        <w:ind w:left="99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40127D8"/>
    <w:multiLevelType w:val="hybridMultilevel"/>
    <w:tmpl w:val="E346A79C"/>
    <w:lvl w:ilvl="0" w:tplc="B412BE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C1905"/>
    <w:multiLevelType w:val="hybridMultilevel"/>
    <w:tmpl w:val="D70459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050020"/>
    <w:multiLevelType w:val="hybridMultilevel"/>
    <w:tmpl w:val="1B3290F6"/>
    <w:lvl w:ilvl="0" w:tplc="9E98C24A">
      <w:start w:val="1"/>
      <w:numFmt w:val="decimal"/>
      <w:lvlText w:val="%1."/>
      <w:lvlJc w:val="left"/>
      <w:pPr>
        <w:tabs>
          <w:tab w:val="num" w:pos="1429"/>
        </w:tabs>
        <w:ind w:firstLine="720"/>
      </w:pPr>
      <w:rPr>
        <w:rFonts w:ascii="Cambria" w:hAnsi="Cambria" w:cs="Times New Roman" w:hint="default"/>
        <w:b w:val="0"/>
        <w:i w:val="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976A6A1E">
      <w:start w:val="1"/>
      <w:numFmt w:val="decimal"/>
      <w:lvlText w:val="%4."/>
      <w:lvlJc w:val="left"/>
      <w:pPr>
        <w:tabs>
          <w:tab w:val="num" w:pos="2880"/>
        </w:tabs>
        <w:ind w:left="2880" w:hanging="360"/>
      </w:pPr>
      <w:rPr>
        <w:rFonts w:ascii="Cambria" w:hAnsi="Cambria"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F248AA"/>
    <w:multiLevelType w:val="hybridMultilevel"/>
    <w:tmpl w:val="BF2223A2"/>
    <w:lvl w:ilvl="0" w:tplc="AD88B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E81B7F"/>
    <w:multiLevelType w:val="hybridMultilevel"/>
    <w:tmpl w:val="D388B9A4"/>
    <w:lvl w:ilvl="0" w:tplc="9E0CAF0C">
      <w:start w:val="1"/>
      <w:numFmt w:val="decimal"/>
      <w:lvlText w:val="%1."/>
      <w:lvlJc w:val="left"/>
      <w:pPr>
        <w:ind w:left="54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72A0BA1"/>
    <w:multiLevelType w:val="hybridMultilevel"/>
    <w:tmpl w:val="B9E03698"/>
    <w:lvl w:ilvl="0" w:tplc="BB6A8154">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795779"/>
    <w:multiLevelType w:val="singleLevel"/>
    <w:tmpl w:val="6DAE24D8"/>
    <w:lvl w:ilvl="0">
      <w:start w:val="3"/>
      <w:numFmt w:val="decimal"/>
      <w:lvlText w:val="%1."/>
      <w:lvlJc w:val="left"/>
      <w:pPr>
        <w:tabs>
          <w:tab w:val="num" w:pos="720"/>
        </w:tabs>
        <w:ind w:left="0" w:firstLine="720"/>
      </w:pPr>
      <w:rPr>
        <w:rFonts w:ascii="Cambria" w:hAnsi="Cambria" w:hint="default"/>
        <w:b w:val="0"/>
        <w:color w:val="auto"/>
        <w:sz w:val="20"/>
        <w:szCs w:val="20"/>
      </w:rPr>
    </w:lvl>
  </w:abstractNum>
  <w:abstractNum w:abstractNumId="3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3BBA7DE2"/>
    <w:multiLevelType w:val="hybridMultilevel"/>
    <w:tmpl w:val="650C0E9E"/>
    <w:lvl w:ilvl="0" w:tplc="02AE0C5E">
      <w:start w:val="1"/>
      <w:numFmt w:val="decimal"/>
      <w:lvlText w:val="%1."/>
      <w:lvlJc w:val="left"/>
      <w:pPr>
        <w:tabs>
          <w:tab w:val="num" w:pos="1980"/>
        </w:tabs>
        <w:ind w:left="1980" w:hanging="360"/>
      </w:pPr>
      <w:rPr>
        <w:rFonts w:ascii="Cambria" w:hAnsi="Cambria" w:hint="default"/>
        <w:b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3D983EE9"/>
    <w:multiLevelType w:val="hybridMultilevel"/>
    <w:tmpl w:val="F7CE1F14"/>
    <w:lvl w:ilvl="0" w:tplc="C32AB916">
      <w:start w:val="1"/>
      <w:numFmt w:val="decimal"/>
      <w:lvlText w:val="%1."/>
      <w:lvlJc w:val="left"/>
      <w:pPr>
        <w:tabs>
          <w:tab w:val="num" w:pos="142"/>
        </w:tabs>
        <w:ind w:left="-578" w:firstLine="720"/>
      </w:pPr>
      <w:rPr>
        <w:rFonts w:ascii="Cambria" w:hAnsi="Cambria" w:hint="default"/>
        <w:b w:val="0"/>
        <w:i w:val="0"/>
        <w:color w:val="auto"/>
        <w:sz w:val="20"/>
        <w:szCs w:val="20"/>
        <w:lang w:val="es-ES"/>
      </w:rPr>
    </w:lvl>
    <w:lvl w:ilvl="1" w:tplc="1B26FCC0">
      <w:start w:val="25"/>
      <w:numFmt w:val="decimal"/>
      <w:lvlText w:val="%2."/>
      <w:lvlJc w:val="left"/>
      <w:pPr>
        <w:tabs>
          <w:tab w:val="num" w:pos="2520"/>
        </w:tabs>
        <w:ind w:left="2520" w:hanging="1440"/>
      </w:pPr>
      <w:rPr>
        <w:rFonts w:hint="default"/>
      </w:rPr>
    </w:lvl>
    <w:lvl w:ilvl="2" w:tplc="C6CE5EFA">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0935D42"/>
    <w:multiLevelType w:val="hybridMultilevel"/>
    <w:tmpl w:val="6BC03FF4"/>
    <w:lvl w:ilvl="0" w:tplc="C5E45522">
      <w:numFmt w:val="bullet"/>
      <w:lvlText w:val="-"/>
      <w:lvlJc w:val="left"/>
      <w:pPr>
        <w:ind w:left="1068" w:hanging="360"/>
      </w:pPr>
      <w:rPr>
        <w:rFonts w:ascii="Cambria" w:eastAsia="Arial Unicode MS" w:hAnsi="Cambri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CBF528E"/>
    <w:multiLevelType w:val="hybridMultilevel"/>
    <w:tmpl w:val="898E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7D4B9D"/>
    <w:multiLevelType w:val="hybridMultilevel"/>
    <w:tmpl w:val="94A4D71C"/>
    <w:lvl w:ilvl="0" w:tplc="D25C92B0">
      <w:start w:val="1"/>
      <w:numFmt w:val="decimal"/>
      <w:lvlText w:val="%1."/>
      <w:lvlJc w:val="left"/>
      <w:pPr>
        <w:ind w:left="873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1372E1"/>
    <w:multiLevelType w:val="hybridMultilevel"/>
    <w:tmpl w:val="7076CDA2"/>
    <w:lvl w:ilvl="0" w:tplc="EE4A52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64EF635A"/>
    <w:multiLevelType w:val="hybridMultilevel"/>
    <w:tmpl w:val="3898805A"/>
    <w:lvl w:ilvl="0" w:tplc="8A08EA6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70" w15:restartNumberingAfterBreak="0">
    <w:nsid w:val="7FB3417A"/>
    <w:multiLevelType w:val="hybridMultilevel"/>
    <w:tmpl w:val="68840A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64"/>
  </w:num>
  <w:num w:numId="4">
    <w:abstractNumId w:val="26"/>
  </w:num>
  <w:num w:numId="5">
    <w:abstractNumId w:val="59"/>
  </w:num>
  <w:num w:numId="6">
    <w:abstractNumId w:val="33"/>
  </w:num>
  <w:num w:numId="7">
    <w:abstractNumId w:val="10"/>
  </w:num>
  <w:num w:numId="8">
    <w:abstractNumId w:val="22"/>
  </w:num>
  <w:num w:numId="9">
    <w:abstractNumId w:val="50"/>
  </w:num>
  <w:num w:numId="10">
    <w:abstractNumId w:val="0"/>
  </w:num>
  <w:num w:numId="11">
    <w:abstractNumId w:val="44"/>
  </w:num>
  <w:num w:numId="12">
    <w:abstractNumId w:val="45"/>
  </w:num>
  <w:num w:numId="13">
    <w:abstractNumId w:val="52"/>
  </w:num>
  <w:num w:numId="14">
    <w:abstractNumId w:val="1"/>
  </w:num>
  <w:num w:numId="15">
    <w:abstractNumId w:val="3"/>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8"/>
  </w:num>
  <w:num w:numId="23">
    <w:abstractNumId w:val="19"/>
  </w:num>
  <w:num w:numId="24">
    <w:abstractNumId w:val="20"/>
  </w:num>
  <w:num w:numId="25">
    <w:abstractNumId w:val="23"/>
  </w:num>
  <w:num w:numId="26">
    <w:abstractNumId w:val="24"/>
  </w:num>
  <w:num w:numId="27">
    <w:abstractNumId w:val="27"/>
  </w:num>
  <w:num w:numId="28">
    <w:abstractNumId w:val="28"/>
  </w:num>
  <w:num w:numId="29">
    <w:abstractNumId w:val="29"/>
  </w:num>
  <w:num w:numId="30">
    <w:abstractNumId w:val="32"/>
  </w:num>
  <w:num w:numId="31">
    <w:abstractNumId w:val="34"/>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6"/>
  </w:num>
  <w:num w:numId="40">
    <w:abstractNumId w:val="47"/>
  </w:num>
  <w:num w:numId="41">
    <w:abstractNumId w:val="57"/>
  </w:num>
  <w:num w:numId="42">
    <w:abstractNumId w:val="60"/>
  </w:num>
  <w:num w:numId="43">
    <w:abstractNumId w:val="61"/>
  </w:num>
  <w:num w:numId="44">
    <w:abstractNumId w:val="62"/>
  </w:num>
  <w:num w:numId="45">
    <w:abstractNumId w:val="63"/>
  </w:num>
  <w:num w:numId="46">
    <w:abstractNumId w:val="65"/>
  </w:num>
  <w:num w:numId="47">
    <w:abstractNumId w:val="66"/>
  </w:num>
  <w:num w:numId="48">
    <w:abstractNumId w:val="67"/>
  </w:num>
  <w:num w:numId="49">
    <w:abstractNumId w:val="68"/>
  </w:num>
  <w:num w:numId="50">
    <w:abstractNumId w:val="69"/>
  </w:num>
  <w:num w:numId="51">
    <w:abstractNumId w:val="25"/>
  </w:num>
  <w:num w:numId="52">
    <w:abstractNumId w:val="48"/>
  </w:num>
  <w:num w:numId="53">
    <w:abstractNumId w:val="53"/>
  </w:num>
  <w:num w:numId="54">
    <w:abstractNumId w:val="30"/>
  </w:num>
  <w:num w:numId="55">
    <w:abstractNumId w:val="55"/>
  </w:num>
  <w:num w:numId="56">
    <w:abstractNumId w:val="7"/>
  </w:num>
  <w:num w:numId="57">
    <w:abstractNumId w:val="51"/>
  </w:num>
  <w:num w:numId="58">
    <w:abstractNumId w:val="16"/>
  </w:num>
  <w:num w:numId="59">
    <w:abstractNumId w:val="2"/>
  </w:num>
  <w:num w:numId="60">
    <w:abstractNumId w:val="54"/>
  </w:num>
  <w:num w:numId="61">
    <w:abstractNumId w:val="70"/>
  </w:num>
  <w:num w:numId="62">
    <w:abstractNumId w:val="8"/>
  </w:num>
  <w:num w:numId="63">
    <w:abstractNumId w:val="56"/>
  </w:num>
  <w:num w:numId="64">
    <w:abstractNumId w:val="31"/>
  </w:num>
  <w:num w:numId="65">
    <w:abstractNumId w:val="21"/>
  </w:num>
  <w:num w:numId="66">
    <w:abstractNumId w:val="9"/>
  </w:num>
  <w:num w:numId="67">
    <w:abstractNumId w:val="49"/>
  </w:num>
  <w:num w:numId="68">
    <w:abstractNumId w:val="5"/>
  </w:num>
  <w:num w:numId="69">
    <w:abstractNumId w:val="35"/>
  </w:num>
  <w:num w:numId="70">
    <w:abstractNumId w:val="36"/>
  </w:num>
  <w:num w:numId="71">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pt-BR" w:vendorID="64" w:dllVersion="6" w:nlCheck="1" w:checkStyle="0"/>
  <w:activeWritingStyle w:appName="MSWord" w:lang="es-CL"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PE" w:vendorID="64" w:dllVersion="6" w:nlCheck="1" w:checkStyle="1"/>
  <w:activeWritingStyle w:appName="MSWord" w:lang="es-VE" w:vendorID="64" w:dllVersion="6" w:nlCheck="1" w:checkStyle="1"/>
  <w:activeWritingStyle w:appName="MSWord" w:lang="es-AR" w:vendorID="64" w:dllVersion="6" w:nlCheck="1" w:checkStyle="1"/>
  <w:activeWritingStyle w:appName="MSWord" w:lang="es-MX" w:vendorID="64" w:dllVersion="6" w:nlCheck="1" w:checkStyle="1"/>
  <w:activeWritingStyle w:appName="MSWord" w:lang="es-GT" w:vendorID="64" w:dllVersion="6" w:nlCheck="1" w:checkStyle="1"/>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0DEE"/>
    <w:rsid w:val="00003368"/>
    <w:rsid w:val="00004245"/>
    <w:rsid w:val="00004766"/>
    <w:rsid w:val="00005382"/>
    <w:rsid w:val="000058BC"/>
    <w:rsid w:val="00005B72"/>
    <w:rsid w:val="00006896"/>
    <w:rsid w:val="00006E1F"/>
    <w:rsid w:val="000070D7"/>
    <w:rsid w:val="00010488"/>
    <w:rsid w:val="00014988"/>
    <w:rsid w:val="000158FD"/>
    <w:rsid w:val="00015A55"/>
    <w:rsid w:val="00016292"/>
    <w:rsid w:val="0001788C"/>
    <w:rsid w:val="0002113D"/>
    <w:rsid w:val="00021657"/>
    <w:rsid w:val="00022B63"/>
    <w:rsid w:val="00023675"/>
    <w:rsid w:val="00023745"/>
    <w:rsid w:val="00024C22"/>
    <w:rsid w:val="00025EDD"/>
    <w:rsid w:val="0002601F"/>
    <w:rsid w:val="00026CD5"/>
    <w:rsid w:val="00027051"/>
    <w:rsid w:val="00027939"/>
    <w:rsid w:val="00031E94"/>
    <w:rsid w:val="00033B6F"/>
    <w:rsid w:val="0003499E"/>
    <w:rsid w:val="00034AC4"/>
    <w:rsid w:val="00037E9F"/>
    <w:rsid w:val="00040810"/>
    <w:rsid w:val="00040C3A"/>
    <w:rsid w:val="00040EA6"/>
    <w:rsid w:val="000437DB"/>
    <w:rsid w:val="00044C38"/>
    <w:rsid w:val="000515D7"/>
    <w:rsid w:val="00051F01"/>
    <w:rsid w:val="00052A8F"/>
    <w:rsid w:val="00053288"/>
    <w:rsid w:val="000547CA"/>
    <w:rsid w:val="0005482A"/>
    <w:rsid w:val="00055831"/>
    <w:rsid w:val="00057A29"/>
    <w:rsid w:val="00060717"/>
    <w:rsid w:val="00060F1A"/>
    <w:rsid w:val="000623F1"/>
    <w:rsid w:val="00062813"/>
    <w:rsid w:val="00063AF9"/>
    <w:rsid w:val="00065916"/>
    <w:rsid w:val="00065D78"/>
    <w:rsid w:val="00065D8A"/>
    <w:rsid w:val="00066205"/>
    <w:rsid w:val="00066360"/>
    <w:rsid w:val="00067701"/>
    <w:rsid w:val="00067A5D"/>
    <w:rsid w:val="000705E2"/>
    <w:rsid w:val="000716C5"/>
    <w:rsid w:val="00075E23"/>
    <w:rsid w:val="000776AF"/>
    <w:rsid w:val="00082A7C"/>
    <w:rsid w:val="00083505"/>
    <w:rsid w:val="00085BC4"/>
    <w:rsid w:val="00087540"/>
    <w:rsid w:val="0008768F"/>
    <w:rsid w:val="000911EF"/>
    <w:rsid w:val="00091D5E"/>
    <w:rsid w:val="00092F23"/>
    <w:rsid w:val="0009344A"/>
    <w:rsid w:val="00095335"/>
    <w:rsid w:val="00097130"/>
    <w:rsid w:val="000A247C"/>
    <w:rsid w:val="000A339A"/>
    <w:rsid w:val="000A392E"/>
    <w:rsid w:val="000A4392"/>
    <w:rsid w:val="000A49DB"/>
    <w:rsid w:val="000A4F06"/>
    <w:rsid w:val="000A564C"/>
    <w:rsid w:val="000A575F"/>
    <w:rsid w:val="000A576A"/>
    <w:rsid w:val="000A61ED"/>
    <w:rsid w:val="000B11E0"/>
    <w:rsid w:val="000B18EE"/>
    <w:rsid w:val="000B2016"/>
    <w:rsid w:val="000B2333"/>
    <w:rsid w:val="000B31F8"/>
    <w:rsid w:val="000C0CA4"/>
    <w:rsid w:val="000C62EE"/>
    <w:rsid w:val="000D05F0"/>
    <w:rsid w:val="000D101D"/>
    <w:rsid w:val="000D10DB"/>
    <w:rsid w:val="000D172F"/>
    <w:rsid w:val="000D7620"/>
    <w:rsid w:val="000E0F31"/>
    <w:rsid w:val="000E51BB"/>
    <w:rsid w:val="000E5EB5"/>
    <w:rsid w:val="000F2008"/>
    <w:rsid w:val="000F301C"/>
    <w:rsid w:val="000F35ED"/>
    <w:rsid w:val="000F44FA"/>
    <w:rsid w:val="000F56CC"/>
    <w:rsid w:val="000F74C8"/>
    <w:rsid w:val="000F7A07"/>
    <w:rsid w:val="000F7ECD"/>
    <w:rsid w:val="000F7FC1"/>
    <w:rsid w:val="00102273"/>
    <w:rsid w:val="001031B3"/>
    <w:rsid w:val="001041ED"/>
    <w:rsid w:val="00104FDC"/>
    <w:rsid w:val="00105820"/>
    <w:rsid w:val="00107131"/>
    <w:rsid w:val="0010736F"/>
    <w:rsid w:val="00110B0F"/>
    <w:rsid w:val="00111F5E"/>
    <w:rsid w:val="00113F73"/>
    <w:rsid w:val="00114672"/>
    <w:rsid w:val="00114F3C"/>
    <w:rsid w:val="00115522"/>
    <w:rsid w:val="00115EB7"/>
    <w:rsid w:val="001217A7"/>
    <w:rsid w:val="00121CC2"/>
    <w:rsid w:val="00121EBE"/>
    <w:rsid w:val="001221BD"/>
    <w:rsid w:val="001238E3"/>
    <w:rsid w:val="00125C2E"/>
    <w:rsid w:val="001269E9"/>
    <w:rsid w:val="00130D5B"/>
    <w:rsid w:val="00131664"/>
    <w:rsid w:val="00131C0C"/>
    <w:rsid w:val="00133EE5"/>
    <w:rsid w:val="001368A1"/>
    <w:rsid w:val="00140D33"/>
    <w:rsid w:val="00141B45"/>
    <w:rsid w:val="00143381"/>
    <w:rsid w:val="00144BF3"/>
    <w:rsid w:val="00145AE9"/>
    <w:rsid w:val="00150497"/>
    <w:rsid w:val="001504AE"/>
    <w:rsid w:val="00151F84"/>
    <w:rsid w:val="001528DB"/>
    <w:rsid w:val="00153760"/>
    <w:rsid w:val="00153AC0"/>
    <w:rsid w:val="00156359"/>
    <w:rsid w:val="0016042B"/>
    <w:rsid w:val="001611B8"/>
    <w:rsid w:val="00163BEE"/>
    <w:rsid w:val="001659CD"/>
    <w:rsid w:val="00166189"/>
    <w:rsid w:val="00166CA2"/>
    <w:rsid w:val="00167129"/>
    <w:rsid w:val="00167A34"/>
    <w:rsid w:val="00167EAE"/>
    <w:rsid w:val="001702B1"/>
    <w:rsid w:val="00172D1C"/>
    <w:rsid w:val="00172F71"/>
    <w:rsid w:val="00173D1D"/>
    <w:rsid w:val="0018003B"/>
    <w:rsid w:val="001818CB"/>
    <w:rsid w:val="00181F34"/>
    <w:rsid w:val="00184126"/>
    <w:rsid w:val="00186A0A"/>
    <w:rsid w:val="001875F2"/>
    <w:rsid w:val="00193FEF"/>
    <w:rsid w:val="0019409C"/>
    <w:rsid w:val="00195046"/>
    <w:rsid w:val="00195EC9"/>
    <w:rsid w:val="0019618E"/>
    <w:rsid w:val="001A0370"/>
    <w:rsid w:val="001A41B3"/>
    <w:rsid w:val="001A5A62"/>
    <w:rsid w:val="001A61BC"/>
    <w:rsid w:val="001A67A3"/>
    <w:rsid w:val="001A7870"/>
    <w:rsid w:val="001A7E72"/>
    <w:rsid w:val="001B032F"/>
    <w:rsid w:val="001B06EB"/>
    <w:rsid w:val="001B0A0B"/>
    <w:rsid w:val="001B0A46"/>
    <w:rsid w:val="001B2BE2"/>
    <w:rsid w:val="001B3522"/>
    <w:rsid w:val="001B4942"/>
    <w:rsid w:val="001B539D"/>
    <w:rsid w:val="001B5E07"/>
    <w:rsid w:val="001B6053"/>
    <w:rsid w:val="001B66D8"/>
    <w:rsid w:val="001B678E"/>
    <w:rsid w:val="001B6B78"/>
    <w:rsid w:val="001C103F"/>
    <w:rsid w:val="001C1B41"/>
    <w:rsid w:val="001C2194"/>
    <w:rsid w:val="001C29CB"/>
    <w:rsid w:val="001C3C88"/>
    <w:rsid w:val="001C4FC6"/>
    <w:rsid w:val="001D18C7"/>
    <w:rsid w:val="001D65EF"/>
    <w:rsid w:val="001D7BCE"/>
    <w:rsid w:val="001E0188"/>
    <w:rsid w:val="001E15B6"/>
    <w:rsid w:val="001E172A"/>
    <w:rsid w:val="001E2932"/>
    <w:rsid w:val="001F08DB"/>
    <w:rsid w:val="001F1D36"/>
    <w:rsid w:val="001F3706"/>
    <w:rsid w:val="001F3E40"/>
    <w:rsid w:val="001F3FB8"/>
    <w:rsid w:val="001F440A"/>
    <w:rsid w:val="001F6E7A"/>
    <w:rsid w:val="001F70D3"/>
    <w:rsid w:val="00202338"/>
    <w:rsid w:val="00204B61"/>
    <w:rsid w:val="00204E7B"/>
    <w:rsid w:val="00212202"/>
    <w:rsid w:val="00216334"/>
    <w:rsid w:val="00216E72"/>
    <w:rsid w:val="00217201"/>
    <w:rsid w:val="002179E1"/>
    <w:rsid w:val="00220495"/>
    <w:rsid w:val="00220D5F"/>
    <w:rsid w:val="00220FDD"/>
    <w:rsid w:val="002212A3"/>
    <w:rsid w:val="00221DBC"/>
    <w:rsid w:val="0022273F"/>
    <w:rsid w:val="00222B16"/>
    <w:rsid w:val="0022450A"/>
    <w:rsid w:val="00224A3B"/>
    <w:rsid w:val="002250A3"/>
    <w:rsid w:val="00227A25"/>
    <w:rsid w:val="002306BD"/>
    <w:rsid w:val="00233CB3"/>
    <w:rsid w:val="00234061"/>
    <w:rsid w:val="00234085"/>
    <w:rsid w:val="00235217"/>
    <w:rsid w:val="002369FE"/>
    <w:rsid w:val="00242515"/>
    <w:rsid w:val="002434C3"/>
    <w:rsid w:val="0024487A"/>
    <w:rsid w:val="00244D54"/>
    <w:rsid w:val="00246D1F"/>
    <w:rsid w:val="00247403"/>
    <w:rsid w:val="00247542"/>
    <w:rsid w:val="00250D17"/>
    <w:rsid w:val="00251B12"/>
    <w:rsid w:val="0025241C"/>
    <w:rsid w:val="002541AC"/>
    <w:rsid w:val="00254DFB"/>
    <w:rsid w:val="00256E7A"/>
    <w:rsid w:val="00257236"/>
    <w:rsid w:val="00260FDC"/>
    <w:rsid w:val="002624F6"/>
    <w:rsid w:val="002642FB"/>
    <w:rsid w:val="00265BB6"/>
    <w:rsid w:val="00266B61"/>
    <w:rsid w:val="0026712A"/>
    <w:rsid w:val="002704DB"/>
    <w:rsid w:val="00270C7F"/>
    <w:rsid w:val="002714B3"/>
    <w:rsid w:val="00273D27"/>
    <w:rsid w:val="002748C8"/>
    <w:rsid w:val="00275A41"/>
    <w:rsid w:val="00275F55"/>
    <w:rsid w:val="002765B1"/>
    <w:rsid w:val="00276DF8"/>
    <w:rsid w:val="00277EF9"/>
    <w:rsid w:val="00281B6A"/>
    <w:rsid w:val="002827DD"/>
    <w:rsid w:val="002844B6"/>
    <w:rsid w:val="0028562B"/>
    <w:rsid w:val="00286308"/>
    <w:rsid w:val="00287424"/>
    <w:rsid w:val="0028798F"/>
    <w:rsid w:val="002932AB"/>
    <w:rsid w:val="00295BC0"/>
    <w:rsid w:val="00297879"/>
    <w:rsid w:val="002A0AAE"/>
    <w:rsid w:val="002A26FB"/>
    <w:rsid w:val="002A41ED"/>
    <w:rsid w:val="002A4706"/>
    <w:rsid w:val="002A5820"/>
    <w:rsid w:val="002A585D"/>
    <w:rsid w:val="002A6426"/>
    <w:rsid w:val="002B1161"/>
    <w:rsid w:val="002B23E9"/>
    <w:rsid w:val="002B28C7"/>
    <w:rsid w:val="002B6208"/>
    <w:rsid w:val="002B7E7C"/>
    <w:rsid w:val="002B7FC7"/>
    <w:rsid w:val="002C2C39"/>
    <w:rsid w:val="002C5894"/>
    <w:rsid w:val="002C6430"/>
    <w:rsid w:val="002C66FB"/>
    <w:rsid w:val="002C6E40"/>
    <w:rsid w:val="002D0A19"/>
    <w:rsid w:val="002D157E"/>
    <w:rsid w:val="002D1B8D"/>
    <w:rsid w:val="002D2B26"/>
    <w:rsid w:val="002D38EE"/>
    <w:rsid w:val="002D7285"/>
    <w:rsid w:val="002D7CE5"/>
    <w:rsid w:val="002D7EA2"/>
    <w:rsid w:val="002E0996"/>
    <w:rsid w:val="002E187C"/>
    <w:rsid w:val="002E1BBD"/>
    <w:rsid w:val="002E2EEA"/>
    <w:rsid w:val="002E4AEA"/>
    <w:rsid w:val="002E650F"/>
    <w:rsid w:val="002E6C7F"/>
    <w:rsid w:val="002E7825"/>
    <w:rsid w:val="002F0BA6"/>
    <w:rsid w:val="002F1B0E"/>
    <w:rsid w:val="002F1EAA"/>
    <w:rsid w:val="002F27AA"/>
    <w:rsid w:val="002F3821"/>
    <w:rsid w:val="002F47ED"/>
    <w:rsid w:val="00300CF8"/>
    <w:rsid w:val="00301559"/>
    <w:rsid w:val="00302579"/>
    <w:rsid w:val="00302733"/>
    <w:rsid w:val="00302FC1"/>
    <w:rsid w:val="003034EE"/>
    <w:rsid w:val="003035A4"/>
    <w:rsid w:val="00303D52"/>
    <w:rsid w:val="00304F24"/>
    <w:rsid w:val="00306948"/>
    <w:rsid w:val="00307ABC"/>
    <w:rsid w:val="00314078"/>
    <w:rsid w:val="00315038"/>
    <w:rsid w:val="0031535D"/>
    <w:rsid w:val="003156EE"/>
    <w:rsid w:val="00317944"/>
    <w:rsid w:val="00317BA7"/>
    <w:rsid w:val="00321FAC"/>
    <w:rsid w:val="0032528A"/>
    <w:rsid w:val="00325F91"/>
    <w:rsid w:val="00326C24"/>
    <w:rsid w:val="00327C41"/>
    <w:rsid w:val="0033028D"/>
    <w:rsid w:val="0033169F"/>
    <w:rsid w:val="00332428"/>
    <w:rsid w:val="00332D9A"/>
    <w:rsid w:val="00335A2E"/>
    <w:rsid w:val="0033636E"/>
    <w:rsid w:val="00337EB1"/>
    <w:rsid w:val="003428E8"/>
    <w:rsid w:val="00342E03"/>
    <w:rsid w:val="00346478"/>
    <w:rsid w:val="0034698A"/>
    <w:rsid w:val="00346C95"/>
    <w:rsid w:val="00351AC3"/>
    <w:rsid w:val="00355429"/>
    <w:rsid w:val="00356185"/>
    <w:rsid w:val="003570EC"/>
    <w:rsid w:val="003575F1"/>
    <w:rsid w:val="00360380"/>
    <w:rsid w:val="00361415"/>
    <w:rsid w:val="00361DA6"/>
    <w:rsid w:val="0036562A"/>
    <w:rsid w:val="00365872"/>
    <w:rsid w:val="00366568"/>
    <w:rsid w:val="00367033"/>
    <w:rsid w:val="0037104C"/>
    <w:rsid w:val="00371E23"/>
    <w:rsid w:val="00373E15"/>
    <w:rsid w:val="0037519E"/>
    <w:rsid w:val="00376779"/>
    <w:rsid w:val="0038098E"/>
    <w:rsid w:val="00381245"/>
    <w:rsid w:val="0038167B"/>
    <w:rsid w:val="00383350"/>
    <w:rsid w:val="0038527F"/>
    <w:rsid w:val="00385524"/>
    <w:rsid w:val="00386CF0"/>
    <w:rsid w:val="00387345"/>
    <w:rsid w:val="003879BF"/>
    <w:rsid w:val="00390667"/>
    <w:rsid w:val="0039399B"/>
    <w:rsid w:val="0039440B"/>
    <w:rsid w:val="003956CF"/>
    <w:rsid w:val="003A1F53"/>
    <w:rsid w:val="003A5099"/>
    <w:rsid w:val="003A651A"/>
    <w:rsid w:val="003A6C08"/>
    <w:rsid w:val="003B098E"/>
    <w:rsid w:val="003B11CF"/>
    <w:rsid w:val="003B184D"/>
    <w:rsid w:val="003B59C8"/>
    <w:rsid w:val="003C676B"/>
    <w:rsid w:val="003C678E"/>
    <w:rsid w:val="003D0E94"/>
    <w:rsid w:val="003D3886"/>
    <w:rsid w:val="003D3BC2"/>
    <w:rsid w:val="003D5729"/>
    <w:rsid w:val="003D58CC"/>
    <w:rsid w:val="003D67C7"/>
    <w:rsid w:val="003D7C03"/>
    <w:rsid w:val="003D7F13"/>
    <w:rsid w:val="003E04DB"/>
    <w:rsid w:val="003E0CA7"/>
    <w:rsid w:val="003E19B5"/>
    <w:rsid w:val="003E236D"/>
    <w:rsid w:val="003E2402"/>
    <w:rsid w:val="003E432F"/>
    <w:rsid w:val="003E5A0B"/>
    <w:rsid w:val="003E6A22"/>
    <w:rsid w:val="003E6CA1"/>
    <w:rsid w:val="003F0E91"/>
    <w:rsid w:val="003F3442"/>
    <w:rsid w:val="003F3788"/>
    <w:rsid w:val="003F3BFC"/>
    <w:rsid w:val="003F4F9F"/>
    <w:rsid w:val="003F52AC"/>
    <w:rsid w:val="003F5EC0"/>
    <w:rsid w:val="003F66F8"/>
    <w:rsid w:val="003F7AB8"/>
    <w:rsid w:val="00400AC8"/>
    <w:rsid w:val="00402095"/>
    <w:rsid w:val="0040464D"/>
    <w:rsid w:val="00404C19"/>
    <w:rsid w:val="00406C70"/>
    <w:rsid w:val="0041087F"/>
    <w:rsid w:val="00412768"/>
    <w:rsid w:val="004145B3"/>
    <w:rsid w:val="0041477A"/>
    <w:rsid w:val="0041549B"/>
    <w:rsid w:val="004165C2"/>
    <w:rsid w:val="00417CF3"/>
    <w:rsid w:val="004209E0"/>
    <w:rsid w:val="0042223B"/>
    <w:rsid w:val="00426114"/>
    <w:rsid w:val="0042692A"/>
    <w:rsid w:val="00427EB0"/>
    <w:rsid w:val="00434DA4"/>
    <w:rsid w:val="00435A16"/>
    <w:rsid w:val="00435C37"/>
    <w:rsid w:val="00435DA8"/>
    <w:rsid w:val="00436914"/>
    <w:rsid w:val="00437655"/>
    <w:rsid w:val="00441039"/>
    <w:rsid w:val="00441A7E"/>
    <w:rsid w:val="00441B75"/>
    <w:rsid w:val="00441ECB"/>
    <w:rsid w:val="00441F42"/>
    <w:rsid w:val="00442347"/>
    <w:rsid w:val="00443725"/>
    <w:rsid w:val="00444A41"/>
    <w:rsid w:val="004451B8"/>
    <w:rsid w:val="00445331"/>
    <w:rsid w:val="004455DD"/>
    <w:rsid w:val="00445F29"/>
    <w:rsid w:val="0045018B"/>
    <w:rsid w:val="00454721"/>
    <w:rsid w:val="00456F41"/>
    <w:rsid w:val="004648A6"/>
    <w:rsid w:val="00465401"/>
    <w:rsid w:val="00467B7E"/>
    <w:rsid w:val="00467F84"/>
    <w:rsid w:val="00467F89"/>
    <w:rsid w:val="00470D7E"/>
    <w:rsid w:val="00475448"/>
    <w:rsid w:val="00475F7C"/>
    <w:rsid w:val="00476BF6"/>
    <w:rsid w:val="00477592"/>
    <w:rsid w:val="004809E7"/>
    <w:rsid w:val="00482EC8"/>
    <w:rsid w:val="004831AE"/>
    <w:rsid w:val="0048418A"/>
    <w:rsid w:val="004844B4"/>
    <w:rsid w:val="00484AE0"/>
    <w:rsid w:val="00484C5D"/>
    <w:rsid w:val="00485BBC"/>
    <w:rsid w:val="00486F1C"/>
    <w:rsid w:val="004875A5"/>
    <w:rsid w:val="004911C4"/>
    <w:rsid w:val="00491B72"/>
    <w:rsid w:val="00491F69"/>
    <w:rsid w:val="0049419D"/>
    <w:rsid w:val="00494795"/>
    <w:rsid w:val="004957F8"/>
    <w:rsid w:val="004959A0"/>
    <w:rsid w:val="0049613C"/>
    <w:rsid w:val="00496986"/>
    <w:rsid w:val="00496C12"/>
    <w:rsid w:val="004A3A8E"/>
    <w:rsid w:val="004B0900"/>
    <w:rsid w:val="004B4858"/>
    <w:rsid w:val="004B6799"/>
    <w:rsid w:val="004B6D12"/>
    <w:rsid w:val="004C0E88"/>
    <w:rsid w:val="004C0FFB"/>
    <w:rsid w:val="004C20D2"/>
    <w:rsid w:val="004C2C37"/>
    <w:rsid w:val="004C2CC7"/>
    <w:rsid w:val="004C4B62"/>
    <w:rsid w:val="004C4CEA"/>
    <w:rsid w:val="004C54C9"/>
    <w:rsid w:val="004C6617"/>
    <w:rsid w:val="004C790D"/>
    <w:rsid w:val="004D0725"/>
    <w:rsid w:val="004D195F"/>
    <w:rsid w:val="004D2720"/>
    <w:rsid w:val="004D2E0D"/>
    <w:rsid w:val="004D35C3"/>
    <w:rsid w:val="004D50D5"/>
    <w:rsid w:val="004D5BAA"/>
    <w:rsid w:val="004D6025"/>
    <w:rsid w:val="004D6618"/>
    <w:rsid w:val="004E17A0"/>
    <w:rsid w:val="004E2649"/>
    <w:rsid w:val="004E37C3"/>
    <w:rsid w:val="004E3DCD"/>
    <w:rsid w:val="004E457C"/>
    <w:rsid w:val="004E4EA1"/>
    <w:rsid w:val="004E6554"/>
    <w:rsid w:val="004E6568"/>
    <w:rsid w:val="004F24B3"/>
    <w:rsid w:val="004F27CD"/>
    <w:rsid w:val="004F47A6"/>
    <w:rsid w:val="004F5102"/>
    <w:rsid w:val="004F627D"/>
    <w:rsid w:val="004F6B31"/>
    <w:rsid w:val="005008C4"/>
    <w:rsid w:val="00501399"/>
    <w:rsid w:val="00501846"/>
    <w:rsid w:val="00501A83"/>
    <w:rsid w:val="00501DFC"/>
    <w:rsid w:val="00504507"/>
    <w:rsid w:val="00505209"/>
    <w:rsid w:val="00505DE7"/>
    <w:rsid w:val="0050633D"/>
    <w:rsid w:val="005064B8"/>
    <w:rsid w:val="00506785"/>
    <w:rsid w:val="00506CD9"/>
    <w:rsid w:val="00507BC4"/>
    <w:rsid w:val="00510127"/>
    <w:rsid w:val="0051030B"/>
    <w:rsid w:val="005112E9"/>
    <w:rsid w:val="00512767"/>
    <w:rsid w:val="005128E4"/>
    <w:rsid w:val="00512DE5"/>
    <w:rsid w:val="005133DB"/>
    <w:rsid w:val="005137A2"/>
    <w:rsid w:val="005169CE"/>
    <w:rsid w:val="00517183"/>
    <w:rsid w:val="00520DC7"/>
    <w:rsid w:val="00520E69"/>
    <w:rsid w:val="005215B8"/>
    <w:rsid w:val="005231B8"/>
    <w:rsid w:val="0052431F"/>
    <w:rsid w:val="00524B25"/>
    <w:rsid w:val="00525560"/>
    <w:rsid w:val="00527259"/>
    <w:rsid w:val="00532F8B"/>
    <w:rsid w:val="005332DA"/>
    <w:rsid w:val="00534700"/>
    <w:rsid w:val="005354F3"/>
    <w:rsid w:val="00536923"/>
    <w:rsid w:val="00537F3F"/>
    <w:rsid w:val="00541302"/>
    <w:rsid w:val="005430CE"/>
    <w:rsid w:val="00544981"/>
    <w:rsid w:val="00544C49"/>
    <w:rsid w:val="0055088B"/>
    <w:rsid w:val="00550AC3"/>
    <w:rsid w:val="005516A1"/>
    <w:rsid w:val="005533BD"/>
    <w:rsid w:val="00553CD3"/>
    <w:rsid w:val="00553DFC"/>
    <w:rsid w:val="0055538A"/>
    <w:rsid w:val="005554BA"/>
    <w:rsid w:val="005554FE"/>
    <w:rsid w:val="00557AB3"/>
    <w:rsid w:val="0056022D"/>
    <w:rsid w:val="00561D35"/>
    <w:rsid w:val="00561E0B"/>
    <w:rsid w:val="00562C3D"/>
    <w:rsid w:val="00562EE2"/>
    <w:rsid w:val="00563319"/>
    <w:rsid w:val="0056499E"/>
    <w:rsid w:val="00565744"/>
    <w:rsid w:val="0056595B"/>
    <w:rsid w:val="00565FB5"/>
    <w:rsid w:val="0056603B"/>
    <w:rsid w:val="00572D21"/>
    <w:rsid w:val="0057402A"/>
    <w:rsid w:val="005743B3"/>
    <w:rsid w:val="00574914"/>
    <w:rsid w:val="00575921"/>
    <w:rsid w:val="005771D0"/>
    <w:rsid w:val="0058157C"/>
    <w:rsid w:val="005854B7"/>
    <w:rsid w:val="00585572"/>
    <w:rsid w:val="005859B3"/>
    <w:rsid w:val="00585C5C"/>
    <w:rsid w:val="00587112"/>
    <w:rsid w:val="005900F7"/>
    <w:rsid w:val="0059069B"/>
    <w:rsid w:val="0059191A"/>
    <w:rsid w:val="005920B8"/>
    <w:rsid w:val="005921FF"/>
    <w:rsid w:val="00593448"/>
    <w:rsid w:val="00593673"/>
    <w:rsid w:val="005937F1"/>
    <w:rsid w:val="00595C1D"/>
    <w:rsid w:val="00597D5F"/>
    <w:rsid w:val="005A14ED"/>
    <w:rsid w:val="005A2016"/>
    <w:rsid w:val="005A218A"/>
    <w:rsid w:val="005A44F9"/>
    <w:rsid w:val="005A6D0E"/>
    <w:rsid w:val="005A7710"/>
    <w:rsid w:val="005B30B3"/>
    <w:rsid w:val="005B34C0"/>
    <w:rsid w:val="005B420E"/>
    <w:rsid w:val="005B52B0"/>
    <w:rsid w:val="005B61AB"/>
    <w:rsid w:val="005B6806"/>
    <w:rsid w:val="005C265D"/>
    <w:rsid w:val="005C4225"/>
    <w:rsid w:val="005C4CA5"/>
    <w:rsid w:val="005C57EA"/>
    <w:rsid w:val="005C5B62"/>
    <w:rsid w:val="005C7F1B"/>
    <w:rsid w:val="005D0351"/>
    <w:rsid w:val="005D0981"/>
    <w:rsid w:val="005D0DB1"/>
    <w:rsid w:val="005D14EA"/>
    <w:rsid w:val="005D2518"/>
    <w:rsid w:val="005D25B1"/>
    <w:rsid w:val="005D5215"/>
    <w:rsid w:val="005D6742"/>
    <w:rsid w:val="005D735A"/>
    <w:rsid w:val="005E0F0C"/>
    <w:rsid w:val="005E13C5"/>
    <w:rsid w:val="005E14F2"/>
    <w:rsid w:val="005E322D"/>
    <w:rsid w:val="005E4029"/>
    <w:rsid w:val="005E49E3"/>
    <w:rsid w:val="005E532A"/>
    <w:rsid w:val="005E5FB8"/>
    <w:rsid w:val="005F0DAD"/>
    <w:rsid w:val="005F0F33"/>
    <w:rsid w:val="005F22AF"/>
    <w:rsid w:val="005F23D7"/>
    <w:rsid w:val="005F309E"/>
    <w:rsid w:val="005F64A0"/>
    <w:rsid w:val="005F6883"/>
    <w:rsid w:val="005F742C"/>
    <w:rsid w:val="00600227"/>
    <w:rsid w:val="00600DEB"/>
    <w:rsid w:val="0060162C"/>
    <w:rsid w:val="0060171B"/>
    <w:rsid w:val="00601B00"/>
    <w:rsid w:val="006030BF"/>
    <w:rsid w:val="00603F60"/>
    <w:rsid w:val="00606E0B"/>
    <w:rsid w:val="0060712B"/>
    <w:rsid w:val="00610697"/>
    <w:rsid w:val="006106C4"/>
    <w:rsid w:val="00610A27"/>
    <w:rsid w:val="006125C3"/>
    <w:rsid w:val="006136EE"/>
    <w:rsid w:val="006158A4"/>
    <w:rsid w:val="006172DE"/>
    <w:rsid w:val="00617E74"/>
    <w:rsid w:val="0062582B"/>
    <w:rsid w:val="0062639A"/>
    <w:rsid w:val="00626E4F"/>
    <w:rsid w:val="00627C9F"/>
    <w:rsid w:val="006311E9"/>
    <w:rsid w:val="00632354"/>
    <w:rsid w:val="0063641B"/>
    <w:rsid w:val="00636D4A"/>
    <w:rsid w:val="006406A7"/>
    <w:rsid w:val="0064154E"/>
    <w:rsid w:val="00641D88"/>
    <w:rsid w:val="00642810"/>
    <w:rsid w:val="00642E8B"/>
    <w:rsid w:val="0064412B"/>
    <w:rsid w:val="00645D73"/>
    <w:rsid w:val="006478E3"/>
    <w:rsid w:val="00650AF4"/>
    <w:rsid w:val="00650FFD"/>
    <w:rsid w:val="00652333"/>
    <w:rsid w:val="0065330A"/>
    <w:rsid w:val="0065341E"/>
    <w:rsid w:val="006534E5"/>
    <w:rsid w:val="006549F7"/>
    <w:rsid w:val="00654D1C"/>
    <w:rsid w:val="00656C7A"/>
    <w:rsid w:val="00657759"/>
    <w:rsid w:val="00660C84"/>
    <w:rsid w:val="00660DBE"/>
    <w:rsid w:val="00660FB5"/>
    <w:rsid w:val="0066200A"/>
    <w:rsid w:val="006630C4"/>
    <w:rsid w:val="006670EF"/>
    <w:rsid w:val="00667A1A"/>
    <w:rsid w:val="00667C8F"/>
    <w:rsid w:val="0067011E"/>
    <w:rsid w:val="0067107A"/>
    <w:rsid w:val="00677EE4"/>
    <w:rsid w:val="0068009E"/>
    <w:rsid w:val="006807B5"/>
    <w:rsid w:val="00681132"/>
    <w:rsid w:val="006815E2"/>
    <w:rsid w:val="006826A1"/>
    <w:rsid w:val="00686061"/>
    <w:rsid w:val="00686854"/>
    <w:rsid w:val="00686F0A"/>
    <w:rsid w:val="006904F3"/>
    <w:rsid w:val="0069059B"/>
    <w:rsid w:val="006908AA"/>
    <w:rsid w:val="00692219"/>
    <w:rsid w:val="00692884"/>
    <w:rsid w:val="00694B06"/>
    <w:rsid w:val="006A17D2"/>
    <w:rsid w:val="006A3038"/>
    <w:rsid w:val="006A304F"/>
    <w:rsid w:val="006A4619"/>
    <w:rsid w:val="006A4B39"/>
    <w:rsid w:val="006A73E6"/>
    <w:rsid w:val="006A7638"/>
    <w:rsid w:val="006B0E38"/>
    <w:rsid w:val="006B1904"/>
    <w:rsid w:val="006B2D5C"/>
    <w:rsid w:val="006B30E8"/>
    <w:rsid w:val="006B4D40"/>
    <w:rsid w:val="006B68CE"/>
    <w:rsid w:val="006B6CB6"/>
    <w:rsid w:val="006C1A20"/>
    <w:rsid w:val="006C3427"/>
    <w:rsid w:val="006C4DDE"/>
    <w:rsid w:val="006C4EB1"/>
    <w:rsid w:val="006C517C"/>
    <w:rsid w:val="006C547B"/>
    <w:rsid w:val="006C69D1"/>
    <w:rsid w:val="006D1333"/>
    <w:rsid w:val="006D236C"/>
    <w:rsid w:val="006E0166"/>
    <w:rsid w:val="006E165B"/>
    <w:rsid w:val="006E17EF"/>
    <w:rsid w:val="006E6C4A"/>
    <w:rsid w:val="006E7B34"/>
    <w:rsid w:val="006F351B"/>
    <w:rsid w:val="006F36AD"/>
    <w:rsid w:val="006F3A88"/>
    <w:rsid w:val="006F3D4E"/>
    <w:rsid w:val="006F6384"/>
    <w:rsid w:val="006F7F0B"/>
    <w:rsid w:val="0070063C"/>
    <w:rsid w:val="007029CE"/>
    <w:rsid w:val="00702E54"/>
    <w:rsid w:val="007046E2"/>
    <w:rsid w:val="0070598F"/>
    <w:rsid w:val="00705C64"/>
    <w:rsid w:val="0070665B"/>
    <w:rsid w:val="0070697F"/>
    <w:rsid w:val="00713F6D"/>
    <w:rsid w:val="00714865"/>
    <w:rsid w:val="00715510"/>
    <w:rsid w:val="00716E62"/>
    <w:rsid w:val="00717812"/>
    <w:rsid w:val="0072199C"/>
    <w:rsid w:val="00722C9F"/>
    <w:rsid w:val="00724CB6"/>
    <w:rsid w:val="007253B8"/>
    <w:rsid w:val="007266DC"/>
    <w:rsid w:val="00726B62"/>
    <w:rsid w:val="00732E14"/>
    <w:rsid w:val="007343F9"/>
    <w:rsid w:val="00734541"/>
    <w:rsid w:val="0073631B"/>
    <w:rsid w:val="0073741F"/>
    <w:rsid w:val="00740C4E"/>
    <w:rsid w:val="00742152"/>
    <w:rsid w:val="00742F0C"/>
    <w:rsid w:val="0074541D"/>
    <w:rsid w:val="00746D82"/>
    <w:rsid w:val="00751567"/>
    <w:rsid w:val="007556FF"/>
    <w:rsid w:val="00756274"/>
    <w:rsid w:val="007619C9"/>
    <w:rsid w:val="00762EF9"/>
    <w:rsid w:val="007631E0"/>
    <w:rsid w:val="007643BB"/>
    <w:rsid w:val="0076643F"/>
    <w:rsid w:val="007669DF"/>
    <w:rsid w:val="007675D5"/>
    <w:rsid w:val="007700BC"/>
    <w:rsid w:val="00770AC8"/>
    <w:rsid w:val="0077298D"/>
    <w:rsid w:val="00774F25"/>
    <w:rsid w:val="00775DDD"/>
    <w:rsid w:val="0077682D"/>
    <w:rsid w:val="00777A83"/>
    <w:rsid w:val="00777F63"/>
    <w:rsid w:val="007815D1"/>
    <w:rsid w:val="0078618A"/>
    <w:rsid w:val="00786701"/>
    <w:rsid w:val="00787A04"/>
    <w:rsid w:val="007923EA"/>
    <w:rsid w:val="007962B2"/>
    <w:rsid w:val="007A0E2A"/>
    <w:rsid w:val="007A1B1F"/>
    <w:rsid w:val="007A2D81"/>
    <w:rsid w:val="007A30E6"/>
    <w:rsid w:val="007A38F9"/>
    <w:rsid w:val="007A5817"/>
    <w:rsid w:val="007B4068"/>
    <w:rsid w:val="007B60E9"/>
    <w:rsid w:val="007B6157"/>
    <w:rsid w:val="007B6830"/>
    <w:rsid w:val="007B6CC3"/>
    <w:rsid w:val="007C1703"/>
    <w:rsid w:val="007C238E"/>
    <w:rsid w:val="007C248F"/>
    <w:rsid w:val="007C3334"/>
    <w:rsid w:val="007C3DF7"/>
    <w:rsid w:val="007C756A"/>
    <w:rsid w:val="007D1633"/>
    <w:rsid w:val="007D2B98"/>
    <w:rsid w:val="007D2F6F"/>
    <w:rsid w:val="007D3865"/>
    <w:rsid w:val="007D3A18"/>
    <w:rsid w:val="007D4E9C"/>
    <w:rsid w:val="007D7889"/>
    <w:rsid w:val="007D7A4F"/>
    <w:rsid w:val="007E0040"/>
    <w:rsid w:val="007E0629"/>
    <w:rsid w:val="007E0688"/>
    <w:rsid w:val="007E0A90"/>
    <w:rsid w:val="007E21BC"/>
    <w:rsid w:val="007E2270"/>
    <w:rsid w:val="007E273D"/>
    <w:rsid w:val="007E77E4"/>
    <w:rsid w:val="007F069B"/>
    <w:rsid w:val="007F2563"/>
    <w:rsid w:val="007F6ECC"/>
    <w:rsid w:val="007F7236"/>
    <w:rsid w:val="007F7D70"/>
    <w:rsid w:val="007F7E9A"/>
    <w:rsid w:val="008016AB"/>
    <w:rsid w:val="00803B8C"/>
    <w:rsid w:val="00803F1C"/>
    <w:rsid w:val="0080571D"/>
    <w:rsid w:val="0080600E"/>
    <w:rsid w:val="00810E11"/>
    <w:rsid w:val="00813EB4"/>
    <w:rsid w:val="00814DDA"/>
    <w:rsid w:val="00815021"/>
    <w:rsid w:val="00817612"/>
    <w:rsid w:val="00817FAC"/>
    <w:rsid w:val="0082137C"/>
    <w:rsid w:val="00821456"/>
    <w:rsid w:val="008217E6"/>
    <w:rsid w:val="00823288"/>
    <w:rsid w:val="00824922"/>
    <w:rsid w:val="0082592E"/>
    <w:rsid w:val="008266A7"/>
    <w:rsid w:val="0082694A"/>
    <w:rsid w:val="0082720A"/>
    <w:rsid w:val="00827E6E"/>
    <w:rsid w:val="008338A4"/>
    <w:rsid w:val="00835167"/>
    <w:rsid w:val="00837C45"/>
    <w:rsid w:val="00843105"/>
    <w:rsid w:val="00844730"/>
    <w:rsid w:val="008457C2"/>
    <w:rsid w:val="008460FE"/>
    <w:rsid w:val="00847BB9"/>
    <w:rsid w:val="0085005B"/>
    <w:rsid w:val="00850135"/>
    <w:rsid w:val="0085035A"/>
    <w:rsid w:val="0085119F"/>
    <w:rsid w:val="0085147A"/>
    <w:rsid w:val="00851592"/>
    <w:rsid w:val="00852592"/>
    <w:rsid w:val="00853D77"/>
    <w:rsid w:val="008550FF"/>
    <w:rsid w:val="00855EFB"/>
    <w:rsid w:val="008571BA"/>
    <w:rsid w:val="008573E7"/>
    <w:rsid w:val="00857A82"/>
    <w:rsid w:val="00860AE4"/>
    <w:rsid w:val="00861A8D"/>
    <w:rsid w:val="00861CD9"/>
    <w:rsid w:val="008620C6"/>
    <w:rsid w:val="008628D0"/>
    <w:rsid w:val="00863C4A"/>
    <w:rsid w:val="00865E96"/>
    <w:rsid w:val="00867430"/>
    <w:rsid w:val="00867EF8"/>
    <w:rsid w:val="00872249"/>
    <w:rsid w:val="008724E1"/>
    <w:rsid w:val="00873836"/>
    <w:rsid w:val="0087394F"/>
    <w:rsid w:val="00873A5D"/>
    <w:rsid w:val="00877B6B"/>
    <w:rsid w:val="00877B91"/>
    <w:rsid w:val="00880094"/>
    <w:rsid w:val="00880629"/>
    <w:rsid w:val="00881875"/>
    <w:rsid w:val="00881BF8"/>
    <w:rsid w:val="0088289F"/>
    <w:rsid w:val="008830CE"/>
    <w:rsid w:val="00885737"/>
    <w:rsid w:val="0088582D"/>
    <w:rsid w:val="008865E6"/>
    <w:rsid w:val="00886B83"/>
    <w:rsid w:val="00886BCE"/>
    <w:rsid w:val="0088725D"/>
    <w:rsid w:val="0088793A"/>
    <w:rsid w:val="00890650"/>
    <w:rsid w:val="008916EC"/>
    <w:rsid w:val="0089231F"/>
    <w:rsid w:val="00894162"/>
    <w:rsid w:val="00897E12"/>
    <w:rsid w:val="008A3074"/>
    <w:rsid w:val="008A3112"/>
    <w:rsid w:val="008A6094"/>
    <w:rsid w:val="008A7E0F"/>
    <w:rsid w:val="008B05A4"/>
    <w:rsid w:val="008B12F5"/>
    <w:rsid w:val="008B23B4"/>
    <w:rsid w:val="008B3E50"/>
    <w:rsid w:val="008B3FA0"/>
    <w:rsid w:val="008B54FA"/>
    <w:rsid w:val="008B5862"/>
    <w:rsid w:val="008B59BB"/>
    <w:rsid w:val="008B621F"/>
    <w:rsid w:val="008B742C"/>
    <w:rsid w:val="008B7EC1"/>
    <w:rsid w:val="008C082F"/>
    <w:rsid w:val="008C182F"/>
    <w:rsid w:val="008C3098"/>
    <w:rsid w:val="008C747C"/>
    <w:rsid w:val="008C768F"/>
    <w:rsid w:val="008D0964"/>
    <w:rsid w:val="008D1848"/>
    <w:rsid w:val="008D55D9"/>
    <w:rsid w:val="008D5626"/>
    <w:rsid w:val="008D768D"/>
    <w:rsid w:val="008E0351"/>
    <w:rsid w:val="008E13F6"/>
    <w:rsid w:val="008E2771"/>
    <w:rsid w:val="008E3759"/>
    <w:rsid w:val="008E3782"/>
    <w:rsid w:val="008E700B"/>
    <w:rsid w:val="008F149E"/>
    <w:rsid w:val="008F1912"/>
    <w:rsid w:val="008F1B28"/>
    <w:rsid w:val="008F604B"/>
    <w:rsid w:val="008F6F6B"/>
    <w:rsid w:val="00900D23"/>
    <w:rsid w:val="00900F3D"/>
    <w:rsid w:val="009014A4"/>
    <w:rsid w:val="0090270B"/>
    <w:rsid w:val="009037C6"/>
    <w:rsid w:val="009041DC"/>
    <w:rsid w:val="00905251"/>
    <w:rsid w:val="009052B9"/>
    <w:rsid w:val="00905CE4"/>
    <w:rsid w:val="00907326"/>
    <w:rsid w:val="00910449"/>
    <w:rsid w:val="009105E0"/>
    <w:rsid w:val="009106F9"/>
    <w:rsid w:val="00911A4B"/>
    <w:rsid w:val="00912A01"/>
    <w:rsid w:val="009136C9"/>
    <w:rsid w:val="0091394C"/>
    <w:rsid w:val="009155F0"/>
    <w:rsid w:val="00916070"/>
    <w:rsid w:val="00917B5A"/>
    <w:rsid w:val="00917BD3"/>
    <w:rsid w:val="0092018F"/>
    <w:rsid w:val="00920A58"/>
    <w:rsid w:val="00920A8C"/>
    <w:rsid w:val="0092111F"/>
    <w:rsid w:val="0092174C"/>
    <w:rsid w:val="0092337E"/>
    <w:rsid w:val="009235D7"/>
    <w:rsid w:val="00924369"/>
    <w:rsid w:val="0092491B"/>
    <w:rsid w:val="00927564"/>
    <w:rsid w:val="0092756E"/>
    <w:rsid w:val="00927F8C"/>
    <w:rsid w:val="009304A4"/>
    <w:rsid w:val="00930BF5"/>
    <w:rsid w:val="00933A5E"/>
    <w:rsid w:val="00933FD1"/>
    <w:rsid w:val="00934A2C"/>
    <w:rsid w:val="009468B2"/>
    <w:rsid w:val="009474ED"/>
    <w:rsid w:val="00951CBC"/>
    <w:rsid w:val="009561A4"/>
    <w:rsid w:val="00956B00"/>
    <w:rsid w:val="009609E8"/>
    <w:rsid w:val="00960B76"/>
    <w:rsid w:val="00962E40"/>
    <w:rsid w:val="009660F6"/>
    <w:rsid w:val="00966F68"/>
    <w:rsid w:val="0096703E"/>
    <w:rsid w:val="0096706E"/>
    <w:rsid w:val="00971C23"/>
    <w:rsid w:val="009738D3"/>
    <w:rsid w:val="009753F7"/>
    <w:rsid w:val="00975C4E"/>
    <w:rsid w:val="00977061"/>
    <w:rsid w:val="00981FBA"/>
    <w:rsid w:val="00983381"/>
    <w:rsid w:val="0098366C"/>
    <w:rsid w:val="00984B1B"/>
    <w:rsid w:val="00984D0C"/>
    <w:rsid w:val="00985724"/>
    <w:rsid w:val="00985F2A"/>
    <w:rsid w:val="009902F9"/>
    <w:rsid w:val="0099177A"/>
    <w:rsid w:val="00992C53"/>
    <w:rsid w:val="00992E21"/>
    <w:rsid w:val="00993500"/>
    <w:rsid w:val="00993CF1"/>
    <w:rsid w:val="009942E1"/>
    <w:rsid w:val="00994A5A"/>
    <w:rsid w:val="00997BC5"/>
    <w:rsid w:val="009A0BE3"/>
    <w:rsid w:val="009A3D17"/>
    <w:rsid w:val="009A411E"/>
    <w:rsid w:val="009A4F41"/>
    <w:rsid w:val="009A5885"/>
    <w:rsid w:val="009A5F7A"/>
    <w:rsid w:val="009A683A"/>
    <w:rsid w:val="009B0155"/>
    <w:rsid w:val="009B1D6D"/>
    <w:rsid w:val="009B1EB9"/>
    <w:rsid w:val="009B381B"/>
    <w:rsid w:val="009B65FD"/>
    <w:rsid w:val="009B7868"/>
    <w:rsid w:val="009B7D2C"/>
    <w:rsid w:val="009C4EAA"/>
    <w:rsid w:val="009C55E2"/>
    <w:rsid w:val="009C5718"/>
    <w:rsid w:val="009D0423"/>
    <w:rsid w:val="009D1753"/>
    <w:rsid w:val="009D46E7"/>
    <w:rsid w:val="009D6394"/>
    <w:rsid w:val="009D7611"/>
    <w:rsid w:val="009E0B61"/>
    <w:rsid w:val="009E0CDD"/>
    <w:rsid w:val="009E292D"/>
    <w:rsid w:val="009E2F8F"/>
    <w:rsid w:val="009E3D6F"/>
    <w:rsid w:val="009E53DE"/>
    <w:rsid w:val="009E6E6E"/>
    <w:rsid w:val="009F0DF6"/>
    <w:rsid w:val="009F14F3"/>
    <w:rsid w:val="009F3FC6"/>
    <w:rsid w:val="009F473F"/>
    <w:rsid w:val="009F597D"/>
    <w:rsid w:val="009F5FE4"/>
    <w:rsid w:val="009F6A59"/>
    <w:rsid w:val="009F7018"/>
    <w:rsid w:val="009F7272"/>
    <w:rsid w:val="00A01EBE"/>
    <w:rsid w:val="00A034B4"/>
    <w:rsid w:val="00A03885"/>
    <w:rsid w:val="00A0552C"/>
    <w:rsid w:val="00A05B95"/>
    <w:rsid w:val="00A0626C"/>
    <w:rsid w:val="00A0726C"/>
    <w:rsid w:val="00A13074"/>
    <w:rsid w:val="00A13322"/>
    <w:rsid w:val="00A14246"/>
    <w:rsid w:val="00A142CD"/>
    <w:rsid w:val="00A15652"/>
    <w:rsid w:val="00A173DF"/>
    <w:rsid w:val="00A2075B"/>
    <w:rsid w:val="00A20B75"/>
    <w:rsid w:val="00A210F9"/>
    <w:rsid w:val="00A211DD"/>
    <w:rsid w:val="00A21400"/>
    <w:rsid w:val="00A21666"/>
    <w:rsid w:val="00A21B72"/>
    <w:rsid w:val="00A23592"/>
    <w:rsid w:val="00A24BB9"/>
    <w:rsid w:val="00A2598E"/>
    <w:rsid w:val="00A25BEB"/>
    <w:rsid w:val="00A26534"/>
    <w:rsid w:val="00A328B3"/>
    <w:rsid w:val="00A33B1E"/>
    <w:rsid w:val="00A3644B"/>
    <w:rsid w:val="00A365E4"/>
    <w:rsid w:val="00A424BB"/>
    <w:rsid w:val="00A50DAD"/>
    <w:rsid w:val="00A50FCF"/>
    <w:rsid w:val="00A51085"/>
    <w:rsid w:val="00A516B0"/>
    <w:rsid w:val="00A51AF4"/>
    <w:rsid w:val="00A525F6"/>
    <w:rsid w:val="00A528D1"/>
    <w:rsid w:val="00A53823"/>
    <w:rsid w:val="00A54A0B"/>
    <w:rsid w:val="00A554A9"/>
    <w:rsid w:val="00A56846"/>
    <w:rsid w:val="00A610CD"/>
    <w:rsid w:val="00A6213D"/>
    <w:rsid w:val="00A65955"/>
    <w:rsid w:val="00A668F1"/>
    <w:rsid w:val="00A67FDA"/>
    <w:rsid w:val="00A7419B"/>
    <w:rsid w:val="00A75E63"/>
    <w:rsid w:val="00A75ED2"/>
    <w:rsid w:val="00A814FA"/>
    <w:rsid w:val="00A81BDE"/>
    <w:rsid w:val="00A82F61"/>
    <w:rsid w:val="00A838D5"/>
    <w:rsid w:val="00A84D69"/>
    <w:rsid w:val="00A85A3A"/>
    <w:rsid w:val="00A867F6"/>
    <w:rsid w:val="00A93A41"/>
    <w:rsid w:val="00A9458D"/>
    <w:rsid w:val="00A94F91"/>
    <w:rsid w:val="00A96F13"/>
    <w:rsid w:val="00AA0285"/>
    <w:rsid w:val="00AA09A2"/>
    <w:rsid w:val="00AA2524"/>
    <w:rsid w:val="00AA30CA"/>
    <w:rsid w:val="00AA326F"/>
    <w:rsid w:val="00AA4A54"/>
    <w:rsid w:val="00AA7996"/>
    <w:rsid w:val="00AB1979"/>
    <w:rsid w:val="00AB1B4D"/>
    <w:rsid w:val="00AB2DD2"/>
    <w:rsid w:val="00AC00E2"/>
    <w:rsid w:val="00AC0909"/>
    <w:rsid w:val="00AC0C90"/>
    <w:rsid w:val="00AC19CB"/>
    <w:rsid w:val="00AC1A44"/>
    <w:rsid w:val="00AC1C49"/>
    <w:rsid w:val="00AC1E9D"/>
    <w:rsid w:val="00AC27D2"/>
    <w:rsid w:val="00AC3F0D"/>
    <w:rsid w:val="00AC55D4"/>
    <w:rsid w:val="00AD2167"/>
    <w:rsid w:val="00AD46FC"/>
    <w:rsid w:val="00AD701C"/>
    <w:rsid w:val="00AE06B2"/>
    <w:rsid w:val="00AE1141"/>
    <w:rsid w:val="00AE16B2"/>
    <w:rsid w:val="00AE5488"/>
    <w:rsid w:val="00AE54EB"/>
    <w:rsid w:val="00AE6F91"/>
    <w:rsid w:val="00AF091B"/>
    <w:rsid w:val="00AF27D4"/>
    <w:rsid w:val="00AF4741"/>
    <w:rsid w:val="00AF5571"/>
    <w:rsid w:val="00AF5F94"/>
    <w:rsid w:val="00AF6EA3"/>
    <w:rsid w:val="00AF7988"/>
    <w:rsid w:val="00B0366F"/>
    <w:rsid w:val="00B070DF"/>
    <w:rsid w:val="00B07184"/>
    <w:rsid w:val="00B07341"/>
    <w:rsid w:val="00B0741C"/>
    <w:rsid w:val="00B104CE"/>
    <w:rsid w:val="00B1169C"/>
    <w:rsid w:val="00B11823"/>
    <w:rsid w:val="00B11A27"/>
    <w:rsid w:val="00B133E1"/>
    <w:rsid w:val="00B13CBE"/>
    <w:rsid w:val="00B20817"/>
    <w:rsid w:val="00B21C35"/>
    <w:rsid w:val="00B22E74"/>
    <w:rsid w:val="00B2350A"/>
    <w:rsid w:val="00B24871"/>
    <w:rsid w:val="00B2501A"/>
    <w:rsid w:val="00B25E36"/>
    <w:rsid w:val="00B26250"/>
    <w:rsid w:val="00B26D41"/>
    <w:rsid w:val="00B27703"/>
    <w:rsid w:val="00B27F6E"/>
    <w:rsid w:val="00B30539"/>
    <w:rsid w:val="00B30679"/>
    <w:rsid w:val="00B30F05"/>
    <w:rsid w:val="00B314DB"/>
    <w:rsid w:val="00B34CE7"/>
    <w:rsid w:val="00B35A48"/>
    <w:rsid w:val="00B361F2"/>
    <w:rsid w:val="00B3718B"/>
    <w:rsid w:val="00B37224"/>
    <w:rsid w:val="00B40210"/>
    <w:rsid w:val="00B403FC"/>
    <w:rsid w:val="00B405AB"/>
    <w:rsid w:val="00B425DC"/>
    <w:rsid w:val="00B448B6"/>
    <w:rsid w:val="00B45F47"/>
    <w:rsid w:val="00B4632A"/>
    <w:rsid w:val="00B47688"/>
    <w:rsid w:val="00B479FF"/>
    <w:rsid w:val="00B500BF"/>
    <w:rsid w:val="00B5049E"/>
    <w:rsid w:val="00B510F4"/>
    <w:rsid w:val="00B513B1"/>
    <w:rsid w:val="00B52794"/>
    <w:rsid w:val="00B530F1"/>
    <w:rsid w:val="00B54A0C"/>
    <w:rsid w:val="00B54F88"/>
    <w:rsid w:val="00B55C04"/>
    <w:rsid w:val="00B5682B"/>
    <w:rsid w:val="00B617A7"/>
    <w:rsid w:val="00B63262"/>
    <w:rsid w:val="00B632D6"/>
    <w:rsid w:val="00B6553D"/>
    <w:rsid w:val="00B67999"/>
    <w:rsid w:val="00B71462"/>
    <w:rsid w:val="00B71C0D"/>
    <w:rsid w:val="00B71CD8"/>
    <w:rsid w:val="00B734C1"/>
    <w:rsid w:val="00B736C6"/>
    <w:rsid w:val="00B75AE7"/>
    <w:rsid w:val="00B77D81"/>
    <w:rsid w:val="00B83702"/>
    <w:rsid w:val="00B83EC9"/>
    <w:rsid w:val="00B83F16"/>
    <w:rsid w:val="00B85FE7"/>
    <w:rsid w:val="00B86CF5"/>
    <w:rsid w:val="00B927A0"/>
    <w:rsid w:val="00B93179"/>
    <w:rsid w:val="00B95AE7"/>
    <w:rsid w:val="00B97BC0"/>
    <w:rsid w:val="00BA276C"/>
    <w:rsid w:val="00BA3170"/>
    <w:rsid w:val="00BA461E"/>
    <w:rsid w:val="00BA5117"/>
    <w:rsid w:val="00BA730E"/>
    <w:rsid w:val="00BA7608"/>
    <w:rsid w:val="00BB0163"/>
    <w:rsid w:val="00BB2648"/>
    <w:rsid w:val="00BB2655"/>
    <w:rsid w:val="00BB306F"/>
    <w:rsid w:val="00BB36FC"/>
    <w:rsid w:val="00BB7958"/>
    <w:rsid w:val="00BB7BA5"/>
    <w:rsid w:val="00BC040E"/>
    <w:rsid w:val="00BC04BC"/>
    <w:rsid w:val="00BC1180"/>
    <w:rsid w:val="00BC32B3"/>
    <w:rsid w:val="00BC3E74"/>
    <w:rsid w:val="00BC4387"/>
    <w:rsid w:val="00BD3C9B"/>
    <w:rsid w:val="00BD4B89"/>
    <w:rsid w:val="00BD6A39"/>
    <w:rsid w:val="00BD7F06"/>
    <w:rsid w:val="00BE4577"/>
    <w:rsid w:val="00BE688C"/>
    <w:rsid w:val="00BE7DBF"/>
    <w:rsid w:val="00BF02CB"/>
    <w:rsid w:val="00BF0FEA"/>
    <w:rsid w:val="00BF11D3"/>
    <w:rsid w:val="00BF1664"/>
    <w:rsid w:val="00BF2B90"/>
    <w:rsid w:val="00BF3171"/>
    <w:rsid w:val="00BF31A3"/>
    <w:rsid w:val="00BF3AEA"/>
    <w:rsid w:val="00BF3C75"/>
    <w:rsid w:val="00BF6B45"/>
    <w:rsid w:val="00BF6FD8"/>
    <w:rsid w:val="00BF70B5"/>
    <w:rsid w:val="00C000B3"/>
    <w:rsid w:val="00C00784"/>
    <w:rsid w:val="00C01F4C"/>
    <w:rsid w:val="00C02502"/>
    <w:rsid w:val="00C02EC6"/>
    <w:rsid w:val="00C03680"/>
    <w:rsid w:val="00C038A7"/>
    <w:rsid w:val="00C03E36"/>
    <w:rsid w:val="00C054DF"/>
    <w:rsid w:val="00C06CA6"/>
    <w:rsid w:val="00C07D71"/>
    <w:rsid w:val="00C12513"/>
    <w:rsid w:val="00C12DDB"/>
    <w:rsid w:val="00C152CA"/>
    <w:rsid w:val="00C15B04"/>
    <w:rsid w:val="00C20614"/>
    <w:rsid w:val="00C21762"/>
    <w:rsid w:val="00C21796"/>
    <w:rsid w:val="00C24543"/>
    <w:rsid w:val="00C249BA"/>
    <w:rsid w:val="00C256A2"/>
    <w:rsid w:val="00C319D5"/>
    <w:rsid w:val="00C31CA0"/>
    <w:rsid w:val="00C3478E"/>
    <w:rsid w:val="00C35DD5"/>
    <w:rsid w:val="00C36863"/>
    <w:rsid w:val="00C40008"/>
    <w:rsid w:val="00C40789"/>
    <w:rsid w:val="00C40D8A"/>
    <w:rsid w:val="00C4149D"/>
    <w:rsid w:val="00C41A9F"/>
    <w:rsid w:val="00C42E5C"/>
    <w:rsid w:val="00C433FD"/>
    <w:rsid w:val="00C43A50"/>
    <w:rsid w:val="00C46EE5"/>
    <w:rsid w:val="00C503C6"/>
    <w:rsid w:val="00C50B87"/>
    <w:rsid w:val="00C51515"/>
    <w:rsid w:val="00C53B44"/>
    <w:rsid w:val="00C55256"/>
    <w:rsid w:val="00C5660B"/>
    <w:rsid w:val="00C57149"/>
    <w:rsid w:val="00C60008"/>
    <w:rsid w:val="00C61CAD"/>
    <w:rsid w:val="00C62A75"/>
    <w:rsid w:val="00C64842"/>
    <w:rsid w:val="00C65FD0"/>
    <w:rsid w:val="00C662E6"/>
    <w:rsid w:val="00C66B72"/>
    <w:rsid w:val="00C75282"/>
    <w:rsid w:val="00C772FA"/>
    <w:rsid w:val="00C77979"/>
    <w:rsid w:val="00C80137"/>
    <w:rsid w:val="00C80E2B"/>
    <w:rsid w:val="00C810D8"/>
    <w:rsid w:val="00C82F47"/>
    <w:rsid w:val="00C8533B"/>
    <w:rsid w:val="00C86C1C"/>
    <w:rsid w:val="00C87EA7"/>
    <w:rsid w:val="00C93451"/>
    <w:rsid w:val="00C9567A"/>
    <w:rsid w:val="00C97129"/>
    <w:rsid w:val="00C97B71"/>
    <w:rsid w:val="00CA290E"/>
    <w:rsid w:val="00CA4194"/>
    <w:rsid w:val="00CA4364"/>
    <w:rsid w:val="00CA5B99"/>
    <w:rsid w:val="00CA7969"/>
    <w:rsid w:val="00CB212D"/>
    <w:rsid w:val="00CB2583"/>
    <w:rsid w:val="00CB2660"/>
    <w:rsid w:val="00CB44B9"/>
    <w:rsid w:val="00CB507B"/>
    <w:rsid w:val="00CB589F"/>
    <w:rsid w:val="00CB72E0"/>
    <w:rsid w:val="00CC14F7"/>
    <w:rsid w:val="00CC44C8"/>
    <w:rsid w:val="00CC5E90"/>
    <w:rsid w:val="00CC63CF"/>
    <w:rsid w:val="00CC6F54"/>
    <w:rsid w:val="00CD02E3"/>
    <w:rsid w:val="00CD046C"/>
    <w:rsid w:val="00CD1F94"/>
    <w:rsid w:val="00CD345C"/>
    <w:rsid w:val="00CD6822"/>
    <w:rsid w:val="00CD6B6D"/>
    <w:rsid w:val="00CD71AF"/>
    <w:rsid w:val="00CE076C"/>
    <w:rsid w:val="00CE0B4C"/>
    <w:rsid w:val="00CE1247"/>
    <w:rsid w:val="00CE3F44"/>
    <w:rsid w:val="00CE5199"/>
    <w:rsid w:val="00CE520E"/>
    <w:rsid w:val="00CE66D5"/>
    <w:rsid w:val="00CE6AFD"/>
    <w:rsid w:val="00CE72EA"/>
    <w:rsid w:val="00CE73CD"/>
    <w:rsid w:val="00CF26C8"/>
    <w:rsid w:val="00CF3639"/>
    <w:rsid w:val="00CF5196"/>
    <w:rsid w:val="00CF637A"/>
    <w:rsid w:val="00CF7055"/>
    <w:rsid w:val="00D0157C"/>
    <w:rsid w:val="00D037A3"/>
    <w:rsid w:val="00D03C4C"/>
    <w:rsid w:val="00D04046"/>
    <w:rsid w:val="00D04656"/>
    <w:rsid w:val="00D04DF3"/>
    <w:rsid w:val="00D059DE"/>
    <w:rsid w:val="00D05BEE"/>
    <w:rsid w:val="00D06BB8"/>
    <w:rsid w:val="00D06FB9"/>
    <w:rsid w:val="00D1200A"/>
    <w:rsid w:val="00D12193"/>
    <w:rsid w:val="00D12631"/>
    <w:rsid w:val="00D12D4E"/>
    <w:rsid w:val="00D13FCE"/>
    <w:rsid w:val="00D15FAF"/>
    <w:rsid w:val="00D218BF"/>
    <w:rsid w:val="00D226C0"/>
    <w:rsid w:val="00D22BEA"/>
    <w:rsid w:val="00D25371"/>
    <w:rsid w:val="00D25E74"/>
    <w:rsid w:val="00D2715E"/>
    <w:rsid w:val="00D306D1"/>
    <w:rsid w:val="00D34786"/>
    <w:rsid w:val="00D360AC"/>
    <w:rsid w:val="00D3777C"/>
    <w:rsid w:val="00D37BFC"/>
    <w:rsid w:val="00D411C4"/>
    <w:rsid w:val="00D43024"/>
    <w:rsid w:val="00D45EC8"/>
    <w:rsid w:val="00D47A8E"/>
    <w:rsid w:val="00D52D14"/>
    <w:rsid w:val="00D53346"/>
    <w:rsid w:val="00D5376D"/>
    <w:rsid w:val="00D54862"/>
    <w:rsid w:val="00D5621E"/>
    <w:rsid w:val="00D56DE7"/>
    <w:rsid w:val="00D6140B"/>
    <w:rsid w:val="00D61F79"/>
    <w:rsid w:val="00D66042"/>
    <w:rsid w:val="00D70789"/>
    <w:rsid w:val="00D712D3"/>
    <w:rsid w:val="00D71422"/>
    <w:rsid w:val="00D721D4"/>
    <w:rsid w:val="00D72DC6"/>
    <w:rsid w:val="00D74459"/>
    <w:rsid w:val="00D74515"/>
    <w:rsid w:val="00D745E6"/>
    <w:rsid w:val="00D74FE0"/>
    <w:rsid w:val="00D7558D"/>
    <w:rsid w:val="00D777F5"/>
    <w:rsid w:val="00D818C0"/>
    <w:rsid w:val="00D81D92"/>
    <w:rsid w:val="00D824E5"/>
    <w:rsid w:val="00D82DE0"/>
    <w:rsid w:val="00D82FF4"/>
    <w:rsid w:val="00D83BFA"/>
    <w:rsid w:val="00D83D73"/>
    <w:rsid w:val="00D84112"/>
    <w:rsid w:val="00D863B8"/>
    <w:rsid w:val="00D95A20"/>
    <w:rsid w:val="00D96E66"/>
    <w:rsid w:val="00D97E90"/>
    <w:rsid w:val="00DA20FC"/>
    <w:rsid w:val="00DA313C"/>
    <w:rsid w:val="00DA691C"/>
    <w:rsid w:val="00DA7B5F"/>
    <w:rsid w:val="00DB09C0"/>
    <w:rsid w:val="00DB2324"/>
    <w:rsid w:val="00DB2409"/>
    <w:rsid w:val="00DB4570"/>
    <w:rsid w:val="00DB477D"/>
    <w:rsid w:val="00DB477F"/>
    <w:rsid w:val="00DB4963"/>
    <w:rsid w:val="00DB626B"/>
    <w:rsid w:val="00DC01D9"/>
    <w:rsid w:val="00DC11E7"/>
    <w:rsid w:val="00DC55B9"/>
    <w:rsid w:val="00DC5A90"/>
    <w:rsid w:val="00DC660C"/>
    <w:rsid w:val="00DC6927"/>
    <w:rsid w:val="00DC7023"/>
    <w:rsid w:val="00DC769A"/>
    <w:rsid w:val="00DD2DEC"/>
    <w:rsid w:val="00DD2EB0"/>
    <w:rsid w:val="00DD33DF"/>
    <w:rsid w:val="00DD3CD3"/>
    <w:rsid w:val="00DD3D86"/>
    <w:rsid w:val="00DD7055"/>
    <w:rsid w:val="00DD770C"/>
    <w:rsid w:val="00DE0966"/>
    <w:rsid w:val="00DE1A5D"/>
    <w:rsid w:val="00DE22B9"/>
    <w:rsid w:val="00DE46D6"/>
    <w:rsid w:val="00DE4E51"/>
    <w:rsid w:val="00DE59CC"/>
    <w:rsid w:val="00DF049E"/>
    <w:rsid w:val="00DF1EC4"/>
    <w:rsid w:val="00DF20E5"/>
    <w:rsid w:val="00DF49F5"/>
    <w:rsid w:val="00DF4D1D"/>
    <w:rsid w:val="00DF64D2"/>
    <w:rsid w:val="00E00823"/>
    <w:rsid w:val="00E0170A"/>
    <w:rsid w:val="00E029C5"/>
    <w:rsid w:val="00E03255"/>
    <w:rsid w:val="00E0340B"/>
    <w:rsid w:val="00E03B9A"/>
    <w:rsid w:val="00E03C46"/>
    <w:rsid w:val="00E04A90"/>
    <w:rsid w:val="00E05E2D"/>
    <w:rsid w:val="00E079A7"/>
    <w:rsid w:val="00E10D6E"/>
    <w:rsid w:val="00E124FC"/>
    <w:rsid w:val="00E139C1"/>
    <w:rsid w:val="00E13AB0"/>
    <w:rsid w:val="00E157EC"/>
    <w:rsid w:val="00E15F69"/>
    <w:rsid w:val="00E17D00"/>
    <w:rsid w:val="00E2015A"/>
    <w:rsid w:val="00E216B6"/>
    <w:rsid w:val="00E219C7"/>
    <w:rsid w:val="00E219F8"/>
    <w:rsid w:val="00E2237F"/>
    <w:rsid w:val="00E22828"/>
    <w:rsid w:val="00E22C61"/>
    <w:rsid w:val="00E23436"/>
    <w:rsid w:val="00E255AF"/>
    <w:rsid w:val="00E262BC"/>
    <w:rsid w:val="00E31C35"/>
    <w:rsid w:val="00E321AA"/>
    <w:rsid w:val="00E34FC8"/>
    <w:rsid w:val="00E36700"/>
    <w:rsid w:val="00E37F31"/>
    <w:rsid w:val="00E4291E"/>
    <w:rsid w:val="00E43157"/>
    <w:rsid w:val="00E45D8E"/>
    <w:rsid w:val="00E461CE"/>
    <w:rsid w:val="00E46341"/>
    <w:rsid w:val="00E506C5"/>
    <w:rsid w:val="00E517DC"/>
    <w:rsid w:val="00E51A31"/>
    <w:rsid w:val="00E528A6"/>
    <w:rsid w:val="00E53104"/>
    <w:rsid w:val="00E55E46"/>
    <w:rsid w:val="00E56C3D"/>
    <w:rsid w:val="00E60F14"/>
    <w:rsid w:val="00E655D7"/>
    <w:rsid w:val="00E65AC3"/>
    <w:rsid w:val="00E66E05"/>
    <w:rsid w:val="00E6732E"/>
    <w:rsid w:val="00E70CBA"/>
    <w:rsid w:val="00E716E3"/>
    <w:rsid w:val="00E720CA"/>
    <w:rsid w:val="00E810C3"/>
    <w:rsid w:val="00E82B19"/>
    <w:rsid w:val="00E84181"/>
    <w:rsid w:val="00E84BB2"/>
    <w:rsid w:val="00E84DA9"/>
    <w:rsid w:val="00E84EB5"/>
    <w:rsid w:val="00E84F32"/>
    <w:rsid w:val="00E85662"/>
    <w:rsid w:val="00E8789F"/>
    <w:rsid w:val="00E90610"/>
    <w:rsid w:val="00E909AA"/>
    <w:rsid w:val="00E90ED3"/>
    <w:rsid w:val="00E93BD7"/>
    <w:rsid w:val="00E96282"/>
    <w:rsid w:val="00E96F1F"/>
    <w:rsid w:val="00E978C4"/>
    <w:rsid w:val="00E97B16"/>
    <w:rsid w:val="00E97B71"/>
    <w:rsid w:val="00EA1332"/>
    <w:rsid w:val="00EA1618"/>
    <w:rsid w:val="00EA3D34"/>
    <w:rsid w:val="00EA3F07"/>
    <w:rsid w:val="00EA7687"/>
    <w:rsid w:val="00EA77C0"/>
    <w:rsid w:val="00EB1740"/>
    <w:rsid w:val="00EB3C87"/>
    <w:rsid w:val="00EB454D"/>
    <w:rsid w:val="00EB4D54"/>
    <w:rsid w:val="00EB63FF"/>
    <w:rsid w:val="00EB78BC"/>
    <w:rsid w:val="00EB7E59"/>
    <w:rsid w:val="00EC02E4"/>
    <w:rsid w:val="00EC27D2"/>
    <w:rsid w:val="00EC41EF"/>
    <w:rsid w:val="00EC4FEC"/>
    <w:rsid w:val="00EC51FE"/>
    <w:rsid w:val="00ED53C6"/>
    <w:rsid w:val="00ED76BE"/>
    <w:rsid w:val="00EE15EE"/>
    <w:rsid w:val="00EE1AA1"/>
    <w:rsid w:val="00EE405C"/>
    <w:rsid w:val="00EE610A"/>
    <w:rsid w:val="00EE6B16"/>
    <w:rsid w:val="00EE7D35"/>
    <w:rsid w:val="00EE7F9F"/>
    <w:rsid w:val="00EF00B3"/>
    <w:rsid w:val="00EF11D1"/>
    <w:rsid w:val="00EF2976"/>
    <w:rsid w:val="00EF4CCA"/>
    <w:rsid w:val="00EF619B"/>
    <w:rsid w:val="00EF787F"/>
    <w:rsid w:val="00F00B55"/>
    <w:rsid w:val="00F0196D"/>
    <w:rsid w:val="00F02AD1"/>
    <w:rsid w:val="00F0360F"/>
    <w:rsid w:val="00F042EC"/>
    <w:rsid w:val="00F048ED"/>
    <w:rsid w:val="00F049F8"/>
    <w:rsid w:val="00F07246"/>
    <w:rsid w:val="00F10C5B"/>
    <w:rsid w:val="00F11CFC"/>
    <w:rsid w:val="00F1397B"/>
    <w:rsid w:val="00F13D6D"/>
    <w:rsid w:val="00F15B85"/>
    <w:rsid w:val="00F16E62"/>
    <w:rsid w:val="00F24091"/>
    <w:rsid w:val="00F24455"/>
    <w:rsid w:val="00F253CC"/>
    <w:rsid w:val="00F26BC8"/>
    <w:rsid w:val="00F26BE2"/>
    <w:rsid w:val="00F27F74"/>
    <w:rsid w:val="00F30861"/>
    <w:rsid w:val="00F31D7D"/>
    <w:rsid w:val="00F31F7A"/>
    <w:rsid w:val="00F34A05"/>
    <w:rsid w:val="00F37024"/>
    <w:rsid w:val="00F37106"/>
    <w:rsid w:val="00F37DE2"/>
    <w:rsid w:val="00F45D58"/>
    <w:rsid w:val="00F519CF"/>
    <w:rsid w:val="00F531D0"/>
    <w:rsid w:val="00F541C9"/>
    <w:rsid w:val="00F541D2"/>
    <w:rsid w:val="00F5625A"/>
    <w:rsid w:val="00F56BA5"/>
    <w:rsid w:val="00F5758A"/>
    <w:rsid w:val="00F57F51"/>
    <w:rsid w:val="00F60AE0"/>
    <w:rsid w:val="00F60E22"/>
    <w:rsid w:val="00F61F6E"/>
    <w:rsid w:val="00F63820"/>
    <w:rsid w:val="00F63E11"/>
    <w:rsid w:val="00F64289"/>
    <w:rsid w:val="00F651B6"/>
    <w:rsid w:val="00F653F6"/>
    <w:rsid w:val="00F661BC"/>
    <w:rsid w:val="00F66CDD"/>
    <w:rsid w:val="00F671FE"/>
    <w:rsid w:val="00F67C4D"/>
    <w:rsid w:val="00F67E84"/>
    <w:rsid w:val="00F73104"/>
    <w:rsid w:val="00F74025"/>
    <w:rsid w:val="00F7433B"/>
    <w:rsid w:val="00F805FB"/>
    <w:rsid w:val="00F80A78"/>
    <w:rsid w:val="00F81395"/>
    <w:rsid w:val="00F853FA"/>
    <w:rsid w:val="00F87F88"/>
    <w:rsid w:val="00F902EB"/>
    <w:rsid w:val="00F914D2"/>
    <w:rsid w:val="00F917D1"/>
    <w:rsid w:val="00F91FA0"/>
    <w:rsid w:val="00F93DFC"/>
    <w:rsid w:val="00F948FF"/>
    <w:rsid w:val="00F95BA2"/>
    <w:rsid w:val="00F9653B"/>
    <w:rsid w:val="00F968B0"/>
    <w:rsid w:val="00FA0881"/>
    <w:rsid w:val="00FA1725"/>
    <w:rsid w:val="00FA4D1B"/>
    <w:rsid w:val="00FA50A2"/>
    <w:rsid w:val="00FB0493"/>
    <w:rsid w:val="00FB37C1"/>
    <w:rsid w:val="00FB4C70"/>
    <w:rsid w:val="00FB5405"/>
    <w:rsid w:val="00FB62CF"/>
    <w:rsid w:val="00FB6610"/>
    <w:rsid w:val="00FB7345"/>
    <w:rsid w:val="00FB7835"/>
    <w:rsid w:val="00FB7F49"/>
    <w:rsid w:val="00FC025E"/>
    <w:rsid w:val="00FC0FAB"/>
    <w:rsid w:val="00FC2904"/>
    <w:rsid w:val="00FC53F9"/>
    <w:rsid w:val="00FC56C2"/>
    <w:rsid w:val="00FC5868"/>
    <w:rsid w:val="00FD00E1"/>
    <w:rsid w:val="00FD3C3B"/>
    <w:rsid w:val="00FD5A99"/>
    <w:rsid w:val="00FD7DDB"/>
    <w:rsid w:val="00FD7E0F"/>
    <w:rsid w:val="00FD7E64"/>
    <w:rsid w:val="00FE07DD"/>
    <w:rsid w:val="00FE1ADB"/>
    <w:rsid w:val="00FE435D"/>
    <w:rsid w:val="00FE44C7"/>
    <w:rsid w:val="00FE6B45"/>
    <w:rsid w:val="00FF39A5"/>
    <w:rsid w:val="00FF3D2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6BC2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0"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C9"/>
    <w:pPr>
      <w:pBdr>
        <w:top w:val="nil"/>
        <w:left w:val="nil"/>
        <w:bottom w:val="nil"/>
        <w:right w:val="nil"/>
        <w:between w:val="nil"/>
        <w:bar w:val="nil"/>
      </w:pBdr>
    </w:pPr>
    <w:rPr>
      <w:sz w:val="24"/>
      <w:szCs w:val="24"/>
      <w:bdr w:val="nil"/>
    </w:rPr>
  </w:style>
  <w:style w:type="paragraph" w:styleId="Heading1">
    <w:name w:val="heading 1"/>
    <w:basedOn w:val="MediumGrid1-Accent21"/>
    <w:next w:val="Normal"/>
    <w:link w:val="Heading1Char"/>
    <w:uiPriority w:val="9"/>
    <w:qFormat/>
    <w:rsid w:val="00AE06B2"/>
    <w:pPr>
      <w:numPr>
        <w:numId w:val="54"/>
      </w:numPr>
      <w:suppressAutoHyphens/>
      <w:outlineLvl w:val="0"/>
    </w:pPr>
    <w:rPr>
      <w:b/>
      <w:sz w:val="20"/>
      <w:szCs w:val="20"/>
      <w:lang w:val="es-ES_tradnl"/>
    </w:rPr>
  </w:style>
  <w:style w:type="paragraph" w:styleId="Heading2">
    <w:name w:val="heading 2"/>
    <w:basedOn w:val="Heading1"/>
    <w:next w:val="Normal"/>
    <w:link w:val="Heading2Char"/>
    <w:qFormat/>
    <w:rsid w:val="00FD7DDB"/>
    <w:pPr>
      <w:numPr>
        <w:numId w:val="0"/>
      </w:numPr>
      <w:outlineLvl w:val="1"/>
    </w:p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Grid1-Accent21">
    <w:name w:val="Medium Grid 1 - Accent 21"/>
    <w:aliases w:val="Párrafo de lista1,List Paragraph1,Colorful List - Accent 11,List Paragraph11,List Paragraph2"/>
    <w:link w:val="MediumGrid1-Accent2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AE06B2"/>
    <w:rPr>
      <w:rFonts w:ascii="Cambria" w:eastAsia="Cambria" w:hAnsi="Cambria" w:cs="Cambria"/>
      <w:b/>
      <w:color w:val="000000"/>
      <w:u w:color="000000"/>
      <w:bdr w:val="nil"/>
      <w:lang w:val="es-ES_tradnl"/>
    </w:rPr>
  </w:style>
  <w:style w:type="table" w:styleId="MediumShading1-Accent2">
    <w:name w:val="Medium Shading 1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617E74"/>
    <w:pPr>
      <w:tabs>
        <w:tab w:val="left" w:pos="720"/>
        <w:tab w:val="right" w:leader="dot" w:pos="9350"/>
      </w:tabs>
      <w:spacing w:after="100"/>
      <w:jc w:val="both"/>
    </w:pPr>
    <w:rPr>
      <w:rFonts w:ascii="Cambria" w:hAnsi="Cambria"/>
      <w:b/>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link w:val="Heading2"/>
    <w:rsid w:val="00FD7DDB"/>
    <w:rPr>
      <w:rFonts w:ascii="Cambria" w:eastAsia="Cambria" w:hAnsi="Cambria" w:cs="Cambria"/>
      <w:b/>
      <w:color w:val="000000"/>
      <w:u w:color="000000"/>
      <w:bdr w:val="nil"/>
      <w:lang w:val="es-ES_tradnl"/>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MediumGrid1-Accent2Char">
    <w:name w:val="Medium Grid 1 - Accent 2 Char"/>
    <w:aliases w:val="Párrafo de lista1 Char,List Paragraph1 Char,Colorful List - Accent 11 Char,List Paragraph11 Char,List Paragraph2 Char"/>
    <w:link w:val="MediumGrid1-Accent21"/>
    <w:locked/>
    <w:rsid w:val="002E4AEA"/>
    <w:rPr>
      <w:rFonts w:ascii="Cambria" w:eastAsia="Cambria" w:hAnsi="Cambria" w:cs="Cambria"/>
      <w:color w:val="000000"/>
      <w:sz w:val="24"/>
      <w:szCs w:val="24"/>
      <w:u w:color="000000"/>
      <w:lang w:val="en-US"/>
    </w:rPr>
  </w:style>
  <w:style w:type="character" w:styleId="Emphasis">
    <w:name w:val="Emphasis"/>
    <w:uiPriority w:val="20"/>
    <w:qFormat/>
    <w:rsid w:val="00244D54"/>
    <w:rPr>
      <w:i/>
      <w:iCs/>
    </w:rPr>
  </w:style>
  <w:style w:type="paragraph" w:styleId="ListParagraph">
    <w:name w:val="List Paragraph"/>
    <w:aliases w:val="Colorful List - Accent 12,Lista vistosa - Énfasis 11"/>
    <w:basedOn w:val="Normal"/>
    <w:qFormat/>
    <w:rsid w:val="002C6E40"/>
    <w:pPr>
      <w:ind w:left="708"/>
    </w:pPr>
  </w:style>
  <w:style w:type="character" w:styleId="Strong">
    <w:name w:val="Strong"/>
    <w:uiPriority w:val="22"/>
    <w:qFormat/>
    <w:rsid w:val="00985F2A"/>
    <w:rPr>
      <w:b/>
      <w:bCs/>
    </w:rPr>
  </w:style>
  <w:style w:type="paragraph" w:customStyle="1" w:styleId="1">
    <w:name w:val="1"/>
    <w:basedOn w:val="Normal"/>
    <w:rsid w:val="000A4F0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character" w:customStyle="1" w:styleId="BodyTextIndentChar">
    <w:name w:val="Body Text Indent Char"/>
    <w:link w:val="BodyTextIndent"/>
    <w:rsid w:val="00BF2B90"/>
    <w:rPr>
      <w:rFonts w:eastAsia="Times New Roman"/>
      <w:color w:val="000000"/>
      <w:sz w:val="24"/>
      <w:szCs w:val="24"/>
      <w:u w:color="000000"/>
      <w:bdr w:val="nil"/>
      <w:lang w:val="es-ES_tradnl"/>
    </w:rPr>
  </w:style>
  <w:style w:type="character" w:customStyle="1" w:styleId="ColorfulList-Accent1Char">
    <w:name w:val="Colorful List - Accent 1 Char"/>
    <w:rsid w:val="00CD345C"/>
    <w:rPr>
      <w:rFonts w:ascii="Cambria" w:eastAsia="Cambria" w:hAnsi="Cambria" w:cs="Cambria"/>
      <w:color w:val="000000"/>
      <w:sz w:val="24"/>
      <w:szCs w:val="24"/>
      <w:u w:color="000000"/>
      <w:lang w:val="en-US"/>
    </w:rPr>
  </w:style>
  <w:style w:type="character" w:styleId="CommentReference">
    <w:name w:val="annotation reference"/>
    <w:uiPriority w:val="99"/>
    <w:semiHidden/>
    <w:unhideWhenUsed/>
    <w:rsid w:val="00A03885"/>
    <w:rPr>
      <w:sz w:val="16"/>
      <w:szCs w:val="16"/>
    </w:rPr>
  </w:style>
  <w:style w:type="paragraph" w:styleId="CommentText">
    <w:name w:val="annotation text"/>
    <w:basedOn w:val="Normal"/>
    <w:link w:val="CommentTextChar"/>
    <w:uiPriority w:val="99"/>
    <w:semiHidden/>
    <w:unhideWhenUsed/>
    <w:rsid w:val="00A03885"/>
    <w:rPr>
      <w:sz w:val="20"/>
      <w:szCs w:val="20"/>
    </w:rPr>
  </w:style>
  <w:style w:type="character" w:customStyle="1" w:styleId="CommentTextChar">
    <w:name w:val="Comment Text Char"/>
    <w:link w:val="CommentText"/>
    <w:uiPriority w:val="99"/>
    <w:semiHidden/>
    <w:rsid w:val="00A03885"/>
    <w:rPr>
      <w:bdr w:val="nil"/>
    </w:rPr>
  </w:style>
  <w:style w:type="paragraph" w:styleId="CommentSubject">
    <w:name w:val="annotation subject"/>
    <w:basedOn w:val="CommentText"/>
    <w:next w:val="CommentText"/>
    <w:link w:val="CommentSubjectChar"/>
    <w:uiPriority w:val="99"/>
    <w:semiHidden/>
    <w:unhideWhenUsed/>
    <w:rsid w:val="00A03885"/>
    <w:rPr>
      <w:b/>
      <w:bCs/>
    </w:rPr>
  </w:style>
  <w:style w:type="character" w:customStyle="1" w:styleId="CommentSubjectChar">
    <w:name w:val="Comment Subject Char"/>
    <w:link w:val="CommentSubject"/>
    <w:uiPriority w:val="99"/>
    <w:semiHidden/>
    <w:rsid w:val="00A03885"/>
    <w:rPr>
      <w:b/>
      <w:bCs/>
      <w:bdr w:val="nil"/>
    </w:rPr>
  </w:style>
  <w:style w:type="paragraph" w:styleId="TOCHeading">
    <w:name w:val="TOC Heading"/>
    <w:basedOn w:val="Heading1"/>
    <w:next w:val="Normal"/>
    <w:uiPriority w:val="39"/>
    <w:unhideWhenUsed/>
    <w:qFormat/>
    <w:rsid w:val="00F15B85"/>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85073">
      <w:bodyDiv w:val="1"/>
      <w:marLeft w:val="0"/>
      <w:marRight w:val="0"/>
      <w:marTop w:val="0"/>
      <w:marBottom w:val="0"/>
      <w:divBdr>
        <w:top w:val="none" w:sz="0" w:space="0" w:color="auto"/>
        <w:left w:val="none" w:sz="0" w:space="0" w:color="auto"/>
        <w:bottom w:val="none" w:sz="0" w:space="0" w:color="auto"/>
        <w:right w:val="none" w:sz="0" w:space="0" w:color="auto"/>
      </w:divBdr>
      <w:divsChild>
        <w:div w:id="199904929">
          <w:marLeft w:val="0"/>
          <w:marRight w:val="0"/>
          <w:marTop w:val="0"/>
          <w:marBottom w:val="0"/>
          <w:divBdr>
            <w:top w:val="none" w:sz="0" w:space="0" w:color="auto"/>
            <w:left w:val="none" w:sz="0" w:space="0" w:color="auto"/>
            <w:bottom w:val="none" w:sz="0" w:space="0" w:color="auto"/>
            <w:right w:val="none" w:sz="0" w:space="0" w:color="auto"/>
          </w:divBdr>
        </w:div>
        <w:div w:id="225072055">
          <w:marLeft w:val="0"/>
          <w:marRight w:val="0"/>
          <w:marTop w:val="0"/>
          <w:marBottom w:val="0"/>
          <w:divBdr>
            <w:top w:val="none" w:sz="0" w:space="0" w:color="auto"/>
            <w:left w:val="none" w:sz="0" w:space="0" w:color="auto"/>
            <w:bottom w:val="none" w:sz="0" w:space="0" w:color="auto"/>
            <w:right w:val="none" w:sz="0" w:space="0" w:color="auto"/>
          </w:divBdr>
        </w:div>
        <w:div w:id="602684957">
          <w:marLeft w:val="0"/>
          <w:marRight w:val="0"/>
          <w:marTop w:val="0"/>
          <w:marBottom w:val="0"/>
          <w:divBdr>
            <w:top w:val="none" w:sz="0" w:space="0" w:color="auto"/>
            <w:left w:val="none" w:sz="0" w:space="0" w:color="auto"/>
            <w:bottom w:val="none" w:sz="0" w:space="0" w:color="auto"/>
            <w:right w:val="none" w:sz="0" w:space="0" w:color="auto"/>
          </w:divBdr>
        </w:div>
      </w:divsChild>
    </w:div>
    <w:div w:id="1161969233">
      <w:bodyDiv w:val="1"/>
      <w:marLeft w:val="0"/>
      <w:marRight w:val="0"/>
      <w:marTop w:val="0"/>
      <w:marBottom w:val="0"/>
      <w:divBdr>
        <w:top w:val="none" w:sz="0" w:space="0" w:color="auto"/>
        <w:left w:val="none" w:sz="0" w:space="0" w:color="auto"/>
        <w:bottom w:val="none" w:sz="0" w:space="0" w:color="auto"/>
        <w:right w:val="none" w:sz="0" w:space="0" w:color="auto"/>
      </w:divBdr>
    </w:div>
    <w:div w:id="151815160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0277-C172-489A-9DE7-6BB57D18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9056</Words>
  <Characters>51620</Characters>
  <Application>Microsoft Office Word</Application>
  <DocSecurity>0</DocSecurity>
  <Lines>430</Lines>
  <Paragraphs>121</Paragraphs>
  <ScaleCrop>false</ScaleCrop>
  <Company/>
  <LinksUpToDate>false</LinksUpToDate>
  <CharactersWithSpaces>60555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2020-11-03T16:17:00Z</dcterms:created>
  <dcterms:modified xsi:type="dcterms:W3CDTF">2020-11-03T16:17:00Z</dcterms:modified>
</cp:coreProperties>
</file>