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A2A3" w14:textId="77777777" w:rsidR="00610A15" w:rsidRPr="007A0D4C" w:rsidRDefault="00610A15" w:rsidP="007A0D4C">
      <w:pPr>
        <w:jc w:val="both"/>
        <w:rPr>
          <w:rFonts w:ascii="Cambria" w:hAnsi="Cambria" w:cs="Univers"/>
          <w:b/>
          <w:bCs/>
          <w:sz w:val="20"/>
          <w:szCs w:val="20"/>
          <w:lang w:val="es-ES_tradnl"/>
        </w:rPr>
      </w:pPr>
      <w:r w:rsidRPr="007A0D4C">
        <w:rPr>
          <w:rFonts w:ascii="Cambria" w:hAnsi="Cambria"/>
          <w:noProof/>
          <w:sz w:val="20"/>
          <w:szCs w:val="20"/>
        </w:rPr>
        <mc:AlternateContent>
          <mc:Choice Requires="wps">
            <w:drawing>
              <wp:anchor distT="0" distB="0" distL="114300" distR="114300" simplePos="0" relativeHeight="251658240" behindDoc="0" locked="0" layoutInCell="1" allowOverlap="1" wp14:anchorId="4E369024" wp14:editId="1E449B6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18FCF" id="Rectangle 1" o:spid="_x0000_s1026" style="position:absolute;margin-left:-32.75pt;margin-top:-34.6pt;width:121.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7A0D4C">
        <w:rPr>
          <w:rFonts w:ascii="Cambria" w:hAnsi="Cambria"/>
          <w:noProof/>
          <w:sz w:val="20"/>
          <w:szCs w:val="20"/>
        </w:rPr>
        <mc:AlternateContent>
          <mc:Choice Requires="wps">
            <w:drawing>
              <wp:anchor distT="0" distB="0" distL="114300" distR="114300" simplePos="0" relativeHeight="251658244" behindDoc="0" locked="0" layoutInCell="1" allowOverlap="1" wp14:anchorId="490BA972" wp14:editId="5F70562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3D0B5" w14:textId="77777777" w:rsidR="000A5EAC" w:rsidRDefault="000A5EAC" w:rsidP="00610A15">
                            <w:r>
                              <w:rPr>
                                <w:noProof/>
                              </w:rPr>
                              <w:drawing>
                                <wp:inline distT="0" distB="0" distL="0" distR="0" wp14:anchorId="784748D0" wp14:editId="61C14BE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BA97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D13D0B5" w14:textId="77777777" w:rsidR="000A5EAC" w:rsidRDefault="000A5EAC" w:rsidP="00610A15">
                      <w:r>
                        <w:rPr>
                          <w:noProof/>
                        </w:rPr>
                        <w:drawing>
                          <wp:inline distT="0" distB="0" distL="0" distR="0" wp14:anchorId="784748D0" wp14:editId="61C14BE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p>
                  </w:txbxContent>
                </v:textbox>
              </v:shape>
            </w:pict>
          </mc:Fallback>
        </mc:AlternateContent>
      </w:r>
    </w:p>
    <w:p w14:paraId="545B3DFA" w14:textId="77777777" w:rsidR="00610A15" w:rsidRPr="007A0D4C" w:rsidRDefault="00610A15" w:rsidP="007A0D4C">
      <w:pPr>
        <w:tabs>
          <w:tab w:val="center" w:pos="5400"/>
        </w:tabs>
        <w:suppressAutoHyphens/>
        <w:jc w:val="both"/>
        <w:rPr>
          <w:rFonts w:ascii="Cambria" w:hAnsi="Cambria"/>
          <w:sz w:val="20"/>
          <w:szCs w:val="20"/>
          <w:lang w:val="es-ES"/>
        </w:rPr>
      </w:pPr>
    </w:p>
    <w:p w14:paraId="4B6575D6" w14:textId="77777777" w:rsidR="00610A15" w:rsidRPr="007A0D4C" w:rsidRDefault="00610A15" w:rsidP="007A0D4C">
      <w:pPr>
        <w:tabs>
          <w:tab w:val="center" w:pos="5400"/>
        </w:tabs>
        <w:suppressAutoHyphens/>
        <w:jc w:val="both"/>
        <w:rPr>
          <w:rFonts w:ascii="Cambria" w:hAnsi="Cambria"/>
          <w:sz w:val="20"/>
          <w:szCs w:val="20"/>
          <w:lang w:val="es-ES"/>
        </w:rPr>
      </w:pPr>
    </w:p>
    <w:p w14:paraId="0E6680AA" w14:textId="77777777" w:rsidR="00610A15" w:rsidRPr="007A0D4C" w:rsidRDefault="00610A15" w:rsidP="007A0D4C">
      <w:pPr>
        <w:tabs>
          <w:tab w:val="center" w:pos="5400"/>
        </w:tabs>
        <w:suppressAutoHyphens/>
        <w:jc w:val="both"/>
        <w:rPr>
          <w:rFonts w:ascii="Cambria" w:hAnsi="Cambria"/>
          <w:sz w:val="20"/>
          <w:szCs w:val="20"/>
          <w:lang w:val="es-ES_tradnl"/>
        </w:rPr>
      </w:pPr>
    </w:p>
    <w:p w14:paraId="0D62BF25" w14:textId="77777777" w:rsidR="00610A15" w:rsidRPr="007A0D4C" w:rsidRDefault="00610A15" w:rsidP="007A0D4C">
      <w:pPr>
        <w:tabs>
          <w:tab w:val="center" w:pos="5400"/>
        </w:tabs>
        <w:suppressAutoHyphens/>
        <w:jc w:val="both"/>
        <w:rPr>
          <w:rFonts w:ascii="Cambria" w:hAnsi="Cambria"/>
          <w:sz w:val="20"/>
          <w:szCs w:val="20"/>
          <w:lang w:val="es-ES_tradnl"/>
        </w:rPr>
      </w:pPr>
    </w:p>
    <w:p w14:paraId="204BA990" w14:textId="77777777" w:rsidR="00610A15" w:rsidRPr="007A0D4C" w:rsidRDefault="00610A15" w:rsidP="007A0D4C">
      <w:pPr>
        <w:tabs>
          <w:tab w:val="center" w:pos="5400"/>
        </w:tabs>
        <w:suppressAutoHyphens/>
        <w:jc w:val="both"/>
        <w:rPr>
          <w:rFonts w:ascii="Cambria" w:hAnsi="Cambria"/>
          <w:sz w:val="20"/>
          <w:szCs w:val="20"/>
          <w:lang w:val="es-ES_tradnl"/>
        </w:rPr>
      </w:pPr>
    </w:p>
    <w:p w14:paraId="11B4B8DB" w14:textId="77777777" w:rsidR="00610A15" w:rsidRPr="007A0D4C" w:rsidRDefault="00610A15" w:rsidP="007A0D4C">
      <w:pPr>
        <w:tabs>
          <w:tab w:val="center" w:pos="5400"/>
        </w:tabs>
        <w:suppressAutoHyphens/>
        <w:jc w:val="both"/>
        <w:rPr>
          <w:rFonts w:ascii="Cambria" w:hAnsi="Cambria"/>
          <w:sz w:val="20"/>
          <w:szCs w:val="20"/>
          <w:lang w:val="es-ES_tradnl"/>
        </w:rPr>
      </w:pPr>
    </w:p>
    <w:p w14:paraId="5D245E3B" w14:textId="77777777" w:rsidR="00610A15" w:rsidRPr="007A0D4C" w:rsidRDefault="00610A15" w:rsidP="007A0D4C">
      <w:pPr>
        <w:tabs>
          <w:tab w:val="center" w:pos="5400"/>
        </w:tabs>
        <w:suppressAutoHyphens/>
        <w:jc w:val="both"/>
        <w:rPr>
          <w:rFonts w:ascii="Cambria" w:hAnsi="Cambria"/>
          <w:sz w:val="20"/>
          <w:szCs w:val="20"/>
          <w:lang w:val="es-ES_tradnl"/>
        </w:rPr>
      </w:pPr>
    </w:p>
    <w:p w14:paraId="573FF1DF" w14:textId="77777777" w:rsidR="00610A15" w:rsidRPr="007A0D4C" w:rsidRDefault="00610A15" w:rsidP="007A0D4C">
      <w:pPr>
        <w:tabs>
          <w:tab w:val="center" w:pos="5400"/>
        </w:tabs>
        <w:suppressAutoHyphens/>
        <w:jc w:val="both"/>
        <w:rPr>
          <w:rFonts w:ascii="Cambria" w:hAnsi="Cambria"/>
          <w:sz w:val="20"/>
          <w:szCs w:val="20"/>
          <w:lang w:val="es-ES_tradnl"/>
        </w:rPr>
      </w:pPr>
    </w:p>
    <w:p w14:paraId="4B2EDC31" w14:textId="77777777" w:rsidR="00610A15" w:rsidRPr="007A0D4C" w:rsidRDefault="00610A15" w:rsidP="007A0D4C">
      <w:pPr>
        <w:tabs>
          <w:tab w:val="center" w:pos="5400"/>
        </w:tabs>
        <w:suppressAutoHyphens/>
        <w:jc w:val="both"/>
        <w:rPr>
          <w:rFonts w:ascii="Cambria" w:hAnsi="Cambria"/>
          <w:sz w:val="20"/>
          <w:szCs w:val="20"/>
          <w:lang w:val="es-ES_tradnl"/>
        </w:rPr>
      </w:pPr>
    </w:p>
    <w:p w14:paraId="5FC21805" w14:textId="77777777" w:rsidR="00610A15" w:rsidRPr="007A0D4C" w:rsidRDefault="00610A15" w:rsidP="007A0D4C">
      <w:pPr>
        <w:tabs>
          <w:tab w:val="center" w:pos="5400"/>
        </w:tabs>
        <w:suppressAutoHyphens/>
        <w:jc w:val="both"/>
        <w:rPr>
          <w:rFonts w:ascii="Cambria" w:hAnsi="Cambria"/>
          <w:sz w:val="20"/>
          <w:szCs w:val="20"/>
          <w:lang w:val="es-ES_tradnl"/>
        </w:rPr>
      </w:pPr>
    </w:p>
    <w:p w14:paraId="342057F3" w14:textId="77777777" w:rsidR="00610A15" w:rsidRPr="007A0D4C" w:rsidRDefault="00610A15" w:rsidP="007A0D4C">
      <w:pPr>
        <w:tabs>
          <w:tab w:val="center" w:pos="5400"/>
        </w:tabs>
        <w:suppressAutoHyphens/>
        <w:jc w:val="both"/>
        <w:rPr>
          <w:rFonts w:ascii="Cambria" w:hAnsi="Cambria"/>
          <w:sz w:val="20"/>
          <w:szCs w:val="20"/>
          <w:lang w:val="es-ES_tradnl"/>
        </w:rPr>
      </w:pPr>
    </w:p>
    <w:p w14:paraId="57DAE0D7" w14:textId="77777777" w:rsidR="00610A15" w:rsidRPr="007A0D4C" w:rsidRDefault="00610A15" w:rsidP="007A0D4C">
      <w:pPr>
        <w:tabs>
          <w:tab w:val="center" w:pos="5400"/>
        </w:tabs>
        <w:suppressAutoHyphens/>
        <w:jc w:val="both"/>
        <w:rPr>
          <w:rFonts w:ascii="Cambria" w:hAnsi="Cambria"/>
          <w:sz w:val="20"/>
          <w:szCs w:val="20"/>
          <w:lang w:val="es-ES_tradnl"/>
        </w:rPr>
      </w:pPr>
    </w:p>
    <w:p w14:paraId="02F0709A" w14:textId="77777777" w:rsidR="00610A15" w:rsidRPr="007A0D4C" w:rsidRDefault="00610A15" w:rsidP="007A0D4C">
      <w:pPr>
        <w:tabs>
          <w:tab w:val="center" w:pos="5400"/>
        </w:tabs>
        <w:suppressAutoHyphens/>
        <w:jc w:val="both"/>
        <w:rPr>
          <w:rFonts w:ascii="Cambria" w:hAnsi="Cambria"/>
          <w:sz w:val="20"/>
          <w:szCs w:val="20"/>
          <w:lang w:val="es-ES_tradnl"/>
        </w:rPr>
      </w:pPr>
      <w:r w:rsidRPr="007A0D4C">
        <w:rPr>
          <w:rFonts w:ascii="Cambria" w:hAnsi="Cambria"/>
          <w:noProof/>
          <w:sz w:val="20"/>
          <w:szCs w:val="20"/>
        </w:rPr>
        <mc:AlternateContent>
          <mc:Choice Requires="wps">
            <w:drawing>
              <wp:anchor distT="0" distB="0" distL="114300" distR="114300" simplePos="0" relativeHeight="251658241" behindDoc="0" locked="0" layoutInCell="1" allowOverlap="1" wp14:anchorId="73A4F00D" wp14:editId="199A082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504BF" w14:textId="495B93D0" w:rsidR="000A5EAC" w:rsidRPr="00430348" w:rsidRDefault="000A5EAC" w:rsidP="00610A15">
                            <w:pPr>
                              <w:spacing w:line="276" w:lineRule="auto"/>
                              <w:rPr>
                                <w:rFonts w:ascii="Cambria" w:hAnsi="Cambria" w:cs="Arial"/>
                                <w:b/>
                                <w:color w:val="0D0D0D" w:themeColor="text1" w:themeTint="F2"/>
                                <w:sz w:val="36"/>
                                <w:szCs w:val="22"/>
                                <w:lang w:val="es-VE"/>
                              </w:rPr>
                            </w:pPr>
                            <w:r w:rsidRPr="00430348">
                              <w:rPr>
                                <w:rFonts w:ascii="Cambria" w:hAnsi="Cambria" w:cs="Arial"/>
                                <w:b/>
                                <w:bCs/>
                                <w:color w:val="0D0D0D" w:themeColor="text1" w:themeTint="F2"/>
                                <w:sz w:val="36"/>
                                <w:szCs w:val="22"/>
                                <w:lang w:val="es-VE"/>
                              </w:rPr>
                              <w:t xml:space="preserve">INFORME </w:t>
                            </w:r>
                            <w:r w:rsidRPr="00430348">
                              <w:rPr>
                                <w:rFonts w:ascii="Cambria" w:hAnsi="Cambria" w:cs="Arial"/>
                                <w:b/>
                                <w:bCs/>
                                <w:color w:val="0D0D0D" w:themeColor="text1" w:themeTint="F2"/>
                                <w:sz w:val="36"/>
                                <w:szCs w:val="40"/>
                                <w:lang w:val="es-VE"/>
                              </w:rPr>
                              <w:t>No.</w:t>
                            </w:r>
                            <w:r>
                              <w:rPr>
                                <w:rFonts w:ascii="Cambria" w:hAnsi="Cambria" w:cs="Arial"/>
                                <w:b/>
                                <w:bCs/>
                                <w:color w:val="0D0D0D" w:themeColor="text1" w:themeTint="F2"/>
                                <w:sz w:val="36"/>
                                <w:szCs w:val="22"/>
                                <w:lang w:val="es-VE"/>
                              </w:rPr>
                              <w:t xml:space="preserve"> 196/20</w:t>
                            </w:r>
                          </w:p>
                          <w:p w14:paraId="7333E102" w14:textId="674585BB" w:rsidR="000A5EAC" w:rsidRPr="005B2F65" w:rsidRDefault="000A5EAC" w:rsidP="00610A15">
                            <w:pPr>
                              <w:spacing w:line="276" w:lineRule="auto"/>
                              <w:rPr>
                                <w:rFonts w:ascii="Cambria" w:hAnsi="Cambria" w:cs="Arial"/>
                                <w:b/>
                                <w:color w:val="0D0D0D" w:themeColor="text1" w:themeTint="F2"/>
                                <w:sz w:val="36"/>
                                <w:szCs w:val="22"/>
                                <w:lang w:val="es-VE"/>
                              </w:rPr>
                            </w:pPr>
                            <w:r>
                              <w:rPr>
                                <w:rFonts w:ascii="Cambria" w:hAnsi="Cambria" w:cs="Arial"/>
                                <w:b/>
                                <w:color w:val="0D0D0D" w:themeColor="text1" w:themeTint="F2"/>
                                <w:sz w:val="36"/>
                                <w:szCs w:val="22"/>
                                <w:lang w:val="es-VE"/>
                              </w:rPr>
                              <w:t>CASO 13.030</w:t>
                            </w:r>
                          </w:p>
                          <w:p w14:paraId="284C10D3" w14:textId="77777777" w:rsidR="000A5EAC" w:rsidRPr="005B2F65" w:rsidRDefault="000A5EAC" w:rsidP="00610A15">
                            <w:pPr>
                              <w:spacing w:line="276" w:lineRule="auto"/>
                              <w:rPr>
                                <w:rFonts w:ascii="Cambria" w:hAnsi="Cambria" w:cs="Arial"/>
                                <w:color w:val="0D0D0D" w:themeColor="text1" w:themeTint="F2"/>
                                <w:szCs w:val="22"/>
                                <w:lang w:val="es-ES_tradnl"/>
                              </w:rPr>
                            </w:pPr>
                            <w:r w:rsidRPr="005B2F65">
                              <w:rPr>
                                <w:rFonts w:ascii="Cambria" w:hAnsi="Cambria" w:cs="Arial"/>
                                <w:color w:val="0D0D0D" w:themeColor="text1" w:themeTint="F2"/>
                                <w:szCs w:val="22"/>
                                <w:lang w:val="es-ES_tradnl"/>
                              </w:rPr>
                              <w:t>INFORME DE FONDO</w:t>
                            </w:r>
                          </w:p>
                          <w:p w14:paraId="092E3550" w14:textId="21D4D977" w:rsidR="000A5EAC" w:rsidRPr="005B2F65" w:rsidRDefault="000A5EAC" w:rsidP="00610A15">
                            <w:pPr>
                              <w:spacing w:line="276" w:lineRule="auto"/>
                              <w:rPr>
                                <w:rFonts w:ascii="Cambria" w:hAnsi="Cambria" w:cs="Arial"/>
                                <w:color w:val="0D0D0D" w:themeColor="text1" w:themeTint="F2"/>
                                <w:szCs w:val="22"/>
                                <w:lang w:val="es-ES_tradnl"/>
                              </w:rPr>
                            </w:pPr>
                            <w:bookmarkStart w:id="0" w:name="_ftnref1"/>
                            <w:r>
                              <w:rPr>
                                <w:rFonts w:ascii="Cambria" w:hAnsi="Cambria" w:cs="Arial"/>
                                <w:color w:val="0D0D0D" w:themeColor="text1" w:themeTint="F2"/>
                                <w:szCs w:val="22"/>
                                <w:lang w:val="es-ES_tradnl"/>
                              </w:rPr>
                              <w:t xml:space="preserve">SANTIAGO LEGUIZAMÓN ZAVÁN Y FAMILIA </w:t>
                            </w:r>
                          </w:p>
                          <w:p w14:paraId="4CBFFC8D" w14:textId="77777777" w:rsidR="000A5EAC" w:rsidRPr="005B2F65" w:rsidRDefault="000A5EAC" w:rsidP="00610A15">
                            <w:pPr>
                              <w:spacing w:line="276" w:lineRule="auto"/>
                              <w:rPr>
                                <w:rFonts w:ascii="Cambria" w:hAnsi="Cambria" w:cs="Arial"/>
                                <w:color w:val="0D0D0D" w:themeColor="text1" w:themeTint="F2"/>
                                <w:szCs w:val="22"/>
                                <w:lang w:val="es-ES_tradnl"/>
                              </w:rPr>
                            </w:pPr>
                          </w:p>
                          <w:bookmarkEnd w:id="0"/>
                          <w:p w14:paraId="7C4899CA" w14:textId="1C7D1F3C" w:rsidR="000A5EAC" w:rsidRPr="00430348" w:rsidRDefault="000A5EAC" w:rsidP="00610A15">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PARAGUAY</w:t>
                            </w:r>
                          </w:p>
                          <w:p w14:paraId="0840E228" w14:textId="77777777" w:rsidR="000A5EAC" w:rsidRPr="00AE5488" w:rsidRDefault="000A5EAC" w:rsidP="00610A15">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4F00D"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C2504BF" w14:textId="495B93D0" w:rsidR="000A5EAC" w:rsidRPr="00430348" w:rsidRDefault="000A5EAC" w:rsidP="00610A15">
                      <w:pPr>
                        <w:spacing w:line="276" w:lineRule="auto"/>
                        <w:rPr>
                          <w:rFonts w:ascii="Cambria" w:hAnsi="Cambria" w:cs="Arial"/>
                          <w:b/>
                          <w:color w:val="0D0D0D" w:themeColor="text1" w:themeTint="F2"/>
                          <w:sz w:val="36"/>
                          <w:szCs w:val="22"/>
                          <w:lang w:val="es-VE"/>
                        </w:rPr>
                      </w:pPr>
                      <w:r w:rsidRPr="00430348">
                        <w:rPr>
                          <w:rFonts w:ascii="Cambria" w:hAnsi="Cambria" w:cs="Arial"/>
                          <w:b/>
                          <w:bCs/>
                          <w:color w:val="0D0D0D" w:themeColor="text1" w:themeTint="F2"/>
                          <w:sz w:val="36"/>
                          <w:szCs w:val="22"/>
                          <w:lang w:val="es-VE"/>
                        </w:rPr>
                        <w:t xml:space="preserve">INFORME </w:t>
                      </w:r>
                      <w:r w:rsidRPr="00430348">
                        <w:rPr>
                          <w:rFonts w:ascii="Cambria" w:hAnsi="Cambria" w:cs="Arial"/>
                          <w:b/>
                          <w:bCs/>
                          <w:color w:val="0D0D0D" w:themeColor="text1" w:themeTint="F2"/>
                          <w:sz w:val="36"/>
                          <w:szCs w:val="40"/>
                          <w:lang w:val="es-VE"/>
                        </w:rPr>
                        <w:t>No.</w:t>
                      </w:r>
                      <w:r>
                        <w:rPr>
                          <w:rFonts w:ascii="Cambria" w:hAnsi="Cambria" w:cs="Arial"/>
                          <w:b/>
                          <w:bCs/>
                          <w:color w:val="0D0D0D" w:themeColor="text1" w:themeTint="F2"/>
                          <w:sz w:val="36"/>
                          <w:szCs w:val="22"/>
                          <w:lang w:val="es-VE"/>
                        </w:rPr>
                        <w:t xml:space="preserve"> 196/20</w:t>
                      </w:r>
                    </w:p>
                    <w:p w14:paraId="7333E102" w14:textId="674585BB" w:rsidR="000A5EAC" w:rsidRPr="005B2F65" w:rsidRDefault="000A5EAC" w:rsidP="00610A15">
                      <w:pPr>
                        <w:spacing w:line="276" w:lineRule="auto"/>
                        <w:rPr>
                          <w:rFonts w:ascii="Cambria" w:hAnsi="Cambria" w:cs="Arial"/>
                          <w:b/>
                          <w:color w:val="0D0D0D" w:themeColor="text1" w:themeTint="F2"/>
                          <w:sz w:val="36"/>
                          <w:szCs w:val="22"/>
                          <w:lang w:val="es-VE"/>
                        </w:rPr>
                      </w:pPr>
                      <w:r>
                        <w:rPr>
                          <w:rFonts w:ascii="Cambria" w:hAnsi="Cambria" w:cs="Arial"/>
                          <w:b/>
                          <w:color w:val="0D0D0D" w:themeColor="text1" w:themeTint="F2"/>
                          <w:sz w:val="36"/>
                          <w:szCs w:val="22"/>
                          <w:lang w:val="es-VE"/>
                        </w:rPr>
                        <w:t>CASO 13.030</w:t>
                      </w:r>
                    </w:p>
                    <w:p w14:paraId="284C10D3" w14:textId="77777777" w:rsidR="000A5EAC" w:rsidRPr="005B2F65" w:rsidRDefault="000A5EAC" w:rsidP="00610A15">
                      <w:pPr>
                        <w:spacing w:line="276" w:lineRule="auto"/>
                        <w:rPr>
                          <w:rFonts w:ascii="Cambria" w:hAnsi="Cambria" w:cs="Arial"/>
                          <w:color w:val="0D0D0D" w:themeColor="text1" w:themeTint="F2"/>
                          <w:szCs w:val="22"/>
                          <w:lang w:val="es-ES_tradnl"/>
                        </w:rPr>
                      </w:pPr>
                      <w:r w:rsidRPr="005B2F65">
                        <w:rPr>
                          <w:rFonts w:ascii="Cambria" w:hAnsi="Cambria" w:cs="Arial"/>
                          <w:color w:val="0D0D0D" w:themeColor="text1" w:themeTint="F2"/>
                          <w:szCs w:val="22"/>
                          <w:lang w:val="es-ES_tradnl"/>
                        </w:rPr>
                        <w:t>INFORME DE FONDO</w:t>
                      </w:r>
                    </w:p>
                    <w:p w14:paraId="092E3550" w14:textId="21D4D977" w:rsidR="000A5EAC" w:rsidRPr="005B2F65" w:rsidRDefault="000A5EAC" w:rsidP="00610A15">
                      <w:pPr>
                        <w:spacing w:line="276" w:lineRule="auto"/>
                        <w:rPr>
                          <w:rFonts w:ascii="Cambria" w:hAnsi="Cambria" w:cs="Arial"/>
                          <w:color w:val="0D0D0D" w:themeColor="text1" w:themeTint="F2"/>
                          <w:szCs w:val="22"/>
                          <w:lang w:val="es-ES_tradnl"/>
                        </w:rPr>
                      </w:pPr>
                      <w:bookmarkStart w:id="1" w:name="_ftnref1"/>
                      <w:r>
                        <w:rPr>
                          <w:rFonts w:ascii="Cambria" w:hAnsi="Cambria" w:cs="Arial"/>
                          <w:color w:val="0D0D0D" w:themeColor="text1" w:themeTint="F2"/>
                          <w:szCs w:val="22"/>
                          <w:lang w:val="es-ES_tradnl"/>
                        </w:rPr>
                        <w:t xml:space="preserve">SANTIAGO LEGUIZAMÓN ZAVÁN Y FAMILIA </w:t>
                      </w:r>
                    </w:p>
                    <w:p w14:paraId="4CBFFC8D" w14:textId="77777777" w:rsidR="000A5EAC" w:rsidRPr="005B2F65" w:rsidRDefault="000A5EAC" w:rsidP="00610A15">
                      <w:pPr>
                        <w:spacing w:line="276" w:lineRule="auto"/>
                        <w:rPr>
                          <w:rFonts w:ascii="Cambria" w:hAnsi="Cambria" w:cs="Arial"/>
                          <w:color w:val="0D0D0D" w:themeColor="text1" w:themeTint="F2"/>
                          <w:szCs w:val="22"/>
                          <w:lang w:val="es-ES_tradnl"/>
                        </w:rPr>
                      </w:pPr>
                    </w:p>
                    <w:bookmarkEnd w:id="1"/>
                    <w:p w14:paraId="7C4899CA" w14:textId="1C7D1F3C" w:rsidR="000A5EAC" w:rsidRPr="00430348" w:rsidRDefault="000A5EAC" w:rsidP="00610A15">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PARAGUAY</w:t>
                      </w:r>
                    </w:p>
                    <w:p w14:paraId="0840E228" w14:textId="77777777" w:rsidR="000A5EAC" w:rsidRPr="00AE5488" w:rsidRDefault="000A5EAC" w:rsidP="00610A15">
                      <w:pPr>
                        <w:rPr>
                          <w:color w:val="0D0D0D" w:themeColor="text1" w:themeTint="F2"/>
                          <w:lang w:val="es-ES_tradnl"/>
                        </w:rPr>
                      </w:pPr>
                    </w:p>
                  </w:txbxContent>
                </v:textbox>
              </v:shape>
            </w:pict>
          </mc:Fallback>
        </mc:AlternateContent>
      </w:r>
      <w:r w:rsidRPr="007A0D4C">
        <w:rPr>
          <w:rFonts w:ascii="Cambria" w:hAnsi="Cambria"/>
          <w:noProof/>
          <w:sz w:val="20"/>
          <w:szCs w:val="20"/>
        </w:rPr>
        <mc:AlternateContent>
          <mc:Choice Requires="wps">
            <w:drawing>
              <wp:anchor distT="0" distB="0" distL="114300" distR="114300" simplePos="0" relativeHeight="251658243" behindDoc="0" locked="0" layoutInCell="1" allowOverlap="1" wp14:anchorId="45387E17" wp14:editId="234A06B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2B19B" w14:textId="59426548" w:rsidR="000A5EAC" w:rsidRPr="009E54A9" w:rsidRDefault="000A5EAC" w:rsidP="009D70A3">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OEA/Ser.L/V/II.176</w:t>
                            </w:r>
                          </w:p>
                          <w:p w14:paraId="28F45503" w14:textId="63346960" w:rsidR="000A5EAC" w:rsidRPr="00B17B12" w:rsidRDefault="000A5EAC" w:rsidP="009D70A3">
                            <w:pPr>
                              <w:spacing w:line="276" w:lineRule="auto"/>
                              <w:jc w:val="right"/>
                              <w:rPr>
                                <w:rFonts w:asciiTheme="minorHAnsi" w:hAnsiTheme="minorHAnsi"/>
                                <w:color w:val="FFFFFF" w:themeColor="background1"/>
                                <w:sz w:val="22"/>
                                <w:lang w:val="pt-BR"/>
                              </w:rPr>
                            </w:pPr>
                            <w:r w:rsidRPr="00174CA8">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209</w:t>
                            </w:r>
                          </w:p>
                          <w:p w14:paraId="406E156D" w14:textId="6CBB6921" w:rsidR="000A5EAC" w:rsidRPr="009D70A3" w:rsidRDefault="000A5EAC" w:rsidP="009D70A3">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10</w:t>
                            </w:r>
                            <w:r w:rsidRPr="009D70A3">
                              <w:rPr>
                                <w:rFonts w:asciiTheme="minorHAnsi" w:hAnsiTheme="minorHAnsi"/>
                                <w:color w:val="FFFFFF" w:themeColor="background1"/>
                                <w:sz w:val="22"/>
                                <w:lang w:val="es-VE"/>
                              </w:rPr>
                              <w:t xml:space="preserve"> de </w:t>
                            </w:r>
                            <w:r>
                              <w:rPr>
                                <w:rFonts w:asciiTheme="minorHAnsi" w:hAnsiTheme="minorHAnsi"/>
                                <w:color w:val="FFFFFF" w:themeColor="background1"/>
                                <w:sz w:val="22"/>
                                <w:lang w:val="es-VE"/>
                              </w:rPr>
                              <w:t>julio 2020</w:t>
                            </w:r>
                          </w:p>
                          <w:p w14:paraId="5A38DF6C" w14:textId="77777777" w:rsidR="000A5EAC" w:rsidRPr="00E33B22" w:rsidRDefault="000A5EAC" w:rsidP="009D70A3">
                            <w:pPr>
                              <w:spacing w:line="276" w:lineRule="auto"/>
                              <w:jc w:val="right"/>
                              <w:rPr>
                                <w:rFonts w:asciiTheme="minorHAnsi" w:hAnsiTheme="minorHAnsi"/>
                                <w:color w:val="FFFFFF" w:themeColor="background1"/>
                                <w:sz w:val="22"/>
                                <w:lang w:val="es-VE"/>
                              </w:rPr>
                            </w:pPr>
                            <w:r w:rsidRPr="00E33B22">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87E17"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7D2B19B" w14:textId="59426548" w:rsidR="000A5EAC" w:rsidRPr="009E54A9" w:rsidRDefault="000A5EAC" w:rsidP="009D70A3">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OEA/Ser.L/V/II.176</w:t>
                      </w:r>
                    </w:p>
                    <w:p w14:paraId="28F45503" w14:textId="63346960" w:rsidR="000A5EAC" w:rsidRPr="00B17B12" w:rsidRDefault="000A5EAC" w:rsidP="009D70A3">
                      <w:pPr>
                        <w:spacing w:line="276" w:lineRule="auto"/>
                        <w:jc w:val="right"/>
                        <w:rPr>
                          <w:rFonts w:asciiTheme="minorHAnsi" w:hAnsiTheme="minorHAnsi"/>
                          <w:color w:val="FFFFFF" w:themeColor="background1"/>
                          <w:sz w:val="22"/>
                          <w:lang w:val="pt-BR"/>
                        </w:rPr>
                      </w:pPr>
                      <w:r w:rsidRPr="00174CA8">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209</w:t>
                      </w:r>
                    </w:p>
                    <w:p w14:paraId="406E156D" w14:textId="6CBB6921" w:rsidR="000A5EAC" w:rsidRPr="009D70A3" w:rsidRDefault="000A5EAC" w:rsidP="009D70A3">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10</w:t>
                      </w:r>
                      <w:r w:rsidRPr="009D70A3">
                        <w:rPr>
                          <w:rFonts w:asciiTheme="minorHAnsi" w:hAnsiTheme="minorHAnsi"/>
                          <w:color w:val="FFFFFF" w:themeColor="background1"/>
                          <w:sz w:val="22"/>
                          <w:lang w:val="es-VE"/>
                        </w:rPr>
                        <w:t xml:space="preserve"> de </w:t>
                      </w:r>
                      <w:r>
                        <w:rPr>
                          <w:rFonts w:asciiTheme="minorHAnsi" w:hAnsiTheme="minorHAnsi"/>
                          <w:color w:val="FFFFFF" w:themeColor="background1"/>
                          <w:sz w:val="22"/>
                          <w:lang w:val="es-VE"/>
                        </w:rPr>
                        <w:t>julio 2020</w:t>
                      </w:r>
                    </w:p>
                    <w:p w14:paraId="5A38DF6C" w14:textId="77777777" w:rsidR="000A5EAC" w:rsidRPr="00E33B22" w:rsidRDefault="000A5EAC" w:rsidP="009D70A3">
                      <w:pPr>
                        <w:spacing w:line="276" w:lineRule="auto"/>
                        <w:jc w:val="right"/>
                        <w:rPr>
                          <w:rFonts w:asciiTheme="minorHAnsi" w:hAnsiTheme="minorHAnsi"/>
                          <w:color w:val="FFFFFF" w:themeColor="background1"/>
                          <w:sz w:val="22"/>
                          <w:lang w:val="es-VE"/>
                        </w:rPr>
                      </w:pPr>
                      <w:r w:rsidRPr="00E33B22">
                        <w:rPr>
                          <w:rFonts w:asciiTheme="minorHAnsi" w:hAnsiTheme="minorHAnsi"/>
                          <w:color w:val="FFFFFF" w:themeColor="background1"/>
                          <w:sz w:val="22"/>
                          <w:lang w:val="es-VE"/>
                        </w:rPr>
                        <w:t>Original: español</w:t>
                      </w:r>
                    </w:p>
                  </w:txbxContent>
                </v:textbox>
              </v:shape>
            </w:pict>
          </mc:Fallback>
        </mc:AlternateContent>
      </w:r>
    </w:p>
    <w:p w14:paraId="5D1C64EA" w14:textId="77777777" w:rsidR="00610A15" w:rsidRPr="007A0D4C" w:rsidRDefault="00610A15" w:rsidP="007A0D4C">
      <w:pPr>
        <w:tabs>
          <w:tab w:val="center" w:pos="5400"/>
        </w:tabs>
        <w:suppressAutoHyphens/>
        <w:jc w:val="both"/>
        <w:rPr>
          <w:rFonts w:ascii="Cambria" w:hAnsi="Cambria"/>
          <w:sz w:val="20"/>
          <w:szCs w:val="20"/>
          <w:lang w:val="es-ES_tradnl"/>
        </w:rPr>
      </w:pPr>
    </w:p>
    <w:p w14:paraId="25583BDB" w14:textId="77777777" w:rsidR="00610A15" w:rsidRPr="007A0D4C" w:rsidRDefault="00610A15" w:rsidP="007A0D4C">
      <w:pPr>
        <w:tabs>
          <w:tab w:val="center" w:pos="5400"/>
        </w:tabs>
        <w:suppressAutoHyphens/>
        <w:jc w:val="both"/>
        <w:rPr>
          <w:rFonts w:ascii="Cambria" w:hAnsi="Cambria"/>
          <w:sz w:val="20"/>
          <w:szCs w:val="20"/>
          <w:lang w:val="es-ES_tradnl"/>
        </w:rPr>
      </w:pPr>
    </w:p>
    <w:p w14:paraId="44FCF8AE" w14:textId="77777777" w:rsidR="00610A15" w:rsidRPr="007A0D4C" w:rsidRDefault="00610A15" w:rsidP="007A0D4C">
      <w:pPr>
        <w:tabs>
          <w:tab w:val="center" w:pos="5400"/>
        </w:tabs>
        <w:suppressAutoHyphens/>
        <w:jc w:val="both"/>
        <w:rPr>
          <w:rFonts w:ascii="Cambria" w:hAnsi="Cambria" w:cs="Arial"/>
          <w:sz w:val="20"/>
          <w:szCs w:val="20"/>
          <w:lang w:val="es-ES_tradnl"/>
        </w:rPr>
      </w:pPr>
    </w:p>
    <w:p w14:paraId="37DD06ED" w14:textId="77777777" w:rsidR="00610A15" w:rsidRPr="007A0D4C" w:rsidRDefault="00610A15" w:rsidP="007A0D4C">
      <w:pPr>
        <w:tabs>
          <w:tab w:val="center" w:pos="5400"/>
        </w:tabs>
        <w:suppressAutoHyphens/>
        <w:jc w:val="both"/>
        <w:rPr>
          <w:rFonts w:ascii="Cambria" w:hAnsi="Cambria"/>
          <w:sz w:val="20"/>
          <w:szCs w:val="20"/>
          <w:lang w:val="es-ES_tradnl"/>
        </w:rPr>
      </w:pPr>
    </w:p>
    <w:p w14:paraId="355F722A" w14:textId="77777777" w:rsidR="00610A15" w:rsidRPr="007A0D4C" w:rsidRDefault="00610A15" w:rsidP="007A0D4C">
      <w:pPr>
        <w:tabs>
          <w:tab w:val="center" w:pos="5400"/>
        </w:tabs>
        <w:suppressAutoHyphens/>
        <w:jc w:val="both"/>
        <w:rPr>
          <w:rFonts w:ascii="Cambria" w:hAnsi="Cambria"/>
          <w:sz w:val="20"/>
          <w:szCs w:val="20"/>
          <w:lang w:val="es-ES_tradnl"/>
        </w:rPr>
      </w:pPr>
    </w:p>
    <w:p w14:paraId="29AB7459" w14:textId="77777777" w:rsidR="00610A15" w:rsidRPr="007A0D4C" w:rsidRDefault="00610A15" w:rsidP="007A0D4C">
      <w:pPr>
        <w:tabs>
          <w:tab w:val="center" w:pos="5400"/>
        </w:tabs>
        <w:suppressAutoHyphens/>
        <w:jc w:val="both"/>
        <w:rPr>
          <w:rFonts w:ascii="Cambria" w:hAnsi="Cambria"/>
          <w:sz w:val="20"/>
          <w:szCs w:val="20"/>
          <w:lang w:val="es-ES_tradnl"/>
        </w:rPr>
      </w:pPr>
    </w:p>
    <w:p w14:paraId="319B51ED" w14:textId="77777777" w:rsidR="00610A15" w:rsidRPr="007A0D4C" w:rsidRDefault="00610A15" w:rsidP="007A0D4C">
      <w:pPr>
        <w:tabs>
          <w:tab w:val="center" w:pos="5400"/>
        </w:tabs>
        <w:suppressAutoHyphens/>
        <w:jc w:val="both"/>
        <w:rPr>
          <w:rFonts w:ascii="Cambria" w:hAnsi="Cambria"/>
          <w:sz w:val="20"/>
          <w:szCs w:val="20"/>
          <w:lang w:val="es-ES_tradnl"/>
        </w:rPr>
      </w:pPr>
    </w:p>
    <w:p w14:paraId="2EA2B18A" w14:textId="77777777" w:rsidR="00610A15" w:rsidRPr="007A0D4C" w:rsidRDefault="00610A15" w:rsidP="007A0D4C">
      <w:pPr>
        <w:tabs>
          <w:tab w:val="center" w:pos="5400"/>
        </w:tabs>
        <w:suppressAutoHyphens/>
        <w:jc w:val="both"/>
        <w:rPr>
          <w:rFonts w:ascii="Cambria" w:hAnsi="Cambria"/>
          <w:sz w:val="20"/>
          <w:szCs w:val="20"/>
          <w:lang w:val="es-ES_tradnl"/>
        </w:rPr>
      </w:pPr>
    </w:p>
    <w:p w14:paraId="3281B6B4" w14:textId="77777777" w:rsidR="00610A15" w:rsidRPr="007A0D4C" w:rsidRDefault="00610A15" w:rsidP="007A0D4C">
      <w:pPr>
        <w:tabs>
          <w:tab w:val="center" w:pos="5400"/>
        </w:tabs>
        <w:suppressAutoHyphens/>
        <w:jc w:val="both"/>
        <w:rPr>
          <w:rFonts w:ascii="Cambria" w:hAnsi="Cambria"/>
          <w:sz w:val="20"/>
          <w:szCs w:val="20"/>
          <w:lang w:val="es-ES_tradnl"/>
        </w:rPr>
      </w:pPr>
    </w:p>
    <w:p w14:paraId="354ADA61" w14:textId="77777777" w:rsidR="00610A15" w:rsidRPr="007A0D4C" w:rsidRDefault="00610A15" w:rsidP="007A0D4C">
      <w:pPr>
        <w:tabs>
          <w:tab w:val="center" w:pos="5400"/>
        </w:tabs>
        <w:suppressAutoHyphens/>
        <w:jc w:val="both"/>
        <w:rPr>
          <w:rFonts w:ascii="Cambria" w:hAnsi="Cambria"/>
          <w:sz w:val="20"/>
          <w:szCs w:val="20"/>
          <w:lang w:val="es-ES_tradnl"/>
        </w:rPr>
      </w:pPr>
    </w:p>
    <w:p w14:paraId="13A87D8E" w14:textId="77777777" w:rsidR="00610A15" w:rsidRPr="007A0D4C" w:rsidRDefault="00610A15" w:rsidP="007A0D4C">
      <w:pPr>
        <w:tabs>
          <w:tab w:val="center" w:pos="5400"/>
        </w:tabs>
        <w:suppressAutoHyphens/>
        <w:jc w:val="both"/>
        <w:rPr>
          <w:rFonts w:ascii="Cambria" w:hAnsi="Cambria"/>
          <w:sz w:val="20"/>
          <w:szCs w:val="20"/>
          <w:lang w:val="es-ES_tradnl"/>
        </w:rPr>
      </w:pPr>
    </w:p>
    <w:p w14:paraId="41E55A8C" w14:textId="77777777" w:rsidR="00610A15" w:rsidRPr="007A0D4C" w:rsidRDefault="00610A15" w:rsidP="007A0D4C">
      <w:pPr>
        <w:tabs>
          <w:tab w:val="center" w:pos="5400"/>
        </w:tabs>
        <w:suppressAutoHyphens/>
        <w:jc w:val="both"/>
        <w:rPr>
          <w:rFonts w:ascii="Cambria" w:hAnsi="Cambria"/>
          <w:sz w:val="20"/>
          <w:szCs w:val="20"/>
          <w:lang w:val="es-ES_tradnl"/>
        </w:rPr>
      </w:pPr>
    </w:p>
    <w:p w14:paraId="16CF7BE9" w14:textId="77777777" w:rsidR="00610A15" w:rsidRPr="007A0D4C" w:rsidRDefault="00610A15" w:rsidP="007A0D4C">
      <w:pPr>
        <w:tabs>
          <w:tab w:val="center" w:pos="5400"/>
        </w:tabs>
        <w:suppressAutoHyphens/>
        <w:jc w:val="both"/>
        <w:rPr>
          <w:rFonts w:ascii="Cambria" w:hAnsi="Cambria"/>
          <w:sz w:val="20"/>
          <w:szCs w:val="20"/>
          <w:lang w:val="es-ES_tradnl"/>
        </w:rPr>
      </w:pPr>
    </w:p>
    <w:p w14:paraId="30D16553" w14:textId="77777777" w:rsidR="00610A15" w:rsidRPr="007A0D4C" w:rsidRDefault="00610A15" w:rsidP="007A0D4C">
      <w:pPr>
        <w:tabs>
          <w:tab w:val="center" w:pos="5400"/>
        </w:tabs>
        <w:suppressAutoHyphens/>
        <w:jc w:val="both"/>
        <w:rPr>
          <w:rFonts w:ascii="Cambria" w:hAnsi="Cambria"/>
          <w:sz w:val="20"/>
          <w:szCs w:val="20"/>
          <w:lang w:val="es-ES_tradnl"/>
        </w:rPr>
      </w:pPr>
    </w:p>
    <w:p w14:paraId="6C28E629" w14:textId="77777777" w:rsidR="00610A15" w:rsidRPr="007A0D4C" w:rsidRDefault="00610A15" w:rsidP="007A0D4C">
      <w:pPr>
        <w:tabs>
          <w:tab w:val="center" w:pos="5400"/>
        </w:tabs>
        <w:suppressAutoHyphens/>
        <w:jc w:val="both"/>
        <w:rPr>
          <w:rFonts w:ascii="Cambria" w:hAnsi="Cambria"/>
          <w:sz w:val="20"/>
          <w:szCs w:val="20"/>
          <w:lang w:val="es-ES_tradnl"/>
        </w:rPr>
      </w:pPr>
    </w:p>
    <w:p w14:paraId="781297E5" w14:textId="77777777" w:rsidR="00610A15" w:rsidRPr="007A0D4C" w:rsidRDefault="00610A15" w:rsidP="007A0D4C">
      <w:pPr>
        <w:tabs>
          <w:tab w:val="center" w:pos="5400"/>
        </w:tabs>
        <w:suppressAutoHyphens/>
        <w:jc w:val="both"/>
        <w:rPr>
          <w:rFonts w:ascii="Cambria" w:hAnsi="Cambria"/>
          <w:sz w:val="20"/>
          <w:szCs w:val="20"/>
          <w:lang w:val="es-ES_tradnl"/>
        </w:rPr>
      </w:pPr>
    </w:p>
    <w:p w14:paraId="7C5A26B2" w14:textId="77777777" w:rsidR="00610A15" w:rsidRPr="007A0D4C" w:rsidRDefault="00610A15" w:rsidP="007A0D4C">
      <w:pPr>
        <w:tabs>
          <w:tab w:val="center" w:pos="5400"/>
        </w:tabs>
        <w:suppressAutoHyphens/>
        <w:jc w:val="both"/>
        <w:rPr>
          <w:rFonts w:ascii="Cambria" w:hAnsi="Cambria"/>
          <w:sz w:val="20"/>
          <w:szCs w:val="20"/>
          <w:lang w:val="es-ES_tradnl"/>
        </w:rPr>
      </w:pPr>
    </w:p>
    <w:p w14:paraId="298B7A45" w14:textId="77777777" w:rsidR="00610A15" w:rsidRPr="007A0D4C" w:rsidRDefault="00610A15" w:rsidP="007A0D4C">
      <w:pPr>
        <w:tabs>
          <w:tab w:val="center" w:pos="5400"/>
        </w:tabs>
        <w:suppressAutoHyphens/>
        <w:jc w:val="both"/>
        <w:rPr>
          <w:rFonts w:ascii="Cambria" w:hAnsi="Cambria"/>
          <w:sz w:val="20"/>
          <w:szCs w:val="20"/>
          <w:lang w:val="es-ES_tradnl"/>
        </w:rPr>
      </w:pPr>
    </w:p>
    <w:p w14:paraId="66DE696E" w14:textId="77777777" w:rsidR="00610A15" w:rsidRPr="007A0D4C" w:rsidRDefault="00610A15" w:rsidP="007A0D4C">
      <w:pPr>
        <w:tabs>
          <w:tab w:val="center" w:pos="5400"/>
        </w:tabs>
        <w:suppressAutoHyphens/>
        <w:jc w:val="both"/>
        <w:rPr>
          <w:rFonts w:ascii="Cambria" w:hAnsi="Cambria"/>
          <w:sz w:val="20"/>
          <w:szCs w:val="20"/>
          <w:lang w:val="es-ES_tradnl"/>
        </w:rPr>
      </w:pPr>
    </w:p>
    <w:p w14:paraId="7D7F7BEC" w14:textId="77777777" w:rsidR="00610A15" w:rsidRPr="007A0D4C" w:rsidRDefault="00610A15" w:rsidP="007A0D4C">
      <w:pPr>
        <w:tabs>
          <w:tab w:val="center" w:pos="5400"/>
        </w:tabs>
        <w:suppressAutoHyphens/>
        <w:jc w:val="both"/>
        <w:rPr>
          <w:rFonts w:ascii="Cambria" w:hAnsi="Cambria"/>
          <w:sz w:val="20"/>
          <w:szCs w:val="20"/>
          <w:lang w:val="es-ES_tradnl"/>
        </w:rPr>
      </w:pPr>
    </w:p>
    <w:p w14:paraId="1EC1FA35" w14:textId="77777777" w:rsidR="00610A15" w:rsidRPr="007A0D4C" w:rsidRDefault="00610A15" w:rsidP="007A0D4C">
      <w:pPr>
        <w:tabs>
          <w:tab w:val="center" w:pos="5400"/>
        </w:tabs>
        <w:suppressAutoHyphens/>
        <w:jc w:val="both"/>
        <w:rPr>
          <w:rFonts w:ascii="Cambria" w:hAnsi="Cambria"/>
          <w:sz w:val="20"/>
          <w:szCs w:val="20"/>
          <w:lang w:val="es-CO"/>
        </w:rPr>
      </w:pPr>
    </w:p>
    <w:p w14:paraId="12A88545" w14:textId="77777777" w:rsidR="00610A15" w:rsidRPr="007A0D4C" w:rsidRDefault="00610A15" w:rsidP="007A0D4C">
      <w:pPr>
        <w:tabs>
          <w:tab w:val="center" w:pos="5400"/>
        </w:tabs>
        <w:suppressAutoHyphens/>
        <w:jc w:val="both"/>
        <w:rPr>
          <w:rFonts w:ascii="Cambria" w:hAnsi="Cambria"/>
          <w:sz w:val="20"/>
          <w:szCs w:val="20"/>
          <w:lang w:val="es-ES_tradnl"/>
        </w:rPr>
      </w:pPr>
    </w:p>
    <w:p w14:paraId="660D5C84" w14:textId="77777777" w:rsidR="00610A15" w:rsidRPr="007A0D4C" w:rsidRDefault="00610A15" w:rsidP="007A0D4C">
      <w:pPr>
        <w:tabs>
          <w:tab w:val="center" w:pos="5400"/>
        </w:tabs>
        <w:suppressAutoHyphens/>
        <w:jc w:val="both"/>
        <w:rPr>
          <w:rFonts w:ascii="Cambria" w:hAnsi="Cambria"/>
          <w:sz w:val="20"/>
          <w:szCs w:val="20"/>
          <w:lang w:val="es-ES_tradnl"/>
        </w:rPr>
      </w:pPr>
    </w:p>
    <w:p w14:paraId="29A3137D" w14:textId="77777777" w:rsidR="00610A15" w:rsidRPr="007A0D4C" w:rsidRDefault="00610A15" w:rsidP="007A0D4C">
      <w:pPr>
        <w:tabs>
          <w:tab w:val="center" w:pos="5400"/>
        </w:tabs>
        <w:suppressAutoHyphens/>
        <w:jc w:val="both"/>
        <w:rPr>
          <w:rFonts w:ascii="Cambria" w:hAnsi="Cambria"/>
          <w:sz w:val="20"/>
          <w:szCs w:val="20"/>
          <w:lang w:val="es-ES_tradnl"/>
        </w:rPr>
      </w:pPr>
    </w:p>
    <w:p w14:paraId="702F6C96" w14:textId="77777777" w:rsidR="00610A15" w:rsidRPr="007A0D4C" w:rsidRDefault="00610A15" w:rsidP="007A0D4C">
      <w:pPr>
        <w:tabs>
          <w:tab w:val="center" w:pos="5400"/>
        </w:tabs>
        <w:suppressAutoHyphens/>
        <w:jc w:val="both"/>
        <w:rPr>
          <w:rFonts w:ascii="Cambria" w:hAnsi="Cambria"/>
          <w:sz w:val="20"/>
          <w:szCs w:val="20"/>
          <w:lang w:val="es-ES_tradnl"/>
        </w:rPr>
      </w:pPr>
    </w:p>
    <w:p w14:paraId="6665AFF3" w14:textId="77777777" w:rsidR="00610A15" w:rsidRPr="007A0D4C" w:rsidRDefault="00610A15" w:rsidP="007A0D4C">
      <w:pPr>
        <w:tabs>
          <w:tab w:val="center" w:pos="5400"/>
        </w:tabs>
        <w:suppressAutoHyphens/>
        <w:jc w:val="both"/>
        <w:rPr>
          <w:rFonts w:ascii="Cambria" w:hAnsi="Cambria"/>
          <w:sz w:val="20"/>
          <w:szCs w:val="20"/>
          <w:lang w:val="es-ES_tradnl"/>
        </w:rPr>
      </w:pPr>
    </w:p>
    <w:p w14:paraId="661BE80C" w14:textId="77777777" w:rsidR="00610A15" w:rsidRPr="007A0D4C" w:rsidRDefault="00610A15" w:rsidP="007A0D4C">
      <w:pPr>
        <w:tabs>
          <w:tab w:val="center" w:pos="5400"/>
        </w:tabs>
        <w:suppressAutoHyphens/>
        <w:jc w:val="both"/>
        <w:rPr>
          <w:rFonts w:ascii="Cambria" w:hAnsi="Cambria"/>
          <w:sz w:val="20"/>
          <w:szCs w:val="20"/>
          <w:lang w:val="es-ES_tradnl"/>
        </w:rPr>
      </w:pPr>
    </w:p>
    <w:p w14:paraId="57A20E57" w14:textId="77777777" w:rsidR="00610A15" w:rsidRPr="007A0D4C" w:rsidRDefault="00610A15" w:rsidP="007A0D4C">
      <w:pPr>
        <w:tabs>
          <w:tab w:val="center" w:pos="5400"/>
        </w:tabs>
        <w:suppressAutoHyphens/>
        <w:jc w:val="both"/>
        <w:rPr>
          <w:rFonts w:ascii="Cambria" w:hAnsi="Cambria"/>
          <w:sz w:val="20"/>
          <w:szCs w:val="20"/>
          <w:lang w:val="es-ES_tradnl"/>
        </w:rPr>
      </w:pPr>
    </w:p>
    <w:p w14:paraId="7F0D14B7" w14:textId="77777777" w:rsidR="00610A15" w:rsidRPr="007A0D4C" w:rsidRDefault="00610A15" w:rsidP="007A0D4C">
      <w:pPr>
        <w:tabs>
          <w:tab w:val="center" w:pos="5400"/>
        </w:tabs>
        <w:suppressAutoHyphens/>
        <w:jc w:val="both"/>
        <w:rPr>
          <w:rFonts w:ascii="Cambria" w:hAnsi="Cambria"/>
          <w:sz w:val="20"/>
          <w:szCs w:val="20"/>
          <w:lang w:val="es-ES_tradnl"/>
        </w:rPr>
      </w:pPr>
      <w:r w:rsidRPr="007A0D4C">
        <w:rPr>
          <w:rFonts w:ascii="Cambria" w:hAnsi="Cambria"/>
          <w:noProof/>
          <w:sz w:val="20"/>
          <w:szCs w:val="20"/>
        </w:rPr>
        <mc:AlternateContent>
          <mc:Choice Requires="wps">
            <w:drawing>
              <wp:anchor distT="0" distB="0" distL="114300" distR="114300" simplePos="0" relativeHeight="251658242" behindDoc="0" locked="0" layoutInCell="1" allowOverlap="1" wp14:anchorId="69F10D9F" wp14:editId="5FA476D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59EF1" w14:textId="7945CA52" w:rsidR="000A5EAC" w:rsidRPr="00445986" w:rsidRDefault="000A5EAC" w:rsidP="00610A15">
                            <w:pPr>
                              <w:tabs>
                                <w:tab w:val="center" w:pos="5400"/>
                              </w:tabs>
                              <w:suppressAutoHyphens/>
                              <w:spacing w:before="60"/>
                              <w:rPr>
                                <w:rFonts w:ascii="Cambria" w:hAnsi="Cambria" w:cs="Univers"/>
                                <w:color w:val="0D0D0D" w:themeColor="text1" w:themeTint="F2"/>
                                <w:sz w:val="18"/>
                                <w:szCs w:val="20"/>
                                <w:lang w:val="es-ES_tradnl"/>
                              </w:rPr>
                            </w:pPr>
                            <w:r w:rsidRPr="00445986">
                              <w:rPr>
                                <w:rFonts w:ascii="Cambria" w:hAnsi="Cambria"/>
                                <w:color w:val="0D0D0D" w:themeColor="text1" w:themeTint="F2"/>
                                <w:sz w:val="18"/>
                                <w:szCs w:val="20"/>
                                <w:lang w:val="es-ES"/>
                              </w:rPr>
                              <w:t>Aprobado por</w:t>
                            </w:r>
                            <w:r>
                              <w:rPr>
                                <w:rFonts w:ascii="Cambria" w:hAnsi="Cambria"/>
                                <w:color w:val="0D0D0D" w:themeColor="text1" w:themeTint="F2"/>
                                <w:sz w:val="18"/>
                                <w:szCs w:val="20"/>
                                <w:lang w:val="es-ES"/>
                              </w:rPr>
                              <w:t xml:space="preserve"> la Comisión en su sesión No. 2178 </w:t>
                            </w:r>
                            <w:r w:rsidRPr="00445986">
                              <w:rPr>
                                <w:rFonts w:ascii="Cambria" w:hAnsi="Cambria"/>
                                <w:color w:val="0D0D0D" w:themeColor="text1" w:themeTint="F2"/>
                                <w:sz w:val="18"/>
                                <w:szCs w:val="20"/>
                                <w:lang w:val="es-ES"/>
                              </w:rPr>
                              <w:t xml:space="preserve">celebrada el </w:t>
                            </w:r>
                            <w:r>
                              <w:rPr>
                                <w:rFonts w:ascii="Cambria" w:hAnsi="Cambria"/>
                                <w:color w:val="0D0D0D" w:themeColor="text1" w:themeTint="F2"/>
                                <w:sz w:val="18"/>
                                <w:szCs w:val="20"/>
                                <w:lang w:val="es-ES"/>
                              </w:rPr>
                              <w:t>10 de julio de 2020</w:t>
                            </w:r>
                            <w:r w:rsidRPr="00445986">
                              <w:rPr>
                                <w:rFonts w:ascii="Cambria" w:hAnsi="Cambria"/>
                                <w:color w:val="0D0D0D" w:themeColor="text1" w:themeTint="F2"/>
                                <w:sz w:val="18"/>
                                <w:szCs w:val="20"/>
                                <w:lang w:val="es-ES"/>
                              </w:rPr>
                              <w:br/>
                            </w:r>
                            <w:r>
                              <w:rPr>
                                <w:rFonts w:ascii="Cambria" w:hAnsi="Cambria" w:cs="Univers"/>
                                <w:color w:val="0D0D0D" w:themeColor="text1" w:themeTint="F2"/>
                                <w:sz w:val="18"/>
                                <w:szCs w:val="20"/>
                                <w:lang w:val="es-ES_tradnl"/>
                              </w:rPr>
                              <w:t xml:space="preserve">176 Período </w:t>
                            </w:r>
                            <w:r w:rsidRPr="0001204F">
                              <w:rPr>
                                <w:rFonts w:ascii="Cambria" w:hAnsi="Cambria" w:cs="Univers"/>
                                <w:color w:val="0D0D0D" w:themeColor="text1" w:themeTint="F2"/>
                                <w:sz w:val="18"/>
                                <w:szCs w:val="20"/>
                                <w:lang w:val="es-ES_tradnl"/>
                              </w:rPr>
                              <w:t>de Sesiones.</w:t>
                            </w:r>
                          </w:p>
                          <w:p w14:paraId="1C0F7658" w14:textId="77777777" w:rsidR="000A5EAC" w:rsidRPr="00167A34" w:rsidRDefault="000A5EAC" w:rsidP="00610A15">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10D9F"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8E59EF1" w14:textId="7945CA52" w:rsidR="000A5EAC" w:rsidRPr="00445986" w:rsidRDefault="000A5EAC" w:rsidP="00610A15">
                      <w:pPr>
                        <w:tabs>
                          <w:tab w:val="center" w:pos="5400"/>
                        </w:tabs>
                        <w:suppressAutoHyphens/>
                        <w:spacing w:before="60"/>
                        <w:rPr>
                          <w:rFonts w:ascii="Cambria" w:hAnsi="Cambria" w:cs="Univers"/>
                          <w:color w:val="0D0D0D" w:themeColor="text1" w:themeTint="F2"/>
                          <w:sz w:val="18"/>
                          <w:szCs w:val="20"/>
                          <w:lang w:val="es-ES_tradnl"/>
                        </w:rPr>
                      </w:pPr>
                      <w:r w:rsidRPr="00445986">
                        <w:rPr>
                          <w:rFonts w:ascii="Cambria" w:hAnsi="Cambria"/>
                          <w:color w:val="0D0D0D" w:themeColor="text1" w:themeTint="F2"/>
                          <w:sz w:val="18"/>
                          <w:szCs w:val="20"/>
                          <w:lang w:val="es-ES"/>
                        </w:rPr>
                        <w:t>Aprobado por</w:t>
                      </w:r>
                      <w:r>
                        <w:rPr>
                          <w:rFonts w:ascii="Cambria" w:hAnsi="Cambria"/>
                          <w:color w:val="0D0D0D" w:themeColor="text1" w:themeTint="F2"/>
                          <w:sz w:val="18"/>
                          <w:szCs w:val="20"/>
                          <w:lang w:val="es-ES"/>
                        </w:rPr>
                        <w:t xml:space="preserve"> la Comisión en su sesión No. 2178 </w:t>
                      </w:r>
                      <w:r w:rsidRPr="00445986">
                        <w:rPr>
                          <w:rFonts w:ascii="Cambria" w:hAnsi="Cambria"/>
                          <w:color w:val="0D0D0D" w:themeColor="text1" w:themeTint="F2"/>
                          <w:sz w:val="18"/>
                          <w:szCs w:val="20"/>
                          <w:lang w:val="es-ES"/>
                        </w:rPr>
                        <w:t xml:space="preserve">celebrada el </w:t>
                      </w:r>
                      <w:r>
                        <w:rPr>
                          <w:rFonts w:ascii="Cambria" w:hAnsi="Cambria"/>
                          <w:color w:val="0D0D0D" w:themeColor="text1" w:themeTint="F2"/>
                          <w:sz w:val="18"/>
                          <w:szCs w:val="20"/>
                          <w:lang w:val="es-ES"/>
                        </w:rPr>
                        <w:t>10 de julio de 2020</w:t>
                      </w:r>
                      <w:r w:rsidRPr="00445986">
                        <w:rPr>
                          <w:rFonts w:ascii="Cambria" w:hAnsi="Cambria"/>
                          <w:color w:val="0D0D0D" w:themeColor="text1" w:themeTint="F2"/>
                          <w:sz w:val="18"/>
                          <w:szCs w:val="20"/>
                          <w:lang w:val="es-ES"/>
                        </w:rPr>
                        <w:br/>
                      </w:r>
                      <w:r>
                        <w:rPr>
                          <w:rFonts w:ascii="Cambria" w:hAnsi="Cambria" w:cs="Univers"/>
                          <w:color w:val="0D0D0D" w:themeColor="text1" w:themeTint="F2"/>
                          <w:sz w:val="18"/>
                          <w:szCs w:val="20"/>
                          <w:lang w:val="es-ES_tradnl"/>
                        </w:rPr>
                        <w:t xml:space="preserve">176 Período </w:t>
                      </w:r>
                      <w:r w:rsidRPr="0001204F">
                        <w:rPr>
                          <w:rFonts w:ascii="Cambria" w:hAnsi="Cambria" w:cs="Univers"/>
                          <w:color w:val="0D0D0D" w:themeColor="text1" w:themeTint="F2"/>
                          <w:sz w:val="18"/>
                          <w:szCs w:val="20"/>
                          <w:lang w:val="es-ES_tradnl"/>
                        </w:rPr>
                        <w:t>de Sesiones.</w:t>
                      </w:r>
                    </w:p>
                    <w:p w14:paraId="1C0F7658" w14:textId="77777777" w:rsidR="000A5EAC" w:rsidRPr="00167A34" w:rsidRDefault="000A5EAC" w:rsidP="00610A15">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3E0AD03" w14:textId="77777777" w:rsidR="00610A15" w:rsidRPr="007A0D4C" w:rsidRDefault="00610A15" w:rsidP="007A0D4C">
      <w:pPr>
        <w:tabs>
          <w:tab w:val="center" w:pos="5400"/>
        </w:tabs>
        <w:suppressAutoHyphens/>
        <w:jc w:val="both"/>
        <w:rPr>
          <w:rFonts w:ascii="Cambria" w:hAnsi="Cambria"/>
          <w:sz w:val="20"/>
          <w:szCs w:val="20"/>
          <w:lang w:val="es-ES_tradnl"/>
        </w:rPr>
      </w:pPr>
    </w:p>
    <w:p w14:paraId="4D5A21BB" w14:textId="77777777" w:rsidR="00610A15" w:rsidRPr="007A0D4C" w:rsidRDefault="00610A15" w:rsidP="007A0D4C">
      <w:pPr>
        <w:tabs>
          <w:tab w:val="center" w:pos="5400"/>
        </w:tabs>
        <w:suppressAutoHyphens/>
        <w:jc w:val="both"/>
        <w:rPr>
          <w:rFonts w:ascii="Cambria" w:hAnsi="Cambria"/>
          <w:sz w:val="20"/>
          <w:szCs w:val="20"/>
          <w:lang w:val="es-ES_tradnl"/>
        </w:rPr>
      </w:pPr>
    </w:p>
    <w:p w14:paraId="15CCF461" w14:textId="77777777" w:rsidR="00610A15" w:rsidRPr="007A0D4C" w:rsidRDefault="00610A15" w:rsidP="007A0D4C">
      <w:pPr>
        <w:tabs>
          <w:tab w:val="center" w:pos="5400"/>
        </w:tabs>
        <w:suppressAutoHyphens/>
        <w:jc w:val="both"/>
        <w:rPr>
          <w:rFonts w:ascii="Cambria" w:hAnsi="Cambria"/>
          <w:sz w:val="20"/>
          <w:szCs w:val="20"/>
          <w:lang w:val="es-ES_tradnl"/>
        </w:rPr>
      </w:pPr>
    </w:p>
    <w:p w14:paraId="72C7E0DC" w14:textId="77777777" w:rsidR="00610A15" w:rsidRPr="007A0D4C" w:rsidRDefault="00610A15" w:rsidP="007A0D4C">
      <w:pPr>
        <w:tabs>
          <w:tab w:val="center" w:pos="5400"/>
        </w:tabs>
        <w:suppressAutoHyphens/>
        <w:jc w:val="both"/>
        <w:rPr>
          <w:rFonts w:ascii="Cambria" w:hAnsi="Cambria"/>
          <w:sz w:val="20"/>
          <w:szCs w:val="20"/>
          <w:lang w:val="es-ES_tradnl"/>
        </w:rPr>
      </w:pPr>
    </w:p>
    <w:p w14:paraId="790A5DE4" w14:textId="77777777" w:rsidR="00610A15" w:rsidRPr="007A0D4C" w:rsidRDefault="00610A15" w:rsidP="007A0D4C">
      <w:pPr>
        <w:tabs>
          <w:tab w:val="center" w:pos="5400"/>
        </w:tabs>
        <w:suppressAutoHyphens/>
        <w:jc w:val="both"/>
        <w:rPr>
          <w:rFonts w:ascii="Cambria" w:hAnsi="Cambria"/>
          <w:sz w:val="20"/>
          <w:szCs w:val="20"/>
          <w:lang w:val="es-ES_tradnl"/>
        </w:rPr>
      </w:pPr>
      <w:r w:rsidRPr="007A0D4C">
        <w:rPr>
          <w:rFonts w:ascii="Cambria" w:hAnsi="Cambria"/>
          <w:noProof/>
          <w:sz w:val="20"/>
          <w:szCs w:val="20"/>
        </w:rPr>
        <mc:AlternateContent>
          <mc:Choice Requires="wps">
            <w:drawing>
              <wp:anchor distT="0" distB="0" distL="114300" distR="114300" simplePos="0" relativeHeight="251658245" behindDoc="0" locked="0" layoutInCell="1" allowOverlap="1" wp14:anchorId="4370B78E" wp14:editId="563E901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27509" w14:textId="190DBB29" w:rsidR="000A5EAC" w:rsidRPr="009D70A3" w:rsidRDefault="000A5EAC" w:rsidP="002B6246">
                            <w:pPr>
                              <w:spacing w:line="276" w:lineRule="auto"/>
                              <w:rPr>
                                <w:rFonts w:ascii="Cambria" w:hAnsi="Cambria"/>
                                <w:color w:val="595959" w:themeColor="text1" w:themeTint="A6"/>
                                <w:sz w:val="18"/>
                                <w:szCs w:val="18"/>
                                <w:lang w:val="es-VE"/>
                              </w:rPr>
                            </w:pPr>
                            <w:r w:rsidRPr="00445986">
                              <w:rPr>
                                <w:rFonts w:ascii="Cambria" w:hAnsi="Cambria"/>
                                <w:b/>
                                <w:color w:val="595959" w:themeColor="text1" w:themeTint="A6"/>
                                <w:sz w:val="18"/>
                                <w:szCs w:val="18"/>
                                <w:lang w:val="pt-BR"/>
                              </w:rPr>
                              <w:t>Citar como:</w:t>
                            </w:r>
                            <w:r w:rsidRPr="00445986">
                              <w:rPr>
                                <w:rFonts w:ascii="Cambria" w:hAnsi="Cambria"/>
                                <w:color w:val="595959" w:themeColor="text1" w:themeTint="A6"/>
                                <w:sz w:val="18"/>
                                <w:szCs w:val="18"/>
                                <w:lang w:val="pt-BR"/>
                              </w:rPr>
                              <w:t xml:space="preserve"> CIDH, Informe No. </w:t>
                            </w:r>
                            <w:r>
                              <w:rPr>
                                <w:rFonts w:ascii="Cambria" w:hAnsi="Cambria"/>
                                <w:color w:val="595959" w:themeColor="text1" w:themeTint="A6"/>
                                <w:sz w:val="18"/>
                                <w:szCs w:val="18"/>
                                <w:lang w:val="pt-BR"/>
                              </w:rPr>
                              <w:t>196/20, Caso 13.030</w:t>
                            </w:r>
                            <w:r w:rsidRPr="00CD5726">
                              <w:rPr>
                                <w:rFonts w:ascii="Cambria" w:hAnsi="Cambria"/>
                                <w:color w:val="595959" w:themeColor="text1" w:themeTint="A6"/>
                                <w:sz w:val="18"/>
                                <w:szCs w:val="18"/>
                                <w:lang w:val="pt-BR"/>
                              </w:rPr>
                              <w:t xml:space="preserve">. </w:t>
                            </w:r>
                            <w:r w:rsidRPr="00445986">
                              <w:rPr>
                                <w:rFonts w:ascii="Cambria" w:hAnsi="Cambria"/>
                                <w:color w:val="595959" w:themeColor="text1" w:themeTint="A6"/>
                                <w:sz w:val="18"/>
                                <w:szCs w:val="18"/>
                                <w:lang w:val="es-ES_tradnl"/>
                              </w:rPr>
                              <w:t>Fondo.</w:t>
                            </w:r>
                            <w:r>
                              <w:rPr>
                                <w:rFonts w:ascii="Cambria" w:hAnsi="Cambria"/>
                                <w:color w:val="595959" w:themeColor="text1" w:themeTint="A6"/>
                                <w:sz w:val="18"/>
                                <w:szCs w:val="18"/>
                                <w:lang w:val="es-ES_tradnl"/>
                              </w:rPr>
                              <w:t xml:space="preserve"> Santiago Leguizamón Zaván y familia. Paraguay</w:t>
                            </w:r>
                            <w:r w:rsidRPr="00445986">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VE"/>
                              </w:rPr>
                              <w:t>10 de julio de 2020</w:t>
                            </w:r>
                            <w:r w:rsidRPr="009D70A3">
                              <w:rPr>
                                <w:rFonts w:ascii="Cambria" w:hAnsi="Cambria"/>
                                <w:color w:val="595959" w:themeColor="text1" w:themeTint="A6"/>
                                <w:sz w:val="18"/>
                                <w:szCs w:val="18"/>
                                <w:lang w:val="es-VE"/>
                              </w:rPr>
                              <w:t>.</w:t>
                            </w:r>
                          </w:p>
                          <w:p w14:paraId="490B71FB" w14:textId="05EA85D5" w:rsidR="000A5EAC" w:rsidRPr="009D70A3" w:rsidRDefault="000A5EAC" w:rsidP="00610A15">
                            <w:pPr>
                              <w:spacing w:line="276" w:lineRule="auto"/>
                              <w:rPr>
                                <w:rFonts w:ascii="Cambria" w:hAnsi="Cambria"/>
                                <w:color w:val="595959" w:themeColor="text1" w:themeTint="A6"/>
                                <w:sz w:val="18"/>
                                <w:szCs w:val="18"/>
                                <w:lang w:val="es-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0B78E"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1827509" w14:textId="190DBB29" w:rsidR="000A5EAC" w:rsidRPr="009D70A3" w:rsidRDefault="000A5EAC" w:rsidP="002B6246">
                      <w:pPr>
                        <w:spacing w:line="276" w:lineRule="auto"/>
                        <w:rPr>
                          <w:rFonts w:ascii="Cambria" w:hAnsi="Cambria"/>
                          <w:color w:val="595959" w:themeColor="text1" w:themeTint="A6"/>
                          <w:sz w:val="18"/>
                          <w:szCs w:val="18"/>
                          <w:lang w:val="es-VE"/>
                        </w:rPr>
                      </w:pPr>
                      <w:r w:rsidRPr="00445986">
                        <w:rPr>
                          <w:rFonts w:ascii="Cambria" w:hAnsi="Cambria"/>
                          <w:b/>
                          <w:color w:val="595959" w:themeColor="text1" w:themeTint="A6"/>
                          <w:sz w:val="18"/>
                          <w:szCs w:val="18"/>
                          <w:lang w:val="pt-BR"/>
                        </w:rPr>
                        <w:t>Citar como:</w:t>
                      </w:r>
                      <w:r w:rsidRPr="00445986">
                        <w:rPr>
                          <w:rFonts w:ascii="Cambria" w:hAnsi="Cambria"/>
                          <w:color w:val="595959" w:themeColor="text1" w:themeTint="A6"/>
                          <w:sz w:val="18"/>
                          <w:szCs w:val="18"/>
                          <w:lang w:val="pt-BR"/>
                        </w:rPr>
                        <w:t xml:space="preserve"> CIDH, Informe No. </w:t>
                      </w:r>
                      <w:r>
                        <w:rPr>
                          <w:rFonts w:ascii="Cambria" w:hAnsi="Cambria"/>
                          <w:color w:val="595959" w:themeColor="text1" w:themeTint="A6"/>
                          <w:sz w:val="18"/>
                          <w:szCs w:val="18"/>
                          <w:lang w:val="pt-BR"/>
                        </w:rPr>
                        <w:t>196/20, Caso 13.030</w:t>
                      </w:r>
                      <w:r w:rsidRPr="00CD5726">
                        <w:rPr>
                          <w:rFonts w:ascii="Cambria" w:hAnsi="Cambria"/>
                          <w:color w:val="595959" w:themeColor="text1" w:themeTint="A6"/>
                          <w:sz w:val="18"/>
                          <w:szCs w:val="18"/>
                          <w:lang w:val="pt-BR"/>
                        </w:rPr>
                        <w:t xml:space="preserve">. </w:t>
                      </w:r>
                      <w:r w:rsidRPr="00445986">
                        <w:rPr>
                          <w:rFonts w:ascii="Cambria" w:hAnsi="Cambria"/>
                          <w:color w:val="595959" w:themeColor="text1" w:themeTint="A6"/>
                          <w:sz w:val="18"/>
                          <w:szCs w:val="18"/>
                          <w:lang w:val="es-ES_tradnl"/>
                        </w:rPr>
                        <w:t>Fondo.</w:t>
                      </w:r>
                      <w:r>
                        <w:rPr>
                          <w:rFonts w:ascii="Cambria" w:hAnsi="Cambria"/>
                          <w:color w:val="595959" w:themeColor="text1" w:themeTint="A6"/>
                          <w:sz w:val="18"/>
                          <w:szCs w:val="18"/>
                          <w:lang w:val="es-ES_tradnl"/>
                        </w:rPr>
                        <w:t xml:space="preserve"> Santiago Leguizamón Zaván y familia. Paraguay</w:t>
                      </w:r>
                      <w:r w:rsidRPr="00445986">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VE"/>
                        </w:rPr>
                        <w:t>10 de julio de 2020</w:t>
                      </w:r>
                      <w:r w:rsidRPr="009D70A3">
                        <w:rPr>
                          <w:rFonts w:ascii="Cambria" w:hAnsi="Cambria"/>
                          <w:color w:val="595959" w:themeColor="text1" w:themeTint="A6"/>
                          <w:sz w:val="18"/>
                          <w:szCs w:val="18"/>
                          <w:lang w:val="es-VE"/>
                        </w:rPr>
                        <w:t>.</w:t>
                      </w:r>
                    </w:p>
                    <w:p w14:paraId="490B71FB" w14:textId="05EA85D5" w:rsidR="000A5EAC" w:rsidRPr="009D70A3" w:rsidRDefault="000A5EAC" w:rsidP="00610A15">
                      <w:pPr>
                        <w:spacing w:line="276" w:lineRule="auto"/>
                        <w:rPr>
                          <w:rFonts w:ascii="Cambria" w:hAnsi="Cambria"/>
                          <w:color w:val="595959" w:themeColor="text1" w:themeTint="A6"/>
                          <w:sz w:val="18"/>
                          <w:szCs w:val="18"/>
                          <w:lang w:val="es-VE"/>
                        </w:rPr>
                      </w:pPr>
                    </w:p>
                  </w:txbxContent>
                </v:textbox>
              </v:shape>
            </w:pict>
          </mc:Fallback>
        </mc:AlternateContent>
      </w:r>
    </w:p>
    <w:p w14:paraId="1DC0EB57" w14:textId="77777777" w:rsidR="00610A15" w:rsidRPr="007A0D4C" w:rsidRDefault="00610A15" w:rsidP="007A0D4C">
      <w:pPr>
        <w:tabs>
          <w:tab w:val="center" w:pos="5400"/>
        </w:tabs>
        <w:suppressAutoHyphens/>
        <w:jc w:val="both"/>
        <w:rPr>
          <w:rFonts w:ascii="Cambria" w:hAnsi="Cambria"/>
          <w:b/>
          <w:sz w:val="20"/>
          <w:szCs w:val="20"/>
          <w:lang w:val="es-ES_tradnl"/>
        </w:rPr>
        <w:sectPr w:rsidR="00610A15" w:rsidRPr="007A0D4C" w:rsidSect="00610A15">
          <w:headerReference w:type="even" r:id="rId9"/>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r w:rsidRPr="007A0D4C">
        <w:rPr>
          <w:rFonts w:ascii="Cambria" w:hAnsi="Cambria"/>
          <w:noProof/>
          <w:sz w:val="20"/>
          <w:szCs w:val="20"/>
        </w:rPr>
        <mc:AlternateContent>
          <mc:Choice Requires="wps">
            <w:drawing>
              <wp:anchor distT="0" distB="0" distL="114300" distR="114300" simplePos="0" relativeHeight="251658246" behindDoc="0" locked="0" layoutInCell="1" allowOverlap="1" wp14:anchorId="3929889C" wp14:editId="5BFA1AFE">
                <wp:simplePos x="0" y="0"/>
                <wp:positionH relativeFrom="column">
                  <wp:posOffset>1325881</wp:posOffset>
                </wp:positionH>
                <wp:positionV relativeFrom="paragraph">
                  <wp:posOffset>640715</wp:posOffset>
                </wp:positionV>
                <wp:extent cx="1958340" cy="567055"/>
                <wp:effectExtent l="0" t="0" r="3810" b="4445"/>
                <wp:wrapNone/>
                <wp:docPr id="9" name="Text Box 9"/>
                <wp:cNvGraphicFramePr/>
                <a:graphic xmlns:a="http://schemas.openxmlformats.org/drawingml/2006/main">
                  <a:graphicData uri="http://schemas.microsoft.com/office/word/2010/wordprocessingShape">
                    <wps:wsp>
                      <wps:cNvSpPr txBox="1"/>
                      <wps:spPr>
                        <a:xfrm>
                          <a:off x="0" y="0"/>
                          <a:ext cx="1958340"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AEF38" w14:textId="0B7E4553" w:rsidR="000A5EAC" w:rsidRPr="00D72DC6" w:rsidRDefault="000A5EAC" w:rsidP="00610A15">
                            <w:pPr>
                              <w:rPr>
                                <w:color w:val="FFFFFF" w:themeColor="background1"/>
                                <w14:textFill>
                                  <w14:noFill/>
                                </w14:textFill>
                              </w:rPr>
                            </w:pPr>
                            <w:r>
                              <w:rPr>
                                <w:noProof/>
                                <w:color w:val="FFFFFF" w:themeColor="background1"/>
                              </w:rPr>
                              <w:drawing>
                                <wp:inline distT="0" distB="0" distL="0" distR="0" wp14:anchorId="06362978" wp14:editId="034CD85A">
                                  <wp:extent cx="1769110" cy="455055"/>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769110" cy="455055"/>
                                          </a:xfrm>
                                          <a:prstGeom prst="rect">
                                            <a:avLst/>
                                          </a:prstGeom>
                                        </pic:spPr>
                                      </pic:pic>
                                    </a:graphicData>
                                  </a:graphic>
                                </wp:inline>
                              </w:drawing>
                            </w:r>
                            <w:r>
                              <w:rPr>
                                <w:noProof/>
                                <w:color w:val="FFFFFF" w:themeColor="background1"/>
                              </w:rPr>
                              <w:drawing>
                                <wp:inline distT="0" distB="0" distL="0" distR="0" wp14:anchorId="3B31FBCE" wp14:editId="5FE2665F">
                                  <wp:extent cx="1577340" cy="46926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57734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9889C" id="Text Box 9" o:spid="_x0000_s1031" type="#_x0000_t202" style="position:absolute;left:0;text-align:left;margin-left:104.4pt;margin-top:50.45pt;width:154.2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5YigIAAJEFAAAOAAAAZHJzL2Uyb0RvYy54bWysVEtPGzEQvlfqf7B8L5sAARKxQSmIqhIC&#10;1FBxdrw2WdX2uLaT3fTXd8a7eZRyoepld+z55hvP8/KqtYatVYg1uJIPjwacKSehqt1Lyb8/3X66&#10;4Cwm4SphwKmSb1TkV9OPHy4bP1HHsARTqcCQxMVJ40u+TMlPiiLKpbIiHoFXDpUaghUJj+GlqIJo&#10;kN2a4ngwOCsaCJUPIFWMeHvTKfk082utZHrQOqrETMnxbSl/Q/4u6FtML8XkJQi/rGX/DPEPr7Ci&#10;duh0R3UjkmCrUP9FZWsZIIJORxJsAVrXUuUYMJrh4FU086XwKseCyYl+l6b4/2jl/foxsLoq+Zgz&#10;JyyW6Em1iX2Glo0pO42PEwTNPcJSi9dY5e19xEsKutXB0h/DYajHPG92uSUySUbj0cXJKaok6kZn&#10;54PRiGiKvbUPMX1RYBkJJQ9Yu5xSsb6LqYNuIeQsgqmr29qYfKB+UdcmsLXASpuU34jkf6CMY03J&#10;z05Gg0zsgMw7ZuOIRuWO6d1R5F2EWUobowhj3DelMWM50Dd8CymV2/nPaEJpdPUewx6/f9V7jLs4&#10;0CJ7Bpd2xrZ2EHL0ecT2Kat+bFOmOzzW5iBuElO7aHOr5MrRzQKqDfZFgG6uope3NRbvTsT0KAIO&#10;EtYbl0N6wI82gMmHXuJsCeHXW/eEx/5GLWcNDmbJ48+VCIoz89Vh54+Hp9RGKR9OR+fHeAiHmsWh&#10;xq3sNWBHDHENeZlFwiezFXUA+4w7ZEZeUSWcRN8lT1vxOnXrAneQVLNZBuHsepHu3NxLoqYsU2s+&#10;tc8i+L5/E3b+PWxHWExetXGHJUsHs1UCXece32e1zz/OfZ6SfkfRYjk8Z9R+k05/AwAA//8DAFBL&#10;AwQUAAYACAAAACEALUNgAuIAAAALAQAADwAAAGRycy9kb3ducmV2LnhtbEyPzU7DMBCE70i8g7VI&#10;XBC1m6q0DXEqhPiRuNHQIm5uvCQR8TqK3SS8PcsJjrMzmvk2206uFQP2ofGkYT5TIJBKbxuqNLwV&#10;j9drECEasqb1hBq+McA2Pz/LTGr9SK847GIluIRCajTUMXaplKGs0Zkw8x0Se5++dyay7CtpezNy&#10;uWtlotSNdKYhXqhNh/c1ll+7k9PwcVW9v4TpaT8ulovu4XkoVgdbaH15Md3dgog4xb8w/OIzOuTM&#10;dPQnskG0GhK1ZvTIhlIbEJxYzlcJiCNfNioBmWfy/w/5DwAAAP//AwBQSwECLQAUAAYACAAAACEA&#10;toM4kv4AAADhAQAAEwAAAAAAAAAAAAAAAAAAAAAAW0NvbnRlbnRfVHlwZXNdLnhtbFBLAQItABQA&#10;BgAIAAAAIQA4/SH/1gAAAJQBAAALAAAAAAAAAAAAAAAAAC8BAABfcmVscy8ucmVsc1BLAQItABQA&#10;BgAIAAAAIQASW15YigIAAJEFAAAOAAAAAAAAAAAAAAAAAC4CAABkcnMvZTJvRG9jLnhtbFBLAQIt&#10;ABQABgAIAAAAIQAtQ2AC4gAAAAsBAAAPAAAAAAAAAAAAAAAAAOQEAABkcnMvZG93bnJldi54bWxQ&#10;SwUGAAAAAAQABADzAAAA8wUAAAAA&#10;" fillcolor="white [3201]" stroked="f" strokeweight=".5pt">
                <v:textbox>
                  <w:txbxContent>
                    <w:p w14:paraId="152AEF38" w14:textId="0B7E4553" w:rsidR="000A5EAC" w:rsidRPr="00D72DC6" w:rsidRDefault="000A5EAC" w:rsidP="00610A15">
                      <w:pPr>
                        <w:rPr>
                          <w:color w:val="FFFFFF" w:themeColor="background1"/>
                          <w14:textFill>
                            <w14:noFill/>
                          </w14:textFill>
                        </w:rPr>
                      </w:pPr>
                      <w:r>
                        <w:rPr>
                          <w:noProof/>
                          <w:color w:val="FFFFFF" w:themeColor="background1"/>
                        </w:rPr>
                        <w:drawing>
                          <wp:inline distT="0" distB="0" distL="0" distR="0" wp14:anchorId="06362978" wp14:editId="034CD85A">
                            <wp:extent cx="1769110" cy="455055"/>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769110" cy="455055"/>
                                    </a:xfrm>
                                    <a:prstGeom prst="rect">
                                      <a:avLst/>
                                    </a:prstGeom>
                                  </pic:spPr>
                                </pic:pic>
                              </a:graphicData>
                            </a:graphic>
                          </wp:inline>
                        </w:drawing>
                      </w:r>
                      <w:r>
                        <w:rPr>
                          <w:noProof/>
                          <w:color w:val="FFFFFF" w:themeColor="background1"/>
                        </w:rPr>
                        <w:drawing>
                          <wp:inline distT="0" distB="0" distL="0" distR="0" wp14:anchorId="3B31FBCE" wp14:editId="5FE2665F">
                            <wp:extent cx="1577340" cy="46926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577340" cy="469265"/>
                                    </a:xfrm>
                                    <a:prstGeom prst="rect">
                                      <a:avLst/>
                                    </a:prstGeom>
                                  </pic:spPr>
                                </pic:pic>
                              </a:graphicData>
                            </a:graphic>
                          </wp:inline>
                        </w:drawing>
                      </w:r>
                    </w:p>
                  </w:txbxContent>
                </v:textbox>
              </v:shape>
            </w:pict>
          </mc:Fallback>
        </mc:AlternateContent>
      </w:r>
      <w:r w:rsidRPr="007A0D4C">
        <w:rPr>
          <w:rFonts w:ascii="Cambria" w:hAnsi="Cambria"/>
          <w:noProof/>
          <w:sz w:val="20"/>
          <w:szCs w:val="20"/>
        </w:rPr>
        <mc:AlternateContent>
          <mc:Choice Requires="wps">
            <w:drawing>
              <wp:anchor distT="0" distB="0" distL="114300" distR="114300" simplePos="0" relativeHeight="251658247" behindDoc="0" locked="0" layoutInCell="1" allowOverlap="1" wp14:anchorId="5942C045" wp14:editId="70D70EC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65A72" w14:textId="77777777" w:rsidR="000A5EAC" w:rsidRPr="004B7EB6" w:rsidRDefault="000A5EAC" w:rsidP="00610A15">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2C045" id="Text Box 4"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4265A72" w14:textId="77777777" w:rsidR="000A5EAC" w:rsidRPr="004B7EB6" w:rsidRDefault="000A5EAC" w:rsidP="00610A15">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D1137A9" w14:textId="476D317F" w:rsidR="00610A15" w:rsidRPr="007A0D4C" w:rsidRDefault="00602108" w:rsidP="007A0D4C">
      <w:pPr>
        <w:tabs>
          <w:tab w:val="center" w:pos="5400"/>
        </w:tabs>
        <w:suppressAutoHyphens/>
        <w:jc w:val="center"/>
        <w:rPr>
          <w:rFonts w:ascii="Cambria" w:hAnsi="Cambria"/>
          <w:b/>
          <w:sz w:val="20"/>
          <w:szCs w:val="20"/>
          <w:lang w:val="es-VE"/>
        </w:rPr>
      </w:pPr>
      <w:r w:rsidRPr="007A0D4C">
        <w:rPr>
          <w:rFonts w:ascii="Cambria" w:hAnsi="Cambria"/>
          <w:b/>
          <w:sz w:val="20"/>
          <w:szCs w:val="20"/>
          <w:lang w:val="es-VE"/>
        </w:rPr>
        <w:lastRenderedPageBreak/>
        <w:t xml:space="preserve">INFORME No. </w:t>
      </w:r>
      <w:r w:rsidR="00084245">
        <w:rPr>
          <w:rFonts w:ascii="Cambria" w:hAnsi="Cambria"/>
          <w:b/>
          <w:sz w:val="20"/>
          <w:szCs w:val="20"/>
          <w:lang w:val="es-VE"/>
        </w:rPr>
        <w:t>196</w:t>
      </w:r>
      <w:r w:rsidR="008350C7" w:rsidRPr="007A0D4C">
        <w:rPr>
          <w:rFonts w:ascii="Cambria" w:hAnsi="Cambria"/>
          <w:b/>
          <w:sz w:val="20"/>
          <w:szCs w:val="20"/>
          <w:lang w:val="es-VE"/>
        </w:rPr>
        <w:t>/20</w:t>
      </w:r>
    </w:p>
    <w:p w14:paraId="6890F3B5" w14:textId="2928F195" w:rsidR="0066546F" w:rsidRPr="007A0D4C" w:rsidRDefault="008350C7" w:rsidP="007A0D4C">
      <w:pPr>
        <w:tabs>
          <w:tab w:val="center" w:pos="5400"/>
        </w:tabs>
        <w:suppressAutoHyphens/>
        <w:jc w:val="center"/>
        <w:rPr>
          <w:rFonts w:ascii="Cambria" w:hAnsi="Cambria"/>
          <w:b/>
          <w:sz w:val="20"/>
          <w:szCs w:val="20"/>
          <w:lang w:val="es-VE"/>
        </w:rPr>
      </w:pPr>
      <w:r w:rsidRPr="007A0D4C">
        <w:rPr>
          <w:rFonts w:ascii="Cambria" w:hAnsi="Cambria"/>
          <w:b/>
          <w:sz w:val="20"/>
          <w:szCs w:val="20"/>
          <w:lang w:val="es-VE"/>
        </w:rPr>
        <w:t>CASO 13.030</w:t>
      </w:r>
    </w:p>
    <w:p w14:paraId="1BE25221" w14:textId="77777777" w:rsidR="0066546F" w:rsidRPr="007A0D4C" w:rsidRDefault="0066546F" w:rsidP="007A0D4C">
      <w:pPr>
        <w:tabs>
          <w:tab w:val="center" w:pos="5400"/>
        </w:tabs>
        <w:suppressAutoHyphens/>
        <w:jc w:val="center"/>
        <w:rPr>
          <w:rFonts w:ascii="Cambria" w:hAnsi="Cambria"/>
          <w:sz w:val="20"/>
          <w:szCs w:val="20"/>
          <w:lang w:val="es-VE"/>
        </w:rPr>
      </w:pPr>
      <w:r w:rsidRPr="007A0D4C">
        <w:rPr>
          <w:rFonts w:ascii="Cambria" w:hAnsi="Cambria"/>
          <w:sz w:val="20"/>
          <w:szCs w:val="20"/>
          <w:lang w:val="es-VE"/>
        </w:rPr>
        <w:t>INFORME DE FONDO</w:t>
      </w:r>
    </w:p>
    <w:p w14:paraId="54757AA1" w14:textId="35D8E1A2" w:rsidR="0066546F" w:rsidRPr="007A0D4C" w:rsidRDefault="008350C7" w:rsidP="007A0D4C">
      <w:pPr>
        <w:tabs>
          <w:tab w:val="center" w:pos="5400"/>
        </w:tabs>
        <w:suppressAutoHyphens/>
        <w:jc w:val="center"/>
        <w:rPr>
          <w:rFonts w:ascii="Cambria" w:hAnsi="Cambria"/>
          <w:sz w:val="20"/>
          <w:szCs w:val="20"/>
          <w:lang w:val="es-VE"/>
        </w:rPr>
      </w:pPr>
      <w:r w:rsidRPr="007A0D4C">
        <w:rPr>
          <w:rFonts w:ascii="Cambria" w:hAnsi="Cambria"/>
          <w:sz w:val="20"/>
          <w:szCs w:val="20"/>
          <w:lang w:val="es-VE"/>
        </w:rPr>
        <w:t>SANTIAGO LEGUIZAMÓN ZAVÁN Y FAMILIA</w:t>
      </w:r>
    </w:p>
    <w:p w14:paraId="39EE46A2" w14:textId="14E5F1D5" w:rsidR="0066546F" w:rsidRPr="007A0D4C" w:rsidRDefault="008350C7" w:rsidP="007A0D4C">
      <w:pPr>
        <w:tabs>
          <w:tab w:val="center" w:pos="5400"/>
        </w:tabs>
        <w:suppressAutoHyphens/>
        <w:jc w:val="center"/>
        <w:rPr>
          <w:rFonts w:ascii="Cambria" w:hAnsi="Cambria"/>
          <w:sz w:val="20"/>
          <w:szCs w:val="20"/>
          <w:lang w:val="es-ES_tradnl"/>
        </w:rPr>
      </w:pPr>
      <w:r w:rsidRPr="007A0D4C">
        <w:rPr>
          <w:rFonts w:ascii="Cambria" w:hAnsi="Cambria"/>
          <w:sz w:val="20"/>
          <w:szCs w:val="20"/>
          <w:lang w:val="es-ES_tradnl"/>
        </w:rPr>
        <w:t>PARAGUAY</w:t>
      </w:r>
    </w:p>
    <w:p w14:paraId="05188E05" w14:textId="4310B4F8" w:rsidR="0066546F" w:rsidRPr="007A0D4C" w:rsidRDefault="00084245" w:rsidP="007A0D4C">
      <w:pPr>
        <w:tabs>
          <w:tab w:val="center" w:pos="5400"/>
        </w:tabs>
        <w:suppressAutoHyphens/>
        <w:jc w:val="center"/>
        <w:rPr>
          <w:rFonts w:ascii="Cambria" w:hAnsi="Cambria"/>
          <w:sz w:val="20"/>
          <w:szCs w:val="20"/>
          <w:lang w:val="es-ES_tradnl"/>
        </w:rPr>
      </w:pPr>
      <w:r>
        <w:rPr>
          <w:rFonts w:ascii="Cambria" w:hAnsi="Cambria"/>
          <w:sz w:val="20"/>
          <w:szCs w:val="20"/>
          <w:lang w:val="es-ES_tradnl"/>
        </w:rPr>
        <w:t>10</w:t>
      </w:r>
      <w:r w:rsidR="008350C7" w:rsidRPr="007A0D4C">
        <w:rPr>
          <w:rFonts w:ascii="Cambria" w:hAnsi="Cambria"/>
          <w:sz w:val="20"/>
          <w:szCs w:val="20"/>
          <w:lang w:val="es-ES_tradnl"/>
        </w:rPr>
        <w:t xml:space="preserve"> DE </w:t>
      </w:r>
      <w:r w:rsidR="00364652" w:rsidRPr="007A0D4C">
        <w:rPr>
          <w:rFonts w:ascii="Cambria" w:hAnsi="Cambria"/>
          <w:sz w:val="20"/>
          <w:szCs w:val="20"/>
          <w:lang w:val="es-ES_tradnl"/>
        </w:rPr>
        <w:t>JULIO</w:t>
      </w:r>
      <w:r w:rsidR="008350C7" w:rsidRPr="007A0D4C">
        <w:rPr>
          <w:rFonts w:ascii="Cambria" w:hAnsi="Cambria"/>
          <w:sz w:val="20"/>
          <w:szCs w:val="20"/>
          <w:lang w:val="es-ES_tradnl"/>
        </w:rPr>
        <w:t xml:space="preserve"> DE 2020</w:t>
      </w:r>
    </w:p>
    <w:p w14:paraId="53AFE097" w14:textId="0D3CC5FE" w:rsidR="00443F8D" w:rsidRPr="007A0D4C" w:rsidRDefault="00443F8D" w:rsidP="007A0D4C">
      <w:pPr>
        <w:tabs>
          <w:tab w:val="center" w:pos="5400"/>
        </w:tabs>
        <w:suppressAutoHyphens/>
        <w:jc w:val="center"/>
        <w:rPr>
          <w:rFonts w:ascii="Cambria" w:hAnsi="Cambria"/>
          <w:sz w:val="20"/>
          <w:szCs w:val="20"/>
          <w:lang w:val="es-ES_tradnl"/>
        </w:rPr>
      </w:pPr>
    </w:p>
    <w:p w14:paraId="6F845CC4" w14:textId="52CEED09" w:rsidR="00443F8D" w:rsidRPr="007A0D4C" w:rsidRDefault="00443F8D" w:rsidP="007A0D4C">
      <w:pPr>
        <w:tabs>
          <w:tab w:val="center" w:pos="5400"/>
        </w:tabs>
        <w:suppressAutoHyphens/>
        <w:jc w:val="center"/>
        <w:rPr>
          <w:rFonts w:ascii="Cambria" w:hAnsi="Cambria"/>
          <w:b/>
          <w:sz w:val="20"/>
          <w:szCs w:val="20"/>
          <w:lang w:val="es-ES_tradnl"/>
        </w:rPr>
      </w:pPr>
      <w:r w:rsidRPr="007A0D4C">
        <w:rPr>
          <w:rFonts w:ascii="Cambria" w:hAnsi="Cambria"/>
          <w:b/>
          <w:sz w:val="20"/>
          <w:szCs w:val="20"/>
          <w:lang w:val="es-ES_tradnl"/>
        </w:rPr>
        <w:t>ÍNDICE</w:t>
      </w:r>
    </w:p>
    <w:p w14:paraId="66A8E45C" w14:textId="784D8711" w:rsidR="00C5061E" w:rsidRPr="007A0D4C" w:rsidRDefault="00C5061E" w:rsidP="007A0D4C">
      <w:pPr>
        <w:tabs>
          <w:tab w:val="center" w:pos="5400"/>
        </w:tabs>
        <w:suppressAutoHyphens/>
        <w:jc w:val="center"/>
        <w:rPr>
          <w:rFonts w:ascii="Cambria" w:hAnsi="Cambria"/>
          <w:sz w:val="20"/>
          <w:szCs w:val="20"/>
          <w:lang w:val="es-ES_tradnl"/>
        </w:rPr>
      </w:pPr>
    </w:p>
    <w:p w14:paraId="5CFEE290" w14:textId="77777777" w:rsidR="00C5061E" w:rsidRPr="007A0D4C" w:rsidRDefault="00C5061E" w:rsidP="007A0D4C">
      <w:pPr>
        <w:tabs>
          <w:tab w:val="center" w:pos="5400"/>
        </w:tabs>
        <w:suppressAutoHyphens/>
        <w:jc w:val="both"/>
        <w:rPr>
          <w:rFonts w:ascii="Cambria" w:hAnsi="Cambria"/>
          <w:sz w:val="20"/>
          <w:szCs w:val="20"/>
          <w:lang w:val="es-ES_tradnl"/>
        </w:rPr>
      </w:pPr>
    </w:p>
    <w:sdt>
      <w:sdtPr>
        <w:rPr>
          <w:rFonts w:ascii="Times New Roman" w:eastAsia="Arial Unicode MS" w:hAnsi="Times New Roman" w:cs="Times New Roman"/>
          <w:b w:val="0"/>
          <w:bCs w:val="0"/>
          <w:sz w:val="24"/>
          <w:szCs w:val="24"/>
          <w:bdr w:val="nil"/>
          <w:lang w:eastAsia="en-US"/>
        </w:rPr>
        <w:id w:val="1937091545"/>
        <w:docPartObj>
          <w:docPartGallery w:val="Table of Contents"/>
          <w:docPartUnique/>
        </w:docPartObj>
      </w:sdtPr>
      <w:sdtEndPr>
        <w:rPr>
          <w:noProof/>
        </w:rPr>
      </w:sdtEndPr>
      <w:sdtContent>
        <w:p w14:paraId="5D4C5CAB" w14:textId="55DBFE2A" w:rsidR="0027039F" w:rsidRPr="006F38A3" w:rsidRDefault="0027039F" w:rsidP="007A0D4C">
          <w:pPr>
            <w:pStyle w:val="TOCHeading"/>
            <w:spacing w:line="240" w:lineRule="auto"/>
          </w:pPr>
        </w:p>
        <w:p w14:paraId="6F1B717B" w14:textId="7AE663F2" w:rsidR="006F38A3" w:rsidRPr="000D7953" w:rsidRDefault="0027039F">
          <w:pPr>
            <w:pStyle w:val="TOC1"/>
            <w:rPr>
              <w:rFonts w:eastAsiaTheme="minorEastAsia" w:cstheme="minorBidi"/>
              <w:b w:val="0"/>
              <w:bCs w:val="0"/>
              <w:bdr w:val="none" w:sz="0" w:space="0" w:color="auto"/>
              <w:lang w:val="en-US"/>
            </w:rPr>
          </w:pPr>
          <w:r w:rsidRPr="006F38A3">
            <w:fldChar w:fldCharType="begin"/>
          </w:r>
          <w:r w:rsidRPr="000D7953">
            <w:instrText xml:space="preserve"> TOC \o "1-3" \h \z \u </w:instrText>
          </w:r>
          <w:r w:rsidRPr="006F38A3">
            <w:fldChar w:fldCharType="separate"/>
          </w:r>
          <w:hyperlink w:anchor="_Toc47965316" w:history="1">
            <w:r w:rsidR="006F38A3" w:rsidRPr="000D7953">
              <w:rPr>
                <w:rStyle w:val="Hyperlink"/>
              </w:rPr>
              <w:t>I.</w:t>
            </w:r>
            <w:r w:rsidR="006F38A3" w:rsidRPr="000D7953">
              <w:rPr>
                <w:rFonts w:eastAsiaTheme="minorEastAsia" w:cstheme="minorBidi"/>
                <w:b w:val="0"/>
                <w:bCs w:val="0"/>
                <w:bdr w:val="none" w:sz="0" w:space="0" w:color="auto"/>
                <w:lang w:val="en-US"/>
              </w:rPr>
              <w:tab/>
            </w:r>
            <w:r w:rsidR="006F38A3" w:rsidRPr="000D7953">
              <w:rPr>
                <w:rStyle w:val="Hyperlink"/>
              </w:rPr>
              <w:t>INTRODUCCIÓN</w:t>
            </w:r>
            <w:r w:rsidR="006F38A3" w:rsidRPr="000D7953">
              <w:rPr>
                <w:webHidden/>
              </w:rPr>
              <w:tab/>
            </w:r>
            <w:r w:rsidR="006F38A3" w:rsidRPr="000D7953">
              <w:rPr>
                <w:webHidden/>
              </w:rPr>
              <w:fldChar w:fldCharType="begin"/>
            </w:r>
            <w:r w:rsidR="006F38A3" w:rsidRPr="000D7953">
              <w:rPr>
                <w:webHidden/>
              </w:rPr>
              <w:instrText xml:space="preserve"> PAGEREF _Toc47965316 \h </w:instrText>
            </w:r>
            <w:r w:rsidR="006F38A3" w:rsidRPr="000D7953">
              <w:rPr>
                <w:webHidden/>
              </w:rPr>
            </w:r>
            <w:r w:rsidR="006F38A3" w:rsidRPr="000D7953">
              <w:rPr>
                <w:webHidden/>
              </w:rPr>
              <w:fldChar w:fldCharType="separate"/>
            </w:r>
            <w:r w:rsidR="00511D57">
              <w:rPr>
                <w:webHidden/>
              </w:rPr>
              <w:t>2</w:t>
            </w:r>
            <w:r w:rsidR="006F38A3" w:rsidRPr="000D7953">
              <w:rPr>
                <w:webHidden/>
              </w:rPr>
              <w:fldChar w:fldCharType="end"/>
            </w:r>
          </w:hyperlink>
        </w:p>
        <w:p w14:paraId="0ADD6BC8" w14:textId="215D3456" w:rsidR="006F38A3" w:rsidRPr="000D7953" w:rsidRDefault="00511D57">
          <w:pPr>
            <w:pStyle w:val="TOC1"/>
            <w:rPr>
              <w:rFonts w:eastAsiaTheme="minorEastAsia" w:cstheme="minorBidi"/>
              <w:b w:val="0"/>
              <w:bCs w:val="0"/>
              <w:bdr w:val="none" w:sz="0" w:space="0" w:color="auto"/>
              <w:lang w:val="en-US"/>
            </w:rPr>
          </w:pPr>
          <w:hyperlink w:anchor="_Toc47965317" w:history="1">
            <w:r w:rsidR="006F38A3" w:rsidRPr="000D7953">
              <w:rPr>
                <w:rStyle w:val="Hyperlink"/>
                <w:lang w:eastAsia="es-ES"/>
              </w:rPr>
              <w:t>II.</w:t>
            </w:r>
            <w:r w:rsidR="006F38A3" w:rsidRPr="000D7953">
              <w:rPr>
                <w:rFonts w:eastAsiaTheme="minorEastAsia" w:cstheme="minorBidi"/>
                <w:b w:val="0"/>
                <w:bCs w:val="0"/>
                <w:bdr w:val="none" w:sz="0" w:space="0" w:color="auto"/>
                <w:lang w:val="en-US"/>
              </w:rPr>
              <w:tab/>
            </w:r>
            <w:r w:rsidR="006F38A3" w:rsidRPr="000D7953">
              <w:rPr>
                <w:rStyle w:val="Hyperlink"/>
                <w:lang w:val="es-ES_tradnl" w:eastAsia="es-ES"/>
              </w:rPr>
              <w:t>ALEGATOS DE LAS PARTES</w:t>
            </w:r>
            <w:r w:rsidR="006F38A3" w:rsidRPr="000D7953">
              <w:rPr>
                <w:webHidden/>
              </w:rPr>
              <w:tab/>
            </w:r>
            <w:r w:rsidR="006F38A3" w:rsidRPr="000D7953">
              <w:rPr>
                <w:webHidden/>
              </w:rPr>
              <w:fldChar w:fldCharType="begin"/>
            </w:r>
            <w:r w:rsidR="006F38A3" w:rsidRPr="000D7953">
              <w:rPr>
                <w:webHidden/>
              </w:rPr>
              <w:instrText xml:space="preserve"> PAGEREF _Toc47965317 \h </w:instrText>
            </w:r>
            <w:r w:rsidR="006F38A3" w:rsidRPr="000D7953">
              <w:rPr>
                <w:webHidden/>
              </w:rPr>
            </w:r>
            <w:r w:rsidR="006F38A3" w:rsidRPr="000D7953">
              <w:rPr>
                <w:webHidden/>
              </w:rPr>
              <w:fldChar w:fldCharType="separate"/>
            </w:r>
            <w:r>
              <w:rPr>
                <w:webHidden/>
              </w:rPr>
              <w:t>2</w:t>
            </w:r>
            <w:r w:rsidR="006F38A3" w:rsidRPr="000D7953">
              <w:rPr>
                <w:webHidden/>
              </w:rPr>
              <w:fldChar w:fldCharType="end"/>
            </w:r>
          </w:hyperlink>
        </w:p>
        <w:p w14:paraId="6B7C80F0" w14:textId="123A7D9E" w:rsidR="006F38A3" w:rsidRPr="000D7953" w:rsidRDefault="00511D57">
          <w:pPr>
            <w:pStyle w:val="TOC2"/>
            <w:rPr>
              <w:rFonts w:eastAsiaTheme="minorEastAsia" w:cstheme="minorBidi"/>
              <w:bdr w:val="none" w:sz="0" w:space="0" w:color="auto"/>
              <w:lang w:val="en-US" w:eastAsia="en-US"/>
            </w:rPr>
          </w:pPr>
          <w:hyperlink w:anchor="_Toc47965318" w:history="1">
            <w:r w:rsidR="006F38A3" w:rsidRPr="000D7953">
              <w:rPr>
                <w:rStyle w:val="Hyperlink"/>
              </w:rPr>
              <w:t>A.</w:t>
            </w:r>
            <w:r w:rsidR="006F38A3" w:rsidRPr="000D7953">
              <w:rPr>
                <w:rFonts w:eastAsiaTheme="minorEastAsia" w:cstheme="minorBidi"/>
                <w:bdr w:val="none" w:sz="0" w:space="0" w:color="auto"/>
                <w:lang w:val="en-US" w:eastAsia="en-US"/>
              </w:rPr>
              <w:tab/>
            </w:r>
            <w:r w:rsidR="006F38A3" w:rsidRPr="000D7953">
              <w:rPr>
                <w:rStyle w:val="Hyperlink"/>
              </w:rPr>
              <w:t>Parte peticionaria</w:t>
            </w:r>
            <w:r w:rsidR="006F38A3" w:rsidRPr="000D7953">
              <w:rPr>
                <w:webHidden/>
              </w:rPr>
              <w:tab/>
            </w:r>
            <w:r w:rsidR="006F38A3" w:rsidRPr="000D7953">
              <w:rPr>
                <w:webHidden/>
              </w:rPr>
              <w:fldChar w:fldCharType="begin"/>
            </w:r>
            <w:r w:rsidR="006F38A3" w:rsidRPr="000D7953">
              <w:rPr>
                <w:webHidden/>
              </w:rPr>
              <w:instrText xml:space="preserve"> PAGEREF _Toc47965318 \h </w:instrText>
            </w:r>
            <w:r w:rsidR="006F38A3" w:rsidRPr="000D7953">
              <w:rPr>
                <w:webHidden/>
              </w:rPr>
            </w:r>
            <w:r w:rsidR="006F38A3" w:rsidRPr="000D7953">
              <w:rPr>
                <w:webHidden/>
              </w:rPr>
              <w:fldChar w:fldCharType="separate"/>
            </w:r>
            <w:r>
              <w:rPr>
                <w:webHidden/>
              </w:rPr>
              <w:t>2</w:t>
            </w:r>
            <w:r w:rsidR="006F38A3" w:rsidRPr="000D7953">
              <w:rPr>
                <w:webHidden/>
              </w:rPr>
              <w:fldChar w:fldCharType="end"/>
            </w:r>
          </w:hyperlink>
        </w:p>
        <w:p w14:paraId="226B7A9D" w14:textId="1D423A6A" w:rsidR="006F38A3" w:rsidRPr="000D7953" w:rsidRDefault="00511D57">
          <w:pPr>
            <w:pStyle w:val="TOC2"/>
            <w:rPr>
              <w:rFonts w:eastAsiaTheme="minorEastAsia" w:cstheme="minorBidi"/>
              <w:bdr w:val="none" w:sz="0" w:space="0" w:color="auto"/>
              <w:lang w:val="en-US" w:eastAsia="en-US"/>
            </w:rPr>
          </w:pPr>
          <w:hyperlink w:anchor="_Toc47965319" w:history="1">
            <w:r w:rsidR="006F38A3" w:rsidRPr="000D7953">
              <w:rPr>
                <w:rStyle w:val="Hyperlink"/>
              </w:rPr>
              <w:t>B.</w:t>
            </w:r>
            <w:r w:rsidR="006F38A3" w:rsidRPr="000D7953">
              <w:rPr>
                <w:rFonts w:eastAsiaTheme="minorEastAsia" w:cstheme="minorBidi"/>
                <w:bdr w:val="none" w:sz="0" w:space="0" w:color="auto"/>
                <w:lang w:val="en-US" w:eastAsia="en-US"/>
              </w:rPr>
              <w:tab/>
            </w:r>
            <w:r w:rsidR="006F38A3" w:rsidRPr="000D7953">
              <w:rPr>
                <w:rStyle w:val="Hyperlink"/>
              </w:rPr>
              <w:t>Estado</w:t>
            </w:r>
            <w:r w:rsidR="006F38A3" w:rsidRPr="000D7953">
              <w:rPr>
                <w:webHidden/>
              </w:rPr>
              <w:tab/>
            </w:r>
            <w:r w:rsidR="006F38A3" w:rsidRPr="000D7953">
              <w:rPr>
                <w:webHidden/>
              </w:rPr>
              <w:fldChar w:fldCharType="begin"/>
            </w:r>
            <w:r w:rsidR="006F38A3" w:rsidRPr="000D7953">
              <w:rPr>
                <w:webHidden/>
              </w:rPr>
              <w:instrText xml:space="preserve"> PAGEREF _Toc47965319 \h </w:instrText>
            </w:r>
            <w:r w:rsidR="006F38A3" w:rsidRPr="000D7953">
              <w:rPr>
                <w:webHidden/>
              </w:rPr>
            </w:r>
            <w:r w:rsidR="006F38A3" w:rsidRPr="000D7953">
              <w:rPr>
                <w:webHidden/>
              </w:rPr>
              <w:fldChar w:fldCharType="separate"/>
            </w:r>
            <w:r>
              <w:rPr>
                <w:webHidden/>
              </w:rPr>
              <w:t>4</w:t>
            </w:r>
            <w:r w:rsidR="006F38A3" w:rsidRPr="000D7953">
              <w:rPr>
                <w:webHidden/>
              </w:rPr>
              <w:fldChar w:fldCharType="end"/>
            </w:r>
          </w:hyperlink>
        </w:p>
        <w:p w14:paraId="104BA398" w14:textId="57E8B02E" w:rsidR="006F38A3" w:rsidRPr="000D7953" w:rsidRDefault="00511D57">
          <w:pPr>
            <w:pStyle w:val="TOC1"/>
            <w:rPr>
              <w:rFonts w:eastAsiaTheme="minorEastAsia" w:cstheme="minorBidi"/>
              <w:b w:val="0"/>
              <w:bCs w:val="0"/>
              <w:bdr w:val="none" w:sz="0" w:space="0" w:color="auto"/>
              <w:lang w:val="en-US"/>
            </w:rPr>
          </w:pPr>
          <w:hyperlink w:anchor="_Toc47965320" w:history="1">
            <w:r w:rsidR="006F38A3" w:rsidRPr="000D7953">
              <w:rPr>
                <w:rStyle w:val="Hyperlink"/>
              </w:rPr>
              <w:t>III.</w:t>
            </w:r>
            <w:r w:rsidR="006F38A3" w:rsidRPr="000D7953">
              <w:rPr>
                <w:rFonts w:eastAsiaTheme="minorEastAsia" w:cstheme="minorBidi"/>
                <w:b w:val="0"/>
                <w:bCs w:val="0"/>
                <w:bdr w:val="none" w:sz="0" w:space="0" w:color="auto"/>
                <w:lang w:val="en-US"/>
              </w:rPr>
              <w:tab/>
            </w:r>
            <w:r w:rsidR="006F38A3" w:rsidRPr="000D7953">
              <w:rPr>
                <w:rStyle w:val="Hyperlink"/>
              </w:rPr>
              <w:t>DETERMINACIONES DE HECHO</w:t>
            </w:r>
            <w:r w:rsidR="006F38A3" w:rsidRPr="000D7953">
              <w:rPr>
                <w:webHidden/>
              </w:rPr>
              <w:tab/>
            </w:r>
            <w:r w:rsidR="006F38A3" w:rsidRPr="000D7953">
              <w:rPr>
                <w:webHidden/>
              </w:rPr>
              <w:fldChar w:fldCharType="begin"/>
            </w:r>
            <w:r w:rsidR="006F38A3" w:rsidRPr="000D7953">
              <w:rPr>
                <w:webHidden/>
              </w:rPr>
              <w:instrText xml:space="preserve"> PAGEREF _Toc47965320 \h </w:instrText>
            </w:r>
            <w:r w:rsidR="006F38A3" w:rsidRPr="000D7953">
              <w:rPr>
                <w:webHidden/>
              </w:rPr>
            </w:r>
            <w:r w:rsidR="006F38A3" w:rsidRPr="000D7953">
              <w:rPr>
                <w:webHidden/>
              </w:rPr>
              <w:fldChar w:fldCharType="separate"/>
            </w:r>
            <w:r>
              <w:rPr>
                <w:webHidden/>
              </w:rPr>
              <w:t>5</w:t>
            </w:r>
            <w:r w:rsidR="006F38A3" w:rsidRPr="000D7953">
              <w:rPr>
                <w:webHidden/>
              </w:rPr>
              <w:fldChar w:fldCharType="end"/>
            </w:r>
          </w:hyperlink>
        </w:p>
        <w:p w14:paraId="40CFA76E" w14:textId="02FB3CAB" w:rsidR="006F38A3" w:rsidRPr="000D7953" w:rsidRDefault="00511D57">
          <w:pPr>
            <w:pStyle w:val="TOC2"/>
            <w:rPr>
              <w:rFonts w:eastAsiaTheme="minorEastAsia" w:cstheme="minorBidi"/>
              <w:bdr w:val="none" w:sz="0" w:space="0" w:color="auto"/>
              <w:lang w:val="en-US" w:eastAsia="en-US"/>
            </w:rPr>
          </w:pPr>
          <w:hyperlink w:anchor="_Toc47965321" w:history="1">
            <w:r w:rsidR="006F38A3" w:rsidRPr="000D7953">
              <w:rPr>
                <w:rStyle w:val="Hyperlink"/>
              </w:rPr>
              <w:t>A.</w:t>
            </w:r>
            <w:r w:rsidR="006F38A3" w:rsidRPr="000D7953">
              <w:rPr>
                <w:rFonts w:eastAsiaTheme="minorEastAsia" w:cstheme="minorBidi"/>
                <w:bdr w:val="none" w:sz="0" w:space="0" w:color="auto"/>
                <w:lang w:val="en-US" w:eastAsia="en-US"/>
              </w:rPr>
              <w:tab/>
            </w:r>
            <w:r w:rsidR="006F38A3" w:rsidRPr="000D7953">
              <w:rPr>
                <w:rStyle w:val="Hyperlink"/>
              </w:rPr>
              <w:t>Sobre el periodista Santiago Leguizamón y su familia</w:t>
            </w:r>
            <w:r w:rsidR="006F38A3" w:rsidRPr="000D7953">
              <w:rPr>
                <w:webHidden/>
              </w:rPr>
              <w:tab/>
            </w:r>
            <w:r w:rsidR="006F38A3" w:rsidRPr="000D7953">
              <w:rPr>
                <w:webHidden/>
              </w:rPr>
              <w:fldChar w:fldCharType="begin"/>
            </w:r>
            <w:r w:rsidR="006F38A3" w:rsidRPr="000D7953">
              <w:rPr>
                <w:webHidden/>
              </w:rPr>
              <w:instrText xml:space="preserve"> PAGEREF _Toc47965321 \h </w:instrText>
            </w:r>
            <w:r w:rsidR="006F38A3" w:rsidRPr="000D7953">
              <w:rPr>
                <w:webHidden/>
              </w:rPr>
            </w:r>
            <w:r w:rsidR="006F38A3" w:rsidRPr="000D7953">
              <w:rPr>
                <w:webHidden/>
              </w:rPr>
              <w:fldChar w:fldCharType="separate"/>
            </w:r>
            <w:r>
              <w:rPr>
                <w:webHidden/>
              </w:rPr>
              <w:t>5</w:t>
            </w:r>
            <w:r w:rsidR="006F38A3" w:rsidRPr="000D7953">
              <w:rPr>
                <w:webHidden/>
              </w:rPr>
              <w:fldChar w:fldCharType="end"/>
            </w:r>
          </w:hyperlink>
        </w:p>
        <w:p w14:paraId="7956FD0D" w14:textId="405FF1B4" w:rsidR="006F38A3" w:rsidRPr="000D7953" w:rsidRDefault="00511D57">
          <w:pPr>
            <w:pStyle w:val="TOC2"/>
            <w:rPr>
              <w:rFonts w:eastAsiaTheme="minorEastAsia" w:cstheme="minorBidi"/>
              <w:bdr w:val="none" w:sz="0" w:space="0" w:color="auto"/>
              <w:lang w:val="en-US" w:eastAsia="en-US"/>
            </w:rPr>
          </w:pPr>
          <w:hyperlink w:anchor="_Toc47965322" w:history="1">
            <w:r w:rsidR="006F38A3" w:rsidRPr="000D7953">
              <w:rPr>
                <w:rStyle w:val="Hyperlink"/>
                <w:lang w:val="es-PE"/>
              </w:rPr>
              <w:t>B.</w:t>
            </w:r>
            <w:r w:rsidR="006F38A3" w:rsidRPr="000D7953">
              <w:rPr>
                <w:rFonts w:eastAsiaTheme="minorEastAsia" w:cstheme="minorBidi"/>
                <w:bdr w:val="none" w:sz="0" w:space="0" w:color="auto"/>
                <w:lang w:val="en-US" w:eastAsia="en-US"/>
              </w:rPr>
              <w:tab/>
            </w:r>
            <w:r w:rsidR="006F38A3" w:rsidRPr="000D7953">
              <w:rPr>
                <w:rStyle w:val="Hyperlink"/>
                <w:lang w:val="es-VE"/>
              </w:rPr>
              <w:t>Las amenazas y el asesinato del periodista Santiago Leguizam</w:t>
            </w:r>
            <w:r w:rsidR="006F38A3" w:rsidRPr="000D7953">
              <w:rPr>
                <w:rStyle w:val="Hyperlink"/>
                <w:lang w:val="es-PE"/>
              </w:rPr>
              <w:t>ón</w:t>
            </w:r>
            <w:r w:rsidR="006F38A3" w:rsidRPr="000D7953">
              <w:rPr>
                <w:webHidden/>
              </w:rPr>
              <w:tab/>
            </w:r>
            <w:r w:rsidR="006F38A3" w:rsidRPr="000D7953">
              <w:rPr>
                <w:webHidden/>
              </w:rPr>
              <w:fldChar w:fldCharType="begin"/>
            </w:r>
            <w:r w:rsidR="006F38A3" w:rsidRPr="000D7953">
              <w:rPr>
                <w:webHidden/>
              </w:rPr>
              <w:instrText xml:space="preserve"> PAGEREF _Toc47965322 \h </w:instrText>
            </w:r>
            <w:r w:rsidR="006F38A3" w:rsidRPr="000D7953">
              <w:rPr>
                <w:webHidden/>
              </w:rPr>
            </w:r>
            <w:r w:rsidR="006F38A3" w:rsidRPr="000D7953">
              <w:rPr>
                <w:webHidden/>
              </w:rPr>
              <w:fldChar w:fldCharType="separate"/>
            </w:r>
            <w:r>
              <w:rPr>
                <w:webHidden/>
              </w:rPr>
              <w:t>6</w:t>
            </w:r>
            <w:r w:rsidR="006F38A3" w:rsidRPr="000D7953">
              <w:rPr>
                <w:webHidden/>
              </w:rPr>
              <w:fldChar w:fldCharType="end"/>
            </w:r>
          </w:hyperlink>
        </w:p>
        <w:p w14:paraId="1936D09D" w14:textId="1034D3B7" w:rsidR="006F38A3" w:rsidRPr="000D7953" w:rsidRDefault="00511D57">
          <w:pPr>
            <w:pStyle w:val="TOC2"/>
            <w:rPr>
              <w:rFonts w:eastAsiaTheme="minorEastAsia" w:cstheme="minorBidi"/>
              <w:bdr w:val="none" w:sz="0" w:space="0" w:color="auto"/>
              <w:lang w:val="en-US" w:eastAsia="en-US"/>
            </w:rPr>
          </w:pPr>
          <w:hyperlink w:anchor="_Toc47965323" w:history="1">
            <w:r w:rsidR="006F38A3" w:rsidRPr="000D7953">
              <w:rPr>
                <w:rStyle w:val="Hyperlink"/>
                <w:lang w:val="es-VE"/>
              </w:rPr>
              <w:t>C.</w:t>
            </w:r>
            <w:r w:rsidR="006F38A3" w:rsidRPr="000D7953">
              <w:rPr>
                <w:rFonts w:eastAsiaTheme="minorEastAsia" w:cstheme="minorBidi"/>
                <w:bdr w:val="none" w:sz="0" w:space="0" w:color="auto"/>
                <w:lang w:val="en-US" w:eastAsia="en-US"/>
              </w:rPr>
              <w:tab/>
            </w:r>
            <w:r w:rsidR="006F38A3" w:rsidRPr="000D7953">
              <w:rPr>
                <w:rStyle w:val="Hyperlink"/>
                <w:lang w:val="es-VE"/>
              </w:rPr>
              <w:t>Investigación y p</w:t>
            </w:r>
            <w:r w:rsidR="006F38A3" w:rsidRPr="000D7953">
              <w:rPr>
                <w:rStyle w:val="Hyperlink"/>
              </w:rPr>
              <w:t>roceso penal por el asesinato de Santiago Leguizamón</w:t>
            </w:r>
            <w:r w:rsidR="006F38A3" w:rsidRPr="000D7953">
              <w:rPr>
                <w:webHidden/>
              </w:rPr>
              <w:tab/>
            </w:r>
            <w:r w:rsidR="006F38A3" w:rsidRPr="000D7953">
              <w:rPr>
                <w:webHidden/>
              </w:rPr>
              <w:fldChar w:fldCharType="begin"/>
            </w:r>
            <w:r w:rsidR="006F38A3" w:rsidRPr="000D7953">
              <w:rPr>
                <w:webHidden/>
              </w:rPr>
              <w:instrText xml:space="preserve"> PAGEREF _Toc47965323 \h </w:instrText>
            </w:r>
            <w:r w:rsidR="006F38A3" w:rsidRPr="000D7953">
              <w:rPr>
                <w:webHidden/>
              </w:rPr>
            </w:r>
            <w:r w:rsidR="006F38A3" w:rsidRPr="000D7953">
              <w:rPr>
                <w:webHidden/>
              </w:rPr>
              <w:fldChar w:fldCharType="separate"/>
            </w:r>
            <w:r>
              <w:rPr>
                <w:webHidden/>
              </w:rPr>
              <w:t>8</w:t>
            </w:r>
            <w:r w:rsidR="006F38A3" w:rsidRPr="000D7953">
              <w:rPr>
                <w:webHidden/>
              </w:rPr>
              <w:fldChar w:fldCharType="end"/>
            </w:r>
          </w:hyperlink>
        </w:p>
        <w:p w14:paraId="66EDD84C" w14:textId="12748421" w:rsidR="006F38A3" w:rsidRPr="000D7953" w:rsidRDefault="00511D57">
          <w:pPr>
            <w:pStyle w:val="TOC3"/>
            <w:tabs>
              <w:tab w:val="left" w:pos="2160"/>
            </w:tabs>
            <w:rPr>
              <w:rFonts w:ascii="Cambria" w:eastAsiaTheme="minorEastAsia" w:hAnsi="Cambria" w:cstheme="minorBidi"/>
              <w:noProof/>
              <w:sz w:val="20"/>
              <w:szCs w:val="20"/>
              <w:bdr w:val="none" w:sz="0" w:space="0" w:color="auto"/>
            </w:rPr>
          </w:pPr>
          <w:hyperlink w:anchor="_Toc47965324" w:history="1">
            <w:r w:rsidR="006F38A3" w:rsidRPr="000D7953">
              <w:rPr>
                <w:rStyle w:val="Hyperlink"/>
                <w:rFonts w:ascii="Cambria" w:hAnsi="Cambria"/>
                <w:noProof/>
                <w:sz w:val="20"/>
                <w:szCs w:val="20"/>
                <w:lang w:val="es-VE"/>
              </w:rPr>
              <w:t>1.</w:t>
            </w:r>
            <w:r w:rsidR="006F38A3" w:rsidRPr="000D7953">
              <w:rPr>
                <w:rFonts w:ascii="Cambria" w:eastAsiaTheme="minorEastAsia" w:hAnsi="Cambria" w:cstheme="minorBidi"/>
                <w:noProof/>
                <w:sz w:val="20"/>
                <w:szCs w:val="20"/>
                <w:bdr w:val="none" w:sz="0" w:space="0" w:color="auto"/>
              </w:rPr>
              <w:tab/>
            </w:r>
            <w:r w:rsidR="006F38A3" w:rsidRPr="000D7953">
              <w:rPr>
                <w:rStyle w:val="Hyperlink"/>
                <w:rFonts w:ascii="Cambria" w:hAnsi="Cambria"/>
                <w:noProof/>
                <w:sz w:val="20"/>
                <w:szCs w:val="20"/>
              </w:rPr>
              <w:t>Diligencias iniciales y proceso penal ante el Juzgado de primera instancia en lo criminal y tutelar del menor del primer turno de la circunscripción judicial del Amambay</w:t>
            </w:r>
            <w:r w:rsidR="006F38A3" w:rsidRPr="000D7953">
              <w:rPr>
                <w:rFonts w:ascii="Cambria" w:hAnsi="Cambria"/>
                <w:noProof/>
                <w:webHidden/>
                <w:sz w:val="20"/>
                <w:szCs w:val="20"/>
              </w:rPr>
              <w:tab/>
            </w:r>
            <w:r w:rsidR="006F38A3" w:rsidRPr="000D7953">
              <w:rPr>
                <w:rFonts w:ascii="Cambria" w:hAnsi="Cambria"/>
                <w:noProof/>
                <w:webHidden/>
                <w:sz w:val="20"/>
                <w:szCs w:val="20"/>
              </w:rPr>
              <w:fldChar w:fldCharType="begin"/>
            </w:r>
            <w:r w:rsidR="006F38A3" w:rsidRPr="000D7953">
              <w:rPr>
                <w:rFonts w:ascii="Cambria" w:hAnsi="Cambria"/>
                <w:noProof/>
                <w:webHidden/>
                <w:sz w:val="20"/>
                <w:szCs w:val="20"/>
              </w:rPr>
              <w:instrText xml:space="preserve"> PAGEREF _Toc47965324 \h </w:instrText>
            </w:r>
            <w:r w:rsidR="006F38A3" w:rsidRPr="000D7953">
              <w:rPr>
                <w:rFonts w:ascii="Cambria" w:hAnsi="Cambria"/>
                <w:noProof/>
                <w:webHidden/>
                <w:sz w:val="20"/>
                <w:szCs w:val="20"/>
              </w:rPr>
            </w:r>
            <w:r w:rsidR="006F38A3" w:rsidRPr="000D7953">
              <w:rPr>
                <w:rFonts w:ascii="Cambria" w:hAnsi="Cambria"/>
                <w:noProof/>
                <w:webHidden/>
                <w:sz w:val="20"/>
                <w:szCs w:val="20"/>
              </w:rPr>
              <w:fldChar w:fldCharType="separate"/>
            </w:r>
            <w:r>
              <w:rPr>
                <w:rFonts w:ascii="Cambria" w:hAnsi="Cambria"/>
                <w:noProof/>
                <w:webHidden/>
                <w:sz w:val="20"/>
                <w:szCs w:val="20"/>
              </w:rPr>
              <w:t>8</w:t>
            </w:r>
            <w:r w:rsidR="006F38A3" w:rsidRPr="000D7953">
              <w:rPr>
                <w:rFonts w:ascii="Cambria" w:hAnsi="Cambria"/>
                <w:noProof/>
                <w:webHidden/>
                <w:sz w:val="20"/>
                <w:szCs w:val="20"/>
              </w:rPr>
              <w:fldChar w:fldCharType="end"/>
            </w:r>
          </w:hyperlink>
        </w:p>
        <w:p w14:paraId="4D8FBD77" w14:textId="0EE0F14D" w:rsidR="006F38A3" w:rsidRPr="000D7953" w:rsidRDefault="00511D57">
          <w:pPr>
            <w:pStyle w:val="TOC3"/>
            <w:tabs>
              <w:tab w:val="left" w:pos="2160"/>
            </w:tabs>
            <w:rPr>
              <w:rFonts w:ascii="Cambria" w:eastAsiaTheme="minorEastAsia" w:hAnsi="Cambria" w:cstheme="minorBidi"/>
              <w:noProof/>
              <w:sz w:val="20"/>
              <w:szCs w:val="20"/>
              <w:bdr w:val="none" w:sz="0" w:space="0" w:color="auto"/>
            </w:rPr>
          </w:pPr>
          <w:hyperlink w:anchor="_Toc47965325" w:history="1">
            <w:r w:rsidR="006F38A3" w:rsidRPr="000D7953">
              <w:rPr>
                <w:rStyle w:val="Hyperlink"/>
                <w:rFonts w:ascii="Cambria" w:hAnsi="Cambria"/>
                <w:noProof/>
                <w:sz w:val="20"/>
                <w:szCs w:val="20"/>
              </w:rPr>
              <w:t>2.</w:t>
            </w:r>
            <w:r w:rsidR="006F38A3" w:rsidRPr="000D7953">
              <w:rPr>
                <w:rFonts w:ascii="Cambria" w:eastAsiaTheme="minorEastAsia" w:hAnsi="Cambria" w:cstheme="minorBidi"/>
                <w:noProof/>
                <w:sz w:val="20"/>
                <w:szCs w:val="20"/>
                <w:bdr w:val="none" w:sz="0" w:space="0" w:color="auto"/>
              </w:rPr>
              <w:tab/>
            </w:r>
            <w:r w:rsidR="006F38A3" w:rsidRPr="000D7953">
              <w:rPr>
                <w:rStyle w:val="Hyperlink"/>
                <w:rFonts w:ascii="Cambria" w:hAnsi="Cambria"/>
                <w:noProof/>
                <w:sz w:val="20"/>
                <w:szCs w:val="20"/>
              </w:rPr>
              <w:t>Archivo de la investigación y solicitud de cooperación internacional a las autoridades de Brasil</w:t>
            </w:r>
            <w:r w:rsidR="006F38A3" w:rsidRPr="000D7953">
              <w:rPr>
                <w:rFonts w:ascii="Cambria" w:hAnsi="Cambria"/>
                <w:noProof/>
                <w:webHidden/>
                <w:sz w:val="20"/>
                <w:szCs w:val="20"/>
              </w:rPr>
              <w:tab/>
            </w:r>
            <w:r w:rsidR="006F38A3" w:rsidRPr="000D7953">
              <w:rPr>
                <w:rFonts w:ascii="Cambria" w:hAnsi="Cambria"/>
                <w:noProof/>
                <w:webHidden/>
                <w:sz w:val="20"/>
                <w:szCs w:val="20"/>
              </w:rPr>
              <w:fldChar w:fldCharType="begin"/>
            </w:r>
            <w:r w:rsidR="006F38A3" w:rsidRPr="000D7953">
              <w:rPr>
                <w:rFonts w:ascii="Cambria" w:hAnsi="Cambria"/>
                <w:noProof/>
                <w:webHidden/>
                <w:sz w:val="20"/>
                <w:szCs w:val="20"/>
              </w:rPr>
              <w:instrText xml:space="preserve"> PAGEREF _Toc47965325 \h </w:instrText>
            </w:r>
            <w:r w:rsidR="006F38A3" w:rsidRPr="000D7953">
              <w:rPr>
                <w:rFonts w:ascii="Cambria" w:hAnsi="Cambria"/>
                <w:noProof/>
                <w:webHidden/>
                <w:sz w:val="20"/>
                <w:szCs w:val="20"/>
              </w:rPr>
            </w:r>
            <w:r w:rsidR="006F38A3" w:rsidRPr="000D7953">
              <w:rPr>
                <w:rFonts w:ascii="Cambria" w:hAnsi="Cambria"/>
                <w:noProof/>
                <w:webHidden/>
                <w:sz w:val="20"/>
                <w:szCs w:val="20"/>
              </w:rPr>
              <w:fldChar w:fldCharType="separate"/>
            </w:r>
            <w:r>
              <w:rPr>
                <w:rFonts w:ascii="Cambria" w:hAnsi="Cambria"/>
                <w:noProof/>
                <w:webHidden/>
                <w:sz w:val="20"/>
                <w:szCs w:val="20"/>
              </w:rPr>
              <w:t>13</w:t>
            </w:r>
            <w:r w:rsidR="006F38A3" w:rsidRPr="000D7953">
              <w:rPr>
                <w:rFonts w:ascii="Cambria" w:hAnsi="Cambria"/>
                <w:noProof/>
                <w:webHidden/>
                <w:sz w:val="20"/>
                <w:szCs w:val="20"/>
              </w:rPr>
              <w:fldChar w:fldCharType="end"/>
            </w:r>
          </w:hyperlink>
        </w:p>
        <w:p w14:paraId="1E64609D" w14:textId="1C8CE38E" w:rsidR="006F38A3" w:rsidRPr="000D7953" w:rsidRDefault="00511D57">
          <w:pPr>
            <w:pStyle w:val="TOC3"/>
            <w:tabs>
              <w:tab w:val="left" w:pos="2160"/>
            </w:tabs>
            <w:rPr>
              <w:rFonts w:ascii="Cambria" w:eastAsiaTheme="minorEastAsia" w:hAnsi="Cambria" w:cstheme="minorBidi"/>
              <w:noProof/>
              <w:sz w:val="20"/>
              <w:szCs w:val="20"/>
              <w:bdr w:val="none" w:sz="0" w:space="0" w:color="auto"/>
            </w:rPr>
          </w:pPr>
          <w:hyperlink w:anchor="_Toc47965326" w:history="1">
            <w:r w:rsidR="006F38A3" w:rsidRPr="000D7953">
              <w:rPr>
                <w:rStyle w:val="Hyperlink"/>
                <w:rFonts w:ascii="Cambria" w:hAnsi="Cambria"/>
                <w:noProof/>
                <w:sz w:val="20"/>
                <w:szCs w:val="20"/>
              </w:rPr>
              <w:t>3.</w:t>
            </w:r>
            <w:r w:rsidR="006F38A3" w:rsidRPr="000D7953">
              <w:rPr>
                <w:rFonts w:ascii="Cambria" w:eastAsiaTheme="minorEastAsia" w:hAnsi="Cambria" w:cstheme="minorBidi"/>
                <w:noProof/>
                <w:sz w:val="20"/>
                <w:szCs w:val="20"/>
                <w:bdr w:val="none" w:sz="0" w:space="0" w:color="auto"/>
              </w:rPr>
              <w:tab/>
            </w:r>
            <w:r w:rsidR="006F38A3" w:rsidRPr="000D7953">
              <w:rPr>
                <w:rStyle w:val="Hyperlink"/>
                <w:rFonts w:ascii="Cambria" w:hAnsi="Cambria"/>
                <w:noProof/>
                <w:sz w:val="20"/>
                <w:szCs w:val="20"/>
              </w:rPr>
              <w:t>Amenazas a los familiares de Santiago Leguizamón y consecuencias sufridas con motivo de su asesinato</w:t>
            </w:r>
            <w:r w:rsidR="006F38A3" w:rsidRPr="000D7953">
              <w:rPr>
                <w:rFonts w:ascii="Cambria" w:hAnsi="Cambria"/>
                <w:noProof/>
                <w:webHidden/>
                <w:sz w:val="20"/>
                <w:szCs w:val="20"/>
              </w:rPr>
              <w:tab/>
            </w:r>
            <w:r w:rsidR="006F38A3" w:rsidRPr="000D7953">
              <w:rPr>
                <w:rFonts w:ascii="Cambria" w:hAnsi="Cambria"/>
                <w:noProof/>
                <w:webHidden/>
                <w:sz w:val="20"/>
                <w:szCs w:val="20"/>
              </w:rPr>
              <w:fldChar w:fldCharType="begin"/>
            </w:r>
            <w:r w:rsidR="006F38A3" w:rsidRPr="000D7953">
              <w:rPr>
                <w:rFonts w:ascii="Cambria" w:hAnsi="Cambria"/>
                <w:noProof/>
                <w:webHidden/>
                <w:sz w:val="20"/>
                <w:szCs w:val="20"/>
              </w:rPr>
              <w:instrText xml:space="preserve"> PAGEREF _Toc47965326 \h </w:instrText>
            </w:r>
            <w:r w:rsidR="006F38A3" w:rsidRPr="000D7953">
              <w:rPr>
                <w:rFonts w:ascii="Cambria" w:hAnsi="Cambria"/>
                <w:noProof/>
                <w:webHidden/>
                <w:sz w:val="20"/>
                <w:szCs w:val="20"/>
              </w:rPr>
            </w:r>
            <w:r w:rsidR="006F38A3" w:rsidRPr="000D7953">
              <w:rPr>
                <w:rFonts w:ascii="Cambria" w:hAnsi="Cambria"/>
                <w:noProof/>
                <w:webHidden/>
                <w:sz w:val="20"/>
                <w:szCs w:val="20"/>
              </w:rPr>
              <w:fldChar w:fldCharType="separate"/>
            </w:r>
            <w:r>
              <w:rPr>
                <w:rFonts w:ascii="Cambria" w:hAnsi="Cambria"/>
                <w:noProof/>
                <w:webHidden/>
                <w:sz w:val="20"/>
                <w:szCs w:val="20"/>
              </w:rPr>
              <w:t>14</w:t>
            </w:r>
            <w:r w:rsidR="006F38A3" w:rsidRPr="000D7953">
              <w:rPr>
                <w:rFonts w:ascii="Cambria" w:hAnsi="Cambria"/>
                <w:noProof/>
                <w:webHidden/>
                <w:sz w:val="20"/>
                <w:szCs w:val="20"/>
              </w:rPr>
              <w:fldChar w:fldCharType="end"/>
            </w:r>
          </w:hyperlink>
        </w:p>
        <w:p w14:paraId="0BDB2D79" w14:textId="4D79DA80" w:rsidR="006F38A3" w:rsidRPr="000D7953" w:rsidRDefault="00511D57">
          <w:pPr>
            <w:pStyle w:val="TOC1"/>
            <w:rPr>
              <w:rFonts w:eastAsiaTheme="minorEastAsia" w:cstheme="minorBidi"/>
              <w:b w:val="0"/>
              <w:bCs w:val="0"/>
              <w:bdr w:val="none" w:sz="0" w:space="0" w:color="auto"/>
              <w:lang w:val="en-US"/>
            </w:rPr>
          </w:pPr>
          <w:hyperlink w:anchor="_Toc47965327" w:history="1">
            <w:r w:rsidR="006F38A3" w:rsidRPr="000D7953">
              <w:rPr>
                <w:rStyle w:val="Hyperlink"/>
              </w:rPr>
              <w:t>IV.</w:t>
            </w:r>
            <w:r w:rsidR="006F38A3" w:rsidRPr="000D7953">
              <w:rPr>
                <w:rFonts w:eastAsiaTheme="minorEastAsia" w:cstheme="minorBidi"/>
                <w:b w:val="0"/>
                <w:bCs w:val="0"/>
                <w:bdr w:val="none" w:sz="0" w:space="0" w:color="auto"/>
                <w:lang w:val="en-US"/>
              </w:rPr>
              <w:tab/>
            </w:r>
            <w:r w:rsidR="006F38A3" w:rsidRPr="000D7953">
              <w:rPr>
                <w:rStyle w:val="Hyperlink"/>
              </w:rPr>
              <w:t>ANÁLISIS DE DERECHO</w:t>
            </w:r>
            <w:r w:rsidR="006F38A3" w:rsidRPr="000D7953">
              <w:rPr>
                <w:webHidden/>
              </w:rPr>
              <w:tab/>
            </w:r>
            <w:r w:rsidR="006F38A3" w:rsidRPr="000D7953">
              <w:rPr>
                <w:webHidden/>
              </w:rPr>
              <w:fldChar w:fldCharType="begin"/>
            </w:r>
            <w:r w:rsidR="006F38A3" w:rsidRPr="000D7953">
              <w:rPr>
                <w:webHidden/>
              </w:rPr>
              <w:instrText xml:space="preserve"> PAGEREF _Toc47965327 \h </w:instrText>
            </w:r>
            <w:r w:rsidR="006F38A3" w:rsidRPr="000D7953">
              <w:rPr>
                <w:webHidden/>
              </w:rPr>
            </w:r>
            <w:r w:rsidR="006F38A3" w:rsidRPr="000D7953">
              <w:rPr>
                <w:webHidden/>
              </w:rPr>
              <w:fldChar w:fldCharType="separate"/>
            </w:r>
            <w:r>
              <w:rPr>
                <w:webHidden/>
              </w:rPr>
              <w:t>15</w:t>
            </w:r>
            <w:r w:rsidR="006F38A3" w:rsidRPr="000D7953">
              <w:rPr>
                <w:webHidden/>
              </w:rPr>
              <w:fldChar w:fldCharType="end"/>
            </w:r>
          </w:hyperlink>
        </w:p>
        <w:p w14:paraId="726C248A" w14:textId="289EE0DD" w:rsidR="006F38A3" w:rsidRPr="000D7953" w:rsidRDefault="00511D57">
          <w:pPr>
            <w:pStyle w:val="TOC2"/>
            <w:rPr>
              <w:rFonts w:eastAsiaTheme="minorEastAsia" w:cstheme="minorBidi"/>
              <w:bdr w:val="none" w:sz="0" w:space="0" w:color="auto"/>
              <w:lang w:val="en-US" w:eastAsia="en-US"/>
            </w:rPr>
          </w:pPr>
          <w:hyperlink w:anchor="_Toc47965328" w:history="1">
            <w:r w:rsidR="006F38A3" w:rsidRPr="000D7953">
              <w:rPr>
                <w:rStyle w:val="Hyperlink"/>
              </w:rPr>
              <w:t>A.</w:t>
            </w:r>
            <w:r w:rsidR="006F38A3" w:rsidRPr="000D7953">
              <w:rPr>
                <w:rFonts w:eastAsiaTheme="minorEastAsia" w:cstheme="minorBidi"/>
                <w:bdr w:val="none" w:sz="0" w:space="0" w:color="auto"/>
                <w:lang w:val="en-US" w:eastAsia="en-US"/>
              </w:rPr>
              <w:tab/>
            </w:r>
            <w:r w:rsidR="006F38A3" w:rsidRPr="000D7953">
              <w:rPr>
                <w:rStyle w:val="Hyperlink"/>
              </w:rPr>
              <w:t>Derechos</w:t>
            </w:r>
            <w:r w:rsidR="006F38A3" w:rsidRPr="000D7953">
              <w:rPr>
                <w:rStyle w:val="Hyperlink"/>
                <w:lang w:val="es-ES"/>
              </w:rPr>
              <w:t xml:space="preserve"> a la vida (artículo 4), </w:t>
            </w:r>
            <w:r w:rsidR="006F38A3" w:rsidRPr="000D7953">
              <w:rPr>
                <w:rStyle w:val="Hyperlink"/>
              </w:rPr>
              <w:t xml:space="preserve">a la libertad de pensamiento y de expresión (artículo 13), </w:t>
            </w:r>
            <w:r w:rsidR="006F38A3" w:rsidRPr="000D7953">
              <w:rPr>
                <w:rStyle w:val="Hyperlink"/>
                <w:lang w:val="es-ES"/>
              </w:rPr>
              <w:t>a las garantías judiciales (artículo 8)</w:t>
            </w:r>
            <w:r w:rsidR="006F38A3" w:rsidRPr="000D7953">
              <w:rPr>
                <w:rStyle w:val="Hyperlink"/>
                <w:vertAlign w:val="superscript"/>
                <w:lang w:val="es-ES"/>
              </w:rPr>
              <w:t xml:space="preserve"> </w:t>
            </w:r>
            <w:r w:rsidR="006F38A3" w:rsidRPr="000D7953">
              <w:rPr>
                <w:rStyle w:val="Hyperlink"/>
                <w:lang w:val="es-ES"/>
              </w:rPr>
              <w:t xml:space="preserve">y a la protección judicial (artículo 25) </w:t>
            </w:r>
            <w:r w:rsidR="006F38A3" w:rsidRPr="000D7953">
              <w:rPr>
                <w:rStyle w:val="Hyperlink"/>
              </w:rPr>
              <w:t>en relación con el artículo 1.1 de la Convención Americana</w:t>
            </w:r>
            <w:r w:rsidR="006F38A3" w:rsidRPr="000D7953">
              <w:rPr>
                <w:webHidden/>
              </w:rPr>
              <w:tab/>
            </w:r>
            <w:r w:rsidR="006F38A3" w:rsidRPr="000D7953">
              <w:rPr>
                <w:webHidden/>
              </w:rPr>
              <w:fldChar w:fldCharType="begin"/>
            </w:r>
            <w:r w:rsidR="006F38A3" w:rsidRPr="000D7953">
              <w:rPr>
                <w:webHidden/>
              </w:rPr>
              <w:instrText xml:space="preserve"> PAGEREF _Toc47965328 \h </w:instrText>
            </w:r>
            <w:r w:rsidR="006F38A3" w:rsidRPr="000D7953">
              <w:rPr>
                <w:webHidden/>
              </w:rPr>
            </w:r>
            <w:r w:rsidR="006F38A3" w:rsidRPr="000D7953">
              <w:rPr>
                <w:webHidden/>
              </w:rPr>
              <w:fldChar w:fldCharType="separate"/>
            </w:r>
            <w:r>
              <w:rPr>
                <w:webHidden/>
              </w:rPr>
              <w:t>15</w:t>
            </w:r>
            <w:r w:rsidR="006F38A3" w:rsidRPr="000D7953">
              <w:rPr>
                <w:webHidden/>
              </w:rPr>
              <w:fldChar w:fldCharType="end"/>
            </w:r>
          </w:hyperlink>
        </w:p>
        <w:p w14:paraId="39C2BB11" w14:textId="1BD56AC4" w:rsidR="006F38A3" w:rsidRPr="000D7953" w:rsidRDefault="00511D57">
          <w:pPr>
            <w:pStyle w:val="TOC3"/>
            <w:tabs>
              <w:tab w:val="left" w:pos="2160"/>
            </w:tabs>
            <w:rPr>
              <w:rFonts w:ascii="Cambria" w:eastAsiaTheme="minorEastAsia" w:hAnsi="Cambria" w:cstheme="minorBidi"/>
              <w:noProof/>
              <w:sz w:val="20"/>
              <w:szCs w:val="20"/>
              <w:bdr w:val="none" w:sz="0" w:space="0" w:color="auto"/>
            </w:rPr>
          </w:pPr>
          <w:hyperlink w:anchor="_Toc47965329" w:history="1">
            <w:r w:rsidR="006F38A3" w:rsidRPr="000D7953">
              <w:rPr>
                <w:rStyle w:val="Hyperlink"/>
                <w:rFonts w:ascii="Cambria" w:hAnsi="Cambria"/>
                <w:noProof/>
                <w:sz w:val="20"/>
                <w:szCs w:val="20"/>
              </w:rPr>
              <w:t>1.</w:t>
            </w:r>
            <w:r w:rsidR="006F38A3" w:rsidRPr="000D7953">
              <w:rPr>
                <w:rFonts w:ascii="Cambria" w:eastAsiaTheme="minorEastAsia" w:hAnsi="Cambria" w:cstheme="minorBidi"/>
                <w:noProof/>
                <w:sz w:val="20"/>
                <w:szCs w:val="20"/>
                <w:bdr w:val="none" w:sz="0" w:space="0" w:color="auto"/>
              </w:rPr>
              <w:tab/>
            </w:r>
            <w:r w:rsidR="006F38A3" w:rsidRPr="000D7953">
              <w:rPr>
                <w:rStyle w:val="Hyperlink"/>
                <w:rFonts w:ascii="Cambria" w:hAnsi="Cambria"/>
                <w:noProof/>
                <w:sz w:val="20"/>
                <w:szCs w:val="20"/>
              </w:rPr>
              <w:t>Consideraciones generales sobre el rol trascendental de la prensa y las obligaciones positivas de los Estados frente a crímenes contra periodistas cometidos por el ejercicio de la libertad de expresión</w:t>
            </w:r>
            <w:r w:rsidR="006F38A3" w:rsidRPr="000D7953">
              <w:rPr>
                <w:rFonts w:ascii="Cambria" w:hAnsi="Cambria"/>
                <w:noProof/>
                <w:webHidden/>
                <w:sz w:val="20"/>
                <w:szCs w:val="20"/>
              </w:rPr>
              <w:tab/>
            </w:r>
            <w:r w:rsidR="006F38A3" w:rsidRPr="000D7953">
              <w:rPr>
                <w:rFonts w:ascii="Cambria" w:hAnsi="Cambria"/>
                <w:noProof/>
                <w:webHidden/>
                <w:sz w:val="20"/>
                <w:szCs w:val="20"/>
              </w:rPr>
              <w:fldChar w:fldCharType="begin"/>
            </w:r>
            <w:r w:rsidR="006F38A3" w:rsidRPr="000D7953">
              <w:rPr>
                <w:rFonts w:ascii="Cambria" w:hAnsi="Cambria"/>
                <w:noProof/>
                <w:webHidden/>
                <w:sz w:val="20"/>
                <w:szCs w:val="20"/>
              </w:rPr>
              <w:instrText xml:space="preserve"> PAGEREF _Toc47965329 \h </w:instrText>
            </w:r>
            <w:r w:rsidR="006F38A3" w:rsidRPr="000D7953">
              <w:rPr>
                <w:rFonts w:ascii="Cambria" w:hAnsi="Cambria"/>
                <w:noProof/>
                <w:webHidden/>
                <w:sz w:val="20"/>
                <w:szCs w:val="20"/>
              </w:rPr>
            </w:r>
            <w:r w:rsidR="006F38A3" w:rsidRPr="000D7953">
              <w:rPr>
                <w:rFonts w:ascii="Cambria" w:hAnsi="Cambria"/>
                <w:noProof/>
                <w:webHidden/>
                <w:sz w:val="20"/>
                <w:szCs w:val="20"/>
              </w:rPr>
              <w:fldChar w:fldCharType="separate"/>
            </w:r>
            <w:r>
              <w:rPr>
                <w:rFonts w:ascii="Cambria" w:hAnsi="Cambria"/>
                <w:noProof/>
                <w:webHidden/>
                <w:sz w:val="20"/>
                <w:szCs w:val="20"/>
              </w:rPr>
              <w:t>15</w:t>
            </w:r>
            <w:r w:rsidR="006F38A3" w:rsidRPr="000D7953">
              <w:rPr>
                <w:rFonts w:ascii="Cambria" w:hAnsi="Cambria"/>
                <w:noProof/>
                <w:webHidden/>
                <w:sz w:val="20"/>
                <w:szCs w:val="20"/>
              </w:rPr>
              <w:fldChar w:fldCharType="end"/>
            </w:r>
          </w:hyperlink>
        </w:p>
        <w:p w14:paraId="7E8F5B9B" w14:textId="3CA4F291" w:rsidR="006F38A3" w:rsidRPr="000D7953" w:rsidRDefault="00511D57">
          <w:pPr>
            <w:pStyle w:val="TOC3"/>
            <w:tabs>
              <w:tab w:val="left" w:pos="2160"/>
            </w:tabs>
            <w:rPr>
              <w:rFonts w:ascii="Cambria" w:eastAsiaTheme="minorEastAsia" w:hAnsi="Cambria" w:cstheme="minorBidi"/>
              <w:noProof/>
              <w:sz w:val="20"/>
              <w:szCs w:val="20"/>
              <w:bdr w:val="none" w:sz="0" w:space="0" w:color="auto"/>
            </w:rPr>
          </w:pPr>
          <w:hyperlink w:anchor="_Toc47965330" w:history="1">
            <w:r w:rsidR="006F38A3" w:rsidRPr="000D7953">
              <w:rPr>
                <w:rStyle w:val="Hyperlink"/>
                <w:rFonts w:ascii="Cambria" w:hAnsi="Cambria"/>
                <w:noProof/>
                <w:sz w:val="20"/>
                <w:szCs w:val="20"/>
              </w:rPr>
              <w:t>2.</w:t>
            </w:r>
            <w:r w:rsidR="006F38A3" w:rsidRPr="000D7953">
              <w:rPr>
                <w:rFonts w:ascii="Cambria" w:eastAsiaTheme="minorEastAsia" w:hAnsi="Cambria" w:cstheme="minorBidi"/>
                <w:noProof/>
                <w:sz w:val="20"/>
                <w:szCs w:val="20"/>
                <w:bdr w:val="none" w:sz="0" w:space="0" w:color="auto"/>
              </w:rPr>
              <w:tab/>
            </w:r>
            <w:r w:rsidR="006F38A3" w:rsidRPr="000D7953">
              <w:rPr>
                <w:rStyle w:val="Hyperlink"/>
                <w:rFonts w:ascii="Cambria" w:hAnsi="Cambria"/>
                <w:noProof/>
                <w:sz w:val="20"/>
                <w:szCs w:val="20"/>
                <w:lang w:val="es-US"/>
              </w:rPr>
              <w:t>Consideraciones s</w:t>
            </w:r>
            <w:r w:rsidR="006F38A3" w:rsidRPr="000D7953">
              <w:rPr>
                <w:rStyle w:val="Hyperlink"/>
                <w:rFonts w:ascii="Cambria" w:hAnsi="Cambria"/>
                <w:noProof/>
                <w:sz w:val="20"/>
                <w:szCs w:val="20"/>
              </w:rPr>
              <w:t>obre el deber de prevención de la violación al derecho a la vida y la obligación de proteger a periodistas expuestos a un riesgo especial</w:t>
            </w:r>
            <w:r w:rsidR="006F38A3" w:rsidRPr="000D7953">
              <w:rPr>
                <w:rFonts w:ascii="Cambria" w:hAnsi="Cambria"/>
                <w:noProof/>
                <w:webHidden/>
                <w:sz w:val="20"/>
                <w:szCs w:val="20"/>
              </w:rPr>
              <w:tab/>
            </w:r>
            <w:r w:rsidR="006F38A3" w:rsidRPr="000D7953">
              <w:rPr>
                <w:rFonts w:ascii="Cambria" w:hAnsi="Cambria"/>
                <w:noProof/>
                <w:webHidden/>
                <w:sz w:val="20"/>
                <w:szCs w:val="20"/>
              </w:rPr>
              <w:fldChar w:fldCharType="begin"/>
            </w:r>
            <w:r w:rsidR="006F38A3" w:rsidRPr="000D7953">
              <w:rPr>
                <w:rFonts w:ascii="Cambria" w:hAnsi="Cambria"/>
                <w:noProof/>
                <w:webHidden/>
                <w:sz w:val="20"/>
                <w:szCs w:val="20"/>
              </w:rPr>
              <w:instrText xml:space="preserve"> PAGEREF _Toc47965330 \h </w:instrText>
            </w:r>
            <w:r w:rsidR="006F38A3" w:rsidRPr="000D7953">
              <w:rPr>
                <w:rFonts w:ascii="Cambria" w:hAnsi="Cambria"/>
                <w:noProof/>
                <w:webHidden/>
                <w:sz w:val="20"/>
                <w:szCs w:val="20"/>
              </w:rPr>
            </w:r>
            <w:r w:rsidR="006F38A3" w:rsidRPr="000D7953">
              <w:rPr>
                <w:rFonts w:ascii="Cambria" w:hAnsi="Cambria"/>
                <w:noProof/>
                <w:webHidden/>
                <w:sz w:val="20"/>
                <w:szCs w:val="20"/>
              </w:rPr>
              <w:fldChar w:fldCharType="separate"/>
            </w:r>
            <w:r>
              <w:rPr>
                <w:rFonts w:ascii="Cambria" w:hAnsi="Cambria"/>
                <w:noProof/>
                <w:webHidden/>
                <w:sz w:val="20"/>
                <w:szCs w:val="20"/>
              </w:rPr>
              <w:t>17</w:t>
            </w:r>
            <w:r w:rsidR="006F38A3" w:rsidRPr="000D7953">
              <w:rPr>
                <w:rFonts w:ascii="Cambria" w:hAnsi="Cambria"/>
                <w:noProof/>
                <w:webHidden/>
                <w:sz w:val="20"/>
                <w:szCs w:val="20"/>
              </w:rPr>
              <w:fldChar w:fldCharType="end"/>
            </w:r>
          </w:hyperlink>
        </w:p>
        <w:p w14:paraId="5CBA40BE" w14:textId="0A16A82A" w:rsidR="006F38A3" w:rsidRPr="000D7953" w:rsidRDefault="00511D57">
          <w:pPr>
            <w:pStyle w:val="TOC3"/>
            <w:tabs>
              <w:tab w:val="left" w:pos="2160"/>
            </w:tabs>
            <w:rPr>
              <w:rFonts w:ascii="Cambria" w:eastAsiaTheme="minorEastAsia" w:hAnsi="Cambria" w:cstheme="minorBidi"/>
              <w:noProof/>
              <w:sz w:val="20"/>
              <w:szCs w:val="20"/>
              <w:bdr w:val="none" w:sz="0" w:space="0" w:color="auto"/>
            </w:rPr>
          </w:pPr>
          <w:hyperlink w:anchor="_Toc47965331" w:history="1">
            <w:r w:rsidR="006F38A3" w:rsidRPr="000D7953">
              <w:rPr>
                <w:rStyle w:val="Hyperlink"/>
                <w:rFonts w:ascii="Cambria" w:hAnsi="Cambria"/>
                <w:noProof/>
                <w:sz w:val="20"/>
                <w:szCs w:val="20"/>
              </w:rPr>
              <w:t>3.</w:t>
            </w:r>
            <w:r w:rsidR="006F38A3" w:rsidRPr="000D7953">
              <w:rPr>
                <w:rFonts w:ascii="Cambria" w:eastAsiaTheme="minorEastAsia" w:hAnsi="Cambria" w:cstheme="minorBidi"/>
                <w:noProof/>
                <w:sz w:val="20"/>
                <w:szCs w:val="20"/>
                <w:bdr w:val="none" w:sz="0" w:space="0" w:color="auto"/>
              </w:rPr>
              <w:tab/>
            </w:r>
            <w:r w:rsidR="006F38A3" w:rsidRPr="000D7953">
              <w:rPr>
                <w:rStyle w:val="Hyperlink"/>
                <w:rFonts w:ascii="Cambria" w:hAnsi="Cambria"/>
                <w:noProof/>
                <w:sz w:val="20"/>
                <w:szCs w:val="20"/>
              </w:rPr>
              <w:t>Consideraciones generales sobre el deber de investigar crímenes contra periodistas por el ejercicio de su derecho a la libertad de expresión</w:t>
            </w:r>
            <w:r w:rsidR="006F38A3" w:rsidRPr="000D7953">
              <w:rPr>
                <w:rFonts w:ascii="Cambria" w:hAnsi="Cambria"/>
                <w:noProof/>
                <w:webHidden/>
                <w:sz w:val="20"/>
                <w:szCs w:val="20"/>
              </w:rPr>
              <w:tab/>
            </w:r>
            <w:r w:rsidR="006F38A3" w:rsidRPr="000D7953">
              <w:rPr>
                <w:rFonts w:ascii="Cambria" w:hAnsi="Cambria"/>
                <w:noProof/>
                <w:webHidden/>
                <w:sz w:val="20"/>
                <w:szCs w:val="20"/>
              </w:rPr>
              <w:fldChar w:fldCharType="begin"/>
            </w:r>
            <w:r w:rsidR="006F38A3" w:rsidRPr="000D7953">
              <w:rPr>
                <w:rFonts w:ascii="Cambria" w:hAnsi="Cambria"/>
                <w:noProof/>
                <w:webHidden/>
                <w:sz w:val="20"/>
                <w:szCs w:val="20"/>
              </w:rPr>
              <w:instrText xml:space="preserve"> PAGEREF _Toc47965331 \h </w:instrText>
            </w:r>
            <w:r w:rsidR="006F38A3" w:rsidRPr="000D7953">
              <w:rPr>
                <w:rFonts w:ascii="Cambria" w:hAnsi="Cambria"/>
                <w:noProof/>
                <w:webHidden/>
                <w:sz w:val="20"/>
                <w:szCs w:val="20"/>
              </w:rPr>
            </w:r>
            <w:r w:rsidR="006F38A3" w:rsidRPr="000D7953">
              <w:rPr>
                <w:rFonts w:ascii="Cambria" w:hAnsi="Cambria"/>
                <w:noProof/>
                <w:webHidden/>
                <w:sz w:val="20"/>
                <w:szCs w:val="20"/>
              </w:rPr>
              <w:fldChar w:fldCharType="separate"/>
            </w:r>
            <w:r>
              <w:rPr>
                <w:rFonts w:ascii="Cambria" w:hAnsi="Cambria"/>
                <w:noProof/>
                <w:webHidden/>
                <w:sz w:val="20"/>
                <w:szCs w:val="20"/>
              </w:rPr>
              <w:t>18</w:t>
            </w:r>
            <w:r w:rsidR="006F38A3" w:rsidRPr="000D7953">
              <w:rPr>
                <w:rFonts w:ascii="Cambria" w:hAnsi="Cambria"/>
                <w:noProof/>
                <w:webHidden/>
                <w:sz w:val="20"/>
                <w:szCs w:val="20"/>
              </w:rPr>
              <w:fldChar w:fldCharType="end"/>
            </w:r>
          </w:hyperlink>
        </w:p>
        <w:p w14:paraId="7052A78A" w14:textId="410826CC" w:rsidR="006F38A3" w:rsidRPr="000D7953" w:rsidRDefault="00511D57">
          <w:pPr>
            <w:pStyle w:val="TOC3"/>
            <w:tabs>
              <w:tab w:val="left" w:pos="2160"/>
            </w:tabs>
            <w:rPr>
              <w:rFonts w:ascii="Cambria" w:eastAsiaTheme="minorEastAsia" w:hAnsi="Cambria" w:cstheme="minorBidi"/>
              <w:noProof/>
              <w:sz w:val="20"/>
              <w:szCs w:val="20"/>
              <w:bdr w:val="none" w:sz="0" w:space="0" w:color="auto"/>
            </w:rPr>
          </w:pPr>
          <w:hyperlink w:anchor="_Toc47965332" w:history="1">
            <w:r w:rsidR="006F38A3" w:rsidRPr="000D7953">
              <w:rPr>
                <w:rStyle w:val="Hyperlink"/>
                <w:rFonts w:ascii="Cambria" w:hAnsi="Cambria"/>
                <w:noProof/>
                <w:sz w:val="20"/>
                <w:szCs w:val="20"/>
                <w:lang w:val="es-US"/>
              </w:rPr>
              <w:t>4.</w:t>
            </w:r>
            <w:r w:rsidR="006F38A3" w:rsidRPr="000D7953">
              <w:rPr>
                <w:rFonts w:ascii="Cambria" w:eastAsiaTheme="minorEastAsia" w:hAnsi="Cambria" w:cstheme="minorBidi"/>
                <w:noProof/>
                <w:sz w:val="20"/>
                <w:szCs w:val="20"/>
                <w:bdr w:val="none" w:sz="0" w:space="0" w:color="auto"/>
              </w:rPr>
              <w:tab/>
            </w:r>
            <w:r w:rsidR="006F38A3" w:rsidRPr="000D7953">
              <w:rPr>
                <w:rStyle w:val="Hyperlink"/>
                <w:rFonts w:ascii="Cambria" w:hAnsi="Cambria"/>
                <w:noProof/>
                <w:sz w:val="20"/>
                <w:szCs w:val="20"/>
              </w:rPr>
              <w:t>Análisis del caso</w:t>
            </w:r>
            <w:r w:rsidR="006F38A3" w:rsidRPr="000D7953">
              <w:rPr>
                <w:rFonts w:ascii="Cambria" w:hAnsi="Cambria"/>
                <w:noProof/>
                <w:webHidden/>
                <w:sz w:val="20"/>
                <w:szCs w:val="20"/>
              </w:rPr>
              <w:tab/>
            </w:r>
            <w:r w:rsidR="006F38A3" w:rsidRPr="000D7953">
              <w:rPr>
                <w:rFonts w:ascii="Cambria" w:hAnsi="Cambria"/>
                <w:noProof/>
                <w:webHidden/>
                <w:sz w:val="20"/>
                <w:szCs w:val="20"/>
              </w:rPr>
              <w:fldChar w:fldCharType="begin"/>
            </w:r>
            <w:r w:rsidR="006F38A3" w:rsidRPr="000D7953">
              <w:rPr>
                <w:rFonts w:ascii="Cambria" w:hAnsi="Cambria"/>
                <w:noProof/>
                <w:webHidden/>
                <w:sz w:val="20"/>
                <w:szCs w:val="20"/>
              </w:rPr>
              <w:instrText xml:space="preserve"> PAGEREF _Toc47965332 \h </w:instrText>
            </w:r>
            <w:r w:rsidR="006F38A3" w:rsidRPr="000D7953">
              <w:rPr>
                <w:rFonts w:ascii="Cambria" w:hAnsi="Cambria"/>
                <w:noProof/>
                <w:webHidden/>
                <w:sz w:val="20"/>
                <w:szCs w:val="20"/>
              </w:rPr>
            </w:r>
            <w:r w:rsidR="006F38A3" w:rsidRPr="000D7953">
              <w:rPr>
                <w:rFonts w:ascii="Cambria" w:hAnsi="Cambria"/>
                <w:noProof/>
                <w:webHidden/>
                <w:sz w:val="20"/>
                <w:szCs w:val="20"/>
              </w:rPr>
              <w:fldChar w:fldCharType="separate"/>
            </w:r>
            <w:r>
              <w:rPr>
                <w:rFonts w:ascii="Cambria" w:hAnsi="Cambria"/>
                <w:noProof/>
                <w:webHidden/>
                <w:sz w:val="20"/>
                <w:szCs w:val="20"/>
              </w:rPr>
              <w:t>22</w:t>
            </w:r>
            <w:r w:rsidR="006F38A3" w:rsidRPr="000D7953">
              <w:rPr>
                <w:rFonts w:ascii="Cambria" w:hAnsi="Cambria"/>
                <w:noProof/>
                <w:webHidden/>
                <w:sz w:val="20"/>
                <w:szCs w:val="20"/>
              </w:rPr>
              <w:fldChar w:fldCharType="end"/>
            </w:r>
          </w:hyperlink>
        </w:p>
        <w:p w14:paraId="2DF25644" w14:textId="5786C562" w:rsidR="006F38A3" w:rsidRPr="000D7953" w:rsidRDefault="00511D57">
          <w:pPr>
            <w:pStyle w:val="TOC2"/>
            <w:rPr>
              <w:rFonts w:eastAsiaTheme="minorEastAsia" w:cstheme="minorBidi"/>
              <w:bdr w:val="none" w:sz="0" w:space="0" w:color="auto"/>
              <w:lang w:val="en-US" w:eastAsia="en-US"/>
            </w:rPr>
          </w:pPr>
          <w:hyperlink w:anchor="_Toc47965333" w:history="1">
            <w:r w:rsidR="006F38A3" w:rsidRPr="000D7953">
              <w:rPr>
                <w:rStyle w:val="Hyperlink"/>
                <w:lang w:val="es-ES"/>
              </w:rPr>
              <w:t>B.</w:t>
            </w:r>
            <w:r w:rsidR="006F38A3" w:rsidRPr="000D7953">
              <w:rPr>
                <w:rFonts w:eastAsiaTheme="minorEastAsia" w:cstheme="minorBidi"/>
                <w:bdr w:val="none" w:sz="0" w:space="0" w:color="auto"/>
                <w:lang w:val="en-US" w:eastAsia="en-US"/>
              </w:rPr>
              <w:tab/>
            </w:r>
            <w:r w:rsidR="006F38A3" w:rsidRPr="000D7953">
              <w:rPr>
                <w:rStyle w:val="Hyperlink"/>
              </w:rPr>
              <w:t xml:space="preserve">Derecho </w:t>
            </w:r>
            <w:r w:rsidR="006F38A3" w:rsidRPr="000D7953">
              <w:rPr>
                <w:rStyle w:val="Hyperlink"/>
                <w:lang w:val="es-ES"/>
              </w:rPr>
              <w:t xml:space="preserve">a la integridad personal (artículo 5.1) </w:t>
            </w:r>
            <w:r w:rsidR="006F38A3" w:rsidRPr="000D7953">
              <w:rPr>
                <w:rStyle w:val="Hyperlink"/>
                <w:rFonts w:cs="Verdana"/>
                <w:lang w:val="es-CO"/>
              </w:rPr>
              <w:t>en relación con la obligación general de respetar derechos (artículo 1.1)</w:t>
            </w:r>
            <w:r w:rsidR="006F38A3" w:rsidRPr="000D7953">
              <w:rPr>
                <w:rStyle w:val="Hyperlink"/>
                <w:lang w:val="es-ES"/>
              </w:rPr>
              <w:t xml:space="preserve"> de la Convención Americana en perjuicio de los familiares</w:t>
            </w:r>
            <w:r w:rsidR="006F38A3" w:rsidRPr="000D7953">
              <w:rPr>
                <w:webHidden/>
              </w:rPr>
              <w:tab/>
            </w:r>
            <w:r w:rsidR="006F38A3" w:rsidRPr="000D7953">
              <w:rPr>
                <w:webHidden/>
              </w:rPr>
              <w:fldChar w:fldCharType="begin"/>
            </w:r>
            <w:r w:rsidR="006F38A3" w:rsidRPr="000D7953">
              <w:rPr>
                <w:webHidden/>
              </w:rPr>
              <w:instrText xml:space="preserve"> PAGEREF _Toc47965333 \h </w:instrText>
            </w:r>
            <w:r w:rsidR="006F38A3" w:rsidRPr="000D7953">
              <w:rPr>
                <w:webHidden/>
              </w:rPr>
            </w:r>
            <w:r w:rsidR="006F38A3" w:rsidRPr="000D7953">
              <w:rPr>
                <w:webHidden/>
              </w:rPr>
              <w:fldChar w:fldCharType="separate"/>
            </w:r>
            <w:r>
              <w:rPr>
                <w:webHidden/>
              </w:rPr>
              <w:t>27</w:t>
            </w:r>
            <w:r w:rsidR="006F38A3" w:rsidRPr="000D7953">
              <w:rPr>
                <w:webHidden/>
              </w:rPr>
              <w:fldChar w:fldCharType="end"/>
            </w:r>
          </w:hyperlink>
        </w:p>
        <w:p w14:paraId="44E42F5E" w14:textId="3D7CB54F" w:rsidR="006F38A3" w:rsidRPr="000D7953" w:rsidRDefault="00511D57">
          <w:pPr>
            <w:pStyle w:val="TOC1"/>
            <w:rPr>
              <w:rFonts w:eastAsiaTheme="minorEastAsia" w:cstheme="minorBidi"/>
              <w:b w:val="0"/>
              <w:bCs w:val="0"/>
              <w:bdr w:val="none" w:sz="0" w:space="0" w:color="auto"/>
              <w:lang w:val="en-US"/>
            </w:rPr>
          </w:pPr>
          <w:hyperlink w:anchor="_Toc47965334" w:history="1">
            <w:r w:rsidR="006F38A3" w:rsidRPr="000D7953">
              <w:rPr>
                <w:rStyle w:val="Hyperlink"/>
              </w:rPr>
              <w:t>V.</w:t>
            </w:r>
            <w:r w:rsidR="006F38A3" w:rsidRPr="000D7953">
              <w:rPr>
                <w:rFonts w:eastAsiaTheme="minorEastAsia" w:cstheme="minorBidi"/>
                <w:b w:val="0"/>
                <w:bCs w:val="0"/>
                <w:bdr w:val="none" w:sz="0" w:space="0" w:color="auto"/>
                <w:lang w:val="en-US"/>
              </w:rPr>
              <w:tab/>
            </w:r>
            <w:r w:rsidR="006F38A3" w:rsidRPr="000D7953">
              <w:rPr>
                <w:rStyle w:val="Hyperlink"/>
                <w:lang w:val="es-CO"/>
              </w:rPr>
              <w:t>CONCLUSIONES</w:t>
            </w:r>
            <w:r w:rsidR="006F38A3" w:rsidRPr="000D7953">
              <w:rPr>
                <w:webHidden/>
              </w:rPr>
              <w:tab/>
            </w:r>
            <w:r w:rsidR="006F38A3" w:rsidRPr="000D7953">
              <w:rPr>
                <w:webHidden/>
              </w:rPr>
              <w:fldChar w:fldCharType="begin"/>
            </w:r>
            <w:r w:rsidR="006F38A3" w:rsidRPr="000D7953">
              <w:rPr>
                <w:webHidden/>
              </w:rPr>
              <w:instrText xml:space="preserve"> PAGEREF _Toc47965334 \h </w:instrText>
            </w:r>
            <w:r w:rsidR="006F38A3" w:rsidRPr="000D7953">
              <w:rPr>
                <w:webHidden/>
              </w:rPr>
            </w:r>
            <w:r w:rsidR="006F38A3" w:rsidRPr="000D7953">
              <w:rPr>
                <w:webHidden/>
              </w:rPr>
              <w:fldChar w:fldCharType="separate"/>
            </w:r>
            <w:r>
              <w:rPr>
                <w:webHidden/>
              </w:rPr>
              <w:t>28</w:t>
            </w:r>
            <w:r w:rsidR="006F38A3" w:rsidRPr="000D7953">
              <w:rPr>
                <w:webHidden/>
              </w:rPr>
              <w:fldChar w:fldCharType="end"/>
            </w:r>
          </w:hyperlink>
        </w:p>
        <w:p w14:paraId="00F9F9A0" w14:textId="018DC3C2" w:rsidR="006F38A3" w:rsidRPr="000D7953" w:rsidRDefault="00511D57">
          <w:pPr>
            <w:pStyle w:val="TOC1"/>
            <w:rPr>
              <w:rFonts w:eastAsiaTheme="minorEastAsia" w:cstheme="minorBidi"/>
              <w:b w:val="0"/>
              <w:bCs w:val="0"/>
              <w:bdr w:val="none" w:sz="0" w:space="0" w:color="auto"/>
              <w:lang w:val="en-US"/>
            </w:rPr>
          </w:pPr>
          <w:hyperlink w:anchor="_Toc47965335" w:history="1">
            <w:r w:rsidR="006F38A3" w:rsidRPr="000D7953">
              <w:rPr>
                <w:rStyle w:val="Hyperlink"/>
              </w:rPr>
              <w:t>VI.</w:t>
            </w:r>
            <w:r w:rsidR="006F38A3" w:rsidRPr="000D7953">
              <w:rPr>
                <w:rFonts w:eastAsiaTheme="minorEastAsia" w:cstheme="minorBidi"/>
                <w:b w:val="0"/>
                <w:bCs w:val="0"/>
                <w:bdr w:val="none" w:sz="0" w:space="0" w:color="auto"/>
                <w:lang w:val="en-US"/>
              </w:rPr>
              <w:tab/>
            </w:r>
            <w:r w:rsidR="006F38A3" w:rsidRPr="000D7953">
              <w:rPr>
                <w:rStyle w:val="Hyperlink"/>
                <w:lang w:val="es-CO"/>
              </w:rPr>
              <w:t>RECOMENDACIONES</w:t>
            </w:r>
            <w:r w:rsidR="006F38A3" w:rsidRPr="000D7953">
              <w:rPr>
                <w:webHidden/>
              </w:rPr>
              <w:tab/>
            </w:r>
            <w:r w:rsidR="006F38A3" w:rsidRPr="000D7953">
              <w:rPr>
                <w:webHidden/>
              </w:rPr>
              <w:fldChar w:fldCharType="begin"/>
            </w:r>
            <w:r w:rsidR="006F38A3" w:rsidRPr="000D7953">
              <w:rPr>
                <w:webHidden/>
              </w:rPr>
              <w:instrText xml:space="preserve"> PAGEREF _Toc47965335 \h </w:instrText>
            </w:r>
            <w:r w:rsidR="006F38A3" w:rsidRPr="000D7953">
              <w:rPr>
                <w:webHidden/>
              </w:rPr>
            </w:r>
            <w:r w:rsidR="006F38A3" w:rsidRPr="000D7953">
              <w:rPr>
                <w:webHidden/>
              </w:rPr>
              <w:fldChar w:fldCharType="separate"/>
            </w:r>
            <w:r>
              <w:rPr>
                <w:webHidden/>
              </w:rPr>
              <w:t>28</w:t>
            </w:r>
            <w:r w:rsidR="006F38A3" w:rsidRPr="000D7953">
              <w:rPr>
                <w:webHidden/>
              </w:rPr>
              <w:fldChar w:fldCharType="end"/>
            </w:r>
          </w:hyperlink>
        </w:p>
        <w:p w14:paraId="558BEFB3" w14:textId="450BBFB6" w:rsidR="0027039F" w:rsidRPr="00B12F4B" w:rsidRDefault="0027039F" w:rsidP="007A0D4C">
          <w:pPr>
            <w:rPr>
              <w:rFonts w:ascii="Cambria" w:hAnsi="Cambria"/>
              <w:sz w:val="20"/>
              <w:szCs w:val="20"/>
            </w:rPr>
          </w:pPr>
          <w:r w:rsidRPr="006F38A3">
            <w:rPr>
              <w:rFonts w:ascii="Cambria" w:hAnsi="Cambria"/>
              <w:b/>
              <w:bCs/>
              <w:noProof/>
              <w:sz w:val="20"/>
              <w:szCs w:val="20"/>
            </w:rPr>
            <w:fldChar w:fldCharType="end"/>
          </w:r>
        </w:p>
      </w:sdtContent>
    </w:sdt>
    <w:p w14:paraId="1A0D0F24" w14:textId="4936E4AF" w:rsidR="00E1480C" w:rsidRPr="00B12F4B" w:rsidRDefault="004D50EC" w:rsidP="007A0D4C">
      <w:pPr>
        <w:tabs>
          <w:tab w:val="center" w:pos="5400"/>
        </w:tabs>
        <w:suppressAutoHyphens/>
        <w:jc w:val="both"/>
        <w:rPr>
          <w:rFonts w:ascii="Cambria" w:hAnsi="Cambria"/>
          <w:sz w:val="20"/>
          <w:szCs w:val="20"/>
          <w:lang w:val="es-ES_tradnl"/>
        </w:rPr>
      </w:pPr>
      <w:r w:rsidRPr="00B12F4B">
        <w:rPr>
          <w:rFonts w:ascii="Cambria" w:hAnsi="Cambria"/>
          <w:sz w:val="20"/>
          <w:szCs w:val="20"/>
          <w:lang w:val="es-ES_tradnl"/>
        </w:rPr>
        <w:br w:type="page"/>
      </w:r>
    </w:p>
    <w:p w14:paraId="59EFE8A6" w14:textId="77777777" w:rsidR="00C5061E" w:rsidRPr="007A0D4C" w:rsidRDefault="00C5061E" w:rsidP="007A0D4C">
      <w:pPr>
        <w:tabs>
          <w:tab w:val="center" w:pos="5400"/>
        </w:tabs>
        <w:suppressAutoHyphens/>
        <w:jc w:val="both"/>
        <w:rPr>
          <w:rFonts w:ascii="Cambria" w:hAnsi="Cambria"/>
          <w:sz w:val="20"/>
          <w:szCs w:val="20"/>
          <w:lang w:val="es-ES_tradnl"/>
        </w:rPr>
      </w:pPr>
    </w:p>
    <w:p w14:paraId="5A132A05" w14:textId="3F2B3F19" w:rsidR="00874460" w:rsidRPr="007A0D4C" w:rsidRDefault="00874460" w:rsidP="007A0D4C">
      <w:pPr>
        <w:tabs>
          <w:tab w:val="center" w:pos="5400"/>
        </w:tabs>
        <w:suppressAutoHyphens/>
        <w:jc w:val="center"/>
        <w:rPr>
          <w:rFonts w:ascii="Cambria" w:hAnsi="Cambria"/>
          <w:b/>
          <w:sz w:val="20"/>
          <w:szCs w:val="20"/>
          <w:lang w:val="es-VE"/>
        </w:rPr>
      </w:pPr>
      <w:r w:rsidRPr="007A0D4C">
        <w:rPr>
          <w:rFonts w:ascii="Cambria" w:hAnsi="Cambria"/>
          <w:b/>
          <w:sz w:val="20"/>
          <w:szCs w:val="20"/>
          <w:lang w:val="es-VE"/>
        </w:rPr>
        <w:t xml:space="preserve">INFORME No. </w:t>
      </w:r>
      <w:r w:rsidR="00084245">
        <w:rPr>
          <w:rFonts w:ascii="Cambria" w:hAnsi="Cambria"/>
          <w:b/>
          <w:sz w:val="20"/>
          <w:szCs w:val="20"/>
          <w:lang w:val="es-VE"/>
        </w:rPr>
        <w:t>196</w:t>
      </w:r>
      <w:r w:rsidRPr="007A0D4C">
        <w:rPr>
          <w:rFonts w:ascii="Cambria" w:hAnsi="Cambria"/>
          <w:b/>
          <w:sz w:val="20"/>
          <w:szCs w:val="20"/>
          <w:lang w:val="es-VE"/>
        </w:rPr>
        <w:t>/20</w:t>
      </w:r>
    </w:p>
    <w:p w14:paraId="2C3FD4D7" w14:textId="77777777" w:rsidR="00874460" w:rsidRPr="007A0D4C" w:rsidRDefault="00874460" w:rsidP="007A0D4C">
      <w:pPr>
        <w:tabs>
          <w:tab w:val="center" w:pos="5400"/>
        </w:tabs>
        <w:suppressAutoHyphens/>
        <w:jc w:val="center"/>
        <w:rPr>
          <w:rFonts w:ascii="Cambria" w:hAnsi="Cambria"/>
          <w:b/>
          <w:sz w:val="20"/>
          <w:szCs w:val="20"/>
          <w:lang w:val="es-VE"/>
        </w:rPr>
      </w:pPr>
      <w:r w:rsidRPr="007A0D4C">
        <w:rPr>
          <w:rFonts w:ascii="Cambria" w:hAnsi="Cambria"/>
          <w:b/>
          <w:sz w:val="20"/>
          <w:szCs w:val="20"/>
          <w:lang w:val="es-VE"/>
        </w:rPr>
        <w:t>CASO 13.030</w:t>
      </w:r>
    </w:p>
    <w:p w14:paraId="27D4F979" w14:textId="77777777" w:rsidR="00874460" w:rsidRPr="007A0D4C" w:rsidRDefault="00874460" w:rsidP="007A0D4C">
      <w:pPr>
        <w:tabs>
          <w:tab w:val="center" w:pos="5400"/>
        </w:tabs>
        <w:suppressAutoHyphens/>
        <w:jc w:val="center"/>
        <w:rPr>
          <w:rFonts w:ascii="Cambria" w:hAnsi="Cambria"/>
          <w:sz w:val="20"/>
          <w:szCs w:val="20"/>
          <w:lang w:val="es-VE"/>
        </w:rPr>
      </w:pPr>
      <w:r w:rsidRPr="007A0D4C">
        <w:rPr>
          <w:rFonts w:ascii="Cambria" w:hAnsi="Cambria"/>
          <w:sz w:val="20"/>
          <w:szCs w:val="20"/>
          <w:lang w:val="es-VE"/>
        </w:rPr>
        <w:t>INFORME DE FONDO</w:t>
      </w:r>
    </w:p>
    <w:p w14:paraId="307367BB" w14:textId="77777777" w:rsidR="00874460" w:rsidRPr="007A0D4C" w:rsidRDefault="00874460" w:rsidP="007A0D4C">
      <w:pPr>
        <w:tabs>
          <w:tab w:val="center" w:pos="5400"/>
        </w:tabs>
        <w:suppressAutoHyphens/>
        <w:jc w:val="center"/>
        <w:rPr>
          <w:rFonts w:ascii="Cambria" w:hAnsi="Cambria"/>
          <w:sz w:val="20"/>
          <w:szCs w:val="20"/>
          <w:lang w:val="es-VE"/>
        </w:rPr>
      </w:pPr>
      <w:r w:rsidRPr="007A0D4C">
        <w:rPr>
          <w:rFonts w:ascii="Cambria" w:hAnsi="Cambria"/>
          <w:sz w:val="20"/>
          <w:szCs w:val="20"/>
          <w:lang w:val="es-VE"/>
        </w:rPr>
        <w:t>SANTIAGO LEGUIZAMÓN ZAVÁN Y FAMILIA</w:t>
      </w:r>
    </w:p>
    <w:p w14:paraId="565F436E" w14:textId="77777777" w:rsidR="00874460" w:rsidRPr="007A0D4C" w:rsidRDefault="00874460" w:rsidP="007A0D4C">
      <w:pPr>
        <w:tabs>
          <w:tab w:val="center" w:pos="5400"/>
        </w:tabs>
        <w:suppressAutoHyphens/>
        <w:jc w:val="center"/>
        <w:rPr>
          <w:rFonts w:ascii="Cambria" w:hAnsi="Cambria"/>
          <w:sz w:val="20"/>
          <w:szCs w:val="20"/>
          <w:lang w:val="es-ES_tradnl"/>
        </w:rPr>
      </w:pPr>
      <w:r w:rsidRPr="007A0D4C">
        <w:rPr>
          <w:rFonts w:ascii="Cambria" w:hAnsi="Cambria"/>
          <w:sz w:val="20"/>
          <w:szCs w:val="20"/>
          <w:lang w:val="es-ES_tradnl"/>
        </w:rPr>
        <w:t>PARAGUAY</w:t>
      </w:r>
    </w:p>
    <w:p w14:paraId="1FAAAC47" w14:textId="79208582" w:rsidR="00874460" w:rsidRPr="007A0D4C" w:rsidRDefault="00084245" w:rsidP="007A0D4C">
      <w:pPr>
        <w:tabs>
          <w:tab w:val="center" w:pos="5400"/>
        </w:tabs>
        <w:suppressAutoHyphens/>
        <w:jc w:val="center"/>
        <w:rPr>
          <w:rFonts w:ascii="Cambria" w:hAnsi="Cambria"/>
          <w:sz w:val="20"/>
          <w:szCs w:val="20"/>
          <w:lang w:val="es-ES_tradnl"/>
        </w:rPr>
      </w:pPr>
      <w:r>
        <w:rPr>
          <w:rFonts w:ascii="Cambria" w:hAnsi="Cambria"/>
          <w:sz w:val="20"/>
          <w:szCs w:val="20"/>
          <w:lang w:val="es-ES_tradnl"/>
        </w:rPr>
        <w:t>10</w:t>
      </w:r>
      <w:r w:rsidR="00874460" w:rsidRPr="007A0D4C">
        <w:rPr>
          <w:rFonts w:ascii="Cambria" w:hAnsi="Cambria"/>
          <w:sz w:val="20"/>
          <w:szCs w:val="20"/>
          <w:lang w:val="es-ES_tradnl"/>
        </w:rPr>
        <w:t xml:space="preserve"> DE </w:t>
      </w:r>
      <w:r w:rsidR="00802221" w:rsidRPr="007A0D4C">
        <w:rPr>
          <w:rFonts w:ascii="Cambria" w:hAnsi="Cambria"/>
          <w:sz w:val="20"/>
          <w:szCs w:val="20"/>
          <w:lang w:val="es-ES_tradnl"/>
        </w:rPr>
        <w:t>JULIO</w:t>
      </w:r>
      <w:r w:rsidR="00874460" w:rsidRPr="007A0D4C">
        <w:rPr>
          <w:rFonts w:ascii="Cambria" w:hAnsi="Cambria"/>
          <w:sz w:val="20"/>
          <w:szCs w:val="20"/>
          <w:lang w:val="es-ES_tradnl"/>
        </w:rPr>
        <w:t xml:space="preserve"> DE 2020</w:t>
      </w:r>
    </w:p>
    <w:p w14:paraId="020A89D6" w14:textId="77777777" w:rsidR="00E1480C" w:rsidRPr="007A0D4C" w:rsidRDefault="00E1480C" w:rsidP="007A0D4C">
      <w:pPr>
        <w:pStyle w:val="ListParagraph"/>
        <w:suppressAutoHyphens/>
        <w:spacing w:before="0" w:after="0"/>
        <w:rPr>
          <w:b/>
          <w:color w:val="auto"/>
          <w:sz w:val="20"/>
          <w:szCs w:val="20"/>
          <w:lang w:val="es-ES_tradnl"/>
        </w:rPr>
      </w:pPr>
    </w:p>
    <w:p w14:paraId="69567B3B" w14:textId="77777777" w:rsidR="00E1480C" w:rsidRPr="007A0D4C" w:rsidRDefault="00E1480C" w:rsidP="007A0D4C">
      <w:pPr>
        <w:pStyle w:val="Heading1"/>
      </w:pPr>
      <w:bookmarkStart w:id="2" w:name="_Toc6937369"/>
      <w:bookmarkStart w:id="3" w:name="_Toc11073097"/>
      <w:bookmarkStart w:id="4" w:name="_Toc47965316"/>
      <w:r w:rsidRPr="007A0D4C">
        <w:t>INTRODUCCIÓN</w:t>
      </w:r>
      <w:bookmarkEnd w:id="2"/>
      <w:bookmarkEnd w:id="3"/>
      <w:bookmarkEnd w:id="4"/>
    </w:p>
    <w:p w14:paraId="35C271E2" w14:textId="77777777" w:rsidR="00E1480C" w:rsidRPr="007A0D4C" w:rsidRDefault="00E1480C" w:rsidP="007A0D4C">
      <w:pPr>
        <w:suppressAutoHyphens/>
        <w:jc w:val="both"/>
        <w:rPr>
          <w:rFonts w:ascii="Cambria" w:eastAsia="Cambria" w:hAnsi="Cambria" w:cs="Cambria"/>
          <w:b/>
          <w:sz w:val="20"/>
          <w:szCs w:val="20"/>
          <w:u w:color="000000"/>
          <w:lang w:val="es-ES_tradnl" w:eastAsia="es-ES"/>
        </w:rPr>
      </w:pPr>
    </w:p>
    <w:p w14:paraId="5D06E449" w14:textId="6FAECDDA" w:rsidR="007E2BA7" w:rsidRPr="007A0D4C" w:rsidRDefault="00E1480C"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7A0D4C">
        <w:rPr>
          <w:rFonts w:ascii="Cambria" w:hAnsi="Cambria"/>
          <w:sz w:val="20"/>
          <w:szCs w:val="20"/>
          <w:lang w:val="es-VE"/>
        </w:rPr>
        <w:t xml:space="preserve">El </w:t>
      </w:r>
      <w:r w:rsidR="0008037D" w:rsidRPr="007A0D4C">
        <w:rPr>
          <w:rFonts w:ascii="Cambria" w:hAnsi="Cambria"/>
          <w:sz w:val="20"/>
          <w:szCs w:val="20"/>
          <w:lang w:val="es-MX"/>
        </w:rPr>
        <w:t>19 de enero de 2007</w:t>
      </w:r>
      <w:r w:rsidR="00EB4621" w:rsidRPr="007A0D4C">
        <w:rPr>
          <w:rFonts w:ascii="Cambria" w:hAnsi="Cambria"/>
          <w:sz w:val="20"/>
          <w:szCs w:val="20"/>
          <w:lang w:val="es-MX"/>
        </w:rPr>
        <w:t xml:space="preserve"> la Comisión Interamericana de Derechos Humanos (en adelante la “Comisión”, la “Comisión Interamericana” o la “CIDH”) recibió una petición presentada </w:t>
      </w:r>
      <w:r w:rsidR="00340ECD" w:rsidRPr="007A0D4C">
        <w:rPr>
          <w:rFonts w:ascii="Cambria" w:hAnsi="Cambria"/>
          <w:sz w:val="20"/>
          <w:szCs w:val="20"/>
          <w:lang w:val="es-ES"/>
        </w:rPr>
        <w:t xml:space="preserve">por la Sociedad Interamericana de Prensa </w:t>
      </w:r>
      <w:r w:rsidR="00ED73E7" w:rsidRPr="007A0D4C">
        <w:rPr>
          <w:rFonts w:ascii="Cambria" w:hAnsi="Cambria"/>
          <w:sz w:val="20"/>
          <w:szCs w:val="20"/>
          <w:lang w:val="es-ES"/>
        </w:rPr>
        <w:t xml:space="preserve">(SIP) </w:t>
      </w:r>
      <w:r w:rsidR="00340ECD" w:rsidRPr="007A0D4C">
        <w:rPr>
          <w:rFonts w:ascii="Cambria" w:hAnsi="Cambria"/>
          <w:sz w:val="20"/>
          <w:szCs w:val="20"/>
          <w:lang w:val="es-MX"/>
        </w:rPr>
        <w:t xml:space="preserve">(en adelante los “peticionarios” o </w:t>
      </w:r>
      <w:r w:rsidR="00340ECD" w:rsidRPr="007A0D4C">
        <w:rPr>
          <w:rFonts w:ascii="Cambria" w:hAnsi="Cambria"/>
          <w:sz w:val="20"/>
          <w:szCs w:val="20"/>
          <w:lang w:val="es-PE"/>
        </w:rPr>
        <w:t>“la parte peticionaria”</w:t>
      </w:r>
      <w:r w:rsidR="00340ECD" w:rsidRPr="007A0D4C">
        <w:rPr>
          <w:rFonts w:ascii="Cambria" w:hAnsi="Cambria"/>
          <w:sz w:val="20"/>
          <w:szCs w:val="20"/>
          <w:lang w:val="es-MX"/>
        </w:rPr>
        <w:t>)</w:t>
      </w:r>
      <w:r w:rsidR="00340ECD" w:rsidRPr="007A0D4C">
        <w:rPr>
          <w:rStyle w:val="FootnoteReference"/>
          <w:rFonts w:ascii="Cambria" w:hAnsi="Cambria"/>
          <w:sz w:val="20"/>
          <w:szCs w:val="20"/>
          <w:lang w:val="es-ES"/>
        </w:rPr>
        <w:footnoteReference w:id="2"/>
      </w:r>
      <w:r w:rsidR="00340ECD" w:rsidRPr="007A0D4C">
        <w:rPr>
          <w:rFonts w:ascii="Cambria" w:hAnsi="Cambria"/>
          <w:sz w:val="20"/>
          <w:szCs w:val="20"/>
          <w:lang w:val="es-ES"/>
        </w:rPr>
        <w:t xml:space="preserve">, </w:t>
      </w:r>
      <w:r w:rsidR="003E3637" w:rsidRPr="007A0D4C">
        <w:rPr>
          <w:rFonts w:ascii="Cambria" w:hAnsi="Cambria"/>
          <w:color w:val="000000" w:themeColor="text1"/>
          <w:sz w:val="20"/>
          <w:szCs w:val="20"/>
          <w:lang w:val="es-VE"/>
        </w:rPr>
        <w:t>en la cual se alega la responsabilidad internacional de</w:t>
      </w:r>
      <w:r w:rsidR="0008037D" w:rsidRPr="007A0D4C">
        <w:rPr>
          <w:rFonts w:ascii="Cambria" w:hAnsi="Cambria"/>
          <w:sz w:val="20"/>
          <w:szCs w:val="20"/>
          <w:lang w:val="es-MX"/>
        </w:rPr>
        <w:t xml:space="preserve"> la República del Paraguay </w:t>
      </w:r>
      <w:r w:rsidR="00EB4621" w:rsidRPr="007A0D4C">
        <w:rPr>
          <w:rFonts w:ascii="Cambria" w:hAnsi="Cambria"/>
          <w:sz w:val="20"/>
          <w:szCs w:val="20"/>
          <w:lang w:val="es-MX"/>
        </w:rPr>
        <w:t xml:space="preserve">(en adelante </w:t>
      </w:r>
      <w:r w:rsidR="003E3637" w:rsidRPr="007A0D4C">
        <w:rPr>
          <w:rFonts w:ascii="Cambria" w:hAnsi="Cambria"/>
          <w:sz w:val="20"/>
          <w:szCs w:val="20"/>
          <w:lang w:val="es-MX"/>
        </w:rPr>
        <w:t>“</w:t>
      </w:r>
      <w:r w:rsidR="0008037D" w:rsidRPr="007A0D4C">
        <w:rPr>
          <w:rFonts w:ascii="Cambria" w:hAnsi="Cambria"/>
          <w:sz w:val="20"/>
          <w:szCs w:val="20"/>
          <w:lang w:val="es-MX"/>
        </w:rPr>
        <w:t>el Estado”</w:t>
      </w:r>
      <w:r w:rsidR="006420F8">
        <w:rPr>
          <w:rFonts w:ascii="Cambria" w:hAnsi="Cambria"/>
          <w:sz w:val="20"/>
          <w:szCs w:val="20"/>
          <w:lang w:val="es-MX"/>
        </w:rPr>
        <w:t xml:space="preserve">, “el Estado paraguayo” </w:t>
      </w:r>
      <w:r w:rsidR="0008037D" w:rsidRPr="007A0D4C">
        <w:rPr>
          <w:rFonts w:ascii="Cambria" w:hAnsi="Cambria"/>
          <w:sz w:val="20"/>
          <w:szCs w:val="20"/>
          <w:lang w:val="es-MX"/>
        </w:rPr>
        <w:t>o “Paraguay</w:t>
      </w:r>
      <w:r w:rsidR="00EB4621" w:rsidRPr="007A0D4C">
        <w:rPr>
          <w:rFonts w:ascii="Cambria" w:hAnsi="Cambria"/>
          <w:sz w:val="20"/>
          <w:szCs w:val="20"/>
          <w:lang w:val="es-MX"/>
        </w:rPr>
        <w:t>”)</w:t>
      </w:r>
      <w:r w:rsidR="003E3637" w:rsidRPr="007A0D4C">
        <w:rPr>
          <w:rFonts w:ascii="Cambria" w:hAnsi="Cambria"/>
          <w:sz w:val="20"/>
          <w:szCs w:val="20"/>
          <w:lang w:val="es-MX"/>
        </w:rPr>
        <w:t xml:space="preserve"> en perjuicio de</w:t>
      </w:r>
      <w:r w:rsidR="0008037D" w:rsidRPr="007A0D4C">
        <w:rPr>
          <w:rFonts w:ascii="Cambria" w:hAnsi="Cambria"/>
          <w:sz w:val="20"/>
          <w:szCs w:val="20"/>
          <w:lang w:val="es-MX"/>
        </w:rPr>
        <w:t>l periodista</w:t>
      </w:r>
      <w:r w:rsidR="003E3637" w:rsidRPr="007A0D4C">
        <w:rPr>
          <w:rFonts w:ascii="Cambria" w:hAnsi="Cambria"/>
          <w:sz w:val="20"/>
          <w:szCs w:val="20"/>
          <w:lang w:val="es-MX"/>
        </w:rPr>
        <w:t xml:space="preserve"> </w:t>
      </w:r>
      <w:r w:rsidR="0008037D" w:rsidRPr="007A0D4C">
        <w:rPr>
          <w:rFonts w:ascii="Cambria" w:hAnsi="Cambria"/>
          <w:sz w:val="20"/>
          <w:szCs w:val="20"/>
          <w:lang w:val="es-MX"/>
        </w:rPr>
        <w:t xml:space="preserve">Santiago Leguizamón Zaván y sus familiares </w:t>
      </w:r>
      <w:r w:rsidR="003E3637" w:rsidRPr="007A0D4C">
        <w:rPr>
          <w:rFonts w:ascii="Cambria" w:hAnsi="Cambria"/>
          <w:sz w:val="20"/>
          <w:szCs w:val="20"/>
          <w:lang w:val="es-MX"/>
        </w:rPr>
        <w:t>p</w:t>
      </w:r>
      <w:r w:rsidR="00BA44BB" w:rsidRPr="007A0D4C">
        <w:rPr>
          <w:rFonts w:ascii="Cambria" w:hAnsi="Cambria"/>
          <w:sz w:val="20"/>
          <w:szCs w:val="20"/>
          <w:lang w:val="es-MX"/>
        </w:rPr>
        <w:t xml:space="preserve">or la alegada </w:t>
      </w:r>
      <w:r w:rsidR="00BA44BB" w:rsidRPr="007A0D4C">
        <w:rPr>
          <w:rFonts w:ascii="Cambria" w:hAnsi="Cambria"/>
          <w:sz w:val="20"/>
          <w:szCs w:val="20"/>
          <w:lang w:val="es-VE"/>
        </w:rPr>
        <w:t>violación de</w:t>
      </w:r>
      <w:r w:rsidR="00443F8D" w:rsidRPr="007A0D4C">
        <w:rPr>
          <w:rFonts w:ascii="Cambria" w:hAnsi="Cambria"/>
          <w:sz w:val="20"/>
          <w:szCs w:val="20"/>
          <w:lang w:val="es-VE"/>
        </w:rPr>
        <w:t xml:space="preserve"> los derechos a la vida y a la libertad de expresión del periodista debido a su asesinato con motivo del ejercicio periodístico, así como por </w:t>
      </w:r>
      <w:r w:rsidR="00443F8D" w:rsidRPr="007A0D4C">
        <w:rPr>
          <w:rFonts w:ascii="Cambria" w:hAnsi="Cambria"/>
          <w:sz w:val="20"/>
          <w:szCs w:val="20"/>
          <w:lang w:val="es-PE"/>
        </w:rPr>
        <w:t>la alegada falta de investigación diligente y efectiva de su muerte.</w:t>
      </w:r>
    </w:p>
    <w:p w14:paraId="2E54F995" w14:textId="77777777" w:rsidR="00276AF8" w:rsidRPr="007A0D4C" w:rsidRDefault="00276AF8"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3D848042" w14:textId="1C56BAB5" w:rsidR="00EB4621" w:rsidRPr="007A0D4C" w:rsidRDefault="00EB4621"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7A0D4C">
        <w:rPr>
          <w:rFonts w:ascii="Cambria" w:hAnsi="Cambria"/>
          <w:sz w:val="20"/>
          <w:szCs w:val="20"/>
          <w:lang w:val="es-MX"/>
        </w:rPr>
        <w:t>La Comisión aprobó el informe de admisibilid</w:t>
      </w:r>
      <w:r w:rsidR="00ED73E7" w:rsidRPr="007A0D4C">
        <w:rPr>
          <w:rFonts w:ascii="Cambria" w:hAnsi="Cambria"/>
          <w:sz w:val="20"/>
          <w:szCs w:val="20"/>
          <w:lang w:val="es-MX"/>
        </w:rPr>
        <w:t>ad No. 24/16 el 15 de abril de 2016</w:t>
      </w:r>
      <w:r w:rsidR="00AA1432" w:rsidRPr="007A0D4C">
        <w:rPr>
          <w:rStyle w:val="FootnoteReference"/>
          <w:rFonts w:ascii="Cambria" w:hAnsi="Cambria"/>
          <w:sz w:val="20"/>
          <w:szCs w:val="20"/>
          <w:lang w:val="es-MX"/>
        </w:rPr>
        <w:footnoteReference w:id="3"/>
      </w:r>
      <w:r w:rsidR="00D86B15" w:rsidRPr="007A0D4C">
        <w:rPr>
          <w:rFonts w:ascii="Cambria" w:hAnsi="Cambria"/>
          <w:sz w:val="20"/>
          <w:szCs w:val="20"/>
          <w:lang w:val="es-MX"/>
        </w:rPr>
        <w:t xml:space="preserve">. El </w:t>
      </w:r>
      <w:r w:rsidR="00931EE6" w:rsidRPr="007A0D4C">
        <w:rPr>
          <w:rFonts w:ascii="Cambria" w:hAnsi="Cambria"/>
          <w:sz w:val="20"/>
          <w:szCs w:val="20"/>
          <w:lang w:val="es-MX"/>
        </w:rPr>
        <w:t xml:space="preserve">3 de mayo de 2016 </w:t>
      </w:r>
      <w:r w:rsidR="00D86B15" w:rsidRPr="007A0D4C">
        <w:rPr>
          <w:rFonts w:ascii="Cambria" w:hAnsi="Cambria"/>
          <w:sz w:val="20"/>
          <w:szCs w:val="20"/>
          <w:lang w:val="es-MX"/>
        </w:rPr>
        <w:t xml:space="preserve">la Comisión notificó dicho informe a las partes y se puso a su </w:t>
      </w:r>
      <w:r w:rsidRPr="007A0D4C">
        <w:rPr>
          <w:rFonts w:ascii="Cambria" w:hAnsi="Cambria"/>
          <w:sz w:val="20"/>
          <w:szCs w:val="20"/>
          <w:lang w:val="es-MX"/>
        </w:rPr>
        <w:t>disposición a fin de llegar a una solución amistosa</w:t>
      </w:r>
      <w:r w:rsidR="00931EE6" w:rsidRPr="007A0D4C">
        <w:rPr>
          <w:rStyle w:val="FootnoteReference"/>
          <w:rFonts w:ascii="Cambria" w:hAnsi="Cambria"/>
          <w:sz w:val="20"/>
          <w:szCs w:val="20"/>
          <w:lang w:val="es-MX"/>
        </w:rPr>
        <w:footnoteReference w:id="4"/>
      </w:r>
      <w:r w:rsidRPr="007A0D4C">
        <w:rPr>
          <w:rFonts w:ascii="Cambria" w:hAnsi="Cambria"/>
          <w:sz w:val="20"/>
          <w:szCs w:val="20"/>
          <w:lang w:val="es-MX"/>
        </w:rPr>
        <w:t xml:space="preserve">. Las partes contaron con los plazos reglamentarios para presentar sus observaciones adicionales sobre el fondo. </w:t>
      </w:r>
      <w:r w:rsidR="00ED73E7" w:rsidRPr="000D369F">
        <w:rPr>
          <w:rFonts w:ascii="Cambria" w:hAnsi="Cambria"/>
          <w:sz w:val="20"/>
          <w:szCs w:val="20"/>
          <w:lang w:val="es-ES_tradnl"/>
        </w:rPr>
        <w:t xml:space="preserve">El Estado no presentó observaciones en la etapa de fondo. </w:t>
      </w:r>
      <w:r w:rsidRPr="007A0D4C">
        <w:rPr>
          <w:rFonts w:ascii="Cambria" w:hAnsi="Cambria"/>
          <w:sz w:val="20"/>
          <w:szCs w:val="20"/>
          <w:lang w:val="es-MX"/>
        </w:rPr>
        <w:t>Toda la información recibida fue debidamente trasladada entre las partes.</w:t>
      </w:r>
    </w:p>
    <w:p w14:paraId="1F393BDF" w14:textId="77777777" w:rsidR="00E1480C" w:rsidRPr="007A0D4C" w:rsidRDefault="00E1480C" w:rsidP="007A0D4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MX"/>
        </w:rPr>
      </w:pPr>
    </w:p>
    <w:p w14:paraId="71BA8FF5" w14:textId="77777777" w:rsidR="00E1480C" w:rsidRPr="007A0D4C" w:rsidRDefault="00E1480C" w:rsidP="007A0D4C">
      <w:pPr>
        <w:pStyle w:val="Heading1"/>
        <w:rPr>
          <w:u w:color="000000"/>
          <w:lang w:val="es-ES_tradnl" w:eastAsia="es-ES"/>
        </w:rPr>
      </w:pPr>
      <w:bookmarkStart w:id="5" w:name="_Toc6937370"/>
      <w:bookmarkStart w:id="6" w:name="_Toc11073098"/>
      <w:bookmarkStart w:id="7" w:name="_Toc47965317"/>
      <w:r w:rsidRPr="007A0D4C">
        <w:rPr>
          <w:u w:color="000000"/>
          <w:lang w:val="es-ES_tradnl" w:eastAsia="es-ES"/>
        </w:rPr>
        <w:t>ALEGATOS DE LAS PARTES</w:t>
      </w:r>
      <w:bookmarkEnd w:id="5"/>
      <w:bookmarkEnd w:id="6"/>
      <w:bookmarkEnd w:id="7"/>
    </w:p>
    <w:p w14:paraId="1D31A1D1" w14:textId="77777777" w:rsidR="00EB4621" w:rsidRPr="007A0D4C" w:rsidRDefault="00EB4621" w:rsidP="007A0D4C">
      <w:pPr>
        <w:jc w:val="both"/>
        <w:rPr>
          <w:rFonts w:ascii="Cambria" w:hAnsi="Cambria"/>
          <w:sz w:val="20"/>
          <w:szCs w:val="20"/>
          <w:lang w:val="es-ES_tradnl" w:eastAsia="es-ES"/>
        </w:rPr>
      </w:pPr>
    </w:p>
    <w:p w14:paraId="1419937D" w14:textId="77777777" w:rsidR="00E1480C" w:rsidRPr="007A0D4C" w:rsidRDefault="00E1480C" w:rsidP="007A0D4C">
      <w:pPr>
        <w:pStyle w:val="Heading2"/>
        <w:spacing w:before="0" w:after="0"/>
        <w:ind w:left="0" w:firstLine="0"/>
        <w:jc w:val="both"/>
      </w:pPr>
      <w:bookmarkStart w:id="8" w:name="_Toc6937371"/>
      <w:bookmarkStart w:id="9" w:name="_Toc11073099"/>
      <w:bookmarkStart w:id="10" w:name="_Toc47965318"/>
      <w:r w:rsidRPr="007A0D4C">
        <w:t>Parte peticionaria</w:t>
      </w:r>
      <w:bookmarkEnd w:id="8"/>
      <w:bookmarkEnd w:id="9"/>
      <w:bookmarkEnd w:id="10"/>
      <w:r w:rsidRPr="007A0D4C">
        <w:t xml:space="preserve"> </w:t>
      </w:r>
    </w:p>
    <w:p w14:paraId="730E4484" w14:textId="77777777" w:rsidR="00443F8D" w:rsidRPr="007A0D4C" w:rsidRDefault="00443F8D"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bookmarkStart w:id="11" w:name="_Toc515543697"/>
      <w:bookmarkStart w:id="12" w:name="_Toc535329121"/>
      <w:bookmarkStart w:id="13" w:name="_Toc4417449"/>
    </w:p>
    <w:p w14:paraId="722F48DE" w14:textId="5630D141" w:rsidR="00343E7B" w:rsidRPr="007A0D4C" w:rsidRDefault="00443F8D"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7A0D4C">
        <w:rPr>
          <w:rFonts w:ascii="Cambria" w:hAnsi="Cambria"/>
          <w:sz w:val="20"/>
          <w:szCs w:val="20"/>
          <w:lang w:val="es-ES"/>
        </w:rPr>
        <w:t xml:space="preserve">La </w:t>
      </w:r>
      <w:r w:rsidR="00802221" w:rsidRPr="007A0D4C">
        <w:rPr>
          <w:rFonts w:ascii="Cambria" w:hAnsi="Cambria"/>
          <w:sz w:val="20"/>
          <w:szCs w:val="20"/>
          <w:lang w:val="es-ES"/>
        </w:rPr>
        <w:t xml:space="preserve">parte </w:t>
      </w:r>
      <w:r w:rsidRPr="007A0D4C">
        <w:rPr>
          <w:rFonts w:ascii="Cambria" w:hAnsi="Cambria"/>
          <w:sz w:val="20"/>
          <w:szCs w:val="20"/>
          <w:lang w:val="es-ES"/>
        </w:rPr>
        <w:t>peticionaria aleg</w:t>
      </w:r>
      <w:r w:rsidR="00802221" w:rsidRPr="007A0D4C">
        <w:rPr>
          <w:rFonts w:ascii="Cambria" w:hAnsi="Cambria"/>
          <w:sz w:val="20"/>
          <w:szCs w:val="20"/>
          <w:lang w:val="es-ES"/>
        </w:rPr>
        <w:t>a</w:t>
      </w:r>
      <w:r w:rsidRPr="007A0D4C">
        <w:rPr>
          <w:rFonts w:ascii="Cambria" w:hAnsi="Cambria"/>
          <w:sz w:val="20"/>
          <w:szCs w:val="20"/>
          <w:lang w:val="es-ES"/>
        </w:rPr>
        <w:t xml:space="preserve"> que Santiago Leguizamón Zaván fue un</w:t>
      </w:r>
      <w:r w:rsidR="00CB7475" w:rsidRPr="007A0D4C">
        <w:rPr>
          <w:rFonts w:ascii="Cambria" w:hAnsi="Cambria"/>
          <w:sz w:val="20"/>
          <w:szCs w:val="20"/>
          <w:lang w:val="es-ES"/>
        </w:rPr>
        <w:t xml:space="preserve"> reconocido</w:t>
      </w:r>
      <w:r w:rsidRPr="007A0D4C">
        <w:rPr>
          <w:rFonts w:ascii="Cambria" w:hAnsi="Cambria"/>
          <w:sz w:val="20"/>
          <w:szCs w:val="20"/>
          <w:lang w:val="es-ES"/>
        </w:rPr>
        <w:t xml:space="preserve"> periodista</w:t>
      </w:r>
      <w:r w:rsidR="00CB7475" w:rsidRPr="007A0D4C">
        <w:rPr>
          <w:rFonts w:ascii="Cambria" w:hAnsi="Cambria"/>
          <w:sz w:val="20"/>
          <w:szCs w:val="20"/>
          <w:lang w:val="es-ES"/>
        </w:rPr>
        <w:t xml:space="preserve"> de nacionalidad paraguaya,</w:t>
      </w:r>
      <w:r w:rsidRPr="007A0D4C">
        <w:rPr>
          <w:rFonts w:ascii="Cambria" w:hAnsi="Cambria"/>
          <w:sz w:val="20"/>
          <w:szCs w:val="20"/>
          <w:lang w:val="es-ES"/>
        </w:rPr>
        <w:t xml:space="preserve"> radicado en</w:t>
      </w:r>
      <w:r w:rsidR="00CB7475" w:rsidRPr="007A0D4C">
        <w:rPr>
          <w:rFonts w:ascii="Cambria" w:hAnsi="Cambria"/>
          <w:sz w:val="20"/>
          <w:szCs w:val="20"/>
          <w:lang w:val="es-ES"/>
        </w:rPr>
        <w:t xml:space="preserve"> la ciudad de</w:t>
      </w:r>
      <w:r w:rsidRPr="007A0D4C">
        <w:rPr>
          <w:rFonts w:ascii="Cambria" w:hAnsi="Cambria"/>
          <w:sz w:val="20"/>
          <w:szCs w:val="20"/>
          <w:lang w:val="es-ES"/>
        </w:rPr>
        <w:t xml:space="preserve"> Pedro Juan Caballero, fronteriza con Brasil</w:t>
      </w:r>
      <w:r w:rsidR="00CB7475" w:rsidRPr="007A0D4C">
        <w:rPr>
          <w:rFonts w:ascii="Cambria" w:hAnsi="Cambria"/>
          <w:sz w:val="20"/>
          <w:szCs w:val="20"/>
          <w:lang w:val="es-ES"/>
        </w:rPr>
        <w:t>.</w:t>
      </w:r>
      <w:r w:rsidRPr="007A0D4C">
        <w:rPr>
          <w:rFonts w:ascii="Cambria" w:hAnsi="Cambria"/>
          <w:sz w:val="20"/>
          <w:szCs w:val="20"/>
          <w:lang w:val="es-ES"/>
        </w:rPr>
        <w:t xml:space="preserve"> </w:t>
      </w:r>
      <w:r w:rsidR="00CB7475" w:rsidRPr="007A0D4C">
        <w:rPr>
          <w:rFonts w:ascii="Cambria" w:hAnsi="Cambria"/>
          <w:sz w:val="20"/>
          <w:szCs w:val="20"/>
          <w:lang w:val="es-ES"/>
        </w:rPr>
        <w:t xml:space="preserve">La peticionaria </w:t>
      </w:r>
      <w:r w:rsidR="007D7A1F" w:rsidRPr="007A0D4C">
        <w:rPr>
          <w:rFonts w:ascii="Cambria" w:hAnsi="Cambria"/>
          <w:sz w:val="20"/>
          <w:szCs w:val="20"/>
          <w:lang w:val="es-ES"/>
        </w:rPr>
        <w:t>caracteriza</w:t>
      </w:r>
      <w:r w:rsidR="00CB7475" w:rsidRPr="007A0D4C">
        <w:rPr>
          <w:rFonts w:ascii="Cambria" w:hAnsi="Cambria"/>
          <w:sz w:val="20"/>
          <w:szCs w:val="20"/>
          <w:lang w:val="es-ES"/>
        </w:rPr>
        <w:t xml:space="preserve"> a esta región binacional como</w:t>
      </w:r>
      <w:r w:rsidR="0028466F" w:rsidRPr="007A0D4C">
        <w:rPr>
          <w:rFonts w:ascii="Cambria" w:hAnsi="Cambria"/>
          <w:sz w:val="20"/>
          <w:szCs w:val="20"/>
          <w:lang w:val="es-ES"/>
        </w:rPr>
        <w:t xml:space="preserve"> una “zona sin ley”, marcada por la corrupción, la violencia, el contrabando, el narcotráfico y la delincuencia. </w:t>
      </w:r>
      <w:r w:rsidR="00CB7475" w:rsidRPr="007A0D4C">
        <w:rPr>
          <w:rFonts w:ascii="Cambria" w:hAnsi="Cambria"/>
          <w:sz w:val="20"/>
          <w:szCs w:val="20"/>
          <w:lang w:val="es-ES"/>
        </w:rPr>
        <w:t>Agreg</w:t>
      </w:r>
      <w:r w:rsidR="007D7A1F" w:rsidRPr="007A0D4C">
        <w:rPr>
          <w:rFonts w:ascii="Cambria" w:hAnsi="Cambria"/>
          <w:sz w:val="20"/>
          <w:szCs w:val="20"/>
          <w:lang w:val="es-ES"/>
        </w:rPr>
        <w:t>a</w:t>
      </w:r>
      <w:r w:rsidR="00E46B37" w:rsidRPr="007A0D4C">
        <w:rPr>
          <w:rFonts w:ascii="Cambria" w:hAnsi="Cambria"/>
          <w:sz w:val="20"/>
          <w:szCs w:val="20"/>
          <w:lang w:val="es-ES"/>
        </w:rPr>
        <w:t xml:space="preserve"> que Santiago Leguizamón escribía artículos críticos sobre </w:t>
      </w:r>
      <w:r w:rsidR="00CB7475" w:rsidRPr="007A0D4C">
        <w:rPr>
          <w:rFonts w:ascii="Cambria" w:hAnsi="Cambria"/>
          <w:sz w:val="20"/>
          <w:szCs w:val="20"/>
          <w:lang w:val="es-ES"/>
        </w:rPr>
        <w:t>la actuación</w:t>
      </w:r>
      <w:r w:rsidR="00E46B37" w:rsidRPr="007A0D4C">
        <w:rPr>
          <w:rFonts w:ascii="Cambria" w:hAnsi="Cambria"/>
          <w:sz w:val="20"/>
          <w:szCs w:val="20"/>
          <w:lang w:val="es-ES"/>
        </w:rPr>
        <w:t xml:space="preserve"> de autoridades y empresarios</w:t>
      </w:r>
      <w:r w:rsidR="00CB7475" w:rsidRPr="007A0D4C">
        <w:rPr>
          <w:rFonts w:ascii="Cambria" w:hAnsi="Cambria"/>
          <w:sz w:val="20"/>
          <w:szCs w:val="20"/>
          <w:lang w:val="es-ES"/>
        </w:rPr>
        <w:t xml:space="preserve"> de la zona para medios nacionales como el Diario Noticias.</w:t>
      </w:r>
      <w:r w:rsidR="007D7A1F" w:rsidRPr="007A0D4C">
        <w:rPr>
          <w:rFonts w:ascii="Cambria" w:hAnsi="Cambria"/>
          <w:sz w:val="20"/>
          <w:szCs w:val="20"/>
          <w:lang w:val="es-ES"/>
        </w:rPr>
        <w:t xml:space="preserve"> </w:t>
      </w:r>
      <w:r w:rsidR="00CB7475" w:rsidRPr="007A0D4C">
        <w:rPr>
          <w:rFonts w:ascii="Cambria" w:hAnsi="Cambria"/>
          <w:sz w:val="20"/>
          <w:szCs w:val="20"/>
          <w:lang w:val="es-ES"/>
        </w:rPr>
        <w:t>En ese contexto,</w:t>
      </w:r>
      <w:r w:rsidR="007D7A1F" w:rsidRPr="007A0D4C">
        <w:rPr>
          <w:rFonts w:ascii="Cambria" w:hAnsi="Cambria"/>
          <w:sz w:val="20"/>
          <w:szCs w:val="20"/>
          <w:lang w:val="es-ES"/>
        </w:rPr>
        <w:t xml:space="preserve"> destaca que,</w:t>
      </w:r>
      <w:r w:rsidR="00CB7475" w:rsidRPr="007A0D4C">
        <w:rPr>
          <w:rFonts w:ascii="Cambria" w:hAnsi="Cambria"/>
          <w:sz w:val="20"/>
          <w:szCs w:val="20"/>
          <w:lang w:val="es-ES"/>
        </w:rPr>
        <w:t xml:space="preserve"> a</w:t>
      </w:r>
      <w:r w:rsidR="00E56C2A" w:rsidRPr="007A0D4C">
        <w:rPr>
          <w:rFonts w:ascii="Cambria" w:hAnsi="Cambria"/>
          <w:sz w:val="20"/>
          <w:szCs w:val="20"/>
          <w:lang w:val="es-ES"/>
        </w:rPr>
        <w:t xml:space="preserve"> fines de marzo</w:t>
      </w:r>
      <w:r w:rsidR="00CB7475" w:rsidRPr="007A0D4C">
        <w:rPr>
          <w:rFonts w:ascii="Cambria" w:hAnsi="Cambria"/>
          <w:sz w:val="20"/>
          <w:szCs w:val="20"/>
          <w:lang w:val="es-ES"/>
        </w:rPr>
        <w:t xml:space="preserve"> de 1991</w:t>
      </w:r>
      <w:r w:rsidR="007D7A1F" w:rsidRPr="007A0D4C">
        <w:rPr>
          <w:rFonts w:ascii="Cambria" w:hAnsi="Cambria"/>
          <w:sz w:val="20"/>
          <w:szCs w:val="20"/>
          <w:lang w:val="es-ES"/>
        </w:rPr>
        <w:t>,</w:t>
      </w:r>
      <w:r w:rsidR="00E56C2A" w:rsidRPr="007A0D4C">
        <w:rPr>
          <w:rFonts w:ascii="Cambria" w:hAnsi="Cambria"/>
          <w:sz w:val="20"/>
          <w:szCs w:val="20"/>
          <w:lang w:val="es-ES"/>
        </w:rPr>
        <w:t xml:space="preserve"> publicó </w:t>
      </w:r>
      <w:r w:rsidR="00FE5EC4" w:rsidRPr="007A0D4C">
        <w:rPr>
          <w:rFonts w:ascii="Cambria" w:hAnsi="Cambria"/>
          <w:sz w:val="20"/>
          <w:szCs w:val="20"/>
          <w:lang w:val="es-ES"/>
        </w:rPr>
        <w:t>una</w:t>
      </w:r>
      <w:r w:rsidR="004542CD" w:rsidRPr="007A0D4C">
        <w:rPr>
          <w:rFonts w:ascii="Cambria" w:hAnsi="Cambria"/>
          <w:sz w:val="20"/>
          <w:szCs w:val="20"/>
          <w:lang w:val="es-ES"/>
        </w:rPr>
        <w:t xml:space="preserve"> </w:t>
      </w:r>
      <w:r w:rsidR="0087124A" w:rsidRPr="007A0D4C">
        <w:rPr>
          <w:rFonts w:ascii="Cambria" w:hAnsi="Cambria"/>
          <w:sz w:val="20"/>
          <w:szCs w:val="20"/>
          <w:lang w:val="es-ES"/>
        </w:rPr>
        <w:t xml:space="preserve">serie </w:t>
      </w:r>
      <w:r w:rsidR="0025017C" w:rsidRPr="007A0D4C">
        <w:rPr>
          <w:rFonts w:ascii="Cambria" w:hAnsi="Cambria"/>
          <w:sz w:val="20"/>
          <w:szCs w:val="20"/>
          <w:lang w:val="es-ES"/>
        </w:rPr>
        <w:t xml:space="preserve">de </w:t>
      </w:r>
      <w:r w:rsidR="0074094D" w:rsidRPr="007A0D4C">
        <w:rPr>
          <w:rFonts w:ascii="Cambria" w:hAnsi="Cambria"/>
          <w:sz w:val="20"/>
          <w:szCs w:val="20"/>
          <w:lang w:val="es-ES"/>
        </w:rPr>
        <w:t>artí</w:t>
      </w:r>
      <w:r w:rsidR="00741647" w:rsidRPr="007A0D4C">
        <w:rPr>
          <w:rFonts w:ascii="Cambria" w:hAnsi="Cambria"/>
          <w:sz w:val="20"/>
          <w:szCs w:val="20"/>
          <w:lang w:val="es-ES"/>
        </w:rPr>
        <w:t>culos</w:t>
      </w:r>
      <w:r w:rsidR="0025017C" w:rsidRPr="007A0D4C">
        <w:rPr>
          <w:rFonts w:ascii="Cambria" w:hAnsi="Cambria"/>
          <w:sz w:val="20"/>
          <w:szCs w:val="20"/>
          <w:lang w:val="es-ES"/>
        </w:rPr>
        <w:t xml:space="preserve"> </w:t>
      </w:r>
      <w:r w:rsidR="00ED6389" w:rsidRPr="007A0D4C">
        <w:rPr>
          <w:rFonts w:ascii="Cambria" w:hAnsi="Cambria"/>
          <w:sz w:val="20"/>
          <w:szCs w:val="20"/>
          <w:lang w:val="es-ES"/>
        </w:rPr>
        <w:t xml:space="preserve">en </w:t>
      </w:r>
      <w:r w:rsidR="00FE5EC4" w:rsidRPr="007A0D4C">
        <w:rPr>
          <w:rFonts w:ascii="Cambria" w:hAnsi="Cambria"/>
          <w:sz w:val="20"/>
          <w:szCs w:val="20"/>
          <w:lang w:val="es-ES"/>
        </w:rPr>
        <w:t xml:space="preserve">el Diario Noticias, en el que trabajaba como corresponsal, </w:t>
      </w:r>
      <w:r w:rsidR="002C1014" w:rsidRPr="007A0D4C">
        <w:rPr>
          <w:rFonts w:ascii="Cambria" w:hAnsi="Cambria"/>
          <w:sz w:val="20"/>
          <w:szCs w:val="20"/>
          <w:lang w:val="es-ES"/>
        </w:rPr>
        <w:t>en l</w:t>
      </w:r>
      <w:r w:rsidR="00E63558" w:rsidRPr="007A0D4C">
        <w:rPr>
          <w:rFonts w:ascii="Cambria" w:hAnsi="Cambria"/>
          <w:sz w:val="20"/>
          <w:szCs w:val="20"/>
          <w:lang w:val="es-ES"/>
        </w:rPr>
        <w:t>o</w:t>
      </w:r>
      <w:r w:rsidR="002F6280" w:rsidRPr="007A0D4C">
        <w:rPr>
          <w:rFonts w:ascii="Cambria" w:hAnsi="Cambria"/>
          <w:sz w:val="20"/>
          <w:szCs w:val="20"/>
          <w:lang w:val="es-ES"/>
        </w:rPr>
        <w:t>s</w:t>
      </w:r>
      <w:r w:rsidR="002C1014" w:rsidRPr="007A0D4C">
        <w:rPr>
          <w:rFonts w:ascii="Cambria" w:hAnsi="Cambria"/>
          <w:sz w:val="20"/>
          <w:szCs w:val="20"/>
          <w:lang w:val="es-ES"/>
        </w:rPr>
        <w:t xml:space="preserve"> que se denunci</w:t>
      </w:r>
      <w:r w:rsidR="00E67012">
        <w:rPr>
          <w:rFonts w:ascii="Cambria" w:hAnsi="Cambria"/>
          <w:sz w:val="20"/>
          <w:szCs w:val="20"/>
          <w:lang w:val="es-ES"/>
        </w:rPr>
        <w:t>ó</w:t>
      </w:r>
      <w:r w:rsidR="002C1014" w:rsidRPr="007A0D4C">
        <w:rPr>
          <w:rFonts w:ascii="Cambria" w:hAnsi="Cambria"/>
          <w:sz w:val="20"/>
          <w:szCs w:val="20"/>
          <w:lang w:val="es-ES"/>
        </w:rPr>
        <w:t xml:space="preserve"> </w:t>
      </w:r>
      <w:r w:rsidR="003A3A8B" w:rsidRPr="007A0D4C">
        <w:rPr>
          <w:rFonts w:ascii="Cambria" w:hAnsi="Cambria"/>
          <w:sz w:val="20"/>
          <w:szCs w:val="20"/>
          <w:lang w:val="es-ES"/>
        </w:rPr>
        <w:t xml:space="preserve">una </w:t>
      </w:r>
      <w:r w:rsidR="00E67012">
        <w:rPr>
          <w:rFonts w:ascii="Cambria" w:hAnsi="Cambria"/>
          <w:sz w:val="20"/>
          <w:szCs w:val="20"/>
          <w:lang w:val="es-ES"/>
        </w:rPr>
        <w:t>serie de presuntos</w:t>
      </w:r>
      <w:r w:rsidR="00E67012" w:rsidRPr="007A0D4C">
        <w:rPr>
          <w:rFonts w:ascii="Cambria" w:hAnsi="Cambria"/>
          <w:sz w:val="20"/>
          <w:szCs w:val="20"/>
          <w:lang w:val="es-ES"/>
        </w:rPr>
        <w:t xml:space="preserve"> hechos delictivos y de corrupción</w:t>
      </w:r>
      <w:r w:rsidR="00E67012">
        <w:rPr>
          <w:rFonts w:ascii="Cambria" w:hAnsi="Cambria"/>
          <w:sz w:val="20"/>
          <w:szCs w:val="20"/>
          <w:lang w:val="es-ES"/>
        </w:rPr>
        <w:t>, así como una</w:t>
      </w:r>
      <w:r w:rsidR="00E67012" w:rsidRPr="007A0D4C">
        <w:rPr>
          <w:rFonts w:ascii="Cambria" w:hAnsi="Cambria"/>
          <w:sz w:val="20"/>
          <w:szCs w:val="20"/>
          <w:lang w:val="es-ES"/>
        </w:rPr>
        <w:t xml:space="preserve"> </w:t>
      </w:r>
      <w:r w:rsidR="003A3A8B" w:rsidRPr="007A0D4C">
        <w:rPr>
          <w:rFonts w:ascii="Cambria" w:hAnsi="Cambria"/>
          <w:sz w:val="20"/>
          <w:szCs w:val="20"/>
          <w:lang w:val="es-ES"/>
        </w:rPr>
        <w:t xml:space="preserve">presunta triangulación </w:t>
      </w:r>
      <w:r w:rsidR="00D6039E" w:rsidRPr="007A0D4C">
        <w:rPr>
          <w:rFonts w:ascii="Cambria" w:hAnsi="Cambria"/>
          <w:sz w:val="20"/>
          <w:szCs w:val="20"/>
          <w:lang w:val="es-ES"/>
        </w:rPr>
        <w:t xml:space="preserve">entre </w:t>
      </w:r>
      <w:r w:rsidR="00ED01C5" w:rsidRPr="007A0D4C">
        <w:rPr>
          <w:rFonts w:ascii="Cambria" w:hAnsi="Cambria"/>
          <w:sz w:val="20"/>
          <w:szCs w:val="20"/>
          <w:lang w:val="es-ES"/>
        </w:rPr>
        <w:t>un individuo brasile</w:t>
      </w:r>
      <w:r w:rsidR="00860860">
        <w:rPr>
          <w:rFonts w:ascii="Cambria" w:hAnsi="Cambria"/>
          <w:sz w:val="20"/>
          <w:szCs w:val="20"/>
          <w:lang w:val="es-ES"/>
        </w:rPr>
        <w:t>ñ</w:t>
      </w:r>
      <w:r w:rsidR="00ED01C5" w:rsidRPr="007A0D4C">
        <w:rPr>
          <w:rFonts w:ascii="Cambria" w:hAnsi="Cambria"/>
          <w:sz w:val="20"/>
          <w:szCs w:val="20"/>
          <w:lang w:val="es-ES"/>
        </w:rPr>
        <w:t xml:space="preserve">o conocido como “El Turco”, miembro de una </w:t>
      </w:r>
      <w:r w:rsidR="00D6039E" w:rsidRPr="007A0D4C">
        <w:rPr>
          <w:rFonts w:ascii="Cambria" w:hAnsi="Cambria"/>
          <w:sz w:val="20"/>
          <w:szCs w:val="20"/>
          <w:lang w:val="es-ES"/>
        </w:rPr>
        <w:t xml:space="preserve">familia </w:t>
      </w:r>
      <w:r w:rsidR="00CB7475" w:rsidRPr="007A0D4C">
        <w:rPr>
          <w:rFonts w:ascii="Cambria" w:hAnsi="Cambria"/>
          <w:sz w:val="20"/>
          <w:szCs w:val="20"/>
          <w:lang w:val="es-ES"/>
        </w:rPr>
        <w:t xml:space="preserve">de </w:t>
      </w:r>
      <w:r w:rsidR="00D6039E" w:rsidRPr="007A0D4C">
        <w:rPr>
          <w:rFonts w:ascii="Cambria" w:hAnsi="Cambria"/>
          <w:sz w:val="20"/>
          <w:szCs w:val="20"/>
          <w:lang w:val="es-ES"/>
        </w:rPr>
        <w:t>empresari</w:t>
      </w:r>
      <w:r w:rsidR="00CB7475" w:rsidRPr="007A0D4C">
        <w:rPr>
          <w:rFonts w:ascii="Cambria" w:hAnsi="Cambria"/>
          <w:sz w:val="20"/>
          <w:szCs w:val="20"/>
          <w:lang w:val="es-ES"/>
        </w:rPr>
        <w:t>os</w:t>
      </w:r>
      <w:r w:rsidR="00ED01C5" w:rsidRPr="007A0D4C">
        <w:rPr>
          <w:rFonts w:ascii="Cambria" w:hAnsi="Cambria"/>
          <w:sz w:val="20"/>
          <w:szCs w:val="20"/>
          <w:lang w:val="es-ES"/>
        </w:rPr>
        <w:t xml:space="preserve">, </w:t>
      </w:r>
      <w:r w:rsidR="00D6039E" w:rsidRPr="007A0D4C">
        <w:rPr>
          <w:rFonts w:ascii="Cambria" w:hAnsi="Cambria"/>
          <w:sz w:val="20"/>
          <w:szCs w:val="20"/>
          <w:lang w:val="es-ES"/>
        </w:rPr>
        <w:t>y</w:t>
      </w:r>
      <w:r w:rsidR="001E65DF" w:rsidRPr="007A0D4C">
        <w:rPr>
          <w:rFonts w:ascii="Cambria" w:hAnsi="Cambria"/>
          <w:sz w:val="20"/>
          <w:szCs w:val="20"/>
          <w:lang w:val="es-ES"/>
        </w:rPr>
        <w:t xml:space="preserve"> la Cámara Paraguaya de la Soja (CAPROSA) </w:t>
      </w:r>
      <w:r w:rsidR="00501202" w:rsidRPr="007A0D4C">
        <w:rPr>
          <w:rFonts w:ascii="Cambria" w:hAnsi="Cambria"/>
          <w:sz w:val="20"/>
          <w:szCs w:val="20"/>
          <w:lang w:val="es-ES"/>
        </w:rPr>
        <w:t>para evadir</w:t>
      </w:r>
      <w:r w:rsidR="007C6416" w:rsidRPr="007A0D4C">
        <w:rPr>
          <w:rFonts w:ascii="Cambria" w:hAnsi="Cambria"/>
          <w:sz w:val="20"/>
          <w:szCs w:val="20"/>
          <w:lang w:val="es-ES"/>
        </w:rPr>
        <w:t xml:space="preserve"> el pago de</w:t>
      </w:r>
      <w:r w:rsidR="00501202" w:rsidRPr="007A0D4C">
        <w:rPr>
          <w:rFonts w:ascii="Cambria" w:hAnsi="Cambria"/>
          <w:sz w:val="20"/>
          <w:szCs w:val="20"/>
          <w:lang w:val="es-ES"/>
        </w:rPr>
        <w:t xml:space="preserve"> impuestos brasileños y paraguayos</w:t>
      </w:r>
      <w:r w:rsidR="007C6416" w:rsidRPr="007A0D4C">
        <w:rPr>
          <w:rFonts w:ascii="Cambria" w:hAnsi="Cambria"/>
          <w:sz w:val="20"/>
          <w:szCs w:val="20"/>
          <w:lang w:val="es-ES"/>
        </w:rPr>
        <w:t xml:space="preserve"> por la comercialización de soja</w:t>
      </w:r>
      <w:r w:rsidR="00E56C2A" w:rsidRPr="007A0D4C">
        <w:rPr>
          <w:rFonts w:ascii="Cambria" w:hAnsi="Cambria"/>
          <w:sz w:val="20"/>
          <w:szCs w:val="20"/>
          <w:lang w:val="es-ES"/>
        </w:rPr>
        <w:t xml:space="preserve">. </w:t>
      </w:r>
      <w:r w:rsidR="00501202" w:rsidRPr="007A0D4C">
        <w:rPr>
          <w:rFonts w:ascii="Cambria" w:hAnsi="Cambria"/>
          <w:sz w:val="20"/>
          <w:szCs w:val="20"/>
          <w:lang w:val="es-ES"/>
        </w:rPr>
        <w:t xml:space="preserve"> </w:t>
      </w:r>
    </w:p>
    <w:p w14:paraId="1E6D4F30" w14:textId="77777777" w:rsidR="00343E7B" w:rsidRPr="007A0D4C" w:rsidRDefault="00343E7B"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6BC00356" w14:textId="20AF1DAB" w:rsidR="00FF368D" w:rsidRPr="009313AF" w:rsidRDefault="0055246C" w:rsidP="007A0D4C">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7A0D4C">
        <w:rPr>
          <w:rFonts w:ascii="Cambria" w:hAnsi="Cambria"/>
          <w:sz w:val="20"/>
          <w:szCs w:val="20"/>
          <w:lang w:val="es-VE"/>
        </w:rPr>
        <w:t xml:space="preserve">Según </w:t>
      </w:r>
      <w:r w:rsidR="00443F8D" w:rsidRPr="007A0D4C">
        <w:rPr>
          <w:rFonts w:ascii="Cambria" w:hAnsi="Cambria"/>
          <w:sz w:val="20"/>
          <w:szCs w:val="20"/>
          <w:lang w:val="es-ES"/>
        </w:rPr>
        <w:t>la</w:t>
      </w:r>
      <w:r w:rsidRPr="007A0D4C">
        <w:rPr>
          <w:rFonts w:ascii="Cambria" w:hAnsi="Cambria"/>
          <w:sz w:val="20"/>
          <w:szCs w:val="20"/>
          <w:lang w:val="es-ES"/>
        </w:rPr>
        <w:t xml:space="preserve"> parte</w:t>
      </w:r>
      <w:r w:rsidR="00443F8D" w:rsidRPr="007A0D4C">
        <w:rPr>
          <w:rFonts w:ascii="Cambria" w:hAnsi="Cambria"/>
          <w:sz w:val="20"/>
          <w:szCs w:val="20"/>
          <w:lang w:val="es-ES"/>
        </w:rPr>
        <w:t xml:space="preserve"> peticionaria, su</w:t>
      </w:r>
      <w:r w:rsidR="005F0B97" w:rsidRPr="007A0D4C">
        <w:rPr>
          <w:rFonts w:ascii="Cambria" w:hAnsi="Cambria"/>
          <w:sz w:val="20"/>
          <w:szCs w:val="20"/>
          <w:lang w:val="es-ES"/>
        </w:rPr>
        <w:t xml:space="preserve">s reportajes dejaban entrever </w:t>
      </w:r>
      <w:r w:rsidR="00443F8D" w:rsidRPr="007A0D4C">
        <w:rPr>
          <w:rFonts w:ascii="Cambria" w:hAnsi="Cambria"/>
          <w:sz w:val="20"/>
          <w:szCs w:val="20"/>
          <w:lang w:val="es-ES"/>
        </w:rPr>
        <w:t xml:space="preserve">una presunta complicidad entre los </w:t>
      </w:r>
      <w:r w:rsidR="00235C0C" w:rsidRPr="007A0D4C">
        <w:rPr>
          <w:rFonts w:ascii="Cambria" w:hAnsi="Cambria"/>
          <w:sz w:val="20"/>
          <w:szCs w:val="20"/>
          <w:lang w:val="es-ES"/>
        </w:rPr>
        <w:t>“</w:t>
      </w:r>
      <w:r w:rsidR="00443F8D" w:rsidRPr="007A0D4C">
        <w:rPr>
          <w:rFonts w:ascii="Cambria" w:hAnsi="Cambria"/>
          <w:sz w:val="20"/>
          <w:szCs w:val="20"/>
          <w:lang w:val="es-ES"/>
        </w:rPr>
        <w:t>capos de crimen</w:t>
      </w:r>
      <w:r w:rsidR="00235C0C" w:rsidRPr="007A0D4C">
        <w:rPr>
          <w:rFonts w:ascii="Cambria" w:hAnsi="Cambria"/>
          <w:sz w:val="20"/>
          <w:szCs w:val="20"/>
          <w:lang w:val="es-ES"/>
        </w:rPr>
        <w:t>”</w:t>
      </w:r>
      <w:r w:rsidR="00EF1C2B" w:rsidRPr="007A0D4C">
        <w:rPr>
          <w:rFonts w:ascii="Cambria" w:hAnsi="Cambria"/>
          <w:sz w:val="20"/>
          <w:szCs w:val="20"/>
          <w:lang w:val="es-ES"/>
        </w:rPr>
        <w:t>,</w:t>
      </w:r>
      <w:r w:rsidR="00704A77" w:rsidRPr="007A0D4C">
        <w:rPr>
          <w:rFonts w:ascii="Cambria" w:hAnsi="Cambria"/>
          <w:sz w:val="20"/>
          <w:szCs w:val="20"/>
          <w:lang w:val="es-ES"/>
        </w:rPr>
        <w:t xml:space="preserve"> y sus socios comerciales</w:t>
      </w:r>
      <w:r w:rsidR="00CB7475" w:rsidRPr="007A0D4C">
        <w:rPr>
          <w:rFonts w:ascii="Cambria" w:hAnsi="Cambria"/>
          <w:sz w:val="20"/>
          <w:szCs w:val="20"/>
          <w:lang w:val="es-ES"/>
        </w:rPr>
        <w:t>, entre los que menciona</w:t>
      </w:r>
      <w:r w:rsidR="00EF1C2B" w:rsidRPr="007A0D4C">
        <w:rPr>
          <w:rFonts w:ascii="Cambria" w:hAnsi="Cambria"/>
          <w:sz w:val="20"/>
          <w:szCs w:val="20"/>
          <w:lang w:val="es-ES"/>
        </w:rPr>
        <w:t xml:space="preserve"> </w:t>
      </w:r>
      <w:r w:rsidR="00CB7475" w:rsidRPr="007A0D4C">
        <w:rPr>
          <w:rFonts w:ascii="Cambria" w:hAnsi="Cambria"/>
          <w:sz w:val="20"/>
          <w:szCs w:val="20"/>
          <w:lang w:val="es-ES"/>
        </w:rPr>
        <w:t>a</w:t>
      </w:r>
      <w:r w:rsidR="00E607D9" w:rsidRPr="007A0D4C">
        <w:rPr>
          <w:rFonts w:ascii="Cambria" w:hAnsi="Cambria"/>
          <w:sz w:val="20"/>
          <w:szCs w:val="20"/>
          <w:lang w:val="es-ES"/>
        </w:rPr>
        <w:t>l presidente del Consejo de Desarrollo del Amambay (CODAM)</w:t>
      </w:r>
      <w:r w:rsidR="00E5365A" w:rsidRPr="007A0D4C">
        <w:rPr>
          <w:rFonts w:ascii="Cambria" w:hAnsi="Cambria"/>
          <w:sz w:val="20"/>
          <w:szCs w:val="20"/>
          <w:lang w:val="es-ES"/>
        </w:rPr>
        <w:t>-organismo encargado de las políticas de desarrollo en Amambay</w:t>
      </w:r>
      <w:r w:rsidR="00552183" w:rsidRPr="007A0D4C">
        <w:rPr>
          <w:rFonts w:ascii="Cambria" w:hAnsi="Cambria"/>
          <w:sz w:val="20"/>
          <w:szCs w:val="20"/>
          <w:lang w:val="es-ES"/>
        </w:rPr>
        <w:t xml:space="preserve">, </w:t>
      </w:r>
      <w:r w:rsidR="00CB7475" w:rsidRPr="007A0D4C">
        <w:rPr>
          <w:rFonts w:ascii="Cambria" w:hAnsi="Cambria"/>
          <w:sz w:val="20"/>
          <w:szCs w:val="20"/>
          <w:lang w:val="es-ES"/>
        </w:rPr>
        <w:t>incluyendo la</w:t>
      </w:r>
      <w:r w:rsidR="00552183" w:rsidRPr="007A0D4C">
        <w:rPr>
          <w:rFonts w:ascii="Cambria" w:hAnsi="Cambria"/>
          <w:sz w:val="20"/>
          <w:szCs w:val="20"/>
          <w:lang w:val="es-ES"/>
        </w:rPr>
        <w:t xml:space="preserve"> administra</w:t>
      </w:r>
      <w:r w:rsidR="00CB7475" w:rsidRPr="007A0D4C">
        <w:rPr>
          <w:rFonts w:ascii="Cambria" w:hAnsi="Cambria"/>
          <w:sz w:val="20"/>
          <w:szCs w:val="20"/>
          <w:lang w:val="es-ES"/>
        </w:rPr>
        <w:t>ción</w:t>
      </w:r>
      <w:r w:rsidR="00552183" w:rsidRPr="007A0D4C">
        <w:rPr>
          <w:rFonts w:ascii="Cambria" w:hAnsi="Cambria"/>
          <w:sz w:val="20"/>
          <w:szCs w:val="20"/>
          <w:lang w:val="es-ES"/>
        </w:rPr>
        <w:t xml:space="preserve"> y distribución</w:t>
      </w:r>
      <w:r w:rsidR="00CB7475" w:rsidRPr="007A0D4C">
        <w:rPr>
          <w:rFonts w:ascii="Cambria" w:hAnsi="Cambria"/>
          <w:sz w:val="20"/>
          <w:szCs w:val="20"/>
          <w:lang w:val="es-ES"/>
        </w:rPr>
        <w:t xml:space="preserve"> de tierra</w:t>
      </w:r>
      <w:r w:rsidR="00552183" w:rsidRPr="007A0D4C">
        <w:rPr>
          <w:rFonts w:ascii="Cambria" w:hAnsi="Cambria"/>
          <w:sz w:val="20"/>
          <w:szCs w:val="20"/>
          <w:lang w:val="es-ES"/>
        </w:rPr>
        <w:t xml:space="preserve"> a los campesinos</w:t>
      </w:r>
      <w:r w:rsidR="00F11D1B" w:rsidRPr="007A0D4C">
        <w:rPr>
          <w:rFonts w:ascii="Cambria" w:hAnsi="Cambria"/>
          <w:sz w:val="20"/>
          <w:szCs w:val="20"/>
          <w:lang w:val="es-ES"/>
        </w:rPr>
        <w:t>-</w:t>
      </w:r>
      <w:r w:rsidR="00443F8D" w:rsidRPr="007A0D4C">
        <w:rPr>
          <w:rFonts w:ascii="Cambria" w:hAnsi="Cambria"/>
          <w:sz w:val="20"/>
          <w:szCs w:val="20"/>
          <w:lang w:val="es-ES"/>
        </w:rPr>
        <w:t xml:space="preserve"> y </w:t>
      </w:r>
      <w:r w:rsidR="00CB7475" w:rsidRPr="007A0D4C">
        <w:rPr>
          <w:rFonts w:ascii="Cambria" w:hAnsi="Cambria"/>
          <w:sz w:val="20"/>
          <w:szCs w:val="20"/>
          <w:lang w:val="es-ES"/>
        </w:rPr>
        <w:t xml:space="preserve">presuntas conexiones con </w:t>
      </w:r>
      <w:r w:rsidR="00443F8D" w:rsidRPr="007A0D4C">
        <w:rPr>
          <w:rFonts w:ascii="Cambria" w:hAnsi="Cambria"/>
          <w:sz w:val="20"/>
          <w:szCs w:val="20"/>
          <w:lang w:val="es-ES"/>
        </w:rPr>
        <w:t>el presidente</w:t>
      </w:r>
      <w:r w:rsidR="00CB7475" w:rsidRPr="007A0D4C">
        <w:rPr>
          <w:rFonts w:ascii="Cambria" w:hAnsi="Cambria"/>
          <w:sz w:val="20"/>
          <w:szCs w:val="20"/>
          <w:lang w:val="es-ES"/>
        </w:rPr>
        <w:t xml:space="preserve"> de la República de la ép</w:t>
      </w:r>
      <w:r w:rsidR="007D7A1F" w:rsidRPr="007A0D4C">
        <w:rPr>
          <w:rFonts w:ascii="Cambria" w:hAnsi="Cambria"/>
          <w:sz w:val="20"/>
          <w:szCs w:val="20"/>
          <w:lang w:val="es-ES"/>
        </w:rPr>
        <w:t>oc</w:t>
      </w:r>
      <w:r w:rsidR="00CB7475" w:rsidRPr="007A0D4C">
        <w:rPr>
          <w:rFonts w:ascii="Cambria" w:hAnsi="Cambria"/>
          <w:sz w:val="20"/>
          <w:szCs w:val="20"/>
          <w:lang w:val="es-ES"/>
        </w:rPr>
        <w:t>a,</w:t>
      </w:r>
      <w:r w:rsidR="00443F8D" w:rsidRPr="007A0D4C">
        <w:rPr>
          <w:rFonts w:ascii="Cambria" w:hAnsi="Cambria"/>
          <w:sz w:val="20"/>
          <w:szCs w:val="20"/>
          <w:lang w:val="es-ES"/>
        </w:rPr>
        <w:t xml:space="preserve"> </w:t>
      </w:r>
      <w:r w:rsidR="00443F8D" w:rsidRPr="009B3377">
        <w:rPr>
          <w:rFonts w:ascii="Cambria" w:hAnsi="Cambria"/>
          <w:sz w:val="20"/>
          <w:szCs w:val="20"/>
          <w:lang w:val="es-ES"/>
        </w:rPr>
        <w:t>Andrés Rodríguez</w:t>
      </w:r>
      <w:r w:rsidR="00D00C50" w:rsidRPr="009B3377">
        <w:rPr>
          <w:rFonts w:ascii="Cambria" w:hAnsi="Cambria"/>
          <w:sz w:val="20"/>
          <w:szCs w:val="20"/>
          <w:lang w:val="es-ES"/>
        </w:rPr>
        <w:t>.</w:t>
      </w:r>
      <w:r w:rsidR="00443F8D" w:rsidRPr="009B3377">
        <w:rPr>
          <w:rFonts w:ascii="Cambria" w:hAnsi="Cambria"/>
          <w:sz w:val="20"/>
          <w:szCs w:val="20"/>
          <w:lang w:val="es-ES"/>
        </w:rPr>
        <w:t xml:space="preserve"> </w:t>
      </w:r>
      <w:r w:rsidR="008E0D7F" w:rsidRPr="009B3377">
        <w:rPr>
          <w:rFonts w:ascii="Cambria" w:hAnsi="Cambria"/>
          <w:sz w:val="20"/>
          <w:szCs w:val="20"/>
          <w:lang w:val="es-ES"/>
        </w:rPr>
        <w:t>La parte</w:t>
      </w:r>
      <w:r w:rsidR="008E0D7F" w:rsidRPr="007A0D4C">
        <w:rPr>
          <w:rFonts w:ascii="Cambria" w:hAnsi="Cambria"/>
          <w:sz w:val="20"/>
          <w:szCs w:val="20"/>
          <w:lang w:val="es-ES"/>
        </w:rPr>
        <w:t xml:space="preserve"> peticionaria </w:t>
      </w:r>
      <w:r w:rsidR="00996C00" w:rsidRPr="007A0D4C">
        <w:rPr>
          <w:rFonts w:ascii="Cambria" w:hAnsi="Cambria"/>
          <w:sz w:val="20"/>
          <w:szCs w:val="20"/>
          <w:lang w:val="es-ES"/>
        </w:rPr>
        <w:t xml:space="preserve">destacó </w:t>
      </w:r>
      <w:r w:rsidR="00CD20F4" w:rsidRPr="007A0D4C">
        <w:rPr>
          <w:rFonts w:ascii="Cambria" w:hAnsi="Cambria"/>
          <w:sz w:val="20"/>
          <w:szCs w:val="20"/>
          <w:lang w:val="es-ES"/>
        </w:rPr>
        <w:t xml:space="preserve">que </w:t>
      </w:r>
      <w:r w:rsidR="00E67012">
        <w:rPr>
          <w:rFonts w:ascii="Cambria" w:hAnsi="Cambria"/>
          <w:sz w:val="20"/>
          <w:szCs w:val="20"/>
          <w:lang w:val="es-ES"/>
        </w:rPr>
        <w:t xml:space="preserve">Andrés Rodríguez </w:t>
      </w:r>
      <w:r w:rsidR="00CB7475" w:rsidRPr="007A0D4C">
        <w:rPr>
          <w:rFonts w:ascii="Cambria" w:hAnsi="Cambria"/>
          <w:sz w:val="20"/>
          <w:szCs w:val="20"/>
          <w:lang w:val="es-ES"/>
        </w:rPr>
        <w:t>mantenía por entonces</w:t>
      </w:r>
      <w:r w:rsidR="007D7A1F" w:rsidRPr="007A0D4C">
        <w:rPr>
          <w:rFonts w:ascii="Cambria" w:hAnsi="Cambria"/>
          <w:sz w:val="20"/>
          <w:szCs w:val="20"/>
          <w:lang w:val="es-ES"/>
        </w:rPr>
        <w:t>,</w:t>
      </w:r>
      <w:r w:rsidR="0012710D" w:rsidRPr="007A0D4C">
        <w:rPr>
          <w:rFonts w:ascii="Cambria" w:hAnsi="Cambria"/>
          <w:sz w:val="20"/>
          <w:szCs w:val="20"/>
          <w:lang w:val="es-ES"/>
        </w:rPr>
        <w:t xml:space="preserve"> una relación estrecha con </w:t>
      </w:r>
      <w:r w:rsidR="00B31224" w:rsidRPr="007A0D4C">
        <w:rPr>
          <w:rFonts w:ascii="Cambria" w:hAnsi="Cambria"/>
          <w:sz w:val="20"/>
          <w:szCs w:val="20"/>
          <w:lang w:val="es-ES"/>
        </w:rPr>
        <w:t xml:space="preserve">la </w:t>
      </w:r>
      <w:r w:rsidR="00214C40" w:rsidRPr="007A0D4C">
        <w:rPr>
          <w:rFonts w:ascii="Cambria" w:hAnsi="Cambria"/>
          <w:sz w:val="20"/>
          <w:szCs w:val="20"/>
          <w:lang w:val="es-ES"/>
        </w:rPr>
        <w:t xml:space="preserve">familia de </w:t>
      </w:r>
      <w:r w:rsidR="00FF368D" w:rsidRPr="007A0D4C">
        <w:rPr>
          <w:rFonts w:ascii="Cambria" w:hAnsi="Cambria"/>
          <w:sz w:val="20"/>
          <w:szCs w:val="20"/>
          <w:lang w:val="es-ES"/>
        </w:rPr>
        <w:t>“El Turco”</w:t>
      </w:r>
      <w:r w:rsidR="00214C40" w:rsidRPr="007A0D4C">
        <w:rPr>
          <w:rFonts w:ascii="Cambria" w:hAnsi="Cambria"/>
          <w:sz w:val="20"/>
          <w:szCs w:val="20"/>
          <w:lang w:val="es-ES"/>
        </w:rPr>
        <w:t xml:space="preserve">, y que incluso </w:t>
      </w:r>
      <w:r w:rsidR="00F83276" w:rsidRPr="007A0D4C">
        <w:rPr>
          <w:rFonts w:ascii="Cambria" w:hAnsi="Cambria"/>
          <w:sz w:val="20"/>
          <w:szCs w:val="20"/>
          <w:lang w:val="es-ES"/>
        </w:rPr>
        <w:t>el</w:t>
      </w:r>
      <w:r w:rsidR="00214C40" w:rsidRPr="007A0D4C">
        <w:rPr>
          <w:rFonts w:ascii="Cambria" w:hAnsi="Cambria"/>
          <w:sz w:val="20"/>
          <w:szCs w:val="20"/>
          <w:lang w:val="es-ES"/>
        </w:rPr>
        <w:t xml:space="preserve"> hijo</w:t>
      </w:r>
      <w:r w:rsidR="00FF368D" w:rsidRPr="007A0D4C">
        <w:rPr>
          <w:rFonts w:ascii="Cambria" w:hAnsi="Cambria"/>
          <w:sz w:val="20"/>
          <w:szCs w:val="20"/>
          <w:lang w:val="es-ES"/>
        </w:rPr>
        <w:t xml:space="preserve"> </w:t>
      </w:r>
      <w:r w:rsidR="00A607BF" w:rsidRPr="007A0D4C">
        <w:rPr>
          <w:rFonts w:ascii="Cambria" w:hAnsi="Cambria"/>
          <w:sz w:val="20"/>
          <w:szCs w:val="20"/>
          <w:lang w:val="es-ES"/>
        </w:rPr>
        <w:t>d</w:t>
      </w:r>
      <w:r w:rsidR="00F83276" w:rsidRPr="007A0D4C">
        <w:rPr>
          <w:rFonts w:ascii="Cambria" w:hAnsi="Cambria"/>
          <w:sz w:val="20"/>
          <w:szCs w:val="20"/>
          <w:lang w:val="es-ES"/>
        </w:rPr>
        <w:t xml:space="preserve">e este último </w:t>
      </w:r>
      <w:r w:rsidR="00FF368D" w:rsidRPr="007A0D4C">
        <w:rPr>
          <w:rFonts w:ascii="Cambria" w:hAnsi="Cambria"/>
          <w:sz w:val="20"/>
          <w:szCs w:val="20"/>
          <w:lang w:val="es-ES"/>
        </w:rPr>
        <w:t>era</w:t>
      </w:r>
      <w:r w:rsidR="007B571D" w:rsidRPr="007A0D4C">
        <w:rPr>
          <w:rFonts w:ascii="Cambria" w:hAnsi="Cambria"/>
          <w:sz w:val="20"/>
          <w:szCs w:val="20"/>
          <w:lang w:val="es-ES"/>
        </w:rPr>
        <w:t xml:space="preserve"> </w:t>
      </w:r>
      <w:r w:rsidR="00E67012">
        <w:rPr>
          <w:rFonts w:ascii="Cambria" w:hAnsi="Cambria"/>
          <w:sz w:val="20"/>
          <w:szCs w:val="20"/>
          <w:lang w:val="es-ES"/>
        </w:rPr>
        <w:t xml:space="preserve">su </w:t>
      </w:r>
      <w:r w:rsidR="00FF368D" w:rsidRPr="007A0D4C">
        <w:rPr>
          <w:rFonts w:ascii="Cambria" w:hAnsi="Cambria"/>
          <w:sz w:val="20"/>
          <w:szCs w:val="20"/>
          <w:lang w:val="es-ES"/>
        </w:rPr>
        <w:t>ahijado</w:t>
      </w:r>
      <w:r w:rsidR="00070737" w:rsidRPr="007A0D4C">
        <w:rPr>
          <w:rFonts w:ascii="Cambria" w:hAnsi="Cambria"/>
          <w:sz w:val="20"/>
          <w:szCs w:val="20"/>
          <w:lang w:val="es-ES"/>
        </w:rPr>
        <w:t>.</w:t>
      </w:r>
    </w:p>
    <w:p w14:paraId="3256A14D" w14:textId="58EE2429" w:rsidR="005B4E4A" w:rsidRPr="007A0D4C" w:rsidRDefault="00D00C50"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7A0D4C">
        <w:rPr>
          <w:rFonts w:ascii="Cambria" w:hAnsi="Cambria"/>
          <w:sz w:val="20"/>
          <w:szCs w:val="20"/>
          <w:lang w:val="es-ES"/>
        </w:rPr>
        <w:lastRenderedPageBreak/>
        <w:t xml:space="preserve">La parte peticionaria señala que el 26 de abril de 1991, cuando </w:t>
      </w:r>
      <w:r w:rsidR="00FC091B" w:rsidRPr="007A0D4C">
        <w:rPr>
          <w:rFonts w:ascii="Cambria" w:hAnsi="Cambria"/>
          <w:sz w:val="20"/>
          <w:szCs w:val="20"/>
          <w:lang w:val="es-ES"/>
        </w:rPr>
        <w:t xml:space="preserve">Santiago Leguizamón se dirigía </w:t>
      </w:r>
      <w:r w:rsidRPr="007A0D4C">
        <w:rPr>
          <w:rFonts w:ascii="Cambria" w:hAnsi="Cambria"/>
          <w:sz w:val="20"/>
          <w:szCs w:val="20"/>
          <w:lang w:val="es-ES"/>
        </w:rPr>
        <w:t>a</w:t>
      </w:r>
      <w:r w:rsidR="00FC091B" w:rsidRPr="007A0D4C">
        <w:rPr>
          <w:rFonts w:ascii="Cambria" w:hAnsi="Cambria"/>
          <w:sz w:val="20"/>
          <w:szCs w:val="20"/>
          <w:lang w:val="es-ES"/>
        </w:rPr>
        <w:t xml:space="preserve"> un </w:t>
      </w:r>
      <w:r w:rsidR="007D7A1F" w:rsidRPr="007A0D4C">
        <w:rPr>
          <w:rFonts w:ascii="Cambria" w:hAnsi="Cambria"/>
          <w:sz w:val="20"/>
          <w:szCs w:val="20"/>
          <w:lang w:val="es-ES"/>
        </w:rPr>
        <w:t>restaurante</w:t>
      </w:r>
      <w:r w:rsidR="00FC091B" w:rsidRPr="007A0D4C">
        <w:rPr>
          <w:rFonts w:ascii="Cambria" w:hAnsi="Cambria"/>
          <w:sz w:val="20"/>
          <w:szCs w:val="20"/>
          <w:lang w:val="es-ES"/>
        </w:rPr>
        <w:t xml:space="preserve"> para</w:t>
      </w:r>
      <w:r w:rsidRPr="007A0D4C">
        <w:rPr>
          <w:rFonts w:ascii="Cambria" w:hAnsi="Cambria"/>
          <w:sz w:val="20"/>
          <w:szCs w:val="20"/>
          <w:lang w:val="es-ES"/>
        </w:rPr>
        <w:t xml:space="preserve"> </w:t>
      </w:r>
      <w:r w:rsidR="00FC091B" w:rsidRPr="007A0D4C">
        <w:rPr>
          <w:rFonts w:ascii="Cambria" w:hAnsi="Cambria"/>
          <w:sz w:val="20"/>
          <w:szCs w:val="20"/>
          <w:lang w:val="es-ES"/>
        </w:rPr>
        <w:t>la</w:t>
      </w:r>
      <w:r w:rsidR="007D7A1F" w:rsidRPr="007A0D4C">
        <w:rPr>
          <w:rFonts w:ascii="Cambria" w:hAnsi="Cambria"/>
          <w:sz w:val="20"/>
          <w:szCs w:val="20"/>
          <w:lang w:val="es-ES"/>
        </w:rPr>
        <w:t xml:space="preserve"> </w:t>
      </w:r>
      <w:r w:rsidR="00FC091B" w:rsidRPr="007A0D4C">
        <w:rPr>
          <w:rFonts w:ascii="Cambria" w:hAnsi="Cambria"/>
          <w:sz w:val="20"/>
          <w:szCs w:val="20"/>
          <w:lang w:val="es-ES"/>
        </w:rPr>
        <w:t>celebración d</w:t>
      </w:r>
      <w:r w:rsidRPr="007A0D4C">
        <w:rPr>
          <w:rFonts w:ascii="Cambria" w:hAnsi="Cambria"/>
          <w:sz w:val="20"/>
          <w:szCs w:val="20"/>
          <w:lang w:val="es-ES"/>
        </w:rPr>
        <w:t>el Día del Periodist</w:t>
      </w:r>
      <w:r w:rsidR="007D7A1F" w:rsidRPr="007A0D4C">
        <w:rPr>
          <w:rFonts w:ascii="Cambria" w:hAnsi="Cambria"/>
          <w:sz w:val="20"/>
          <w:szCs w:val="20"/>
          <w:lang w:val="es-ES"/>
        </w:rPr>
        <w:t>a</w:t>
      </w:r>
      <w:r w:rsidR="00FC091B" w:rsidRPr="007A0D4C">
        <w:rPr>
          <w:rFonts w:ascii="Cambria" w:hAnsi="Cambria"/>
          <w:sz w:val="20"/>
          <w:szCs w:val="20"/>
          <w:lang w:val="es-ES"/>
        </w:rPr>
        <w:t xml:space="preserve">, </w:t>
      </w:r>
      <w:r w:rsidRPr="007A0D4C">
        <w:rPr>
          <w:rFonts w:ascii="Cambria" w:hAnsi="Cambria"/>
          <w:sz w:val="20"/>
          <w:szCs w:val="20"/>
          <w:lang w:val="es-ES"/>
        </w:rPr>
        <w:t>junto a su colaborador Baldomero Cabral, fue</w:t>
      </w:r>
      <w:r w:rsidR="00FC091B" w:rsidRPr="007A0D4C">
        <w:rPr>
          <w:rFonts w:ascii="Cambria" w:hAnsi="Cambria"/>
          <w:sz w:val="20"/>
          <w:szCs w:val="20"/>
          <w:lang w:val="es-ES"/>
        </w:rPr>
        <w:t>ron</w:t>
      </w:r>
      <w:r w:rsidRPr="007A0D4C">
        <w:rPr>
          <w:rFonts w:ascii="Cambria" w:hAnsi="Cambria"/>
          <w:sz w:val="20"/>
          <w:szCs w:val="20"/>
          <w:lang w:val="es-ES"/>
        </w:rPr>
        <w:t xml:space="preserve"> interceptado</w:t>
      </w:r>
      <w:r w:rsidR="00FC091B" w:rsidRPr="007A0D4C">
        <w:rPr>
          <w:rFonts w:ascii="Cambria" w:hAnsi="Cambria"/>
          <w:sz w:val="20"/>
          <w:szCs w:val="20"/>
          <w:lang w:val="es-ES"/>
        </w:rPr>
        <w:t>s</w:t>
      </w:r>
      <w:r w:rsidRPr="007A0D4C">
        <w:rPr>
          <w:rFonts w:ascii="Cambria" w:hAnsi="Cambria"/>
          <w:sz w:val="20"/>
          <w:szCs w:val="20"/>
          <w:lang w:val="es-ES"/>
        </w:rPr>
        <w:t xml:space="preserve"> por un vehículo Volkswagen Gol de color negro desde donde tres individuos le</w:t>
      </w:r>
      <w:r w:rsidR="00FC091B" w:rsidRPr="007A0D4C">
        <w:rPr>
          <w:rFonts w:ascii="Cambria" w:hAnsi="Cambria"/>
          <w:sz w:val="20"/>
          <w:szCs w:val="20"/>
          <w:lang w:val="es-ES"/>
        </w:rPr>
        <w:t>s</w:t>
      </w:r>
      <w:r w:rsidRPr="007A0D4C">
        <w:rPr>
          <w:rFonts w:ascii="Cambria" w:hAnsi="Cambria"/>
          <w:sz w:val="20"/>
          <w:szCs w:val="20"/>
          <w:lang w:val="es-ES"/>
        </w:rPr>
        <w:t xml:space="preserve"> dispararon con armas de distinto calibre</w:t>
      </w:r>
      <w:r w:rsidR="007D7A1F" w:rsidRPr="007A0D4C">
        <w:rPr>
          <w:rFonts w:ascii="Cambria" w:hAnsi="Cambria"/>
          <w:sz w:val="20"/>
          <w:szCs w:val="20"/>
          <w:lang w:val="es-ES"/>
        </w:rPr>
        <w:t xml:space="preserve">, </w:t>
      </w:r>
      <w:r w:rsidRPr="007A0D4C">
        <w:rPr>
          <w:rFonts w:ascii="Cambria" w:hAnsi="Cambria"/>
          <w:sz w:val="20"/>
          <w:szCs w:val="20"/>
          <w:lang w:val="es-ES"/>
        </w:rPr>
        <w:t>causa</w:t>
      </w:r>
      <w:r w:rsidR="007D7A1F" w:rsidRPr="007A0D4C">
        <w:rPr>
          <w:rFonts w:ascii="Cambria" w:hAnsi="Cambria"/>
          <w:sz w:val="20"/>
          <w:szCs w:val="20"/>
          <w:lang w:val="es-ES"/>
        </w:rPr>
        <w:t>ndo</w:t>
      </w:r>
      <w:r w:rsidRPr="007A0D4C">
        <w:rPr>
          <w:rFonts w:ascii="Cambria" w:hAnsi="Cambria"/>
          <w:sz w:val="20"/>
          <w:szCs w:val="20"/>
          <w:lang w:val="es-ES"/>
        </w:rPr>
        <w:t xml:space="preserve"> la muerte</w:t>
      </w:r>
      <w:r w:rsidR="007D7A1F" w:rsidRPr="007A0D4C">
        <w:rPr>
          <w:rFonts w:ascii="Cambria" w:hAnsi="Cambria"/>
          <w:sz w:val="20"/>
          <w:szCs w:val="20"/>
          <w:lang w:val="es-ES"/>
        </w:rPr>
        <w:t xml:space="preserve"> del periodista.</w:t>
      </w:r>
      <w:r w:rsidRPr="007A0D4C">
        <w:rPr>
          <w:rFonts w:ascii="Cambria" w:hAnsi="Cambria"/>
          <w:sz w:val="20"/>
          <w:szCs w:val="20"/>
          <w:lang w:val="es-ES"/>
        </w:rPr>
        <w:t xml:space="preserve"> Según la petición, el periodista sufrió 21 heridas de bala. </w:t>
      </w:r>
      <w:r w:rsidR="007D7A1F" w:rsidRPr="007A0D4C">
        <w:rPr>
          <w:rFonts w:ascii="Cambria" w:hAnsi="Cambria"/>
          <w:sz w:val="20"/>
          <w:szCs w:val="20"/>
          <w:lang w:val="es-ES"/>
        </w:rPr>
        <w:t>L</w:t>
      </w:r>
      <w:r w:rsidRPr="007A0D4C">
        <w:rPr>
          <w:rFonts w:ascii="Cambria" w:hAnsi="Cambria"/>
          <w:sz w:val="20"/>
          <w:szCs w:val="20"/>
          <w:lang w:val="es-ES"/>
        </w:rPr>
        <w:t>a parte peticionaria</w:t>
      </w:r>
      <w:r w:rsidR="007D7A1F" w:rsidRPr="007A0D4C">
        <w:rPr>
          <w:rFonts w:ascii="Cambria" w:hAnsi="Cambria"/>
          <w:sz w:val="20"/>
          <w:szCs w:val="20"/>
          <w:lang w:val="es-ES"/>
        </w:rPr>
        <w:t xml:space="preserve"> destaca que</w:t>
      </w:r>
      <w:r w:rsidRPr="007A0D4C">
        <w:rPr>
          <w:rFonts w:ascii="Cambria" w:hAnsi="Cambria"/>
          <w:sz w:val="20"/>
          <w:szCs w:val="20"/>
          <w:lang w:val="es-ES"/>
        </w:rPr>
        <w:t xml:space="preserve"> este sería el primer asesinato de un periodista por razones vinculadas con la profesión en Paraguay</w:t>
      </w:r>
      <w:r w:rsidR="00E67012">
        <w:rPr>
          <w:rFonts w:ascii="Cambria" w:hAnsi="Cambria"/>
          <w:sz w:val="20"/>
          <w:szCs w:val="20"/>
          <w:lang w:val="es-ES"/>
        </w:rPr>
        <w:t>,</w:t>
      </w:r>
      <w:r w:rsidRPr="007A0D4C">
        <w:rPr>
          <w:rFonts w:ascii="Cambria" w:hAnsi="Cambria"/>
          <w:sz w:val="20"/>
          <w:szCs w:val="20"/>
          <w:lang w:val="es-ES"/>
        </w:rPr>
        <w:t xml:space="preserve"> </w:t>
      </w:r>
      <w:r w:rsidR="00E67012">
        <w:rPr>
          <w:rFonts w:ascii="Cambria" w:hAnsi="Cambria"/>
          <w:sz w:val="20"/>
          <w:szCs w:val="20"/>
          <w:lang w:val="es-ES"/>
        </w:rPr>
        <w:t xml:space="preserve">en la época </w:t>
      </w:r>
      <w:r w:rsidRPr="007A0D4C">
        <w:rPr>
          <w:rFonts w:ascii="Cambria" w:hAnsi="Cambria"/>
          <w:sz w:val="20"/>
          <w:szCs w:val="20"/>
          <w:lang w:val="es-ES"/>
        </w:rPr>
        <w:t xml:space="preserve">postdictadura. </w:t>
      </w:r>
      <w:r w:rsidR="00E5378E" w:rsidRPr="007A0D4C">
        <w:rPr>
          <w:rFonts w:ascii="Cambria" w:hAnsi="Cambria"/>
          <w:sz w:val="20"/>
          <w:szCs w:val="20"/>
          <w:lang w:val="es-ES"/>
        </w:rPr>
        <w:t xml:space="preserve">Indica además que, si bien se inició una </w:t>
      </w:r>
      <w:r w:rsidR="00CB01BC" w:rsidRPr="007A0D4C">
        <w:rPr>
          <w:rFonts w:ascii="Cambria" w:hAnsi="Cambria"/>
          <w:sz w:val="20"/>
          <w:szCs w:val="20"/>
          <w:lang w:val="es-ES"/>
        </w:rPr>
        <w:t xml:space="preserve">investigación de oficio el mismo día del asesinato, esta </w:t>
      </w:r>
      <w:r w:rsidR="00374CEA" w:rsidRPr="007A0D4C">
        <w:rPr>
          <w:rFonts w:ascii="Cambria" w:hAnsi="Cambria"/>
          <w:sz w:val="20"/>
          <w:szCs w:val="20"/>
          <w:lang w:val="es-ES"/>
        </w:rPr>
        <w:t>fue ineficiente y poco diligente, y que hasta la fecha el caso se encuentra en impunidad.</w:t>
      </w:r>
    </w:p>
    <w:p w14:paraId="064CBF05" w14:textId="77777777" w:rsidR="009F4FEC" w:rsidRPr="007A0D4C" w:rsidRDefault="009F4FEC"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3F0CA817" w14:textId="5D0B7867" w:rsidR="00BD6A01" w:rsidRPr="007A0D4C" w:rsidRDefault="00A77971"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7A0D4C">
        <w:rPr>
          <w:rFonts w:ascii="Cambria" w:hAnsi="Cambria"/>
          <w:sz w:val="20"/>
          <w:szCs w:val="20"/>
          <w:lang w:val="es-VE"/>
        </w:rPr>
        <w:t>La parte peticionaria a</w:t>
      </w:r>
      <w:r w:rsidR="00145ADE" w:rsidRPr="007A0D4C">
        <w:rPr>
          <w:rFonts w:ascii="Cambria" w:hAnsi="Cambria"/>
          <w:sz w:val="20"/>
          <w:szCs w:val="20"/>
          <w:lang w:val="es-VE"/>
        </w:rPr>
        <w:t xml:space="preserve">lega que el periodista </w:t>
      </w:r>
      <w:r w:rsidR="00FC091B" w:rsidRPr="007A0D4C">
        <w:rPr>
          <w:rFonts w:ascii="Cambria" w:hAnsi="Cambria"/>
          <w:sz w:val="20"/>
          <w:szCs w:val="20"/>
          <w:lang w:val="es-VE"/>
        </w:rPr>
        <w:t>recibi</w:t>
      </w:r>
      <w:r w:rsidR="00E67012">
        <w:rPr>
          <w:rFonts w:ascii="Cambria" w:hAnsi="Cambria"/>
          <w:sz w:val="20"/>
          <w:szCs w:val="20"/>
          <w:lang w:val="es-VE"/>
        </w:rPr>
        <w:t>ó</w:t>
      </w:r>
      <w:r w:rsidR="00FC091B" w:rsidRPr="007A0D4C">
        <w:rPr>
          <w:rFonts w:ascii="Cambria" w:hAnsi="Cambria"/>
          <w:sz w:val="20"/>
          <w:szCs w:val="20"/>
          <w:lang w:val="es-PE"/>
        </w:rPr>
        <w:t xml:space="preserve"> </w:t>
      </w:r>
      <w:r w:rsidR="00145ADE" w:rsidRPr="007A0D4C">
        <w:rPr>
          <w:rFonts w:ascii="Cambria" w:hAnsi="Cambria"/>
          <w:sz w:val="20"/>
          <w:szCs w:val="20"/>
          <w:lang w:val="es-PE"/>
        </w:rPr>
        <w:t xml:space="preserve">amenazas y sufrió actos de hostigamiento </w:t>
      </w:r>
      <w:r w:rsidR="001E7854" w:rsidRPr="007A0D4C">
        <w:rPr>
          <w:rFonts w:ascii="Cambria" w:hAnsi="Cambria"/>
          <w:sz w:val="20"/>
          <w:szCs w:val="20"/>
          <w:lang w:val="es-PE"/>
        </w:rPr>
        <w:t xml:space="preserve">por su labor periodística con anterioridad a su asesinato, </w:t>
      </w:r>
      <w:r w:rsidR="00105490" w:rsidRPr="007A0D4C">
        <w:rPr>
          <w:rFonts w:ascii="Cambria" w:hAnsi="Cambria"/>
          <w:sz w:val="20"/>
          <w:szCs w:val="20"/>
          <w:lang w:val="es-PE"/>
        </w:rPr>
        <w:t xml:space="preserve">y que “en varias oportunidades […] había solicitado custodia </w:t>
      </w:r>
      <w:r w:rsidR="00DD5B0E" w:rsidRPr="007A0D4C">
        <w:rPr>
          <w:rFonts w:ascii="Cambria" w:hAnsi="Cambria"/>
          <w:sz w:val="20"/>
          <w:szCs w:val="20"/>
          <w:lang w:val="es-PE"/>
        </w:rPr>
        <w:t>policial</w:t>
      </w:r>
      <w:r w:rsidR="00105490" w:rsidRPr="007A0D4C">
        <w:rPr>
          <w:rFonts w:ascii="Cambria" w:hAnsi="Cambria"/>
          <w:sz w:val="20"/>
          <w:szCs w:val="20"/>
          <w:lang w:val="es-PE"/>
        </w:rPr>
        <w:t xml:space="preserve">, lo que se concretó en algunas de ellas, excepto la solicitada </w:t>
      </w:r>
      <w:r w:rsidR="00986B53" w:rsidRPr="007A0D4C">
        <w:rPr>
          <w:rFonts w:ascii="Cambria" w:hAnsi="Cambria"/>
          <w:sz w:val="20"/>
          <w:szCs w:val="20"/>
          <w:lang w:val="es-PE"/>
        </w:rPr>
        <w:t xml:space="preserve">en los últimos meses antes de su asesinato”. </w:t>
      </w:r>
      <w:r w:rsidR="002927F1" w:rsidRPr="007A0D4C">
        <w:rPr>
          <w:rFonts w:ascii="Cambria" w:hAnsi="Cambria"/>
          <w:sz w:val="20"/>
          <w:szCs w:val="20"/>
          <w:lang w:val="es-ES"/>
        </w:rPr>
        <w:t>Asimismo, señala que el periodista “le decía</w:t>
      </w:r>
      <w:r w:rsidR="0045733A" w:rsidRPr="007A0D4C">
        <w:rPr>
          <w:rFonts w:ascii="Cambria" w:hAnsi="Cambria"/>
          <w:sz w:val="20"/>
          <w:szCs w:val="20"/>
          <w:lang w:val="es-ES"/>
        </w:rPr>
        <w:t xml:space="preserve"> [a su equipo de trabajo]</w:t>
      </w:r>
      <w:r w:rsidR="002927F1" w:rsidRPr="007A0D4C">
        <w:rPr>
          <w:rFonts w:ascii="Cambria" w:hAnsi="Cambria"/>
          <w:sz w:val="20"/>
          <w:szCs w:val="20"/>
          <w:lang w:val="es-ES"/>
        </w:rPr>
        <w:t xml:space="preserve"> que debía cuidarse” y que debían “estar en permanente vigilancia”;</w:t>
      </w:r>
      <w:r w:rsidR="00711C27" w:rsidRPr="007A0D4C">
        <w:rPr>
          <w:rFonts w:ascii="Cambria" w:hAnsi="Cambria"/>
          <w:sz w:val="20"/>
          <w:szCs w:val="20"/>
          <w:lang w:val="es-ES"/>
        </w:rPr>
        <w:t xml:space="preserve"> </w:t>
      </w:r>
      <w:r w:rsidR="002927F1" w:rsidRPr="007A0D4C">
        <w:rPr>
          <w:rFonts w:ascii="Cambria" w:hAnsi="Cambria"/>
          <w:sz w:val="20"/>
          <w:szCs w:val="20"/>
          <w:lang w:val="es-ES"/>
        </w:rPr>
        <w:t>ante las amenazas afirmaba que “pref[ería] la muerte física a la muerte ética”.</w:t>
      </w:r>
      <w:r w:rsidR="004846A4" w:rsidRPr="007A0D4C">
        <w:rPr>
          <w:rFonts w:ascii="Cambria" w:hAnsi="Cambria"/>
          <w:sz w:val="20"/>
          <w:szCs w:val="20"/>
          <w:lang w:val="es-ES"/>
        </w:rPr>
        <w:t xml:space="preserve"> </w:t>
      </w:r>
      <w:r w:rsidR="00711C27" w:rsidRPr="007A0D4C">
        <w:rPr>
          <w:rFonts w:ascii="Cambria" w:hAnsi="Cambria"/>
          <w:sz w:val="20"/>
          <w:szCs w:val="20"/>
          <w:lang w:val="es-PE"/>
        </w:rPr>
        <w:t>La parte peticionaria d</w:t>
      </w:r>
      <w:r w:rsidR="00986B53" w:rsidRPr="007A0D4C">
        <w:rPr>
          <w:rFonts w:ascii="Cambria" w:hAnsi="Cambria"/>
          <w:sz w:val="20"/>
          <w:szCs w:val="20"/>
          <w:lang w:val="es-PE"/>
        </w:rPr>
        <w:t>estaca que</w:t>
      </w:r>
      <w:r w:rsidR="00D01CAF" w:rsidRPr="007A0D4C">
        <w:rPr>
          <w:rFonts w:ascii="Cambria" w:hAnsi="Cambria"/>
          <w:sz w:val="20"/>
          <w:szCs w:val="20"/>
          <w:lang w:val="es-PE"/>
        </w:rPr>
        <w:t>,</w:t>
      </w:r>
      <w:r w:rsidR="00986B53" w:rsidRPr="007A0D4C">
        <w:rPr>
          <w:rFonts w:ascii="Cambria" w:hAnsi="Cambria"/>
          <w:sz w:val="20"/>
          <w:szCs w:val="20"/>
          <w:lang w:val="es-PE"/>
        </w:rPr>
        <w:t xml:space="preserve"> </w:t>
      </w:r>
      <w:r w:rsidR="001213AF" w:rsidRPr="007A0D4C">
        <w:rPr>
          <w:rFonts w:ascii="Cambria" w:hAnsi="Cambria"/>
          <w:sz w:val="20"/>
          <w:szCs w:val="20"/>
          <w:lang w:val="es-PE"/>
        </w:rPr>
        <w:t>un año antes de</w:t>
      </w:r>
      <w:r w:rsidR="00D22F41" w:rsidRPr="007A0D4C">
        <w:rPr>
          <w:rFonts w:ascii="Cambria" w:hAnsi="Cambria"/>
          <w:sz w:val="20"/>
          <w:szCs w:val="20"/>
          <w:lang w:val="es-PE"/>
        </w:rPr>
        <w:t>l</w:t>
      </w:r>
      <w:r w:rsidR="001213AF" w:rsidRPr="007A0D4C">
        <w:rPr>
          <w:rFonts w:ascii="Cambria" w:hAnsi="Cambria"/>
          <w:sz w:val="20"/>
          <w:szCs w:val="20"/>
          <w:lang w:val="es-PE"/>
        </w:rPr>
        <w:t xml:space="preserve"> asesinato</w:t>
      </w:r>
      <w:r w:rsidR="00D22F41" w:rsidRPr="007A0D4C">
        <w:rPr>
          <w:rFonts w:ascii="Cambria" w:hAnsi="Cambria"/>
          <w:sz w:val="20"/>
          <w:szCs w:val="20"/>
          <w:lang w:val="es-PE"/>
        </w:rPr>
        <w:t xml:space="preserve"> del periodista</w:t>
      </w:r>
      <w:r w:rsidR="001213AF" w:rsidRPr="007A0D4C">
        <w:rPr>
          <w:rFonts w:ascii="Cambria" w:hAnsi="Cambria"/>
          <w:sz w:val="20"/>
          <w:szCs w:val="20"/>
          <w:lang w:val="es-PE"/>
        </w:rPr>
        <w:t>,</w:t>
      </w:r>
      <w:r w:rsidR="00D22F41" w:rsidRPr="007A0D4C">
        <w:rPr>
          <w:rFonts w:ascii="Cambria" w:hAnsi="Cambria"/>
          <w:sz w:val="20"/>
          <w:szCs w:val="20"/>
          <w:lang w:val="es-PE"/>
        </w:rPr>
        <w:t xml:space="preserve"> y</w:t>
      </w:r>
      <w:r w:rsidR="001213AF" w:rsidRPr="007A0D4C">
        <w:rPr>
          <w:rFonts w:ascii="Cambria" w:hAnsi="Cambria"/>
          <w:sz w:val="20"/>
          <w:szCs w:val="20"/>
          <w:lang w:val="es-PE"/>
        </w:rPr>
        <w:t xml:space="preserve"> </w:t>
      </w:r>
      <w:r w:rsidR="00986B53" w:rsidRPr="007A0D4C">
        <w:rPr>
          <w:rFonts w:ascii="Cambria" w:hAnsi="Cambria"/>
          <w:sz w:val="20"/>
          <w:szCs w:val="20"/>
          <w:lang w:val="es-PE"/>
        </w:rPr>
        <w:t xml:space="preserve">en virtud de dichas amenazas, </w:t>
      </w:r>
      <w:r w:rsidR="00D22F41" w:rsidRPr="007A0D4C">
        <w:rPr>
          <w:rFonts w:ascii="Cambria" w:hAnsi="Cambria"/>
          <w:sz w:val="20"/>
          <w:szCs w:val="20"/>
          <w:lang w:val="es-PE"/>
        </w:rPr>
        <w:t xml:space="preserve">aquel </w:t>
      </w:r>
      <w:r w:rsidR="00D166C2" w:rsidRPr="007A0D4C">
        <w:rPr>
          <w:rFonts w:ascii="Cambria" w:hAnsi="Cambria"/>
          <w:sz w:val="20"/>
          <w:szCs w:val="20"/>
          <w:lang w:val="es-PE"/>
        </w:rPr>
        <w:t xml:space="preserve">contrató a una persona que lo acompañaba a todos lados con un arma </w:t>
      </w:r>
      <w:r w:rsidR="00951FE6" w:rsidRPr="007A0D4C">
        <w:rPr>
          <w:rFonts w:ascii="Cambria" w:hAnsi="Cambria"/>
          <w:sz w:val="20"/>
          <w:szCs w:val="20"/>
          <w:lang w:val="es-PE"/>
        </w:rPr>
        <w:t>de fuego en el vehículo</w:t>
      </w:r>
      <w:r w:rsidR="00FC091B" w:rsidRPr="007A0D4C">
        <w:rPr>
          <w:rFonts w:ascii="Cambria" w:hAnsi="Cambria"/>
          <w:sz w:val="20"/>
          <w:szCs w:val="20"/>
          <w:lang w:val="es-PE"/>
        </w:rPr>
        <w:t xml:space="preserve">; asimismo </w:t>
      </w:r>
      <w:r w:rsidR="00951FE6" w:rsidRPr="007A0D4C">
        <w:rPr>
          <w:rFonts w:ascii="Cambria" w:hAnsi="Cambria"/>
          <w:sz w:val="20"/>
          <w:szCs w:val="20"/>
          <w:lang w:val="es-PE"/>
        </w:rPr>
        <w:t>adoptó otras medidas de seguridad</w:t>
      </w:r>
      <w:r w:rsidR="00B9417B" w:rsidRPr="007A0D4C">
        <w:rPr>
          <w:rFonts w:ascii="Cambria" w:hAnsi="Cambria"/>
          <w:sz w:val="20"/>
          <w:szCs w:val="20"/>
          <w:lang w:val="es-PE"/>
        </w:rPr>
        <w:t xml:space="preserve">. </w:t>
      </w:r>
      <w:r w:rsidR="00FC091B" w:rsidRPr="007A0D4C">
        <w:rPr>
          <w:rFonts w:ascii="Cambria" w:hAnsi="Cambria"/>
          <w:sz w:val="20"/>
          <w:szCs w:val="20"/>
          <w:lang w:val="es-PE"/>
        </w:rPr>
        <w:t>Su</w:t>
      </w:r>
      <w:r w:rsidR="00DD5B0E" w:rsidRPr="007A0D4C">
        <w:rPr>
          <w:rFonts w:ascii="Cambria" w:hAnsi="Cambria"/>
          <w:sz w:val="20"/>
          <w:szCs w:val="20"/>
          <w:lang w:val="es-ES"/>
        </w:rPr>
        <w:t xml:space="preserve"> esposa y </w:t>
      </w:r>
      <w:r w:rsidR="002D24A9" w:rsidRPr="007A0D4C">
        <w:rPr>
          <w:rFonts w:ascii="Cambria" w:hAnsi="Cambria"/>
          <w:sz w:val="20"/>
          <w:szCs w:val="20"/>
          <w:lang w:val="es-ES"/>
        </w:rPr>
        <w:t>sus cuatro</w:t>
      </w:r>
      <w:r w:rsidR="00DD5B0E" w:rsidRPr="007A0D4C">
        <w:rPr>
          <w:rFonts w:ascii="Cambria" w:hAnsi="Cambria"/>
          <w:sz w:val="20"/>
          <w:szCs w:val="20"/>
          <w:lang w:val="es-ES"/>
        </w:rPr>
        <w:t xml:space="preserve"> hijos residían en la ciudad capital de Asunción debido a la inseguridad de la localidad fronteriza de Pedro Juan Caballero</w:t>
      </w:r>
      <w:r w:rsidR="00FB7AEF" w:rsidRPr="007A0D4C">
        <w:rPr>
          <w:rFonts w:ascii="Cambria" w:hAnsi="Cambria"/>
          <w:sz w:val="20"/>
          <w:szCs w:val="20"/>
          <w:lang w:val="es-ES"/>
        </w:rPr>
        <w:t>.</w:t>
      </w:r>
      <w:r w:rsidR="00DD5B0E" w:rsidRPr="007A0D4C">
        <w:rPr>
          <w:rFonts w:ascii="Cambria" w:hAnsi="Cambria"/>
          <w:sz w:val="20"/>
          <w:szCs w:val="20"/>
          <w:lang w:val="es-ES"/>
        </w:rPr>
        <w:t xml:space="preserve"> </w:t>
      </w:r>
      <w:r w:rsidR="00B72275" w:rsidRPr="007A0D4C">
        <w:rPr>
          <w:rFonts w:ascii="Cambria" w:hAnsi="Cambria"/>
          <w:sz w:val="20"/>
          <w:szCs w:val="20"/>
          <w:lang w:val="es-ES"/>
        </w:rPr>
        <w:t>De igual manera, los peticionarios alegan que la esposa y los hijos de</w:t>
      </w:r>
      <w:r w:rsidR="00122FCD" w:rsidRPr="007A0D4C">
        <w:rPr>
          <w:rFonts w:ascii="Cambria" w:hAnsi="Cambria"/>
          <w:sz w:val="20"/>
          <w:szCs w:val="20"/>
          <w:lang w:val="es-ES"/>
        </w:rPr>
        <w:t xml:space="preserve">l periodista sufrieron </w:t>
      </w:r>
      <w:r w:rsidR="00764135" w:rsidRPr="007A0D4C">
        <w:rPr>
          <w:rFonts w:ascii="Cambria" w:hAnsi="Cambria"/>
          <w:sz w:val="20"/>
          <w:szCs w:val="20"/>
          <w:lang w:val="es-ES"/>
        </w:rPr>
        <w:t xml:space="preserve">hostigamientos y </w:t>
      </w:r>
      <w:r w:rsidR="00FF3731" w:rsidRPr="007A0D4C">
        <w:rPr>
          <w:rFonts w:ascii="Cambria" w:hAnsi="Cambria"/>
          <w:sz w:val="20"/>
          <w:szCs w:val="20"/>
          <w:lang w:val="es-ES"/>
        </w:rPr>
        <w:t>amenazas</w:t>
      </w:r>
      <w:r w:rsidR="00443DA6" w:rsidRPr="007A0D4C">
        <w:rPr>
          <w:rFonts w:ascii="Cambria" w:hAnsi="Cambria"/>
          <w:sz w:val="20"/>
          <w:szCs w:val="20"/>
          <w:lang w:val="es-ES"/>
        </w:rPr>
        <w:t>, incluso de muerte,</w:t>
      </w:r>
      <w:r w:rsidR="00FF3731" w:rsidRPr="007A0D4C">
        <w:rPr>
          <w:rFonts w:ascii="Cambria" w:hAnsi="Cambria"/>
          <w:sz w:val="20"/>
          <w:szCs w:val="20"/>
          <w:lang w:val="es-ES"/>
        </w:rPr>
        <w:t xml:space="preserve"> </w:t>
      </w:r>
      <w:r w:rsidR="00443DA6" w:rsidRPr="007A0D4C">
        <w:rPr>
          <w:rFonts w:ascii="Cambria" w:hAnsi="Cambria"/>
          <w:sz w:val="20"/>
          <w:szCs w:val="20"/>
          <w:lang w:val="es-ES"/>
        </w:rPr>
        <w:t>con posterioridad a</w:t>
      </w:r>
      <w:r w:rsidR="00E67012">
        <w:rPr>
          <w:rFonts w:ascii="Cambria" w:hAnsi="Cambria"/>
          <w:sz w:val="20"/>
          <w:szCs w:val="20"/>
          <w:lang w:val="es-ES"/>
        </w:rPr>
        <w:t xml:space="preserve"> su fallecimiento</w:t>
      </w:r>
      <w:r w:rsidR="005F672E" w:rsidRPr="007A0D4C">
        <w:rPr>
          <w:rFonts w:ascii="Cambria" w:hAnsi="Cambria"/>
          <w:sz w:val="20"/>
          <w:szCs w:val="20"/>
          <w:lang w:val="es-ES"/>
        </w:rPr>
        <w:t>,</w:t>
      </w:r>
      <w:r w:rsidR="005951D6" w:rsidRPr="007A0D4C">
        <w:rPr>
          <w:rFonts w:ascii="Cambria" w:hAnsi="Cambria"/>
          <w:sz w:val="20"/>
          <w:szCs w:val="20"/>
          <w:lang w:val="es-ES"/>
        </w:rPr>
        <w:t xml:space="preserve"> y que sus vidas </w:t>
      </w:r>
      <w:r w:rsidR="00DD72B9" w:rsidRPr="007A0D4C">
        <w:rPr>
          <w:rFonts w:ascii="Cambria" w:hAnsi="Cambria"/>
          <w:sz w:val="20"/>
          <w:szCs w:val="20"/>
          <w:lang w:val="es-ES"/>
        </w:rPr>
        <w:t xml:space="preserve">se vieron afectadas </w:t>
      </w:r>
      <w:r w:rsidR="00764135" w:rsidRPr="007A0D4C">
        <w:rPr>
          <w:rFonts w:ascii="Cambria" w:hAnsi="Cambria"/>
          <w:sz w:val="20"/>
          <w:szCs w:val="20"/>
          <w:lang w:val="es-ES"/>
        </w:rPr>
        <w:t>tanto en el aspecto moral como material.</w:t>
      </w:r>
    </w:p>
    <w:p w14:paraId="22E3745F" w14:textId="77777777" w:rsidR="00D73839" w:rsidRPr="007A0D4C" w:rsidRDefault="00D73839"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494B860C" w14:textId="2647AAEF" w:rsidR="005F0B97" w:rsidRPr="007A0D4C" w:rsidRDefault="00FC091B"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trike/>
          <w:sz w:val="20"/>
          <w:szCs w:val="20"/>
          <w:lang w:val="es-VE"/>
        </w:rPr>
      </w:pPr>
      <w:r w:rsidRPr="007A0D4C">
        <w:rPr>
          <w:rFonts w:ascii="Cambria" w:hAnsi="Cambria"/>
          <w:sz w:val="20"/>
          <w:szCs w:val="20"/>
          <w:lang w:val="es-VE"/>
        </w:rPr>
        <w:t xml:space="preserve">De acuerdo </w:t>
      </w:r>
      <w:r w:rsidR="007D7A1F" w:rsidRPr="007A0D4C">
        <w:rPr>
          <w:rFonts w:ascii="Cambria" w:hAnsi="Cambria"/>
          <w:sz w:val="20"/>
          <w:szCs w:val="20"/>
          <w:lang w:val="es-VE"/>
        </w:rPr>
        <w:t>con</w:t>
      </w:r>
      <w:r w:rsidRPr="007A0D4C">
        <w:rPr>
          <w:rFonts w:ascii="Cambria" w:hAnsi="Cambria"/>
          <w:sz w:val="20"/>
          <w:szCs w:val="20"/>
          <w:lang w:val="es-VE"/>
        </w:rPr>
        <w:t xml:space="preserve"> los peticionarios</w:t>
      </w:r>
      <w:r w:rsidR="002D0576" w:rsidRPr="007A0D4C">
        <w:rPr>
          <w:rFonts w:ascii="Cambria" w:hAnsi="Cambria"/>
          <w:sz w:val="20"/>
          <w:szCs w:val="20"/>
          <w:lang w:val="es-PE"/>
        </w:rPr>
        <w:t>,</w:t>
      </w:r>
      <w:r w:rsidR="009D0234" w:rsidRPr="007A0D4C">
        <w:rPr>
          <w:rFonts w:ascii="Cambria" w:hAnsi="Cambria"/>
          <w:sz w:val="20"/>
          <w:szCs w:val="20"/>
          <w:lang w:val="es-PE"/>
        </w:rPr>
        <w:t xml:space="preserve"> </w:t>
      </w:r>
      <w:r w:rsidR="00E67012" w:rsidRPr="007A0D4C">
        <w:rPr>
          <w:rFonts w:ascii="Cambria" w:hAnsi="Cambria"/>
          <w:sz w:val="20"/>
          <w:szCs w:val="20"/>
          <w:lang w:val="es-ES"/>
        </w:rPr>
        <w:t>cuando el presidente Rodríguez visit</w:t>
      </w:r>
      <w:r w:rsidR="00E67012" w:rsidRPr="007A0D4C">
        <w:rPr>
          <w:rFonts w:ascii="Cambria" w:hAnsi="Cambria"/>
          <w:sz w:val="20"/>
          <w:szCs w:val="20"/>
          <w:lang w:val="es-PE"/>
        </w:rPr>
        <w:t>ó</w:t>
      </w:r>
      <w:r w:rsidR="00E67012" w:rsidRPr="007A0D4C">
        <w:rPr>
          <w:rFonts w:ascii="Cambria" w:hAnsi="Cambria"/>
          <w:sz w:val="20"/>
          <w:szCs w:val="20"/>
          <w:lang w:val="es-ES"/>
        </w:rPr>
        <w:t xml:space="preserve"> la localidad de Pedro Juan Caballero el 14 de febrero de 1991</w:t>
      </w:r>
      <w:r w:rsidR="00E67012">
        <w:rPr>
          <w:rFonts w:ascii="Cambria" w:hAnsi="Cambria"/>
          <w:sz w:val="20"/>
          <w:szCs w:val="20"/>
          <w:lang w:val="es-ES"/>
        </w:rPr>
        <w:t xml:space="preserve">, dos </w:t>
      </w:r>
      <w:r w:rsidR="008025C7" w:rsidRPr="007A0D4C">
        <w:rPr>
          <w:rFonts w:ascii="Cambria" w:hAnsi="Cambria"/>
          <w:sz w:val="20"/>
          <w:szCs w:val="20"/>
          <w:lang w:val="es-ES"/>
        </w:rPr>
        <w:t>meses antes de</w:t>
      </w:r>
      <w:r w:rsidR="00E67012">
        <w:rPr>
          <w:rFonts w:ascii="Cambria" w:hAnsi="Cambria"/>
          <w:sz w:val="20"/>
          <w:szCs w:val="20"/>
          <w:lang w:val="es-ES"/>
        </w:rPr>
        <w:t xml:space="preserve"> la muerte</w:t>
      </w:r>
      <w:r w:rsidR="008025C7" w:rsidRPr="007A0D4C">
        <w:rPr>
          <w:rFonts w:ascii="Cambria" w:hAnsi="Cambria"/>
          <w:sz w:val="20"/>
          <w:szCs w:val="20"/>
          <w:lang w:val="es-ES"/>
        </w:rPr>
        <w:t xml:space="preserve"> del periodista, con motivo de la inauguración de un hotel </w:t>
      </w:r>
      <w:r w:rsidRPr="007A0D4C">
        <w:rPr>
          <w:rFonts w:ascii="Cambria" w:hAnsi="Cambria"/>
          <w:sz w:val="20"/>
          <w:szCs w:val="20"/>
          <w:lang w:val="es-ES"/>
        </w:rPr>
        <w:t xml:space="preserve">y </w:t>
      </w:r>
      <w:r w:rsidR="008025C7" w:rsidRPr="007A0D4C">
        <w:rPr>
          <w:rFonts w:ascii="Cambria" w:hAnsi="Cambria"/>
          <w:sz w:val="20"/>
          <w:szCs w:val="20"/>
          <w:lang w:val="es-ES"/>
        </w:rPr>
        <w:t>casino propiedad de “El Turco”</w:t>
      </w:r>
      <w:r w:rsidR="008A5A9F" w:rsidRPr="007A0D4C">
        <w:rPr>
          <w:rFonts w:ascii="Cambria" w:hAnsi="Cambria"/>
          <w:sz w:val="20"/>
          <w:szCs w:val="20"/>
          <w:lang w:val="es-ES"/>
        </w:rPr>
        <w:t xml:space="preserve">, </w:t>
      </w:r>
      <w:r w:rsidR="008025C7" w:rsidRPr="007A0D4C">
        <w:rPr>
          <w:rFonts w:ascii="Cambria" w:hAnsi="Cambria"/>
          <w:sz w:val="20"/>
          <w:szCs w:val="20"/>
          <w:lang w:val="es-ES"/>
        </w:rPr>
        <w:t>el movimiento de los campesinos sin tierra realiz</w:t>
      </w:r>
      <w:r w:rsidR="00E67012">
        <w:rPr>
          <w:rFonts w:ascii="Cambria" w:hAnsi="Cambria"/>
          <w:sz w:val="20"/>
          <w:szCs w:val="20"/>
          <w:lang w:val="es-ES"/>
        </w:rPr>
        <w:t xml:space="preserve">ó </w:t>
      </w:r>
      <w:r w:rsidR="008025C7" w:rsidRPr="007A0D4C">
        <w:rPr>
          <w:rFonts w:ascii="Cambria" w:hAnsi="Cambria"/>
          <w:sz w:val="20"/>
          <w:szCs w:val="20"/>
          <w:lang w:val="es-ES"/>
        </w:rPr>
        <w:t>una protesta demandando soluciones al presidente</w:t>
      </w:r>
      <w:r w:rsidR="00E67012">
        <w:rPr>
          <w:rFonts w:ascii="Cambria" w:hAnsi="Cambria"/>
          <w:sz w:val="20"/>
          <w:szCs w:val="20"/>
          <w:lang w:val="es-ES"/>
        </w:rPr>
        <w:t xml:space="preserve">, apoyada por </w:t>
      </w:r>
      <w:r w:rsidR="008025C7" w:rsidRPr="007A0D4C">
        <w:rPr>
          <w:rFonts w:ascii="Cambria" w:hAnsi="Cambria"/>
          <w:sz w:val="20"/>
          <w:szCs w:val="20"/>
          <w:lang w:val="es-ES"/>
        </w:rPr>
        <w:t>Leguizamón</w:t>
      </w:r>
      <w:r w:rsidR="00CC1769">
        <w:rPr>
          <w:rFonts w:ascii="Cambria" w:hAnsi="Cambria"/>
          <w:sz w:val="20"/>
          <w:szCs w:val="20"/>
          <w:lang w:val="es-ES"/>
        </w:rPr>
        <w:t>,</w:t>
      </w:r>
      <w:r w:rsidR="008025C7" w:rsidRPr="007A0D4C">
        <w:rPr>
          <w:rFonts w:ascii="Cambria" w:hAnsi="Cambria"/>
          <w:sz w:val="20"/>
          <w:szCs w:val="20"/>
          <w:lang w:val="es-ES"/>
        </w:rPr>
        <w:t xml:space="preserve"> </w:t>
      </w:r>
      <w:r w:rsidR="00E67012">
        <w:rPr>
          <w:rFonts w:ascii="Cambria" w:hAnsi="Cambria"/>
          <w:sz w:val="20"/>
          <w:szCs w:val="20"/>
          <w:lang w:val="es-ES"/>
        </w:rPr>
        <w:t xml:space="preserve">quien </w:t>
      </w:r>
      <w:r w:rsidR="008025C7" w:rsidRPr="007A0D4C">
        <w:rPr>
          <w:rFonts w:ascii="Cambria" w:hAnsi="Cambria"/>
          <w:sz w:val="20"/>
          <w:szCs w:val="20"/>
          <w:lang w:val="es-ES"/>
        </w:rPr>
        <w:t xml:space="preserve">habría “abrazado esta causa en su programa de radio y en sus despachos como corresponsal”. Según la </w:t>
      </w:r>
      <w:r w:rsidR="00CC1769">
        <w:rPr>
          <w:rFonts w:ascii="Cambria" w:hAnsi="Cambria"/>
          <w:sz w:val="20"/>
          <w:szCs w:val="20"/>
          <w:lang w:val="es-ES"/>
        </w:rPr>
        <w:t>parte peticionaria</w:t>
      </w:r>
      <w:r w:rsidRPr="007A0D4C">
        <w:rPr>
          <w:rFonts w:ascii="Cambria" w:hAnsi="Cambria"/>
          <w:sz w:val="20"/>
          <w:szCs w:val="20"/>
          <w:lang w:val="es-ES"/>
        </w:rPr>
        <w:t>,</w:t>
      </w:r>
      <w:r w:rsidR="008025C7" w:rsidRPr="007A0D4C">
        <w:rPr>
          <w:rFonts w:ascii="Cambria" w:hAnsi="Cambria"/>
          <w:sz w:val="20"/>
          <w:szCs w:val="20"/>
          <w:lang w:val="es-ES"/>
        </w:rPr>
        <w:t xml:space="preserve"> </w:t>
      </w:r>
      <w:r w:rsidR="00E67012" w:rsidRPr="007A0D4C">
        <w:rPr>
          <w:rFonts w:ascii="Cambria" w:hAnsi="Cambria"/>
          <w:sz w:val="20"/>
          <w:szCs w:val="20"/>
          <w:lang w:val="es-PE"/>
        </w:rPr>
        <w:t xml:space="preserve">el periodista le contó a su esposa que </w:t>
      </w:r>
      <w:r w:rsidR="008025C7" w:rsidRPr="007A0D4C">
        <w:rPr>
          <w:rFonts w:ascii="Cambria" w:hAnsi="Cambria"/>
          <w:sz w:val="20"/>
          <w:szCs w:val="20"/>
          <w:lang w:val="es-ES"/>
        </w:rPr>
        <w:t>un testigo habría escuchado decir al entonces presidente de la República “</w:t>
      </w:r>
      <w:r w:rsidR="00616035" w:rsidRPr="007A0D4C">
        <w:rPr>
          <w:rFonts w:ascii="Cambria" w:hAnsi="Cambria"/>
          <w:sz w:val="20"/>
          <w:szCs w:val="20"/>
          <w:lang w:val="es-ES"/>
        </w:rPr>
        <w:t>c</w:t>
      </w:r>
      <w:r w:rsidR="008025C7" w:rsidRPr="007A0D4C">
        <w:rPr>
          <w:rFonts w:ascii="Cambria" w:hAnsi="Cambria"/>
          <w:sz w:val="20"/>
          <w:szCs w:val="20"/>
          <w:lang w:val="es-ES"/>
        </w:rPr>
        <w:t xml:space="preserve">on ese muchacho hay que hacer algo”. </w:t>
      </w:r>
    </w:p>
    <w:p w14:paraId="3EED6BBE" w14:textId="77777777" w:rsidR="00D73839" w:rsidRPr="007A0D4C" w:rsidRDefault="00D73839"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trike/>
          <w:sz w:val="20"/>
          <w:szCs w:val="20"/>
          <w:lang w:val="es-VE"/>
        </w:rPr>
      </w:pPr>
    </w:p>
    <w:p w14:paraId="13F0630A" w14:textId="1061EA6C" w:rsidR="008025C7" w:rsidRPr="007A0D4C" w:rsidRDefault="008025C7"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ES"/>
        </w:rPr>
      </w:pPr>
      <w:r w:rsidRPr="007A0D4C">
        <w:rPr>
          <w:rFonts w:ascii="Cambria" w:hAnsi="Cambria"/>
          <w:sz w:val="20"/>
          <w:szCs w:val="20"/>
          <w:lang w:val="es-ES"/>
        </w:rPr>
        <w:t xml:space="preserve">La </w:t>
      </w:r>
      <w:r w:rsidR="004D1A0E" w:rsidRPr="007A0D4C">
        <w:rPr>
          <w:rFonts w:ascii="Cambria" w:hAnsi="Cambria"/>
          <w:sz w:val="20"/>
          <w:szCs w:val="20"/>
          <w:lang w:val="es-ES"/>
        </w:rPr>
        <w:t xml:space="preserve">parte </w:t>
      </w:r>
      <w:r w:rsidRPr="007A0D4C">
        <w:rPr>
          <w:rFonts w:ascii="Cambria" w:hAnsi="Cambria"/>
          <w:sz w:val="20"/>
          <w:szCs w:val="20"/>
          <w:lang w:val="es-ES"/>
        </w:rPr>
        <w:t xml:space="preserve">peticionaria también </w:t>
      </w:r>
      <w:r w:rsidR="004D1A0E" w:rsidRPr="007A0D4C">
        <w:rPr>
          <w:rFonts w:ascii="Cambria" w:hAnsi="Cambria"/>
          <w:sz w:val="20"/>
          <w:szCs w:val="20"/>
          <w:lang w:val="es-ES"/>
        </w:rPr>
        <w:t>señala</w:t>
      </w:r>
      <w:r w:rsidRPr="007A0D4C">
        <w:rPr>
          <w:rFonts w:ascii="Cambria" w:hAnsi="Cambria"/>
          <w:sz w:val="20"/>
          <w:szCs w:val="20"/>
          <w:lang w:val="es-ES"/>
        </w:rPr>
        <w:t xml:space="preserve"> que</w:t>
      </w:r>
      <w:r w:rsidR="007D12BE" w:rsidRPr="007A0D4C">
        <w:rPr>
          <w:rFonts w:ascii="Cambria" w:hAnsi="Cambria"/>
          <w:sz w:val="20"/>
          <w:szCs w:val="20"/>
          <w:lang w:val="es-ES"/>
        </w:rPr>
        <w:t>,</w:t>
      </w:r>
      <w:r w:rsidRPr="007A0D4C">
        <w:rPr>
          <w:rFonts w:ascii="Cambria" w:hAnsi="Cambria"/>
          <w:sz w:val="20"/>
          <w:szCs w:val="20"/>
          <w:lang w:val="es-ES"/>
        </w:rPr>
        <w:t xml:space="preserve"> en la época de los hechos, el periodista tenía en su posesión “una foto</w:t>
      </w:r>
      <w:r w:rsidR="008C1166" w:rsidRPr="007A0D4C">
        <w:rPr>
          <w:rFonts w:ascii="Cambria" w:hAnsi="Cambria"/>
          <w:sz w:val="20"/>
          <w:szCs w:val="20"/>
          <w:lang w:val="es-ES"/>
        </w:rPr>
        <w:t>grafía</w:t>
      </w:r>
      <w:r w:rsidRPr="007A0D4C">
        <w:rPr>
          <w:rFonts w:ascii="Cambria" w:hAnsi="Cambria"/>
          <w:sz w:val="20"/>
          <w:szCs w:val="20"/>
          <w:lang w:val="es-ES"/>
        </w:rPr>
        <w:t xml:space="preserve"> </w:t>
      </w:r>
      <w:r w:rsidR="00FF4918" w:rsidRPr="007A0D4C">
        <w:rPr>
          <w:rFonts w:ascii="Cambria" w:hAnsi="Cambria"/>
          <w:sz w:val="20"/>
          <w:szCs w:val="20"/>
          <w:lang w:val="es-ES"/>
        </w:rPr>
        <w:t>clave</w:t>
      </w:r>
      <w:r w:rsidRPr="007A0D4C">
        <w:rPr>
          <w:rFonts w:ascii="Cambria" w:hAnsi="Cambria"/>
          <w:sz w:val="20"/>
          <w:szCs w:val="20"/>
          <w:lang w:val="es-ES"/>
        </w:rPr>
        <w:t>”, en la que posaban “el jefe del Cartel de Medellín, Pablo Escobar Gaviria, con ‘El Turco’ y el presidente Rodríguez”. Afirm</w:t>
      </w:r>
      <w:r w:rsidR="0012217B" w:rsidRPr="007A0D4C">
        <w:rPr>
          <w:rFonts w:ascii="Cambria" w:hAnsi="Cambria"/>
          <w:sz w:val="20"/>
          <w:szCs w:val="20"/>
          <w:lang w:val="es-ES"/>
        </w:rPr>
        <w:t>a</w:t>
      </w:r>
      <w:r w:rsidRPr="007A0D4C">
        <w:rPr>
          <w:rFonts w:ascii="Cambria" w:hAnsi="Cambria"/>
          <w:sz w:val="20"/>
          <w:szCs w:val="20"/>
          <w:lang w:val="es-ES"/>
        </w:rPr>
        <w:t xml:space="preserve"> que Santiago Leguizamón iba a</w:t>
      </w:r>
      <w:r w:rsidR="00F042BD" w:rsidRPr="007A0D4C">
        <w:rPr>
          <w:rFonts w:ascii="Cambria" w:hAnsi="Cambria"/>
          <w:sz w:val="20"/>
          <w:szCs w:val="20"/>
          <w:lang w:val="es-ES"/>
        </w:rPr>
        <w:t xml:space="preserve"> entregar la fotografía a un amigo cercano para que l</w:t>
      </w:r>
      <w:r w:rsidR="006E30AB" w:rsidRPr="007A0D4C">
        <w:rPr>
          <w:rFonts w:ascii="Cambria" w:hAnsi="Cambria"/>
          <w:sz w:val="20"/>
          <w:szCs w:val="20"/>
          <w:lang w:val="es-ES"/>
        </w:rPr>
        <w:t>a</w:t>
      </w:r>
      <w:r w:rsidR="00F042BD" w:rsidRPr="007A0D4C">
        <w:rPr>
          <w:rFonts w:ascii="Cambria" w:hAnsi="Cambria"/>
          <w:sz w:val="20"/>
          <w:szCs w:val="20"/>
          <w:lang w:val="es-ES"/>
        </w:rPr>
        <w:t xml:space="preserve"> sacara del país y la mantuviera a salvo</w:t>
      </w:r>
      <w:r w:rsidR="008D75FB" w:rsidRPr="007A0D4C">
        <w:rPr>
          <w:rFonts w:ascii="Cambria" w:hAnsi="Cambria"/>
          <w:sz w:val="20"/>
          <w:szCs w:val="20"/>
          <w:lang w:val="es-ES"/>
        </w:rPr>
        <w:t>. La familia sostiene que la fotografía desapareció en un allanamiento militar ilegal de la radio Mburucuyá al día siguiente del asesinato</w:t>
      </w:r>
      <w:r w:rsidR="006E30AB" w:rsidRPr="007A0D4C">
        <w:rPr>
          <w:rFonts w:ascii="Cambria" w:hAnsi="Cambria"/>
          <w:sz w:val="20"/>
          <w:szCs w:val="20"/>
          <w:lang w:val="es-ES"/>
        </w:rPr>
        <w:t>.</w:t>
      </w:r>
      <w:r w:rsidR="008D75FB" w:rsidRPr="007A0D4C">
        <w:rPr>
          <w:rFonts w:ascii="Cambria" w:hAnsi="Cambria"/>
          <w:sz w:val="20"/>
          <w:szCs w:val="20"/>
          <w:lang w:val="es-ES"/>
        </w:rPr>
        <w:t xml:space="preserve"> </w:t>
      </w:r>
    </w:p>
    <w:p w14:paraId="0FE9FB3F" w14:textId="77777777" w:rsidR="00563870" w:rsidRPr="007A0D4C" w:rsidRDefault="00563870" w:rsidP="007A0D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trike/>
          <w:sz w:val="20"/>
          <w:szCs w:val="20"/>
          <w:highlight w:val="green"/>
          <w:lang w:val="es-ES"/>
        </w:rPr>
      </w:pPr>
    </w:p>
    <w:p w14:paraId="30EF7559" w14:textId="4A0C84C3" w:rsidR="00EB2CE6" w:rsidRPr="007A0D4C" w:rsidRDefault="00ED202E"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VE"/>
        </w:rPr>
      </w:pPr>
      <w:r w:rsidRPr="007A0D4C">
        <w:rPr>
          <w:rFonts w:ascii="Cambria" w:hAnsi="Cambria"/>
          <w:sz w:val="20"/>
          <w:szCs w:val="20"/>
          <w:lang w:val="es-PE"/>
        </w:rPr>
        <w:t xml:space="preserve">La parte peticionaria </w:t>
      </w:r>
      <w:r w:rsidR="00A3474A" w:rsidRPr="007A0D4C">
        <w:rPr>
          <w:rFonts w:ascii="Cambria" w:hAnsi="Cambria"/>
          <w:sz w:val="20"/>
          <w:szCs w:val="20"/>
          <w:lang w:val="es-PE"/>
        </w:rPr>
        <w:t xml:space="preserve">señala </w:t>
      </w:r>
      <w:r w:rsidR="00661E47" w:rsidRPr="007A0D4C">
        <w:rPr>
          <w:rFonts w:ascii="Cambria" w:hAnsi="Cambria"/>
          <w:sz w:val="20"/>
          <w:szCs w:val="20"/>
          <w:lang w:val="es-PE"/>
        </w:rPr>
        <w:t xml:space="preserve">que el Estado violó el derecho a la vida en perjuicio de Santiago Leguizamón </w:t>
      </w:r>
      <w:r w:rsidR="00522E5E" w:rsidRPr="007A0D4C">
        <w:rPr>
          <w:rFonts w:ascii="Cambria" w:hAnsi="Cambria"/>
          <w:sz w:val="20"/>
          <w:szCs w:val="20"/>
          <w:lang w:val="es-PE"/>
        </w:rPr>
        <w:t>debido a que n</w:t>
      </w:r>
      <w:r w:rsidR="005D342C" w:rsidRPr="007A0D4C">
        <w:rPr>
          <w:rFonts w:ascii="Cambria" w:hAnsi="Cambria"/>
          <w:sz w:val="20"/>
          <w:szCs w:val="20"/>
          <w:lang w:val="es-PE"/>
        </w:rPr>
        <w:t xml:space="preserve">o cumplió con su obligación de investigar y sancionar su asesinato, </w:t>
      </w:r>
      <w:r w:rsidR="00B82381" w:rsidRPr="007A0D4C">
        <w:rPr>
          <w:rFonts w:ascii="Cambria" w:hAnsi="Cambria"/>
          <w:sz w:val="20"/>
          <w:szCs w:val="20"/>
          <w:lang w:val="es-PE"/>
        </w:rPr>
        <w:t xml:space="preserve">ni cumplió con su obligación de proteger </w:t>
      </w:r>
      <w:r w:rsidR="00FC091B" w:rsidRPr="007A0D4C">
        <w:rPr>
          <w:rFonts w:ascii="Cambria" w:hAnsi="Cambria"/>
          <w:sz w:val="20"/>
          <w:szCs w:val="20"/>
          <w:lang w:val="es-PE"/>
        </w:rPr>
        <w:t>la vida e integridad del periodista en relación con el ejercicio de la libertad de expresión</w:t>
      </w:r>
      <w:r w:rsidR="00B82381" w:rsidRPr="007A0D4C">
        <w:rPr>
          <w:rFonts w:ascii="Cambria" w:hAnsi="Cambria"/>
          <w:sz w:val="20"/>
          <w:szCs w:val="20"/>
          <w:lang w:val="es-PE"/>
        </w:rPr>
        <w:t>, en particular atendiendo a que el periodista “había solicitado protección policial en distintas oportunidades”.</w:t>
      </w:r>
      <w:r w:rsidR="00033D01" w:rsidRPr="007A0D4C">
        <w:rPr>
          <w:rFonts w:ascii="Cambria" w:hAnsi="Cambria"/>
          <w:sz w:val="20"/>
          <w:szCs w:val="20"/>
          <w:lang w:val="es-PE"/>
        </w:rPr>
        <w:t xml:space="preserve"> </w:t>
      </w:r>
      <w:r w:rsidR="00F014FC" w:rsidRPr="007A0D4C">
        <w:rPr>
          <w:rFonts w:ascii="Cambria" w:hAnsi="Cambria"/>
          <w:sz w:val="20"/>
          <w:szCs w:val="20"/>
          <w:lang w:val="es-ES"/>
        </w:rPr>
        <w:t>Asimismo, seña</w:t>
      </w:r>
      <w:r w:rsidR="00593BB1" w:rsidRPr="007A0D4C">
        <w:rPr>
          <w:rFonts w:ascii="Cambria" w:hAnsi="Cambria"/>
          <w:sz w:val="20"/>
          <w:szCs w:val="20"/>
          <w:lang w:val="es-ES"/>
        </w:rPr>
        <w:t>l</w:t>
      </w:r>
      <w:r w:rsidR="00F014FC" w:rsidRPr="007A0D4C">
        <w:rPr>
          <w:rFonts w:ascii="Cambria" w:hAnsi="Cambria"/>
          <w:sz w:val="20"/>
          <w:szCs w:val="20"/>
          <w:lang w:val="es-ES"/>
        </w:rPr>
        <w:t>a</w:t>
      </w:r>
      <w:r w:rsidR="00593BB1" w:rsidRPr="007A0D4C">
        <w:rPr>
          <w:rFonts w:ascii="Cambria" w:hAnsi="Cambria"/>
          <w:sz w:val="20"/>
          <w:szCs w:val="20"/>
          <w:lang w:val="es-ES"/>
        </w:rPr>
        <w:t xml:space="preserve"> que</w:t>
      </w:r>
      <w:r w:rsidR="00CC1769">
        <w:rPr>
          <w:rFonts w:ascii="Cambria" w:hAnsi="Cambria"/>
          <w:sz w:val="20"/>
          <w:szCs w:val="20"/>
          <w:lang w:val="es-ES"/>
        </w:rPr>
        <w:t xml:space="preserve"> </w:t>
      </w:r>
      <w:r w:rsidR="00CC1769" w:rsidRPr="00261517">
        <w:rPr>
          <w:rFonts w:ascii="Cambria" w:hAnsi="Cambria"/>
          <w:sz w:val="20"/>
          <w:szCs w:val="20"/>
          <w:lang w:val="es-ES"/>
        </w:rPr>
        <w:t xml:space="preserve">el </w:t>
      </w:r>
      <w:r w:rsidR="00CC1769" w:rsidRPr="000D7953">
        <w:rPr>
          <w:rFonts w:ascii="Cambria" w:hAnsi="Cambria"/>
          <w:sz w:val="20"/>
          <w:szCs w:val="20"/>
          <w:lang w:val="es-VE"/>
        </w:rPr>
        <w:t>periodista</w:t>
      </w:r>
      <w:r w:rsidR="00CC1769" w:rsidRPr="00261517">
        <w:rPr>
          <w:rFonts w:ascii="Cambria" w:hAnsi="Cambria"/>
          <w:sz w:val="20"/>
          <w:szCs w:val="20"/>
          <w:lang w:val="es-VE"/>
        </w:rPr>
        <w:t xml:space="preserve"> </w:t>
      </w:r>
      <w:r w:rsidR="00896AC8" w:rsidRPr="00261517">
        <w:rPr>
          <w:rFonts w:ascii="Cambria" w:hAnsi="Cambria"/>
          <w:sz w:val="20"/>
          <w:szCs w:val="20"/>
          <w:lang w:val="es-VE"/>
        </w:rPr>
        <w:t xml:space="preserve">sufría </w:t>
      </w:r>
      <w:r w:rsidR="00261517" w:rsidRPr="000E193C">
        <w:rPr>
          <w:rFonts w:ascii="Cambria" w:hAnsi="Cambria"/>
          <w:sz w:val="20"/>
          <w:szCs w:val="20"/>
          <w:lang w:val="es-VE"/>
        </w:rPr>
        <w:t>amenazas</w:t>
      </w:r>
      <w:r w:rsidR="00261517" w:rsidRPr="00261517">
        <w:rPr>
          <w:rFonts w:ascii="Cambria" w:hAnsi="Cambria"/>
          <w:sz w:val="20"/>
          <w:szCs w:val="20"/>
          <w:lang w:val="es-VE"/>
        </w:rPr>
        <w:t xml:space="preserve"> </w:t>
      </w:r>
      <w:r w:rsidR="00896AC8" w:rsidRPr="00261517">
        <w:rPr>
          <w:rFonts w:ascii="Cambria" w:hAnsi="Cambria"/>
          <w:sz w:val="20"/>
          <w:szCs w:val="20"/>
          <w:lang w:val="es-VE"/>
        </w:rPr>
        <w:t xml:space="preserve">y </w:t>
      </w:r>
      <w:r w:rsidR="00261517" w:rsidRPr="00DF12D5">
        <w:rPr>
          <w:rFonts w:ascii="Cambria" w:hAnsi="Cambria"/>
          <w:sz w:val="20"/>
          <w:szCs w:val="20"/>
          <w:lang w:val="es-VE"/>
        </w:rPr>
        <w:t>actos de hostigamiento</w:t>
      </w:r>
      <w:r w:rsidR="00261517">
        <w:rPr>
          <w:rFonts w:ascii="Cambria" w:hAnsi="Cambria"/>
          <w:sz w:val="20"/>
          <w:szCs w:val="20"/>
          <w:lang w:val="es-VE"/>
        </w:rPr>
        <w:t xml:space="preserve"> </w:t>
      </w:r>
      <w:r w:rsidR="00896AC8" w:rsidRPr="00261517">
        <w:rPr>
          <w:rFonts w:ascii="Cambria" w:hAnsi="Cambria"/>
          <w:sz w:val="20"/>
          <w:szCs w:val="20"/>
          <w:lang w:val="es-VE"/>
        </w:rPr>
        <w:t xml:space="preserve">por </w:t>
      </w:r>
      <w:r w:rsidR="00F014FC" w:rsidRPr="00261517">
        <w:rPr>
          <w:rFonts w:ascii="Cambria" w:hAnsi="Cambria"/>
          <w:sz w:val="20"/>
          <w:szCs w:val="20"/>
          <w:lang w:val="es-VE"/>
        </w:rPr>
        <w:t xml:space="preserve">su </w:t>
      </w:r>
      <w:r w:rsidR="00896AC8" w:rsidRPr="00261517">
        <w:rPr>
          <w:rFonts w:ascii="Cambria" w:hAnsi="Cambria"/>
          <w:sz w:val="20"/>
          <w:szCs w:val="20"/>
          <w:lang w:val="es-VE"/>
        </w:rPr>
        <w:t>labor periodística y social</w:t>
      </w:r>
      <w:r w:rsidR="00CC1769" w:rsidRPr="00261517">
        <w:rPr>
          <w:rFonts w:ascii="Cambria" w:hAnsi="Cambria"/>
          <w:sz w:val="20"/>
          <w:szCs w:val="20"/>
          <w:lang w:val="es-VE"/>
        </w:rPr>
        <w:t>,</w:t>
      </w:r>
      <w:r w:rsidR="00896AC8" w:rsidRPr="00261517">
        <w:rPr>
          <w:rFonts w:ascii="Cambria" w:hAnsi="Cambria"/>
          <w:sz w:val="20"/>
          <w:szCs w:val="20"/>
          <w:lang w:val="es-VE"/>
        </w:rPr>
        <w:t xml:space="preserve"> </w:t>
      </w:r>
      <w:r w:rsidR="00CC1769" w:rsidRPr="00261517">
        <w:rPr>
          <w:rFonts w:ascii="Cambria" w:hAnsi="Cambria"/>
          <w:sz w:val="20"/>
          <w:szCs w:val="20"/>
          <w:lang w:val="es-ES"/>
        </w:rPr>
        <w:t xml:space="preserve">debido a </w:t>
      </w:r>
      <w:r w:rsidR="00261517">
        <w:rPr>
          <w:rFonts w:ascii="Cambria" w:hAnsi="Cambria"/>
          <w:sz w:val="20"/>
          <w:szCs w:val="20"/>
          <w:lang w:val="es-ES"/>
        </w:rPr>
        <w:t xml:space="preserve">que </w:t>
      </w:r>
      <w:r w:rsidR="00CC1769" w:rsidRPr="000D7953">
        <w:rPr>
          <w:rFonts w:ascii="Cambria" w:hAnsi="Cambria"/>
          <w:sz w:val="20"/>
          <w:szCs w:val="20"/>
          <w:lang w:val="es-VE"/>
        </w:rPr>
        <w:t xml:space="preserve">investigaba y publicaba regularmente </w:t>
      </w:r>
      <w:r w:rsidR="00261517" w:rsidRPr="000D7953">
        <w:rPr>
          <w:rFonts w:ascii="Cambria" w:hAnsi="Cambria"/>
          <w:sz w:val="20"/>
          <w:szCs w:val="20"/>
          <w:lang w:val="es-VE"/>
        </w:rPr>
        <w:t xml:space="preserve">notas periodísticas </w:t>
      </w:r>
      <w:r w:rsidR="00CC1769" w:rsidRPr="000D7953">
        <w:rPr>
          <w:rFonts w:ascii="Cambria" w:hAnsi="Cambria"/>
          <w:sz w:val="20"/>
          <w:szCs w:val="20"/>
          <w:lang w:val="es-VE"/>
        </w:rPr>
        <w:t>en alguno</w:t>
      </w:r>
      <w:r w:rsidR="00261517" w:rsidRPr="000D7953">
        <w:rPr>
          <w:rFonts w:ascii="Cambria" w:hAnsi="Cambria"/>
          <w:sz w:val="20"/>
          <w:szCs w:val="20"/>
          <w:lang w:val="es-VE"/>
        </w:rPr>
        <w:t>s</w:t>
      </w:r>
      <w:r w:rsidR="00CC1769" w:rsidRPr="000D7953">
        <w:rPr>
          <w:rFonts w:ascii="Cambria" w:hAnsi="Cambria"/>
          <w:sz w:val="20"/>
          <w:szCs w:val="20"/>
          <w:lang w:val="es-VE"/>
        </w:rPr>
        <w:t xml:space="preserve"> de los medios de comunicación más importantes del país sobre </w:t>
      </w:r>
      <w:r w:rsidR="00CC1769" w:rsidRPr="000D7953">
        <w:rPr>
          <w:rFonts w:ascii="Cambria" w:hAnsi="Cambria"/>
          <w:sz w:val="20"/>
          <w:szCs w:val="20"/>
          <w:lang w:val="es-ES"/>
        </w:rPr>
        <w:t>la situación de violencia, narcotráfico, corrupción y desigualdad que existía en Pedro Juan Caballero</w:t>
      </w:r>
      <w:r w:rsidR="00261517" w:rsidRPr="00261517">
        <w:rPr>
          <w:rFonts w:ascii="Cambria" w:hAnsi="Cambria"/>
          <w:sz w:val="20"/>
          <w:szCs w:val="20"/>
          <w:lang w:val="es-ES"/>
        </w:rPr>
        <w:t>.</w:t>
      </w:r>
      <w:r w:rsidR="00261517">
        <w:rPr>
          <w:rFonts w:ascii="Cambria" w:hAnsi="Cambria"/>
          <w:sz w:val="20"/>
          <w:szCs w:val="20"/>
          <w:lang w:val="es-ES"/>
        </w:rPr>
        <w:t xml:space="preserve"> La parte peticionaria alega </w:t>
      </w:r>
      <w:r w:rsidR="00896AC8" w:rsidRPr="007A0D4C">
        <w:rPr>
          <w:rFonts w:ascii="Cambria" w:hAnsi="Cambria"/>
          <w:sz w:val="20"/>
          <w:szCs w:val="20"/>
          <w:lang w:val="es-VE"/>
        </w:rPr>
        <w:t>que estas denuncias eran públicas</w:t>
      </w:r>
      <w:r w:rsidR="00593BB1" w:rsidRPr="007A0D4C">
        <w:rPr>
          <w:rFonts w:ascii="Cambria" w:hAnsi="Cambria"/>
          <w:sz w:val="20"/>
          <w:szCs w:val="20"/>
          <w:lang w:val="es-VE"/>
        </w:rPr>
        <w:t>,</w:t>
      </w:r>
      <w:r w:rsidR="00896AC8" w:rsidRPr="007A0D4C">
        <w:rPr>
          <w:rFonts w:ascii="Cambria" w:hAnsi="Cambria"/>
          <w:sz w:val="20"/>
          <w:szCs w:val="20"/>
          <w:lang w:val="es-VE"/>
        </w:rPr>
        <w:t xml:space="preserve"> por lo que el Estado de Paraguay conocía que existía un riesgo real e inmediato </w:t>
      </w:r>
      <w:r w:rsidR="00A43A0F" w:rsidRPr="007A0D4C">
        <w:rPr>
          <w:rFonts w:ascii="Cambria" w:hAnsi="Cambria"/>
          <w:sz w:val="20"/>
          <w:szCs w:val="20"/>
          <w:lang w:val="es-VE"/>
        </w:rPr>
        <w:t>para su</w:t>
      </w:r>
      <w:r w:rsidR="00896AC8" w:rsidRPr="007A0D4C">
        <w:rPr>
          <w:rFonts w:ascii="Cambria" w:hAnsi="Cambria"/>
          <w:sz w:val="20"/>
          <w:szCs w:val="20"/>
          <w:lang w:val="es-VE"/>
        </w:rPr>
        <w:t xml:space="preserve"> vida</w:t>
      </w:r>
      <w:r w:rsidR="001344A3" w:rsidRPr="007A0D4C">
        <w:rPr>
          <w:rFonts w:ascii="Cambria" w:hAnsi="Cambria"/>
          <w:sz w:val="20"/>
          <w:szCs w:val="20"/>
          <w:lang w:val="es-ES"/>
        </w:rPr>
        <w:t xml:space="preserve">. </w:t>
      </w:r>
      <w:r w:rsidR="00F1481D" w:rsidRPr="007A0D4C">
        <w:rPr>
          <w:rFonts w:ascii="Cambria" w:hAnsi="Cambria"/>
          <w:sz w:val="20"/>
          <w:szCs w:val="20"/>
          <w:lang w:val="es-ES"/>
        </w:rPr>
        <w:t xml:space="preserve">Los peticionarios consideran que el Estado </w:t>
      </w:r>
      <w:r w:rsidR="00F1481D" w:rsidRPr="007A0D4C">
        <w:rPr>
          <w:rFonts w:ascii="Cambria" w:hAnsi="Cambria"/>
          <w:sz w:val="20"/>
          <w:szCs w:val="20"/>
          <w:lang w:val="es-VE"/>
        </w:rPr>
        <w:t>tenía una obligación de protección reforzada del derecho a la vida del periodista debido a que este</w:t>
      </w:r>
      <w:r w:rsidR="00FC091B" w:rsidRPr="007A0D4C">
        <w:rPr>
          <w:rFonts w:ascii="Cambria" w:hAnsi="Cambria"/>
          <w:sz w:val="20"/>
          <w:szCs w:val="20"/>
          <w:lang w:val="es-VE"/>
        </w:rPr>
        <w:t xml:space="preserve"> ejercía un derecho fundamental </w:t>
      </w:r>
      <w:r w:rsidR="00F1481D" w:rsidRPr="007A0D4C">
        <w:rPr>
          <w:rFonts w:ascii="Cambria" w:hAnsi="Cambria"/>
          <w:sz w:val="20"/>
          <w:szCs w:val="20"/>
          <w:lang w:val="es-VE"/>
        </w:rPr>
        <w:t>en una situación de especial vulnerabilidad por el contexto de violencia y tensión social que existía en Pedro Juan Caballero</w:t>
      </w:r>
      <w:r w:rsidR="007218F1" w:rsidRPr="007A0D4C">
        <w:rPr>
          <w:rFonts w:ascii="Cambria" w:hAnsi="Cambria"/>
          <w:sz w:val="20"/>
          <w:szCs w:val="20"/>
          <w:lang w:val="es-VE"/>
        </w:rPr>
        <w:t>, una de las zonas más violentas de Paraguay</w:t>
      </w:r>
      <w:r w:rsidR="00F1481D" w:rsidRPr="007A0D4C">
        <w:rPr>
          <w:rFonts w:ascii="Cambria" w:hAnsi="Cambria"/>
          <w:sz w:val="20"/>
          <w:szCs w:val="20"/>
          <w:lang w:val="es-VE"/>
        </w:rPr>
        <w:t xml:space="preserve">.  </w:t>
      </w:r>
      <w:r w:rsidR="001344A3" w:rsidRPr="007A0D4C">
        <w:rPr>
          <w:rFonts w:ascii="Cambria" w:hAnsi="Cambria"/>
          <w:sz w:val="20"/>
          <w:szCs w:val="20"/>
          <w:lang w:val="es-ES"/>
        </w:rPr>
        <w:t xml:space="preserve">A pesar de ello, </w:t>
      </w:r>
      <w:r w:rsidR="00593BB1" w:rsidRPr="007A0D4C">
        <w:rPr>
          <w:rFonts w:ascii="Cambria" w:hAnsi="Cambria"/>
          <w:sz w:val="20"/>
          <w:szCs w:val="20"/>
          <w:lang w:val="es-ES"/>
        </w:rPr>
        <w:t>la parte peticionaria alega que</w:t>
      </w:r>
      <w:r w:rsidR="00CA1992" w:rsidRPr="007A0D4C">
        <w:rPr>
          <w:rFonts w:ascii="Cambria" w:hAnsi="Cambria"/>
          <w:sz w:val="20"/>
          <w:szCs w:val="20"/>
          <w:lang w:val="es-ES"/>
        </w:rPr>
        <w:t xml:space="preserve"> </w:t>
      </w:r>
      <w:r w:rsidR="001344A3" w:rsidRPr="007A0D4C">
        <w:rPr>
          <w:rFonts w:ascii="Cambria" w:hAnsi="Cambria"/>
          <w:sz w:val="20"/>
          <w:szCs w:val="20"/>
          <w:lang w:val="es-ES"/>
        </w:rPr>
        <w:t xml:space="preserve">el Estado de Paraguay no otorgó ninguna medida de protección para </w:t>
      </w:r>
      <w:r w:rsidR="00F1481D" w:rsidRPr="007A0D4C">
        <w:rPr>
          <w:rFonts w:ascii="Cambria" w:hAnsi="Cambria"/>
          <w:sz w:val="20"/>
          <w:szCs w:val="20"/>
          <w:lang w:val="es-ES"/>
        </w:rPr>
        <w:t>preveni</w:t>
      </w:r>
      <w:r w:rsidR="001344A3" w:rsidRPr="007A0D4C">
        <w:rPr>
          <w:rFonts w:ascii="Cambria" w:hAnsi="Cambria"/>
          <w:sz w:val="20"/>
          <w:szCs w:val="20"/>
          <w:lang w:val="es-ES"/>
        </w:rPr>
        <w:t>r el asesinato de Santiago Leguizamón</w:t>
      </w:r>
      <w:r w:rsidR="00435E2C" w:rsidRPr="007A0D4C">
        <w:rPr>
          <w:rFonts w:ascii="Cambria" w:hAnsi="Cambria"/>
          <w:sz w:val="20"/>
          <w:szCs w:val="20"/>
          <w:lang w:val="es-ES"/>
        </w:rPr>
        <w:t xml:space="preserve">. </w:t>
      </w:r>
    </w:p>
    <w:p w14:paraId="51629AA0" w14:textId="77777777" w:rsidR="00235C0C" w:rsidRPr="007A0D4C" w:rsidRDefault="00235C0C" w:rsidP="007A0D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20"/>
          <w:szCs w:val="20"/>
          <w:lang w:val="es-VE"/>
        </w:rPr>
      </w:pPr>
    </w:p>
    <w:p w14:paraId="765CBCB6" w14:textId="5792C61C" w:rsidR="00AA6F8E" w:rsidRPr="007A0D4C" w:rsidRDefault="008C3277"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VE"/>
        </w:rPr>
      </w:pPr>
      <w:r w:rsidRPr="007A0D4C">
        <w:rPr>
          <w:rFonts w:ascii="Cambria" w:hAnsi="Cambria"/>
          <w:sz w:val="20"/>
          <w:szCs w:val="20"/>
          <w:lang w:val="es-ES"/>
        </w:rPr>
        <w:t xml:space="preserve">De </w:t>
      </w:r>
      <w:r w:rsidR="00862A23" w:rsidRPr="007A0D4C">
        <w:rPr>
          <w:rFonts w:ascii="Cambria" w:hAnsi="Cambria"/>
          <w:sz w:val="20"/>
          <w:szCs w:val="20"/>
          <w:lang w:val="es-ES"/>
        </w:rPr>
        <w:t xml:space="preserve">igual manera, los peticionarios </w:t>
      </w:r>
      <w:r w:rsidR="008B78AD" w:rsidRPr="007A0D4C">
        <w:rPr>
          <w:rFonts w:ascii="Cambria" w:hAnsi="Cambria"/>
          <w:sz w:val="20"/>
          <w:szCs w:val="20"/>
          <w:lang w:val="es-ES"/>
        </w:rPr>
        <w:t>estiman que el Estado violó el derecho a la libertad de expresión de Santiago Leguizamón, tanto e</w:t>
      </w:r>
      <w:r w:rsidR="00642147" w:rsidRPr="007A0D4C">
        <w:rPr>
          <w:rFonts w:ascii="Cambria" w:hAnsi="Cambria"/>
          <w:sz w:val="20"/>
          <w:szCs w:val="20"/>
          <w:lang w:val="es-ES"/>
        </w:rPr>
        <w:t>n su dimensión individual como colectiva. S</w:t>
      </w:r>
      <w:r w:rsidR="00862A23" w:rsidRPr="007A0D4C">
        <w:rPr>
          <w:rFonts w:ascii="Cambria" w:hAnsi="Cambria"/>
          <w:sz w:val="20"/>
          <w:szCs w:val="20"/>
          <w:lang w:val="es-ES"/>
        </w:rPr>
        <w:t xml:space="preserve">eñalan que el asesinato </w:t>
      </w:r>
      <w:r w:rsidR="00880B95" w:rsidRPr="007A0D4C">
        <w:rPr>
          <w:rFonts w:ascii="Cambria" w:hAnsi="Cambria"/>
          <w:sz w:val="20"/>
          <w:szCs w:val="20"/>
          <w:lang w:val="es-ES"/>
        </w:rPr>
        <w:t xml:space="preserve">del reconocido periodista </w:t>
      </w:r>
      <w:r w:rsidR="008B78AD" w:rsidRPr="007A0D4C">
        <w:rPr>
          <w:rFonts w:ascii="Cambria" w:hAnsi="Cambria"/>
          <w:sz w:val="20"/>
          <w:szCs w:val="20"/>
          <w:lang w:val="es-ES"/>
        </w:rPr>
        <w:t xml:space="preserve">se </w:t>
      </w:r>
      <w:r w:rsidR="00B62BE5" w:rsidRPr="007A0D4C">
        <w:rPr>
          <w:rFonts w:ascii="Cambria" w:hAnsi="Cambria"/>
          <w:sz w:val="20"/>
          <w:szCs w:val="20"/>
          <w:lang w:val="es-ES"/>
        </w:rPr>
        <w:t>debió a</w:t>
      </w:r>
      <w:r w:rsidR="008B78AD" w:rsidRPr="007A0D4C">
        <w:rPr>
          <w:rFonts w:ascii="Cambria" w:hAnsi="Cambria"/>
          <w:sz w:val="20"/>
          <w:szCs w:val="20"/>
          <w:lang w:val="es-ES"/>
        </w:rPr>
        <w:t xml:space="preserve"> su labor periodística</w:t>
      </w:r>
      <w:r w:rsidR="0047585D" w:rsidRPr="007A0D4C">
        <w:rPr>
          <w:rFonts w:ascii="Cambria" w:hAnsi="Cambria"/>
          <w:sz w:val="20"/>
          <w:szCs w:val="20"/>
          <w:lang w:val="es-ES"/>
        </w:rPr>
        <w:t xml:space="preserve"> y tuvo como objetivo </w:t>
      </w:r>
      <w:r w:rsidR="00FC091B" w:rsidRPr="007A0D4C">
        <w:rPr>
          <w:rFonts w:ascii="Cambria" w:hAnsi="Cambria"/>
          <w:sz w:val="20"/>
          <w:szCs w:val="20"/>
          <w:lang w:val="es-ES"/>
        </w:rPr>
        <w:t xml:space="preserve">silenciarlo, </w:t>
      </w:r>
      <w:r w:rsidR="0047585D" w:rsidRPr="007A0D4C">
        <w:rPr>
          <w:rFonts w:ascii="Cambria" w:hAnsi="Cambria"/>
          <w:sz w:val="20"/>
          <w:szCs w:val="20"/>
          <w:lang w:val="es-ES"/>
        </w:rPr>
        <w:t xml:space="preserve">ya que sus investigaciones “molestaban al poder político y económico del país”. </w:t>
      </w:r>
      <w:r w:rsidR="00E5341E" w:rsidRPr="007A0D4C">
        <w:rPr>
          <w:rFonts w:ascii="Cambria" w:hAnsi="Cambria"/>
          <w:sz w:val="20"/>
          <w:szCs w:val="20"/>
          <w:lang w:val="es-ES"/>
        </w:rPr>
        <w:t xml:space="preserve">Los peticionarios señalan que </w:t>
      </w:r>
      <w:r w:rsidR="00B62BE5" w:rsidRPr="007A0D4C">
        <w:rPr>
          <w:rFonts w:ascii="Cambria" w:hAnsi="Cambria"/>
          <w:sz w:val="20"/>
          <w:szCs w:val="20"/>
          <w:lang w:val="es-ES"/>
        </w:rPr>
        <w:t>su</w:t>
      </w:r>
      <w:r w:rsidR="00E5341E" w:rsidRPr="007A0D4C">
        <w:rPr>
          <w:rFonts w:ascii="Cambria" w:hAnsi="Cambria"/>
          <w:sz w:val="20"/>
          <w:szCs w:val="20"/>
          <w:lang w:val="es-ES"/>
        </w:rPr>
        <w:t xml:space="preserve"> asesinato constituyó la forma más violenta de censura </w:t>
      </w:r>
      <w:r w:rsidR="00CD2AB6" w:rsidRPr="007A0D4C">
        <w:rPr>
          <w:rFonts w:ascii="Cambria" w:hAnsi="Cambria"/>
          <w:sz w:val="20"/>
          <w:szCs w:val="20"/>
          <w:lang w:val="es-ES"/>
        </w:rPr>
        <w:t xml:space="preserve">y la forma más radical de suprimir su derecho a expresarse libremente, lo cual, a su vez, </w:t>
      </w:r>
      <w:r w:rsidR="00041286" w:rsidRPr="007A0D4C">
        <w:rPr>
          <w:rFonts w:ascii="Cambria" w:hAnsi="Cambria"/>
          <w:sz w:val="20"/>
          <w:szCs w:val="20"/>
          <w:lang w:val="es-ES"/>
        </w:rPr>
        <w:t xml:space="preserve">generó un efecto silenciador </w:t>
      </w:r>
      <w:r w:rsidR="005A3F6E" w:rsidRPr="007A0D4C">
        <w:rPr>
          <w:rFonts w:ascii="Cambria" w:hAnsi="Cambria"/>
          <w:sz w:val="20"/>
          <w:szCs w:val="20"/>
          <w:lang w:val="es-ES"/>
        </w:rPr>
        <w:t>en</w:t>
      </w:r>
      <w:r w:rsidR="00041286" w:rsidRPr="007A0D4C">
        <w:rPr>
          <w:rFonts w:ascii="Cambria" w:hAnsi="Cambria"/>
          <w:sz w:val="20"/>
          <w:szCs w:val="20"/>
          <w:lang w:val="es-ES"/>
        </w:rPr>
        <w:t xml:space="preserve"> otros periodistas</w:t>
      </w:r>
      <w:r w:rsidR="00840944" w:rsidRPr="007A0D4C">
        <w:rPr>
          <w:rFonts w:ascii="Cambria" w:hAnsi="Cambria"/>
          <w:sz w:val="20"/>
          <w:szCs w:val="20"/>
          <w:lang w:val="es-ES"/>
        </w:rPr>
        <w:t xml:space="preserve"> e impidió a la sociedad paraguaya, y al pueblo de </w:t>
      </w:r>
      <w:r w:rsidR="00840944" w:rsidRPr="007A0D4C">
        <w:rPr>
          <w:rFonts w:ascii="Cambria" w:hAnsi="Cambria"/>
          <w:sz w:val="20"/>
          <w:szCs w:val="20"/>
          <w:lang w:val="es-ES"/>
        </w:rPr>
        <w:lastRenderedPageBreak/>
        <w:t xml:space="preserve">Pedro Juan Caballero, en particular, </w:t>
      </w:r>
      <w:r w:rsidR="00456B8E" w:rsidRPr="007A0D4C">
        <w:rPr>
          <w:rFonts w:ascii="Cambria" w:hAnsi="Cambria"/>
          <w:sz w:val="20"/>
          <w:szCs w:val="20"/>
          <w:lang w:val="es-ES"/>
        </w:rPr>
        <w:t xml:space="preserve">escuchar las opiniones o noticias de relevancia pública que Santiago Leguizamón </w:t>
      </w:r>
      <w:r w:rsidR="00957783" w:rsidRPr="007A0D4C">
        <w:rPr>
          <w:rFonts w:ascii="Cambria" w:hAnsi="Cambria"/>
          <w:sz w:val="20"/>
          <w:szCs w:val="20"/>
          <w:lang w:val="es-ES"/>
        </w:rPr>
        <w:t>difundía a través de los medios de comunicación</w:t>
      </w:r>
      <w:r w:rsidR="00BE36A2" w:rsidRPr="007A0D4C">
        <w:rPr>
          <w:rFonts w:ascii="Cambria" w:hAnsi="Cambria"/>
          <w:sz w:val="20"/>
          <w:szCs w:val="20"/>
          <w:lang w:val="es-ES"/>
        </w:rPr>
        <w:t xml:space="preserve">. </w:t>
      </w:r>
      <w:r w:rsidR="002F2950" w:rsidRPr="007A0D4C">
        <w:rPr>
          <w:rFonts w:ascii="Cambria" w:hAnsi="Cambria"/>
          <w:sz w:val="20"/>
          <w:szCs w:val="20"/>
          <w:lang w:val="es-ES"/>
        </w:rPr>
        <w:t>También, consideraron que</w:t>
      </w:r>
      <w:r w:rsidR="00FA4281" w:rsidRPr="007A0D4C">
        <w:rPr>
          <w:rFonts w:ascii="Cambria" w:hAnsi="Cambria"/>
          <w:sz w:val="20"/>
          <w:szCs w:val="20"/>
          <w:lang w:val="es-ES"/>
        </w:rPr>
        <w:t xml:space="preserve"> el derecho a la libertad de expresión no fue garantizado por el Estado debido a</w:t>
      </w:r>
      <w:r w:rsidR="002F2950" w:rsidRPr="007A0D4C">
        <w:rPr>
          <w:rFonts w:ascii="Cambria" w:hAnsi="Cambria"/>
          <w:sz w:val="20"/>
          <w:szCs w:val="20"/>
          <w:lang w:val="es-ES"/>
        </w:rPr>
        <w:t xml:space="preserve"> </w:t>
      </w:r>
      <w:r w:rsidR="00F3789A" w:rsidRPr="007A0D4C">
        <w:rPr>
          <w:rFonts w:ascii="Cambria" w:hAnsi="Cambria"/>
          <w:sz w:val="20"/>
          <w:szCs w:val="20"/>
          <w:lang w:val="es-ES"/>
        </w:rPr>
        <w:t>la falta de una investigación diligente y la impunidad en la que se encuentra el caso</w:t>
      </w:r>
      <w:r w:rsidR="00F1364E" w:rsidRPr="007A0D4C">
        <w:rPr>
          <w:rFonts w:ascii="Cambria" w:hAnsi="Cambria"/>
          <w:sz w:val="20"/>
          <w:szCs w:val="20"/>
          <w:lang w:val="es-ES"/>
        </w:rPr>
        <w:t>.</w:t>
      </w:r>
      <w:r w:rsidR="00F3789A" w:rsidRPr="007A0D4C">
        <w:rPr>
          <w:rFonts w:ascii="Cambria" w:hAnsi="Cambria"/>
          <w:sz w:val="20"/>
          <w:szCs w:val="20"/>
          <w:lang w:val="es-ES"/>
        </w:rPr>
        <w:t xml:space="preserve"> </w:t>
      </w:r>
    </w:p>
    <w:p w14:paraId="2B99BA1B" w14:textId="77777777" w:rsidR="00FC091B" w:rsidRPr="007A0D4C" w:rsidRDefault="00FC091B" w:rsidP="007A0D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20"/>
          <w:szCs w:val="20"/>
          <w:lang w:val="es-VE"/>
        </w:rPr>
      </w:pPr>
    </w:p>
    <w:p w14:paraId="6356DC2C" w14:textId="17E9D5CA" w:rsidR="005C013F" w:rsidRPr="007A0D4C" w:rsidRDefault="005862FC"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VE"/>
        </w:rPr>
      </w:pPr>
      <w:r w:rsidRPr="007A0D4C">
        <w:rPr>
          <w:rFonts w:ascii="Cambria" w:hAnsi="Cambria"/>
          <w:sz w:val="20"/>
          <w:szCs w:val="20"/>
          <w:lang w:val="es-ES"/>
        </w:rPr>
        <w:t>Por su parte, l</w:t>
      </w:r>
      <w:r w:rsidR="00563870" w:rsidRPr="007A0D4C">
        <w:rPr>
          <w:rFonts w:ascii="Cambria" w:hAnsi="Cambria"/>
          <w:sz w:val="20"/>
          <w:szCs w:val="20"/>
          <w:lang w:val="es-ES"/>
        </w:rPr>
        <w:t xml:space="preserve">a parte peticionaria </w:t>
      </w:r>
      <w:r w:rsidR="00957EB5" w:rsidRPr="007A0D4C">
        <w:rPr>
          <w:rFonts w:ascii="Cambria" w:hAnsi="Cambria"/>
          <w:sz w:val="20"/>
          <w:szCs w:val="20"/>
          <w:lang w:val="es-ES"/>
        </w:rPr>
        <w:t>indica</w:t>
      </w:r>
      <w:r w:rsidRPr="007A0D4C">
        <w:rPr>
          <w:rFonts w:ascii="Cambria" w:hAnsi="Cambria"/>
          <w:sz w:val="20"/>
          <w:szCs w:val="20"/>
          <w:lang w:val="es-ES"/>
        </w:rPr>
        <w:t xml:space="preserve"> que el Estado violó los derechos </w:t>
      </w:r>
      <w:r w:rsidR="00A8627D" w:rsidRPr="007A0D4C">
        <w:rPr>
          <w:rFonts w:ascii="Cambria" w:hAnsi="Cambria"/>
          <w:sz w:val="20"/>
          <w:szCs w:val="20"/>
          <w:lang w:val="es-ES"/>
        </w:rPr>
        <w:t xml:space="preserve">a las garantías judiciales y protección judicial de la esposa de Santiago Leguizamón y de sus cuatro hijos. </w:t>
      </w:r>
      <w:r w:rsidR="00110BDC" w:rsidRPr="007A0D4C">
        <w:rPr>
          <w:rFonts w:ascii="Cambria" w:hAnsi="Cambria"/>
          <w:sz w:val="20"/>
          <w:szCs w:val="20"/>
          <w:lang w:val="es-ES"/>
        </w:rPr>
        <w:t>Lo anterior, debido a que</w:t>
      </w:r>
      <w:r w:rsidR="005C013F" w:rsidRPr="007A0D4C">
        <w:rPr>
          <w:rFonts w:ascii="Cambria" w:hAnsi="Cambria"/>
          <w:sz w:val="20"/>
          <w:szCs w:val="20"/>
          <w:lang w:val="es-ES"/>
        </w:rPr>
        <w:t>,</w:t>
      </w:r>
      <w:r w:rsidR="00110BDC" w:rsidRPr="007A0D4C">
        <w:rPr>
          <w:rFonts w:ascii="Cambria" w:hAnsi="Cambria"/>
          <w:sz w:val="20"/>
          <w:szCs w:val="20"/>
          <w:lang w:val="es-ES"/>
        </w:rPr>
        <w:t xml:space="preserve"> si bien la investigación judicial se </w:t>
      </w:r>
      <w:r w:rsidR="0017208C" w:rsidRPr="007A0D4C">
        <w:rPr>
          <w:rFonts w:ascii="Cambria" w:hAnsi="Cambria"/>
          <w:sz w:val="20"/>
          <w:szCs w:val="20"/>
          <w:lang w:val="es-ES"/>
        </w:rPr>
        <w:t xml:space="preserve">inició </w:t>
      </w:r>
      <w:r w:rsidR="00110BDC" w:rsidRPr="007A0D4C">
        <w:rPr>
          <w:rFonts w:ascii="Cambria" w:hAnsi="Cambria"/>
          <w:sz w:val="20"/>
          <w:szCs w:val="20"/>
          <w:lang w:val="es-ES"/>
        </w:rPr>
        <w:t xml:space="preserve">el mismo día del asesinato del periodista, </w:t>
      </w:r>
      <w:r w:rsidR="00563870" w:rsidRPr="007A0D4C">
        <w:rPr>
          <w:rFonts w:ascii="Cambria" w:hAnsi="Cambria"/>
          <w:sz w:val="20"/>
          <w:szCs w:val="20"/>
          <w:lang w:val="es-ES"/>
        </w:rPr>
        <w:t xml:space="preserve">esta se realizó </w:t>
      </w:r>
      <w:r w:rsidR="005C013F" w:rsidRPr="007A0D4C">
        <w:rPr>
          <w:rFonts w:ascii="Cambria" w:hAnsi="Cambria"/>
          <w:sz w:val="20"/>
          <w:szCs w:val="20"/>
          <w:lang w:val="es-ES"/>
        </w:rPr>
        <w:t xml:space="preserve">sin </w:t>
      </w:r>
      <w:r w:rsidR="005C013F" w:rsidRPr="007A0D4C">
        <w:rPr>
          <w:rFonts w:ascii="Cambria" w:hAnsi="Cambria"/>
          <w:sz w:val="20"/>
          <w:szCs w:val="20"/>
          <w:lang w:val="es-VE"/>
        </w:rPr>
        <w:t>la debida diligencia</w:t>
      </w:r>
      <w:r w:rsidR="00126C65" w:rsidRPr="007A0D4C">
        <w:rPr>
          <w:rFonts w:ascii="Cambria" w:hAnsi="Cambria"/>
          <w:sz w:val="20"/>
          <w:szCs w:val="20"/>
          <w:lang w:val="es-VE"/>
        </w:rPr>
        <w:t xml:space="preserve">, </w:t>
      </w:r>
      <w:r w:rsidR="003269A4" w:rsidRPr="007A0D4C">
        <w:rPr>
          <w:rFonts w:ascii="Cambria" w:hAnsi="Cambria"/>
          <w:sz w:val="20"/>
          <w:szCs w:val="20"/>
          <w:lang w:val="es-VE"/>
        </w:rPr>
        <w:t>y tampoco</w:t>
      </w:r>
      <w:r w:rsidR="00126C65" w:rsidRPr="007A0D4C">
        <w:rPr>
          <w:rFonts w:ascii="Cambria" w:hAnsi="Cambria"/>
          <w:sz w:val="20"/>
          <w:szCs w:val="20"/>
          <w:lang w:val="es-VE"/>
        </w:rPr>
        <w:t xml:space="preserve"> fue </w:t>
      </w:r>
      <w:r w:rsidR="005C013F" w:rsidRPr="007A0D4C">
        <w:rPr>
          <w:rFonts w:ascii="Cambria" w:hAnsi="Cambria"/>
          <w:sz w:val="20"/>
          <w:szCs w:val="20"/>
          <w:lang w:val="es-VE"/>
        </w:rPr>
        <w:t xml:space="preserve">efectiva </w:t>
      </w:r>
      <w:r w:rsidR="003269A4" w:rsidRPr="007A0D4C">
        <w:rPr>
          <w:rFonts w:ascii="Cambria" w:hAnsi="Cambria"/>
          <w:sz w:val="20"/>
          <w:szCs w:val="20"/>
          <w:lang w:val="es-VE"/>
        </w:rPr>
        <w:t>e</w:t>
      </w:r>
      <w:r w:rsidR="005C013F" w:rsidRPr="007A0D4C">
        <w:rPr>
          <w:rFonts w:ascii="Cambria" w:hAnsi="Cambria"/>
          <w:sz w:val="20"/>
          <w:szCs w:val="20"/>
          <w:lang w:val="es-VE"/>
        </w:rPr>
        <w:t xml:space="preserve"> imparcial, </w:t>
      </w:r>
      <w:r w:rsidR="00553CF4" w:rsidRPr="007A0D4C">
        <w:rPr>
          <w:rFonts w:ascii="Cambria" w:hAnsi="Cambria"/>
          <w:sz w:val="20"/>
          <w:szCs w:val="20"/>
          <w:lang w:val="es-VE"/>
        </w:rPr>
        <w:t xml:space="preserve">lo cual impidió </w:t>
      </w:r>
      <w:r w:rsidR="005C013F" w:rsidRPr="007A0D4C">
        <w:rPr>
          <w:rFonts w:ascii="Cambria" w:hAnsi="Cambria"/>
          <w:sz w:val="20"/>
          <w:szCs w:val="20"/>
          <w:lang w:val="es-VE"/>
        </w:rPr>
        <w:t xml:space="preserve">el enjuiciamiento y sanción de los </w:t>
      </w:r>
      <w:r w:rsidR="00C65496" w:rsidRPr="007A0D4C">
        <w:rPr>
          <w:rFonts w:ascii="Cambria" w:hAnsi="Cambria"/>
          <w:sz w:val="20"/>
          <w:szCs w:val="20"/>
          <w:lang w:val="es-VE"/>
        </w:rPr>
        <w:t>responsables,</w:t>
      </w:r>
      <w:r w:rsidR="005C013F" w:rsidRPr="007A0D4C">
        <w:rPr>
          <w:rFonts w:ascii="Cambria" w:hAnsi="Cambria"/>
          <w:sz w:val="20"/>
          <w:szCs w:val="20"/>
          <w:lang w:val="es-VE"/>
        </w:rPr>
        <w:t xml:space="preserve"> así como </w:t>
      </w:r>
      <w:r w:rsidR="00553CF4" w:rsidRPr="007A0D4C">
        <w:rPr>
          <w:rFonts w:ascii="Cambria" w:hAnsi="Cambria"/>
          <w:sz w:val="20"/>
          <w:szCs w:val="20"/>
          <w:lang w:val="es-VE"/>
        </w:rPr>
        <w:t xml:space="preserve">la adopción de </w:t>
      </w:r>
      <w:r w:rsidR="005C013F" w:rsidRPr="007A0D4C">
        <w:rPr>
          <w:rFonts w:ascii="Cambria" w:hAnsi="Cambria"/>
          <w:sz w:val="20"/>
          <w:szCs w:val="20"/>
          <w:lang w:val="es-VE"/>
        </w:rPr>
        <w:t xml:space="preserve">medidas de reparación del daño </w:t>
      </w:r>
      <w:r w:rsidR="000B6245" w:rsidRPr="007A0D4C">
        <w:rPr>
          <w:rFonts w:ascii="Cambria" w:hAnsi="Cambria"/>
          <w:sz w:val="20"/>
          <w:szCs w:val="20"/>
          <w:lang w:val="es-VE"/>
        </w:rPr>
        <w:t>causado</w:t>
      </w:r>
      <w:r w:rsidR="00553CF4" w:rsidRPr="007A0D4C">
        <w:rPr>
          <w:rFonts w:ascii="Cambria" w:hAnsi="Cambria"/>
          <w:sz w:val="20"/>
          <w:szCs w:val="20"/>
          <w:lang w:val="es-VE"/>
        </w:rPr>
        <w:t>.</w:t>
      </w:r>
      <w:r w:rsidR="000B6245" w:rsidRPr="007A0D4C">
        <w:rPr>
          <w:rFonts w:ascii="Cambria" w:hAnsi="Cambria"/>
          <w:sz w:val="20"/>
          <w:szCs w:val="20"/>
          <w:lang w:val="es-VE"/>
        </w:rPr>
        <w:t xml:space="preserve"> La parte peticionaria destaca que la investigación </w:t>
      </w:r>
      <w:r w:rsidR="00545638" w:rsidRPr="007A0D4C">
        <w:rPr>
          <w:rFonts w:ascii="Cambria" w:hAnsi="Cambria"/>
          <w:sz w:val="20"/>
          <w:szCs w:val="20"/>
          <w:lang w:val="es-VE"/>
        </w:rPr>
        <w:t xml:space="preserve">inicial </w:t>
      </w:r>
      <w:r w:rsidR="00BB60D0" w:rsidRPr="007A0D4C">
        <w:rPr>
          <w:rFonts w:ascii="Cambria" w:hAnsi="Cambria"/>
          <w:sz w:val="20"/>
          <w:szCs w:val="20"/>
          <w:lang w:val="es-VE"/>
        </w:rPr>
        <w:t>f</w:t>
      </w:r>
      <w:r w:rsidR="00545638" w:rsidRPr="007A0D4C">
        <w:rPr>
          <w:rFonts w:ascii="Cambria" w:hAnsi="Cambria"/>
          <w:sz w:val="20"/>
          <w:szCs w:val="20"/>
          <w:lang w:val="es-VE"/>
        </w:rPr>
        <w:t xml:space="preserve">ue incompleta, que no existió una hipótesis clara </w:t>
      </w:r>
      <w:r w:rsidR="003F5041" w:rsidRPr="007A0D4C">
        <w:rPr>
          <w:rFonts w:ascii="Cambria" w:hAnsi="Cambria"/>
          <w:sz w:val="20"/>
          <w:szCs w:val="20"/>
          <w:lang w:val="es-VE"/>
        </w:rPr>
        <w:t xml:space="preserve">de investigación, </w:t>
      </w:r>
      <w:r w:rsidR="002F6508" w:rsidRPr="007A0D4C">
        <w:rPr>
          <w:rFonts w:ascii="Cambria" w:hAnsi="Cambria"/>
          <w:sz w:val="20"/>
          <w:szCs w:val="20"/>
          <w:lang w:val="es-VE"/>
        </w:rPr>
        <w:t xml:space="preserve">y </w:t>
      </w:r>
      <w:r w:rsidR="00BB60D0" w:rsidRPr="007A0D4C">
        <w:rPr>
          <w:rFonts w:ascii="Cambria" w:hAnsi="Cambria"/>
          <w:sz w:val="20"/>
          <w:szCs w:val="20"/>
          <w:lang w:val="es-VE"/>
        </w:rPr>
        <w:t xml:space="preserve">que hasta la fecha </w:t>
      </w:r>
      <w:r w:rsidR="00BB60D0" w:rsidRPr="007A0D4C">
        <w:rPr>
          <w:rFonts w:ascii="Cambria" w:hAnsi="Cambria"/>
          <w:sz w:val="20"/>
          <w:szCs w:val="20"/>
          <w:lang w:val="es-ES"/>
        </w:rPr>
        <w:t>los autores intelectuales no ha</w:t>
      </w:r>
      <w:r w:rsidR="00261517">
        <w:rPr>
          <w:rFonts w:ascii="Cambria" w:hAnsi="Cambria"/>
          <w:sz w:val="20"/>
          <w:szCs w:val="20"/>
          <w:lang w:val="es-ES"/>
        </w:rPr>
        <w:t>n</w:t>
      </w:r>
      <w:r w:rsidR="00BB60D0" w:rsidRPr="007A0D4C">
        <w:rPr>
          <w:rFonts w:ascii="Cambria" w:hAnsi="Cambria"/>
          <w:sz w:val="20"/>
          <w:szCs w:val="20"/>
          <w:lang w:val="es-ES"/>
        </w:rPr>
        <w:t xml:space="preserve"> sido identificados ni procesados</w:t>
      </w:r>
      <w:r w:rsidR="009F4DEA" w:rsidRPr="007A0D4C">
        <w:rPr>
          <w:rFonts w:ascii="Cambria" w:hAnsi="Cambria"/>
          <w:sz w:val="20"/>
          <w:szCs w:val="20"/>
          <w:lang w:val="es-ES"/>
        </w:rPr>
        <w:t>. Indica</w:t>
      </w:r>
      <w:r w:rsidR="002F6508" w:rsidRPr="007A0D4C">
        <w:rPr>
          <w:rFonts w:ascii="Cambria" w:hAnsi="Cambria"/>
          <w:sz w:val="20"/>
          <w:szCs w:val="20"/>
          <w:lang w:val="es-ES"/>
        </w:rPr>
        <w:t xml:space="preserve"> también</w:t>
      </w:r>
      <w:r w:rsidR="009F4DEA" w:rsidRPr="007A0D4C">
        <w:rPr>
          <w:rFonts w:ascii="Cambria" w:hAnsi="Cambria"/>
          <w:sz w:val="20"/>
          <w:szCs w:val="20"/>
          <w:lang w:val="es-ES"/>
        </w:rPr>
        <w:t xml:space="preserve"> que</w:t>
      </w:r>
      <w:r w:rsidR="007D7596" w:rsidRPr="007A0D4C">
        <w:rPr>
          <w:rFonts w:ascii="Cambria" w:hAnsi="Cambria"/>
          <w:sz w:val="20"/>
          <w:szCs w:val="20"/>
          <w:lang w:val="es-ES"/>
        </w:rPr>
        <w:t>,</w:t>
      </w:r>
      <w:r w:rsidR="00803F90" w:rsidRPr="007A0D4C">
        <w:rPr>
          <w:rFonts w:ascii="Cambria" w:hAnsi="Cambria"/>
          <w:sz w:val="20"/>
          <w:szCs w:val="20"/>
          <w:lang w:val="es-ES"/>
        </w:rPr>
        <w:t xml:space="preserve"> ante la </w:t>
      </w:r>
      <w:r w:rsidR="002F6508" w:rsidRPr="007A0D4C">
        <w:rPr>
          <w:rFonts w:ascii="Cambria" w:hAnsi="Cambria"/>
          <w:sz w:val="20"/>
          <w:szCs w:val="20"/>
          <w:lang w:val="es-ES"/>
        </w:rPr>
        <w:t>imposibilidad</w:t>
      </w:r>
      <w:r w:rsidR="00803F90" w:rsidRPr="007A0D4C">
        <w:rPr>
          <w:rFonts w:ascii="Cambria" w:hAnsi="Cambria"/>
          <w:sz w:val="20"/>
          <w:szCs w:val="20"/>
          <w:lang w:val="es-ES"/>
        </w:rPr>
        <w:t xml:space="preserve"> de extra</w:t>
      </w:r>
      <w:r w:rsidR="002F6508" w:rsidRPr="007A0D4C">
        <w:rPr>
          <w:rFonts w:ascii="Cambria" w:hAnsi="Cambria"/>
          <w:sz w:val="20"/>
          <w:szCs w:val="20"/>
          <w:lang w:val="es-ES"/>
        </w:rPr>
        <w:t>di</w:t>
      </w:r>
      <w:r w:rsidR="00803F90" w:rsidRPr="007A0D4C">
        <w:rPr>
          <w:rFonts w:ascii="Cambria" w:hAnsi="Cambria"/>
          <w:sz w:val="20"/>
          <w:szCs w:val="20"/>
          <w:lang w:val="es-ES"/>
        </w:rPr>
        <w:t>ción de los presuntos autores materiales de nacionalidad</w:t>
      </w:r>
      <w:r w:rsidR="007D7596" w:rsidRPr="007A0D4C">
        <w:rPr>
          <w:rFonts w:ascii="Cambria" w:hAnsi="Cambria"/>
          <w:sz w:val="20"/>
          <w:szCs w:val="20"/>
          <w:lang w:val="es-ES"/>
        </w:rPr>
        <w:t xml:space="preserve"> brasile</w:t>
      </w:r>
      <w:r w:rsidR="00860860">
        <w:rPr>
          <w:rFonts w:ascii="Cambria" w:hAnsi="Cambria"/>
          <w:sz w:val="20"/>
          <w:szCs w:val="20"/>
          <w:lang w:val="es-ES"/>
        </w:rPr>
        <w:t>ñ</w:t>
      </w:r>
      <w:r w:rsidR="007D7596" w:rsidRPr="007A0D4C">
        <w:rPr>
          <w:rFonts w:ascii="Cambria" w:hAnsi="Cambria"/>
          <w:sz w:val="20"/>
          <w:szCs w:val="20"/>
          <w:lang w:val="es-ES"/>
        </w:rPr>
        <w:t>a,</w:t>
      </w:r>
      <w:r w:rsidR="00803F90" w:rsidRPr="007A0D4C">
        <w:rPr>
          <w:rFonts w:ascii="Cambria" w:hAnsi="Cambria"/>
          <w:sz w:val="20"/>
          <w:szCs w:val="20"/>
          <w:lang w:val="es-ES"/>
        </w:rPr>
        <w:t xml:space="preserve"> </w:t>
      </w:r>
      <w:r w:rsidR="009F4DEA" w:rsidRPr="007A0D4C">
        <w:rPr>
          <w:rFonts w:ascii="Cambria" w:hAnsi="Cambria"/>
          <w:sz w:val="20"/>
          <w:szCs w:val="20"/>
          <w:lang w:val="es-ES"/>
        </w:rPr>
        <w:t xml:space="preserve">las medidas judiciales y solicitudes de cooperación internacional para </w:t>
      </w:r>
      <w:r w:rsidR="00A66BE5" w:rsidRPr="007A0D4C">
        <w:rPr>
          <w:rFonts w:ascii="Cambria" w:hAnsi="Cambria"/>
          <w:sz w:val="20"/>
          <w:szCs w:val="20"/>
          <w:lang w:val="es-ES"/>
        </w:rPr>
        <w:t xml:space="preserve">solicitar su procesamiento oficial en Brasil </w:t>
      </w:r>
      <w:r w:rsidR="009F4DEA" w:rsidRPr="007A0D4C">
        <w:rPr>
          <w:rFonts w:ascii="Cambria" w:hAnsi="Cambria"/>
          <w:sz w:val="20"/>
          <w:szCs w:val="20"/>
          <w:lang w:val="es-ES"/>
        </w:rPr>
        <w:t>fueron tramitadas con extremada lentitud y negligencia</w:t>
      </w:r>
      <w:r w:rsidR="00BF0AEE" w:rsidRPr="007A0D4C">
        <w:rPr>
          <w:rFonts w:ascii="Cambria" w:hAnsi="Cambria"/>
          <w:sz w:val="20"/>
          <w:szCs w:val="20"/>
          <w:lang w:val="es-ES"/>
        </w:rPr>
        <w:t>, y que a partir de que el último pedido de cooperación fuera devuelto</w:t>
      </w:r>
      <w:r w:rsidR="00261517">
        <w:rPr>
          <w:rFonts w:ascii="Cambria" w:hAnsi="Cambria"/>
          <w:sz w:val="20"/>
          <w:szCs w:val="20"/>
          <w:lang w:val="es-ES"/>
        </w:rPr>
        <w:t xml:space="preserve"> en 2014</w:t>
      </w:r>
      <w:r w:rsidR="00BF0AEE" w:rsidRPr="007A0D4C">
        <w:rPr>
          <w:rFonts w:ascii="Cambria" w:hAnsi="Cambria"/>
          <w:sz w:val="20"/>
          <w:szCs w:val="20"/>
          <w:lang w:val="es-ES"/>
        </w:rPr>
        <w:t xml:space="preserve">, </w:t>
      </w:r>
      <w:r w:rsidR="009873B7" w:rsidRPr="007A0D4C">
        <w:rPr>
          <w:rFonts w:ascii="Cambria" w:hAnsi="Cambria"/>
          <w:sz w:val="20"/>
          <w:szCs w:val="20"/>
          <w:lang w:val="es-ES"/>
        </w:rPr>
        <w:t>la causa no recibió trámite alguno.</w:t>
      </w:r>
    </w:p>
    <w:p w14:paraId="59D08053" w14:textId="77777777" w:rsidR="00563870" w:rsidRPr="007A0D4C" w:rsidRDefault="00563870" w:rsidP="007A0D4C">
      <w:pPr>
        <w:pStyle w:val="ListParagraph"/>
        <w:spacing w:before="0" w:after="0"/>
        <w:rPr>
          <w:sz w:val="20"/>
          <w:szCs w:val="20"/>
          <w:lang w:val="es-ES"/>
        </w:rPr>
      </w:pPr>
    </w:p>
    <w:p w14:paraId="5D5AE514" w14:textId="5383965D" w:rsidR="00A512AB" w:rsidRPr="007A0D4C" w:rsidRDefault="00B93592"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VE"/>
        </w:rPr>
      </w:pPr>
      <w:r w:rsidRPr="007A0D4C">
        <w:rPr>
          <w:rFonts w:ascii="Cambria" w:hAnsi="Cambria"/>
          <w:sz w:val="20"/>
          <w:szCs w:val="20"/>
          <w:lang w:val="es-VE"/>
        </w:rPr>
        <w:t xml:space="preserve">Asimismo, los peticionarios </w:t>
      </w:r>
      <w:r w:rsidR="004F0FDE" w:rsidRPr="007A0D4C">
        <w:rPr>
          <w:rFonts w:ascii="Cambria" w:hAnsi="Cambria"/>
          <w:sz w:val="20"/>
          <w:szCs w:val="20"/>
          <w:lang w:val="es-VE"/>
        </w:rPr>
        <w:t xml:space="preserve">alegan </w:t>
      </w:r>
      <w:r w:rsidR="007D6283" w:rsidRPr="007A0D4C">
        <w:rPr>
          <w:rFonts w:ascii="Cambria" w:hAnsi="Cambria"/>
          <w:sz w:val="20"/>
          <w:szCs w:val="20"/>
          <w:lang w:val="es-VE"/>
        </w:rPr>
        <w:t>que la esposa y los cuatro hijos de Santiago Leguizam</w:t>
      </w:r>
      <w:r w:rsidR="007D6283" w:rsidRPr="007A0D4C">
        <w:rPr>
          <w:rFonts w:ascii="Cambria" w:hAnsi="Cambria"/>
          <w:sz w:val="20"/>
          <w:szCs w:val="20"/>
          <w:lang w:val="es-PE"/>
        </w:rPr>
        <w:t xml:space="preserve">ón </w:t>
      </w:r>
      <w:r w:rsidR="007D6283" w:rsidRPr="007A0D4C">
        <w:rPr>
          <w:rFonts w:ascii="Cambria" w:hAnsi="Cambria"/>
          <w:sz w:val="20"/>
          <w:szCs w:val="20"/>
          <w:lang w:val="es-VE"/>
        </w:rPr>
        <w:t>tuvieron que soportar la angustia y tristeza que gener</w:t>
      </w:r>
      <w:r w:rsidR="001A23FA" w:rsidRPr="007A0D4C">
        <w:rPr>
          <w:rFonts w:ascii="Cambria" w:hAnsi="Cambria"/>
          <w:sz w:val="20"/>
          <w:szCs w:val="20"/>
          <w:lang w:val="es-VE"/>
        </w:rPr>
        <w:t>ó</w:t>
      </w:r>
      <w:r w:rsidR="007D6283" w:rsidRPr="007A0D4C">
        <w:rPr>
          <w:rFonts w:ascii="Cambria" w:hAnsi="Cambria"/>
          <w:sz w:val="20"/>
          <w:szCs w:val="20"/>
          <w:lang w:val="es-VE"/>
        </w:rPr>
        <w:t xml:space="preserve"> la pérdida de un ser querido, agravada por la falta de un juicio justo y la sanción a los responsables</w:t>
      </w:r>
      <w:r w:rsidR="00FD2328" w:rsidRPr="007A0D4C">
        <w:rPr>
          <w:rFonts w:ascii="Cambria" w:hAnsi="Cambria"/>
          <w:sz w:val="20"/>
          <w:szCs w:val="20"/>
          <w:lang w:val="es-VE"/>
        </w:rPr>
        <w:t xml:space="preserve">. Además, señalan que </w:t>
      </w:r>
      <w:r w:rsidR="00DB35CD" w:rsidRPr="007A0D4C">
        <w:rPr>
          <w:rFonts w:ascii="Cambria" w:hAnsi="Cambria"/>
          <w:sz w:val="20"/>
          <w:szCs w:val="20"/>
          <w:lang w:val="es-VE"/>
        </w:rPr>
        <w:t xml:space="preserve">debieron </w:t>
      </w:r>
      <w:r w:rsidR="000130D4" w:rsidRPr="007A0D4C">
        <w:rPr>
          <w:rFonts w:ascii="Cambria" w:hAnsi="Cambria"/>
          <w:sz w:val="20"/>
          <w:szCs w:val="20"/>
          <w:lang w:val="es-VE"/>
        </w:rPr>
        <w:t>soportar</w:t>
      </w:r>
      <w:r w:rsidR="004F0FDE" w:rsidRPr="007A0D4C">
        <w:rPr>
          <w:rFonts w:ascii="Cambria" w:hAnsi="Cambria"/>
          <w:sz w:val="20"/>
          <w:szCs w:val="20"/>
          <w:lang w:val="es-VE"/>
        </w:rPr>
        <w:t xml:space="preserve"> </w:t>
      </w:r>
      <w:r w:rsidR="007D6283" w:rsidRPr="007A0D4C">
        <w:rPr>
          <w:rFonts w:ascii="Cambria" w:hAnsi="Cambria"/>
          <w:sz w:val="20"/>
          <w:szCs w:val="20"/>
          <w:lang w:val="es-VE"/>
        </w:rPr>
        <w:t xml:space="preserve">la falta de protección del Estado </w:t>
      </w:r>
      <w:r w:rsidR="00261517">
        <w:rPr>
          <w:rFonts w:ascii="Cambria" w:hAnsi="Cambria"/>
          <w:sz w:val="20"/>
          <w:szCs w:val="20"/>
          <w:lang w:val="es-VE"/>
        </w:rPr>
        <w:t xml:space="preserve">y la ausencia de una </w:t>
      </w:r>
      <w:r w:rsidR="00385856" w:rsidRPr="007A0D4C">
        <w:rPr>
          <w:rFonts w:ascii="Cambria" w:hAnsi="Cambria"/>
          <w:sz w:val="20"/>
          <w:szCs w:val="20"/>
          <w:lang w:val="es-VE"/>
        </w:rPr>
        <w:t>investigación ante</w:t>
      </w:r>
      <w:r w:rsidR="007D6283" w:rsidRPr="007A0D4C">
        <w:rPr>
          <w:rFonts w:ascii="Cambria" w:hAnsi="Cambria"/>
          <w:sz w:val="20"/>
          <w:szCs w:val="20"/>
          <w:lang w:val="es-VE"/>
        </w:rPr>
        <w:t xml:space="preserve"> las amenazas y amedrentamientos a la familia</w:t>
      </w:r>
      <w:r w:rsidR="00261517">
        <w:rPr>
          <w:rFonts w:ascii="Cambria" w:hAnsi="Cambria"/>
          <w:sz w:val="20"/>
          <w:szCs w:val="20"/>
          <w:lang w:val="es-VE"/>
        </w:rPr>
        <w:t xml:space="preserve">, en un contexto </w:t>
      </w:r>
      <w:r w:rsidR="003E7C65">
        <w:rPr>
          <w:rFonts w:ascii="Cambria" w:hAnsi="Cambria"/>
          <w:sz w:val="20"/>
          <w:szCs w:val="20"/>
          <w:lang w:val="es-VE"/>
        </w:rPr>
        <w:t xml:space="preserve">de </w:t>
      </w:r>
      <w:r w:rsidR="00261517" w:rsidRPr="007A0D4C">
        <w:rPr>
          <w:rFonts w:ascii="Cambria" w:hAnsi="Cambria"/>
          <w:sz w:val="20"/>
          <w:szCs w:val="20"/>
          <w:lang w:val="es-VE"/>
        </w:rPr>
        <w:t>de</w:t>
      </w:r>
      <w:r w:rsidR="003E7C65">
        <w:rPr>
          <w:rFonts w:ascii="Cambria" w:hAnsi="Cambria"/>
          <w:sz w:val="20"/>
          <w:szCs w:val="20"/>
          <w:lang w:val="es-VE"/>
        </w:rPr>
        <w:t>sc</w:t>
      </w:r>
      <w:r w:rsidR="00261517" w:rsidRPr="007A0D4C">
        <w:rPr>
          <w:rFonts w:ascii="Cambria" w:hAnsi="Cambria"/>
          <w:sz w:val="20"/>
          <w:szCs w:val="20"/>
          <w:lang w:val="es-VE"/>
        </w:rPr>
        <w:t xml:space="preserve">onfianza </w:t>
      </w:r>
      <w:r w:rsidR="003E7C65">
        <w:rPr>
          <w:rFonts w:ascii="Cambria" w:hAnsi="Cambria"/>
          <w:sz w:val="20"/>
          <w:szCs w:val="20"/>
          <w:lang w:val="es-VE"/>
        </w:rPr>
        <w:t>en</w:t>
      </w:r>
      <w:r w:rsidR="00261517" w:rsidRPr="007A0D4C">
        <w:rPr>
          <w:rFonts w:ascii="Cambria" w:hAnsi="Cambria"/>
          <w:sz w:val="20"/>
          <w:szCs w:val="20"/>
          <w:lang w:val="es-VE"/>
        </w:rPr>
        <w:t xml:space="preserve"> las autoridades debido a la estrecha relación de los presuntos autores morales con el presidente de la República</w:t>
      </w:r>
      <w:r w:rsidR="00261517">
        <w:rPr>
          <w:rFonts w:ascii="Cambria" w:hAnsi="Cambria"/>
          <w:sz w:val="20"/>
          <w:szCs w:val="20"/>
          <w:lang w:val="es-VE"/>
        </w:rPr>
        <w:t xml:space="preserve">. </w:t>
      </w:r>
      <w:r w:rsidR="000D7953">
        <w:rPr>
          <w:rFonts w:ascii="Cambria" w:hAnsi="Cambria"/>
          <w:sz w:val="20"/>
          <w:szCs w:val="20"/>
          <w:lang w:val="es-VE"/>
        </w:rPr>
        <w:t>Resaltan,</w:t>
      </w:r>
      <w:r w:rsidR="00261517">
        <w:rPr>
          <w:rFonts w:ascii="Cambria" w:hAnsi="Cambria"/>
          <w:sz w:val="20"/>
          <w:szCs w:val="20"/>
          <w:lang w:val="es-VE"/>
        </w:rPr>
        <w:t xml:space="preserve"> además, que la muerte de Santiago Leguizamón generó un</w:t>
      </w:r>
      <w:r w:rsidR="001F164F" w:rsidRPr="007A0D4C">
        <w:rPr>
          <w:rFonts w:ascii="Cambria" w:hAnsi="Cambria"/>
          <w:sz w:val="20"/>
          <w:szCs w:val="20"/>
          <w:lang w:val="es-VE"/>
        </w:rPr>
        <w:t xml:space="preserve"> impacto económico </w:t>
      </w:r>
      <w:r w:rsidR="00261517">
        <w:rPr>
          <w:rFonts w:ascii="Cambria" w:hAnsi="Cambria"/>
          <w:sz w:val="20"/>
          <w:szCs w:val="20"/>
          <w:lang w:val="es-VE"/>
        </w:rPr>
        <w:t>en su perjuicio</w:t>
      </w:r>
      <w:r w:rsidR="00DB35CD" w:rsidRPr="007A0D4C">
        <w:rPr>
          <w:rFonts w:ascii="Cambria" w:hAnsi="Cambria"/>
          <w:sz w:val="20"/>
          <w:szCs w:val="20"/>
          <w:lang w:val="es-VE"/>
        </w:rPr>
        <w:t>. Todo lo anterior, según los peticionarios,</w:t>
      </w:r>
      <w:r w:rsidR="007D6283" w:rsidRPr="007A0D4C">
        <w:rPr>
          <w:rFonts w:ascii="Cambria" w:hAnsi="Cambria"/>
          <w:sz w:val="20"/>
          <w:szCs w:val="20"/>
          <w:lang w:val="es-VE"/>
        </w:rPr>
        <w:t xml:space="preserve"> </w:t>
      </w:r>
      <w:r w:rsidR="001F164F" w:rsidRPr="007A0D4C">
        <w:rPr>
          <w:rFonts w:ascii="Cambria" w:hAnsi="Cambria"/>
          <w:sz w:val="20"/>
          <w:szCs w:val="20"/>
          <w:lang w:val="es-VE"/>
        </w:rPr>
        <w:t>generó</w:t>
      </w:r>
      <w:r w:rsidR="006C21E8" w:rsidRPr="007A0D4C">
        <w:rPr>
          <w:rFonts w:ascii="Cambria" w:hAnsi="Cambria"/>
          <w:sz w:val="20"/>
          <w:szCs w:val="20"/>
          <w:lang w:val="es-VE"/>
        </w:rPr>
        <w:t xml:space="preserve"> en la familia, sentimientos de dolor e impotencia, que afectan de manera grave su integridad personal. </w:t>
      </w:r>
    </w:p>
    <w:p w14:paraId="03F9A65D" w14:textId="77777777" w:rsidR="00EF7FB5" w:rsidRPr="007A0D4C" w:rsidRDefault="00EF7FB5" w:rsidP="007A0D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20"/>
          <w:szCs w:val="20"/>
          <w:lang w:val="es-VE"/>
        </w:rPr>
      </w:pPr>
    </w:p>
    <w:p w14:paraId="78486CEA" w14:textId="4F7E68EF" w:rsidR="001C0705" w:rsidRPr="007A0D4C" w:rsidRDefault="00C857A0"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7A0D4C">
        <w:rPr>
          <w:rFonts w:ascii="Cambria" w:hAnsi="Cambria"/>
          <w:sz w:val="20"/>
          <w:szCs w:val="20"/>
          <w:lang w:val="es-VE"/>
        </w:rPr>
        <w:t>Con base en lo expuesto, l</w:t>
      </w:r>
      <w:r w:rsidR="001C0705" w:rsidRPr="007A0D4C">
        <w:rPr>
          <w:rFonts w:ascii="Cambria" w:hAnsi="Cambria"/>
          <w:sz w:val="20"/>
          <w:szCs w:val="20"/>
          <w:lang w:val="es-VE"/>
        </w:rPr>
        <w:t>os peticionarios solicitan a la CIDH declarar la responsabilidad internac</w:t>
      </w:r>
      <w:r w:rsidRPr="007A0D4C">
        <w:rPr>
          <w:rFonts w:ascii="Cambria" w:hAnsi="Cambria"/>
          <w:sz w:val="20"/>
          <w:szCs w:val="20"/>
          <w:lang w:val="es-VE"/>
        </w:rPr>
        <w:t xml:space="preserve">ional del Estado </w:t>
      </w:r>
      <w:r w:rsidR="006420F8">
        <w:rPr>
          <w:rFonts w:ascii="Cambria" w:hAnsi="Cambria"/>
          <w:sz w:val="20"/>
          <w:szCs w:val="20"/>
          <w:lang w:val="es-VE"/>
        </w:rPr>
        <w:t>paraguayo</w:t>
      </w:r>
      <w:r w:rsidRPr="007A0D4C">
        <w:rPr>
          <w:rFonts w:ascii="Cambria" w:hAnsi="Cambria"/>
          <w:sz w:val="20"/>
          <w:szCs w:val="20"/>
          <w:lang w:val="es-VE"/>
        </w:rPr>
        <w:t xml:space="preserve"> por la violación de los artículos </w:t>
      </w:r>
      <w:r w:rsidR="0010209C" w:rsidRPr="007A0D4C">
        <w:rPr>
          <w:rFonts w:ascii="Cambria" w:hAnsi="Cambria"/>
          <w:sz w:val="20"/>
          <w:szCs w:val="20"/>
          <w:lang w:val="es-VE"/>
        </w:rPr>
        <w:t xml:space="preserve">4, </w:t>
      </w:r>
      <w:r w:rsidR="00F26254" w:rsidRPr="007A0D4C">
        <w:rPr>
          <w:rFonts w:ascii="Cambria" w:hAnsi="Cambria"/>
          <w:sz w:val="20"/>
          <w:szCs w:val="20"/>
          <w:lang w:val="es-VE"/>
        </w:rPr>
        <w:t xml:space="preserve">5, </w:t>
      </w:r>
      <w:r w:rsidRPr="007A0D4C">
        <w:rPr>
          <w:rFonts w:ascii="Cambria" w:hAnsi="Cambria"/>
          <w:sz w:val="20"/>
          <w:szCs w:val="20"/>
          <w:lang w:val="es-VE"/>
        </w:rPr>
        <w:t xml:space="preserve">13, 8 y 25, en relación con </w:t>
      </w:r>
      <w:r w:rsidR="00E350E1" w:rsidRPr="007A0D4C">
        <w:rPr>
          <w:rFonts w:ascii="Cambria" w:hAnsi="Cambria"/>
          <w:sz w:val="20"/>
          <w:szCs w:val="20"/>
          <w:lang w:val="es-VE"/>
        </w:rPr>
        <w:t xml:space="preserve">el </w:t>
      </w:r>
      <w:r w:rsidR="00B16402" w:rsidRPr="007A0D4C">
        <w:rPr>
          <w:rFonts w:ascii="Cambria" w:hAnsi="Cambria"/>
          <w:sz w:val="20"/>
          <w:szCs w:val="20"/>
          <w:lang w:val="es-VE"/>
        </w:rPr>
        <w:t>artí</w:t>
      </w:r>
      <w:r w:rsidRPr="007A0D4C">
        <w:rPr>
          <w:rFonts w:ascii="Cambria" w:hAnsi="Cambria"/>
          <w:sz w:val="20"/>
          <w:szCs w:val="20"/>
          <w:lang w:val="es-VE"/>
        </w:rPr>
        <w:t xml:space="preserve">culo 1.1 de la Convención, en perjuicio </w:t>
      </w:r>
      <w:r w:rsidR="0083588D" w:rsidRPr="007A0D4C">
        <w:rPr>
          <w:rFonts w:ascii="Cambria" w:hAnsi="Cambria"/>
          <w:sz w:val="20"/>
          <w:szCs w:val="20"/>
          <w:lang w:val="es-VE"/>
        </w:rPr>
        <w:t xml:space="preserve">del </w:t>
      </w:r>
      <w:r w:rsidRPr="007A0D4C">
        <w:rPr>
          <w:rFonts w:ascii="Cambria" w:hAnsi="Cambria"/>
          <w:sz w:val="20"/>
          <w:szCs w:val="20"/>
          <w:lang w:val="es-VE"/>
        </w:rPr>
        <w:t>periodista</w:t>
      </w:r>
      <w:r w:rsidR="0083588D" w:rsidRPr="007A0D4C">
        <w:rPr>
          <w:rFonts w:ascii="Cambria" w:hAnsi="Cambria"/>
          <w:sz w:val="20"/>
          <w:szCs w:val="20"/>
          <w:lang w:val="es-VE"/>
        </w:rPr>
        <w:t xml:space="preserve"> y su familia</w:t>
      </w:r>
      <w:r w:rsidRPr="007A0D4C">
        <w:rPr>
          <w:rFonts w:ascii="Cambria" w:hAnsi="Cambria"/>
          <w:sz w:val="20"/>
          <w:szCs w:val="20"/>
          <w:lang w:val="es-VE"/>
        </w:rPr>
        <w:t>.</w:t>
      </w:r>
    </w:p>
    <w:p w14:paraId="28624D8B" w14:textId="77777777" w:rsidR="00F54DD1" w:rsidRPr="007A0D4C" w:rsidRDefault="00F54DD1"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1B3C7BD9" w14:textId="77777777" w:rsidR="0098300E" w:rsidRPr="007A0D4C" w:rsidRDefault="00C024AD" w:rsidP="007A0D4C">
      <w:pPr>
        <w:pStyle w:val="Heading2"/>
        <w:spacing w:before="0" w:after="0"/>
        <w:ind w:left="0" w:firstLine="0"/>
        <w:jc w:val="both"/>
      </w:pPr>
      <w:bookmarkStart w:id="14" w:name="_Toc47965319"/>
      <w:r w:rsidRPr="007A0D4C">
        <w:t>Estado</w:t>
      </w:r>
      <w:bookmarkEnd w:id="11"/>
      <w:bookmarkEnd w:id="12"/>
      <w:bookmarkEnd w:id="13"/>
      <w:bookmarkEnd w:id="14"/>
    </w:p>
    <w:p w14:paraId="03B7FC50" w14:textId="3790FD46" w:rsidR="00620F66" w:rsidRPr="007A0D4C" w:rsidRDefault="00620F66"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highlight w:val="yellow"/>
          <w:lang w:val="es-VE"/>
        </w:rPr>
      </w:pPr>
    </w:p>
    <w:p w14:paraId="12092EC5" w14:textId="77777777" w:rsidR="00620F66" w:rsidRPr="000D369F" w:rsidRDefault="00620F66"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AR"/>
        </w:rPr>
      </w:pPr>
      <w:r w:rsidRPr="000D369F">
        <w:rPr>
          <w:rFonts w:ascii="Cambria" w:hAnsi="Cambria"/>
          <w:sz w:val="20"/>
          <w:szCs w:val="20"/>
          <w:lang w:val="es-AR"/>
        </w:rPr>
        <w:t>El Estado no presentó observaciones en esta etapa, por lo que la presente sección se basa en los argumentos de fondo esgrimidos durante la etapa de admisibilidad.</w:t>
      </w:r>
    </w:p>
    <w:p w14:paraId="7F0541CA" w14:textId="77777777" w:rsidR="005F0B97" w:rsidRPr="007A0D4C" w:rsidRDefault="005F0B97" w:rsidP="007A0D4C">
      <w:pPr>
        <w:pStyle w:val="ListParagraph"/>
        <w:spacing w:before="0" w:after="0"/>
        <w:rPr>
          <w:sz w:val="20"/>
          <w:szCs w:val="20"/>
          <w:lang w:val="es-VE"/>
        </w:rPr>
      </w:pPr>
    </w:p>
    <w:p w14:paraId="35C78C1F" w14:textId="144445F6" w:rsidR="005F0B97" w:rsidRPr="007A0D4C" w:rsidRDefault="005F0B97"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7A0D4C">
        <w:rPr>
          <w:rFonts w:ascii="Cambria" w:hAnsi="Cambria"/>
          <w:sz w:val="20"/>
          <w:szCs w:val="20"/>
          <w:lang w:val="es-VE"/>
        </w:rPr>
        <w:t>El Estado señal</w:t>
      </w:r>
      <w:r w:rsidR="00CE51A4" w:rsidRPr="007A0D4C">
        <w:rPr>
          <w:rFonts w:ascii="Cambria" w:hAnsi="Cambria"/>
          <w:sz w:val="20"/>
          <w:szCs w:val="20"/>
          <w:lang w:val="es-VE"/>
        </w:rPr>
        <w:t>a</w:t>
      </w:r>
      <w:r w:rsidRPr="007A0D4C">
        <w:rPr>
          <w:rFonts w:ascii="Cambria" w:hAnsi="Cambria"/>
          <w:sz w:val="20"/>
          <w:szCs w:val="20"/>
          <w:lang w:val="es-VE"/>
        </w:rPr>
        <w:t xml:space="preserve"> que “de las constancias del expediente judicial, </w:t>
      </w:r>
      <w:r w:rsidR="00AE4690" w:rsidRPr="007A0D4C">
        <w:rPr>
          <w:rFonts w:ascii="Cambria" w:hAnsi="Cambria"/>
          <w:sz w:val="20"/>
          <w:szCs w:val="20"/>
          <w:lang w:val="es-PE"/>
        </w:rPr>
        <w:t>[el]</w:t>
      </w:r>
      <w:r w:rsidRPr="007A0D4C">
        <w:rPr>
          <w:rFonts w:ascii="Cambria" w:hAnsi="Cambria"/>
          <w:sz w:val="20"/>
          <w:szCs w:val="20"/>
          <w:lang w:val="es-VE"/>
        </w:rPr>
        <w:t xml:space="preserve"> 26 de abril de 1991 el periodista SANTIAGO LEGUIZAMON fue víctima de un hecho punible de homicidio doloso, ocurrido en la vía pública de la ciudad de Pedro Juan Caballero, recibiendo un total de 22 proyectiles. Inmediatamente de ocurrido el hecho el Juez y el Agente Fiscal de Turno se constituyeron en el lugar, y </w:t>
      </w:r>
      <w:r w:rsidR="0010030B" w:rsidRPr="007A0D4C">
        <w:rPr>
          <w:rFonts w:ascii="Cambria" w:hAnsi="Cambria"/>
          <w:sz w:val="20"/>
          <w:szCs w:val="20"/>
          <w:lang w:val="es-VE"/>
        </w:rPr>
        <w:t xml:space="preserve">[…] [el] </w:t>
      </w:r>
      <w:r w:rsidRPr="007A0D4C">
        <w:rPr>
          <w:rFonts w:ascii="Cambria" w:hAnsi="Cambria"/>
          <w:sz w:val="20"/>
          <w:szCs w:val="20"/>
          <w:lang w:val="es-VE"/>
        </w:rPr>
        <w:t>26 de abril de 1991, el Juzgado instruyó el sumario en averiguación del hecho y la determinación de su autor o autores, cómplices y encubridores”. Agreg</w:t>
      </w:r>
      <w:r w:rsidR="00CE51A4" w:rsidRPr="007A0D4C">
        <w:rPr>
          <w:rFonts w:ascii="Cambria" w:hAnsi="Cambria"/>
          <w:sz w:val="20"/>
          <w:szCs w:val="20"/>
          <w:lang w:val="es-VE"/>
        </w:rPr>
        <w:t>a</w:t>
      </w:r>
      <w:r w:rsidRPr="007A0D4C">
        <w:rPr>
          <w:rFonts w:ascii="Cambria" w:hAnsi="Cambria"/>
          <w:sz w:val="20"/>
          <w:szCs w:val="20"/>
          <w:lang w:val="es-VE"/>
        </w:rPr>
        <w:t xml:space="preserve"> que la causa judicial fue asignada al Juzgado en lo Penal de Liquidación y Sentencia No. 3 de la </w:t>
      </w:r>
      <w:r w:rsidR="00A45D97">
        <w:rPr>
          <w:rFonts w:ascii="Cambria" w:hAnsi="Cambria"/>
          <w:sz w:val="20"/>
          <w:szCs w:val="20"/>
          <w:lang w:val="es-VE"/>
        </w:rPr>
        <w:t>c</w:t>
      </w:r>
      <w:r w:rsidRPr="007A0D4C">
        <w:rPr>
          <w:rFonts w:ascii="Cambria" w:hAnsi="Cambria"/>
          <w:sz w:val="20"/>
          <w:szCs w:val="20"/>
          <w:lang w:val="es-VE"/>
        </w:rPr>
        <w:t xml:space="preserve">ircunscripción </w:t>
      </w:r>
      <w:r w:rsidR="00A45D97">
        <w:rPr>
          <w:rFonts w:ascii="Cambria" w:hAnsi="Cambria"/>
          <w:sz w:val="20"/>
          <w:szCs w:val="20"/>
          <w:lang w:val="es-VE"/>
        </w:rPr>
        <w:t>j</w:t>
      </w:r>
      <w:r w:rsidRPr="007A0D4C">
        <w:rPr>
          <w:rFonts w:ascii="Cambria" w:hAnsi="Cambria"/>
          <w:sz w:val="20"/>
          <w:szCs w:val="20"/>
          <w:lang w:val="es-VE"/>
        </w:rPr>
        <w:t>udicial de</w:t>
      </w:r>
      <w:r w:rsidR="00E43350">
        <w:rPr>
          <w:rFonts w:ascii="Cambria" w:hAnsi="Cambria"/>
          <w:sz w:val="20"/>
          <w:szCs w:val="20"/>
          <w:lang w:val="es-VE"/>
        </w:rPr>
        <w:t>l</w:t>
      </w:r>
      <w:r w:rsidRPr="007A0D4C">
        <w:rPr>
          <w:rFonts w:ascii="Cambria" w:hAnsi="Cambria"/>
          <w:sz w:val="20"/>
          <w:szCs w:val="20"/>
          <w:lang w:val="es-VE"/>
        </w:rPr>
        <w:t xml:space="preserve"> Amambay. El Estado explic</w:t>
      </w:r>
      <w:r w:rsidR="00CE51A4" w:rsidRPr="007A0D4C">
        <w:rPr>
          <w:rFonts w:ascii="Cambria" w:hAnsi="Cambria"/>
          <w:sz w:val="20"/>
          <w:szCs w:val="20"/>
          <w:lang w:val="es-VE"/>
        </w:rPr>
        <w:t>a</w:t>
      </w:r>
      <w:r w:rsidRPr="007A0D4C">
        <w:rPr>
          <w:rFonts w:ascii="Cambria" w:hAnsi="Cambria"/>
          <w:sz w:val="20"/>
          <w:szCs w:val="20"/>
          <w:lang w:val="es-VE"/>
        </w:rPr>
        <w:t xml:space="preserve"> que el proceso penal de este caso </w:t>
      </w:r>
      <w:r w:rsidR="00856925">
        <w:rPr>
          <w:rFonts w:ascii="Cambria" w:hAnsi="Cambria"/>
          <w:sz w:val="20"/>
          <w:szCs w:val="20"/>
          <w:lang w:val="es-VE"/>
        </w:rPr>
        <w:t>fue</w:t>
      </w:r>
      <w:r w:rsidRPr="007A0D4C">
        <w:rPr>
          <w:rFonts w:ascii="Cambria" w:hAnsi="Cambria"/>
          <w:sz w:val="20"/>
          <w:szCs w:val="20"/>
          <w:lang w:val="es-VE"/>
        </w:rPr>
        <w:t xml:space="preserve"> de tipo inquisitivo, de conformidad con el Código de Procedimientos Penales de 1890, vigente al momento de ocurrido</w:t>
      </w:r>
      <w:r w:rsidR="00860860">
        <w:rPr>
          <w:rFonts w:ascii="Cambria" w:hAnsi="Cambria"/>
          <w:sz w:val="20"/>
          <w:szCs w:val="20"/>
          <w:lang w:val="es-VE"/>
        </w:rPr>
        <w:t>s</w:t>
      </w:r>
      <w:r w:rsidRPr="007A0D4C">
        <w:rPr>
          <w:rFonts w:ascii="Cambria" w:hAnsi="Cambria"/>
          <w:sz w:val="20"/>
          <w:szCs w:val="20"/>
          <w:lang w:val="es-VE"/>
        </w:rPr>
        <w:t xml:space="preserve"> los hechos. </w:t>
      </w:r>
    </w:p>
    <w:p w14:paraId="128C5EB0" w14:textId="77777777" w:rsidR="005F0B97" w:rsidRPr="007A0D4C" w:rsidRDefault="005F0B97" w:rsidP="007A0D4C">
      <w:pPr>
        <w:pStyle w:val="ListParagraph"/>
        <w:spacing w:before="0" w:after="0"/>
        <w:rPr>
          <w:sz w:val="20"/>
          <w:szCs w:val="20"/>
          <w:lang w:val="es-VE"/>
        </w:rPr>
      </w:pPr>
    </w:p>
    <w:p w14:paraId="43575D33" w14:textId="1D6683B4" w:rsidR="005F0B97" w:rsidRPr="007A0D4C" w:rsidRDefault="005F0B97"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7A0D4C">
        <w:rPr>
          <w:rFonts w:ascii="Cambria" w:hAnsi="Cambria"/>
          <w:sz w:val="20"/>
          <w:szCs w:val="20"/>
          <w:lang w:val="es-VE"/>
        </w:rPr>
        <w:t>El Estado afirm</w:t>
      </w:r>
      <w:r w:rsidR="00CE51A4" w:rsidRPr="007A0D4C">
        <w:rPr>
          <w:rFonts w:ascii="Cambria" w:hAnsi="Cambria"/>
          <w:sz w:val="20"/>
          <w:szCs w:val="20"/>
          <w:lang w:val="es-VE"/>
        </w:rPr>
        <w:t>a</w:t>
      </w:r>
      <w:r w:rsidRPr="007A0D4C">
        <w:rPr>
          <w:rFonts w:ascii="Cambria" w:hAnsi="Cambria"/>
          <w:sz w:val="20"/>
          <w:szCs w:val="20"/>
          <w:lang w:val="es-VE"/>
        </w:rPr>
        <w:t xml:space="preserve"> que a través de una providencia de 18 febrero de 1992 el juez amplió el sumario e incluyó como sospechosos a catorce personas, todas ellas de nacionalidad brasileña. Inform</w:t>
      </w:r>
      <w:r w:rsidR="00A64BCC" w:rsidRPr="007A0D4C">
        <w:rPr>
          <w:rFonts w:ascii="Cambria" w:hAnsi="Cambria"/>
          <w:sz w:val="20"/>
          <w:szCs w:val="20"/>
          <w:lang w:val="es-VE"/>
        </w:rPr>
        <w:t>a</w:t>
      </w:r>
      <w:r w:rsidRPr="007A0D4C">
        <w:rPr>
          <w:rFonts w:ascii="Cambria" w:hAnsi="Cambria"/>
          <w:sz w:val="20"/>
          <w:szCs w:val="20"/>
          <w:lang w:val="es-VE"/>
        </w:rPr>
        <w:t xml:space="preserve"> que el Juzgado dictó auto formal de prisión el 29 de abril de 1992, con fines de extradición desde Brasil, en caso de que allí estuviesen. Indic</w:t>
      </w:r>
      <w:r w:rsidR="00A64BCC" w:rsidRPr="007A0D4C">
        <w:rPr>
          <w:rFonts w:ascii="Cambria" w:hAnsi="Cambria"/>
          <w:sz w:val="20"/>
          <w:szCs w:val="20"/>
          <w:lang w:val="es-VE"/>
        </w:rPr>
        <w:t>a</w:t>
      </w:r>
      <w:r w:rsidRPr="007A0D4C">
        <w:rPr>
          <w:rFonts w:ascii="Cambria" w:hAnsi="Cambria"/>
          <w:sz w:val="20"/>
          <w:szCs w:val="20"/>
          <w:lang w:val="es-VE"/>
        </w:rPr>
        <w:t xml:space="preserve"> que el 21 de septiembre de 1992, el Juzgado declaró rebelde y contumaz a todos los indiciados. </w:t>
      </w:r>
      <w:r w:rsidR="00A64BCC" w:rsidRPr="007A0D4C">
        <w:rPr>
          <w:rFonts w:ascii="Cambria" w:hAnsi="Cambria"/>
          <w:sz w:val="20"/>
          <w:szCs w:val="20"/>
          <w:lang w:val="es-VE"/>
        </w:rPr>
        <w:t>El Estado también señala</w:t>
      </w:r>
      <w:r w:rsidRPr="007A0D4C">
        <w:rPr>
          <w:rFonts w:ascii="Cambria" w:hAnsi="Cambria"/>
          <w:sz w:val="20"/>
          <w:szCs w:val="20"/>
          <w:lang w:val="es-VE"/>
        </w:rPr>
        <w:t xml:space="preserve"> que el 26 de septiembre de 1997, el Juzgado amplió sumario en contra de una persona de nacionalidad brasileña y ordenó su detención preventiva. </w:t>
      </w:r>
    </w:p>
    <w:p w14:paraId="0AA82030" w14:textId="77777777" w:rsidR="005F0B97" w:rsidRPr="007A0D4C" w:rsidRDefault="005F0B97" w:rsidP="007A0D4C">
      <w:pPr>
        <w:pStyle w:val="ListParagraph"/>
        <w:spacing w:before="0" w:after="0"/>
        <w:rPr>
          <w:sz w:val="20"/>
          <w:szCs w:val="20"/>
          <w:lang w:val="es-VE"/>
        </w:rPr>
      </w:pPr>
    </w:p>
    <w:p w14:paraId="099F4280" w14:textId="29FA52FF" w:rsidR="005F0B97" w:rsidRPr="007A0D4C" w:rsidRDefault="005F0B97"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7A0D4C">
        <w:rPr>
          <w:rFonts w:ascii="Cambria" w:hAnsi="Cambria"/>
          <w:sz w:val="20"/>
          <w:szCs w:val="20"/>
          <w:lang w:val="es-VE"/>
        </w:rPr>
        <w:t>El Estado explic</w:t>
      </w:r>
      <w:r w:rsidR="007B695D" w:rsidRPr="007A0D4C">
        <w:rPr>
          <w:rFonts w:ascii="Cambria" w:hAnsi="Cambria"/>
          <w:sz w:val="20"/>
          <w:szCs w:val="20"/>
          <w:lang w:val="es-VE"/>
        </w:rPr>
        <w:t>a</w:t>
      </w:r>
      <w:r w:rsidRPr="007A0D4C">
        <w:rPr>
          <w:rFonts w:ascii="Cambria" w:hAnsi="Cambria"/>
          <w:sz w:val="20"/>
          <w:szCs w:val="20"/>
          <w:lang w:val="es-VE"/>
        </w:rPr>
        <w:t xml:space="preserve"> que el 8 de abril de 1998 volvió a ampliarse el sumario incluyéndose a un individuo paraguayo, como uno de los autores intelectuales del hecho, sin embargo, el 14 de mayo de 1999 el Juez de la causa resolvió sobreseer provisionalmente la investigación respecto de esta persona “al no haberse podido demostrar su participación”. </w:t>
      </w:r>
    </w:p>
    <w:p w14:paraId="2A3C597B" w14:textId="77777777" w:rsidR="005F0B97" w:rsidRPr="007A0D4C" w:rsidRDefault="005F0B97" w:rsidP="007A0D4C">
      <w:pPr>
        <w:pStyle w:val="ListParagraph"/>
        <w:spacing w:before="0" w:after="0"/>
        <w:rPr>
          <w:sz w:val="20"/>
          <w:szCs w:val="20"/>
          <w:lang w:val="es-VE"/>
        </w:rPr>
      </w:pPr>
    </w:p>
    <w:p w14:paraId="5A24B341" w14:textId="302220EA" w:rsidR="005F0B97" w:rsidRPr="007A0D4C" w:rsidRDefault="005F0B97"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7A0D4C">
        <w:rPr>
          <w:rFonts w:ascii="Cambria" w:hAnsi="Cambria"/>
          <w:sz w:val="20"/>
          <w:szCs w:val="20"/>
          <w:lang w:val="es-VE"/>
        </w:rPr>
        <w:lastRenderedPageBreak/>
        <w:t>El Estado inform</w:t>
      </w:r>
      <w:r w:rsidR="007B695D" w:rsidRPr="007A0D4C">
        <w:rPr>
          <w:rFonts w:ascii="Cambria" w:hAnsi="Cambria"/>
          <w:sz w:val="20"/>
          <w:szCs w:val="20"/>
          <w:lang w:val="es-VE"/>
        </w:rPr>
        <w:t>a</w:t>
      </w:r>
      <w:r w:rsidRPr="007A0D4C">
        <w:rPr>
          <w:rFonts w:ascii="Cambria" w:hAnsi="Cambria"/>
          <w:sz w:val="20"/>
          <w:szCs w:val="20"/>
          <w:lang w:val="es-VE"/>
        </w:rPr>
        <w:t xml:space="preserve"> que </w:t>
      </w:r>
      <w:r w:rsidR="00C757B6" w:rsidRPr="007A0D4C">
        <w:rPr>
          <w:rFonts w:ascii="Cambria" w:hAnsi="Cambria"/>
          <w:sz w:val="20"/>
          <w:szCs w:val="20"/>
          <w:lang w:val="es-VE"/>
        </w:rPr>
        <w:t>cinco</w:t>
      </w:r>
      <w:r w:rsidRPr="007A0D4C">
        <w:rPr>
          <w:rFonts w:ascii="Cambria" w:hAnsi="Cambria"/>
          <w:sz w:val="20"/>
          <w:szCs w:val="20"/>
          <w:lang w:val="es-VE"/>
        </w:rPr>
        <w:t xml:space="preserve"> de los imputados habrían sido asesinados en otros hechos de violencia, por lo que se declaró la extinción de la causa penal respecto de ellos. El Estado también </w:t>
      </w:r>
      <w:r w:rsidR="003837C3" w:rsidRPr="007A0D4C">
        <w:rPr>
          <w:rFonts w:ascii="Cambria" w:hAnsi="Cambria"/>
          <w:sz w:val="20"/>
          <w:szCs w:val="20"/>
          <w:lang w:val="es-VE"/>
        </w:rPr>
        <w:t>alega</w:t>
      </w:r>
      <w:r w:rsidRPr="007A0D4C">
        <w:rPr>
          <w:rFonts w:ascii="Cambria" w:hAnsi="Cambria"/>
          <w:sz w:val="20"/>
          <w:szCs w:val="20"/>
          <w:lang w:val="es-VE"/>
        </w:rPr>
        <w:t xml:space="preserve"> que el 20 de febrero de 2002 ordenó remitir las compulsas del expediente al Fiscal General del Estado para que sean enviadas a Brasil, con el objeto de que la causa </w:t>
      </w:r>
      <w:r w:rsidR="00860860">
        <w:rPr>
          <w:rFonts w:ascii="Cambria" w:hAnsi="Cambria"/>
          <w:sz w:val="20"/>
          <w:szCs w:val="20"/>
          <w:lang w:val="es-VE"/>
        </w:rPr>
        <w:t xml:space="preserve">se </w:t>
      </w:r>
      <w:r w:rsidRPr="007A0D4C">
        <w:rPr>
          <w:rFonts w:ascii="Cambria" w:hAnsi="Cambria"/>
          <w:sz w:val="20"/>
          <w:szCs w:val="20"/>
          <w:lang w:val="es-VE"/>
        </w:rPr>
        <w:t>tramit</w:t>
      </w:r>
      <w:r w:rsidR="00860860">
        <w:rPr>
          <w:rFonts w:ascii="Cambria" w:hAnsi="Cambria"/>
          <w:sz w:val="20"/>
          <w:szCs w:val="20"/>
          <w:lang w:val="es-VE"/>
        </w:rPr>
        <w:t>ara</w:t>
      </w:r>
      <w:r w:rsidRPr="007A0D4C">
        <w:rPr>
          <w:rFonts w:ascii="Cambria" w:hAnsi="Cambria"/>
          <w:sz w:val="20"/>
          <w:szCs w:val="20"/>
          <w:lang w:val="es-VE"/>
        </w:rPr>
        <w:t xml:space="preserve"> allí ya que, argumenta el Estado, Brasil prohíbe la extradición de sus ciudadanos. Señal</w:t>
      </w:r>
      <w:r w:rsidR="00B64C57" w:rsidRPr="007A0D4C">
        <w:rPr>
          <w:rFonts w:ascii="Cambria" w:hAnsi="Cambria"/>
          <w:sz w:val="20"/>
          <w:szCs w:val="20"/>
          <w:lang w:val="es-VE"/>
        </w:rPr>
        <w:t>a</w:t>
      </w:r>
      <w:r w:rsidRPr="007A0D4C">
        <w:rPr>
          <w:rFonts w:ascii="Cambria" w:hAnsi="Cambria"/>
          <w:sz w:val="20"/>
          <w:szCs w:val="20"/>
          <w:lang w:val="es-VE"/>
        </w:rPr>
        <w:t xml:space="preserve"> que en julio de 2006 el Juzgado remitió al Ministerio Público copias autenticadas de los 17 tomos de la causa</w:t>
      </w:r>
      <w:r w:rsidR="00860860">
        <w:rPr>
          <w:rFonts w:ascii="Cambria" w:hAnsi="Cambria"/>
          <w:sz w:val="20"/>
          <w:szCs w:val="20"/>
          <w:lang w:val="es-VE"/>
        </w:rPr>
        <w:t>. Este último</w:t>
      </w:r>
      <w:r w:rsidRPr="007A0D4C">
        <w:rPr>
          <w:rFonts w:ascii="Cambria" w:hAnsi="Cambria"/>
          <w:sz w:val="20"/>
          <w:szCs w:val="20"/>
          <w:lang w:val="es-VE"/>
        </w:rPr>
        <w:t xml:space="preserve"> los envió al Ministerio de Relaciones Exteriores de Paraguay para </w:t>
      </w:r>
      <w:r w:rsidR="00860860">
        <w:rPr>
          <w:rFonts w:ascii="Cambria" w:hAnsi="Cambria"/>
          <w:sz w:val="20"/>
          <w:szCs w:val="20"/>
          <w:lang w:val="es-VE"/>
        </w:rPr>
        <w:t xml:space="preserve">su correspondiente remisión </w:t>
      </w:r>
      <w:r w:rsidRPr="007A0D4C">
        <w:rPr>
          <w:rFonts w:ascii="Cambria" w:hAnsi="Cambria"/>
          <w:sz w:val="20"/>
          <w:szCs w:val="20"/>
          <w:lang w:val="es-VE"/>
        </w:rPr>
        <w:t>al [M]inisterio [P]úblico de Brasil. El Estado inform</w:t>
      </w:r>
      <w:r w:rsidR="00B64C57" w:rsidRPr="007A0D4C">
        <w:rPr>
          <w:rFonts w:ascii="Cambria" w:hAnsi="Cambria"/>
          <w:sz w:val="20"/>
          <w:szCs w:val="20"/>
          <w:lang w:val="es-VE"/>
        </w:rPr>
        <w:t>a</w:t>
      </w:r>
      <w:r w:rsidRPr="007A0D4C">
        <w:rPr>
          <w:rFonts w:ascii="Cambria" w:hAnsi="Cambria"/>
          <w:sz w:val="20"/>
          <w:szCs w:val="20"/>
          <w:lang w:val="es-VE"/>
        </w:rPr>
        <w:t xml:space="preserve"> que problemas con las traducciones generaron la devolución de la documentación, </w:t>
      </w:r>
      <w:r w:rsidR="00860860">
        <w:rPr>
          <w:rFonts w:ascii="Cambria" w:hAnsi="Cambria"/>
          <w:sz w:val="20"/>
          <w:szCs w:val="20"/>
          <w:lang w:val="es-VE"/>
        </w:rPr>
        <w:t>la cual fue re</w:t>
      </w:r>
      <w:r w:rsidRPr="007A0D4C">
        <w:rPr>
          <w:rFonts w:ascii="Cambria" w:hAnsi="Cambria"/>
          <w:sz w:val="20"/>
          <w:szCs w:val="20"/>
          <w:lang w:val="es-VE"/>
        </w:rPr>
        <w:t>envia</w:t>
      </w:r>
      <w:r w:rsidR="00860860">
        <w:rPr>
          <w:rFonts w:ascii="Cambria" w:hAnsi="Cambria"/>
          <w:sz w:val="20"/>
          <w:szCs w:val="20"/>
          <w:lang w:val="es-VE"/>
        </w:rPr>
        <w:t>da</w:t>
      </w:r>
      <w:r w:rsidRPr="007A0D4C">
        <w:rPr>
          <w:rFonts w:ascii="Cambria" w:hAnsi="Cambria"/>
          <w:sz w:val="20"/>
          <w:szCs w:val="20"/>
          <w:lang w:val="es-VE"/>
        </w:rPr>
        <w:t xml:space="preserve"> el 27 de febrero de 2009. Según el Estado, “la Cancillería brasileña acuso recibo de la nota con sus antecedentes y confirmó su remisión al Ministerio de Justicia para las providencias que sean necesarias”.</w:t>
      </w:r>
      <w:r w:rsidR="00AE194B" w:rsidRPr="007A0D4C">
        <w:rPr>
          <w:rFonts w:ascii="Cambria" w:hAnsi="Cambria"/>
          <w:sz w:val="20"/>
          <w:szCs w:val="20"/>
          <w:lang w:val="es-VE"/>
        </w:rPr>
        <w:t xml:space="preserve"> </w:t>
      </w:r>
      <w:r w:rsidRPr="007A0D4C">
        <w:rPr>
          <w:rFonts w:ascii="Cambria" w:hAnsi="Cambria"/>
          <w:sz w:val="20"/>
          <w:szCs w:val="20"/>
          <w:lang w:val="es-VE"/>
        </w:rPr>
        <w:t>Sobre la base de lo anterior, el Estado indic</w:t>
      </w:r>
      <w:r w:rsidR="00AE194B" w:rsidRPr="007A0D4C">
        <w:rPr>
          <w:rFonts w:ascii="Cambria" w:hAnsi="Cambria"/>
          <w:sz w:val="20"/>
          <w:szCs w:val="20"/>
          <w:lang w:val="es-VE"/>
        </w:rPr>
        <w:t>a</w:t>
      </w:r>
      <w:r w:rsidRPr="007A0D4C">
        <w:rPr>
          <w:rFonts w:ascii="Cambria" w:hAnsi="Cambria"/>
          <w:sz w:val="20"/>
          <w:szCs w:val="20"/>
          <w:lang w:val="es-VE"/>
        </w:rPr>
        <w:t xml:space="preserve"> que “existe un pedido formal del Estado paraguayo para que los ciudadanos brasileños involucrados en la causa sean investigados en su país de origen”.</w:t>
      </w:r>
    </w:p>
    <w:p w14:paraId="429FE82D" w14:textId="77777777" w:rsidR="005F0B97" w:rsidRPr="007A0D4C" w:rsidRDefault="005F0B97" w:rsidP="007A0D4C">
      <w:pPr>
        <w:pStyle w:val="ListParagraph"/>
        <w:spacing w:before="0" w:after="0"/>
        <w:rPr>
          <w:sz w:val="20"/>
          <w:szCs w:val="20"/>
          <w:lang w:val="es-VE"/>
        </w:rPr>
      </w:pPr>
    </w:p>
    <w:p w14:paraId="4CFDB574" w14:textId="3430BA12" w:rsidR="005F0B97" w:rsidRPr="007A0D4C" w:rsidRDefault="005F0B97"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7A0D4C">
        <w:rPr>
          <w:rFonts w:ascii="Cambria" w:hAnsi="Cambria"/>
          <w:sz w:val="20"/>
          <w:szCs w:val="20"/>
          <w:lang w:val="es-VE"/>
        </w:rPr>
        <w:t>El Estado, asimismo, sost</w:t>
      </w:r>
      <w:r w:rsidR="00AE194B" w:rsidRPr="007A0D4C">
        <w:rPr>
          <w:rFonts w:ascii="Cambria" w:hAnsi="Cambria"/>
          <w:sz w:val="20"/>
          <w:szCs w:val="20"/>
          <w:lang w:val="es-VE"/>
        </w:rPr>
        <w:t>iene</w:t>
      </w:r>
      <w:r w:rsidRPr="007A0D4C">
        <w:rPr>
          <w:rFonts w:ascii="Cambria" w:hAnsi="Cambria"/>
          <w:sz w:val="20"/>
          <w:szCs w:val="20"/>
          <w:lang w:val="es-VE"/>
        </w:rPr>
        <w:t xml:space="preserve"> que </w:t>
      </w:r>
      <w:r w:rsidR="006629FC" w:rsidRPr="007A0D4C">
        <w:rPr>
          <w:rFonts w:ascii="Cambria" w:hAnsi="Cambria"/>
          <w:sz w:val="20"/>
          <w:szCs w:val="20"/>
          <w:lang w:val="es-VE"/>
        </w:rPr>
        <w:t>no es responsable por las</w:t>
      </w:r>
      <w:r w:rsidRPr="007A0D4C">
        <w:rPr>
          <w:rFonts w:ascii="Cambria" w:hAnsi="Cambria"/>
          <w:sz w:val="20"/>
          <w:szCs w:val="20"/>
          <w:lang w:val="es-VE"/>
        </w:rPr>
        <w:t xml:space="preserve"> violaciones </w:t>
      </w:r>
      <w:r w:rsidR="006629FC" w:rsidRPr="007A0D4C">
        <w:rPr>
          <w:rFonts w:ascii="Cambria" w:hAnsi="Cambria"/>
          <w:sz w:val="20"/>
          <w:szCs w:val="20"/>
          <w:lang w:val="es-VE"/>
        </w:rPr>
        <w:t xml:space="preserve">de </w:t>
      </w:r>
      <w:r w:rsidRPr="007A0D4C">
        <w:rPr>
          <w:rFonts w:ascii="Cambria" w:hAnsi="Cambria"/>
          <w:sz w:val="20"/>
          <w:szCs w:val="20"/>
          <w:lang w:val="es-VE"/>
        </w:rPr>
        <w:t xml:space="preserve">los derechos consagrados en la Convención Americana sobre Derechos Humanos, dado que: a) ningún agente del Estado se encuentra acusado de estar involucrado en la muerte del periodista; b) el Estado no realizó acciones para impedir la labor del periodista, y c) el Estado </w:t>
      </w:r>
      <w:r w:rsidR="00C27BB5" w:rsidRPr="007A0D4C">
        <w:rPr>
          <w:rFonts w:ascii="Cambria" w:hAnsi="Cambria"/>
          <w:sz w:val="20"/>
          <w:szCs w:val="20"/>
          <w:lang w:val="es-VE"/>
        </w:rPr>
        <w:t>inve</w:t>
      </w:r>
      <w:r w:rsidR="000E3A40">
        <w:rPr>
          <w:rFonts w:ascii="Cambria" w:hAnsi="Cambria"/>
          <w:sz w:val="20"/>
          <w:szCs w:val="20"/>
          <w:lang w:val="es-VE"/>
        </w:rPr>
        <w:t>s</w:t>
      </w:r>
      <w:r w:rsidR="00C27BB5" w:rsidRPr="007A0D4C">
        <w:rPr>
          <w:rFonts w:ascii="Cambria" w:hAnsi="Cambria"/>
          <w:sz w:val="20"/>
          <w:szCs w:val="20"/>
          <w:lang w:val="es-VE"/>
        </w:rPr>
        <w:t>tigó</w:t>
      </w:r>
      <w:r w:rsidRPr="007A0D4C">
        <w:rPr>
          <w:rFonts w:ascii="Cambria" w:hAnsi="Cambria"/>
          <w:sz w:val="20"/>
          <w:szCs w:val="20"/>
          <w:lang w:val="es-VE"/>
        </w:rPr>
        <w:t xml:space="preserve"> el homicidio de oficio y proces</w:t>
      </w:r>
      <w:r w:rsidR="00C27BB5" w:rsidRPr="007A0D4C">
        <w:rPr>
          <w:rFonts w:ascii="Cambria" w:hAnsi="Cambria"/>
          <w:sz w:val="20"/>
          <w:szCs w:val="20"/>
          <w:lang w:val="es-VE"/>
        </w:rPr>
        <w:t xml:space="preserve">ó </w:t>
      </w:r>
      <w:r w:rsidRPr="007A0D4C">
        <w:rPr>
          <w:rFonts w:ascii="Cambria" w:hAnsi="Cambria"/>
          <w:sz w:val="20"/>
          <w:szCs w:val="20"/>
          <w:lang w:val="es-VE"/>
        </w:rPr>
        <w:t xml:space="preserve">a los sospechosos, hasta los límites de su jurisdicción. </w:t>
      </w:r>
      <w:r w:rsidR="00E73466" w:rsidRPr="007A0D4C">
        <w:rPr>
          <w:rFonts w:ascii="Cambria" w:hAnsi="Cambria"/>
          <w:sz w:val="20"/>
          <w:szCs w:val="20"/>
          <w:lang w:val="es-VE"/>
        </w:rPr>
        <w:t>Alega que</w:t>
      </w:r>
      <w:r w:rsidR="00C27BB5" w:rsidRPr="007A0D4C">
        <w:rPr>
          <w:rFonts w:ascii="Cambria" w:hAnsi="Cambria"/>
          <w:sz w:val="20"/>
          <w:szCs w:val="20"/>
          <w:lang w:val="es-VE"/>
        </w:rPr>
        <w:t>,</w:t>
      </w:r>
      <w:r w:rsidR="00E73466" w:rsidRPr="007A0D4C">
        <w:rPr>
          <w:rFonts w:ascii="Cambria" w:hAnsi="Cambria"/>
          <w:sz w:val="20"/>
          <w:szCs w:val="20"/>
          <w:lang w:val="es-VE"/>
        </w:rPr>
        <w:t xml:space="preserve"> </w:t>
      </w:r>
      <w:r w:rsidR="00DB1E46" w:rsidRPr="007A0D4C">
        <w:rPr>
          <w:rFonts w:ascii="Cambria" w:hAnsi="Cambria"/>
          <w:sz w:val="20"/>
          <w:szCs w:val="20"/>
          <w:lang w:val="es-VE"/>
        </w:rPr>
        <w:t>ante la imposibilidad material de continuar las investigaciones y la causa en la jurisdicción local</w:t>
      </w:r>
      <w:r w:rsidR="00F424B4" w:rsidRPr="007A0D4C">
        <w:rPr>
          <w:rFonts w:ascii="Cambria" w:hAnsi="Cambria"/>
          <w:sz w:val="20"/>
          <w:szCs w:val="20"/>
          <w:lang w:val="es-VE"/>
        </w:rPr>
        <w:t xml:space="preserve"> para los indiciados extranjeros, se remitió el caso a Brasil, con el objetivo de evitar la impunidad</w:t>
      </w:r>
      <w:r w:rsidR="00D0349D" w:rsidRPr="007A0D4C">
        <w:rPr>
          <w:rFonts w:ascii="Cambria" w:hAnsi="Cambria"/>
          <w:sz w:val="20"/>
          <w:szCs w:val="20"/>
          <w:lang w:val="es-VE"/>
        </w:rPr>
        <w:t xml:space="preserve"> del crimen.</w:t>
      </w:r>
    </w:p>
    <w:p w14:paraId="0650AF30" w14:textId="77777777" w:rsidR="005F0B97" w:rsidRPr="007A0D4C" w:rsidRDefault="005F0B97" w:rsidP="007A0D4C">
      <w:pPr>
        <w:pStyle w:val="ListParagraph"/>
        <w:spacing w:before="0" w:after="0"/>
        <w:rPr>
          <w:sz w:val="20"/>
          <w:szCs w:val="20"/>
          <w:lang w:val="es-VE"/>
        </w:rPr>
      </w:pPr>
    </w:p>
    <w:p w14:paraId="0E69B791" w14:textId="7191DCF9" w:rsidR="005F0B97" w:rsidRPr="007A0D4C" w:rsidRDefault="005F0B97"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7A0D4C">
        <w:rPr>
          <w:rFonts w:ascii="Cambria" w:hAnsi="Cambria"/>
          <w:sz w:val="20"/>
          <w:szCs w:val="20"/>
          <w:lang w:val="es-VE"/>
        </w:rPr>
        <w:t xml:space="preserve">Finalmente, el Estado </w:t>
      </w:r>
      <w:r w:rsidR="00D0349D" w:rsidRPr="007A0D4C">
        <w:rPr>
          <w:rFonts w:ascii="Cambria" w:hAnsi="Cambria"/>
          <w:sz w:val="20"/>
          <w:szCs w:val="20"/>
          <w:lang w:val="es-VE"/>
        </w:rPr>
        <w:t>señala</w:t>
      </w:r>
      <w:r w:rsidRPr="007A0D4C">
        <w:rPr>
          <w:rFonts w:ascii="Cambria" w:hAnsi="Cambria"/>
          <w:sz w:val="20"/>
          <w:szCs w:val="20"/>
          <w:lang w:val="es-VE"/>
        </w:rPr>
        <w:t xml:space="preserve"> que “a pesar de que el crimen del periodista Santiago Leguizamón fue cometido en territorio de Paraguay, el lugar exacto es en una zona fronteriza seca, de tránsito libre entre l</w:t>
      </w:r>
      <w:r w:rsidR="007D0C72" w:rsidRPr="007A0D4C">
        <w:rPr>
          <w:rFonts w:ascii="Cambria" w:hAnsi="Cambria"/>
          <w:sz w:val="20"/>
          <w:szCs w:val="20"/>
          <w:lang w:val="es-VE"/>
        </w:rPr>
        <w:t>a</w:t>
      </w:r>
      <w:r w:rsidRPr="007A0D4C">
        <w:rPr>
          <w:rFonts w:ascii="Cambria" w:hAnsi="Cambria"/>
          <w:sz w:val="20"/>
          <w:szCs w:val="20"/>
          <w:lang w:val="es-VE"/>
        </w:rPr>
        <w:t xml:space="preserve">s ciudades paraguaya de Pedro Juan Caballero y brasileña de </w:t>
      </w:r>
      <w:r w:rsidR="00A910B8">
        <w:rPr>
          <w:rFonts w:ascii="Cambria" w:hAnsi="Cambria"/>
          <w:sz w:val="20"/>
          <w:szCs w:val="20"/>
          <w:lang w:val="es-VE"/>
        </w:rPr>
        <w:t>Ponta Porã</w:t>
      </w:r>
      <w:r w:rsidRPr="007A0D4C">
        <w:rPr>
          <w:rFonts w:ascii="Cambria" w:hAnsi="Cambria"/>
          <w:sz w:val="20"/>
          <w:szCs w:val="20"/>
          <w:lang w:val="es-VE"/>
        </w:rPr>
        <w:t xml:space="preserve">”. El Estado </w:t>
      </w:r>
      <w:r w:rsidR="00D0349D" w:rsidRPr="007A0D4C">
        <w:rPr>
          <w:rFonts w:ascii="Cambria" w:hAnsi="Cambria"/>
          <w:sz w:val="20"/>
          <w:szCs w:val="20"/>
          <w:lang w:val="es-VE"/>
        </w:rPr>
        <w:t>alega</w:t>
      </w:r>
      <w:r w:rsidRPr="007A0D4C">
        <w:rPr>
          <w:rFonts w:ascii="Cambria" w:hAnsi="Cambria"/>
          <w:sz w:val="20"/>
          <w:szCs w:val="20"/>
          <w:lang w:val="es-VE"/>
        </w:rPr>
        <w:t xml:space="preserve"> que</w:t>
      </w:r>
      <w:r w:rsidR="007D0C72" w:rsidRPr="007A0D4C">
        <w:rPr>
          <w:rFonts w:ascii="Cambria" w:hAnsi="Cambria"/>
          <w:sz w:val="20"/>
          <w:szCs w:val="20"/>
          <w:lang w:val="es-VE"/>
        </w:rPr>
        <w:t>,</w:t>
      </w:r>
      <w:r w:rsidRPr="007A0D4C">
        <w:rPr>
          <w:rFonts w:ascii="Cambria" w:hAnsi="Cambria"/>
          <w:sz w:val="20"/>
          <w:szCs w:val="20"/>
          <w:lang w:val="es-VE"/>
        </w:rPr>
        <w:t xml:space="preserve"> por estas razones, pareciera que en Brasil se dio la apertura de investigaciones policiales por estos hechos, aunque indicó que no ha comprobado si efectivamente una investigación fue abierta en Brasil en 1991 por el asesinato de Santiago Leguizamón.</w:t>
      </w:r>
    </w:p>
    <w:p w14:paraId="62664B9F" w14:textId="77777777" w:rsidR="00527CAB" w:rsidRPr="007A0D4C" w:rsidRDefault="00527CAB"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096FF78B" w14:textId="77777777" w:rsidR="00C04673" w:rsidRPr="007A0D4C" w:rsidRDefault="00C04673" w:rsidP="007A0D4C">
      <w:pPr>
        <w:pStyle w:val="Heading1"/>
      </w:pPr>
      <w:bookmarkStart w:id="15" w:name="_Toc515543698"/>
      <w:bookmarkStart w:id="16" w:name="_Toc535329122"/>
      <w:bookmarkStart w:id="17" w:name="_Toc4417450"/>
      <w:bookmarkStart w:id="18" w:name="_Toc47965320"/>
      <w:r w:rsidRPr="007A0D4C">
        <w:t>DETERMINACIONES DE HECHO</w:t>
      </w:r>
      <w:bookmarkEnd w:id="15"/>
      <w:bookmarkEnd w:id="16"/>
      <w:bookmarkEnd w:id="17"/>
      <w:bookmarkEnd w:id="18"/>
    </w:p>
    <w:p w14:paraId="2B9C7FBD" w14:textId="77777777" w:rsidR="00077BBE" w:rsidRPr="007A0D4C" w:rsidRDefault="00077BBE" w:rsidP="007A0D4C">
      <w:pPr>
        <w:jc w:val="both"/>
        <w:rPr>
          <w:rFonts w:ascii="Cambria" w:hAnsi="Cambria"/>
          <w:sz w:val="20"/>
          <w:szCs w:val="20"/>
          <w:lang w:val="es-PE"/>
        </w:rPr>
      </w:pPr>
    </w:p>
    <w:p w14:paraId="4D7167D3" w14:textId="2465F7FC" w:rsidR="00C340E8" w:rsidRPr="007A0D4C" w:rsidRDefault="00E872C2" w:rsidP="00C870C0">
      <w:pPr>
        <w:pStyle w:val="Heading2"/>
        <w:numPr>
          <w:ilvl w:val="0"/>
          <w:numId w:val="53"/>
        </w:numPr>
        <w:spacing w:before="0" w:after="0"/>
        <w:ind w:left="0" w:firstLine="0"/>
        <w:jc w:val="both"/>
      </w:pPr>
      <w:bookmarkStart w:id="19" w:name="_Toc47965321"/>
      <w:r w:rsidRPr="007A0D4C">
        <w:t>Sobre el periodista Santiago Leguizamón y su famili</w:t>
      </w:r>
      <w:r w:rsidR="00F97B7C" w:rsidRPr="007A0D4C">
        <w:t>a</w:t>
      </w:r>
      <w:bookmarkEnd w:id="19"/>
    </w:p>
    <w:p w14:paraId="12A8E837" w14:textId="77777777" w:rsidR="00984558" w:rsidRPr="007A0D4C" w:rsidRDefault="00984558" w:rsidP="007A0D4C">
      <w:pPr>
        <w:jc w:val="both"/>
        <w:rPr>
          <w:rFonts w:ascii="Cambria" w:hAnsi="Cambria"/>
          <w:sz w:val="20"/>
          <w:szCs w:val="20"/>
          <w:lang w:val="es-ES_tradnl"/>
        </w:rPr>
      </w:pPr>
    </w:p>
    <w:p w14:paraId="259F984F" w14:textId="03D72117" w:rsidR="00B47C45" w:rsidRPr="007A0D4C" w:rsidRDefault="00B47C45"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7A0D4C">
        <w:rPr>
          <w:rFonts w:ascii="Cambria" w:hAnsi="Cambria"/>
          <w:sz w:val="20"/>
          <w:szCs w:val="20"/>
          <w:lang w:val="es-ES"/>
        </w:rPr>
        <w:t xml:space="preserve">Santiago Leguizamón Zaván fue un periodista </w:t>
      </w:r>
      <w:r w:rsidR="00FC091B" w:rsidRPr="007A0D4C">
        <w:rPr>
          <w:rFonts w:ascii="Cambria" w:hAnsi="Cambria"/>
          <w:sz w:val="20"/>
          <w:szCs w:val="20"/>
          <w:lang w:val="es-ES"/>
        </w:rPr>
        <w:t>de</w:t>
      </w:r>
      <w:r w:rsidRPr="007A0D4C">
        <w:rPr>
          <w:rFonts w:ascii="Cambria" w:hAnsi="Cambria"/>
          <w:sz w:val="20"/>
          <w:szCs w:val="20"/>
          <w:lang w:val="es-ES"/>
        </w:rPr>
        <w:t xml:space="preserve"> amplia trayectoria</w:t>
      </w:r>
      <w:r w:rsidR="00FC091B" w:rsidRPr="007A0D4C">
        <w:rPr>
          <w:rFonts w:ascii="Cambria" w:hAnsi="Cambria"/>
          <w:sz w:val="20"/>
          <w:szCs w:val="20"/>
          <w:lang w:val="es-ES"/>
        </w:rPr>
        <w:t xml:space="preserve"> en</w:t>
      </w:r>
      <w:r w:rsidRPr="007A0D4C">
        <w:rPr>
          <w:rFonts w:ascii="Cambria" w:hAnsi="Cambria"/>
          <w:sz w:val="20"/>
          <w:szCs w:val="20"/>
          <w:lang w:val="es-ES"/>
        </w:rPr>
        <w:t xml:space="preserve"> </w:t>
      </w:r>
      <w:r w:rsidR="00FC091B" w:rsidRPr="007A0D4C">
        <w:rPr>
          <w:rFonts w:ascii="Cambria" w:hAnsi="Cambria"/>
          <w:sz w:val="20"/>
          <w:szCs w:val="20"/>
          <w:lang w:val="es-ES"/>
        </w:rPr>
        <w:t xml:space="preserve">Paraguay, </w:t>
      </w:r>
      <w:r w:rsidRPr="007A0D4C">
        <w:rPr>
          <w:rFonts w:ascii="Cambria" w:hAnsi="Cambria"/>
          <w:sz w:val="20"/>
          <w:szCs w:val="20"/>
          <w:lang w:val="es-ES"/>
        </w:rPr>
        <w:t xml:space="preserve">radicado en </w:t>
      </w:r>
      <w:r w:rsidR="00FC091B" w:rsidRPr="007A0D4C">
        <w:rPr>
          <w:rFonts w:ascii="Cambria" w:hAnsi="Cambria"/>
          <w:sz w:val="20"/>
          <w:szCs w:val="20"/>
          <w:lang w:val="es-ES"/>
        </w:rPr>
        <w:t xml:space="preserve">la ciudad de </w:t>
      </w:r>
      <w:r w:rsidRPr="007A0D4C">
        <w:rPr>
          <w:rFonts w:ascii="Cambria" w:hAnsi="Cambria"/>
          <w:sz w:val="20"/>
          <w:szCs w:val="20"/>
          <w:lang w:val="es-ES"/>
        </w:rPr>
        <w:t>Pedro Juan Caballero, una ciudad fronteriza con Brasil, en el Departamento de</w:t>
      </w:r>
      <w:r w:rsidR="00C828D6">
        <w:rPr>
          <w:rFonts w:ascii="Cambria" w:hAnsi="Cambria"/>
          <w:sz w:val="20"/>
          <w:szCs w:val="20"/>
          <w:lang w:val="es-ES"/>
        </w:rPr>
        <w:t>l</w:t>
      </w:r>
      <w:r w:rsidRPr="007A0D4C">
        <w:rPr>
          <w:rFonts w:ascii="Cambria" w:hAnsi="Cambria"/>
          <w:sz w:val="20"/>
          <w:szCs w:val="20"/>
          <w:lang w:val="es-ES"/>
        </w:rPr>
        <w:t xml:space="preserve"> Amambay. </w:t>
      </w:r>
      <w:r w:rsidR="00596A63" w:rsidRPr="007A0D4C">
        <w:rPr>
          <w:rFonts w:ascii="Cambria" w:hAnsi="Cambria"/>
          <w:sz w:val="20"/>
          <w:szCs w:val="20"/>
          <w:lang w:val="es-ES"/>
        </w:rPr>
        <w:t>En e</w:t>
      </w:r>
      <w:r w:rsidRPr="007A0D4C">
        <w:rPr>
          <w:rFonts w:ascii="Cambria" w:hAnsi="Cambria"/>
          <w:sz w:val="20"/>
          <w:szCs w:val="20"/>
          <w:lang w:val="es-ES"/>
        </w:rPr>
        <w:t xml:space="preserve">l momento de los hechos, Leguizamón trabajaba como corresponsal del diario capitalino Diario Noticias, del diario última Hora y del Canal 13. Asimismo, conducía el programa matutino “Puertas Abiertas” en la </w:t>
      </w:r>
      <w:r w:rsidR="00E67012">
        <w:rPr>
          <w:rFonts w:ascii="Cambria" w:hAnsi="Cambria"/>
          <w:sz w:val="20"/>
          <w:szCs w:val="20"/>
          <w:lang w:val="es-ES"/>
        </w:rPr>
        <w:t>r</w:t>
      </w:r>
      <w:r w:rsidRPr="007A0D4C">
        <w:rPr>
          <w:rFonts w:ascii="Cambria" w:hAnsi="Cambria"/>
          <w:sz w:val="20"/>
          <w:szCs w:val="20"/>
          <w:lang w:val="es-ES"/>
        </w:rPr>
        <w:t xml:space="preserve">adio Mburucuyá, un pequeño medio de la localidad fundado por él en 1975 y </w:t>
      </w:r>
      <w:r w:rsidR="00FC091B" w:rsidRPr="007A0D4C">
        <w:rPr>
          <w:rFonts w:ascii="Cambria" w:hAnsi="Cambria"/>
          <w:sz w:val="20"/>
          <w:szCs w:val="20"/>
          <w:lang w:val="es-ES"/>
        </w:rPr>
        <w:t xml:space="preserve">también </w:t>
      </w:r>
      <w:r w:rsidRPr="007A0D4C">
        <w:rPr>
          <w:rFonts w:ascii="Cambria" w:hAnsi="Cambria"/>
          <w:sz w:val="20"/>
          <w:szCs w:val="20"/>
          <w:lang w:val="es-ES"/>
        </w:rPr>
        <w:t>era director de la Revista Mburucuyá</w:t>
      </w:r>
      <w:r w:rsidR="0021674B" w:rsidRPr="007A0D4C">
        <w:rPr>
          <w:rStyle w:val="FootnoteReference"/>
          <w:rFonts w:ascii="Cambria" w:hAnsi="Cambria"/>
          <w:sz w:val="20"/>
          <w:szCs w:val="20"/>
          <w:lang w:val="es-ES"/>
        </w:rPr>
        <w:footnoteReference w:id="5"/>
      </w:r>
      <w:r w:rsidRPr="007A0D4C">
        <w:rPr>
          <w:rFonts w:ascii="Cambria" w:hAnsi="Cambria"/>
          <w:sz w:val="20"/>
          <w:szCs w:val="20"/>
          <w:lang w:val="es-ES"/>
        </w:rPr>
        <w:t xml:space="preserve">. </w:t>
      </w:r>
    </w:p>
    <w:p w14:paraId="6E8B3C39" w14:textId="77777777" w:rsidR="0027316D" w:rsidRPr="007A0D4C" w:rsidRDefault="0027316D"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5FBD6A76" w14:textId="7036B70A" w:rsidR="00C0552E" w:rsidRPr="007A0D4C" w:rsidRDefault="00B47C45"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7A0D4C">
        <w:rPr>
          <w:rFonts w:ascii="Cambria" w:hAnsi="Cambria"/>
          <w:sz w:val="20"/>
          <w:szCs w:val="20"/>
          <w:lang w:val="es-ES"/>
        </w:rPr>
        <w:t xml:space="preserve">La </w:t>
      </w:r>
      <w:r w:rsidR="00D21D04" w:rsidRPr="007A0D4C">
        <w:rPr>
          <w:rFonts w:ascii="Cambria" w:hAnsi="Cambria"/>
          <w:sz w:val="20"/>
          <w:szCs w:val="20"/>
          <w:lang w:val="es-ES"/>
        </w:rPr>
        <w:t xml:space="preserve">ciudad de </w:t>
      </w:r>
      <w:r w:rsidRPr="007A0D4C">
        <w:rPr>
          <w:rFonts w:ascii="Cambria" w:hAnsi="Cambria"/>
          <w:sz w:val="20"/>
          <w:szCs w:val="20"/>
          <w:lang w:val="es-ES"/>
        </w:rPr>
        <w:t>Pedro Juan Caballero</w:t>
      </w:r>
      <w:r w:rsidR="00D21D04" w:rsidRPr="007A0D4C">
        <w:rPr>
          <w:rFonts w:ascii="Cambria" w:hAnsi="Cambria"/>
          <w:sz w:val="20"/>
          <w:szCs w:val="20"/>
          <w:lang w:val="es-ES"/>
        </w:rPr>
        <w:t>, en donde residía Santiago Leguizamón,</w:t>
      </w:r>
      <w:r w:rsidRPr="007A0D4C">
        <w:rPr>
          <w:rFonts w:ascii="Cambria" w:hAnsi="Cambria"/>
          <w:sz w:val="20"/>
          <w:szCs w:val="20"/>
          <w:lang w:val="es-ES"/>
        </w:rPr>
        <w:t xml:space="preserve"> </w:t>
      </w:r>
      <w:r w:rsidR="00696A32" w:rsidRPr="007A0D4C">
        <w:rPr>
          <w:rFonts w:ascii="Cambria" w:hAnsi="Cambria"/>
          <w:sz w:val="20"/>
          <w:szCs w:val="20"/>
          <w:lang w:val="es-ES"/>
        </w:rPr>
        <w:t xml:space="preserve">ha sido </w:t>
      </w:r>
      <w:r w:rsidR="00E81F65" w:rsidRPr="007A0D4C">
        <w:rPr>
          <w:rFonts w:ascii="Cambria" w:hAnsi="Cambria"/>
          <w:sz w:val="20"/>
          <w:szCs w:val="20"/>
          <w:lang w:val="es-ES"/>
        </w:rPr>
        <w:t xml:space="preserve">considerada como </w:t>
      </w:r>
      <w:r w:rsidR="00860860" w:rsidRPr="007A0D4C">
        <w:rPr>
          <w:rFonts w:ascii="Cambria" w:hAnsi="Cambria"/>
          <w:sz w:val="20"/>
          <w:szCs w:val="20"/>
          <w:lang w:val="es-ES"/>
        </w:rPr>
        <w:t xml:space="preserve">una “especie de zona sin ley”, </w:t>
      </w:r>
      <w:r w:rsidR="00A910B8">
        <w:rPr>
          <w:rFonts w:ascii="Cambria" w:hAnsi="Cambria"/>
          <w:sz w:val="20"/>
          <w:szCs w:val="20"/>
          <w:lang w:val="es-ES"/>
        </w:rPr>
        <w:t xml:space="preserve">al ser </w:t>
      </w:r>
      <w:r w:rsidR="00E81F65" w:rsidRPr="007A0D4C">
        <w:rPr>
          <w:rFonts w:ascii="Cambria" w:hAnsi="Cambria"/>
          <w:sz w:val="20"/>
          <w:szCs w:val="20"/>
          <w:lang w:val="es-ES"/>
        </w:rPr>
        <w:t xml:space="preserve">una </w:t>
      </w:r>
      <w:r w:rsidR="00696A32" w:rsidRPr="007A0D4C">
        <w:rPr>
          <w:rFonts w:ascii="Cambria" w:hAnsi="Cambria"/>
          <w:sz w:val="20"/>
          <w:szCs w:val="20"/>
          <w:lang w:val="es-ES"/>
        </w:rPr>
        <w:t>de las m</w:t>
      </w:r>
      <w:r w:rsidR="00824381" w:rsidRPr="007A0D4C">
        <w:rPr>
          <w:rFonts w:ascii="Cambria" w:hAnsi="Cambria"/>
          <w:sz w:val="20"/>
          <w:szCs w:val="20"/>
          <w:lang w:val="es-ES"/>
        </w:rPr>
        <w:t>ás</w:t>
      </w:r>
      <w:r w:rsidR="00696A32" w:rsidRPr="007A0D4C">
        <w:rPr>
          <w:rFonts w:ascii="Cambria" w:hAnsi="Cambria"/>
          <w:sz w:val="20"/>
          <w:szCs w:val="20"/>
          <w:lang w:val="es-ES"/>
        </w:rPr>
        <w:t xml:space="preserve"> peligrosas del sur del continente</w:t>
      </w:r>
      <w:r w:rsidR="003E47F1" w:rsidRPr="007A0D4C">
        <w:rPr>
          <w:rFonts w:ascii="Cambria" w:hAnsi="Cambria"/>
          <w:sz w:val="20"/>
          <w:szCs w:val="20"/>
          <w:lang w:val="es-ES"/>
        </w:rPr>
        <w:t xml:space="preserve">, </w:t>
      </w:r>
      <w:r w:rsidRPr="007A0D4C">
        <w:rPr>
          <w:rFonts w:ascii="Cambria" w:hAnsi="Cambria"/>
          <w:sz w:val="20"/>
          <w:szCs w:val="20"/>
          <w:lang w:val="es-ES"/>
        </w:rPr>
        <w:t>marcada por la corrupción, la violencia, el contrabando, el narcotráfico y la delincuencia</w:t>
      </w:r>
      <w:r w:rsidR="001B6F4E" w:rsidRPr="007A0D4C">
        <w:rPr>
          <w:rFonts w:ascii="Cambria" w:hAnsi="Cambria"/>
          <w:sz w:val="20"/>
          <w:szCs w:val="20"/>
          <w:lang w:val="es-ES"/>
        </w:rPr>
        <w:t>, incluso hasta la actualidad</w:t>
      </w:r>
      <w:r w:rsidR="00705872" w:rsidRPr="007A0D4C">
        <w:rPr>
          <w:rStyle w:val="FootnoteReference"/>
          <w:rFonts w:ascii="Cambria" w:hAnsi="Cambria"/>
          <w:sz w:val="20"/>
          <w:szCs w:val="20"/>
          <w:lang w:val="es-ES"/>
        </w:rPr>
        <w:footnoteReference w:id="6"/>
      </w:r>
      <w:r w:rsidRPr="007A0D4C">
        <w:rPr>
          <w:rFonts w:ascii="Cambria" w:hAnsi="Cambria"/>
          <w:sz w:val="20"/>
          <w:szCs w:val="20"/>
          <w:lang w:val="es-ES"/>
        </w:rPr>
        <w:t>.</w:t>
      </w:r>
      <w:r w:rsidR="001B6F4E" w:rsidRPr="007A0D4C">
        <w:rPr>
          <w:rFonts w:ascii="Cambria" w:hAnsi="Cambria"/>
          <w:sz w:val="20"/>
          <w:szCs w:val="20"/>
          <w:lang w:val="es-ES"/>
        </w:rPr>
        <w:t xml:space="preserve"> </w:t>
      </w:r>
      <w:r w:rsidRPr="007A0D4C">
        <w:rPr>
          <w:rFonts w:ascii="Cambria" w:hAnsi="Cambria"/>
          <w:sz w:val="20"/>
          <w:szCs w:val="20"/>
          <w:lang w:val="es-ES"/>
        </w:rPr>
        <w:t xml:space="preserve"> </w:t>
      </w:r>
      <w:r w:rsidR="00336218" w:rsidRPr="007A0D4C">
        <w:rPr>
          <w:rFonts w:ascii="Cambria" w:hAnsi="Cambria"/>
          <w:sz w:val="20"/>
          <w:szCs w:val="20"/>
          <w:lang w:val="es-ES"/>
        </w:rPr>
        <w:t xml:space="preserve">Lo anterior fue </w:t>
      </w:r>
      <w:r w:rsidR="00460441" w:rsidRPr="007A0D4C">
        <w:rPr>
          <w:rFonts w:ascii="Cambria" w:hAnsi="Cambria"/>
          <w:sz w:val="20"/>
          <w:szCs w:val="20"/>
          <w:lang w:val="es-ES"/>
        </w:rPr>
        <w:t xml:space="preserve">descrito </w:t>
      </w:r>
      <w:r w:rsidR="006C6470" w:rsidRPr="007A0D4C">
        <w:rPr>
          <w:rFonts w:ascii="Cambria" w:hAnsi="Cambria"/>
          <w:sz w:val="20"/>
          <w:szCs w:val="20"/>
          <w:lang w:val="es-ES"/>
        </w:rPr>
        <w:t xml:space="preserve">por </w:t>
      </w:r>
      <w:r w:rsidRPr="007A0D4C">
        <w:rPr>
          <w:rFonts w:ascii="Cambria" w:hAnsi="Cambria"/>
          <w:sz w:val="20"/>
          <w:szCs w:val="20"/>
          <w:lang w:val="es-ES"/>
        </w:rPr>
        <w:t>Santiago Leguizamón</w:t>
      </w:r>
      <w:r w:rsidR="006C6470" w:rsidRPr="007A0D4C">
        <w:rPr>
          <w:rFonts w:ascii="Cambria" w:hAnsi="Cambria"/>
          <w:sz w:val="20"/>
          <w:szCs w:val="20"/>
          <w:lang w:val="es-ES"/>
        </w:rPr>
        <w:t xml:space="preserve">, quien </w:t>
      </w:r>
      <w:r w:rsidRPr="007A0D4C">
        <w:rPr>
          <w:rFonts w:ascii="Cambria" w:hAnsi="Cambria"/>
          <w:sz w:val="20"/>
          <w:szCs w:val="20"/>
          <w:lang w:val="es-ES"/>
        </w:rPr>
        <w:t xml:space="preserve">escribía artículos críticos sobre </w:t>
      </w:r>
      <w:r w:rsidR="00696A32" w:rsidRPr="007A0D4C">
        <w:rPr>
          <w:rFonts w:ascii="Cambria" w:hAnsi="Cambria"/>
          <w:sz w:val="20"/>
          <w:szCs w:val="20"/>
          <w:lang w:val="es-ES"/>
        </w:rPr>
        <w:t>la actuación</w:t>
      </w:r>
      <w:r w:rsidRPr="007A0D4C">
        <w:rPr>
          <w:rFonts w:ascii="Cambria" w:hAnsi="Cambria"/>
          <w:sz w:val="20"/>
          <w:szCs w:val="20"/>
          <w:lang w:val="es-ES"/>
        </w:rPr>
        <w:t xml:space="preserve"> de</w:t>
      </w:r>
      <w:r w:rsidR="00696A32" w:rsidRPr="007A0D4C">
        <w:rPr>
          <w:rFonts w:ascii="Cambria" w:hAnsi="Cambria"/>
          <w:sz w:val="20"/>
          <w:szCs w:val="20"/>
          <w:lang w:val="es-ES"/>
        </w:rPr>
        <w:t xml:space="preserve"> las</w:t>
      </w:r>
      <w:r w:rsidRPr="007A0D4C">
        <w:rPr>
          <w:rFonts w:ascii="Cambria" w:hAnsi="Cambria"/>
          <w:sz w:val="20"/>
          <w:szCs w:val="20"/>
          <w:lang w:val="es-ES"/>
        </w:rPr>
        <w:t xml:space="preserve"> autoridades y</w:t>
      </w:r>
      <w:r w:rsidR="00696A32" w:rsidRPr="007A0D4C">
        <w:rPr>
          <w:rFonts w:ascii="Cambria" w:hAnsi="Cambria"/>
          <w:sz w:val="20"/>
          <w:szCs w:val="20"/>
          <w:lang w:val="es-ES"/>
        </w:rPr>
        <w:t xml:space="preserve"> ciertos</w:t>
      </w:r>
      <w:r w:rsidRPr="007A0D4C">
        <w:rPr>
          <w:rFonts w:ascii="Cambria" w:hAnsi="Cambria"/>
          <w:sz w:val="20"/>
          <w:szCs w:val="20"/>
          <w:lang w:val="es-ES"/>
        </w:rPr>
        <w:t xml:space="preserve"> empresarios </w:t>
      </w:r>
      <w:r w:rsidR="00696A32" w:rsidRPr="007A0D4C">
        <w:rPr>
          <w:rFonts w:ascii="Cambria" w:hAnsi="Cambria"/>
          <w:sz w:val="20"/>
          <w:szCs w:val="20"/>
          <w:lang w:val="es-ES"/>
        </w:rPr>
        <w:t xml:space="preserve">de su comunidad, </w:t>
      </w:r>
      <w:r w:rsidRPr="007A0D4C">
        <w:rPr>
          <w:rFonts w:ascii="Cambria" w:hAnsi="Cambria"/>
          <w:sz w:val="20"/>
          <w:szCs w:val="20"/>
          <w:lang w:val="es-ES"/>
        </w:rPr>
        <w:t xml:space="preserve">en relación con el medio ambiente, contrabando de madera, la situación </w:t>
      </w:r>
      <w:r w:rsidRPr="007A0D4C">
        <w:rPr>
          <w:rFonts w:ascii="Cambria" w:hAnsi="Cambria"/>
          <w:sz w:val="20"/>
          <w:szCs w:val="20"/>
          <w:lang w:val="es-ES"/>
        </w:rPr>
        <w:lastRenderedPageBreak/>
        <w:t>de los pueblos indígenas y sus tierras, la corrupción y los problemas de delincuencia y violencia en la zona fronteriza</w:t>
      </w:r>
      <w:r w:rsidR="00F84EE6" w:rsidRPr="007A0D4C">
        <w:rPr>
          <w:rStyle w:val="FootnoteReference"/>
          <w:rFonts w:ascii="Cambria" w:hAnsi="Cambria"/>
          <w:sz w:val="20"/>
          <w:szCs w:val="20"/>
          <w:lang w:val="es-ES"/>
        </w:rPr>
        <w:footnoteReference w:id="7"/>
      </w:r>
      <w:r w:rsidRPr="007A0D4C">
        <w:rPr>
          <w:rFonts w:ascii="Cambria" w:hAnsi="Cambria"/>
          <w:sz w:val="20"/>
          <w:szCs w:val="20"/>
          <w:lang w:val="es-ES"/>
        </w:rPr>
        <w:t>.</w:t>
      </w:r>
    </w:p>
    <w:p w14:paraId="6376C838" w14:textId="77777777" w:rsidR="00C0552E" w:rsidRPr="007A0D4C" w:rsidDel="00696A32" w:rsidRDefault="00C0552E"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7FC86177" w14:textId="7E18EF38" w:rsidR="00235C0C" w:rsidRPr="007A0D4C" w:rsidRDefault="00C0552E"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ES"/>
        </w:rPr>
      </w:pPr>
      <w:r w:rsidRPr="007A0D4C">
        <w:rPr>
          <w:rFonts w:ascii="Cambria" w:hAnsi="Cambria"/>
          <w:sz w:val="20"/>
          <w:szCs w:val="20"/>
          <w:lang w:val="es-VE"/>
        </w:rPr>
        <w:t>E</w:t>
      </w:r>
      <w:r w:rsidR="00B47C45" w:rsidRPr="007A0D4C">
        <w:rPr>
          <w:rFonts w:ascii="Cambria" w:hAnsi="Cambria"/>
          <w:sz w:val="20"/>
          <w:szCs w:val="20"/>
          <w:lang w:val="es-VE"/>
        </w:rPr>
        <w:t xml:space="preserve">ntre el 22 y 26 de marzo de 1991 Santiago Leguizamón </w:t>
      </w:r>
      <w:r w:rsidR="00B47C45" w:rsidRPr="007A0D4C">
        <w:rPr>
          <w:rFonts w:ascii="Cambria" w:hAnsi="Cambria"/>
          <w:sz w:val="20"/>
          <w:szCs w:val="20"/>
          <w:lang w:val="es-ES"/>
        </w:rPr>
        <w:t xml:space="preserve">publicó una serie de artículos en el Diario Noticias, </w:t>
      </w:r>
      <w:r w:rsidR="00696A32" w:rsidRPr="007A0D4C">
        <w:rPr>
          <w:rFonts w:ascii="Cambria" w:hAnsi="Cambria"/>
          <w:sz w:val="20"/>
          <w:szCs w:val="20"/>
          <w:lang w:val="es-ES"/>
        </w:rPr>
        <w:t>en los</w:t>
      </w:r>
      <w:r w:rsidR="00B47C45" w:rsidRPr="007A0D4C">
        <w:rPr>
          <w:rFonts w:ascii="Cambria" w:hAnsi="Cambria"/>
          <w:sz w:val="20"/>
          <w:szCs w:val="20"/>
          <w:lang w:val="es-ES"/>
        </w:rPr>
        <w:t xml:space="preserve"> que </w:t>
      </w:r>
      <w:r w:rsidR="00696A32" w:rsidRPr="007A0D4C">
        <w:rPr>
          <w:rFonts w:ascii="Cambria" w:hAnsi="Cambria"/>
          <w:sz w:val="20"/>
          <w:szCs w:val="20"/>
          <w:lang w:val="es-ES"/>
        </w:rPr>
        <w:t>denunció</w:t>
      </w:r>
      <w:r w:rsidR="00B47C45" w:rsidRPr="007A0D4C">
        <w:rPr>
          <w:rFonts w:ascii="Cambria" w:hAnsi="Cambria"/>
          <w:sz w:val="20"/>
          <w:szCs w:val="20"/>
          <w:lang w:val="es-ES"/>
        </w:rPr>
        <w:t xml:space="preserve"> una presunta triangulación entre una familia empresaria brasileña y la Cámara Paraguaya de la Soja (CAPROSA) para evadir el pago de impuestos brasileños y paraguayos por la comercialización de soja. Asimismo, una serie de artículos titulada “El Hampa en Pedro Juan”, revelaba la</w:t>
      </w:r>
      <w:r w:rsidR="00A910B8">
        <w:rPr>
          <w:rFonts w:ascii="Cambria" w:hAnsi="Cambria"/>
          <w:sz w:val="20"/>
          <w:szCs w:val="20"/>
          <w:lang w:val="es-ES"/>
        </w:rPr>
        <w:t xml:space="preserve"> presunta </w:t>
      </w:r>
      <w:r w:rsidR="00B47C45" w:rsidRPr="007A0D4C">
        <w:rPr>
          <w:rFonts w:ascii="Cambria" w:hAnsi="Cambria"/>
          <w:sz w:val="20"/>
          <w:szCs w:val="20"/>
          <w:lang w:val="es-ES"/>
        </w:rPr>
        <w:t xml:space="preserve">responsabilidad en negocios vinculados al contrabando, lavado de dinero y corrupción de un empresario miembro de </w:t>
      </w:r>
      <w:r w:rsidR="00696A32" w:rsidRPr="007A0D4C">
        <w:rPr>
          <w:rFonts w:ascii="Cambria" w:hAnsi="Cambria"/>
          <w:sz w:val="20"/>
          <w:szCs w:val="20"/>
          <w:lang w:val="es-ES"/>
        </w:rPr>
        <w:t xml:space="preserve">una </w:t>
      </w:r>
      <w:r w:rsidR="00B47C45" w:rsidRPr="007A0D4C">
        <w:rPr>
          <w:rFonts w:ascii="Cambria" w:hAnsi="Cambria"/>
          <w:sz w:val="20"/>
          <w:szCs w:val="20"/>
          <w:lang w:val="es-ES"/>
        </w:rPr>
        <w:t xml:space="preserve">familia de origen brasileño, conocido bajo el alias “El Turco”, así como </w:t>
      </w:r>
      <w:r w:rsidR="00696A32" w:rsidRPr="007A0D4C">
        <w:rPr>
          <w:rFonts w:ascii="Cambria" w:hAnsi="Cambria"/>
          <w:sz w:val="20"/>
          <w:szCs w:val="20"/>
          <w:lang w:val="es-ES"/>
        </w:rPr>
        <w:t>la presunta colusión de</w:t>
      </w:r>
      <w:r w:rsidR="00B47C45" w:rsidRPr="007A0D4C">
        <w:rPr>
          <w:rFonts w:ascii="Cambria" w:hAnsi="Cambria"/>
          <w:sz w:val="20"/>
          <w:szCs w:val="20"/>
          <w:lang w:val="es-ES"/>
        </w:rPr>
        <w:t xml:space="preserve"> autoridades locales, y la existencia de “pistoleros a sueldo” que protegían a la organización criminal</w:t>
      </w:r>
      <w:r w:rsidR="000D766F" w:rsidRPr="007A0D4C">
        <w:rPr>
          <w:rStyle w:val="FootnoteReference"/>
          <w:rFonts w:ascii="Cambria" w:hAnsi="Cambria"/>
          <w:sz w:val="20"/>
          <w:szCs w:val="20"/>
          <w:lang w:val="es-ES"/>
        </w:rPr>
        <w:footnoteReference w:id="8"/>
      </w:r>
      <w:r w:rsidR="00B47C45" w:rsidRPr="007A0D4C">
        <w:rPr>
          <w:rFonts w:ascii="Cambria" w:hAnsi="Cambria"/>
          <w:sz w:val="20"/>
          <w:szCs w:val="20"/>
          <w:lang w:val="es-ES"/>
        </w:rPr>
        <w:t xml:space="preserve">. </w:t>
      </w:r>
    </w:p>
    <w:p w14:paraId="2D232ACD" w14:textId="77777777" w:rsidR="008263DE" w:rsidRPr="007A0D4C" w:rsidRDefault="008263DE" w:rsidP="007A0D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20"/>
          <w:szCs w:val="20"/>
          <w:lang w:val="es-ES"/>
        </w:rPr>
      </w:pPr>
    </w:p>
    <w:p w14:paraId="62972737" w14:textId="67C55006" w:rsidR="00984558" w:rsidRPr="007A0D4C" w:rsidRDefault="003D1AAA"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7A0D4C">
        <w:rPr>
          <w:rFonts w:ascii="Cambria" w:hAnsi="Cambria"/>
          <w:sz w:val="20"/>
          <w:szCs w:val="20"/>
          <w:lang w:val="es-VE"/>
        </w:rPr>
        <w:t>El periodista</w:t>
      </w:r>
      <w:r w:rsidR="00AF0104" w:rsidRPr="007A0D4C">
        <w:rPr>
          <w:rFonts w:ascii="Cambria" w:hAnsi="Cambria"/>
          <w:sz w:val="20"/>
          <w:szCs w:val="20"/>
          <w:lang w:val="es-VE"/>
        </w:rPr>
        <w:t xml:space="preserve"> estaba casado con Ana María </w:t>
      </w:r>
      <w:r w:rsidR="00DC7ED4" w:rsidRPr="007A0D4C">
        <w:rPr>
          <w:rFonts w:ascii="Cambria" w:hAnsi="Cambria"/>
          <w:sz w:val="20"/>
          <w:szCs w:val="20"/>
          <w:lang w:val="es-VE"/>
        </w:rPr>
        <w:t>Margarita Morra</w:t>
      </w:r>
      <w:r w:rsidR="000D3B05" w:rsidRPr="007A0D4C">
        <w:rPr>
          <w:rStyle w:val="FootnoteReference"/>
          <w:rFonts w:ascii="Cambria" w:hAnsi="Cambria"/>
          <w:sz w:val="20"/>
          <w:szCs w:val="20"/>
          <w:lang w:val="es-VE"/>
        </w:rPr>
        <w:footnoteReference w:id="9"/>
      </w:r>
      <w:r w:rsidR="00DC7ED4" w:rsidRPr="007A0D4C">
        <w:rPr>
          <w:rFonts w:ascii="Cambria" w:hAnsi="Cambria"/>
          <w:sz w:val="20"/>
          <w:szCs w:val="20"/>
          <w:lang w:val="es-VE"/>
        </w:rPr>
        <w:t xml:space="preserve">, con quien tuvo </w:t>
      </w:r>
      <w:r w:rsidR="007474ED" w:rsidRPr="007A0D4C">
        <w:rPr>
          <w:rFonts w:ascii="Cambria" w:hAnsi="Cambria"/>
          <w:sz w:val="20"/>
          <w:szCs w:val="20"/>
          <w:lang w:val="es-VE"/>
        </w:rPr>
        <w:t xml:space="preserve">tres </w:t>
      </w:r>
      <w:r w:rsidR="00DC7ED4" w:rsidRPr="007A0D4C">
        <w:rPr>
          <w:rFonts w:ascii="Cambria" w:hAnsi="Cambria"/>
          <w:sz w:val="20"/>
          <w:szCs w:val="20"/>
          <w:lang w:val="es-VE"/>
        </w:rPr>
        <w:t xml:space="preserve">hijos </w:t>
      </w:r>
      <w:r w:rsidR="007474ED" w:rsidRPr="007A0D4C">
        <w:rPr>
          <w:rFonts w:ascii="Cambria" w:hAnsi="Cambria"/>
          <w:sz w:val="20"/>
          <w:szCs w:val="20"/>
          <w:lang w:val="es-VE"/>
        </w:rPr>
        <w:t>y una</w:t>
      </w:r>
      <w:r w:rsidR="00DC7ED4" w:rsidRPr="007A0D4C">
        <w:rPr>
          <w:rFonts w:ascii="Cambria" w:hAnsi="Cambria"/>
          <w:sz w:val="20"/>
          <w:szCs w:val="20"/>
          <w:lang w:val="es-VE"/>
        </w:rPr>
        <w:t xml:space="preserve"> hija: Raquel Leguizamón </w:t>
      </w:r>
      <w:r w:rsidR="00F817C3" w:rsidRPr="007A0D4C">
        <w:rPr>
          <w:rFonts w:ascii="Cambria" w:hAnsi="Cambria"/>
          <w:sz w:val="20"/>
          <w:szCs w:val="20"/>
          <w:lang w:val="es-VE"/>
        </w:rPr>
        <w:t>Morra, Dante Leguizamón Morra, Sebastián Leguizamón Morra y Fernando Leguizamón Morra</w:t>
      </w:r>
      <w:r w:rsidR="008D2550" w:rsidRPr="007A0D4C">
        <w:rPr>
          <w:rFonts w:ascii="Cambria" w:hAnsi="Cambria"/>
          <w:sz w:val="20"/>
          <w:szCs w:val="20"/>
          <w:lang w:val="es-VE"/>
        </w:rPr>
        <w:t>. La familia del periodista vivía en Asunción</w:t>
      </w:r>
      <w:r w:rsidR="0092264C" w:rsidRPr="007A0D4C">
        <w:rPr>
          <w:rStyle w:val="FootnoteReference"/>
          <w:rFonts w:ascii="Cambria" w:hAnsi="Cambria"/>
          <w:sz w:val="20"/>
          <w:szCs w:val="20"/>
          <w:lang w:val="es-VE"/>
        </w:rPr>
        <w:footnoteReference w:id="10"/>
      </w:r>
      <w:r w:rsidR="00F817C3" w:rsidRPr="007A0D4C">
        <w:rPr>
          <w:rFonts w:ascii="Cambria" w:hAnsi="Cambria"/>
          <w:sz w:val="20"/>
          <w:szCs w:val="20"/>
          <w:lang w:val="es-VE"/>
        </w:rPr>
        <w:t>.</w:t>
      </w:r>
    </w:p>
    <w:p w14:paraId="3BE14E0B" w14:textId="77777777" w:rsidR="003D1AAA" w:rsidRPr="007A0D4C" w:rsidRDefault="003D1AAA"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6B0E0264" w14:textId="5FBCB87F" w:rsidR="00256D53" w:rsidRPr="007A0D4C" w:rsidRDefault="009E450C" w:rsidP="007A0D4C">
      <w:pPr>
        <w:pStyle w:val="Heading2"/>
        <w:spacing w:before="0" w:after="0"/>
        <w:ind w:left="0" w:firstLine="0"/>
        <w:jc w:val="both"/>
        <w:rPr>
          <w:lang w:val="es-PE"/>
        </w:rPr>
      </w:pPr>
      <w:bookmarkStart w:id="20" w:name="_Toc47965322"/>
      <w:r w:rsidRPr="007A0D4C">
        <w:rPr>
          <w:lang w:val="es-VE"/>
        </w:rPr>
        <w:t>Las amenazas y el</w:t>
      </w:r>
      <w:r w:rsidR="00C12356" w:rsidRPr="007A0D4C">
        <w:rPr>
          <w:lang w:val="es-VE"/>
        </w:rPr>
        <w:t xml:space="preserve"> a</w:t>
      </w:r>
      <w:r w:rsidR="00256D53" w:rsidRPr="007A0D4C">
        <w:rPr>
          <w:lang w:val="es-VE"/>
        </w:rPr>
        <w:t>sesinato del periodista Santiago Leguizam</w:t>
      </w:r>
      <w:r w:rsidR="00256D53" w:rsidRPr="007A0D4C">
        <w:rPr>
          <w:lang w:val="es-PE"/>
        </w:rPr>
        <w:t>ón</w:t>
      </w:r>
      <w:bookmarkEnd w:id="20"/>
    </w:p>
    <w:p w14:paraId="4EC654A3" w14:textId="1CA6BCBA" w:rsidR="00256D53" w:rsidRPr="007A0D4C" w:rsidRDefault="00256D53" w:rsidP="007A0D4C">
      <w:pPr>
        <w:rPr>
          <w:rFonts w:ascii="Cambria" w:hAnsi="Cambria"/>
          <w:sz w:val="20"/>
          <w:szCs w:val="20"/>
          <w:lang w:val="es-PE"/>
        </w:rPr>
      </w:pPr>
    </w:p>
    <w:p w14:paraId="669A26A0" w14:textId="1D9E2976" w:rsidR="00107E37" w:rsidRPr="007A0D4C" w:rsidRDefault="0095039A"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7A0D4C">
        <w:rPr>
          <w:rFonts w:ascii="Cambria" w:hAnsi="Cambria"/>
          <w:sz w:val="20"/>
          <w:szCs w:val="20"/>
          <w:lang w:val="es-VE"/>
        </w:rPr>
        <w:t>El 26 de abril de 1991</w:t>
      </w:r>
      <w:r w:rsidR="00A90612" w:rsidRPr="007A0D4C">
        <w:rPr>
          <w:rFonts w:ascii="Cambria" w:hAnsi="Cambria"/>
          <w:sz w:val="20"/>
          <w:szCs w:val="20"/>
          <w:lang w:val="es-VE"/>
        </w:rPr>
        <w:t xml:space="preserve"> a las 12:15 horas aproximadamente</w:t>
      </w:r>
      <w:r w:rsidR="008253D1" w:rsidRPr="007A0D4C">
        <w:rPr>
          <w:rStyle w:val="FootnoteReference"/>
          <w:rFonts w:ascii="Cambria" w:hAnsi="Cambria"/>
          <w:sz w:val="20"/>
          <w:szCs w:val="20"/>
          <w:lang w:val="es-VE"/>
        </w:rPr>
        <w:footnoteReference w:id="11"/>
      </w:r>
      <w:r w:rsidR="00A90612" w:rsidRPr="007A0D4C">
        <w:rPr>
          <w:rFonts w:ascii="Cambria" w:hAnsi="Cambria"/>
          <w:sz w:val="20"/>
          <w:szCs w:val="20"/>
          <w:lang w:val="es-VE"/>
        </w:rPr>
        <w:t>,</w:t>
      </w:r>
      <w:r w:rsidRPr="007A0D4C">
        <w:rPr>
          <w:rFonts w:ascii="Cambria" w:hAnsi="Cambria"/>
          <w:sz w:val="20"/>
          <w:szCs w:val="20"/>
          <w:lang w:val="es-VE"/>
        </w:rPr>
        <w:t xml:space="preserve"> </w:t>
      </w:r>
      <w:r w:rsidR="00FE532A" w:rsidRPr="007A0D4C">
        <w:rPr>
          <w:rFonts w:ascii="Cambria" w:hAnsi="Cambria"/>
          <w:sz w:val="20"/>
          <w:szCs w:val="20"/>
          <w:lang w:val="es-VE"/>
        </w:rPr>
        <w:t>el periodista</w:t>
      </w:r>
      <w:r w:rsidRPr="007A0D4C">
        <w:rPr>
          <w:rFonts w:ascii="Cambria" w:hAnsi="Cambria"/>
          <w:sz w:val="20"/>
          <w:szCs w:val="20"/>
          <w:lang w:val="es-VE"/>
        </w:rPr>
        <w:t xml:space="preserve"> Santiago Leguizamón</w:t>
      </w:r>
      <w:r w:rsidR="00FE532A" w:rsidRPr="007A0D4C">
        <w:rPr>
          <w:rFonts w:ascii="Cambria" w:hAnsi="Cambria"/>
          <w:sz w:val="20"/>
          <w:szCs w:val="20"/>
          <w:lang w:val="es-VE"/>
        </w:rPr>
        <w:t xml:space="preserve"> Zav</w:t>
      </w:r>
      <w:r w:rsidR="00FE532A" w:rsidRPr="007A0D4C">
        <w:rPr>
          <w:rFonts w:ascii="Cambria" w:hAnsi="Cambria"/>
          <w:sz w:val="20"/>
          <w:szCs w:val="20"/>
          <w:lang w:val="es-PE"/>
        </w:rPr>
        <w:t>án</w:t>
      </w:r>
      <w:r w:rsidR="005D7AA4" w:rsidRPr="007A0D4C">
        <w:rPr>
          <w:rFonts w:ascii="Cambria" w:hAnsi="Cambria"/>
          <w:sz w:val="20"/>
          <w:szCs w:val="20"/>
          <w:lang w:val="es-PE"/>
        </w:rPr>
        <w:t xml:space="preserve"> fue asesinado </w:t>
      </w:r>
      <w:r w:rsidR="00BA5B11" w:rsidRPr="007A0D4C">
        <w:rPr>
          <w:rFonts w:ascii="Cambria" w:hAnsi="Cambria"/>
          <w:sz w:val="20"/>
          <w:szCs w:val="20"/>
          <w:lang w:val="es-PE"/>
        </w:rPr>
        <w:t>en</w:t>
      </w:r>
      <w:r w:rsidR="00387F08" w:rsidRPr="007A0D4C">
        <w:rPr>
          <w:rFonts w:ascii="Cambria" w:hAnsi="Cambria"/>
          <w:sz w:val="20"/>
          <w:szCs w:val="20"/>
          <w:lang w:val="es-PE"/>
        </w:rPr>
        <w:t xml:space="preserve"> territorio paraguayo, </w:t>
      </w:r>
      <w:r w:rsidR="00673E29" w:rsidRPr="007A0D4C">
        <w:rPr>
          <w:rFonts w:ascii="Cambria" w:hAnsi="Cambria"/>
          <w:sz w:val="20"/>
          <w:szCs w:val="20"/>
          <w:lang w:val="es-PE"/>
        </w:rPr>
        <w:t>cerca de</w:t>
      </w:r>
      <w:r w:rsidR="00BA5B11" w:rsidRPr="007A0D4C">
        <w:rPr>
          <w:rFonts w:ascii="Cambria" w:hAnsi="Cambria"/>
          <w:sz w:val="20"/>
          <w:szCs w:val="20"/>
          <w:lang w:val="es-PE"/>
        </w:rPr>
        <w:t xml:space="preserve"> la línea demarcatoria de frontera</w:t>
      </w:r>
      <w:r w:rsidRPr="007A0D4C">
        <w:rPr>
          <w:rFonts w:ascii="Cambria" w:hAnsi="Cambria"/>
          <w:sz w:val="20"/>
          <w:szCs w:val="20"/>
          <w:lang w:val="es-VE"/>
        </w:rPr>
        <w:t xml:space="preserve"> </w:t>
      </w:r>
      <w:r w:rsidR="00387F08" w:rsidRPr="007A0D4C">
        <w:rPr>
          <w:rFonts w:ascii="Cambria" w:hAnsi="Cambria"/>
          <w:sz w:val="20"/>
          <w:szCs w:val="20"/>
          <w:lang w:val="es-VE"/>
        </w:rPr>
        <w:t xml:space="preserve">entre Paraguay y Brasil, cuando </w:t>
      </w:r>
      <w:r w:rsidRPr="007A0D4C">
        <w:rPr>
          <w:rFonts w:ascii="Cambria" w:hAnsi="Cambria"/>
          <w:sz w:val="20"/>
          <w:szCs w:val="20"/>
          <w:lang w:val="es-VE"/>
        </w:rPr>
        <w:t>se dirigía a un restaurante para la celebración del Día del</w:t>
      </w:r>
      <w:r w:rsidRPr="007A0D4C">
        <w:rPr>
          <w:rFonts w:ascii="Cambria" w:hAnsi="Cambria"/>
          <w:sz w:val="20"/>
          <w:szCs w:val="20"/>
          <w:lang w:val="es-ES"/>
        </w:rPr>
        <w:t xml:space="preserve"> Periodista</w:t>
      </w:r>
      <w:r w:rsidR="00177E6C" w:rsidRPr="007A0D4C">
        <w:rPr>
          <w:rFonts w:ascii="Cambria" w:hAnsi="Cambria"/>
          <w:sz w:val="20"/>
          <w:szCs w:val="20"/>
          <w:lang w:val="es-ES"/>
        </w:rPr>
        <w:t>.</w:t>
      </w:r>
      <w:r w:rsidRPr="007A0D4C">
        <w:rPr>
          <w:rFonts w:ascii="Cambria" w:hAnsi="Cambria"/>
          <w:sz w:val="20"/>
          <w:szCs w:val="20"/>
          <w:lang w:val="es-ES"/>
        </w:rPr>
        <w:t xml:space="preserve"> </w:t>
      </w:r>
      <w:r w:rsidR="004D2EE4" w:rsidRPr="007A0D4C">
        <w:rPr>
          <w:rFonts w:ascii="Cambria" w:hAnsi="Cambria"/>
          <w:sz w:val="20"/>
          <w:szCs w:val="20"/>
          <w:lang w:val="es-ES"/>
        </w:rPr>
        <w:t xml:space="preserve">Según el expediente, </w:t>
      </w:r>
      <w:r w:rsidR="00462380" w:rsidRPr="007A0D4C">
        <w:rPr>
          <w:rFonts w:ascii="Cambria" w:hAnsi="Cambria"/>
          <w:sz w:val="20"/>
          <w:szCs w:val="20"/>
          <w:lang w:val="es-ES"/>
        </w:rPr>
        <w:t>el periodista se encontraba dentro de su vehículo</w:t>
      </w:r>
      <w:r w:rsidR="00B066DD" w:rsidRPr="007A0D4C">
        <w:rPr>
          <w:rFonts w:ascii="Cambria" w:hAnsi="Cambria"/>
          <w:sz w:val="20"/>
          <w:szCs w:val="20"/>
          <w:lang w:val="es-ES"/>
        </w:rPr>
        <w:t xml:space="preserve">, </w:t>
      </w:r>
      <w:r w:rsidRPr="007A0D4C">
        <w:rPr>
          <w:rFonts w:ascii="Cambria" w:hAnsi="Cambria"/>
          <w:sz w:val="20"/>
          <w:szCs w:val="20"/>
          <w:lang w:val="es-ES"/>
        </w:rPr>
        <w:t xml:space="preserve">junto </w:t>
      </w:r>
      <w:r w:rsidR="00B066DD" w:rsidRPr="007A0D4C">
        <w:rPr>
          <w:rFonts w:ascii="Cambria" w:hAnsi="Cambria"/>
          <w:sz w:val="20"/>
          <w:szCs w:val="20"/>
          <w:lang w:val="es-ES"/>
        </w:rPr>
        <w:t>con</w:t>
      </w:r>
      <w:r w:rsidRPr="007A0D4C">
        <w:rPr>
          <w:rFonts w:ascii="Cambria" w:hAnsi="Cambria"/>
          <w:sz w:val="20"/>
          <w:szCs w:val="20"/>
          <w:lang w:val="es-ES"/>
        </w:rPr>
        <w:t xml:space="preserve"> su colaborador Baldomero Cabral, </w:t>
      </w:r>
      <w:r w:rsidR="00B066DD" w:rsidRPr="007A0D4C">
        <w:rPr>
          <w:rFonts w:ascii="Cambria" w:hAnsi="Cambria"/>
          <w:sz w:val="20"/>
          <w:szCs w:val="20"/>
          <w:lang w:val="es-ES"/>
        </w:rPr>
        <w:t xml:space="preserve">cuando </w:t>
      </w:r>
      <w:r w:rsidRPr="007A0D4C">
        <w:rPr>
          <w:rFonts w:ascii="Cambria" w:hAnsi="Cambria"/>
          <w:sz w:val="20"/>
          <w:szCs w:val="20"/>
          <w:lang w:val="es-ES"/>
        </w:rPr>
        <w:t xml:space="preserve">fueron interceptados por </w:t>
      </w:r>
      <w:r w:rsidR="00AA051B" w:rsidRPr="007A0D4C">
        <w:rPr>
          <w:rFonts w:ascii="Cambria" w:hAnsi="Cambria"/>
          <w:sz w:val="20"/>
          <w:szCs w:val="20"/>
          <w:lang w:val="es-ES"/>
        </w:rPr>
        <w:t xml:space="preserve">tres individuos en </w:t>
      </w:r>
      <w:r w:rsidRPr="007A0D4C">
        <w:rPr>
          <w:rFonts w:ascii="Cambria" w:hAnsi="Cambria"/>
          <w:sz w:val="20"/>
          <w:szCs w:val="20"/>
          <w:lang w:val="es-ES"/>
        </w:rPr>
        <w:t>un vehículo Volkswagen Gol de color negro</w:t>
      </w:r>
      <w:r w:rsidR="00AA051B" w:rsidRPr="007A0D4C">
        <w:rPr>
          <w:rFonts w:ascii="Cambria" w:hAnsi="Cambria"/>
          <w:sz w:val="20"/>
          <w:szCs w:val="20"/>
          <w:lang w:val="es-ES"/>
        </w:rPr>
        <w:t>, sin chapa,</w:t>
      </w:r>
      <w:r w:rsidRPr="007A0D4C">
        <w:rPr>
          <w:rFonts w:ascii="Cambria" w:hAnsi="Cambria"/>
          <w:sz w:val="20"/>
          <w:szCs w:val="20"/>
          <w:lang w:val="es-ES"/>
        </w:rPr>
        <w:t xml:space="preserve"> desde donde les dispararon con armas </w:t>
      </w:r>
      <w:r w:rsidR="00B31B3A" w:rsidRPr="007A0D4C">
        <w:rPr>
          <w:rFonts w:ascii="Cambria" w:hAnsi="Cambria"/>
          <w:sz w:val="20"/>
          <w:szCs w:val="20"/>
          <w:lang w:val="es-ES"/>
        </w:rPr>
        <w:t xml:space="preserve">de fuego </w:t>
      </w:r>
      <w:r w:rsidRPr="007A0D4C">
        <w:rPr>
          <w:rFonts w:ascii="Cambria" w:hAnsi="Cambria"/>
          <w:sz w:val="20"/>
          <w:szCs w:val="20"/>
          <w:lang w:val="es-ES"/>
        </w:rPr>
        <w:t xml:space="preserve">de </w:t>
      </w:r>
      <w:r w:rsidR="00772C04" w:rsidRPr="007A0D4C">
        <w:rPr>
          <w:rFonts w:ascii="Cambria" w:hAnsi="Cambria"/>
          <w:sz w:val="20"/>
          <w:szCs w:val="20"/>
          <w:lang w:val="es-ES"/>
        </w:rPr>
        <w:t xml:space="preserve">distinto </w:t>
      </w:r>
      <w:r w:rsidRPr="007A0D4C">
        <w:rPr>
          <w:rFonts w:ascii="Cambria" w:hAnsi="Cambria"/>
          <w:sz w:val="20"/>
          <w:szCs w:val="20"/>
          <w:lang w:val="es-ES"/>
        </w:rPr>
        <w:t xml:space="preserve">calibre, causando la muerte del periodista. </w:t>
      </w:r>
      <w:r w:rsidR="00D91B82" w:rsidRPr="007A0D4C">
        <w:rPr>
          <w:rFonts w:ascii="Cambria" w:hAnsi="Cambria"/>
          <w:sz w:val="20"/>
          <w:szCs w:val="20"/>
          <w:lang w:val="es-ES"/>
        </w:rPr>
        <w:t>El periodista sufrió 21 heridas de bala</w:t>
      </w:r>
      <w:r w:rsidR="006252E6" w:rsidRPr="007A0D4C">
        <w:rPr>
          <w:rFonts w:ascii="Cambria" w:hAnsi="Cambria"/>
          <w:sz w:val="20"/>
          <w:szCs w:val="20"/>
          <w:lang w:val="es-ES"/>
        </w:rPr>
        <w:t>.</w:t>
      </w:r>
      <w:r w:rsidR="005335F1" w:rsidRPr="007A0D4C">
        <w:rPr>
          <w:rFonts w:ascii="Cambria" w:hAnsi="Cambria"/>
          <w:sz w:val="20"/>
          <w:szCs w:val="20"/>
          <w:lang w:val="es-ES"/>
        </w:rPr>
        <w:t xml:space="preserve"> Luego del incidente, </w:t>
      </w:r>
      <w:r w:rsidR="006766FD" w:rsidRPr="007A0D4C">
        <w:rPr>
          <w:rFonts w:ascii="Cambria" w:hAnsi="Cambria"/>
          <w:sz w:val="20"/>
          <w:szCs w:val="20"/>
          <w:lang w:val="es-ES"/>
        </w:rPr>
        <w:t xml:space="preserve">los presuntos autores del crimen cruzaron la frontera hacia la ciudad de </w:t>
      </w:r>
      <w:r w:rsidR="00A910B8">
        <w:rPr>
          <w:rFonts w:ascii="Cambria" w:hAnsi="Cambria"/>
          <w:sz w:val="20"/>
          <w:szCs w:val="20"/>
          <w:lang w:val="es-ES"/>
        </w:rPr>
        <w:t>Ponta Porã</w:t>
      </w:r>
      <w:r w:rsidR="006766FD" w:rsidRPr="007A0D4C">
        <w:rPr>
          <w:rFonts w:ascii="Cambria" w:hAnsi="Cambria"/>
          <w:sz w:val="20"/>
          <w:szCs w:val="20"/>
          <w:lang w:val="es-ES"/>
        </w:rPr>
        <w:t xml:space="preserve"> en Brasil</w:t>
      </w:r>
      <w:r w:rsidR="007B5781" w:rsidRPr="007A0D4C">
        <w:rPr>
          <w:rStyle w:val="FootnoteReference"/>
          <w:rFonts w:ascii="Cambria" w:hAnsi="Cambria"/>
          <w:sz w:val="20"/>
          <w:szCs w:val="20"/>
          <w:lang w:val="es-ES"/>
        </w:rPr>
        <w:footnoteReference w:id="12"/>
      </w:r>
      <w:r w:rsidR="007B5781" w:rsidRPr="007A0D4C">
        <w:rPr>
          <w:rFonts w:ascii="Cambria" w:hAnsi="Cambria"/>
          <w:sz w:val="20"/>
          <w:szCs w:val="20"/>
          <w:lang w:val="es-ES"/>
        </w:rPr>
        <w:t>.</w:t>
      </w:r>
    </w:p>
    <w:p w14:paraId="1316C160" w14:textId="77777777" w:rsidR="00667B4D" w:rsidRPr="007A0D4C" w:rsidRDefault="00667B4D"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143A6FD3" w14:textId="15073B64" w:rsidR="00082574" w:rsidRPr="007A0D4C" w:rsidRDefault="00107E37"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7A0D4C">
        <w:rPr>
          <w:rFonts w:ascii="Cambria" w:hAnsi="Cambria"/>
          <w:sz w:val="20"/>
          <w:szCs w:val="20"/>
          <w:lang w:val="es-ES"/>
        </w:rPr>
        <w:t>E</w:t>
      </w:r>
      <w:r w:rsidR="0095039A" w:rsidRPr="007A0D4C">
        <w:rPr>
          <w:rFonts w:ascii="Cambria" w:hAnsi="Cambria"/>
          <w:sz w:val="20"/>
          <w:szCs w:val="20"/>
          <w:lang w:val="es-ES"/>
        </w:rPr>
        <w:t xml:space="preserve">l </w:t>
      </w:r>
      <w:r w:rsidR="00AA3A0C" w:rsidRPr="007A0D4C">
        <w:rPr>
          <w:rFonts w:ascii="Cambria" w:hAnsi="Cambria"/>
          <w:sz w:val="20"/>
          <w:szCs w:val="20"/>
          <w:lang w:val="es-ES"/>
        </w:rPr>
        <w:t>mismo día del asesinato, Baldomero Cabral</w:t>
      </w:r>
      <w:r w:rsidR="001962B8" w:rsidRPr="007A0D4C">
        <w:rPr>
          <w:rFonts w:ascii="Cambria" w:hAnsi="Cambria"/>
          <w:sz w:val="20"/>
          <w:szCs w:val="20"/>
          <w:lang w:val="es-ES"/>
        </w:rPr>
        <w:t>,</w:t>
      </w:r>
      <w:r w:rsidR="00725642" w:rsidRPr="007A0D4C">
        <w:rPr>
          <w:rFonts w:ascii="Cambria" w:hAnsi="Cambria"/>
          <w:sz w:val="20"/>
          <w:szCs w:val="20"/>
          <w:lang w:val="es-ES"/>
        </w:rPr>
        <w:t xml:space="preserve"> testigo de los hechos</w:t>
      </w:r>
      <w:r w:rsidR="00946D5E" w:rsidRPr="007A0D4C">
        <w:rPr>
          <w:rFonts w:ascii="Cambria" w:hAnsi="Cambria"/>
          <w:sz w:val="20"/>
          <w:szCs w:val="20"/>
          <w:lang w:val="es-ES"/>
        </w:rPr>
        <w:t>,</w:t>
      </w:r>
      <w:r w:rsidR="00725642" w:rsidRPr="007A0D4C">
        <w:rPr>
          <w:rFonts w:ascii="Cambria" w:hAnsi="Cambria"/>
          <w:sz w:val="20"/>
          <w:szCs w:val="20"/>
          <w:lang w:val="es-ES"/>
        </w:rPr>
        <w:t xml:space="preserve"> quien se encontraba en el vehículo al </w:t>
      </w:r>
      <w:r w:rsidR="00C2212F" w:rsidRPr="007A0D4C">
        <w:rPr>
          <w:rFonts w:ascii="Cambria" w:hAnsi="Cambria"/>
          <w:sz w:val="20"/>
          <w:szCs w:val="20"/>
          <w:lang w:val="es-ES"/>
        </w:rPr>
        <w:t>momento</w:t>
      </w:r>
      <w:r w:rsidR="00725642" w:rsidRPr="007A0D4C">
        <w:rPr>
          <w:rFonts w:ascii="Cambria" w:hAnsi="Cambria"/>
          <w:sz w:val="20"/>
          <w:szCs w:val="20"/>
          <w:lang w:val="es-ES"/>
        </w:rPr>
        <w:t xml:space="preserve"> del atentado, declaró que</w:t>
      </w:r>
      <w:r w:rsidR="00BB37D9" w:rsidRPr="007A0D4C">
        <w:rPr>
          <w:rFonts w:ascii="Cambria" w:hAnsi="Cambria"/>
          <w:sz w:val="20"/>
          <w:szCs w:val="20"/>
          <w:lang w:val="es-ES"/>
        </w:rPr>
        <w:t>,</w:t>
      </w:r>
      <w:r w:rsidR="00725642" w:rsidRPr="007A0D4C">
        <w:rPr>
          <w:rFonts w:ascii="Cambria" w:hAnsi="Cambria"/>
          <w:sz w:val="20"/>
          <w:szCs w:val="20"/>
          <w:lang w:val="es-ES"/>
        </w:rPr>
        <w:t xml:space="preserve"> </w:t>
      </w:r>
      <w:r w:rsidR="00657AC1" w:rsidRPr="007A0D4C">
        <w:rPr>
          <w:rFonts w:ascii="Cambria" w:hAnsi="Cambria"/>
          <w:sz w:val="20"/>
          <w:szCs w:val="20"/>
          <w:lang w:val="es-ES"/>
        </w:rPr>
        <w:t xml:space="preserve">al escuchar </w:t>
      </w:r>
      <w:r w:rsidR="00C2212F" w:rsidRPr="007A0D4C">
        <w:rPr>
          <w:rFonts w:ascii="Cambria" w:hAnsi="Cambria"/>
          <w:sz w:val="20"/>
          <w:szCs w:val="20"/>
          <w:lang w:val="es-ES"/>
        </w:rPr>
        <w:t xml:space="preserve">el primer </w:t>
      </w:r>
      <w:r w:rsidR="00657AC1" w:rsidRPr="007A0D4C">
        <w:rPr>
          <w:rFonts w:ascii="Cambria" w:hAnsi="Cambria"/>
          <w:sz w:val="20"/>
          <w:szCs w:val="20"/>
          <w:lang w:val="es-ES"/>
        </w:rPr>
        <w:t xml:space="preserve">disparo, Santiago Leguizamón </w:t>
      </w:r>
      <w:r w:rsidR="00C2212F" w:rsidRPr="007A0D4C">
        <w:rPr>
          <w:rFonts w:ascii="Cambria" w:hAnsi="Cambria"/>
          <w:sz w:val="20"/>
          <w:szCs w:val="20"/>
          <w:lang w:val="es-ES"/>
        </w:rPr>
        <w:t>le dijo “</w:t>
      </w:r>
      <w:r w:rsidR="00B76133" w:rsidRPr="007A0D4C">
        <w:rPr>
          <w:rFonts w:ascii="Cambria" w:hAnsi="Cambria"/>
          <w:sz w:val="20"/>
          <w:szCs w:val="20"/>
          <w:lang w:val="es-ES"/>
        </w:rPr>
        <w:t>corre y escápate porque vos podés salvarte, y yo ya no puedo”.</w:t>
      </w:r>
      <w:r w:rsidR="00946D5E" w:rsidRPr="007A0D4C">
        <w:rPr>
          <w:rFonts w:ascii="Cambria" w:hAnsi="Cambria"/>
          <w:sz w:val="20"/>
          <w:szCs w:val="20"/>
          <w:lang w:val="es-ES"/>
        </w:rPr>
        <w:t xml:space="preserve"> Baldomero Cabral logró escapar de la escena del crimen</w:t>
      </w:r>
      <w:r w:rsidR="00F613D9" w:rsidRPr="007A0D4C">
        <w:rPr>
          <w:rFonts w:ascii="Cambria" w:hAnsi="Cambria"/>
          <w:sz w:val="20"/>
          <w:szCs w:val="20"/>
          <w:lang w:val="es-ES"/>
        </w:rPr>
        <w:t>, refugiándose donde un vecino</w:t>
      </w:r>
      <w:r w:rsidR="00F613D9" w:rsidRPr="007A0D4C">
        <w:rPr>
          <w:rStyle w:val="FootnoteReference"/>
          <w:rFonts w:ascii="Cambria" w:hAnsi="Cambria"/>
          <w:sz w:val="20"/>
          <w:szCs w:val="20"/>
          <w:lang w:val="es-ES"/>
        </w:rPr>
        <w:footnoteReference w:id="13"/>
      </w:r>
      <w:r w:rsidR="00F613D9" w:rsidRPr="007A0D4C">
        <w:rPr>
          <w:rFonts w:ascii="Cambria" w:hAnsi="Cambria"/>
          <w:sz w:val="20"/>
          <w:szCs w:val="20"/>
          <w:lang w:val="es-ES"/>
        </w:rPr>
        <w:t>.</w:t>
      </w:r>
    </w:p>
    <w:p w14:paraId="517E2087" w14:textId="77777777" w:rsidR="005564DD" w:rsidRPr="007A0D4C" w:rsidRDefault="005564DD"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6C92F644" w14:textId="6E4D5ADC" w:rsidR="002A0F92" w:rsidRPr="000D369F" w:rsidRDefault="00701D21"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7A0D4C">
        <w:rPr>
          <w:rFonts w:ascii="Cambria" w:hAnsi="Cambria"/>
          <w:sz w:val="20"/>
          <w:szCs w:val="20"/>
          <w:lang w:val="es-PE"/>
        </w:rPr>
        <w:t xml:space="preserve">Con anterioridad al asesinato, </w:t>
      </w:r>
      <w:r w:rsidRPr="007A0D4C">
        <w:rPr>
          <w:rFonts w:ascii="Cambria" w:hAnsi="Cambria"/>
          <w:sz w:val="20"/>
          <w:szCs w:val="20"/>
          <w:lang w:val="es-VE"/>
        </w:rPr>
        <w:t>el periodista recibió</w:t>
      </w:r>
      <w:r w:rsidRPr="007A0D4C">
        <w:rPr>
          <w:rFonts w:ascii="Cambria" w:hAnsi="Cambria"/>
          <w:sz w:val="20"/>
          <w:szCs w:val="20"/>
          <w:lang w:val="es-PE"/>
        </w:rPr>
        <w:t xml:space="preserve"> amenazas </w:t>
      </w:r>
      <w:r w:rsidR="00B146D7" w:rsidRPr="007A0D4C">
        <w:rPr>
          <w:rFonts w:ascii="Cambria" w:hAnsi="Cambria"/>
          <w:sz w:val="20"/>
          <w:szCs w:val="20"/>
          <w:lang w:val="es-PE"/>
        </w:rPr>
        <w:t xml:space="preserve">en distintas oportunidades </w:t>
      </w:r>
      <w:r w:rsidRPr="000D369F">
        <w:rPr>
          <w:rFonts w:ascii="Cambria" w:hAnsi="Cambria"/>
          <w:sz w:val="20"/>
          <w:szCs w:val="20"/>
          <w:lang w:val="es-PE"/>
        </w:rPr>
        <w:t xml:space="preserve">por </w:t>
      </w:r>
      <w:r w:rsidR="00B146D7" w:rsidRPr="000D369F">
        <w:rPr>
          <w:rFonts w:ascii="Cambria" w:hAnsi="Cambria"/>
          <w:sz w:val="20"/>
          <w:szCs w:val="20"/>
          <w:lang w:val="es-PE"/>
        </w:rPr>
        <w:t xml:space="preserve">el ejercicio de </w:t>
      </w:r>
      <w:r w:rsidRPr="000D369F">
        <w:rPr>
          <w:rFonts w:ascii="Cambria" w:hAnsi="Cambria"/>
          <w:sz w:val="20"/>
          <w:szCs w:val="20"/>
          <w:lang w:val="es-PE"/>
        </w:rPr>
        <w:t>su labor periodística</w:t>
      </w:r>
      <w:r w:rsidR="00757699" w:rsidRPr="000D369F">
        <w:rPr>
          <w:rFonts w:ascii="Cambria" w:hAnsi="Cambria"/>
          <w:sz w:val="20"/>
          <w:szCs w:val="20"/>
          <w:lang w:val="es-PE"/>
        </w:rPr>
        <w:t xml:space="preserve">, </w:t>
      </w:r>
      <w:r w:rsidR="004F3838" w:rsidRPr="004F0E83">
        <w:rPr>
          <w:rFonts w:ascii="Cambria" w:hAnsi="Cambria"/>
          <w:sz w:val="20"/>
          <w:szCs w:val="20"/>
          <w:lang w:val="es-PE"/>
        </w:rPr>
        <w:t>incluso</w:t>
      </w:r>
      <w:r w:rsidR="00C028AF" w:rsidRPr="004F0E83">
        <w:rPr>
          <w:rFonts w:ascii="Cambria" w:hAnsi="Cambria"/>
          <w:sz w:val="20"/>
          <w:szCs w:val="20"/>
          <w:lang w:val="es-PE"/>
        </w:rPr>
        <w:t xml:space="preserve"> días antes de su muerte</w:t>
      </w:r>
      <w:r w:rsidR="004F3838" w:rsidRPr="004F0E83">
        <w:rPr>
          <w:rFonts w:ascii="Cambria" w:hAnsi="Cambria"/>
          <w:sz w:val="20"/>
          <w:szCs w:val="20"/>
          <w:lang w:val="es-PE"/>
        </w:rPr>
        <w:t>,</w:t>
      </w:r>
      <w:r w:rsidR="00C028AF" w:rsidRPr="004F0E83">
        <w:rPr>
          <w:rFonts w:ascii="Cambria" w:hAnsi="Cambria"/>
          <w:sz w:val="20"/>
          <w:szCs w:val="20"/>
          <w:lang w:val="es-PE"/>
        </w:rPr>
        <w:t xml:space="preserve"> </w:t>
      </w:r>
      <w:r w:rsidR="00757699" w:rsidRPr="004F0E83">
        <w:rPr>
          <w:rFonts w:ascii="Cambria" w:hAnsi="Cambria"/>
          <w:sz w:val="20"/>
          <w:szCs w:val="20"/>
          <w:lang w:val="es-PE"/>
        </w:rPr>
        <w:t>las cuales</w:t>
      </w:r>
      <w:r w:rsidR="00757699" w:rsidRPr="000D369F">
        <w:rPr>
          <w:rFonts w:ascii="Cambria" w:hAnsi="Cambria"/>
          <w:sz w:val="20"/>
          <w:szCs w:val="20"/>
          <w:lang w:val="es-PE"/>
        </w:rPr>
        <w:t xml:space="preserve"> </w:t>
      </w:r>
      <w:r w:rsidR="009A778C" w:rsidRPr="000D369F">
        <w:rPr>
          <w:rFonts w:ascii="Cambria" w:hAnsi="Cambria"/>
          <w:sz w:val="20"/>
          <w:szCs w:val="20"/>
          <w:lang w:val="es-PE"/>
        </w:rPr>
        <w:t>eran de</w:t>
      </w:r>
      <w:r w:rsidR="00757699" w:rsidRPr="000D369F">
        <w:rPr>
          <w:rFonts w:ascii="Cambria" w:hAnsi="Cambria"/>
          <w:sz w:val="20"/>
          <w:szCs w:val="20"/>
          <w:lang w:val="es-PE"/>
        </w:rPr>
        <w:t xml:space="preserve"> conocimiento de su esposa </w:t>
      </w:r>
      <w:r w:rsidR="00757699" w:rsidRPr="000D369F">
        <w:rPr>
          <w:rFonts w:ascii="Cambria" w:hAnsi="Cambria"/>
          <w:sz w:val="20"/>
          <w:szCs w:val="20"/>
          <w:lang w:val="es-PE"/>
        </w:rPr>
        <w:lastRenderedPageBreak/>
        <w:t>y de diversos colegas periodistas</w:t>
      </w:r>
      <w:r w:rsidR="00E86963" w:rsidRPr="000D369F">
        <w:rPr>
          <w:rFonts w:ascii="Cambria" w:hAnsi="Cambria"/>
          <w:sz w:val="20"/>
          <w:szCs w:val="20"/>
          <w:lang w:val="es-PE"/>
        </w:rPr>
        <w:t xml:space="preserve"> y compañeros de trabajo</w:t>
      </w:r>
      <w:r w:rsidR="003A3853" w:rsidRPr="000D369F">
        <w:rPr>
          <w:rFonts w:ascii="Cambria" w:hAnsi="Cambria"/>
          <w:sz w:val="20"/>
          <w:szCs w:val="20"/>
          <w:lang w:val="es-PE"/>
        </w:rPr>
        <w:t>. Santiago Leguizamón no identificó la fuente de las amenazas</w:t>
      </w:r>
      <w:r w:rsidR="00E86963" w:rsidRPr="000D369F">
        <w:rPr>
          <w:rStyle w:val="FootnoteReference"/>
          <w:rFonts w:ascii="Cambria" w:hAnsi="Cambria"/>
          <w:sz w:val="20"/>
          <w:szCs w:val="20"/>
          <w:lang w:val="es-PE"/>
        </w:rPr>
        <w:footnoteReference w:id="14"/>
      </w:r>
      <w:r w:rsidR="00A910B8">
        <w:rPr>
          <w:rFonts w:ascii="Cambria" w:hAnsi="Cambria"/>
          <w:sz w:val="20"/>
          <w:szCs w:val="20"/>
          <w:lang w:val="es-PE"/>
        </w:rPr>
        <w:t>, sin embargo, las</w:t>
      </w:r>
      <w:r w:rsidR="009A778C" w:rsidRPr="000D369F">
        <w:rPr>
          <w:rFonts w:ascii="Cambria" w:hAnsi="Cambria"/>
          <w:sz w:val="20"/>
          <w:szCs w:val="20"/>
          <w:lang w:val="es-PE"/>
        </w:rPr>
        <w:t xml:space="preserve"> hizo públicas, a través de su programa radial</w:t>
      </w:r>
      <w:r w:rsidR="003E18CB" w:rsidRPr="000D369F">
        <w:rPr>
          <w:rStyle w:val="FootnoteReference"/>
          <w:rFonts w:ascii="Cambria" w:hAnsi="Cambria"/>
          <w:sz w:val="20"/>
          <w:szCs w:val="20"/>
          <w:lang w:val="es-PE"/>
        </w:rPr>
        <w:footnoteReference w:id="15"/>
      </w:r>
      <w:r w:rsidR="009A778C" w:rsidRPr="000D369F">
        <w:rPr>
          <w:rFonts w:ascii="Cambria" w:hAnsi="Cambria"/>
          <w:sz w:val="20"/>
          <w:szCs w:val="20"/>
          <w:lang w:val="es-PE"/>
        </w:rPr>
        <w:t xml:space="preserve">. </w:t>
      </w:r>
      <w:r w:rsidR="00910051" w:rsidRPr="000D369F">
        <w:rPr>
          <w:rFonts w:ascii="Cambria" w:hAnsi="Cambria"/>
          <w:sz w:val="20"/>
          <w:szCs w:val="20"/>
          <w:lang w:val="es-PE"/>
        </w:rPr>
        <w:t xml:space="preserve">En particular, </w:t>
      </w:r>
      <w:r w:rsidR="00830987" w:rsidRPr="000D369F">
        <w:rPr>
          <w:rFonts w:ascii="Cambria" w:hAnsi="Cambria"/>
          <w:sz w:val="20"/>
          <w:szCs w:val="20"/>
          <w:lang w:val="es-PE"/>
        </w:rPr>
        <w:t xml:space="preserve">el locutor </w:t>
      </w:r>
      <w:r w:rsidR="00771452" w:rsidRPr="000D369F">
        <w:rPr>
          <w:rFonts w:ascii="Cambria" w:hAnsi="Cambria"/>
          <w:sz w:val="20"/>
          <w:szCs w:val="20"/>
          <w:lang w:val="es-PE"/>
        </w:rPr>
        <w:t xml:space="preserve">Kiko Servián, dijo que </w:t>
      </w:r>
      <w:r w:rsidR="004C506E" w:rsidRPr="000D369F">
        <w:rPr>
          <w:rFonts w:ascii="Cambria" w:hAnsi="Cambria"/>
          <w:sz w:val="20"/>
          <w:szCs w:val="20"/>
          <w:lang w:val="es-PE"/>
        </w:rPr>
        <w:t xml:space="preserve">días antes de la muerte de Leguizamón, mientras ambos conducían </w:t>
      </w:r>
      <w:r w:rsidR="00771452" w:rsidRPr="000D369F">
        <w:rPr>
          <w:rFonts w:ascii="Cambria" w:hAnsi="Cambria"/>
          <w:sz w:val="20"/>
          <w:szCs w:val="20"/>
          <w:lang w:val="es-PE"/>
        </w:rPr>
        <w:t>el programa “Puerta</w:t>
      </w:r>
      <w:r w:rsidR="00A910B8">
        <w:rPr>
          <w:rFonts w:ascii="Cambria" w:hAnsi="Cambria"/>
          <w:sz w:val="20"/>
          <w:szCs w:val="20"/>
          <w:lang w:val="es-PE"/>
        </w:rPr>
        <w:t>s</w:t>
      </w:r>
      <w:r w:rsidR="00771452" w:rsidRPr="000D369F">
        <w:rPr>
          <w:rFonts w:ascii="Cambria" w:hAnsi="Cambria"/>
          <w:sz w:val="20"/>
          <w:szCs w:val="20"/>
          <w:lang w:val="es-PE"/>
        </w:rPr>
        <w:t xml:space="preserve"> Abierta</w:t>
      </w:r>
      <w:r w:rsidR="00A910B8">
        <w:rPr>
          <w:rFonts w:ascii="Cambria" w:hAnsi="Cambria"/>
          <w:sz w:val="20"/>
          <w:szCs w:val="20"/>
          <w:lang w:val="es-PE"/>
        </w:rPr>
        <w:t>s</w:t>
      </w:r>
      <w:r w:rsidR="00771452" w:rsidRPr="000D369F">
        <w:rPr>
          <w:rFonts w:ascii="Cambria" w:hAnsi="Cambria"/>
          <w:sz w:val="20"/>
          <w:szCs w:val="20"/>
          <w:lang w:val="es-PE"/>
        </w:rPr>
        <w:t xml:space="preserve">”, </w:t>
      </w:r>
      <w:r w:rsidR="004C506E" w:rsidRPr="000D369F">
        <w:rPr>
          <w:rFonts w:ascii="Cambria" w:hAnsi="Cambria"/>
          <w:sz w:val="20"/>
          <w:szCs w:val="20"/>
          <w:lang w:val="es-PE"/>
        </w:rPr>
        <w:t xml:space="preserve">este último manifestó públicamente </w:t>
      </w:r>
      <w:r w:rsidR="00C06134" w:rsidRPr="000D369F">
        <w:rPr>
          <w:rFonts w:ascii="Cambria" w:hAnsi="Cambria"/>
          <w:sz w:val="20"/>
          <w:szCs w:val="20"/>
          <w:lang w:val="es-PE"/>
        </w:rPr>
        <w:t>que conocía</w:t>
      </w:r>
      <w:r w:rsidR="00EC34DE" w:rsidRPr="000D369F">
        <w:rPr>
          <w:rFonts w:ascii="Cambria" w:hAnsi="Cambria"/>
          <w:sz w:val="20"/>
          <w:szCs w:val="20"/>
          <w:lang w:val="es-PE"/>
        </w:rPr>
        <w:t xml:space="preserve"> las amenazas de muerte en su contra y preguntaba de quiénes provendría</w:t>
      </w:r>
      <w:r w:rsidR="00A910B8">
        <w:rPr>
          <w:rFonts w:ascii="Cambria" w:hAnsi="Cambria"/>
          <w:sz w:val="20"/>
          <w:szCs w:val="20"/>
          <w:lang w:val="es-PE"/>
        </w:rPr>
        <w:t>n</w:t>
      </w:r>
      <w:r w:rsidR="00EC34DE" w:rsidRPr="000D369F">
        <w:rPr>
          <w:rStyle w:val="FootnoteReference"/>
          <w:rFonts w:ascii="Cambria" w:hAnsi="Cambria"/>
          <w:sz w:val="20"/>
          <w:szCs w:val="20"/>
          <w:lang w:val="es-PE"/>
        </w:rPr>
        <w:footnoteReference w:id="16"/>
      </w:r>
      <w:r w:rsidR="00EC34DE" w:rsidRPr="000D369F">
        <w:rPr>
          <w:rFonts w:ascii="Cambria" w:hAnsi="Cambria"/>
          <w:sz w:val="20"/>
          <w:szCs w:val="20"/>
          <w:lang w:val="es-PE"/>
        </w:rPr>
        <w:t>.</w:t>
      </w:r>
      <w:r w:rsidR="002A0F92" w:rsidRPr="000D369F">
        <w:rPr>
          <w:rFonts w:ascii="Cambria" w:hAnsi="Cambria"/>
          <w:sz w:val="20"/>
          <w:szCs w:val="20"/>
          <w:lang w:val="es-PE"/>
        </w:rPr>
        <w:t xml:space="preserve"> Asimismo, un amigo cercano del periodista, </w:t>
      </w:r>
      <w:r w:rsidR="00A80DEC" w:rsidRPr="000D369F">
        <w:rPr>
          <w:rFonts w:ascii="Cambria" w:hAnsi="Cambria"/>
          <w:sz w:val="20"/>
          <w:szCs w:val="20"/>
          <w:lang w:val="es-PE"/>
        </w:rPr>
        <w:t xml:space="preserve">le advirtió </w:t>
      </w:r>
      <w:r w:rsidR="004B4606" w:rsidRPr="000D369F">
        <w:rPr>
          <w:rFonts w:ascii="Cambria" w:hAnsi="Cambria"/>
          <w:sz w:val="20"/>
          <w:szCs w:val="20"/>
          <w:lang w:val="es-PE"/>
        </w:rPr>
        <w:t xml:space="preserve">que se cuidara porque había </w:t>
      </w:r>
      <w:r w:rsidR="003A2797" w:rsidRPr="000D369F">
        <w:rPr>
          <w:rFonts w:ascii="Cambria" w:hAnsi="Cambria"/>
          <w:sz w:val="20"/>
          <w:szCs w:val="20"/>
          <w:lang w:val="es-PE"/>
        </w:rPr>
        <w:t>recibido información</w:t>
      </w:r>
      <w:r w:rsidR="004B4606" w:rsidRPr="000D369F">
        <w:rPr>
          <w:rFonts w:ascii="Cambria" w:hAnsi="Cambria"/>
          <w:sz w:val="20"/>
          <w:szCs w:val="20"/>
          <w:lang w:val="es-PE"/>
        </w:rPr>
        <w:t xml:space="preserve"> que </w:t>
      </w:r>
      <w:r w:rsidR="00FE09CF" w:rsidRPr="000D369F">
        <w:rPr>
          <w:rFonts w:ascii="Cambria" w:hAnsi="Cambria"/>
          <w:sz w:val="20"/>
          <w:szCs w:val="20"/>
          <w:lang w:val="es-PE"/>
        </w:rPr>
        <w:t xml:space="preserve">querían matarlo </w:t>
      </w:r>
      <w:r w:rsidR="0080122B" w:rsidRPr="000D369F">
        <w:rPr>
          <w:rFonts w:ascii="Cambria" w:hAnsi="Cambria"/>
          <w:sz w:val="20"/>
          <w:szCs w:val="20"/>
          <w:lang w:val="es-PE"/>
        </w:rPr>
        <w:t>por l</w:t>
      </w:r>
      <w:r w:rsidR="000B3B8D" w:rsidRPr="000D369F">
        <w:rPr>
          <w:rFonts w:ascii="Cambria" w:hAnsi="Cambria"/>
          <w:sz w:val="20"/>
          <w:szCs w:val="20"/>
          <w:lang w:val="es-PE"/>
        </w:rPr>
        <w:t xml:space="preserve">as denuncias </w:t>
      </w:r>
      <w:r w:rsidR="00C33423" w:rsidRPr="000D369F">
        <w:rPr>
          <w:rFonts w:ascii="Cambria" w:hAnsi="Cambria"/>
          <w:sz w:val="20"/>
          <w:szCs w:val="20"/>
          <w:lang w:val="es-PE"/>
        </w:rPr>
        <w:t>permanente</w:t>
      </w:r>
      <w:r w:rsidR="003A2797" w:rsidRPr="000D369F">
        <w:rPr>
          <w:rFonts w:ascii="Cambria" w:hAnsi="Cambria"/>
          <w:sz w:val="20"/>
          <w:szCs w:val="20"/>
          <w:lang w:val="es-PE"/>
        </w:rPr>
        <w:t xml:space="preserve">s </w:t>
      </w:r>
      <w:r w:rsidR="000B3B8D" w:rsidRPr="000D369F">
        <w:rPr>
          <w:rFonts w:ascii="Cambria" w:hAnsi="Cambria"/>
          <w:sz w:val="20"/>
          <w:szCs w:val="20"/>
          <w:lang w:val="es-PE"/>
        </w:rPr>
        <w:t>que hacía sobre la problemática de la zona</w:t>
      </w:r>
      <w:r w:rsidR="00477FFE" w:rsidRPr="000D369F">
        <w:rPr>
          <w:rStyle w:val="FootnoteReference"/>
          <w:rFonts w:ascii="Cambria" w:hAnsi="Cambria"/>
          <w:sz w:val="20"/>
          <w:szCs w:val="20"/>
          <w:lang w:val="es-PE"/>
        </w:rPr>
        <w:footnoteReference w:id="17"/>
      </w:r>
      <w:r w:rsidR="00C33423" w:rsidRPr="000D369F">
        <w:rPr>
          <w:rFonts w:ascii="Cambria" w:hAnsi="Cambria"/>
          <w:sz w:val="20"/>
          <w:szCs w:val="20"/>
          <w:lang w:val="es-PE"/>
        </w:rPr>
        <w:t>.</w:t>
      </w:r>
    </w:p>
    <w:p w14:paraId="726C9E93" w14:textId="77777777" w:rsidR="00C80917" w:rsidRPr="000D369F" w:rsidRDefault="00C80917"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255D7954" w14:textId="4934E116" w:rsidR="00544E8D" w:rsidRPr="00D51469" w:rsidRDefault="00065E2C"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D51469">
        <w:rPr>
          <w:rFonts w:ascii="Cambria" w:hAnsi="Cambria"/>
          <w:sz w:val="20"/>
          <w:szCs w:val="20"/>
          <w:lang w:val="es-ES"/>
        </w:rPr>
        <w:t>A</w:t>
      </w:r>
      <w:r w:rsidR="008E1F4B" w:rsidRPr="00D51469">
        <w:rPr>
          <w:rFonts w:ascii="Cambria" w:hAnsi="Cambria"/>
          <w:sz w:val="20"/>
          <w:szCs w:val="20"/>
          <w:lang w:val="es-ES"/>
        </w:rPr>
        <w:t>demás</w:t>
      </w:r>
      <w:r w:rsidRPr="00D51469">
        <w:rPr>
          <w:rFonts w:ascii="Cambria" w:hAnsi="Cambria"/>
          <w:sz w:val="20"/>
          <w:szCs w:val="20"/>
          <w:lang w:val="es-ES"/>
        </w:rPr>
        <w:t>, según declaraciones</w:t>
      </w:r>
      <w:r w:rsidR="00B91117" w:rsidRPr="00D51469">
        <w:rPr>
          <w:rFonts w:ascii="Cambria" w:hAnsi="Cambria"/>
          <w:sz w:val="20"/>
          <w:szCs w:val="20"/>
          <w:lang w:val="es-ES"/>
        </w:rPr>
        <w:t>,</w:t>
      </w:r>
      <w:r w:rsidRPr="00D51469">
        <w:rPr>
          <w:rFonts w:ascii="Cambria" w:hAnsi="Cambria"/>
          <w:sz w:val="20"/>
          <w:szCs w:val="20"/>
          <w:lang w:val="es-ES"/>
        </w:rPr>
        <w:t xml:space="preserve"> </w:t>
      </w:r>
      <w:r w:rsidR="00B113AC" w:rsidRPr="00D51469">
        <w:rPr>
          <w:rFonts w:ascii="Cambria" w:hAnsi="Cambria"/>
          <w:sz w:val="20"/>
          <w:szCs w:val="20"/>
          <w:lang w:val="es-ES"/>
        </w:rPr>
        <w:t>el</w:t>
      </w:r>
      <w:r w:rsidR="00701D21" w:rsidRPr="00D51469">
        <w:rPr>
          <w:rFonts w:ascii="Cambria" w:hAnsi="Cambria"/>
          <w:sz w:val="20"/>
          <w:szCs w:val="20"/>
          <w:lang w:val="es-ES"/>
        </w:rPr>
        <w:t xml:space="preserve"> periodista le decía a su equipo de trabajo que </w:t>
      </w:r>
      <w:r w:rsidR="00667255" w:rsidRPr="00D51469">
        <w:rPr>
          <w:rFonts w:ascii="Cambria" w:hAnsi="Cambria"/>
          <w:sz w:val="20"/>
          <w:szCs w:val="20"/>
          <w:lang w:val="es-ES"/>
        </w:rPr>
        <w:t xml:space="preserve">“era necesario cuidarse </w:t>
      </w:r>
      <w:r w:rsidR="00701D21" w:rsidRPr="00D51469">
        <w:rPr>
          <w:rFonts w:ascii="Cambria" w:hAnsi="Cambria"/>
          <w:sz w:val="20"/>
          <w:szCs w:val="20"/>
          <w:lang w:val="es-ES"/>
        </w:rPr>
        <w:t>y estar en permanente vigilancia”</w:t>
      </w:r>
      <w:r w:rsidR="009D32BD" w:rsidRPr="00D51469">
        <w:rPr>
          <w:rFonts w:ascii="Cambria" w:hAnsi="Cambria"/>
          <w:sz w:val="20"/>
          <w:szCs w:val="20"/>
          <w:lang w:val="es-ES"/>
        </w:rPr>
        <w:t xml:space="preserve">, por lo que </w:t>
      </w:r>
      <w:r w:rsidR="006D5ECA" w:rsidRPr="00D51469">
        <w:rPr>
          <w:rFonts w:ascii="Cambria" w:hAnsi="Cambria"/>
          <w:sz w:val="20"/>
          <w:szCs w:val="20"/>
          <w:lang w:val="es-ES"/>
        </w:rPr>
        <w:t>Baldomero Cabral, sobre todo en horas de la noche, portaba un</w:t>
      </w:r>
      <w:r w:rsidR="00FC0BB2" w:rsidRPr="00D51469">
        <w:rPr>
          <w:rFonts w:ascii="Cambria" w:hAnsi="Cambria"/>
          <w:sz w:val="20"/>
          <w:szCs w:val="20"/>
          <w:lang w:val="es-ES"/>
        </w:rPr>
        <w:t xml:space="preserve"> revolver calibre </w:t>
      </w:r>
      <w:r w:rsidR="006D5ECA" w:rsidRPr="00D51469">
        <w:rPr>
          <w:rFonts w:ascii="Cambria" w:hAnsi="Cambria"/>
          <w:sz w:val="20"/>
          <w:szCs w:val="20"/>
          <w:lang w:val="es-ES"/>
        </w:rPr>
        <w:t>38 mm</w:t>
      </w:r>
      <w:r w:rsidR="00736E07" w:rsidRPr="00D51469">
        <w:rPr>
          <w:rFonts w:ascii="Cambria" w:hAnsi="Cambria"/>
          <w:sz w:val="20"/>
          <w:szCs w:val="20"/>
          <w:lang w:val="es-ES"/>
        </w:rPr>
        <w:t xml:space="preserve"> cuando salía en compañía de Santiago Leguizamón</w:t>
      </w:r>
      <w:r w:rsidR="00FC0BB2" w:rsidRPr="00D51469">
        <w:rPr>
          <w:rFonts w:ascii="Cambria" w:hAnsi="Cambria"/>
          <w:sz w:val="20"/>
          <w:szCs w:val="20"/>
          <w:lang w:val="es-ES"/>
        </w:rPr>
        <w:t xml:space="preserve">, </w:t>
      </w:r>
      <w:r w:rsidR="00F06A83" w:rsidRPr="00D51469">
        <w:rPr>
          <w:rFonts w:ascii="Cambria" w:hAnsi="Cambria"/>
          <w:sz w:val="20"/>
          <w:szCs w:val="20"/>
          <w:lang w:val="es-ES"/>
        </w:rPr>
        <w:t>para la protección de ambos, la cual fue p</w:t>
      </w:r>
      <w:r w:rsidR="00FC0BB2" w:rsidRPr="00D51469">
        <w:rPr>
          <w:rFonts w:ascii="Cambria" w:hAnsi="Cambria"/>
          <w:sz w:val="20"/>
          <w:szCs w:val="20"/>
          <w:lang w:val="es-ES"/>
        </w:rPr>
        <w:t>roporcionada por el propio</w:t>
      </w:r>
      <w:r w:rsidR="00317593" w:rsidRPr="00D51469">
        <w:rPr>
          <w:rFonts w:ascii="Cambria" w:hAnsi="Cambria"/>
          <w:sz w:val="20"/>
          <w:szCs w:val="20"/>
          <w:lang w:val="es-ES"/>
        </w:rPr>
        <w:t xml:space="preserve"> periodista</w:t>
      </w:r>
      <w:r w:rsidR="009941C8" w:rsidRPr="00D51469">
        <w:rPr>
          <w:rStyle w:val="FootnoteReference"/>
          <w:rFonts w:ascii="Cambria" w:hAnsi="Cambria"/>
          <w:sz w:val="20"/>
          <w:szCs w:val="20"/>
          <w:lang w:val="es-ES"/>
        </w:rPr>
        <w:footnoteReference w:id="18"/>
      </w:r>
      <w:r w:rsidR="00F06A83" w:rsidRPr="00D51469">
        <w:rPr>
          <w:rFonts w:ascii="Cambria" w:hAnsi="Cambria"/>
          <w:sz w:val="20"/>
          <w:szCs w:val="20"/>
          <w:lang w:val="es-ES"/>
        </w:rPr>
        <w:t xml:space="preserve">. </w:t>
      </w:r>
      <w:r w:rsidR="00490F27" w:rsidRPr="00D51469">
        <w:rPr>
          <w:rFonts w:ascii="Cambria" w:hAnsi="Cambria"/>
          <w:sz w:val="20"/>
          <w:szCs w:val="20"/>
          <w:lang w:val="es-ES"/>
        </w:rPr>
        <w:t>Santiago Leguizamón también</w:t>
      </w:r>
      <w:r w:rsidR="0088044E" w:rsidRPr="00D51469">
        <w:rPr>
          <w:rFonts w:ascii="Cambria" w:hAnsi="Cambria"/>
          <w:sz w:val="20"/>
          <w:szCs w:val="20"/>
          <w:lang w:val="es-ES"/>
        </w:rPr>
        <w:t xml:space="preserve"> adoptó</w:t>
      </w:r>
      <w:r w:rsidR="00490F27" w:rsidRPr="00D51469">
        <w:rPr>
          <w:rFonts w:ascii="Cambria" w:hAnsi="Cambria"/>
          <w:sz w:val="20"/>
          <w:szCs w:val="20"/>
          <w:lang w:val="es-ES"/>
        </w:rPr>
        <w:t xml:space="preserve"> otras</w:t>
      </w:r>
      <w:r w:rsidR="0088044E" w:rsidRPr="00D51469">
        <w:rPr>
          <w:rFonts w:ascii="Cambria" w:hAnsi="Cambria"/>
          <w:sz w:val="20"/>
          <w:szCs w:val="20"/>
          <w:lang w:val="es-ES"/>
        </w:rPr>
        <w:t xml:space="preserve"> medidas de seguridad</w:t>
      </w:r>
      <w:r w:rsidR="00490F27" w:rsidRPr="00D51469">
        <w:rPr>
          <w:rFonts w:ascii="Cambria" w:hAnsi="Cambria"/>
          <w:sz w:val="20"/>
          <w:szCs w:val="20"/>
          <w:lang w:val="es-ES"/>
        </w:rPr>
        <w:t xml:space="preserve">, como </w:t>
      </w:r>
      <w:r w:rsidR="009D1E46" w:rsidRPr="00D51469">
        <w:rPr>
          <w:rFonts w:ascii="Cambria" w:hAnsi="Cambria"/>
          <w:sz w:val="20"/>
          <w:szCs w:val="20"/>
          <w:lang w:val="es-ES"/>
        </w:rPr>
        <w:t xml:space="preserve">contratar a un guardia de seguridad </w:t>
      </w:r>
      <w:r w:rsidR="00B900B2" w:rsidRPr="00D51469">
        <w:rPr>
          <w:rFonts w:ascii="Cambria" w:hAnsi="Cambria"/>
          <w:sz w:val="20"/>
          <w:szCs w:val="20"/>
          <w:lang w:val="es-ES"/>
        </w:rPr>
        <w:t xml:space="preserve">nocturno </w:t>
      </w:r>
      <w:r w:rsidR="009D1E46" w:rsidRPr="00D51469">
        <w:rPr>
          <w:rFonts w:ascii="Cambria" w:hAnsi="Cambria"/>
          <w:sz w:val="20"/>
          <w:szCs w:val="20"/>
          <w:lang w:val="es-ES"/>
        </w:rPr>
        <w:t>para la radio,</w:t>
      </w:r>
      <w:r w:rsidR="009941C8" w:rsidRPr="00D51469">
        <w:rPr>
          <w:rFonts w:ascii="Cambria" w:hAnsi="Cambria"/>
          <w:sz w:val="20"/>
          <w:szCs w:val="20"/>
          <w:lang w:val="es-ES"/>
        </w:rPr>
        <w:t xml:space="preserve"> quien en </w:t>
      </w:r>
      <w:r w:rsidR="00CA229E" w:rsidRPr="00D51469">
        <w:rPr>
          <w:rFonts w:ascii="Cambria" w:hAnsi="Cambria"/>
          <w:sz w:val="20"/>
          <w:szCs w:val="20"/>
          <w:lang w:val="es-ES"/>
        </w:rPr>
        <w:t>ciertas ocasiones</w:t>
      </w:r>
      <w:r w:rsidR="009941C8" w:rsidRPr="00D51469">
        <w:rPr>
          <w:rFonts w:ascii="Cambria" w:hAnsi="Cambria"/>
          <w:sz w:val="20"/>
          <w:szCs w:val="20"/>
          <w:lang w:val="es-ES"/>
        </w:rPr>
        <w:t xml:space="preserve"> también estaba armado</w:t>
      </w:r>
      <w:r w:rsidR="009941C8" w:rsidRPr="00D51469">
        <w:rPr>
          <w:rStyle w:val="FootnoteReference"/>
          <w:rFonts w:ascii="Cambria" w:hAnsi="Cambria"/>
          <w:sz w:val="20"/>
          <w:szCs w:val="20"/>
          <w:lang w:val="es-ES"/>
        </w:rPr>
        <w:footnoteReference w:id="19"/>
      </w:r>
      <w:r w:rsidR="009941C8" w:rsidRPr="00D51469">
        <w:rPr>
          <w:rFonts w:ascii="Cambria" w:hAnsi="Cambria"/>
          <w:sz w:val="20"/>
          <w:szCs w:val="20"/>
          <w:lang w:val="es-ES"/>
        </w:rPr>
        <w:t xml:space="preserve">. </w:t>
      </w:r>
      <w:r w:rsidR="009D1E46" w:rsidRPr="00D51469">
        <w:rPr>
          <w:rFonts w:ascii="Cambria" w:hAnsi="Cambria"/>
          <w:sz w:val="20"/>
          <w:szCs w:val="20"/>
          <w:lang w:val="es-ES"/>
        </w:rPr>
        <w:t xml:space="preserve"> </w:t>
      </w:r>
    </w:p>
    <w:p w14:paraId="0CABEBFA" w14:textId="77777777" w:rsidR="008E28A4" w:rsidRPr="00D51469" w:rsidRDefault="008E28A4"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72B5211B" w14:textId="2E680A17" w:rsidR="00D51469" w:rsidRPr="00601762" w:rsidRDefault="006B4EDD" w:rsidP="00D51469">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D51469">
        <w:rPr>
          <w:rFonts w:ascii="Cambria" w:hAnsi="Cambria"/>
          <w:sz w:val="20"/>
          <w:szCs w:val="20"/>
          <w:lang w:val="es-PE"/>
        </w:rPr>
        <w:t>No consta en el expediente que el periodista haya presentado alguna denuncia por las amenazas recibidas ni que haya solicitado la adopción de alguna medida de protección.</w:t>
      </w:r>
      <w:r w:rsidR="00C244AF" w:rsidRPr="00D51469">
        <w:rPr>
          <w:rFonts w:ascii="Cambria" w:hAnsi="Cambria"/>
          <w:sz w:val="20"/>
          <w:szCs w:val="20"/>
          <w:lang w:val="es-PE"/>
        </w:rPr>
        <w:t xml:space="preserve"> Sin embargo, la parte peticionaria alegó que</w:t>
      </w:r>
      <w:r w:rsidRPr="00D51469">
        <w:rPr>
          <w:rFonts w:ascii="Cambria" w:hAnsi="Cambria"/>
          <w:sz w:val="20"/>
          <w:szCs w:val="20"/>
          <w:lang w:val="es-PE"/>
        </w:rPr>
        <w:t xml:space="preserve"> </w:t>
      </w:r>
      <w:r w:rsidR="00544E8D" w:rsidRPr="00D51469">
        <w:rPr>
          <w:rFonts w:ascii="Cambria" w:hAnsi="Cambria"/>
          <w:sz w:val="20"/>
          <w:szCs w:val="20"/>
          <w:lang w:val="es-PE"/>
        </w:rPr>
        <w:t xml:space="preserve">“en varias oportunidades </w:t>
      </w:r>
      <w:r w:rsidR="007F67AA" w:rsidRPr="00D51469">
        <w:rPr>
          <w:rFonts w:ascii="Cambria" w:hAnsi="Cambria"/>
          <w:sz w:val="20"/>
          <w:szCs w:val="20"/>
          <w:lang w:val="es-PE"/>
        </w:rPr>
        <w:t>[Santiago Leguizamón</w:t>
      </w:r>
      <w:r w:rsidR="00544E8D" w:rsidRPr="00D51469">
        <w:rPr>
          <w:rFonts w:ascii="Cambria" w:hAnsi="Cambria"/>
          <w:sz w:val="20"/>
          <w:szCs w:val="20"/>
          <w:lang w:val="es-PE"/>
        </w:rPr>
        <w:t>] había solicitado custodia policial, lo que se concretó en algunas de ellas, excepto la solicitada en los últimos meses antes de su asesinato”</w:t>
      </w:r>
      <w:r w:rsidR="00A910B8">
        <w:rPr>
          <w:rStyle w:val="FootnoteReference"/>
          <w:rFonts w:ascii="Cambria" w:hAnsi="Cambria"/>
          <w:sz w:val="20"/>
          <w:szCs w:val="20"/>
          <w:lang w:val="es-PE"/>
        </w:rPr>
        <w:footnoteReference w:id="20"/>
      </w:r>
      <w:r w:rsidR="00544E8D" w:rsidRPr="00D51469">
        <w:rPr>
          <w:rFonts w:ascii="Cambria" w:hAnsi="Cambria"/>
          <w:sz w:val="20"/>
          <w:szCs w:val="20"/>
          <w:lang w:val="es-PE"/>
        </w:rPr>
        <w:t>.</w:t>
      </w:r>
      <w:r w:rsidR="007F67AA" w:rsidRPr="00D51469">
        <w:rPr>
          <w:rFonts w:ascii="Cambria" w:hAnsi="Cambria"/>
          <w:sz w:val="20"/>
          <w:szCs w:val="20"/>
          <w:lang w:val="es-PE"/>
        </w:rPr>
        <w:t xml:space="preserve"> Lo anterior no ha sido controvertido por el Estado</w:t>
      </w:r>
      <w:r w:rsidR="002E461C" w:rsidRPr="00D51469">
        <w:rPr>
          <w:rFonts w:ascii="Cambria" w:hAnsi="Cambria"/>
          <w:sz w:val="20"/>
          <w:szCs w:val="20"/>
          <w:lang w:val="es-PE"/>
        </w:rPr>
        <w:t xml:space="preserve">, a pesar de haber tenido la oportunidad para ello. </w:t>
      </w:r>
    </w:p>
    <w:p w14:paraId="23E0650F" w14:textId="77777777" w:rsidR="005C3C15" w:rsidRPr="00D51469" w:rsidRDefault="005C3C15" w:rsidP="00601762">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PE"/>
        </w:rPr>
      </w:pPr>
    </w:p>
    <w:p w14:paraId="051A05C0" w14:textId="1D624C16" w:rsidR="00975541" w:rsidRPr="00E82EF4" w:rsidRDefault="008B797D"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7A0D4C">
        <w:rPr>
          <w:rFonts w:ascii="Cambria" w:hAnsi="Cambria"/>
          <w:sz w:val="20"/>
          <w:szCs w:val="20"/>
          <w:lang w:val="es-PE"/>
        </w:rPr>
        <w:lastRenderedPageBreak/>
        <w:t>El 25 de julio de 1991, el guardia de seguridad de la ra</w:t>
      </w:r>
      <w:r w:rsidR="0098067C" w:rsidRPr="007A0D4C">
        <w:rPr>
          <w:rFonts w:ascii="Cambria" w:hAnsi="Cambria"/>
          <w:sz w:val="20"/>
          <w:szCs w:val="20"/>
          <w:lang w:val="es-PE"/>
        </w:rPr>
        <w:t xml:space="preserve">dio declaró que “tres meses antes de ocurrir </w:t>
      </w:r>
      <w:r w:rsidR="00E73077" w:rsidRPr="007A0D4C">
        <w:rPr>
          <w:rFonts w:ascii="Cambria" w:hAnsi="Cambria"/>
          <w:sz w:val="20"/>
          <w:szCs w:val="20"/>
          <w:lang w:val="es-PE"/>
        </w:rPr>
        <w:t>el hecho,</w:t>
      </w:r>
      <w:r w:rsidR="00B05D40" w:rsidRPr="007A0D4C">
        <w:rPr>
          <w:rFonts w:ascii="Cambria" w:hAnsi="Cambria"/>
          <w:sz w:val="20"/>
          <w:szCs w:val="20"/>
          <w:lang w:val="es-PE"/>
        </w:rPr>
        <w:t xml:space="preserve"> en horas de la noche quedaba un soldado de la Delegación de Gobierno local haciendo guardia con </w:t>
      </w:r>
      <w:r w:rsidR="000B51F5" w:rsidRPr="007A0D4C">
        <w:rPr>
          <w:rFonts w:ascii="Cambria" w:hAnsi="Cambria"/>
          <w:sz w:val="20"/>
          <w:szCs w:val="20"/>
          <w:lang w:val="es-PE"/>
        </w:rPr>
        <w:t>[él]</w:t>
      </w:r>
      <w:r w:rsidR="00B05D40" w:rsidRPr="007A0D4C">
        <w:rPr>
          <w:rFonts w:ascii="Cambria" w:hAnsi="Cambria"/>
          <w:sz w:val="20"/>
          <w:szCs w:val="20"/>
          <w:lang w:val="es-PE"/>
        </w:rPr>
        <w:t xml:space="preserve"> y </w:t>
      </w:r>
      <w:r w:rsidR="000B51F5" w:rsidRPr="007A0D4C">
        <w:rPr>
          <w:rFonts w:ascii="Cambria" w:hAnsi="Cambria"/>
          <w:sz w:val="20"/>
          <w:szCs w:val="20"/>
          <w:lang w:val="es-PE"/>
        </w:rPr>
        <w:t xml:space="preserve">que posteriormente a la muerte de Leguizamón </w:t>
      </w:r>
      <w:r w:rsidR="00E73077" w:rsidRPr="007A0D4C">
        <w:rPr>
          <w:rFonts w:ascii="Cambria" w:hAnsi="Cambria"/>
          <w:sz w:val="20"/>
          <w:szCs w:val="20"/>
          <w:lang w:val="es-PE"/>
        </w:rPr>
        <w:t xml:space="preserve">exist[ía] guardia permanente, de día y noche, acompañando </w:t>
      </w:r>
      <w:r w:rsidR="002C461D" w:rsidRPr="00BD7B50">
        <w:rPr>
          <w:rFonts w:ascii="Cambria" w:hAnsi="Cambria"/>
          <w:sz w:val="20"/>
          <w:szCs w:val="20"/>
          <w:lang w:val="es-PE"/>
        </w:rPr>
        <w:t>al compareciente un sargento y soldado de la Dele</w:t>
      </w:r>
      <w:r w:rsidR="002C461D" w:rsidRPr="00E82EF4">
        <w:rPr>
          <w:rFonts w:ascii="Cambria" w:hAnsi="Cambria"/>
          <w:sz w:val="20"/>
          <w:szCs w:val="20"/>
          <w:lang w:val="es-PE"/>
        </w:rPr>
        <w:t>gación”</w:t>
      </w:r>
      <w:r w:rsidR="002C461D" w:rsidRPr="00BD7B50">
        <w:rPr>
          <w:rStyle w:val="FootnoteReference"/>
          <w:rFonts w:ascii="Cambria" w:hAnsi="Cambria"/>
          <w:sz w:val="20"/>
          <w:szCs w:val="20"/>
          <w:lang w:val="es-PE"/>
        </w:rPr>
        <w:footnoteReference w:id="21"/>
      </w:r>
      <w:r w:rsidR="002C461D" w:rsidRPr="00BD7B50">
        <w:rPr>
          <w:rFonts w:ascii="Cambria" w:hAnsi="Cambria"/>
          <w:sz w:val="20"/>
          <w:szCs w:val="20"/>
          <w:lang w:val="es-PE"/>
        </w:rPr>
        <w:t xml:space="preserve">. </w:t>
      </w:r>
    </w:p>
    <w:p w14:paraId="5F0D9912" w14:textId="77777777" w:rsidR="00456EE0" w:rsidRPr="009E19B5" w:rsidRDefault="00456EE0"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20D77483" w14:textId="1036CDE7" w:rsidR="00C023A3" w:rsidRPr="00601762" w:rsidRDefault="00975541" w:rsidP="000009B1">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FF0000"/>
          <w:sz w:val="20"/>
          <w:szCs w:val="20"/>
          <w:lang w:val="es-PE"/>
        </w:rPr>
      </w:pPr>
      <w:r w:rsidRPr="00DF10D7">
        <w:rPr>
          <w:rFonts w:ascii="Cambria" w:hAnsi="Cambria"/>
          <w:sz w:val="20"/>
          <w:szCs w:val="20"/>
          <w:lang w:val="es-PE"/>
        </w:rPr>
        <w:t xml:space="preserve">Un día antes del </w:t>
      </w:r>
      <w:r w:rsidR="00177FA7" w:rsidRPr="0029430D">
        <w:rPr>
          <w:rFonts w:ascii="Cambria" w:hAnsi="Cambria"/>
          <w:sz w:val="20"/>
          <w:szCs w:val="20"/>
          <w:lang w:val="es-PE"/>
        </w:rPr>
        <w:t xml:space="preserve">asesinato </w:t>
      </w:r>
      <w:r w:rsidR="006275D0" w:rsidRPr="00C74D18">
        <w:rPr>
          <w:rFonts w:ascii="Cambria" w:hAnsi="Cambria"/>
          <w:sz w:val="20"/>
          <w:szCs w:val="20"/>
          <w:lang w:val="es-PE"/>
        </w:rPr>
        <w:t xml:space="preserve">del periodista, </w:t>
      </w:r>
      <w:r w:rsidR="00A302AE" w:rsidRPr="00CA4DB3">
        <w:rPr>
          <w:rFonts w:ascii="Cambria" w:hAnsi="Cambria"/>
          <w:sz w:val="20"/>
          <w:szCs w:val="20"/>
          <w:lang w:val="es-PE"/>
        </w:rPr>
        <w:t>el</w:t>
      </w:r>
      <w:r w:rsidR="001F4C9E" w:rsidRPr="00D129F8">
        <w:rPr>
          <w:rFonts w:ascii="Cambria" w:hAnsi="Cambria"/>
          <w:sz w:val="20"/>
          <w:szCs w:val="20"/>
          <w:lang w:val="es-PE"/>
        </w:rPr>
        <w:t xml:space="preserve"> Delegado de Gobierno</w:t>
      </w:r>
      <w:r w:rsidR="00CE3857" w:rsidRPr="00D129F8">
        <w:rPr>
          <w:rFonts w:ascii="Cambria" w:hAnsi="Cambria"/>
          <w:sz w:val="20"/>
          <w:szCs w:val="20"/>
          <w:lang w:val="es-PE"/>
        </w:rPr>
        <w:t xml:space="preserve"> de</w:t>
      </w:r>
      <w:r w:rsidR="00A40947" w:rsidRPr="0002452D">
        <w:rPr>
          <w:rFonts w:ascii="Cambria" w:hAnsi="Cambria"/>
          <w:sz w:val="20"/>
          <w:szCs w:val="20"/>
          <w:lang w:val="es-PE"/>
        </w:rPr>
        <w:t>l Departamento del</w:t>
      </w:r>
      <w:r w:rsidR="00CE3857" w:rsidRPr="00DF541C">
        <w:rPr>
          <w:rFonts w:ascii="Cambria" w:hAnsi="Cambria"/>
          <w:sz w:val="20"/>
          <w:szCs w:val="20"/>
          <w:lang w:val="es-PE"/>
        </w:rPr>
        <w:t xml:space="preserve"> Amambay</w:t>
      </w:r>
      <w:r w:rsidR="001F4C9E" w:rsidRPr="00DF541C">
        <w:rPr>
          <w:rFonts w:ascii="Cambria" w:hAnsi="Cambria"/>
          <w:sz w:val="20"/>
          <w:szCs w:val="20"/>
          <w:lang w:val="es-PE"/>
        </w:rPr>
        <w:t xml:space="preserve"> </w:t>
      </w:r>
      <w:r w:rsidR="00A869C4" w:rsidRPr="00253514">
        <w:rPr>
          <w:rFonts w:ascii="Cambria" w:hAnsi="Cambria"/>
          <w:sz w:val="20"/>
          <w:szCs w:val="20"/>
          <w:lang w:val="es-PE"/>
        </w:rPr>
        <w:t xml:space="preserve">le </w:t>
      </w:r>
      <w:r w:rsidR="001F4C9E" w:rsidRPr="00C52C14">
        <w:rPr>
          <w:rFonts w:ascii="Cambria" w:hAnsi="Cambria"/>
          <w:sz w:val="20"/>
          <w:szCs w:val="20"/>
          <w:lang w:val="es-PE"/>
        </w:rPr>
        <w:t xml:space="preserve">ofreció </w:t>
      </w:r>
      <w:r w:rsidR="00C54198" w:rsidRPr="00C52C14">
        <w:rPr>
          <w:rFonts w:ascii="Cambria" w:hAnsi="Cambria"/>
          <w:sz w:val="20"/>
          <w:szCs w:val="20"/>
          <w:lang w:val="es-PE"/>
        </w:rPr>
        <w:t>escolta para su custodia debido al grave riesgo que corría,</w:t>
      </w:r>
      <w:r w:rsidR="00CE3857" w:rsidRPr="00546ED5">
        <w:rPr>
          <w:rFonts w:ascii="Cambria" w:hAnsi="Cambria"/>
          <w:sz w:val="20"/>
          <w:szCs w:val="20"/>
          <w:lang w:val="es-PE"/>
        </w:rPr>
        <w:t xml:space="preserve"> mientras </w:t>
      </w:r>
      <w:r w:rsidR="00753A2D" w:rsidRPr="00546ED5">
        <w:rPr>
          <w:rFonts w:ascii="Cambria" w:hAnsi="Cambria"/>
          <w:sz w:val="20"/>
          <w:szCs w:val="20"/>
          <w:lang w:val="es-PE"/>
        </w:rPr>
        <w:t xml:space="preserve">ambos tomaban tereré </w:t>
      </w:r>
      <w:r w:rsidR="007F28F2" w:rsidRPr="00546ED5">
        <w:rPr>
          <w:rFonts w:ascii="Cambria" w:hAnsi="Cambria"/>
          <w:sz w:val="20"/>
          <w:szCs w:val="20"/>
          <w:lang w:val="es-PE"/>
        </w:rPr>
        <w:t>durante</w:t>
      </w:r>
      <w:r w:rsidR="00CE3857" w:rsidRPr="006F1DBC">
        <w:rPr>
          <w:rFonts w:ascii="Cambria" w:hAnsi="Cambria"/>
          <w:sz w:val="20"/>
          <w:szCs w:val="20"/>
          <w:lang w:val="es-PE"/>
        </w:rPr>
        <w:t xml:space="preserve"> la inauguración </w:t>
      </w:r>
      <w:r w:rsidR="00EE2AE6" w:rsidRPr="00BD7B50">
        <w:rPr>
          <w:rFonts w:ascii="Cambria" w:hAnsi="Cambria"/>
          <w:sz w:val="20"/>
          <w:szCs w:val="20"/>
          <w:lang w:val="es-PE"/>
        </w:rPr>
        <w:t>de una capilla</w:t>
      </w:r>
      <w:r w:rsidR="00756FF4" w:rsidRPr="00BD7B50">
        <w:rPr>
          <w:rFonts w:ascii="Cambria" w:hAnsi="Cambria"/>
          <w:sz w:val="20"/>
          <w:szCs w:val="20"/>
          <w:lang w:val="es-PE"/>
        </w:rPr>
        <w:t>.</w:t>
      </w:r>
      <w:r w:rsidR="004F5A17" w:rsidRPr="00E82EF4">
        <w:rPr>
          <w:rFonts w:ascii="Cambria" w:hAnsi="Cambria"/>
          <w:sz w:val="20"/>
          <w:szCs w:val="20"/>
          <w:lang w:val="es-PE"/>
        </w:rPr>
        <w:t xml:space="preserve"> </w:t>
      </w:r>
      <w:r w:rsidR="00ED60A6" w:rsidRPr="00E82EF4">
        <w:rPr>
          <w:rFonts w:ascii="Cambria" w:hAnsi="Cambria"/>
          <w:sz w:val="20"/>
          <w:szCs w:val="20"/>
          <w:lang w:val="es-PE"/>
        </w:rPr>
        <w:t>Según el delegado, el periodista</w:t>
      </w:r>
      <w:r w:rsidR="00ED60A6" w:rsidRPr="00221A0B">
        <w:rPr>
          <w:rFonts w:ascii="Cambria" w:hAnsi="Cambria"/>
          <w:sz w:val="20"/>
          <w:szCs w:val="20"/>
          <w:lang w:val="es-PE"/>
        </w:rPr>
        <w:t xml:space="preserve"> no habría aceptado la protección. </w:t>
      </w:r>
      <w:r w:rsidR="0074209B" w:rsidRPr="00221A0B">
        <w:rPr>
          <w:rFonts w:ascii="Cambria" w:hAnsi="Cambria"/>
          <w:sz w:val="20"/>
          <w:szCs w:val="20"/>
          <w:lang w:val="es-PE"/>
        </w:rPr>
        <w:t>Una declaración a nivel interno</w:t>
      </w:r>
      <w:r w:rsidR="00706B8E" w:rsidRPr="00221A0B">
        <w:rPr>
          <w:rFonts w:ascii="Cambria" w:hAnsi="Cambria"/>
          <w:sz w:val="20"/>
          <w:szCs w:val="20"/>
          <w:lang w:val="es-PE"/>
        </w:rPr>
        <w:t xml:space="preserve"> destacó que el periodista no confiaba en </w:t>
      </w:r>
      <w:r w:rsidR="000009B1" w:rsidRPr="00221A0B">
        <w:rPr>
          <w:rFonts w:ascii="Cambria" w:hAnsi="Cambria"/>
          <w:sz w:val="20"/>
          <w:szCs w:val="20"/>
          <w:lang w:val="es-PE"/>
        </w:rPr>
        <w:t xml:space="preserve">que </w:t>
      </w:r>
      <w:r w:rsidR="00706B8E" w:rsidRPr="000C6F36">
        <w:rPr>
          <w:rFonts w:ascii="Cambria" w:hAnsi="Cambria"/>
          <w:sz w:val="20"/>
          <w:szCs w:val="20"/>
          <w:lang w:val="es-PE"/>
        </w:rPr>
        <w:t xml:space="preserve">las autoridades </w:t>
      </w:r>
      <w:r w:rsidR="000009B1" w:rsidRPr="009E19B5">
        <w:rPr>
          <w:rFonts w:ascii="Cambria" w:hAnsi="Cambria"/>
          <w:sz w:val="20"/>
          <w:szCs w:val="20"/>
          <w:lang w:val="es-PE"/>
        </w:rPr>
        <w:t>adoptarían medidas al respecto</w:t>
      </w:r>
      <w:r w:rsidR="00BD7B50" w:rsidRPr="00BD7B50">
        <w:rPr>
          <w:rStyle w:val="FootnoteReference"/>
          <w:rFonts w:ascii="Cambria" w:hAnsi="Cambria"/>
          <w:sz w:val="20"/>
          <w:szCs w:val="20"/>
          <w:lang w:val="es-PE"/>
        </w:rPr>
        <w:footnoteReference w:id="22"/>
      </w:r>
      <w:r w:rsidR="000009B1" w:rsidRPr="00BD7B50">
        <w:rPr>
          <w:rFonts w:ascii="Cambria" w:hAnsi="Cambria"/>
          <w:sz w:val="20"/>
          <w:szCs w:val="20"/>
          <w:lang w:val="es-PE"/>
        </w:rPr>
        <w:t xml:space="preserve">. </w:t>
      </w:r>
    </w:p>
    <w:p w14:paraId="1A61C53E" w14:textId="77777777" w:rsidR="00BD7B50" w:rsidRPr="002C542E" w:rsidRDefault="00BD7B50" w:rsidP="006017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FF0000"/>
          <w:sz w:val="20"/>
          <w:szCs w:val="20"/>
          <w:highlight w:val="cyan"/>
          <w:lang w:val="es-PE"/>
        </w:rPr>
      </w:pPr>
    </w:p>
    <w:p w14:paraId="37A4D9ED" w14:textId="411F5A10" w:rsidR="00FB0991" w:rsidRPr="007A0D4C" w:rsidRDefault="00FB0991"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7A0D4C">
        <w:rPr>
          <w:rFonts w:ascii="Cambria" w:hAnsi="Cambria"/>
          <w:sz w:val="20"/>
          <w:szCs w:val="20"/>
          <w:lang w:val="es-PE"/>
        </w:rPr>
        <w:t xml:space="preserve">El asesinato de Santiago Leguizamón se realizó en una zona </w:t>
      </w:r>
      <w:r w:rsidR="003D0CBB" w:rsidRPr="007A0D4C">
        <w:rPr>
          <w:rFonts w:ascii="Cambria" w:hAnsi="Cambria"/>
          <w:sz w:val="20"/>
          <w:szCs w:val="20"/>
          <w:lang w:val="es-PE"/>
        </w:rPr>
        <w:t>fronteriza</w:t>
      </w:r>
      <w:r w:rsidR="008725B0" w:rsidRPr="007A0D4C">
        <w:rPr>
          <w:rFonts w:ascii="Cambria" w:hAnsi="Cambria"/>
          <w:sz w:val="20"/>
          <w:szCs w:val="20"/>
          <w:lang w:val="es-PE"/>
        </w:rPr>
        <w:t xml:space="preserve"> </w:t>
      </w:r>
      <w:r w:rsidR="003D0CBB" w:rsidRPr="007A0D4C">
        <w:rPr>
          <w:rFonts w:ascii="Cambria" w:hAnsi="Cambria"/>
          <w:sz w:val="20"/>
          <w:szCs w:val="20"/>
          <w:lang w:val="es-PE"/>
        </w:rPr>
        <w:t>que</w:t>
      </w:r>
      <w:r w:rsidR="008725B0" w:rsidRPr="007A0D4C">
        <w:rPr>
          <w:rFonts w:ascii="Cambria" w:hAnsi="Cambria"/>
          <w:sz w:val="20"/>
          <w:szCs w:val="20"/>
          <w:lang w:val="es-PE"/>
        </w:rPr>
        <w:t>,</w:t>
      </w:r>
      <w:r w:rsidR="003D0CBB" w:rsidRPr="007A0D4C">
        <w:rPr>
          <w:rFonts w:ascii="Cambria" w:hAnsi="Cambria"/>
          <w:sz w:val="20"/>
          <w:szCs w:val="20"/>
          <w:lang w:val="es-PE"/>
        </w:rPr>
        <w:t xml:space="preserve"> de acuerdo con l</w:t>
      </w:r>
      <w:r w:rsidR="00DD3C36" w:rsidRPr="007A0D4C">
        <w:rPr>
          <w:rFonts w:ascii="Cambria" w:hAnsi="Cambria"/>
          <w:sz w:val="20"/>
          <w:szCs w:val="20"/>
          <w:lang w:val="es-PE"/>
        </w:rPr>
        <w:t xml:space="preserve">os reportes del propio </w:t>
      </w:r>
      <w:r w:rsidR="00E06D3C" w:rsidRPr="007A0D4C">
        <w:rPr>
          <w:rFonts w:ascii="Cambria" w:hAnsi="Cambria"/>
          <w:sz w:val="20"/>
          <w:szCs w:val="20"/>
          <w:lang w:val="es-PE"/>
        </w:rPr>
        <w:t>Legu</w:t>
      </w:r>
      <w:r w:rsidR="00921B55" w:rsidRPr="007A0D4C">
        <w:rPr>
          <w:rFonts w:ascii="Cambria" w:hAnsi="Cambria"/>
          <w:sz w:val="20"/>
          <w:szCs w:val="20"/>
          <w:lang w:val="es-PE"/>
        </w:rPr>
        <w:t>i</w:t>
      </w:r>
      <w:r w:rsidR="00E06D3C" w:rsidRPr="007A0D4C">
        <w:rPr>
          <w:rFonts w:ascii="Cambria" w:hAnsi="Cambria"/>
          <w:sz w:val="20"/>
          <w:szCs w:val="20"/>
          <w:lang w:val="es-PE"/>
        </w:rPr>
        <w:t>zamón</w:t>
      </w:r>
      <w:r w:rsidR="004071F3" w:rsidRPr="007A0D4C">
        <w:rPr>
          <w:rFonts w:ascii="Cambria" w:hAnsi="Cambria"/>
          <w:sz w:val="20"/>
          <w:szCs w:val="20"/>
          <w:lang w:val="es-PE"/>
        </w:rPr>
        <w:t>,</w:t>
      </w:r>
      <w:r w:rsidR="00DD3C36" w:rsidRPr="007A0D4C">
        <w:rPr>
          <w:rFonts w:ascii="Cambria" w:hAnsi="Cambria"/>
          <w:sz w:val="20"/>
          <w:szCs w:val="20"/>
          <w:lang w:val="es-PE"/>
        </w:rPr>
        <w:t xml:space="preserve"> era una zona violenta, en donde imperaba</w:t>
      </w:r>
      <w:r w:rsidR="009351D5" w:rsidRPr="007A0D4C">
        <w:rPr>
          <w:rFonts w:ascii="Cambria" w:hAnsi="Cambria"/>
          <w:sz w:val="20"/>
          <w:szCs w:val="20"/>
          <w:lang w:val="es-PE"/>
        </w:rPr>
        <w:t xml:space="preserve"> el contrabando, la </w:t>
      </w:r>
      <w:r w:rsidR="00DD3C36" w:rsidRPr="007A0D4C">
        <w:rPr>
          <w:rFonts w:ascii="Cambria" w:hAnsi="Cambria"/>
          <w:sz w:val="20"/>
          <w:szCs w:val="20"/>
          <w:lang w:val="es-PE"/>
        </w:rPr>
        <w:t xml:space="preserve">corrupción y la impunidad. </w:t>
      </w:r>
      <w:r w:rsidR="006823D4" w:rsidRPr="007A0D4C">
        <w:rPr>
          <w:rFonts w:ascii="Cambria" w:hAnsi="Cambria"/>
          <w:sz w:val="20"/>
          <w:szCs w:val="20"/>
          <w:lang w:val="es-PE"/>
        </w:rPr>
        <w:t>Si bien dicho asesinato fue el primero dirigido contra un periodista después de</w:t>
      </w:r>
      <w:r w:rsidR="00F000A4" w:rsidRPr="007A0D4C">
        <w:rPr>
          <w:rFonts w:ascii="Cambria" w:hAnsi="Cambria"/>
          <w:sz w:val="20"/>
          <w:szCs w:val="20"/>
          <w:lang w:val="es-PE"/>
        </w:rPr>
        <w:t xml:space="preserve">l regreso a la democracia, la CIDH ha </w:t>
      </w:r>
      <w:r w:rsidR="009E4B0B" w:rsidRPr="007A0D4C">
        <w:rPr>
          <w:rFonts w:ascii="Cambria" w:hAnsi="Cambria"/>
          <w:sz w:val="20"/>
          <w:szCs w:val="20"/>
          <w:lang w:val="es-PE"/>
        </w:rPr>
        <w:t xml:space="preserve">documentado que </w:t>
      </w:r>
      <w:r w:rsidR="00CC249C" w:rsidRPr="007A0D4C">
        <w:rPr>
          <w:rFonts w:ascii="Cambria" w:hAnsi="Cambria"/>
          <w:sz w:val="20"/>
          <w:szCs w:val="20"/>
          <w:lang w:val="es-PE"/>
        </w:rPr>
        <w:t xml:space="preserve">desde 1991 </w:t>
      </w:r>
      <w:r w:rsidR="009E4B0B" w:rsidRPr="007A0D4C">
        <w:rPr>
          <w:rFonts w:ascii="Cambria" w:hAnsi="Cambria"/>
          <w:sz w:val="20"/>
          <w:szCs w:val="20"/>
          <w:lang w:val="es-PE"/>
        </w:rPr>
        <w:t xml:space="preserve">a la fecha al </w:t>
      </w:r>
      <w:r w:rsidR="009E4B0B" w:rsidRPr="009B3377">
        <w:rPr>
          <w:rFonts w:ascii="Cambria" w:hAnsi="Cambria"/>
          <w:sz w:val="20"/>
          <w:szCs w:val="20"/>
          <w:lang w:val="es-PE"/>
        </w:rPr>
        <w:t>menos 1</w:t>
      </w:r>
      <w:r w:rsidR="00644389" w:rsidRPr="009B3377">
        <w:rPr>
          <w:rFonts w:ascii="Cambria" w:hAnsi="Cambria"/>
          <w:sz w:val="20"/>
          <w:szCs w:val="20"/>
          <w:lang w:val="es-PE"/>
        </w:rPr>
        <w:t>9</w:t>
      </w:r>
      <w:r w:rsidR="009E4B0B" w:rsidRPr="009B3377">
        <w:rPr>
          <w:rFonts w:ascii="Cambria" w:hAnsi="Cambria"/>
          <w:sz w:val="20"/>
          <w:szCs w:val="20"/>
          <w:lang w:val="es-PE"/>
        </w:rPr>
        <w:t xml:space="preserve"> periodistas</w:t>
      </w:r>
      <w:r w:rsidR="009E4B0B" w:rsidRPr="007A0D4C">
        <w:rPr>
          <w:rFonts w:ascii="Cambria" w:hAnsi="Cambria"/>
          <w:sz w:val="20"/>
          <w:szCs w:val="20"/>
          <w:lang w:val="es-PE"/>
        </w:rPr>
        <w:t xml:space="preserve"> habrían sido asesinados con motivo del ejercicio de su labor</w:t>
      </w:r>
      <w:r w:rsidR="00637B34" w:rsidRPr="007A0D4C">
        <w:rPr>
          <w:rFonts w:ascii="Cambria" w:hAnsi="Cambria"/>
          <w:sz w:val="20"/>
          <w:szCs w:val="20"/>
          <w:lang w:val="es-PE"/>
        </w:rPr>
        <w:t>, siendo las zonas fronterizas, entre ellas la ciudad de Pedro Juan Caballero, unas de las más peligrosas para ejercer el periodismo en la actualidad</w:t>
      </w:r>
      <w:r w:rsidR="0053117A" w:rsidRPr="007A0D4C">
        <w:rPr>
          <w:rStyle w:val="FootnoteReference"/>
          <w:rFonts w:ascii="Cambria" w:hAnsi="Cambria"/>
          <w:sz w:val="20"/>
          <w:szCs w:val="20"/>
          <w:lang w:val="es-PE"/>
        </w:rPr>
        <w:footnoteReference w:id="23"/>
      </w:r>
      <w:r w:rsidR="009E4B0B" w:rsidRPr="007A0D4C">
        <w:rPr>
          <w:rFonts w:ascii="Cambria" w:hAnsi="Cambria"/>
          <w:sz w:val="20"/>
          <w:szCs w:val="20"/>
          <w:lang w:val="es-PE"/>
        </w:rPr>
        <w:t xml:space="preserve">. </w:t>
      </w:r>
      <w:r w:rsidR="00C4229C" w:rsidRPr="007A0D4C">
        <w:rPr>
          <w:rFonts w:ascii="Cambria" w:hAnsi="Cambria"/>
          <w:sz w:val="20"/>
          <w:szCs w:val="20"/>
          <w:lang w:val="es-PE"/>
        </w:rPr>
        <w:t xml:space="preserve">La </w:t>
      </w:r>
      <w:r w:rsidR="009E4B0B" w:rsidRPr="007A0D4C">
        <w:rPr>
          <w:rFonts w:ascii="Cambria" w:hAnsi="Cambria"/>
          <w:sz w:val="20"/>
          <w:szCs w:val="20"/>
          <w:lang w:val="es-PE"/>
        </w:rPr>
        <w:t xml:space="preserve">CIDH no cuenta con información respecto a la creación </w:t>
      </w:r>
      <w:r w:rsidR="00C4229C" w:rsidRPr="007A0D4C">
        <w:rPr>
          <w:rFonts w:ascii="Cambria" w:hAnsi="Cambria"/>
          <w:sz w:val="20"/>
          <w:szCs w:val="20"/>
          <w:lang w:val="es-PE"/>
        </w:rPr>
        <w:t xml:space="preserve">de un mecanismo de protección </w:t>
      </w:r>
      <w:r w:rsidR="00A3079A" w:rsidRPr="007A0D4C">
        <w:rPr>
          <w:rFonts w:ascii="Cambria" w:hAnsi="Cambria"/>
          <w:sz w:val="20"/>
          <w:szCs w:val="20"/>
          <w:lang w:val="es-PE"/>
        </w:rPr>
        <w:t xml:space="preserve">integral </w:t>
      </w:r>
      <w:r w:rsidR="00C4229C" w:rsidRPr="007A0D4C">
        <w:rPr>
          <w:rFonts w:ascii="Cambria" w:hAnsi="Cambria"/>
          <w:sz w:val="20"/>
          <w:szCs w:val="20"/>
          <w:lang w:val="es-PE"/>
        </w:rPr>
        <w:t>de periodistas y defensores de derechos humanos en Paraguay, a pesar de</w:t>
      </w:r>
      <w:r w:rsidR="00EF4D9E" w:rsidRPr="007A0D4C">
        <w:rPr>
          <w:rFonts w:ascii="Cambria" w:hAnsi="Cambria"/>
          <w:sz w:val="20"/>
          <w:szCs w:val="20"/>
          <w:lang w:val="es-PE"/>
        </w:rPr>
        <w:t>l compromiso manifestado por parte del Estado para</w:t>
      </w:r>
      <w:r w:rsidR="0053117A" w:rsidRPr="007A0D4C">
        <w:rPr>
          <w:rFonts w:ascii="Cambria" w:hAnsi="Cambria"/>
          <w:sz w:val="20"/>
          <w:szCs w:val="20"/>
          <w:lang w:val="es-PE"/>
        </w:rPr>
        <w:t xml:space="preserve"> su creación</w:t>
      </w:r>
      <w:r w:rsidR="00AC3441" w:rsidRPr="007A0D4C">
        <w:rPr>
          <w:rStyle w:val="FootnoteReference"/>
          <w:rFonts w:ascii="Cambria" w:hAnsi="Cambria"/>
          <w:sz w:val="20"/>
          <w:szCs w:val="20"/>
          <w:lang w:val="es-PE"/>
        </w:rPr>
        <w:footnoteReference w:id="24"/>
      </w:r>
      <w:r w:rsidR="0053117A" w:rsidRPr="007A0D4C">
        <w:rPr>
          <w:rFonts w:ascii="Cambria" w:hAnsi="Cambria"/>
          <w:sz w:val="20"/>
          <w:szCs w:val="20"/>
          <w:lang w:val="es-PE"/>
        </w:rPr>
        <w:t>.</w:t>
      </w:r>
    </w:p>
    <w:p w14:paraId="1F0955EE" w14:textId="77777777" w:rsidR="00637242" w:rsidRPr="007A0D4C" w:rsidRDefault="00637242"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536FAA70" w14:textId="1BAD8683" w:rsidR="00D02335" w:rsidRPr="007A0D4C" w:rsidRDefault="00867E09" w:rsidP="007A0D4C">
      <w:pPr>
        <w:pStyle w:val="Heading2"/>
        <w:spacing w:before="0" w:after="0"/>
        <w:ind w:left="0" w:firstLine="0"/>
        <w:jc w:val="both"/>
        <w:rPr>
          <w:lang w:val="es-VE"/>
        </w:rPr>
      </w:pPr>
      <w:bookmarkStart w:id="21" w:name="_Toc47965323"/>
      <w:r w:rsidRPr="007A0D4C">
        <w:rPr>
          <w:lang w:val="es-VE"/>
        </w:rPr>
        <w:t xml:space="preserve">Investigación </w:t>
      </w:r>
      <w:r w:rsidR="00054D9F" w:rsidRPr="007A0D4C">
        <w:rPr>
          <w:lang w:val="es-VE"/>
        </w:rPr>
        <w:t>y p</w:t>
      </w:r>
      <w:r w:rsidR="009C5FD9" w:rsidRPr="007A0D4C">
        <w:t xml:space="preserve">roceso penal </w:t>
      </w:r>
      <w:bookmarkStart w:id="22" w:name="_Toc6937376"/>
      <w:bookmarkStart w:id="23" w:name="_Toc11073104"/>
      <w:r w:rsidR="00D02335" w:rsidRPr="007A0D4C">
        <w:t>por</w:t>
      </w:r>
      <w:r w:rsidR="00054D9F" w:rsidRPr="007A0D4C">
        <w:t xml:space="preserve"> el asesinato de Santiago Leguizamón</w:t>
      </w:r>
      <w:bookmarkEnd w:id="21"/>
      <w:r w:rsidR="00D02335" w:rsidRPr="007A0D4C">
        <w:t xml:space="preserve"> </w:t>
      </w:r>
      <w:bookmarkEnd w:id="22"/>
      <w:bookmarkEnd w:id="23"/>
    </w:p>
    <w:p w14:paraId="7DEA6CFD" w14:textId="77777777" w:rsidR="00D02335" w:rsidRPr="007A0D4C" w:rsidRDefault="00D02335" w:rsidP="007A0D4C">
      <w:pPr>
        <w:jc w:val="both"/>
        <w:rPr>
          <w:rFonts w:ascii="Cambria" w:hAnsi="Cambria"/>
          <w:sz w:val="20"/>
          <w:szCs w:val="20"/>
          <w:lang w:val="es-ES_tradnl"/>
        </w:rPr>
      </w:pPr>
    </w:p>
    <w:p w14:paraId="676D8335" w14:textId="25DA2173" w:rsidR="00115C58" w:rsidRPr="004926CC" w:rsidRDefault="006A58A8" w:rsidP="007A0D4C">
      <w:pPr>
        <w:pStyle w:val="Heading3"/>
        <w:rPr>
          <w:lang w:val="es-VE"/>
        </w:rPr>
      </w:pPr>
      <w:bookmarkStart w:id="24" w:name="_Toc47965324"/>
      <w:r w:rsidRPr="004926CC">
        <w:t xml:space="preserve">Diligencias </w:t>
      </w:r>
      <w:r w:rsidR="00D92166" w:rsidRPr="004926CC">
        <w:t>iniciales</w:t>
      </w:r>
      <w:r w:rsidRPr="004926CC">
        <w:t xml:space="preserve"> y proceso penal</w:t>
      </w:r>
      <w:r w:rsidR="00115C58" w:rsidRPr="004926CC">
        <w:t xml:space="preserve"> ante el Juzgado</w:t>
      </w:r>
      <w:r w:rsidR="007D7305" w:rsidRPr="004926CC">
        <w:t xml:space="preserve"> de primera instancia en lo criminal y tutelar del menor </w:t>
      </w:r>
      <w:r w:rsidR="00A45D97">
        <w:t xml:space="preserve">del primer turno </w:t>
      </w:r>
      <w:r w:rsidR="0061495C" w:rsidRPr="004926CC">
        <w:t>de la circunscripción</w:t>
      </w:r>
      <w:r w:rsidR="00115C58" w:rsidRPr="004926CC">
        <w:t xml:space="preserve"> </w:t>
      </w:r>
      <w:r w:rsidR="00A45D97">
        <w:t xml:space="preserve">judicial </w:t>
      </w:r>
      <w:r w:rsidR="00115C58" w:rsidRPr="004926CC">
        <w:t>de</w:t>
      </w:r>
      <w:r w:rsidR="0061495C" w:rsidRPr="004926CC">
        <w:t>l</w:t>
      </w:r>
      <w:r w:rsidR="00115C58" w:rsidRPr="004926CC">
        <w:t xml:space="preserve"> Amambay</w:t>
      </w:r>
      <w:bookmarkEnd w:id="24"/>
    </w:p>
    <w:p w14:paraId="347DA6AA" w14:textId="5BA1C0C7" w:rsidR="00D02335" w:rsidRPr="007A0D4C" w:rsidRDefault="00D92166" w:rsidP="007A0D4C">
      <w:pPr>
        <w:pStyle w:val="Heading3"/>
        <w:numPr>
          <w:ilvl w:val="0"/>
          <w:numId w:val="0"/>
        </w:numPr>
        <w:ind w:left="720"/>
        <w:rPr>
          <w:lang w:val="es-VE"/>
        </w:rPr>
      </w:pPr>
      <w:r w:rsidRPr="007A0D4C">
        <w:t xml:space="preserve"> </w:t>
      </w:r>
    </w:p>
    <w:p w14:paraId="174A7C58" w14:textId="313F6D6E" w:rsidR="00505AE6" w:rsidRPr="008F5D93" w:rsidRDefault="00EB057E"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8F5D93">
        <w:rPr>
          <w:rFonts w:ascii="Cambria" w:hAnsi="Cambria"/>
          <w:sz w:val="20"/>
          <w:szCs w:val="20"/>
          <w:lang w:val="es-PE"/>
        </w:rPr>
        <w:t>De manera preliminar, la</w:t>
      </w:r>
      <w:r w:rsidR="00505AE6" w:rsidRPr="008F5D93">
        <w:rPr>
          <w:rFonts w:ascii="Cambria" w:hAnsi="Cambria"/>
          <w:sz w:val="20"/>
          <w:szCs w:val="20"/>
          <w:lang w:val="es-PE"/>
        </w:rPr>
        <w:t xml:space="preserve"> CIDH </w:t>
      </w:r>
      <w:r w:rsidRPr="008F5D93">
        <w:rPr>
          <w:rFonts w:ascii="Cambria" w:hAnsi="Cambria"/>
          <w:sz w:val="20"/>
          <w:szCs w:val="20"/>
          <w:lang w:val="es-PE"/>
        </w:rPr>
        <w:t xml:space="preserve">destaca que </w:t>
      </w:r>
      <w:r w:rsidR="00505AE6" w:rsidRPr="008F5D93">
        <w:rPr>
          <w:rFonts w:ascii="Cambria" w:hAnsi="Cambria"/>
          <w:sz w:val="20"/>
          <w:szCs w:val="20"/>
          <w:lang w:val="es-PE"/>
        </w:rPr>
        <w:t>no cuenta con la totalidad del expediente a ni</w:t>
      </w:r>
      <w:r w:rsidR="00696FA3" w:rsidRPr="008F5D93">
        <w:rPr>
          <w:rFonts w:ascii="Cambria" w:hAnsi="Cambria"/>
          <w:sz w:val="20"/>
          <w:szCs w:val="20"/>
          <w:lang w:val="es-PE"/>
        </w:rPr>
        <w:t>vel interno</w:t>
      </w:r>
      <w:r w:rsidRPr="008F5D93">
        <w:rPr>
          <w:rFonts w:ascii="Cambria" w:hAnsi="Cambria"/>
          <w:sz w:val="20"/>
          <w:szCs w:val="20"/>
          <w:lang w:val="es-PE"/>
        </w:rPr>
        <w:t>, por lo</w:t>
      </w:r>
      <w:r w:rsidR="002E7E36" w:rsidRPr="008F5D93">
        <w:rPr>
          <w:rFonts w:ascii="Cambria" w:hAnsi="Cambria"/>
          <w:sz w:val="20"/>
          <w:szCs w:val="20"/>
          <w:lang w:val="es-PE"/>
        </w:rPr>
        <w:t xml:space="preserve"> que el presente apartado se basa en el expediente que obra ante la Comisión y los alegatos de la parte peticionaria y del Estado que no han sido controvertidos durante e</w:t>
      </w:r>
      <w:r w:rsidR="005573E1" w:rsidRPr="008F5D93">
        <w:rPr>
          <w:rFonts w:ascii="Cambria" w:hAnsi="Cambria"/>
          <w:sz w:val="20"/>
          <w:szCs w:val="20"/>
          <w:lang w:val="es-PE"/>
        </w:rPr>
        <w:t>l</w:t>
      </w:r>
      <w:r w:rsidR="002E7E36" w:rsidRPr="008F5D93">
        <w:rPr>
          <w:rFonts w:ascii="Cambria" w:hAnsi="Cambria"/>
          <w:sz w:val="20"/>
          <w:szCs w:val="20"/>
          <w:lang w:val="es-PE"/>
        </w:rPr>
        <w:t xml:space="preserve"> proceso ante </w:t>
      </w:r>
      <w:r w:rsidR="00B13EEE">
        <w:rPr>
          <w:rFonts w:ascii="Cambria" w:hAnsi="Cambria"/>
          <w:sz w:val="20"/>
          <w:szCs w:val="20"/>
          <w:lang w:val="es-PE"/>
        </w:rPr>
        <w:t>ella</w:t>
      </w:r>
      <w:r w:rsidR="002E7E36" w:rsidRPr="008F5D93">
        <w:rPr>
          <w:rFonts w:ascii="Cambria" w:hAnsi="Cambria"/>
          <w:sz w:val="20"/>
          <w:szCs w:val="20"/>
          <w:lang w:val="es-PE"/>
        </w:rPr>
        <w:t>.</w:t>
      </w:r>
    </w:p>
    <w:p w14:paraId="4A1C43C2" w14:textId="77777777" w:rsidR="005237DD" w:rsidRPr="007A0D4C" w:rsidRDefault="005237DD"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2FFD5879" w14:textId="6D4B980F" w:rsidR="00562BBA" w:rsidRPr="007A0D4C" w:rsidRDefault="005237DD"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themeColor="text1"/>
          <w:sz w:val="20"/>
          <w:szCs w:val="20"/>
          <w:lang w:val="es-PE"/>
        </w:rPr>
      </w:pPr>
      <w:r w:rsidRPr="007A0D4C">
        <w:rPr>
          <w:rFonts w:ascii="Cambria" w:hAnsi="Cambria"/>
          <w:color w:val="000000" w:themeColor="text1"/>
          <w:sz w:val="20"/>
          <w:szCs w:val="20"/>
          <w:lang w:val="es-PE"/>
        </w:rPr>
        <w:t>El 26 de abril de 1991</w:t>
      </w:r>
      <w:r w:rsidR="00324D61" w:rsidRPr="007A0D4C">
        <w:rPr>
          <w:rFonts w:ascii="Cambria" w:hAnsi="Cambria"/>
          <w:color w:val="000000" w:themeColor="text1"/>
          <w:sz w:val="20"/>
          <w:szCs w:val="20"/>
          <w:lang w:val="es-PE"/>
        </w:rPr>
        <w:t xml:space="preserve"> el Juzgado </w:t>
      </w:r>
      <w:r w:rsidR="00324D61" w:rsidRPr="007A0D4C">
        <w:rPr>
          <w:rFonts w:ascii="Cambria" w:hAnsi="Cambria"/>
          <w:sz w:val="20"/>
          <w:szCs w:val="20"/>
          <w:lang w:val="es-PE"/>
        </w:rPr>
        <w:t xml:space="preserve">de primera instancia en lo criminal y tutelar del menor del primer turno </w:t>
      </w:r>
      <w:r w:rsidR="00490D05" w:rsidRPr="007A0D4C">
        <w:rPr>
          <w:rFonts w:ascii="Cambria" w:hAnsi="Cambria"/>
          <w:color w:val="000000" w:themeColor="text1"/>
          <w:sz w:val="20"/>
          <w:szCs w:val="20"/>
          <w:lang w:val="es-PE"/>
        </w:rPr>
        <w:t>de la circunscripción judicial del Amambay</w:t>
      </w:r>
      <w:r w:rsidR="00562BBA" w:rsidRPr="007A0D4C">
        <w:rPr>
          <w:rFonts w:ascii="Cambria" w:hAnsi="Cambria"/>
          <w:color w:val="000000" w:themeColor="text1"/>
          <w:sz w:val="20"/>
          <w:szCs w:val="20"/>
          <w:lang w:val="es-PE"/>
        </w:rPr>
        <w:t xml:space="preserve"> (</w:t>
      </w:r>
      <w:r w:rsidR="00562BBA" w:rsidRPr="007A0D4C">
        <w:rPr>
          <w:rFonts w:ascii="Cambria" w:hAnsi="Cambria"/>
          <w:sz w:val="20"/>
          <w:szCs w:val="20"/>
          <w:lang w:val="es-PE"/>
        </w:rPr>
        <w:t>en la ciudad de Pedro Juan Caballero)</w:t>
      </w:r>
      <w:r w:rsidR="00C66F0F" w:rsidRPr="007A0D4C">
        <w:rPr>
          <w:rFonts w:ascii="Cambria" w:hAnsi="Cambria"/>
          <w:color w:val="000000" w:themeColor="text1"/>
          <w:sz w:val="20"/>
          <w:szCs w:val="20"/>
          <w:lang w:val="es-PE"/>
        </w:rPr>
        <w:t xml:space="preserve"> </w:t>
      </w:r>
      <w:r w:rsidR="00490D05" w:rsidRPr="007A0D4C">
        <w:rPr>
          <w:rFonts w:ascii="Cambria" w:hAnsi="Cambria"/>
          <w:color w:val="000000" w:themeColor="text1"/>
          <w:sz w:val="20"/>
          <w:szCs w:val="20"/>
          <w:lang w:val="es-PE"/>
        </w:rPr>
        <w:t xml:space="preserve">inició </w:t>
      </w:r>
      <w:r w:rsidR="00A45D97">
        <w:rPr>
          <w:rFonts w:ascii="Cambria" w:hAnsi="Cambria"/>
          <w:color w:val="000000" w:themeColor="text1"/>
          <w:sz w:val="20"/>
          <w:szCs w:val="20"/>
          <w:lang w:val="es-PE"/>
        </w:rPr>
        <w:t>una</w:t>
      </w:r>
      <w:r w:rsidR="00490D05" w:rsidRPr="007A0D4C">
        <w:rPr>
          <w:rFonts w:ascii="Cambria" w:hAnsi="Cambria"/>
          <w:color w:val="000000" w:themeColor="text1"/>
          <w:sz w:val="20"/>
          <w:szCs w:val="20"/>
          <w:lang w:val="es-PE"/>
        </w:rPr>
        <w:t xml:space="preserve"> investigación de oficio </w:t>
      </w:r>
      <w:r w:rsidR="00A45D97">
        <w:rPr>
          <w:rFonts w:ascii="Cambria" w:hAnsi="Cambria"/>
          <w:color w:val="000000" w:themeColor="text1"/>
          <w:sz w:val="20"/>
          <w:szCs w:val="20"/>
          <w:lang w:val="es-PE"/>
        </w:rPr>
        <w:t xml:space="preserve">por </w:t>
      </w:r>
      <w:r w:rsidR="00490D05" w:rsidRPr="007A0D4C">
        <w:rPr>
          <w:rFonts w:ascii="Cambria" w:hAnsi="Cambria"/>
          <w:color w:val="000000" w:themeColor="text1"/>
          <w:sz w:val="20"/>
          <w:szCs w:val="20"/>
          <w:lang w:val="es-PE"/>
        </w:rPr>
        <w:t xml:space="preserve">el homicidio de Santiago Leguizamón, tras recibir un informe verbal por parte de </w:t>
      </w:r>
      <w:r w:rsidR="00490D05" w:rsidRPr="007A0D4C">
        <w:rPr>
          <w:rFonts w:ascii="Cambria" w:hAnsi="Cambria"/>
          <w:color w:val="000000" w:themeColor="text1"/>
          <w:sz w:val="20"/>
          <w:szCs w:val="20"/>
          <w:lang w:val="es-PE"/>
        </w:rPr>
        <w:lastRenderedPageBreak/>
        <w:t xml:space="preserve">agentes de la policía asignados a la Delegación de Gobierno, quienes dieron parte de un hecho de homicidio ocurrido en la localidad de Pedro Juan Caballero, aproximadamente a las 12:15 horas. </w:t>
      </w:r>
      <w:r w:rsidR="00F02254" w:rsidRPr="007A0D4C">
        <w:rPr>
          <w:rFonts w:ascii="Cambria" w:hAnsi="Cambria"/>
          <w:color w:val="000000" w:themeColor="text1"/>
          <w:sz w:val="20"/>
          <w:szCs w:val="20"/>
          <w:lang w:val="es-PE"/>
        </w:rPr>
        <w:t xml:space="preserve">El juez ordenó </w:t>
      </w:r>
      <w:r w:rsidR="0055224B" w:rsidRPr="007A0D4C">
        <w:rPr>
          <w:rFonts w:ascii="Cambria" w:hAnsi="Cambria"/>
          <w:color w:val="000000" w:themeColor="text1"/>
          <w:sz w:val="20"/>
          <w:szCs w:val="20"/>
          <w:lang w:val="es-PE"/>
        </w:rPr>
        <w:t xml:space="preserve">el apersonamiento a la escena del crimen para realizar el levantamiento del cadáver, practicar </w:t>
      </w:r>
      <w:r w:rsidR="00A45D97">
        <w:rPr>
          <w:rFonts w:ascii="Cambria" w:hAnsi="Cambria"/>
          <w:color w:val="000000" w:themeColor="text1"/>
          <w:sz w:val="20"/>
          <w:szCs w:val="20"/>
          <w:lang w:val="es-PE"/>
        </w:rPr>
        <w:t xml:space="preserve">la </w:t>
      </w:r>
      <w:r w:rsidR="0055224B" w:rsidRPr="007A0D4C">
        <w:rPr>
          <w:rFonts w:ascii="Cambria" w:hAnsi="Cambria"/>
          <w:color w:val="000000" w:themeColor="text1"/>
          <w:sz w:val="20"/>
          <w:szCs w:val="20"/>
          <w:lang w:val="es-PE"/>
        </w:rPr>
        <w:t>inspección ocular y trazar un croquis de</w:t>
      </w:r>
      <w:r w:rsidR="00E91B54" w:rsidRPr="007A0D4C">
        <w:rPr>
          <w:rFonts w:ascii="Cambria" w:hAnsi="Cambria"/>
          <w:color w:val="000000" w:themeColor="text1"/>
          <w:sz w:val="20"/>
          <w:szCs w:val="20"/>
          <w:lang w:val="es-PE"/>
        </w:rPr>
        <w:t>l lugar</w:t>
      </w:r>
      <w:r w:rsidR="00E91B54" w:rsidRPr="007A0D4C">
        <w:rPr>
          <w:rStyle w:val="FootnoteReference"/>
          <w:rFonts w:ascii="Cambria" w:hAnsi="Cambria"/>
          <w:color w:val="000000" w:themeColor="text1"/>
          <w:sz w:val="20"/>
          <w:szCs w:val="20"/>
          <w:lang w:val="es-PE"/>
        </w:rPr>
        <w:footnoteReference w:id="25"/>
      </w:r>
      <w:r w:rsidR="00E91B54" w:rsidRPr="007A0D4C">
        <w:rPr>
          <w:rFonts w:ascii="Cambria" w:hAnsi="Cambria"/>
          <w:color w:val="000000" w:themeColor="text1"/>
          <w:sz w:val="20"/>
          <w:szCs w:val="20"/>
          <w:lang w:val="es-PE"/>
        </w:rPr>
        <w:t>.</w:t>
      </w:r>
      <w:r w:rsidR="00EF297F" w:rsidRPr="007A0D4C">
        <w:rPr>
          <w:rFonts w:ascii="Cambria" w:hAnsi="Cambria"/>
          <w:color w:val="000000" w:themeColor="text1"/>
          <w:sz w:val="20"/>
          <w:szCs w:val="20"/>
          <w:lang w:val="es-PE"/>
        </w:rPr>
        <w:t xml:space="preserve"> </w:t>
      </w:r>
      <w:r w:rsidR="00AB418E" w:rsidRPr="007A0D4C">
        <w:rPr>
          <w:rFonts w:ascii="Cambria" w:hAnsi="Cambria"/>
          <w:color w:val="000000" w:themeColor="text1"/>
          <w:sz w:val="20"/>
          <w:szCs w:val="20"/>
          <w:lang w:val="es-PE"/>
        </w:rPr>
        <w:t>Personal policial, autor</w:t>
      </w:r>
      <w:r w:rsidR="00987DA0" w:rsidRPr="007A0D4C">
        <w:rPr>
          <w:rFonts w:ascii="Cambria" w:hAnsi="Cambria"/>
          <w:color w:val="000000" w:themeColor="text1"/>
          <w:sz w:val="20"/>
          <w:szCs w:val="20"/>
          <w:lang w:val="es-PE"/>
        </w:rPr>
        <w:t xml:space="preserve">idades judiciales y el médico forense se </w:t>
      </w:r>
      <w:r w:rsidR="00EF297F" w:rsidRPr="007A0D4C">
        <w:rPr>
          <w:rFonts w:ascii="Cambria" w:hAnsi="Cambria"/>
          <w:color w:val="000000" w:themeColor="text1"/>
          <w:sz w:val="20"/>
          <w:szCs w:val="20"/>
          <w:lang w:val="es-PE"/>
        </w:rPr>
        <w:t xml:space="preserve">constituyeron </w:t>
      </w:r>
      <w:r w:rsidR="00987DA0" w:rsidRPr="007A0D4C">
        <w:rPr>
          <w:rFonts w:ascii="Cambria" w:hAnsi="Cambria"/>
          <w:color w:val="000000" w:themeColor="text1"/>
          <w:sz w:val="20"/>
          <w:szCs w:val="20"/>
          <w:lang w:val="es-PE"/>
        </w:rPr>
        <w:t>en la escena del crimen.</w:t>
      </w:r>
      <w:r w:rsidR="00EF297F" w:rsidRPr="007A0D4C">
        <w:rPr>
          <w:rFonts w:ascii="Cambria" w:hAnsi="Cambria"/>
          <w:color w:val="000000" w:themeColor="text1"/>
          <w:sz w:val="20"/>
          <w:szCs w:val="20"/>
          <w:lang w:val="es-PE"/>
        </w:rPr>
        <w:t xml:space="preserve"> </w:t>
      </w:r>
    </w:p>
    <w:p w14:paraId="08D11E44" w14:textId="77777777" w:rsidR="002434E7" w:rsidRPr="007A0D4C" w:rsidRDefault="002434E7"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PE"/>
        </w:rPr>
      </w:pPr>
    </w:p>
    <w:p w14:paraId="1C2ADBD7" w14:textId="03520791" w:rsidR="00AD77E2" w:rsidRPr="007A0D4C" w:rsidRDefault="00490D05"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themeColor="text1"/>
          <w:sz w:val="20"/>
          <w:szCs w:val="20"/>
          <w:lang w:val="es-PE"/>
        </w:rPr>
      </w:pPr>
      <w:r w:rsidRPr="007A0D4C">
        <w:rPr>
          <w:rFonts w:ascii="Cambria" w:hAnsi="Cambria"/>
          <w:color w:val="000000" w:themeColor="text1"/>
          <w:sz w:val="20"/>
          <w:szCs w:val="20"/>
          <w:lang w:val="es-PE"/>
        </w:rPr>
        <w:t>E</w:t>
      </w:r>
      <w:r w:rsidR="00B979C0" w:rsidRPr="007A0D4C">
        <w:rPr>
          <w:rFonts w:ascii="Cambria" w:hAnsi="Cambria"/>
          <w:color w:val="000000" w:themeColor="text1"/>
          <w:sz w:val="20"/>
          <w:szCs w:val="20"/>
          <w:lang w:val="es-PE"/>
        </w:rPr>
        <w:t>se mismo día</w:t>
      </w:r>
      <w:r w:rsidR="002434E7" w:rsidRPr="007A0D4C">
        <w:rPr>
          <w:rFonts w:ascii="Cambria" w:hAnsi="Cambria"/>
          <w:color w:val="000000" w:themeColor="text1"/>
          <w:sz w:val="20"/>
          <w:szCs w:val="20"/>
          <w:lang w:val="es-PE"/>
        </w:rPr>
        <w:t>,</w:t>
      </w:r>
      <w:r w:rsidR="00B979C0" w:rsidRPr="007A0D4C">
        <w:rPr>
          <w:rFonts w:ascii="Cambria" w:hAnsi="Cambria"/>
          <w:color w:val="000000" w:themeColor="text1"/>
          <w:sz w:val="20"/>
          <w:szCs w:val="20"/>
          <w:lang w:val="es-PE"/>
        </w:rPr>
        <w:t xml:space="preserve"> a las 12:45 horas</w:t>
      </w:r>
      <w:r w:rsidR="00182CBC" w:rsidRPr="007A0D4C">
        <w:rPr>
          <w:rFonts w:ascii="Cambria" w:hAnsi="Cambria"/>
          <w:color w:val="000000" w:themeColor="text1"/>
          <w:sz w:val="20"/>
          <w:szCs w:val="20"/>
          <w:lang w:val="es-PE"/>
        </w:rPr>
        <w:t xml:space="preserve"> aproximadamente</w:t>
      </w:r>
      <w:r w:rsidR="00B979C0" w:rsidRPr="007A0D4C">
        <w:rPr>
          <w:rFonts w:ascii="Cambria" w:hAnsi="Cambria"/>
          <w:color w:val="000000" w:themeColor="text1"/>
          <w:sz w:val="20"/>
          <w:szCs w:val="20"/>
          <w:lang w:val="es-PE"/>
        </w:rPr>
        <w:t xml:space="preserve">, </w:t>
      </w:r>
      <w:r w:rsidRPr="007A0D4C">
        <w:rPr>
          <w:rFonts w:ascii="Cambria" w:hAnsi="Cambria"/>
          <w:color w:val="000000" w:themeColor="text1"/>
          <w:sz w:val="20"/>
          <w:szCs w:val="20"/>
          <w:lang w:val="es-PE"/>
        </w:rPr>
        <w:t xml:space="preserve">el Juzgado elaboró un acta </w:t>
      </w:r>
      <w:r w:rsidR="00182CBC" w:rsidRPr="007A0D4C">
        <w:rPr>
          <w:rFonts w:ascii="Cambria" w:hAnsi="Cambria"/>
          <w:color w:val="000000" w:themeColor="text1"/>
          <w:sz w:val="20"/>
          <w:szCs w:val="20"/>
          <w:lang w:val="es-PE"/>
        </w:rPr>
        <w:t xml:space="preserve">judicial </w:t>
      </w:r>
      <w:r w:rsidRPr="007A0D4C">
        <w:rPr>
          <w:rFonts w:ascii="Cambria" w:hAnsi="Cambria"/>
          <w:color w:val="000000" w:themeColor="text1"/>
          <w:sz w:val="20"/>
          <w:szCs w:val="20"/>
          <w:lang w:val="es-PE"/>
        </w:rPr>
        <w:t>de la inspección</w:t>
      </w:r>
      <w:r w:rsidR="00A64EB4" w:rsidRPr="007A0D4C">
        <w:rPr>
          <w:rFonts w:ascii="Cambria" w:hAnsi="Cambria"/>
          <w:color w:val="000000" w:themeColor="text1"/>
          <w:sz w:val="20"/>
          <w:szCs w:val="20"/>
          <w:lang w:val="es-PE"/>
        </w:rPr>
        <w:t xml:space="preserve"> y se </w:t>
      </w:r>
      <w:r w:rsidRPr="007A0D4C">
        <w:rPr>
          <w:rFonts w:ascii="Cambria" w:hAnsi="Cambria"/>
          <w:color w:val="000000" w:themeColor="text1"/>
          <w:sz w:val="20"/>
          <w:szCs w:val="20"/>
          <w:lang w:val="es-PE"/>
        </w:rPr>
        <w:t>levantó un croquis del lugar del hecho</w:t>
      </w:r>
      <w:r w:rsidR="00463004" w:rsidRPr="007A0D4C">
        <w:rPr>
          <w:rStyle w:val="FootnoteReference"/>
          <w:rFonts w:ascii="Cambria" w:hAnsi="Cambria"/>
          <w:color w:val="000000" w:themeColor="text1"/>
          <w:sz w:val="20"/>
          <w:szCs w:val="20"/>
          <w:lang w:val="es-PE"/>
        </w:rPr>
        <w:footnoteReference w:id="26"/>
      </w:r>
      <w:r w:rsidR="00A64EB4" w:rsidRPr="007A0D4C">
        <w:rPr>
          <w:rFonts w:ascii="Cambria" w:hAnsi="Cambria"/>
          <w:color w:val="000000" w:themeColor="text1"/>
          <w:sz w:val="20"/>
          <w:szCs w:val="20"/>
          <w:lang w:val="es-PE"/>
        </w:rPr>
        <w:t>.</w:t>
      </w:r>
      <w:r w:rsidR="00174171" w:rsidRPr="007A0D4C">
        <w:rPr>
          <w:rFonts w:ascii="Cambria" w:hAnsi="Cambria"/>
          <w:color w:val="000000" w:themeColor="text1"/>
          <w:sz w:val="20"/>
          <w:szCs w:val="20"/>
          <w:lang w:val="es-PE"/>
        </w:rPr>
        <w:t xml:space="preserve"> </w:t>
      </w:r>
      <w:r w:rsidR="00406DB7" w:rsidRPr="007A0D4C">
        <w:rPr>
          <w:rFonts w:ascii="Cambria" w:hAnsi="Cambria"/>
          <w:color w:val="000000" w:themeColor="text1"/>
          <w:sz w:val="20"/>
          <w:szCs w:val="20"/>
          <w:lang w:val="es-PE"/>
        </w:rPr>
        <w:t>Se ordenó también</w:t>
      </w:r>
      <w:r w:rsidR="00A45D97">
        <w:rPr>
          <w:rFonts w:ascii="Cambria" w:hAnsi="Cambria"/>
          <w:color w:val="000000" w:themeColor="text1"/>
          <w:sz w:val="20"/>
          <w:szCs w:val="20"/>
          <w:lang w:val="es-PE"/>
        </w:rPr>
        <w:t>,</w:t>
      </w:r>
      <w:r w:rsidR="00406DB7" w:rsidRPr="007A0D4C">
        <w:rPr>
          <w:rFonts w:ascii="Cambria" w:hAnsi="Cambria"/>
          <w:color w:val="000000" w:themeColor="text1"/>
          <w:sz w:val="20"/>
          <w:szCs w:val="20"/>
          <w:lang w:val="es-PE"/>
        </w:rPr>
        <w:t xml:space="preserve"> el traslado del vehículo </w:t>
      </w:r>
      <w:r w:rsidR="006E1475" w:rsidRPr="007A0D4C">
        <w:rPr>
          <w:rFonts w:ascii="Cambria" w:hAnsi="Cambria"/>
          <w:color w:val="000000" w:themeColor="text1"/>
          <w:sz w:val="20"/>
          <w:szCs w:val="20"/>
          <w:lang w:val="es-PE"/>
        </w:rPr>
        <w:t>blanco marca Nissan, en el que se encontró el cuerpo del periodista</w:t>
      </w:r>
      <w:r w:rsidR="00A45D97">
        <w:rPr>
          <w:rFonts w:ascii="Cambria" w:hAnsi="Cambria"/>
          <w:color w:val="000000" w:themeColor="text1"/>
          <w:sz w:val="20"/>
          <w:szCs w:val="20"/>
          <w:lang w:val="es-PE"/>
        </w:rPr>
        <w:t>,</w:t>
      </w:r>
      <w:r w:rsidR="006E1475" w:rsidRPr="007A0D4C">
        <w:rPr>
          <w:rFonts w:ascii="Cambria" w:hAnsi="Cambria"/>
          <w:color w:val="000000" w:themeColor="text1"/>
          <w:sz w:val="20"/>
          <w:szCs w:val="20"/>
          <w:lang w:val="es-PE"/>
        </w:rPr>
        <w:t xml:space="preserve"> </w:t>
      </w:r>
      <w:r w:rsidR="00352D03" w:rsidRPr="007A0D4C">
        <w:rPr>
          <w:rFonts w:ascii="Cambria" w:hAnsi="Cambria"/>
          <w:color w:val="000000" w:themeColor="text1"/>
          <w:sz w:val="20"/>
          <w:szCs w:val="20"/>
          <w:lang w:val="es-PE"/>
        </w:rPr>
        <w:t xml:space="preserve">al predio del tribunal. </w:t>
      </w:r>
      <w:r w:rsidR="00D255F8" w:rsidRPr="007A0D4C">
        <w:rPr>
          <w:rFonts w:ascii="Cambria" w:hAnsi="Cambria"/>
          <w:color w:val="000000" w:themeColor="text1"/>
          <w:sz w:val="20"/>
          <w:szCs w:val="20"/>
          <w:lang w:val="es-PE"/>
        </w:rPr>
        <w:t xml:space="preserve">Asimismo, se </w:t>
      </w:r>
      <w:r w:rsidR="009B107E" w:rsidRPr="007A0D4C">
        <w:rPr>
          <w:rFonts w:ascii="Cambria" w:hAnsi="Cambria"/>
          <w:color w:val="000000" w:themeColor="text1"/>
          <w:sz w:val="20"/>
          <w:szCs w:val="20"/>
          <w:lang w:val="es-PE"/>
        </w:rPr>
        <w:t xml:space="preserve">“rescató” un cartucho winchester calibre 12 </w:t>
      </w:r>
      <w:r w:rsidR="001B36A8" w:rsidRPr="007A0D4C">
        <w:rPr>
          <w:rFonts w:ascii="Cambria" w:hAnsi="Cambria"/>
          <w:color w:val="000000" w:themeColor="text1"/>
          <w:sz w:val="20"/>
          <w:szCs w:val="20"/>
          <w:lang w:val="es-PE"/>
        </w:rPr>
        <w:t xml:space="preserve">y dos proyectiles de plomo, entre otras </w:t>
      </w:r>
      <w:r w:rsidRPr="007A0D4C">
        <w:rPr>
          <w:rFonts w:ascii="Cambria" w:hAnsi="Cambria"/>
          <w:color w:val="000000" w:themeColor="text1"/>
          <w:sz w:val="20"/>
          <w:szCs w:val="20"/>
          <w:lang w:val="es-PE"/>
        </w:rPr>
        <w:t>evidencias</w:t>
      </w:r>
      <w:r w:rsidR="007C5C96" w:rsidRPr="007A0D4C">
        <w:rPr>
          <w:rStyle w:val="FootnoteReference"/>
          <w:rFonts w:ascii="Cambria" w:hAnsi="Cambria"/>
          <w:color w:val="000000" w:themeColor="text1"/>
          <w:sz w:val="20"/>
          <w:szCs w:val="20"/>
          <w:lang w:val="es-PE"/>
        </w:rPr>
        <w:footnoteReference w:id="27"/>
      </w:r>
      <w:r w:rsidR="00117E0E">
        <w:rPr>
          <w:rFonts w:ascii="Cambria" w:hAnsi="Cambria"/>
          <w:color w:val="000000" w:themeColor="text1"/>
          <w:sz w:val="20"/>
          <w:szCs w:val="20"/>
          <w:lang w:val="es-PE"/>
        </w:rPr>
        <w:t xml:space="preserve"> y</w:t>
      </w:r>
      <w:r w:rsidR="002710B7">
        <w:rPr>
          <w:rFonts w:ascii="Cambria" w:hAnsi="Cambria"/>
          <w:color w:val="000000" w:themeColor="text1"/>
          <w:sz w:val="20"/>
          <w:szCs w:val="20"/>
          <w:lang w:val="es-PE"/>
        </w:rPr>
        <w:t xml:space="preserve"> </w:t>
      </w:r>
      <w:r w:rsidR="00117E0E">
        <w:rPr>
          <w:rFonts w:ascii="Cambria" w:hAnsi="Cambria"/>
          <w:color w:val="000000" w:themeColor="text1"/>
          <w:sz w:val="20"/>
          <w:szCs w:val="20"/>
          <w:lang w:val="es-PE"/>
        </w:rPr>
        <w:t>s</w:t>
      </w:r>
      <w:r w:rsidR="00B3303F" w:rsidRPr="007A0D4C">
        <w:rPr>
          <w:rFonts w:ascii="Cambria" w:hAnsi="Cambria"/>
          <w:color w:val="000000" w:themeColor="text1"/>
          <w:sz w:val="20"/>
          <w:szCs w:val="20"/>
          <w:lang w:val="es-PE"/>
        </w:rPr>
        <w:t xml:space="preserve">e tomaron </w:t>
      </w:r>
      <w:r w:rsidR="00962836" w:rsidRPr="007A0D4C">
        <w:rPr>
          <w:rFonts w:ascii="Cambria" w:hAnsi="Cambria"/>
          <w:color w:val="000000" w:themeColor="text1"/>
          <w:sz w:val="20"/>
          <w:szCs w:val="20"/>
          <w:lang w:val="es-PE"/>
        </w:rPr>
        <w:t>fotografías del cuerpo del periodista dentro del vehículo</w:t>
      </w:r>
      <w:r w:rsidR="00962836" w:rsidRPr="007A0D4C">
        <w:rPr>
          <w:rStyle w:val="FootnoteReference"/>
          <w:rFonts w:ascii="Cambria" w:hAnsi="Cambria"/>
          <w:color w:val="000000" w:themeColor="text1"/>
          <w:sz w:val="20"/>
          <w:szCs w:val="20"/>
          <w:lang w:val="es-PE"/>
        </w:rPr>
        <w:footnoteReference w:id="28"/>
      </w:r>
      <w:r w:rsidR="00962836" w:rsidRPr="007A0D4C">
        <w:rPr>
          <w:rFonts w:ascii="Cambria" w:hAnsi="Cambria"/>
          <w:color w:val="000000" w:themeColor="text1"/>
          <w:sz w:val="20"/>
          <w:szCs w:val="20"/>
          <w:lang w:val="es-PE"/>
        </w:rPr>
        <w:t xml:space="preserve">. </w:t>
      </w:r>
    </w:p>
    <w:p w14:paraId="14AD6C57" w14:textId="77777777" w:rsidR="003855AD" w:rsidRPr="007A0D4C" w:rsidRDefault="003855AD"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PE"/>
        </w:rPr>
      </w:pPr>
    </w:p>
    <w:p w14:paraId="6E1D8DCC" w14:textId="78CB79C8" w:rsidR="001B36A8" w:rsidRPr="007A0D4C" w:rsidRDefault="0036193C"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themeColor="text1"/>
          <w:sz w:val="20"/>
          <w:szCs w:val="20"/>
          <w:lang w:val="es-PE"/>
        </w:rPr>
      </w:pPr>
      <w:r w:rsidRPr="007A0D4C">
        <w:rPr>
          <w:rFonts w:ascii="Cambria" w:hAnsi="Cambria"/>
          <w:color w:val="000000" w:themeColor="text1"/>
          <w:sz w:val="20"/>
          <w:szCs w:val="20"/>
          <w:lang w:val="es-PE"/>
        </w:rPr>
        <w:t>Por su parte, el médico forense de la circunscripción, presente en el levantamiento del cadáver, realizó una</w:t>
      </w:r>
      <w:r w:rsidR="00A445AF" w:rsidRPr="007A0D4C">
        <w:rPr>
          <w:rFonts w:ascii="Cambria" w:hAnsi="Cambria"/>
          <w:color w:val="000000" w:themeColor="text1"/>
          <w:sz w:val="20"/>
          <w:szCs w:val="20"/>
          <w:lang w:val="es-PE"/>
        </w:rPr>
        <w:t xml:space="preserve"> “inspección médica”</w:t>
      </w:r>
      <w:r w:rsidR="007465C3" w:rsidRPr="007A0D4C">
        <w:rPr>
          <w:rFonts w:ascii="Cambria" w:hAnsi="Cambria"/>
          <w:color w:val="000000" w:themeColor="text1"/>
          <w:sz w:val="20"/>
          <w:szCs w:val="20"/>
          <w:lang w:val="es-PE"/>
        </w:rPr>
        <w:t xml:space="preserve"> </w:t>
      </w:r>
      <w:r w:rsidRPr="007A0D4C">
        <w:rPr>
          <w:rFonts w:ascii="Cambria" w:hAnsi="Cambria"/>
          <w:color w:val="000000" w:themeColor="text1"/>
          <w:sz w:val="20"/>
          <w:szCs w:val="20"/>
          <w:lang w:val="es-PE"/>
        </w:rPr>
        <w:t xml:space="preserve">del cadáver, luego </w:t>
      </w:r>
      <w:r w:rsidR="007465C3" w:rsidRPr="007A0D4C">
        <w:rPr>
          <w:rFonts w:ascii="Cambria" w:hAnsi="Cambria"/>
          <w:color w:val="000000" w:themeColor="text1"/>
          <w:sz w:val="20"/>
          <w:szCs w:val="20"/>
          <w:lang w:val="es-PE"/>
        </w:rPr>
        <w:t xml:space="preserve">del </w:t>
      </w:r>
      <w:r w:rsidRPr="007A0D4C">
        <w:rPr>
          <w:rFonts w:ascii="Cambria" w:hAnsi="Cambria"/>
          <w:color w:val="000000" w:themeColor="text1"/>
          <w:sz w:val="20"/>
          <w:szCs w:val="20"/>
          <w:lang w:val="es-PE"/>
        </w:rPr>
        <w:t>traslado</w:t>
      </w:r>
      <w:r w:rsidR="007465C3" w:rsidRPr="007A0D4C">
        <w:rPr>
          <w:rFonts w:ascii="Cambria" w:hAnsi="Cambria"/>
          <w:color w:val="000000" w:themeColor="text1"/>
          <w:sz w:val="20"/>
          <w:szCs w:val="20"/>
          <w:lang w:val="es-PE"/>
        </w:rPr>
        <w:t xml:space="preserve"> del cuerpo</w:t>
      </w:r>
      <w:r w:rsidRPr="007A0D4C">
        <w:rPr>
          <w:rFonts w:ascii="Cambria" w:hAnsi="Cambria"/>
          <w:color w:val="000000" w:themeColor="text1"/>
          <w:sz w:val="20"/>
          <w:szCs w:val="20"/>
          <w:lang w:val="es-PE"/>
        </w:rPr>
        <w:t xml:space="preserve"> a la morgue</w:t>
      </w:r>
      <w:r w:rsidR="007465C3" w:rsidRPr="007A0D4C">
        <w:rPr>
          <w:rFonts w:ascii="Cambria" w:hAnsi="Cambria"/>
          <w:color w:val="000000" w:themeColor="text1"/>
          <w:sz w:val="20"/>
          <w:szCs w:val="20"/>
          <w:lang w:val="es-PE"/>
        </w:rPr>
        <w:t xml:space="preserve">. </w:t>
      </w:r>
      <w:r w:rsidR="00AD77E2" w:rsidRPr="007A0D4C">
        <w:rPr>
          <w:rFonts w:ascii="Cambria" w:hAnsi="Cambria"/>
          <w:color w:val="000000" w:themeColor="text1"/>
          <w:sz w:val="20"/>
          <w:szCs w:val="20"/>
          <w:lang w:val="es-PE"/>
        </w:rPr>
        <w:t xml:space="preserve">Determinó que </w:t>
      </w:r>
      <w:r w:rsidR="001630C6" w:rsidRPr="007A0D4C">
        <w:rPr>
          <w:rFonts w:ascii="Cambria" w:hAnsi="Cambria"/>
          <w:color w:val="000000" w:themeColor="text1"/>
          <w:sz w:val="20"/>
          <w:szCs w:val="20"/>
          <w:lang w:val="es-PE"/>
        </w:rPr>
        <w:t>la causa de muerte del periodista fue “</w:t>
      </w:r>
      <w:r w:rsidR="00474C7F" w:rsidRPr="007A0D4C">
        <w:rPr>
          <w:rFonts w:ascii="Cambria" w:hAnsi="Cambria"/>
          <w:color w:val="000000" w:themeColor="text1"/>
          <w:sz w:val="20"/>
          <w:szCs w:val="20"/>
          <w:lang w:val="es-PE"/>
        </w:rPr>
        <w:t>l</w:t>
      </w:r>
      <w:r w:rsidR="00690BC9" w:rsidRPr="007A0D4C">
        <w:rPr>
          <w:rFonts w:ascii="Cambria" w:hAnsi="Cambria"/>
          <w:color w:val="000000" w:themeColor="text1"/>
          <w:sz w:val="20"/>
          <w:szCs w:val="20"/>
          <w:lang w:val="es-PE"/>
        </w:rPr>
        <w:t>esión densa</w:t>
      </w:r>
      <w:r w:rsidR="00474C7F" w:rsidRPr="007A0D4C">
        <w:rPr>
          <w:rFonts w:ascii="Cambria" w:hAnsi="Cambria"/>
          <w:color w:val="000000" w:themeColor="text1"/>
          <w:sz w:val="20"/>
          <w:szCs w:val="20"/>
          <w:lang w:val="es-PE"/>
        </w:rPr>
        <w:t xml:space="preserve"> encef</w:t>
      </w:r>
      <w:r w:rsidR="00416CC5" w:rsidRPr="007A0D4C">
        <w:rPr>
          <w:rFonts w:ascii="Cambria" w:hAnsi="Cambria"/>
          <w:color w:val="000000" w:themeColor="text1"/>
          <w:sz w:val="20"/>
          <w:szCs w:val="20"/>
          <w:lang w:val="es-PE"/>
        </w:rPr>
        <w:t>álica</w:t>
      </w:r>
      <w:r w:rsidR="00474C7F" w:rsidRPr="007A0D4C">
        <w:rPr>
          <w:rFonts w:ascii="Cambria" w:hAnsi="Cambria"/>
          <w:color w:val="000000" w:themeColor="text1"/>
          <w:sz w:val="20"/>
          <w:szCs w:val="20"/>
          <w:lang w:val="es-PE"/>
        </w:rPr>
        <w:t xml:space="preserve"> y hemorragia aguda”, y d</w:t>
      </w:r>
      <w:r w:rsidR="00BE06B8" w:rsidRPr="007A0D4C">
        <w:rPr>
          <w:rFonts w:ascii="Cambria" w:hAnsi="Cambria"/>
          <w:color w:val="000000" w:themeColor="text1"/>
          <w:sz w:val="20"/>
          <w:szCs w:val="20"/>
          <w:lang w:val="es-PE"/>
        </w:rPr>
        <w:t>escribió</w:t>
      </w:r>
      <w:r w:rsidR="00474C7F" w:rsidRPr="007A0D4C">
        <w:rPr>
          <w:rFonts w:ascii="Cambria" w:hAnsi="Cambria"/>
          <w:color w:val="000000" w:themeColor="text1"/>
          <w:sz w:val="20"/>
          <w:szCs w:val="20"/>
          <w:lang w:val="es-PE"/>
        </w:rPr>
        <w:t xml:space="preserve"> las diversas lesiones por arma de fuego entre las que destac</w:t>
      </w:r>
      <w:r w:rsidR="00632D74" w:rsidRPr="007A0D4C">
        <w:rPr>
          <w:rFonts w:ascii="Cambria" w:hAnsi="Cambria"/>
          <w:color w:val="000000" w:themeColor="text1"/>
          <w:sz w:val="20"/>
          <w:szCs w:val="20"/>
          <w:lang w:val="es-PE"/>
        </w:rPr>
        <w:t>an</w:t>
      </w:r>
      <w:r w:rsidR="00474C7F" w:rsidRPr="007A0D4C">
        <w:rPr>
          <w:rFonts w:ascii="Cambria" w:hAnsi="Cambria"/>
          <w:color w:val="000000" w:themeColor="text1"/>
          <w:sz w:val="20"/>
          <w:szCs w:val="20"/>
          <w:lang w:val="es-PE"/>
        </w:rPr>
        <w:t xml:space="preserve"> </w:t>
      </w:r>
      <w:r w:rsidR="0020121F" w:rsidRPr="007A0D4C">
        <w:rPr>
          <w:rFonts w:ascii="Cambria" w:hAnsi="Cambria"/>
          <w:color w:val="000000" w:themeColor="text1"/>
          <w:sz w:val="20"/>
          <w:szCs w:val="20"/>
          <w:lang w:val="es-PE"/>
        </w:rPr>
        <w:t xml:space="preserve">la </w:t>
      </w:r>
      <w:r w:rsidR="003855AD" w:rsidRPr="007A0D4C">
        <w:rPr>
          <w:rFonts w:ascii="Cambria" w:hAnsi="Cambria"/>
          <w:color w:val="000000" w:themeColor="text1"/>
          <w:sz w:val="20"/>
          <w:szCs w:val="20"/>
          <w:lang w:val="es-PE"/>
        </w:rPr>
        <w:t>desaparición</w:t>
      </w:r>
      <w:r w:rsidR="0020121F" w:rsidRPr="007A0D4C">
        <w:rPr>
          <w:rFonts w:ascii="Cambria" w:hAnsi="Cambria"/>
          <w:color w:val="000000" w:themeColor="text1"/>
          <w:sz w:val="20"/>
          <w:szCs w:val="20"/>
          <w:lang w:val="es-PE"/>
        </w:rPr>
        <w:t xml:space="preserve"> del globo </w:t>
      </w:r>
      <w:r w:rsidR="003855AD" w:rsidRPr="007A0D4C">
        <w:rPr>
          <w:rFonts w:ascii="Cambria" w:hAnsi="Cambria"/>
          <w:color w:val="000000" w:themeColor="text1"/>
          <w:sz w:val="20"/>
          <w:szCs w:val="20"/>
          <w:lang w:val="es-PE"/>
        </w:rPr>
        <w:t>ocular</w:t>
      </w:r>
      <w:r w:rsidR="0020121F" w:rsidRPr="007A0D4C">
        <w:rPr>
          <w:rFonts w:ascii="Cambria" w:hAnsi="Cambria"/>
          <w:color w:val="000000" w:themeColor="text1"/>
          <w:sz w:val="20"/>
          <w:szCs w:val="20"/>
          <w:lang w:val="es-PE"/>
        </w:rPr>
        <w:t xml:space="preserve"> izquierd</w:t>
      </w:r>
      <w:r w:rsidR="008F011C" w:rsidRPr="007A0D4C">
        <w:rPr>
          <w:rFonts w:ascii="Cambria" w:hAnsi="Cambria"/>
          <w:color w:val="000000" w:themeColor="text1"/>
          <w:sz w:val="20"/>
          <w:szCs w:val="20"/>
          <w:lang w:val="es-PE"/>
        </w:rPr>
        <w:t>o</w:t>
      </w:r>
      <w:r w:rsidR="0020121F" w:rsidRPr="007A0D4C">
        <w:rPr>
          <w:rFonts w:ascii="Cambria" w:hAnsi="Cambria"/>
          <w:color w:val="000000" w:themeColor="text1"/>
          <w:sz w:val="20"/>
          <w:szCs w:val="20"/>
          <w:lang w:val="es-PE"/>
        </w:rPr>
        <w:t xml:space="preserve">, fracturas, heridas desgarrantes en el cuello, </w:t>
      </w:r>
      <w:r w:rsidR="000F2029" w:rsidRPr="007A0D4C">
        <w:rPr>
          <w:rFonts w:ascii="Cambria" w:hAnsi="Cambria"/>
          <w:color w:val="000000" w:themeColor="text1"/>
          <w:sz w:val="20"/>
          <w:szCs w:val="20"/>
          <w:lang w:val="es-PE"/>
        </w:rPr>
        <w:t xml:space="preserve">hombros y </w:t>
      </w:r>
      <w:r w:rsidR="003855AD" w:rsidRPr="007A0D4C">
        <w:rPr>
          <w:rFonts w:ascii="Cambria" w:hAnsi="Cambria"/>
          <w:color w:val="000000" w:themeColor="text1"/>
          <w:sz w:val="20"/>
          <w:szCs w:val="20"/>
          <w:lang w:val="es-PE"/>
        </w:rPr>
        <w:t>extremidades inferiores</w:t>
      </w:r>
      <w:r w:rsidR="003855AD" w:rsidRPr="007A0D4C">
        <w:rPr>
          <w:rStyle w:val="FootnoteReference"/>
          <w:rFonts w:ascii="Cambria" w:hAnsi="Cambria"/>
          <w:color w:val="000000" w:themeColor="text1"/>
          <w:sz w:val="20"/>
          <w:szCs w:val="20"/>
          <w:lang w:val="es-PE"/>
        </w:rPr>
        <w:footnoteReference w:id="29"/>
      </w:r>
      <w:r w:rsidR="003855AD" w:rsidRPr="007A0D4C">
        <w:rPr>
          <w:rFonts w:ascii="Cambria" w:hAnsi="Cambria"/>
          <w:color w:val="000000" w:themeColor="text1"/>
          <w:sz w:val="20"/>
          <w:szCs w:val="20"/>
          <w:lang w:val="es-PE"/>
        </w:rPr>
        <w:t>.</w:t>
      </w:r>
      <w:r w:rsidR="00690BC9" w:rsidRPr="007A0D4C">
        <w:rPr>
          <w:rFonts w:ascii="Cambria" w:hAnsi="Cambria"/>
          <w:color w:val="000000" w:themeColor="text1"/>
          <w:sz w:val="20"/>
          <w:szCs w:val="20"/>
          <w:lang w:val="es-PE"/>
        </w:rPr>
        <w:t xml:space="preserve"> </w:t>
      </w:r>
      <w:r w:rsidR="00152C5E" w:rsidRPr="007A0D4C">
        <w:rPr>
          <w:rFonts w:ascii="Cambria" w:hAnsi="Cambria"/>
          <w:color w:val="000000" w:themeColor="text1"/>
          <w:sz w:val="20"/>
          <w:szCs w:val="20"/>
          <w:lang w:val="es-PE"/>
        </w:rPr>
        <w:t xml:space="preserve">Finalmente, </w:t>
      </w:r>
      <w:r w:rsidR="00632D74" w:rsidRPr="007A0D4C">
        <w:rPr>
          <w:rFonts w:ascii="Cambria" w:hAnsi="Cambria"/>
          <w:color w:val="000000" w:themeColor="text1"/>
          <w:sz w:val="20"/>
          <w:szCs w:val="20"/>
          <w:lang w:val="es-PE"/>
        </w:rPr>
        <w:t xml:space="preserve">se </w:t>
      </w:r>
      <w:r w:rsidR="00152C5E" w:rsidRPr="007A0D4C">
        <w:rPr>
          <w:rFonts w:ascii="Cambria" w:hAnsi="Cambria"/>
          <w:color w:val="000000" w:themeColor="text1"/>
          <w:sz w:val="20"/>
          <w:szCs w:val="20"/>
          <w:lang w:val="es-PE"/>
        </w:rPr>
        <w:t>dispuso la entrega del cuerpo a familiares y colegas</w:t>
      </w:r>
      <w:r w:rsidR="004428E0" w:rsidRPr="007A0D4C">
        <w:rPr>
          <w:rFonts w:ascii="Cambria" w:hAnsi="Cambria"/>
          <w:color w:val="000000" w:themeColor="text1"/>
          <w:sz w:val="20"/>
          <w:szCs w:val="20"/>
          <w:lang w:val="es-PE"/>
        </w:rPr>
        <w:t>.</w:t>
      </w:r>
    </w:p>
    <w:p w14:paraId="3EE91243" w14:textId="77777777" w:rsidR="004428E0" w:rsidRPr="007A0D4C" w:rsidRDefault="004428E0"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PE"/>
        </w:rPr>
      </w:pPr>
    </w:p>
    <w:p w14:paraId="1B370F99" w14:textId="43E7A89F" w:rsidR="00AD5FE6" w:rsidRPr="008F5D93" w:rsidRDefault="00490D05"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themeColor="text1"/>
          <w:sz w:val="20"/>
          <w:szCs w:val="20"/>
          <w:lang w:val="es-PE"/>
        </w:rPr>
      </w:pPr>
      <w:r w:rsidRPr="007A0D4C">
        <w:rPr>
          <w:rFonts w:ascii="Cambria" w:hAnsi="Cambria"/>
          <w:color w:val="000000" w:themeColor="text1"/>
          <w:sz w:val="20"/>
          <w:szCs w:val="20"/>
          <w:lang w:val="es-PE"/>
        </w:rPr>
        <w:t>E</w:t>
      </w:r>
      <w:r w:rsidR="00ED604A" w:rsidRPr="007A0D4C">
        <w:rPr>
          <w:rFonts w:ascii="Cambria" w:hAnsi="Cambria"/>
          <w:color w:val="000000" w:themeColor="text1"/>
          <w:sz w:val="20"/>
          <w:szCs w:val="20"/>
          <w:lang w:val="es-PE"/>
        </w:rPr>
        <w:t>l</w:t>
      </w:r>
      <w:r w:rsidRPr="007A0D4C">
        <w:rPr>
          <w:rFonts w:ascii="Cambria" w:hAnsi="Cambria"/>
          <w:color w:val="000000" w:themeColor="text1"/>
          <w:sz w:val="20"/>
          <w:szCs w:val="20"/>
          <w:lang w:val="es-PE"/>
        </w:rPr>
        <w:t xml:space="preserve"> mism</w:t>
      </w:r>
      <w:r w:rsidR="00AD5FE6" w:rsidRPr="007A0D4C">
        <w:rPr>
          <w:rFonts w:ascii="Cambria" w:hAnsi="Cambria"/>
          <w:color w:val="000000" w:themeColor="text1"/>
          <w:sz w:val="20"/>
          <w:szCs w:val="20"/>
          <w:lang w:val="es-PE"/>
        </w:rPr>
        <w:t xml:space="preserve">o </w:t>
      </w:r>
      <w:r w:rsidR="00ED604A" w:rsidRPr="007A0D4C">
        <w:rPr>
          <w:rFonts w:ascii="Cambria" w:hAnsi="Cambria"/>
          <w:color w:val="000000" w:themeColor="text1"/>
          <w:sz w:val="20"/>
          <w:szCs w:val="20"/>
          <w:lang w:val="es-PE"/>
        </w:rPr>
        <w:t>26 de abril de 1991</w:t>
      </w:r>
      <w:r w:rsidRPr="007A0D4C">
        <w:rPr>
          <w:rFonts w:ascii="Cambria" w:hAnsi="Cambria"/>
          <w:color w:val="000000" w:themeColor="text1"/>
          <w:sz w:val="20"/>
          <w:szCs w:val="20"/>
          <w:lang w:val="es-PE"/>
        </w:rPr>
        <w:t xml:space="preserve"> el Juzgado </w:t>
      </w:r>
      <w:r w:rsidR="00F90A2F" w:rsidRPr="007A0D4C">
        <w:rPr>
          <w:rFonts w:ascii="Cambria" w:hAnsi="Cambria"/>
          <w:color w:val="000000" w:themeColor="text1"/>
          <w:sz w:val="20"/>
          <w:szCs w:val="20"/>
          <w:lang w:val="es-PE"/>
        </w:rPr>
        <w:t xml:space="preserve">emitió un auto interlocutorio ordenando </w:t>
      </w:r>
      <w:r w:rsidRPr="007A0D4C">
        <w:rPr>
          <w:rFonts w:ascii="Cambria" w:hAnsi="Cambria"/>
          <w:color w:val="000000" w:themeColor="text1"/>
          <w:sz w:val="20"/>
          <w:szCs w:val="20"/>
          <w:lang w:val="es-PE"/>
        </w:rPr>
        <w:t>la instrucción de</w:t>
      </w:r>
      <w:r w:rsidR="00EF3C22" w:rsidRPr="007A0D4C">
        <w:rPr>
          <w:rFonts w:ascii="Cambria" w:hAnsi="Cambria"/>
          <w:color w:val="000000" w:themeColor="text1"/>
          <w:sz w:val="20"/>
          <w:szCs w:val="20"/>
          <w:lang w:val="es-PE"/>
        </w:rPr>
        <w:t>l</w:t>
      </w:r>
      <w:r w:rsidRPr="007A0D4C">
        <w:rPr>
          <w:rFonts w:ascii="Cambria" w:hAnsi="Cambria"/>
          <w:color w:val="000000" w:themeColor="text1"/>
          <w:sz w:val="20"/>
          <w:szCs w:val="20"/>
          <w:lang w:val="es-PE"/>
        </w:rPr>
        <w:t xml:space="preserve"> sumario </w:t>
      </w:r>
      <w:r w:rsidR="003A29DB" w:rsidRPr="007A0D4C">
        <w:rPr>
          <w:rFonts w:ascii="Cambria" w:hAnsi="Cambria"/>
          <w:color w:val="000000" w:themeColor="text1"/>
          <w:sz w:val="20"/>
          <w:szCs w:val="20"/>
          <w:lang w:val="es-PE"/>
        </w:rPr>
        <w:t xml:space="preserve">en averiguación y comprobación </w:t>
      </w:r>
      <w:r w:rsidRPr="007A0D4C">
        <w:rPr>
          <w:rFonts w:ascii="Cambria" w:hAnsi="Cambria"/>
          <w:color w:val="000000" w:themeColor="text1"/>
          <w:sz w:val="20"/>
          <w:szCs w:val="20"/>
          <w:lang w:val="es-PE"/>
        </w:rPr>
        <w:t>del homicidio de Santiago Leguizamón</w:t>
      </w:r>
      <w:r w:rsidR="0054541F" w:rsidRPr="007A0D4C">
        <w:rPr>
          <w:rFonts w:ascii="Cambria" w:hAnsi="Cambria"/>
          <w:color w:val="000000" w:themeColor="text1"/>
          <w:sz w:val="20"/>
          <w:szCs w:val="20"/>
          <w:lang w:val="es-PE"/>
        </w:rPr>
        <w:t xml:space="preserve"> y la determinación de sus </w:t>
      </w:r>
      <w:r w:rsidR="0054541F" w:rsidRPr="008F5D93">
        <w:rPr>
          <w:rFonts w:ascii="Cambria" w:hAnsi="Cambria"/>
          <w:color w:val="000000" w:themeColor="text1"/>
          <w:sz w:val="20"/>
          <w:szCs w:val="20"/>
          <w:lang w:val="es-PE"/>
        </w:rPr>
        <w:t>autores,</w:t>
      </w:r>
      <w:r w:rsidRPr="008F5D93">
        <w:rPr>
          <w:rFonts w:ascii="Cambria" w:hAnsi="Cambria"/>
          <w:color w:val="000000" w:themeColor="text1"/>
          <w:sz w:val="20"/>
          <w:szCs w:val="20"/>
          <w:lang w:val="es-PE"/>
        </w:rPr>
        <w:t xml:space="preserve"> </w:t>
      </w:r>
      <w:r w:rsidR="008F32E2" w:rsidRPr="008F5D93">
        <w:rPr>
          <w:rFonts w:ascii="Cambria" w:hAnsi="Cambria"/>
          <w:color w:val="000000" w:themeColor="text1"/>
          <w:sz w:val="20"/>
          <w:szCs w:val="20"/>
          <w:lang w:val="es-PE"/>
        </w:rPr>
        <w:t xml:space="preserve">y </w:t>
      </w:r>
      <w:r w:rsidR="00A94875" w:rsidRPr="008F5D93">
        <w:rPr>
          <w:rFonts w:ascii="Cambria" w:hAnsi="Cambria"/>
          <w:color w:val="000000" w:themeColor="text1"/>
          <w:sz w:val="20"/>
          <w:szCs w:val="20"/>
          <w:lang w:val="es-PE"/>
        </w:rPr>
        <w:t>solicitó la realización de</w:t>
      </w:r>
      <w:r w:rsidRPr="008F5D93">
        <w:rPr>
          <w:rFonts w:ascii="Cambria" w:hAnsi="Cambria"/>
          <w:color w:val="000000" w:themeColor="text1"/>
          <w:sz w:val="20"/>
          <w:szCs w:val="20"/>
          <w:lang w:val="es-PE"/>
        </w:rPr>
        <w:t xml:space="preserve"> diligencias de investigación</w:t>
      </w:r>
      <w:r w:rsidR="00CD0278" w:rsidRPr="008F5D93">
        <w:rPr>
          <w:rStyle w:val="FootnoteReference"/>
          <w:rFonts w:ascii="Cambria" w:hAnsi="Cambria"/>
          <w:color w:val="000000" w:themeColor="text1"/>
          <w:sz w:val="20"/>
          <w:szCs w:val="20"/>
          <w:lang w:val="es-PE"/>
        </w:rPr>
        <w:footnoteReference w:id="30"/>
      </w:r>
      <w:r w:rsidR="00CD0278" w:rsidRPr="008F5D93">
        <w:rPr>
          <w:rFonts w:ascii="Cambria" w:hAnsi="Cambria"/>
          <w:color w:val="000000" w:themeColor="text1"/>
          <w:sz w:val="20"/>
          <w:szCs w:val="20"/>
          <w:lang w:val="es-PE"/>
        </w:rPr>
        <w:t>.</w:t>
      </w:r>
      <w:r w:rsidR="00995DF1" w:rsidRPr="008F5D93">
        <w:rPr>
          <w:rFonts w:ascii="Cambria" w:hAnsi="Cambria"/>
          <w:color w:val="000000" w:themeColor="text1"/>
          <w:sz w:val="20"/>
          <w:szCs w:val="20"/>
          <w:lang w:val="es-PE"/>
        </w:rPr>
        <w:t xml:space="preserve"> El 27 d</w:t>
      </w:r>
      <w:r w:rsidR="00060E0D" w:rsidRPr="008F5D93">
        <w:rPr>
          <w:rFonts w:ascii="Cambria" w:hAnsi="Cambria"/>
          <w:color w:val="000000" w:themeColor="text1"/>
          <w:sz w:val="20"/>
          <w:szCs w:val="20"/>
          <w:lang w:val="es-PE"/>
        </w:rPr>
        <w:t xml:space="preserve">e abril de 1991 </w:t>
      </w:r>
      <w:r w:rsidR="00CC2D56" w:rsidRPr="008F5D93">
        <w:rPr>
          <w:rFonts w:ascii="Cambria" w:hAnsi="Cambria"/>
          <w:color w:val="000000" w:themeColor="text1"/>
          <w:sz w:val="20"/>
          <w:szCs w:val="20"/>
          <w:lang w:val="es-PE"/>
        </w:rPr>
        <w:t xml:space="preserve">Paraguay </w:t>
      </w:r>
      <w:r w:rsidR="006C34BF" w:rsidRPr="008F5D93">
        <w:rPr>
          <w:rFonts w:ascii="Cambria" w:hAnsi="Cambria"/>
          <w:color w:val="000000" w:themeColor="text1"/>
          <w:sz w:val="20"/>
          <w:szCs w:val="20"/>
          <w:lang w:val="es-PE"/>
        </w:rPr>
        <w:t xml:space="preserve">solicitó a </w:t>
      </w:r>
      <w:r w:rsidR="007F783E" w:rsidRPr="008F5D93">
        <w:rPr>
          <w:rFonts w:ascii="Cambria" w:hAnsi="Cambria"/>
          <w:color w:val="000000" w:themeColor="text1"/>
          <w:sz w:val="20"/>
          <w:szCs w:val="20"/>
          <w:lang w:val="es-PE"/>
        </w:rPr>
        <w:t xml:space="preserve">Brasil información sobre datos que pudieran contribuir con la individualización de los autores </w:t>
      </w:r>
      <w:r w:rsidR="00A71EF3" w:rsidRPr="008F5D93">
        <w:rPr>
          <w:rFonts w:ascii="Cambria" w:hAnsi="Cambria"/>
          <w:color w:val="000000" w:themeColor="text1"/>
          <w:sz w:val="20"/>
          <w:szCs w:val="20"/>
          <w:lang w:val="es-PE"/>
        </w:rPr>
        <w:t>del crimen contra Santiago Leguizamón</w:t>
      </w:r>
      <w:r w:rsidR="00A71EF3" w:rsidRPr="008F5D93">
        <w:rPr>
          <w:rStyle w:val="FootnoteReference"/>
          <w:rFonts w:ascii="Cambria" w:hAnsi="Cambria"/>
          <w:color w:val="000000" w:themeColor="text1"/>
          <w:sz w:val="20"/>
          <w:szCs w:val="20"/>
          <w:lang w:val="es-PE"/>
        </w:rPr>
        <w:footnoteReference w:id="31"/>
      </w:r>
      <w:r w:rsidR="00A71EF3" w:rsidRPr="008F5D93">
        <w:rPr>
          <w:rFonts w:ascii="Cambria" w:hAnsi="Cambria"/>
          <w:color w:val="000000" w:themeColor="text1"/>
          <w:sz w:val="20"/>
          <w:szCs w:val="20"/>
          <w:lang w:val="es-PE"/>
        </w:rPr>
        <w:t>.</w:t>
      </w:r>
    </w:p>
    <w:p w14:paraId="7860A68C" w14:textId="77777777" w:rsidR="00CD0278" w:rsidRPr="008F5D93" w:rsidRDefault="00CD0278"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PE"/>
        </w:rPr>
      </w:pPr>
    </w:p>
    <w:p w14:paraId="15378886" w14:textId="3906C5BA" w:rsidR="008B6BCC" w:rsidRPr="008F5D93" w:rsidRDefault="00AD5FE6"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themeColor="text1"/>
          <w:sz w:val="20"/>
          <w:szCs w:val="20"/>
          <w:lang w:val="es-PE"/>
        </w:rPr>
      </w:pPr>
      <w:r w:rsidRPr="008F5D93">
        <w:rPr>
          <w:rFonts w:ascii="Cambria" w:hAnsi="Cambria"/>
          <w:color w:val="000000" w:themeColor="text1"/>
          <w:sz w:val="20"/>
          <w:szCs w:val="20"/>
          <w:lang w:val="es-PE"/>
        </w:rPr>
        <w:t xml:space="preserve">Conforme al expediente ante la CIDH, el </w:t>
      </w:r>
      <w:r w:rsidR="00980140">
        <w:rPr>
          <w:rFonts w:ascii="Cambria" w:hAnsi="Cambria"/>
          <w:color w:val="000000" w:themeColor="text1"/>
          <w:sz w:val="20"/>
          <w:szCs w:val="20"/>
          <w:lang w:val="es-PE"/>
        </w:rPr>
        <w:t>Juzgado</w:t>
      </w:r>
      <w:r w:rsidRPr="008F5D93">
        <w:rPr>
          <w:rFonts w:ascii="Cambria" w:hAnsi="Cambria"/>
          <w:color w:val="000000" w:themeColor="text1"/>
          <w:sz w:val="20"/>
          <w:szCs w:val="20"/>
          <w:lang w:val="es-PE"/>
        </w:rPr>
        <w:t xml:space="preserve"> recabó al menos </w:t>
      </w:r>
      <w:r w:rsidR="004F546A" w:rsidRPr="008F5D93">
        <w:rPr>
          <w:rFonts w:ascii="Cambria" w:hAnsi="Cambria"/>
          <w:color w:val="000000" w:themeColor="text1"/>
          <w:sz w:val="20"/>
          <w:szCs w:val="20"/>
          <w:lang w:val="es-PE"/>
        </w:rPr>
        <w:t>20 declaraciones</w:t>
      </w:r>
      <w:r w:rsidR="000678DD" w:rsidRPr="008F5D93">
        <w:rPr>
          <w:rFonts w:ascii="Cambria" w:hAnsi="Cambria"/>
          <w:color w:val="000000" w:themeColor="text1"/>
          <w:sz w:val="20"/>
          <w:szCs w:val="20"/>
          <w:lang w:val="es-PE"/>
        </w:rPr>
        <w:t xml:space="preserve"> entre </w:t>
      </w:r>
      <w:r w:rsidR="0060402D" w:rsidRPr="008F5D93">
        <w:rPr>
          <w:rFonts w:ascii="Cambria" w:hAnsi="Cambria"/>
          <w:color w:val="000000" w:themeColor="text1"/>
          <w:sz w:val="20"/>
          <w:szCs w:val="20"/>
          <w:lang w:val="es-PE"/>
        </w:rPr>
        <w:t>trabajadores de la radio, testigos, familiares y amigos del</w:t>
      </w:r>
      <w:r w:rsidR="00CB431F" w:rsidRPr="008F5D93">
        <w:rPr>
          <w:rFonts w:ascii="Cambria" w:hAnsi="Cambria"/>
          <w:color w:val="000000" w:themeColor="text1"/>
          <w:sz w:val="20"/>
          <w:szCs w:val="20"/>
          <w:lang w:val="es-PE"/>
        </w:rPr>
        <w:t xml:space="preserve"> </w:t>
      </w:r>
      <w:r w:rsidR="0060402D" w:rsidRPr="008F5D93">
        <w:rPr>
          <w:rFonts w:ascii="Cambria" w:hAnsi="Cambria"/>
          <w:color w:val="000000" w:themeColor="text1"/>
          <w:sz w:val="20"/>
          <w:szCs w:val="20"/>
          <w:lang w:val="es-PE"/>
        </w:rPr>
        <w:t>periodista, entre otros</w:t>
      </w:r>
      <w:r w:rsidR="00333103" w:rsidRPr="008F5D93">
        <w:rPr>
          <w:rStyle w:val="FootnoteReference"/>
          <w:rFonts w:ascii="Cambria" w:hAnsi="Cambria"/>
          <w:color w:val="000000" w:themeColor="text1"/>
          <w:sz w:val="20"/>
          <w:szCs w:val="20"/>
          <w:lang w:val="es-PE"/>
        </w:rPr>
        <w:footnoteReference w:id="32"/>
      </w:r>
      <w:r w:rsidR="0060402D" w:rsidRPr="008F5D93">
        <w:rPr>
          <w:rFonts w:ascii="Cambria" w:hAnsi="Cambria"/>
          <w:color w:val="000000" w:themeColor="text1"/>
          <w:sz w:val="20"/>
          <w:szCs w:val="20"/>
          <w:lang w:val="es-PE"/>
        </w:rPr>
        <w:t>. Asimismo, se rec</w:t>
      </w:r>
      <w:r w:rsidR="005662F6" w:rsidRPr="008F5D93">
        <w:rPr>
          <w:rFonts w:ascii="Cambria" w:hAnsi="Cambria"/>
          <w:color w:val="000000" w:themeColor="text1"/>
          <w:sz w:val="20"/>
          <w:szCs w:val="20"/>
          <w:lang w:val="es-PE"/>
        </w:rPr>
        <w:t>ab</w:t>
      </w:r>
      <w:r w:rsidR="0060402D" w:rsidRPr="008F5D93">
        <w:rPr>
          <w:rFonts w:ascii="Cambria" w:hAnsi="Cambria"/>
          <w:color w:val="000000" w:themeColor="text1"/>
          <w:sz w:val="20"/>
          <w:szCs w:val="20"/>
          <w:lang w:val="es-PE"/>
        </w:rPr>
        <w:t xml:space="preserve">ó la declaración testifical de </w:t>
      </w:r>
      <w:r w:rsidR="005662F6" w:rsidRPr="008F5D93">
        <w:rPr>
          <w:rFonts w:ascii="Cambria" w:hAnsi="Cambria"/>
          <w:color w:val="000000" w:themeColor="text1"/>
          <w:sz w:val="20"/>
          <w:szCs w:val="20"/>
          <w:lang w:val="es-PE"/>
        </w:rPr>
        <w:t xml:space="preserve">dos personas, </w:t>
      </w:r>
      <w:r w:rsidR="004069D8" w:rsidRPr="008F5D93">
        <w:rPr>
          <w:rFonts w:ascii="Cambria" w:hAnsi="Cambria"/>
          <w:color w:val="000000" w:themeColor="text1"/>
          <w:sz w:val="20"/>
          <w:szCs w:val="20"/>
          <w:lang w:val="es-PE"/>
        </w:rPr>
        <w:t>quienes,</w:t>
      </w:r>
      <w:r w:rsidR="005662F6" w:rsidRPr="008F5D93">
        <w:rPr>
          <w:rFonts w:ascii="Cambria" w:hAnsi="Cambria"/>
          <w:color w:val="000000" w:themeColor="text1"/>
          <w:sz w:val="20"/>
          <w:szCs w:val="20"/>
          <w:lang w:val="es-PE"/>
        </w:rPr>
        <w:t xml:space="preserve"> según los peticionarios</w:t>
      </w:r>
      <w:r w:rsidR="00A45D97">
        <w:rPr>
          <w:rFonts w:ascii="Cambria" w:hAnsi="Cambria"/>
          <w:color w:val="000000" w:themeColor="text1"/>
          <w:sz w:val="20"/>
          <w:szCs w:val="20"/>
          <w:lang w:val="es-PE"/>
        </w:rPr>
        <w:t>,</w:t>
      </w:r>
      <w:r w:rsidR="005662F6" w:rsidRPr="008F5D93">
        <w:rPr>
          <w:rFonts w:ascii="Cambria" w:hAnsi="Cambria"/>
          <w:color w:val="000000" w:themeColor="text1"/>
          <w:sz w:val="20"/>
          <w:szCs w:val="20"/>
          <w:lang w:val="es-PE"/>
        </w:rPr>
        <w:t xml:space="preserve"> habrían sido los autores intelectuales del asesinato</w:t>
      </w:r>
      <w:r w:rsidR="0077413A" w:rsidRPr="008F5D93">
        <w:rPr>
          <w:rStyle w:val="FootnoteReference"/>
          <w:rFonts w:ascii="Cambria" w:hAnsi="Cambria"/>
          <w:color w:val="000000" w:themeColor="text1"/>
          <w:sz w:val="20"/>
          <w:szCs w:val="20"/>
          <w:lang w:val="es-PE"/>
        </w:rPr>
        <w:footnoteReference w:id="33"/>
      </w:r>
      <w:r w:rsidR="005662F6" w:rsidRPr="008F5D93">
        <w:rPr>
          <w:rFonts w:ascii="Cambria" w:hAnsi="Cambria"/>
          <w:color w:val="000000" w:themeColor="text1"/>
          <w:sz w:val="20"/>
          <w:szCs w:val="20"/>
          <w:lang w:val="es-PE"/>
        </w:rPr>
        <w:t xml:space="preserve">. </w:t>
      </w:r>
    </w:p>
    <w:p w14:paraId="25AEA094" w14:textId="77777777" w:rsidR="001133AC" w:rsidRPr="008F5D93" w:rsidRDefault="001133AC"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PE"/>
        </w:rPr>
      </w:pPr>
    </w:p>
    <w:p w14:paraId="2395D551" w14:textId="54A6C941" w:rsidR="00002979" w:rsidRPr="008F5D93" w:rsidRDefault="005E3FF1"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themeColor="text1"/>
          <w:sz w:val="20"/>
          <w:szCs w:val="20"/>
          <w:lang w:val="es-PE"/>
        </w:rPr>
      </w:pPr>
      <w:r w:rsidRPr="008F5D93">
        <w:rPr>
          <w:rFonts w:ascii="Cambria" w:hAnsi="Cambria"/>
          <w:color w:val="000000" w:themeColor="text1"/>
          <w:sz w:val="20"/>
          <w:szCs w:val="20"/>
          <w:lang w:val="es-PE"/>
        </w:rPr>
        <w:t xml:space="preserve">Otras diligencias de investigación </w:t>
      </w:r>
      <w:r w:rsidR="00F14DCC" w:rsidRPr="008F5D93">
        <w:rPr>
          <w:rFonts w:ascii="Cambria" w:hAnsi="Cambria"/>
          <w:color w:val="000000" w:themeColor="text1"/>
          <w:sz w:val="20"/>
          <w:szCs w:val="20"/>
          <w:lang w:val="es-PE"/>
        </w:rPr>
        <w:t xml:space="preserve">practicadas </w:t>
      </w:r>
      <w:r w:rsidRPr="008F5D93">
        <w:rPr>
          <w:rFonts w:ascii="Cambria" w:hAnsi="Cambria"/>
          <w:color w:val="000000" w:themeColor="text1"/>
          <w:sz w:val="20"/>
          <w:szCs w:val="20"/>
          <w:lang w:val="es-PE"/>
        </w:rPr>
        <w:t>fueron las siguientes</w:t>
      </w:r>
      <w:r w:rsidR="00635C8D" w:rsidRPr="008F5D93">
        <w:rPr>
          <w:rStyle w:val="FootnoteReference"/>
          <w:rFonts w:ascii="Cambria" w:hAnsi="Cambria"/>
          <w:color w:val="000000" w:themeColor="text1"/>
          <w:sz w:val="20"/>
          <w:szCs w:val="20"/>
          <w:lang w:val="es-PE"/>
        </w:rPr>
        <w:footnoteReference w:id="34"/>
      </w:r>
      <w:r w:rsidRPr="008F5D93">
        <w:rPr>
          <w:rFonts w:ascii="Cambria" w:hAnsi="Cambria"/>
          <w:color w:val="000000" w:themeColor="text1"/>
          <w:sz w:val="20"/>
          <w:szCs w:val="20"/>
          <w:lang w:val="es-PE"/>
        </w:rPr>
        <w:t xml:space="preserve">: </w:t>
      </w:r>
      <w:r w:rsidR="00F14DCC" w:rsidRPr="008F5D93">
        <w:rPr>
          <w:rFonts w:ascii="Cambria" w:hAnsi="Cambria"/>
          <w:color w:val="000000" w:themeColor="text1"/>
          <w:sz w:val="20"/>
          <w:szCs w:val="20"/>
          <w:lang w:val="es-PE"/>
        </w:rPr>
        <w:t>a) el 29 de abril de 1991 se realizó una inspección ocular de la radio Mburucuyá</w:t>
      </w:r>
      <w:r w:rsidR="00486B3C" w:rsidRPr="008F5D93">
        <w:rPr>
          <w:rFonts w:ascii="Cambria" w:hAnsi="Cambria"/>
          <w:color w:val="000000" w:themeColor="text1"/>
          <w:sz w:val="20"/>
          <w:szCs w:val="20"/>
          <w:lang w:val="es-PE"/>
        </w:rPr>
        <w:t xml:space="preserve"> en la cual se concluyó </w:t>
      </w:r>
      <w:r w:rsidR="00190262" w:rsidRPr="008F5D93">
        <w:rPr>
          <w:rFonts w:ascii="Cambria" w:hAnsi="Cambria"/>
          <w:color w:val="000000" w:themeColor="text1"/>
          <w:sz w:val="20"/>
          <w:szCs w:val="20"/>
          <w:lang w:val="es-PE"/>
        </w:rPr>
        <w:t xml:space="preserve">que no se encontraron elementos </w:t>
      </w:r>
      <w:r w:rsidR="00744AEA" w:rsidRPr="008F5D93">
        <w:rPr>
          <w:rFonts w:ascii="Cambria" w:hAnsi="Cambria"/>
          <w:color w:val="000000" w:themeColor="text1"/>
          <w:sz w:val="20"/>
          <w:szCs w:val="20"/>
          <w:lang w:val="es-PE"/>
        </w:rPr>
        <w:lastRenderedPageBreak/>
        <w:t xml:space="preserve">útiles para la </w:t>
      </w:r>
      <w:r w:rsidR="00635C8D" w:rsidRPr="008F5D93">
        <w:rPr>
          <w:rFonts w:ascii="Cambria" w:hAnsi="Cambria"/>
          <w:color w:val="000000" w:themeColor="text1"/>
          <w:sz w:val="20"/>
          <w:szCs w:val="20"/>
          <w:lang w:val="es-PE"/>
        </w:rPr>
        <w:t>investigación; b)</w:t>
      </w:r>
      <w:r w:rsidR="004D527D" w:rsidRPr="008F5D93">
        <w:rPr>
          <w:rFonts w:ascii="Cambria" w:hAnsi="Cambria"/>
          <w:color w:val="000000" w:themeColor="text1"/>
          <w:sz w:val="20"/>
          <w:szCs w:val="20"/>
          <w:lang w:val="es-PE"/>
        </w:rPr>
        <w:t xml:space="preserve"> se solicitaron y recibieron </w:t>
      </w:r>
      <w:r w:rsidR="00223EE7" w:rsidRPr="008F5D93">
        <w:rPr>
          <w:rFonts w:ascii="Cambria" w:hAnsi="Cambria"/>
          <w:color w:val="000000" w:themeColor="text1"/>
          <w:sz w:val="20"/>
          <w:szCs w:val="20"/>
          <w:lang w:val="es-PE"/>
        </w:rPr>
        <w:t xml:space="preserve">informes sobre el movimiento de aeronaves </w:t>
      </w:r>
      <w:r w:rsidR="001A61D3" w:rsidRPr="008F5D93">
        <w:rPr>
          <w:rFonts w:ascii="Cambria" w:hAnsi="Cambria"/>
          <w:color w:val="000000" w:themeColor="text1"/>
          <w:sz w:val="20"/>
          <w:szCs w:val="20"/>
          <w:lang w:val="es-PE"/>
        </w:rPr>
        <w:t xml:space="preserve">el día de la muerte de Santiago Leguizamón </w:t>
      </w:r>
      <w:r w:rsidR="00223EE7" w:rsidRPr="008F5D93">
        <w:rPr>
          <w:rFonts w:ascii="Cambria" w:hAnsi="Cambria"/>
          <w:color w:val="000000" w:themeColor="text1"/>
          <w:sz w:val="20"/>
          <w:szCs w:val="20"/>
          <w:lang w:val="es-PE"/>
        </w:rPr>
        <w:t xml:space="preserve">desde la base aérea de Pedro Juan Caballero </w:t>
      </w:r>
      <w:r w:rsidR="007D28EF" w:rsidRPr="008F5D93">
        <w:rPr>
          <w:rFonts w:ascii="Cambria" w:hAnsi="Cambria"/>
          <w:color w:val="000000" w:themeColor="text1"/>
          <w:sz w:val="20"/>
          <w:szCs w:val="20"/>
          <w:lang w:val="es-PE"/>
        </w:rPr>
        <w:t xml:space="preserve">(Paraguay) hacia el aeropuerto de </w:t>
      </w:r>
      <w:r w:rsidR="00A910B8">
        <w:rPr>
          <w:rFonts w:ascii="Cambria" w:hAnsi="Cambria"/>
          <w:color w:val="000000" w:themeColor="text1"/>
          <w:sz w:val="20"/>
          <w:szCs w:val="20"/>
          <w:lang w:val="es-PE"/>
        </w:rPr>
        <w:t>Ponta Porã</w:t>
      </w:r>
      <w:r w:rsidR="007D28EF" w:rsidRPr="008F5D93">
        <w:rPr>
          <w:rFonts w:ascii="Cambria" w:hAnsi="Cambria"/>
          <w:color w:val="000000" w:themeColor="text1"/>
          <w:sz w:val="20"/>
          <w:szCs w:val="20"/>
          <w:lang w:val="es-PE"/>
        </w:rPr>
        <w:t xml:space="preserve"> (Brasil)</w:t>
      </w:r>
      <w:r w:rsidR="004036F5" w:rsidRPr="008F5D93">
        <w:rPr>
          <w:rFonts w:ascii="Cambria" w:hAnsi="Cambria"/>
          <w:color w:val="000000" w:themeColor="text1"/>
          <w:sz w:val="20"/>
          <w:szCs w:val="20"/>
          <w:lang w:val="es-PE"/>
        </w:rPr>
        <w:t xml:space="preserve"> debido a </w:t>
      </w:r>
      <w:r w:rsidR="0054000F" w:rsidRPr="008F5D93">
        <w:rPr>
          <w:rFonts w:ascii="Cambria" w:hAnsi="Cambria"/>
          <w:color w:val="000000" w:themeColor="text1"/>
          <w:sz w:val="20"/>
          <w:szCs w:val="20"/>
          <w:lang w:val="es-PE"/>
        </w:rPr>
        <w:t xml:space="preserve">la </w:t>
      </w:r>
      <w:r w:rsidR="00A45D97">
        <w:rPr>
          <w:rFonts w:ascii="Cambria" w:hAnsi="Cambria"/>
          <w:color w:val="000000" w:themeColor="text1"/>
          <w:sz w:val="20"/>
          <w:szCs w:val="20"/>
          <w:lang w:val="es-PE"/>
        </w:rPr>
        <w:t>sospecha de</w:t>
      </w:r>
      <w:r w:rsidR="0054000F" w:rsidRPr="008F5D93">
        <w:rPr>
          <w:rFonts w:ascii="Cambria" w:hAnsi="Cambria"/>
          <w:color w:val="000000" w:themeColor="text1"/>
          <w:sz w:val="20"/>
          <w:szCs w:val="20"/>
          <w:lang w:val="es-PE"/>
        </w:rPr>
        <w:t xml:space="preserve"> que después del atentado</w:t>
      </w:r>
      <w:r w:rsidR="00A45D97">
        <w:rPr>
          <w:rFonts w:ascii="Cambria" w:hAnsi="Cambria"/>
          <w:color w:val="000000" w:themeColor="text1"/>
          <w:sz w:val="20"/>
          <w:szCs w:val="20"/>
          <w:lang w:val="es-PE"/>
        </w:rPr>
        <w:t>,</w:t>
      </w:r>
      <w:r w:rsidR="0054000F" w:rsidRPr="008F5D93">
        <w:rPr>
          <w:rFonts w:ascii="Cambria" w:hAnsi="Cambria"/>
          <w:color w:val="000000" w:themeColor="text1"/>
          <w:sz w:val="20"/>
          <w:szCs w:val="20"/>
          <w:lang w:val="es-PE"/>
        </w:rPr>
        <w:t xml:space="preserve"> despeg</w:t>
      </w:r>
      <w:r w:rsidR="00A45D97">
        <w:rPr>
          <w:rFonts w:ascii="Cambria" w:hAnsi="Cambria"/>
          <w:color w:val="000000" w:themeColor="text1"/>
          <w:sz w:val="20"/>
          <w:szCs w:val="20"/>
          <w:lang w:val="es-PE"/>
        </w:rPr>
        <w:t>ara</w:t>
      </w:r>
      <w:r w:rsidR="0054000F" w:rsidRPr="008F5D93">
        <w:rPr>
          <w:rFonts w:ascii="Cambria" w:hAnsi="Cambria"/>
          <w:color w:val="000000" w:themeColor="text1"/>
          <w:sz w:val="20"/>
          <w:szCs w:val="20"/>
          <w:lang w:val="es-PE"/>
        </w:rPr>
        <w:t xml:space="preserve"> un avión de </w:t>
      </w:r>
      <w:r w:rsidR="00A910B8">
        <w:rPr>
          <w:rFonts w:ascii="Cambria" w:hAnsi="Cambria"/>
          <w:color w:val="000000" w:themeColor="text1"/>
          <w:sz w:val="20"/>
          <w:szCs w:val="20"/>
          <w:lang w:val="es-PE"/>
        </w:rPr>
        <w:t>Ponta Porã</w:t>
      </w:r>
      <w:r w:rsidR="0054000F" w:rsidRPr="008F5D93">
        <w:rPr>
          <w:rFonts w:ascii="Cambria" w:hAnsi="Cambria"/>
          <w:color w:val="000000" w:themeColor="text1"/>
          <w:sz w:val="20"/>
          <w:szCs w:val="20"/>
          <w:lang w:val="es-PE"/>
        </w:rPr>
        <w:t xml:space="preserve"> con cuatro personas a bordo</w:t>
      </w:r>
      <w:r w:rsidR="00384E09" w:rsidRPr="008F5D93">
        <w:rPr>
          <w:rFonts w:ascii="Cambria" w:hAnsi="Cambria"/>
          <w:color w:val="000000" w:themeColor="text1"/>
          <w:sz w:val="20"/>
          <w:szCs w:val="20"/>
          <w:lang w:val="es-PE"/>
        </w:rPr>
        <w:t xml:space="preserve">; </w:t>
      </w:r>
      <w:r w:rsidR="00120ECF" w:rsidRPr="008F5D93">
        <w:rPr>
          <w:rFonts w:ascii="Cambria" w:hAnsi="Cambria"/>
          <w:color w:val="000000" w:themeColor="text1"/>
          <w:sz w:val="20"/>
          <w:szCs w:val="20"/>
          <w:lang w:val="es-PE"/>
        </w:rPr>
        <w:t>c)</w:t>
      </w:r>
      <w:r w:rsidR="007B4A6C" w:rsidRPr="008F5D93">
        <w:rPr>
          <w:rFonts w:ascii="Cambria" w:hAnsi="Cambria"/>
          <w:color w:val="000000" w:themeColor="text1"/>
          <w:sz w:val="20"/>
          <w:szCs w:val="20"/>
          <w:lang w:val="es-PE"/>
        </w:rPr>
        <w:t xml:space="preserve"> </w:t>
      </w:r>
      <w:r w:rsidR="00E61875" w:rsidRPr="008F5D93">
        <w:rPr>
          <w:rFonts w:ascii="Cambria" w:hAnsi="Cambria"/>
          <w:color w:val="000000" w:themeColor="text1"/>
          <w:sz w:val="20"/>
          <w:szCs w:val="20"/>
          <w:lang w:val="es-PE"/>
        </w:rPr>
        <w:t>se elaboraron informes policiales sobre el estado de la investigación</w:t>
      </w:r>
      <w:r w:rsidR="00D52DF2" w:rsidRPr="008F5D93">
        <w:rPr>
          <w:rFonts w:ascii="Cambria" w:hAnsi="Cambria"/>
          <w:color w:val="000000" w:themeColor="text1"/>
          <w:sz w:val="20"/>
          <w:szCs w:val="20"/>
          <w:lang w:val="es-PE"/>
        </w:rPr>
        <w:t xml:space="preserve">, y d) se requirieron las noticias publicadas </w:t>
      </w:r>
      <w:r w:rsidR="006355C5" w:rsidRPr="008F5D93">
        <w:rPr>
          <w:rFonts w:ascii="Cambria" w:hAnsi="Cambria"/>
          <w:color w:val="000000" w:themeColor="text1"/>
          <w:sz w:val="20"/>
          <w:szCs w:val="20"/>
          <w:lang w:val="es-PE"/>
        </w:rPr>
        <w:t>por el periodista.</w:t>
      </w:r>
    </w:p>
    <w:p w14:paraId="46253A00" w14:textId="77777777" w:rsidR="00002979" w:rsidRPr="008F5D93" w:rsidRDefault="00002979" w:rsidP="007A0D4C">
      <w:pPr>
        <w:pStyle w:val="ListParagraph"/>
        <w:spacing w:before="0" w:after="0"/>
        <w:rPr>
          <w:color w:val="000000" w:themeColor="text1"/>
          <w:sz w:val="20"/>
          <w:szCs w:val="20"/>
          <w:lang w:val="es-PE"/>
        </w:rPr>
      </w:pPr>
    </w:p>
    <w:p w14:paraId="08FB3DBD" w14:textId="60BEF5A7" w:rsidR="00F313CE" w:rsidRPr="008F5D93" w:rsidRDefault="006C6BA7"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themeColor="text1"/>
          <w:sz w:val="20"/>
          <w:szCs w:val="20"/>
          <w:lang w:val="es-PE"/>
        </w:rPr>
      </w:pPr>
      <w:r w:rsidRPr="008F5D93">
        <w:rPr>
          <w:rFonts w:ascii="Cambria" w:hAnsi="Cambria"/>
          <w:color w:val="000000" w:themeColor="text1"/>
          <w:sz w:val="20"/>
          <w:szCs w:val="20"/>
          <w:lang w:val="es-PE"/>
        </w:rPr>
        <w:t xml:space="preserve">El inicio de la investigación </w:t>
      </w:r>
      <w:r w:rsidR="004D1B9F" w:rsidRPr="008F5D93">
        <w:rPr>
          <w:rFonts w:ascii="Cambria" w:hAnsi="Cambria"/>
          <w:color w:val="000000" w:themeColor="text1"/>
          <w:sz w:val="20"/>
          <w:szCs w:val="20"/>
          <w:lang w:val="es-PE"/>
        </w:rPr>
        <w:t xml:space="preserve">fue </w:t>
      </w:r>
      <w:r w:rsidR="00C21701" w:rsidRPr="008F5D93">
        <w:rPr>
          <w:rFonts w:ascii="Cambria" w:hAnsi="Cambria"/>
          <w:color w:val="000000" w:themeColor="text1"/>
          <w:sz w:val="20"/>
          <w:szCs w:val="20"/>
          <w:lang w:val="es-PE"/>
        </w:rPr>
        <w:t>puesto</w:t>
      </w:r>
      <w:r w:rsidR="004D1B9F" w:rsidRPr="008F5D93">
        <w:rPr>
          <w:rFonts w:ascii="Cambria" w:hAnsi="Cambria"/>
          <w:color w:val="000000" w:themeColor="text1"/>
          <w:sz w:val="20"/>
          <w:szCs w:val="20"/>
          <w:lang w:val="es-PE"/>
        </w:rPr>
        <w:t xml:space="preserve"> en conocimiento del Ministerio del Interior por Pablo Benítez, Delegado de Gobierno del Amambay, </w:t>
      </w:r>
      <w:r w:rsidR="007B0F80" w:rsidRPr="008F5D93">
        <w:rPr>
          <w:rFonts w:ascii="Cambria" w:hAnsi="Cambria"/>
          <w:color w:val="000000" w:themeColor="text1"/>
          <w:sz w:val="20"/>
          <w:szCs w:val="20"/>
          <w:lang w:val="es-PE"/>
        </w:rPr>
        <w:t xml:space="preserve">por lo que el ministerio destacó </w:t>
      </w:r>
      <w:r w:rsidR="00024EA6" w:rsidRPr="008F5D93">
        <w:rPr>
          <w:rFonts w:ascii="Cambria" w:hAnsi="Cambria"/>
          <w:color w:val="000000" w:themeColor="text1"/>
          <w:sz w:val="20"/>
          <w:szCs w:val="20"/>
          <w:lang w:val="es-PE"/>
        </w:rPr>
        <w:t>a oficiales del servicio de inteligencia de la policía de Asunción</w:t>
      </w:r>
      <w:r w:rsidR="00B54EEE" w:rsidRPr="008F5D93">
        <w:rPr>
          <w:rFonts w:ascii="Cambria" w:hAnsi="Cambria"/>
          <w:color w:val="000000" w:themeColor="text1"/>
          <w:sz w:val="20"/>
          <w:szCs w:val="20"/>
          <w:lang w:val="es-PE"/>
        </w:rPr>
        <w:t xml:space="preserve"> </w:t>
      </w:r>
      <w:r w:rsidR="0036793C" w:rsidRPr="008F5D93">
        <w:rPr>
          <w:rFonts w:ascii="Cambria" w:hAnsi="Cambria"/>
          <w:color w:val="000000" w:themeColor="text1"/>
          <w:sz w:val="20"/>
          <w:szCs w:val="20"/>
          <w:lang w:val="es-PE"/>
        </w:rPr>
        <w:t xml:space="preserve">y </w:t>
      </w:r>
      <w:r w:rsidR="00B54EEE" w:rsidRPr="008F5D93">
        <w:rPr>
          <w:rFonts w:ascii="Cambria" w:hAnsi="Cambria"/>
          <w:color w:val="000000" w:themeColor="text1"/>
          <w:sz w:val="20"/>
          <w:szCs w:val="20"/>
          <w:lang w:val="es-PE"/>
        </w:rPr>
        <w:t xml:space="preserve">expertos </w:t>
      </w:r>
      <w:r w:rsidR="000B5AE8" w:rsidRPr="008F5D93">
        <w:rPr>
          <w:rFonts w:ascii="Cambria" w:hAnsi="Cambria"/>
          <w:color w:val="000000" w:themeColor="text1"/>
          <w:sz w:val="20"/>
          <w:szCs w:val="20"/>
          <w:lang w:val="es-PE"/>
        </w:rPr>
        <w:t>en la realización de identikit</w:t>
      </w:r>
      <w:r w:rsidR="00A45D97">
        <w:rPr>
          <w:rFonts w:ascii="Cambria" w:hAnsi="Cambria"/>
          <w:color w:val="000000" w:themeColor="text1"/>
          <w:sz w:val="20"/>
          <w:szCs w:val="20"/>
          <w:lang w:val="es-PE"/>
        </w:rPr>
        <w:t>s</w:t>
      </w:r>
      <w:r w:rsidR="000B5AE8" w:rsidRPr="008F5D93">
        <w:rPr>
          <w:rFonts w:ascii="Cambria" w:hAnsi="Cambria"/>
          <w:color w:val="000000" w:themeColor="text1"/>
          <w:sz w:val="20"/>
          <w:szCs w:val="20"/>
          <w:lang w:val="es-PE"/>
        </w:rPr>
        <w:t>, quienes se sumaron a las investigaciones. De conformidad con información recibida por una llamada anónima</w:t>
      </w:r>
      <w:r w:rsidR="00C21701" w:rsidRPr="008F5D93">
        <w:rPr>
          <w:rFonts w:ascii="Cambria" w:hAnsi="Cambria"/>
          <w:color w:val="000000" w:themeColor="text1"/>
          <w:sz w:val="20"/>
          <w:szCs w:val="20"/>
          <w:lang w:val="es-PE"/>
        </w:rPr>
        <w:t>, se realizó el identikit de dos de los presuntos autores del crimen</w:t>
      </w:r>
      <w:r w:rsidR="000F525A" w:rsidRPr="008F5D93">
        <w:rPr>
          <w:rFonts w:ascii="Cambria" w:hAnsi="Cambria"/>
          <w:color w:val="000000" w:themeColor="text1"/>
          <w:sz w:val="20"/>
          <w:szCs w:val="20"/>
          <w:lang w:val="es-PE"/>
        </w:rPr>
        <w:t xml:space="preserve">, el cual fue divulgado con las autoridades </w:t>
      </w:r>
      <w:r w:rsidR="00860860">
        <w:rPr>
          <w:rFonts w:ascii="Cambria" w:hAnsi="Cambria"/>
          <w:color w:val="000000" w:themeColor="text1"/>
          <w:sz w:val="20"/>
          <w:szCs w:val="20"/>
          <w:lang w:val="es-PE"/>
        </w:rPr>
        <w:t>brasileña</w:t>
      </w:r>
      <w:r w:rsidR="000F525A" w:rsidRPr="008F5D93">
        <w:rPr>
          <w:rFonts w:ascii="Cambria" w:hAnsi="Cambria"/>
          <w:color w:val="000000" w:themeColor="text1"/>
          <w:sz w:val="20"/>
          <w:szCs w:val="20"/>
          <w:lang w:val="es-PE"/>
        </w:rPr>
        <w:t>s</w:t>
      </w:r>
      <w:r w:rsidR="009A6C17" w:rsidRPr="008F5D93">
        <w:rPr>
          <w:rStyle w:val="FootnoteReference"/>
          <w:rFonts w:ascii="Cambria" w:hAnsi="Cambria"/>
          <w:color w:val="000000" w:themeColor="text1"/>
          <w:sz w:val="20"/>
          <w:szCs w:val="20"/>
          <w:lang w:val="es-PE"/>
        </w:rPr>
        <w:footnoteReference w:id="35"/>
      </w:r>
      <w:r w:rsidR="00C21701" w:rsidRPr="008F5D93">
        <w:rPr>
          <w:rFonts w:ascii="Cambria" w:hAnsi="Cambria"/>
          <w:color w:val="000000" w:themeColor="text1"/>
          <w:sz w:val="20"/>
          <w:szCs w:val="20"/>
          <w:lang w:val="es-PE"/>
        </w:rPr>
        <w:t xml:space="preserve">. </w:t>
      </w:r>
      <w:r w:rsidR="00B21380" w:rsidRPr="008F5D93">
        <w:rPr>
          <w:rFonts w:ascii="Cambria" w:hAnsi="Cambria"/>
          <w:color w:val="000000" w:themeColor="text1"/>
          <w:sz w:val="20"/>
          <w:szCs w:val="20"/>
          <w:lang w:val="es-PE"/>
        </w:rPr>
        <w:t>De igual manera</w:t>
      </w:r>
      <w:r w:rsidR="0036793C" w:rsidRPr="008F5D93">
        <w:rPr>
          <w:rFonts w:ascii="Cambria" w:hAnsi="Cambria"/>
          <w:color w:val="000000" w:themeColor="text1"/>
          <w:sz w:val="20"/>
          <w:szCs w:val="20"/>
          <w:lang w:val="es-PE"/>
        </w:rPr>
        <w:t>,</w:t>
      </w:r>
      <w:r w:rsidR="00B21380" w:rsidRPr="008F5D93">
        <w:rPr>
          <w:rFonts w:ascii="Cambria" w:hAnsi="Cambria"/>
          <w:color w:val="000000" w:themeColor="text1"/>
          <w:sz w:val="20"/>
          <w:szCs w:val="20"/>
          <w:lang w:val="es-PE"/>
        </w:rPr>
        <w:t xml:space="preserve"> </w:t>
      </w:r>
      <w:r w:rsidR="00495552" w:rsidRPr="008F5D93">
        <w:rPr>
          <w:rFonts w:ascii="Cambria" w:hAnsi="Cambria"/>
          <w:color w:val="000000" w:themeColor="text1"/>
          <w:sz w:val="20"/>
          <w:szCs w:val="20"/>
          <w:lang w:val="es-PE"/>
        </w:rPr>
        <w:t xml:space="preserve">100 hombres de las Fuerzas Armadas </w:t>
      </w:r>
      <w:r w:rsidR="0036793C" w:rsidRPr="008F5D93">
        <w:rPr>
          <w:rFonts w:ascii="Cambria" w:hAnsi="Cambria"/>
          <w:color w:val="000000" w:themeColor="text1"/>
          <w:sz w:val="20"/>
          <w:szCs w:val="20"/>
          <w:lang w:val="es-PE"/>
        </w:rPr>
        <w:t xml:space="preserve">reforzaron el Batallón </w:t>
      </w:r>
      <w:r w:rsidR="005D7C62" w:rsidRPr="008F5D93">
        <w:rPr>
          <w:rFonts w:ascii="Cambria" w:hAnsi="Cambria"/>
          <w:color w:val="000000" w:themeColor="text1"/>
          <w:sz w:val="20"/>
          <w:szCs w:val="20"/>
          <w:lang w:val="es-PE"/>
        </w:rPr>
        <w:t xml:space="preserve">de la Frontera No. 2 y junto con </w:t>
      </w:r>
      <w:r w:rsidR="00EA09E9" w:rsidRPr="008F5D93">
        <w:rPr>
          <w:rFonts w:ascii="Cambria" w:hAnsi="Cambria"/>
          <w:color w:val="000000" w:themeColor="text1"/>
          <w:sz w:val="20"/>
          <w:szCs w:val="20"/>
          <w:lang w:val="es-PE"/>
        </w:rPr>
        <w:t>funcionarios de la capital y del Amambay</w:t>
      </w:r>
      <w:r w:rsidR="00A45D97">
        <w:rPr>
          <w:rFonts w:ascii="Cambria" w:hAnsi="Cambria"/>
          <w:color w:val="000000" w:themeColor="text1"/>
          <w:sz w:val="20"/>
          <w:szCs w:val="20"/>
          <w:lang w:val="es-PE"/>
        </w:rPr>
        <w:t>,</w:t>
      </w:r>
      <w:r w:rsidR="00EA09E9" w:rsidRPr="008F5D93">
        <w:rPr>
          <w:rFonts w:ascii="Cambria" w:hAnsi="Cambria"/>
          <w:color w:val="000000" w:themeColor="text1"/>
          <w:sz w:val="20"/>
          <w:szCs w:val="20"/>
          <w:lang w:val="es-PE"/>
        </w:rPr>
        <w:t xml:space="preserve"> </w:t>
      </w:r>
      <w:r w:rsidR="003C39E1" w:rsidRPr="008F5D93">
        <w:rPr>
          <w:rFonts w:ascii="Cambria" w:hAnsi="Cambria"/>
          <w:color w:val="000000" w:themeColor="text1"/>
          <w:sz w:val="20"/>
          <w:szCs w:val="20"/>
          <w:lang w:val="es-PE"/>
        </w:rPr>
        <w:t xml:space="preserve">emprendieron la búsqueda de los presuntos autores </w:t>
      </w:r>
      <w:r w:rsidR="009B5A4B" w:rsidRPr="008F5D93">
        <w:rPr>
          <w:rFonts w:ascii="Cambria" w:hAnsi="Cambria"/>
          <w:color w:val="000000" w:themeColor="text1"/>
          <w:sz w:val="20"/>
          <w:szCs w:val="20"/>
          <w:lang w:val="es-PE"/>
        </w:rPr>
        <w:t>sin éxito</w:t>
      </w:r>
      <w:r w:rsidR="009B5A4B" w:rsidRPr="008F5D93">
        <w:rPr>
          <w:rStyle w:val="FootnoteReference"/>
          <w:rFonts w:ascii="Cambria" w:hAnsi="Cambria"/>
          <w:color w:val="000000" w:themeColor="text1"/>
          <w:sz w:val="20"/>
          <w:szCs w:val="20"/>
          <w:lang w:val="es-PE"/>
        </w:rPr>
        <w:footnoteReference w:id="36"/>
      </w:r>
      <w:r w:rsidR="009B5A4B" w:rsidRPr="008F5D93">
        <w:rPr>
          <w:rFonts w:ascii="Cambria" w:hAnsi="Cambria"/>
          <w:color w:val="000000" w:themeColor="text1"/>
          <w:sz w:val="20"/>
          <w:szCs w:val="20"/>
          <w:lang w:val="es-PE"/>
        </w:rPr>
        <w:t xml:space="preserve">. </w:t>
      </w:r>
    </w:p>
    <w:p w14:paraId="755B81D0" w14:textId="77777777" w:rsidR="00263E68" w:rsidRPr="008F5D93" w:rsidRDefault="00263E68" w:rsidP="007A0D4C">
      <w:pPr>
        <w:pStyle w:val="ListParagraph"/>
        <w:spacing w:before="0" w:after="0"/>
        <w:rPr>
          <w:color w:val="000000" w:themeColor="text1"/>
          <w:sz w:val="20"/>
          <w:szCs w:val="20"/>
          <w:lang w:val="es-PE"/>
        </w:rPr>
      </w:pPr>
    </w:p>
    <w:p w14:paraId="08FD9AE7" w14:textId="18E2E050" w:rsidR="00166A14" w:rsidRPr="008F5D93" w:rsidRDefault="00263E68"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themeColor="text1"/>
          <w:sz w:val="20"/>
          <w:szCs w:val="20"/>
          <w:lang w:val="es-PE"/>
        </w:rPr>
      </w:pPr>
      <w:r w:rsidRPr="008F5D93">
        <w:rPr>
          <w:rFonts w:ascii="Cambria" w:hAnsi="Cambria"/>
          <w:color w:val="000000" w:themeColor="text1"/>
          <w:sz w:val="20"/>
          <w:szCs w:val="20"/>
          <w:lang w:val="es-PE"/>
        </w:rPr>
        <w:t xml:space="preserve">El </w:t>
      </w:r>
      <w:r w:rsidR="003617B7" w:rsidRPr="008F5D93">
        <w:rPr>
          <w:rFonts w:ascii="Cambria" w:hAnsi="Cambria"/>
          <w:color w:val="000000" w:themeColor="text1"/>
          <w:sz w:val="20"/>
          <w:szCs w:val="20"/>
          <w:lang w:val="es-PE"/>
        </w:rPr>
        <w:t xml:space="preserve">9 de enero </w:t>
      </w:r>
      <w:r w:rsidR="00DB00B2" w:rsidRPr="008F5D93">
        <w:rPr>
          <w:rFonts w:ascii="Cambria" w:hAnsi="Cambria"/>
          <w:color w:val="000000" w:themeColor="text1"/>
          <w:sz w:val="20"/>
          <w:szCs w:val="20"/>
          <w:lang w:val="es-PE"/>
        </w:rPr>
        <w:t xml:space="preserve">de 1992 </w:t>
      </w:r>
      <w:r w:rsidR="00B91E56" w:rsidRPr="008F5D93">
        <w:rPr>
          <w:rFonts w:ascii="Cambria" w:hAnsi="Cambria"/>
          <w:color w:val="000000" w:themeColor="text1"/>
          <w:sz w:val="20"/>
          <w:szCs w:val="20"/>
          <w:lang w:val="es-PE"/>
        </w:rPr>
        <w:t>se solici</w:t>
      </w:r>
      <w:r w:rsidR="007325CB" w:rsidRPr="008F5D93">
        <w:rPr>
          <w:rFonts w:ascii="Cambria" w:hAnsi="Cambria"/>
          <w:color w:val="000000" w:themeColor="text1"/>
          <w:sz w:val="20"/>
          <w:szCs w:val="20"/>
          <w:lang w:val="es-PE"/>
        </w:rPr>
        <w:t xml:space="preserve">tó a autoridades </w:t>
      </w:r>
      <w:r w:rsidR="007E1200" w:rsidRPr="008F5D93">
        <w:rPr>
          <w:rFonts w:ascii="Cambria" w:hAnsi="Cambria"/>
          <w:color w:val="000000" w:themeColor="text1"/>
          <w:sz w:val="20"/>
          <w:szCs w:val="20"/>
          <w:lang w:val="es-PE"/>
        </w:rPr>
        <w:t xml:space="preserve">de la policía de </w:t>
      </w:r>
      <w:r w:rsidR="00A910B8">
        <w:rPr>
          <w:rFonts w:ascii="Cambria" w:hAnsi="Cambria"/>
          <w:color w:val="000000" w:themeColor="text1"/>
          <w:sz w:val="20"/>
          <w:szCs w:val="20"/>
          <w:lang w:val="es-PE"/>
        </w:rPr>
        <w:t>Ponta Porã</w:t>
      </w:r>
      <w:r w:rsidR="007E1200" w:rsidRPr="008F5D93">
        <w:rPr>
          <w:rFonts w:ascii="Cambria" w:hAnsi="Cambria"/>
          <w:color w:val="000000" w:themeColor="text1"/>
          <w:sz w:val="20"/>
          <w:szCs w:val="20"/>
          <w:lang w:val="es-PE"/>
        </w:rPr>
        <w:t xml:space="preserve"> </w:t>
      </w:r>
      <w:r w:rsidR="00B21667" w:rsidRPr="008F5D93">
        <w:rPr>
          <w:rFonts w:ascii="Cambria" w:hAnsi="Cambria"/>
          <w:color w:val="000000" w:themeColor="text1"/>
          <w:sz w:val="20"/>
          <w:szCs w:val="20"/>
          <w:lang w:val="es-PE"/>
        </w:rPr>
        <w:t xml:space="preserve">y de Campo Grande </w:t>
      </w:r>
      <w:r w:rsidR="00717E74" w:rsidRPr="008F5D93">
        <w:rPr>
          <w:rFonts w:ascii="Cambria" w:hAnsi="Cambria"/>
          <w:color w:val="000000" w:themeColor="text1"/>
          <w:sz w:val="20"/>
          <w:szCs w:val="20"/>
          <w:lang w:val="es-PE"/>
        </w:rPr>
        <w:t>en Br</w:t>
      </w:r>
      <w:r w:rsidR="004575CA" w:rsidRPr="008F5D93">
        <w:rPr>
          <w:rFonts w:ascii="Cambria" w:hAnsi="Cambria"/>
          <w:color w:val="000000" w:themeColor="text1"/>
          <w:sz w:val="20"/>
          <w:szCs w:val="20"/>
          <w:lang w:val="es-PE"/>
        </w:rPr>
        <w:t xml:space="preserve">asil </w:t>
      </w:r>
      <w:r w:rsidR="0067143F" w:rsidRPr="008F5D93">
        <w:rPr>
          <w:rFonts w:ascii="Cambria" w:hAnsi="Cambria"/>
          <w:color w:val="000000" w:themeColor="text1"/>
          <w:sz w:val="20"/>
          <w:szCs w:val="20"/>
          <w:lang w:val="es-PE"/>
        </w:rPr>
        <w:t xml:space="preserve">la confirmación de la detención de uno de los presuntos autores materiales del crimen de Santiago Leguizamón </w:t>
      </w:r>
      <w:r w:rsidR="00B06A36" w:rsidRPr="008F5D93">
        <w:rPr>
          <w:rFonts w:ascii="Cambria" w:hAnsi="Cambria"/>
          <w:color w:val="000000" w:themeColor="text1"/>
          <w:sz w:val="20"/>
          <w:szCs w:val="20"/>
          <w:lang w:val="es-PE"/>
        </w:rPr>
        <w:t xml:space="preserve">conocido como “tiro certo”. </w:t>
      </w:r>
      <w:r w:rsidR="005068CB" w:rsidRPr="008F5D93">
        <w:rPr>
          <w:rFonts w:ascii="Cambria" w:hAnsi="Cambria"/>
          <w:color w:val="000000" w:themeColor="text1"/>
          <w:sz w:val="20"/>
          <w:szCs w:val="20"/>
          <w:lang w:val="es-PE"/>
        </w:rPr>
        <w:t xml:space="preserve">El 16 de enero </w:t>
      </w:r>
      <w:r w:rsidR="00EA2FAE" w:rsidRPr="008F5D93">
        <w:rPr>
          <w:rFonts w:ascii="Cambria" w:hAnsi="Cambria"/>
          <w:color w:val="000000" w:themeColor="text1"/>
          <w:sz w:val="20"/>
          <w:szCs w:val="20"/>
          <w:lang w:val="es-PE"/>
        </w:rPr>
        <w:t>de 1992 el jefe de la policía del Amambay tu</w:t>
      </w:r>
      <w:r w:rsidR="002B4BE9" w:rsidRPr="008F5D93">
        <w:rPr>
          <w:rFonts w:ascii="Cambria" w:hAnsi="Cambria"/>
          <w:color w:val="000000" w:themeColor="text1"/>
          <w:sz w:val="20"/>
          <w:szCs w:val="20"/>
          <w:lang w:val="es-PE"/>
        </w:rPr>
        <w:t xml:space="preserve">vo una entrevista con el delegado del grupo de operaciones </w:t>
      </w:r>
      <w:r w:rsidR="00926BA7" w:rsidRPr="008F5D93">
        <w:rPr>
          <w:rFonts w:ascii="Cambria" w:hAnsi="Cambria"/>
          <w:color w:val="000000" w:themeColor="text1"/>
          <w:sz w:val="20"/>
          <w:szCs w:val="20"/>
          <w:lang w:val="es-PE"/>
        </w:rPr>
        <w:t>especiales de la Secretaría de Seguridad Pública del Estado de Mato Grosso</w:t>
      </w:r>
      <w:r w:rsidR="00980140">
        <w:rPr>
          <w:rFonts w:ascii="Cambria" w:hAnsi="Cambria"/>
          <w:color w:val="000000" w:themeColor="text1"/>
          <w:sz w:val="20"/>
          <w:szCs w:val="20"/>
          <w:lang w:val="es-PE"/>
        </w:rPr>
        <w:t xml:space="preserve"> (Brasil)</w:t>
      </w:r>
      <w:r w:rsidR="00926BA7" w:rsidRPr="008F5D93">
        <w:rPr>
          <w:rFonts w:ascii="Cambria" w:hAnsi="Cambria"/>
          <w:color w:val="000000" w:themeColor="text1"/>
          <w:sz w:val="20"/>
          <w:szCs w:val="20"/>
          <w:lang w:val="es-PE"/>
        </w:rPr>
        <w:t xml:space="preserve">, el cual confirmó que alias “tiro certo” </w:t>
      </w:r>
      <w:r w:rsidR="00E44137" w:rsidRPr="008F5D93">
        <w:rPr>
          <w:rFonts w:ascii="Cambria" w:hAnsi="Cambria"/>
          <w:color w:val="000000" w:themeColor="text1"/>
          <w:sz w:val="20"/>
          <w:szCs w:val="20"/>
          <w:lang w:val="es-PE"/>
        </w:rPr>
        <w:t xml:space="preserve">o “cacao” y otro presunto autor material, se encontraban detenidos </w:t>
      </w:r>
      <w:r w:rsidR="0093327C" w:rsidRPr="008F5D93">
        <w:rPr>
          <w:rFonts w:ascii="Cambria" w:hAnsi="Cambria"/>
          <w:color w:val="000000" w:themeColor="text1"/>
          <w:sz w:val="20"/>
          <w:szCs w:val="20"/>
          <w:lang w:val="es-PE"/>
        </w:rPr>
        <w:t>en la institución a su cargo por el homicidi</w:t>
      </w:r>
      <w:r w:rsidR="00213855" w:rsidRPr="008F5D93">
        <w:rPr>
          <w:rFonts w:ascii="Cambria" w:hAnsi="Cambria"/>
          <w:color w:val="000000" w:themeColor="text1"/>
          <w:sz w:val="20"/>
          <w:szCs w:val="20"/>
          <w:lang w:val="es-PE"/>
        </w:rPr>
        <w:t>o</w:t>
      </w:r>
      <w:r w:rsidR="0093327C" w:rsidRPr="008F5D93">
        <w:rPr>
          <w:rFonts w:ascii="Cambria" w:hAnsi="Cambria"/>
          <w:color w:val="000000" w:themeColor="text1"/>
          <w:sz w:val="20"/>
          <w:szCs w:val="20"/>
          <w:lang w:val="es-PE"/>
        </w:rPr>
        <w:t xml:space="preserve"> perpetrado contra un juez en Brasil</w:t>
      </w:r>
      <w:r w:rsidR="00213855" w:rsidRPr="008F5D93">
        <w:rPr>
          <w:rStyle w:val="FootnoteReference"/>
          <w:rFonts w:ascii="Cambria" w:hAnsi="Cambria"/>
          <w:color w:val="000000" w:themeColor="text1"/>
          <w:sz w:val="20"/>
          <w:szCs w:val="20"/>
          <w:lang w:val="es-PE"/>
        </w:rPr>
        <w:footnoteReference w:id="37"/>
      </w:r>
      <w:r w:rsidR="0093327C" w:rsidRPr="008F5D93">
        <w:rPr>
          <w:rFonts w:ascii="Cambria" w:hAnsi="Cambria"/>
          <w:color w:val="000000" w:themeColor="text1"/>
          <w:sz w:val="20"/>
          <w:szCs w:val="20"/>
          <w:lang w:val="es-PE"/>
        </w:rPr>
        <w:t xml:space="preserve">. </w:t>
      </w:r>
    </w:p>
    <w:p w14:paraId="6257EB10" w14:textId="77777777" w:rsidR="00E66AAA" w:rsidRPr="008F5D93" w:rsidRDefault="00E66AAA"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PE"/>
        </w:rPr>
      </w:pPr>
    </w:p>
    <w:p w14:paraId="7B9BF4BF" w14:textId="0072ABA0" w:rsidR="00263E68" w:rsidRPr="00E13CAA" w:rsidRDefault="00166A14"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themeColor="text1"/>
          <w:sz w:val="20"/>
          <w:szCs w:val="20"/>
          <w:lang w:val="es-PE"/>
        </w:rPr>
      </w:pPr>
      <w:r w:rsidRPr="008F5D93">
        <w:rPr>
          <w:rFonts w:ascii="Cambria" w:hAnsi="Cambria"/>
          <w:color w:val="000000" w:themeColor="text1"/>
          <w:sz w:val="20"/>
          <w:szCs w:val="20"/>
          <w:lang w:val="es-PE"/>
        </w:rPr>
        <w:t xml:space="preserve">El </w:t>
      </w:r>
      <w:r w:rsidR="00263E68" w:rsidRPr="008F5D93">
        <w:rPr>
          <w:rFonts w:ascii="Cambria" w:hAnsi="Cambria"/>
          <w:color w:val="000000" w:themeColor="text1"/>
          <w:sz w:val="20"/>
          <w:szCs w:val="20"/>
          <w:lang w:val="es-PE"/>
        </w:rPr>
        <w:t xml:space="preserve">10 de febrero de </w:t>
      </w:r>
      <w:r w:rsidR="00E400BF" w:rsidRPr="008F5D93">
        <w:rPr>
          <w:rFonts w:ascii="Cambria" w:hAnsi="Cambria"/>
          <w:color w:val="000000" w:themeColor="text1"/>
          <w:sz w:val="20"/>
          <w:szCs w:val="20"/>
          <w:lang w:val="es-PE"/>
        </w:rPr>
        <w:t>1992</w:t>
      </w:r>
      <w:r w:rsidR="00263E68" w:rsidRPr="008F5D93">
        <w:rPr>
          <w:rFonts w:ascii="Cambria" w:hAnsi="Cambria"/>
          <w:color w:val="000000" w:themeColor="text1"/>
          <w:sz w:val="20"/>
          <w:szCs w:val="20"/>
          <w:lang w:val="es-PE"/>
        </w:rPr>
        <w:t xml:space="preserve">, el Juzgado libró seis exhortos a autoridades </w:t>
      </w:r>
      <w:r w:rsidR="00860860">
        <w:rPr>
          <w:rFonts w:ascii="Cambria" w:hAnsi="Cambria"/>
          <w:color w:val="000000" w:themeColor="text1"/>
          <w:sz w:val="20"/>
          <w:szCs w:val="20"/>
          <w:lang w:val="es-PE"/>
        </w:rPr>
        <w:t>brasileña</w:t>
      </w:r>
      <w:r w:rsidR="00263E68" w:rsidRPr="008F5D93">
        <w:rPr>
          <w:rFonts w:ascii="Cambria" w:hAnsi="Cambria"/>
          <w:color w:val="000000" w:themeColor="text1"/>
          <w:sz w:val="20"/>
          <w:szCs w:val="20"/>
          <w:lang w:val="es-PE"/>
        </w:rPr>
        <w:t xml:space="preserve">s policiales y judiciales del Estado de Mato Grosso, solicitando información </w:t>
      </w:r>
      <w:r w:rsidR="00A45D97">
        <w:rPr>
          <w:rFonts w:ascii="Cambria" w:hAnsi="Cambria"/>
          <w:color w:val="000000" w:themeColor="text1"/>
          <w:sz w:val="20"/>
          <w:szCs w:val="20"/>
          <w:lang w:val="es-PE"/>
        </w:rPr>
        <w:t>sobre la detención</w:t>
      </w:r>
      <w:r w:rsidR="00980140">
        <w:rPr>
          <w:rFonts w:ascii="Cambria" w:hAnsi="Cambria"/>
          <w:color w:val="000000" w:themeColor="text1"/>
          <w:sz w:val="20"/>
          <w:szCs w:val="20"/>
          <w:lang w:val="es-PE"/>
        </w:rPr>
        <w:t xml:space="preserve"> de</w:t>
      </w:r>
      <w:r w:rsidR="00A45D97">
        <w:rPr>
          <w:rFonts w:ascii="Cambria" w:hAnsi="Cambria"/>
          <w:color w:val="000000" w:themeColor="text1"/>
          <w:sz w:val="20"/>
          <w:szCs w:val="20"/>
          <w:lang w:val="es-PE"/>
        </w:rPr>
        <w:t xml:space="preserve"> </w:t>
      </w:r>
      <w:r w:rsidR="00263E68" w:rsidRPr="008F5D93">
        <w:rPr>
          <w:rFonts w:ascii="Cambria" w:hAnsi="Cambria"/>
          <w:color w:val="000000" w:themeColor="text1"/>
          <w:sz w:val="20"/>
          <w:szCs w:val="20"/>
          <w:lang w:val="es-PE"/>
        </w:rPr>
        <w:t xml:space="preserve">los procesados </w:t>
      </w:r>
      <w:r w:rsidR="00980140">
        <w:rPr>
          <w:rFonts w:ascii="Cambria" w:hAnsi="Cambria"/>
          <w:color w:val="000000" w:themeColor="text1"/>
          <w:sz w:val="20"/>
          <w:szCs w:val="20"/>
          <w:lang w:val="es-PE"/>
        </w:rPr>
        <w:t xml:space="preserve">y si estos </w:t>
      </w:r>
      <w:r w:rsidR="00263E68" w:rsidRPr="008F5D93">
        <w:rPr>
          <w:rFonts w:ascii="Cambria" w:hAnsi="Cambria"/>
          <w:color w:val="000000" w:themeColor="text1"/>
          <w:sz w:val="20"/>
          <w:szCs w:val="20"/>
          <w:lang w:val="es-PE"/>
        </w:rPr>
        <w:t>habían prestado declaración ante la jurisdicción de Brasil</w:t>
      </w:r>
      <w:r w:rsidR="00980140">
        <w:rPr>
          <w:rFonts w:ascii="Cambria" w:hAnsi="Cambria"/>
          <w:color w:val="000000" w:themeColor="text1"/>
          <w:sz w:val="20"/>
          <w:szCs w:val="20"/>
          <w:lang w:val="es-PE"/>
        </w:rPr>
        <w:t xml:space="preserve">. </w:t>
      </w:r>
      <w:r w:rsidR="00263E68" w:rsidRPr="008F5D93">
        <w:rPr>
          <w:rFonts w:ascii="Cambria" w:hAnsi="Cambria"/>
          <w:color w:val="000000" w:themeColor="text1"/>
          <w:sz w:val="20"/>
          <w:szCs w:val="20"/>
          <w:lang w:val="es-PE"/>
        </w:rPr>
        <w:t xml:space="preserve"> </w:t>
      </w:r>
      <w:r w:rsidR="00980140">
        <w:rPr>
          <w:rFonts w:ascii="Cambria" w:hAnsi="Cambria"/>
          <w:color w:val="000000" w:themeColor="text1"/>
          <w:sz w:val="20"/>
          <w:szCs w:val="20"/>
          <w:lang w:val="es-PE"/>
        </w:rPr>
        <w:t>E</w:t>
      </w:r>
      <w:r w:rsidR="00263E68" w:rsidRPr="008F5D93">
        <w:rPr>
          <w:rFonts w:ascii="Cambria" w:hAnsi="Cambria"/>
          <w:color w:val="000000" w:themeColor="text1"/>
          <w:sz w:val="20"/>
          <w:szCs w:val="20"/>
          <w:lang w:val="es-PE"/>
        </w:rPr>
        <w:t xml:space="preserve">n caso afirmativo, </w:t>
      </w:r>
      <w:r w:rsidR="00980140">
        <w:rPr>
          <w:rFonts w:ascii="Cambria" w:hAnsi="Cambria"/>
          <w:color w:val="000000" w:themeColor="text1"/>
          <w:sz w:val="20"/>
          <w:szCs w:val="20"/>
          <w:lang w:val="es-PE"/>
        </w:rPr>
        <w:t>el Juzgado</w:t>
      </w:r>
      <w:r w:rsidR="00263E68" w:rsidRPr="008F5D93">
        <w:rPr>
          <w:rFonts w:ascii="Cambria" w:hAnsi="Cambria"/>
          <w:color w:val="000000" w:themeColor="text1"/>
          <w:sz w:val="20"/>
          <w:szCs w:val="20"/>
          <w:lang w:val="es-PE"/>
        </w:rPr>
        <w:t xml:space="preserve"> requirió la remisión de copias autenticadas de dichos testimonios</w:t>
      </w:r>
      <w:r w:rsidR="0085135B" w:rsidRPr="008F5D93">
        <w:rPr>
          <w:rStyle w:val="FootnoteReference"/>
          <w:rFonts w:ascii="Cambria" w:hAnsi="Cambria"/>
          <w:color w:val="000000" w:themeColor="text1"/>
          <w:sz w:val="20"/>
          <w:szCs w:val="20"/>
          <w:lang w:val="es-PE"/>
        </w:rPr>
        <w:footnoteReference w:id="38"/>
      </w:r>
      <w:r w:rsidR="00263E68" w:rsidRPr="008F5D93">
        <w:rPr>
          <w:rFonts w:ascii="Cambria" w:hAnsi="Cambria"/>
          <w:color w:val="000000" w:themeColor="text1"/>
          <w:sz w:val="20"/>
          <w:szCs w:val="20"/>
          <w:lang w:val="es-PE"/>
        </w:rPr>
        <w:t xml:space="preserve">. </w:t>
      </w:r>
      <w:r w:rsidR="00833DCF" w:rsidRPr="008F5D93">
        <w:rPr>
          <w:rFonts w:ascii="Cambria" w:hAnsi="Cambria"/>
          <w:color w:val="000000" w:themeColor="text1"/>
          <w:sz w:val="20"/>
          <w:szCs w:val="20"/>
          <w:lang w:val="es-PE"/>
        </w:rPr>
        <w:t>Las</w:t>
      </w:r>
      <w:r w:rsidR="00263E68" w:rsidRPr="008F5D93">
        <w:rPr>
          <w:rFonts w:ascii="Cambria" w:hAnsi="Cambria"/>
          <w:color w:val="000000" w:themeColor="text1"/>
          <w:sz w:val="20"/>
          <w:szCs w:val="20"/>
          <w:lang w:val="es-PE"/>
        </w:rPr>
        <w:t xml:space="preserve"> solicitudes fueron devueltas por Brasil porque</w:t>
      </w:r>
      <w:r w:rsidR="00263E68" w:rsidRPr="007A0D4C">
        <w:rPr>
          <w:rFonts w:ascii="Cambria" w:hAnsi="Cambria"/>
          <w:color w:val="000000" w:themeColor="text1"/>
          <w:sz w:val="20"/>
          <w:szCs w:val="20"/>
          <w:lang w:val="es-PE"/>
        </w:rPr>
        <w:t xml:space="preserve"> no fueron remitidas por vía diplomática, no se siguieron los protocolos de remisión de exhortos judiciales de cooperación internacional y el exhorto no fue redactado en idioma portugués</w:t>
      </w:r>
      <w:r w:rsidR="0085135B" w:rsidRPr="007A0D4C">
        <w:rPr>
          <w:rStyle w:val="FootnoteReference"/>
          <w:rFonts w:ascii="Cambria" w:hAnsi="Cambria"/>
          <w:color w:val="000000" w:themeColor="text1"/>
          <w:sz w:val="20"/>
          <w:szCs w:val="20"/>
          <w:lang w:val="es-PE"/>
        </w:rPr>
        <w:footnoteReference w:id="39"/>
      </w:r>
      <w:r w:rsidR="0085135B" w:rsidRPr="007A0D4C">
        <w:rPr>
          <w:rFonts w:ascii="Cambria" w:hAnsi="Cambria"/>
          <w:color w:val="000000" w:themeColor="text1"/>
          <w:sz w:val="20"/>
          <w:szCs w:val="20"/>
          <w:lang w:val="es-PE"/>
        </w:rPr>
        <w:t>.</w:t>
      </w:r>
      <w:r w:rsidR="00263E68" w:rsidRPr="007A0D4C">
        <w:rPr>
          <w:rFonts w:ascii="Cambria" w:hAnsi="Cambria"/>
          <w:color w:val="000000" w:themeColor="text1"/>
          <w:sz w:val="20"/>
          <w:szCs w:val="20"/>
          <w:lang w:val="es-PE"/>
        </w:rPr>
        <w:t xml:space="preserve"> </w:t>
      </w:r>
      <w:r w:rsidR="00270B69" w:rsidRPr="007A0D4C">
        <w:rPr>
          <w:rFonts w:ascii="Cambria" w:hAnsi="Cambria"/>
          <w:color w:val="000000" w:themeColor="text1"/>
          <w:sz w:val="20"/>
          <w:szCs w:val="20"/>
          <w:lang w:val="es-PE"/>
        </w:rPr>
        <w:t xml:space="preserve">El </w:t>
      </w:r>
      <w:r w:rsidR="00EC7180" w:rsidRPr="007A0D4C">
        <w:rPr>
          <w:rFonts w:ascii="Cambria" w:hAnsi="Cambria"/>
          <w:color w:val="000000" w:themeColor="text1"/>
          <w:sz w:val="20"/>
          <w:szCs w:val="20"/>
          <w:lang w:val="es-PE"/>
        </w:rPr>
        <w:t xml:space="preserve">6 de abril de 1992 el </w:t>
      </w:r>
      <w:r w:rsidR="00270B69" w:rsidRPr="007A0D4C">
        <w:rPr>
          <w:rFonts w:ascii="Cambria" w:hAnsi="Cambria"/>
          <w:color w:val="000000" w:themeColor="text1"/>
          <w:sz w:val="20"/>
          <w:szCs w:val="20"/>
          <w:lang w:val="es-PE"/>
        </w:rPr>
        <w:t xml:space="preserve">Fiscal de la causa </w:t>
      </w:r>
      <w:r w:rsidR="00270B69" w:rsidRPr="00E13CAA">
        <w:rPr>
          <w:rFonts w:ascii="Cambria" w:hAnsi="Cambria"/>
          <w:color w:val="000000" w:themeColor="text1"/>
          <w:sz w:val="20"/>
          <w:szCs w:val="20"/>
          <w:lang w:val="es-PE"/>
        </w:rPr>
        <w:t>solicitó</w:t>
      </w:r>
      <w:r w:rsidR="00EC7180" w:rsidRPr="00E13CAA">
        <w:rPr>
          <w:rFonts w:ascii="Cambria" w:hAnsi="Cambria"/>
          <w:color w:val="000000" w:themeColor="text1"/>
          <w:sz w:val="20"/>
          <w:szCs w:val="20"/>
          <w:lang w:val="es-PE"/>
        </w:rPr>
        <w:t xml:space="preserve"> se cumplieran con los r</w:t>
      </w:r>
      <w:r w:rsidR="0003152F" w:rsidRPr="00E13CAA">
        <w:rPr>
          <w:rFonts w:ascii="Cambria" w:hAnsi="Cambria"/>
          <w:color w:val="000000" w:themeColor="text1"/>
          <w:sz w:val="20"/>
          <w:szCs w:val="20"/>
          <w:lang w:val="es-PE"/>
        </w:rPr>
        <w:t>e</w:t>
      </w:r>
      <w:r w:rsidR="00EC7180" w:rsidRPr="00E13CAA">
        <w:rPr>
          <w:rFonts w:ascii="Cambria" w:hAnsi="Cambria"/>
          <w:color w:val="000000" w:themeColor="text1"/>
          <w:sz w:val="20"/>
          <w:szCs w:val="20"/>
          <w:lang w:val="es-PE"/>
        </w:rPr>
        <w:t xml:space="preserve">quisitos citados y </w:t>
      </w:r>
      <w:r w:rsidR="0003152F" w:rsidRPr="00E13CAA">
        <w:rPr>
          <w:rFonts w:ascii="Cambria" w:hAnsi="Cambria"/>
          <w:color w:val="000000" w:themeColor="text1"/>
          <w:sz w:val="20"/>
          <w:szCs w:val="20"/>
          <w:lang w:val="es-PE"/>
        </w:rPr>
        <w:t>que el Juzgado dicte auto de prisión con fines de extradición en contra de los 14 procesados</w:t>
      </w:r>
      <w:r w:rsidR="0003152F" w:rsidRPr="00E13CAA">
        <w:rPr>
          <w:rStyle w:val="FootnoteReference"/>
          <w:rFonts w:ascii="Cambria" w:hAnsi="Cambria"/>
          <w:color w:val="000000" w:themeColor="text1"/>
          <w:sz w:val="20"/>
          <w:szCs w:val="20"/>
          <w:lang w:val="es-PE"/>
        </w:rPr>
        <w:footnoteReference w:id="40"/>
      </w:r>
      <w:r w:rsidR="0003152F" w:rsidRPr="00E13CAA">
        <w:rPr>
          <w:rFonts w:ascii="Cambria" w:hAnsi="Cambria"/>
          <w:color w:val="000000" w:themeColor="text1"/>
          <w:sz w:val="20"/>
          <w:szCs w:val="20"/>
          <w:lang w:val="es-PE"/>
        </w:rPr>
        <w:t>.</w:t>
      </w:r>
    </w:p>
    <w:p w14:paraId="68CDDE29" w14:textId="77777777" w:rsidR="002F711B" w:rsidRPr="00E13CAA" w:rsidRDefault="002F711B"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PE"/>
        </w:rPr>
      </w:pPr>
    </w:p>
    <w:p w14:paraId="3AFCE464" w14:textId="51A3C219" w:rsidR="00C912B2" w:rsidRPr="00E13CAA" w:rsidRDefault="00B85D18"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themeColor="text1"/>
          <w:sz w:val="20"/>
          <w:szCs w:val="20"/>
          <w:lang w:val="es-PE"/>
        </w:rPr>
      </w:pPr>
      <w:r w:rsidRPr="00E13CAA">
        <w:rPr>
          <w:rFonts w:ascii="Cambria" w:hAnsi="Cambria"/>
          <w:color w:val="000000" w:themeColor="text1"/>
          <w:sz w:val="20"/>
          <w:szCs w:val="20"/>
          <w:lang w:val="es-PE"/>
        </w:rPr>
        <w:t>El 18 de febrero de 1992, a solicitud del Ministerio Público</w:t>
      </w:r>
      <w:r w:rsidR="001645CA" w:rsidRPr="00E13CAA">
        <w:rPr>
          <w:rStyle w:val="FootnoteReference"/>
          <w:rFonts w:ascii="Cambria" w:hAnsi="Cambria"/>
          <w:color w:val="000000" w:themeColor="text1"/>
          <w:sz w:val="20"/>
          <w:szCs w:val="20"/>
          <w:lang w:val="es-PE"/>
        </w:rPr>
        <w:footnoteReference w:id="41"/>
      </w:r>
      <w:r w:rsidRPr="00E13CAA">
        <w:rPr>
          <w:rFonts w:ascii="Cambria" w:hAnsi="Cambria"/>
          <w:color w:val="000000" w:themeColor="text1"/>
          <w:sz w:val="20"/>
          <w:szCs w:val="20"/>
          <w:lang w:val="es-PE"/>
        </w:rPr>
        <w:t xml:space="preserve"> y </w:t>
      </w:r>
      <w:r w:rsidR="00CE11B8" w:rsidRPr="00E13CAA">
        <w:rPr>
          <w:rFonts w:ascii="Cambria" w:hAnsi="Cambria"/>
          <w:color w:val="000000" w:themeColor="text1"/>
          <w:sz w:val="20"/>
          <w:szCs w:val="20"/>
          <w:lang w:val="es-PE"/>
        </w:rPr>
        <w:t>con</w:t>
      </w:r>
      <w:r w:rsidRPr="00E13CAA">
        <w:rPr>
          <w:rFonts w:ascii="Cambria" w:hAnsi="Cambria"/>
          <w:color w:val="000000" w:themeColor="text1"/>
          <w:sz w:val="20"/>
          <w:szCs w:val="20"/>
          <w:lang w:val="es-PE"/>
        </w:rPr>
        <w:t xml:space="preserve"> base </w:t>
      </w:r>
      <w:r w:rsidR="00CE11B8" w:rsidRPr="00E13CAA">
        <w:rPr>
          <w:rFonts w:ascii="Cambria" w:hAnsi="Cambria"/>
          <w:color w:val="000000" w:themeColor="text1"/>
          <w:sz w:val="20"/>
          <w:szCs w:val="20"/>
          <w:lang w:val="es-PE"/>
        </w:rPr>
        <w:t>en</w:t>
      </w:r>
      <w:r w:rsidRPr="00E13CAA">
        <w:rPr>
          <w:rFonts w:ascii="Cambria" w:hAnsi="Cambria"/>
          <w:color w:val="000000" w:themeColor="text1"/>
          <w:sz w:val="20"/>
          <w:szCs w:val="20"/>
          <w:lang w:val="es-PE"/>
        </w:rPr>
        <w:t xml:space="preserve"> publicaciones periodísticas</w:t>
      </w:r>
      <w:r w:rsidR="00C74A08" w:rsidRPr="00E13CAA">
        <w:rPr>
          <w:rStyle w:val="FootnoteReference"/>
          <w:rFonts w:ascii="Cambria" w:hAnsi="Cambria"/>
          <w:color w:val="000000" w:themeColor="text1"/>
          <w:sz w:val="20"/>
          <w:szCs w:val="20"/>
          <w:lang w:val="es-PE"/>
        </w:rPr>
        <w:footnoteReference w:id="42"/>
      </w:r>
      <w:r w:rsidRPr="00E13CAA">
        <w:rPr>
          <w:rFonts w:ascii="Cambria" w:hAnsi="Cambria"/>
          <w:color w:val="000000" w:themeColor="text1"/>
          <w:sz w:val="20"/>
          <w:szCs w:val="20"/>
          <w:lang w:val="es-PE"/>
        </w:rPr>
        <w:t xml:space="preserve"> previas, el Juzgado resolvió ampliar el sumario</w:t>
      </w:r>
      <w:r w:rsidR="004057E7" w:rsidRPr="00E13CAA">
        <w:rPr>
          <w:rFonts w:ascii="Cambria" w:hAnsi="Cambria"/>
          <w:color w:val="000000" w:themeColor="text1"/>
          <w:sz w:val="20"/>
          <w:szCs w:val="20"/>
          <w:lang w:val="es-PE"/>
        </w:rPr>
        <w:t xml:space="preserve">, </w:t>
      </w:r>
      <w:r w:rsidRPr="00E13CAA">
        <w:rPr>
          <w:rFonts w:ascii="Cambria" w:hAnsi="Cambria"/>
          <w:color w:val="000000" w:themeColor="text1"/>
          <w:sz w:val="20"/>
          <w:szCs w:val="20"/>
          <w:lang w:val="es-PE"/>
        </w:rPr>
        <w:t xml:space="preserve">dictar </w:t>
      </w:r>
      <w:r w:rsidR="00AB63F4" w:rsidRPr="00E13CAA">
        <w:rPr>
          <w:rFonts w:ascii="Cambria" w:hAnsi="Cambria"/>
          <w:color w:val="000000" w:themeColor="text1"/>
          <w:sz w:val="20"/>
          <w:szCs w:val="20"/>
          <w:lang w:val="es-PE"/>
        </w:rPr>
        <w:t>órdenes</w:t>
      </w:r>
      <w:r w:rsidRPr="00E13CAA">
        <w:rPr>
          <w:rFonts w:ascii="Cambria" w:hAnsi="Cambria"/>
          <w:color w:val="000000" w:themeColor="text1"/>
          <w:sz w:val="20"/>
          <w:szCs w:val="20"/>
          <w:lang w:val="es-PE"/>
        </w:rPr>
        <w:t xml:space="preserve"> de </w:t>
      </w:r>
      <w:r w:rsidR="00AB63F4" w:rsidRPr="00E13CAA">
        <w:rPr>
          <w:rFonts w:ascii="Cambria" w:hAnsi="Cambria"/>
          <w:color w:val="000000" w:themeColor="text1"/>
          <w:sz w:val="20"/>
          <w:szCs w:val="20"/>
          <w:lang w:val="es-PE"/>
        </w:rPr>
        <w:t xml:space="preserve">captura </w:t>
      </w:r>
      <w:r w:rsidR="004057E7" w:rsidRPr="00E13CAA">
        <w:rPr>
          <w:rFonts w:ascii="Cambria" w:hAnsi="Cambria"/>
          <w:color w:val="000000" w:themeColor="text1"/>
          <w:sz w:val="20"/>
          <w:szCs w:val="20"/>
          <w:lang w:val="es-PE"/>
        </w:rPr>
        <w:t xml:space="preserve">y prisión preventiva </w:t>
      </w:r>
      <w:r w:rsidRPr="00E13CAA">
        <w:rPr>
          <w:rFonts w:ascii="Cambria" w:hAnsi="Cambria"/>
          <w:color w:val="000000" w:themeColor="text1"/>
          <w:sz w:val="20"/>
          <w:szCs w:val="20"/>
          <w:lang w:val="es-PE"/>
        </w:rPr>
        <w:t xml:space="preserve">en contra de 14 </w:t>
      </w:r>
      <w:r w:rsidRPr="00E13CAA">
        <w:rPr>
          <w:rFonts w:ascii="Cambria" w:hAnsi="Cambria"/>
          <w:color w:val="000000" w:themeColor="text1"/>
          <w:sz w:val="20"/>
          <w:szCs w:val="20"/>
          <w:lang w:val="es-PE"/>
        </w:rPr>
        <w:lastRenderedPageBreak/>
        <w:t>ciudadanos brasileños</w:t>
      </w:r>
      <w:r w:rsidR="00D1142D" w:rsidRPr="00E13CAA">
        <w:rPr>
          <w:rStyle w:val="FootnoteReference"/>
          <w:rFonts w:ascii="Cambria" w:hAnsi="Cambria"/>
          <w:color w:val="000000" w:themeColor="text1"/>
          <w:sz w:val="20"/>
          <w:szCs w:val="20"/>
          <w:lang w:val="es-PE"/>
        </w:rPr>
        <w:footnoteReference w:id="43"/>
      </w:r>
      <w:r w:rsidR="00E72C14" w:rsidRPr="00E13CAA">
        <w:rPr>
          <w:rFonts w:ascii="Cambria" w:hAnsi="Cambria"/>
          <w:color w:val="000000" w:themeColor="text1"/>
          <w:sz w:val="20"/>
          <w:szCs w:val="20"/>
          <w:lang w:val="es-PE"/>
        </w:rPr>
        <w:t>.</w:t>
      </w:r>
      <w:r w:rsidR="00693FCD" w:rsidRPr="00E13CAA">
        <w:rPr>
          <w:rFonts w:ascii="Cambria" w:hAnsi="Cambria"/>
          <w:color w:val="000000" w:themeColor="text1"/>
          <w:sz w:val="20"/>
          <w:szCs w:val="20"/>
          <w:lang w:val="es-PE"/>
        </w:rPr>
        <w:t xml:space="preserve"> Los 14 procesados </w:t>
      </w:r>
      <w:r w:rsidRPr="00E13CAA">
        <w:rPr>
          <w:rFonts w:ascii="Cambria" w:hAnsi="Cambria"/>
          <w:color w:val="000000" w:themeColor="text1"/>
          <w:sz w:val="20"/>
          <w:szCs w:val="20"/>
          <w:lang w:val="es-PE"/>
        </w:rPr>
        <w:t>fueron declarados prófugos de la justicia</w:t>
      </w:r>
      <w:r w:rsidR="00217797" w:rsidRPr="00E13CAA">
        <w:rPr>
          <w:rFonts w:ascii="Cambria" w:hAnsi="Cambria"/>
          <w:color w:val="000000" w:themeColor="text1"/>
          <w:sz w:val="20"/>
          <w:szCs w:val="20"/>
          <w:lang w:val="es-PE"/>
        </w:rPr>
        <w:t>. Se l</w:t>
      </w:r>
      <w:r w:rsidR="00D336EE" w:rsidRPr="00E13CAA">
        <w:rPr>
          <w:rFonts w:ascii="Cambria" w:hAnsi="Cambria"/>
          <w:color w:val="000000" w:themeColor="text1"/>
          <w:sz w:val="20"/>
          <w:szCs w:val="20"/>
          <w:lang w:val="es-PE"/>
        </w:rPr>
        <w:t>i</w:t>
      </w:r>
      <w:r w:rsidR="00217797" w:rsidRPr="00E13CAA">
        <w:rPr>
          <w:rFonts w:ascii="Cambria" w:hAnsi="Cambria"/>
          <w:color w:val="000000" w:themeColor="text1"/>
          <w:sz w:val="20"/>
          <w:szCs w:val="20"/>
          <w:lang w:val="es-PE"/>
        </w:rPr>
        <w:t>braron</w:t>
      </w:r>
      <w:r w:rsidR="00D336EE" w:rsidRPr="00E13CAA">
        <w:rPr>
          <w:rFonts w:ascii="Cambria" w:hAnsi="Cambria"/>
          <w:color w:val="000000" w:themeColor="text1"/>
          <w:sz w:val="20"/>
          <w:szCs w:val="20"/>
          <w:lang w:val="es-PE"/>
        </w:rPr>
        <w:t xml:space="preserve"> </w:t>
      </w:r>
      <w:r w:rsidR="00BB7FD3" w:rsidRPr="00E13CAA">
        <w:rPr>
          <w:rFonts w:ascii="Cambria" w:hAnsi="Cambria"/>
          <w:color w:val="000000" w:themeColor="text1"/>
          <w:sz w:val="20"/>
          <w:szCs w:val="20"/>
          <w:lang w:val="es-PE"/>
        </w:rPr>
        <w:t xml:space="preserve">las órdenes </w:t>
      </w:r>
      <w:r w:rsidR="004069D8">
        <w:rPr>
          <w:rFonts w:ascii="Cambria" w:hAnsi="Cambria"/>
          <w:color w:val="000000" w:themeColor="text1"/>
          <w:sz w:val="20"/>
          <w:szCs w:val="20"/>
          <w:lang w:val="es-PE"/>
        </w:rPr>
        <w:t xml:space="preserve">de </w:t>
      </w:r>
      <w:r w:rsidR="00BB7FD3" w:rsidRPr="00E13CAA">
        <w:rPr>
          <w:rFonts w:ascii="Cambria" w:hAnsi="Cambria"/>
          <w:color w:val="000000" w:themeColor="text1"/>
          <w:sz w:val="20"/>
          <w:szCs w:val="20"/>
          <w:lang w:val="es-PE"/>
        </w:rPr>
        <w:t xml:space="preserve">captura correspondientes y se notificó </w:t>
      </w:r>
      <w:r w:rsidRPr="00E13CAA">
        <w:rPr>
          <w:rFonts w:ascii="Cambria" w:hAnsi="Cambria"/>
          <w:color w:val="000000" w:themeColor="text1"/>
          <w:sz w:val="20"/>
          <w:szCs w:val="20"/>
          <w:lang w:val="es-PE"/>
        </w:rPr>
        <w:t>a la oficina de la Interpol en Asunción</w:t>
      </w:r>
      <w:r w:rsidR="00D81B6C" w:rsidRPr="00E13CAA">
        <w:rPr>
          <w:rStyle w:val="FootnoteReference"/>
          <w:rFonts w:ascii="Cambria" w:hAnsi="Cambria"/>
          <w:color w:val="000000" w:themeColor="text1"/>
          <w:sz w:val="20"/>
          <w:szCs w:val="20"/>
          <w:lang w:val="es-PE"/>
        </w:rPr>
        <w:footnoteReference w:id="44"/>
      </w:r>
      <w:r w:rsidR="00A76A18" w:rsidRPr="00E13CAA">
        <w:rPr>
          <w:rFonts w:ascii="Cambria" w:hAnsi="Cambria"/>
          <w:color w:val="000000" w:themeColor="text1"/>
          <w:sz w:val="20"/>
          <w:szCs w:val="20"/>
          <w:lang w:val="es-PE"/>
        </w:rPr>
        <w:t>.</w:t>
      </w:r>
      <w:r w:rsidRPr="00E13CAA">
        <w:rPr>
          <w:rFonts w:ascii="Cambria" w:hAnsi="Cambria"/>
          <w:color w:val="000000" w:themeColor="text1"/>
          <w:sz w:val="20"/>
          <w:szCs w:val="20"/>
          <w:lang w:val="es-PE"/>
        </w:rPr>
        <w:t xml:space="preserve"> </w:t>
      </w:r>
      <w:r w:rsidR="002F711B" w:rsidRPr="00E13CAA">
        <w:rPr>
          <w:rFonts w:ascii="Cambria" w:hAnsi="Cambria"/>
          <w:color w:val="000000" w:themeColor="text1"/>
          <w:sz w:val="20"/>
          <w:szCs w:val="20"/>
          <w:lang w:val="es-PE"/>
        </w:rPr>
        <w:t xml:space="preserve">El 16 de marzo de 1992 el proceso se tituló </w:t>
      </w:r>
      <w:r w:rsidR="00532E0C" w:rsidRPr="00E13CAA">
        <w:rPr>
          <w:rFonts w:ascii="Cambria" w:hAnsi="Cambria"/>
          <w:color w:val="000000" w:themeColor="text1"/>
          <w:sz w:val="20"/>
          <w:szCs w:val="20"/>
          <w:lang w:val="es-PE"/>
        </w:rPr>
        <w:t>“Daniel Alvarez George y otros</w:t>
      </w:r>
      <w:r w:rsidR="00F64EA2" w:rsidRPr="00E13CAA">
        <w:rPr>
          <w:rFonts w:ascii="Cambria" w:hAnsi="Cambria"/>
          <w:color w:val="000000" w:themeColor="text1"/>
          <w:sz w:val="20"/>
          <w:szCs w:val="20"/>
          <w:lang w:val="es-PE"/>
        </w:rPr>
        <w:t xml:space="preserve"> s/</w:t>
      </w:r>
      <w:r w:rsidR="003A0E5E" w:rsidRPr="00E13CAA">
        <w:rPr>
          <w:rFonts w:ascii="Cambria" w:hAnsi="Cambria"/>
          <w:color w:val="000000" w:themeColor="text1"/>
          <w:sz w:val="20"/>
          <w:szCs w:val="20"/>
          <w:lang w:val="es-PE"/>
        </w:rPr>
        <w:t>homicidio en esta ciudad</w:t>
      </w:r>
      <w:r w:rsidR="00532E0C" w:rsidRPr="00E13CAA">
        <w:rPr>
          <w:rFonts w:ascii="Cambria" w:hAnsi="Cambria"/>
          <w:color w:val="000000" w:themeColor="text1"/>
          <w:sz w:val="20"/>
          <w:szCs w:val="20"/>
          <w:lang w:val="es-PE"/>
        </w:rPr>
        <w:t>”</w:t>
      </w:r>
      <w:r w:rsidR="00126053" w:rsidRPr="00E13CAA">
        <w:rPr>
          <w:rStyle w:val="FootnoteReference"/>
          <w:rFonts w:ascii="Cambria" w:hAnsi="Cambria"/>
          <w:color w:val="000000" w:themeColor="text1"/>
          <w:sz w:val="20"/>
          <w:szCs w:val="20"/>
          <w:lang w:val="es-PE"/>
        </w:rPr>
        <w:footnoteReference w:id="45"/>
      </w:r>
      <w:r w:rsidR="003A0E5E" w:rsidRPr="00E13CAA">
        <w:rPr>
          <w:rFonts w:ascii="Cambria" w:hAnsi="Cambria"/>
          <w:color w:val="000000" w:themeColor="text1"/>
          <w:sz w:val="20"/>
          <w:szCs w:val="20"/>
          <w:lang w:val="es-PE"/>
        </w:rPr>
        <w:t>.</w:t>
      </w:r>
    </w:p>
    <w:p w14:paraId="06A126B0" w14:textId="77777777" w:rsidR="003A0E5E" w:rsidRPr="00E13CAA" w:rsidRDefault="003A0E5E"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PE"/>
        </w:rPr>
      </w:pPr>
    </w:p>
    <w:p w14:paraId="3F13CE03" w14:textId="77D213F9" w:rsidR="00767C38" w:rsidRPr="007A0D4C" w:rsidRDefault="00836E21"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themeColor="text1"/>
          <w:sz w:val="20"/>
          <w:szCs w:val="20"/>
          <w:lang w:val="es-PE"/>
        </w:rPr>
      </w:pPr>
      <w:r w:rsidRPr="007A0D4C">
        <w:rPr>
          <w:rFonts w:ascii="Cambria" w:hAnsi="Cambria"/>
          <w:color w:val="000000" w:themeColor="text1"/>
          <w:sz w:val="20"/>
          <w:szCs w:val="20"/>
          <w:lang w:val="es-PE"/>
        </w:rPr>
        <w:t xml:space="preserve">El 2 de marzo de 1992 la Policía Nacional confirmó al </w:t>
      </w:r>
      <w:r w:rsidR="00980140">
        <w:rPr>
          <w:rFonts w:ascii="Cambria" w:hAnsi="Cambria"/>
          <w:color w:val="000000" w:themeColor="text1"/>
          <w:sz w:val="20"/>
          <w:szCs w:val="20"/>
          <w:lang w:val="es-PE"/>
        </w:rPr>
        <w:t>Juzgado</w:t>
      </w:r>
      <w:r w:rsidRPr="007A0D4C">
        <w:rPr>
          <w:rFonts w:ascii="Cambria" w:hAnsi="Cambria"/>
          <w:color w:val="000000" w:themeColor="text1"/>
          <w:sz w:val="20"/>
          <w:szCs w:val="20"/>
          <w:lang w:val="es-PE"/>
        </w:rPr>
        <w:t xml:space="preserve"> la impartición de la orden de captura en contra de los procesados en todo el territorio de la jurisdicción de Paraguay</w:t>
      </w:r>
      <w:r w:rsidR="002B2F97" w:rsidRPr="007A0D4C">
        <w:rPr>
          <w:rStyle w:val="FootnoteReference"/>
          <w:rFonts w:ascii="Cambria" w:hAnsi="Cambria"/>
          <w:color w:val="000000" w:themeColor="text1"/>
          <w:sz w:val="20"/>
          <w:szCs w:val="20"/>
          <w:lang w:val="es-PE"/>
        </w:rPr>
        <w:footnoteReference w:id="46"/>
      </w:r>
      <w:r w:rsidR="0018799E" w:rsidRPr="007A0D4C">
        <w:rPr>
          <w:rFonts w:ascii="Cambria" w:hAnsi="Cambria"/>
          <w:color w:val="000000" w:themeColor="text1"/>
          <w:sz w:val="20"/>
          <w:szCs w:val="20"/>
          <w:lang w:val="es-PE"/>
        </w:rPr>
        <w:t xml:space="preserve">. </w:t>
      </w:r>
      <w:r w:rsidRPr="007A0D4C">
        <w:rPr>
          <w:rFonts w:ascii="Cambria" w:hAnsi="Cambria"/>
          <w:color w:val="000000" w:themeColor="text1"/>
          <w:sz w:val="20"/>
          <w:szCs w:val="20"/>
          <w:lang w:val="es-PE"/>
        </w:rPr>
        <w:t xml:space="preserve"> </w:t>
      </w:r>
      <w:r w:rsidR="00C63A34" w:rsidRPr="007A0D4C">
        <w:rPr>
          <w:rFonts w:ascii="Cambria" w:hAnsi="Cambria"/>
          <w:color w:val="000000" w:themeColor="text1"/>
          <w:sz w:val="20"/>
          <w:szCs w:val="20"/>
          <w:lang w:val="es-PE"/>
        </w:rPr>
        <w:t xml:space="preserve">El 3 de abril </w:t>
      </w:r>
      <w:r w:rsidR="002955F4" w:rsidRPr="007A0D4C">
        <w:rPr>
          <w:rFonts w:ascii="Cambria" w:hAnsi="Cambria"/>
          <w:color w:val="000000" w:themeColor="text1"/>
          <w:sz w:val="20"/>
          <w:szCs w:val="20"/>
          <w:lang w:val="es-PE"/>
        </w:rPr>
        <w:t>de 1992</w:t>
      </w:r>
      <w:r w:rsidR="00623AE3" w:rsidRPr="007A0D4C">
        <w:rPr>
          <w:rFonts w:ascii="Cambria" w:hAnsi="Cambria"/>
          <w:color w:val="000000" w:themeColor="text1"/>
          <w:sz w:val="20"/>
          <w:szCs w:val="20"/>
          <w:lang w:val="es-PE"/>
        </w:rPr>
        <w:t xml:space="preserve"> </w:t>
      </w:r>
      <w:r w:rsidRPr="007A0D4C">
        <w:rPr>
          <w:rFonts w:ascii="Cambria" w:hAnsi="Cambria"/>
          <w:color w:val="000000" w:themeColor="text1"/>
          <w:sz w:val="20"/>
          <w:szCs w:val="20"/>
          <w:lang w:val="es-PE"/>
        </w:rPr>
        <w:t xml:space="preserve">el jefe del departamento de la </w:t>
      </w:r>
      <w:r w:rsidR="00623AE3" w:rsidRPr="007A0D4C">
        <w:rPr>
          <w:rFonts w:ascii="Cambria" w:hAnsi="Cambria"/>
          <w:color w:val="000000" w:themeColor="text1"/>
          <w:sz w:val="20"/>
          <w:szCs w:val="20"/>
          <w:lang w:val="es-PE"/>
        </w:rPr>
        <w:t>Interpol</w:t>
      </w:r>
      <w:r w:rsidRPr="007A0D4C">
        <w:rPr>
          <w:rFonts w:ascii="Cambria" w:hAnsi="Cambria"/>
          <w:color w:val="000000" w:themeColor="text1"/>
          <w:sz w:val="20"/>
          <w:szCs w:val="20"/>
          <w:lang w:val="es-PE"/>
        </w:rPr>
        <w:t xml:space="preserve"> de la Policía Nacional de Paraguay informó al </w:t>
      </w:r>
      <w:r w:rsidR="00980140">
        <w:rPr>
          <w:rFonts w:ascii="Cambria" w:hAnsi="Cambria"/>
          <w:color w:val="000000" w:themeColor="text1"/>
          <w:sz w:val="20"/>
          <w:szCs w:val="20"/>
          <w:lang w:val="es-PE"/>
        </w:rPr>
        <w:t>Juzgado</w:t>
      </w:r>
      <w:r w:rsidRPr="007A0D4C">
        <w:rPr>
          <w:rFonts w:ascii="Cambria" w:hAnsi="Cambria"/>
          <w:color w:val="000000" w:themeColor="text1"/>
          <w:sz w:val="20"/>
          <w:szCs w:val="20"/>
          <w:lang w:val="es-PE"/>
        </w:rPr>
        <w:t xml:space="preserve"> que no se podría dictar la orden de captura a nivel internacional sin que </w:t>
      </w:r>
      <w:r w:rsidR="004069D8">
        <w:rPr>
          <w:rFonts w:ascii="Cambria" w:hAnsi="Cambria"/>
          <w:color w:val="000000" w:themeColor="text1"/>
          <w:sz w:val="20"/>
          <w:szCs w:val="20"/>
          <w:lang w:val="es-PE"/>
        </w:rPr>
        <w:t xml:space="preserve">se </w:t>
      </w:r>
      <w:r w:rsidR="00C77806" w:rsidRPr="007A0D4C">
        <w:rPr>
          <w:rFonts w:ascii="Cambria" w:hAnsi="Cambria"/>
          <w:color w:val="000000" w:themeColor="text1"/>
          <w:sz w:val="20"/>
          <w:szCs w:val="20"/>
          <w:lang w:val="es-PE"/>
        </w:rPr>
        <w:t>les proporci</w:t>
      </w:r>
      <w:r w:rsidR="004069D8">
        <w:rPr>
          <w:rFonts w:ascii="Cambria" w:hAnsi="Cambria"/>
          <w:color w:val="000000" w:themeColor="text1"/>
          <w:sz w:val="20"/>
          <w:szCs w:val="20"/>
          <w:lang w:val="es-PE"/>
        </w:rPr>
        <w:t>onaran</w:t>
      </w:r>
      <w:r w:rsidRPr="007A0D4C">
        <w:rPr>
          <w:rFonts w:ascii="Cambria" w:hAnsi="Cambria"/>
          <w:color w:val="000000" w:themeColor="text1"/>
          <w:sz w:val="20"/>
          <w:szCs w:val="20"/>
          <w:lang w:val="es-PE"/>
        </w:rPr>
        <w:t xml:space="preserve"> los datos de filiación completos de los encausados, una relación de los hechos imputados por Paraguay, la tipificación y posible pena aplicable al delito y la debida constancia </w:t>
      </w:r>
      <w:r w:rsidR="004069D8">
        <w:rPr>
          <w:rFonts w:ascii="Cambria" w:hAnsi="Cambria"/>
          <w:color w:val="000000" w:themeColor="text1"/>
          <w:sz w:val="20"/>
          <w:szCs w:val="20"/>
          <w:lang w:val="es-PE"/>
        </w:rPr>
        <w:t xml:space="preserve">de </w:t>
      </w:r>
      <w:r w:rsidRPr="007A0D4C">
        <w:rPr>
          <w:rFonts w:ascii="Cambria" w:hAnsi="Cambria"/>
          <w:color w:val="000000" w:themeColor="text1"/>
          <w:sz w:val="20"/>
          <w:szCs w:val="20"/>
          <w:lang w:val="es-PE"/>
        </w:rPr>
        <w:t>que</w:t>
      </w:r>
      <w:r w:rsidR="006638C3" w:rsidRPr="007A0D4C">
        <w:rPr>
          <w:rFonts w:ascii="Cambria" w:hAnsi="Cambria"/>
          <w:color w:val="000000" w:themeColor="text1"/>
          <w:sz w:val="20"/>
          <w:szCs w:val="20"/>
          <w:lang w:val="es-PE"/>
        </w:rPr>
        <w:t>,</w:t>
      </w:r>
      <w:r w:rsidRPr="007A0D4C">
        <w:rPr>
          <w:rFonts w:ascii="Cambria" w:hAnsi="Cambria"/>
          <w:color w:val="000000" w:themeColor="text1"/>
          <w:sz w:val="20"/>
          <w:szCs w:val="20"/>
          <w:lang w:val="es-PE"/>
        </w:rPr>
        <w:t xml:space="preserve"> en caso de ser localizados, se solicitar</w:t>
      </w:r>
      <w:r w:rsidR="004069D8">
        <w:rPr>
          <w:rFonts w:ascii="Cambria" w:hAnsi="Cambria"/>
          <w:color w:val="000000" w:themeColor="text1"/>
          <w:sz w:val="20"/>
          <w:szCs w:val="20"/>
          <w:lang w:val="es-PE"/>
        </w:rPr>
        <w:t>ía</w:t>
      </w:r>
      <w:r w:rsidRPr="007A0D4C">
        <w:rPr>
          <w:rFonts w:ascii="Cambria" w:hAnsi="Cambria"/>
          <w:color w:val="000000" w:themeColor="text1"/>
          <w:sz w:val="20"/>
          <w:szCs w:val="20"/>
          <w:lang w:val="es-PE"/>
        </w:rPr>
        <w:t xml:space="preserve"> la detención preventiva con fines de extradición</w:t>
      </w:r>
      <w:r w:rsidR="00D94D5E" w:rsidRPr="007A0D4C">
        <w:rPr>
          <w:rFonts w:ascii="Cambria" w:hAnsi="Cambria"/>
          <w:color w:val="000000" w:themeColor="text1"/>
          <w:sz w:val="20"/>
          <w:szCs w:val="20"/>
          <w:lang w:val="es-PE"/>
        </w:rPr>
        <w:t>.</w:t>
      </w:r>
      <w:r w:rsidR="004664F6" w:rsidRPr="007A0D4C">
        <w:rPr>
          <w:rFonts w:ascii="Cambria" w:hAnsi="Cambria"/>
          <w:color w:val="000000" w:themeColor="text1"/>
          <w:sz w:val="20"/>
          <w:szCs w:val="20"/>
          <w:lang w:val="es-PE"/>
        </w:rPr>
        <w:t xml:space="preserve"> </w:t>
      </w:r>
      <w:r w:rsidRPr="007A0D4C">
        <w:rPr>
          <w:rFonts w:ascii="Cambria" w:hAnsi="Cambria"/>
          <w:color w:val="000000" w:themeColor="text1"/>
          <w:sz w:val="20"/>
          <w:szCs w:val="20"/>
          <w:lang w:val="es-PE"/>
        </w:rPr>
        <w:t xml:space="preserve">El 22 de mayo de 1992 el </w:t>
      </w:r>
      <w:r w:rsidR="00980140">
        <w:rPr>
          <w:rFonts w:ascii="Cambria" w:hAnsi="Cambria"/>
          <w:color w:val="000000" w:themeColor="text1"/>
          <w:sz w:val="20"/>
          <w:szCs w:val="20"/>
          <w:lang w:val="es-PE"/>
        </w:rPr>
        <w:t>Juzgado</w:t>
      </w:r>
      <w:r w:rsidRPr="007A0D4C">
        <w:rPr>
          <w:rFonts w:ascii="Cambria" w:hAnsi="Cambria"/>
          <w:color w:val="000000" w:themeColor="text1"/>
          <w:sz w:val="20"/>
          <w:szCs w:val="20"/>
          <w:lang w:val="es-PE"/>
        </w:rPr>
        <w:t xml:space="preserve"> reiteró la orden de captura en todo el territorio paraguayo y la orden de captura internacional</w:t>
      </w:r>
      <w:r w:rsidR="00D94D5E" w:rsidRPr="007A0D4C">
        <w:rPr>
          <w:rStyle w:val="FootnoteReference"/>
          <w:rFonts w:ascii="Cambria" w:hAnsi="Cambria"/>
          <w:color w:val="000000" w:themeColor="text1"/>
          <w:sz w:val="20"/>
          <w:szCs w:val="20"/>
          <w:lang w:val="es-PE"/>
        </w:rPr>
        <w:footnoteReference w:id="47"/>
      </w:r>
      <w:r w:rsidR="00D94D5E" w:rsidRPr="007A0D4C">
        <w:rPr>
          <w:rFonts w:ascii="Cambria" w:hAnsi="Cambria"/>
          <w:color w:val="000000" w:themeColor="text1"/>
          <w:sz w:val="20"/>
          <w:szCs w:val="20"/>
          <w:lang w:val="es-PE"/>
        </w:rPr>
        <w:t>.</w:t>
      </w:r>
      <w:r w:rsidRPr="007A0D4C">
        <w:rPr>
          <w:rFonts w:ascii="Cambria" w:hAnsi="Cambria"/>
          <w:color w:val="000000" w:themeColor="text1"/>
          <w:sz w:val="20"/>
          <w:szCs w:val="20"/>
          <w:lang w:val="es-PE"/>
        </w:rPr>
        <w:t xml:space="preserve"> No </w:t>
      </w:r>
      <w:r w:rsidR="000010B3" w:rsidRPr="007A0D4C">
        <w:rPr>
          <w:rFonts w:ascii="Cambria" w:hAnsi="Cambria"/>
          <w:color w:val="000000" w:themeColor="text1"/>
          <w:sz w:val="20"/>
          <w:szCs w:val="20"/>
          <w:lang w:val="es-PE"/>
        </w:rPr>
        <w:t xml:space="preserve">consta en el </w:t>
      </w:r>
      <w:r w:rsidR="009C7584" w:rsidRPr="007A0D4C">
        <w:rPr>
          <w:rFonts w:ascii="Cambria" w:hAnsi="Cambria"/>
          <w:color w:val="000000" w:themeColor="text1"/>
          <w:sz w:val="20"/>
          <w:szCs w:val="20"/>
          <w:lang w:val="es-PE"/>
        </w:rPr>
        <w:t>expediente</w:t>
      </w:r>
      <w:r w:rsidR="000010B3" w:rsidRPr="007A0D4C">
        <w:rPr>
          <w:rFonts w:ascii="Cambria" w:hAnsi="Cambria"/>
          <w:color w:val="000000" w:themeColor="text1"/>
          <w:sz w:val="20"/>
          <w:szCs w:val="20"/>
          <w:lang w:val="es-PE"/>
        </w:rPr>
        <w:t xml:space="preserve"> ante la </w:t>
      </w:r>
      <w:r w:rsidR="009C7584" w:rsidRPr="007A0D4C">
        <w:rPr>
          <w:rFonts w:ascii="Cambria" w:hAnsi="Cambria"/>
          <w:color w:val="000000" w:themeColor="text1"/>
          <w:sz w:val="20"/>
          <w:szCs w:val="20"/>
          <w:lang w:val="es-PE"/>
        </w:rPr>
        <w:t>Comisión</w:t>
      </w:r>
      <w:r w:rsidR="000010B3" w:rsidRPr="007A0D4C">
        <w:rPr>
          <w:rFonts w:ascii="Cambria" w:hAnsi="Cambria"/>
          <w:color w:val="000000" w:themeColor="text1"/>
          <w:sz w:val="20"/>
          <w:szCs w:val="20"/>
          <w:lang w:val="es-PE"/>
        </w:rPr>
        <w:t xml:space="preserve"> que se haya</w:t>
      </w:r>
      <w:r w:rsidR="004069D8">
        <w:rPr>
          <w:rFonts w:ascii="Cambria" w:hAnsi="Cambria"/>
          <w:color w:val="000000" w:themeColor="text1"/>
          <w:sz w:val="20"/>
          <w:szCs w:val="20"/>
          <w:lang w:val="es-PE"/>
        </w:rPr>
        <w:t>n</w:t>
      </w:r>
      <w:r w:rsidR="000010B3" w:rsidRPr="007A0D4C">
        <w:rPr>
          <w:rFonts w:ascii="Cambria" w:hAnsi="Cambria"/>
          <w:color w:val="000000" w:themeColor="text1"/>
          <w:sz w:val="20"/>
          <w:szCs w:val="20"/>
          <w:lang w:val="es-PE"/>
        </w:rPr>
        <w:t xml:space="preserve"> subsanado las omisiones </w:t>
      </w:r>
      <w:r w:rsidR="009C7584" w:rsidRPr="007A0D4C">
        <w:rPr>
          <w:rFonts w:ascii="Cambria" w:hAnsi="Cambria"/>
          <w:color w:val="000000" w:themeColor="text1"/>
          <w:sz w:val="20"/>
          <w:szCs w:val="20"/>
          <w:lang w:val="es-PE"/>
        </w:rPr>
        <w:t>y cumplido con los requisitos</w:t>
      </w:r>
      <w:r w:rsidRPr="007A0D4C">
        <w:rPr>
          <w:rFonts w:ascii="Cambria" w:hAnsi="Cambria"/>
          <w:color w:val="000000" w:themeColor="text1"/>
          <w:sz w:val="20"/>
          <w:szCs w:val="20"/>
          <w:lang w:val="es-PE"/>
        </w:rPr>
        <w:t xml:space="preserve"> solicitados por </w:t>
      </w:r>
      <w:r w:rsidR="009C7584" w:rsidRPr="007A0D4C">
        <w:rPr>
          <w:rFonts w:ascii="Cambria" w:hAnsi="Cambria"/>
          <w:color w:val="000000" w:themeColor="text1"/>
          <w:sz w:val="20"/>
          <w:szCs w:val="20"/>
          <w:lang w:val="es-PE"/>
        </w:rPr>
        <w:t>la Interpol</w:t>
      </w:r>
      <w:r w:rsidR="004B226D" w:rsidRPr="007A0D4C">
        <w:rPr>
          <w:rFonts w:ascii="Cambria" w:hAnsi="Cambria"/>
          <w:color w:val="000000" w:themeColor="text1"/>
          <w:sz w:val="20"/>
          <w:szCs w:val="20"/>
          <w:lang w:val="es-PE"/>
        </w:rPr>
        <w:t xml:space="preserve">. </w:t>
      </w:r>
      <w:r w:rsidR="005706FF" w:rsidRPr="007A0D4C">
        <w:rPr>
          <w:rFonts w:ascii="Cambria" w:hAnsi="Cambria"/>
          <w:color w:val="000000" w:themeColor="text1"/>
          <w:sz w:val="20"/>
          <w:szCs w:val="20"/>
          <w:lang w:val="es-PE"/>
        </w:rPr>
        <w:t xml:space="preserve">Según la parte peticionaria, lo cual no fue controvertido por el Estado, </w:t>
      </w:r>
      <w:r w:rsidR="004069D8" w:rsidRPr="007A0D4C">
        <w:rPr>
          <w:rFonts w:ascii="Cambria" w:hAnsi="Cambria"/>
          <w:color w:val="000000" w:themeColor="text1"/>
          <w:sz w:val="20"/>
          <w:szCs w:val="20"/>
          <w:lang w:val="es-PE"/>
        </w:rPr>
        <w:t>en 1997</w:t>
      </w:r>
      <w:r w:rsidR="004069D8">
        <w:rPr>
          <w:rFonts w:ascii="Cambria" w:hAnsi="Cambria"/>
          <w:color w:val="000000" w:themeColor="text1"/>
          <w:sz w:val="20"/>
          <w:szCs w:val="20"/>
          <w:lang w:val="es-PE"/>
        </w:rPr>
        <w:t xml:space="preserve">, </w:t>
      </w:r>
      <w:r w:rsidR="005706FF" w:rsidRPr="007A0D4C">
        <w:rPr>
          <w:rFonts w:ascii="Cambria" w:hAnsi="Cambria"/>
          <w:color w:val="000000" w:themeColor="text1"/>
          <w:sz w:val="20"/>
          <w:szCs w:val="20"/>
          <w:lang w:val="es-PE"/>
        </w:rPr>
        <w:t>ó</w:t>
      </w:r>
      <w:r w:rsidRPr="007A0D4C">
        <w:rPr>
          <w:rFonts w:ascii="Cambria" w:hAnsi="Cambria"/>
          <w:color w:val="000000" w:themeColor="text1"/>
          <w:sz w:val="20"/>
          <w:szCs w:val="20"/>
          <w:lang w:val="es-PE"/>
        </w:rPr>
        <w:t xml:space="preserve">rdenes de captura internacional </w:t>
      </w:r>
      <w:r w:rsidR="004069D8">
        <w:rPr>
          <w:rFonts w:ascii="Cambria" w:hAnsi="Cambria"/>
          <w:color w:val="000000" w:themeColor="text1"/>
          <w:sz w:val="20"/>
          <w:szCs w:val="20"/>
          <w:lang w:val="es-PE"/>
        </w:rPr>
        <w:t xml:space="preserve">fueron reiteradas </w:t>
      </w:r>
      <w:r w:rsidRPr="007A0D4C">
        <w:rPr>
          <w:rFonts w:ascii="Cambria" w:hAnsi="Cambria"/>
          <w:color w:val="000000" w:themeColor="text1"/>
          <w:sz w:val="20"/>
          <w:szCs w:val="20"/>
          <w:lang w:val="es-PE"/>
        </w:rPr>
        <w:t>por el Juzg</w:t>
      </w:r>
      <w:r w:rsidR="004069D8">
        <w:rPr>
          <w:rFonts w:ascii="Cambria" w:hAnsi="Cambria"/>
          <w:color w:val="000000" w:themeColor="text1"/>
          <w:sz w:val="20"/>
          <w:szCs w:val="20"/>
          <w:lang w:val="es-PE"/>
        </w:rPr>
        <w:t>ado</w:t>
      </w:r>
      <w:r w:rsidR="00310A7A" w:rsidRPr="007A0D4C">
        <w:rPr>
          <w:rStyle w:val="FootnoteReference"/>
          <w:rFonts w:ascii="Cambria" w:hAnsi="Cambria"/>
          <w:color w:val="000000" w:themeColor="text1"/>
          <w:sz w:val="20"/>
          <w:szCs w:val="20"/>
          <w:lang w:val="es-PE"/>
        </w:rPr>
        <w:footnoteReference w:id="48"/>
      </w:r>
      <w:r w:rsidR="00767C38" w:rsidRPr="007A0D4C">
        <w:rPr>
          <w:rFonts w:ascii="Cambria" w:hAnsi="Cambria"/>
          <w:color w:val="000000" w:themeColor="text1"/>
          <w:sz w:val="20"/>
          <w:szCs w:val="20"/>
          <w:lang w:val="es-PE"/>
        </w:rPr>
        <w:t xml:space="preserve">. </w:t>
      </w:r>
    </w:p>
    <w:p w14:paraId="3C23ECC3" w14:textId="77777777" w:rsidR="0035797F" w:rsidRPr="007A0D4C" w:rsidRDefault="0035797F"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PE"/>
        </w:rPr>
      </w:pPr>
    </w:p>
    <w:p w14:paraId="542E5F5A" w14:textId="5155320A" w:rsidR="00B22507" w:rsidRPr="007A0D4C" w:rsidRDefault="00B22507"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themeColor="text1"/>
          <w:sz w:val="20"/>
          <w:szCs w:val="20"/>
          <w:lang w:val="es-PE"/>
        </w:rPr>
      </w:pPr>
      <w:r w:rsidRPr="007A0D4C">
        <w:rPr>
          <w:rFonts w:ascii="Cambria" w:hAnsi="Cambria"/>
          <w:color w:val="000000" w:themeColor="text1"/>
          <w:sz w:val="20"/>
          <w:szCs w:val="20"/>
          <w:lang w:val="es-PE"/>
        </w:rPr>
        <w:t xml:space="preserve">El 29 de abril de 1992 el </w:t>
      </w:r>
      <w:r w:rsidR="00980140">
        <w:rPr>
          <w:rFonts w:ascii="Cambria" w:hAnsi="Cambria"/>
          <w:color w:val="000000" w:themeColor="text1"/>
          <w:sz w:val="20"/>
          <w:szCs w:val="20"/>
          <w:lang w:val="es-PE"/>
        </w:rPr>
        <w:t>Juzgado</w:t>
      </w:r>
      <w:r w:rsidRPr="007A0D4C">
        <w:rPr>
          <w:rFonts w:ascii="Cambria" w:hAnsi="Cambria"/>
          <w:color w:val="000000" w:themeColor="text1"/>
          <w:sz w:val="20"/>
          <w:szCs w:val="20"/>
          <w:lang w:val="es-PE"/>
        </w:rPr>
        <w:t xml:space="preserve"> dictó auto de prisión con fines de extradición en contra de los 14 procesados</w:t>
      </w:r>
      <w:r w:rsidRPr="007A0D4C">
        <w:rPr>
          <w:rStyle w:val="FootnoteReference"/>
          <w:rFonts w:ascii="Cambria" w:hAnsi="Cambria"/>
          <w:color w:val="000000" w:themeColor="text1"/>
          <w:sz w:val="20"/>
          <w:szCs w:val="20"/>
          <w:lang w:val="es-PE"/>
        </w:rPr>
        <w:footnoteReference w:id="49"/>
      </w:r>
      <w:r w:rsidRPr="007A0D4C">
        <w:rPr>
          <w:rFonts w:ascii="Cambria" w:hAnsi="Cambria"/>
          <w:color w:val="000000" w:themeColor="text1"/>
          <w:sz w:val="20"/>
          <w:szCs w:val="20"/>
          <w:lang w:val="es-PE"/>
        </w:rPr>
        <w:t xml:space="preserve">. </w:t>
      </w:r>
    </w:p>
    <w:p w14:paraId="60938D7F" w14:textId="77777777" w:rsidR="00B22507" w:rsidRPr="007A0D4C" w:rsidRDefault="00B22507"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PE"/>
        </w:rPr>
      </w:pPr>
    </w:p>
    <w:p w14:paraId="022BC738" w14:textId="4C6D89C4" w:rsidR="000E4ACA" w:rsidRPr="007A0D4C" w:rsidRDefault="00836E21"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themeColor="text1"/>
          <w:sz w:val="20"/>
          <w:szCs w:val="20"/>
          <w:lang w:val="es-PE"/>
        </w:rPr>
      </w:pPr>
      <w:r w:rsidRPr="007A0D4C">
        <w:rPr>
          <w:rFonts w:ascii="Cambria" w:hAnsi="Cambria"/>
          <w:color w:val="000000" w:themeColor="text1"/>
          <w:sz w:val="20"/>
          <w:szCs w:val="20"/>
          <w:lang w:val="es-PE"/>
        </w:rPr>
        <w:t xml:space="preserve">El 21 de septiembre de 1992 el </w:t>
      </w:r>
      <w:r w:rsidR="00980140">
        <w:rPr>
          <w:rFonts w:ascii="Cambria" w:hAnsi="Cambria"/>
          <w:color w:val="000000" w:themeColor="text1"/>
          <w:sz w:val="20"/>
          <w:szCs w:val="20"/>
          <w:lang w:val="es-PE"/>
        </w:rPr>
        <w:t>Juzgado</w:t>
      </w:r>
      <w:r w:rsidR="00475FEF" w:rsidRPr="007A0D4C">
        <w:rPr>
          <w:rFonts w:ascii="Cambria" w:hAnsi="Cambria"/>
          <w:color w:val="000000" w:themeColor="text1"/>
          <w:sz w:val="20"/>
          <w:szCs w:val="20"/>
          <w:lang w:val="es-PE"/>
        </w:rPr>
        <w:t xml:space="preserve"> adoptó un auto interlocutorio mediante el </w:t>
      </w:r>
      <w:r w:rsidR="00A441AF" w:rsidRPr="007A0D4C">
        <w:rPr>
          <w:rFonts w:ascii="Cambria" w:hAnsi="Cambria"/>
          <w:color w:val="000000" w:themeColor="text1"/>
          <w:sz w:val="20"/>
          <w:szCs w:val="20"/>
          <w:lang w:val="es-PE"/>
        </w:rPr>
        <w:t>cual</w:t>
      </w:r>
      <w:r w:rsidRPr="007A0D4C">
        <w:rPr>
          <w:rFonts w:ascii="Cambria" w:hAnsi="Cambria"/>
          <w:color w:val="000000" w:themeColor="text1"/>
          <w:sz w:val="20"/>
          <w:szCs w:val="20"/>
          <w:lang w:val="es-PE"/>
        </w:rPr>
        <w:t xml:space="preserve"> declaró prófugos a los procesados y dispuso su rebeldía </w:t>
      </w:r>
      <w:r w:rsidR="00B3106C" w:rsidRPr="007A0D4C">
        <w:rPr>
          <w:rFonts w:ascii="Cambria" w:hAnsi="Cambria"/>
          <w:color w:val="000000" w:themeColor="text1"/>
          <w:sz w:val="20"/>
          <w:szCs w:val="20"/>
          <w:lang w:val="es-PE"/>
        </w:rPr>
        <w:t xml:space="preserve">y contumacia </w:t>
      </w:r>
      <w:r w:rsidRPr="007A0D4C">
        <w:rPr>
          <w:rFonts w:ascii="Cambria" w:hAnsi="Cambria"/>
          <w:color w:val="000000" w:themeColor="text1"/>
          <w:sz w:val="20"/>
          <w:szCs w:val="20"/>
          <w:lang w:val="es-PE"/>
        </w:rPr>
        <w:t>a los mandatos de la justicia</w:t>
      </w:r>
      <w:r w:rsidR="00A441AF" w:rsidRPr="007A0D4C">
        <w:rPr>
          <w:rStyle w:val="FootnoteReference"/>
          <w:rFonts w:ascii="Cambria" w:hAnsi="Cambria"/>
          <w:color w:val="000000" w:themeColor="text1"/>
          <w:sz w:val="20"/>
          <w:szCs w:val="20"/>
          <w:lang w:val="es-PE"/>
        </w:rPr>
        <w:footnoteReference w:id="50"/>
      </w:r>
      <w:r w:rsidR="00B3106C" w:rsidRPr="007A0D4C">
        <w:rPr>
          <w:rFonts w:ascii="Cambria" w:hAnsi="Cambria"/>
          <w:color w:val="000000" w:themeColor="text1"/>
          <w:sz w:val="20"/>
          <w:szCs w:val="20"/>
          <w:lang w:val="es-PE"/>
        </w:rPr>
        <w:t>.</w:t>
      </w:r>
      <w:r w:rsidR="00815F52" w:rsidRPr="007A0D4C">
        <w:rPr>
          <w:rFonts w:ascii="Cambria" w:hAnsi="Cambria"/>
          <w:color w:val="000000" w:themeColor="text1"/>
          <w:sz w:val="20"/>
          <w:szCs w:val="20"/>
          <w:lang w:val="es-PE"/>
        </w:rPr>
        <w:t xml:space="preserve"> </w:t>
      </w:r>
    </w:p>
    <w:p w14:paraId="2D4F08A5" w14:textId="77777777" w:rsidR="00AE4663" w:rsidRPr="007A0D4C" w:rsidRDefault="00AE4663"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PE"/>
        </w:rPr>
      </w:pPr>
    </w:p>
    <w:p w14:paraId="72753D6F" w14:textId="2ADAD716" w:rsidR="00AE4663" w:rsidRPr="007A0D4C" w:rsidRDefault="00836E21"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themeColor="text1"/>
          <w:sz w:val="20"/>
          <w:szCs w:val="20"/>
          <w:lang w:val="es-PE"/>
        </w:rPr>
      </w:pPr>
      <w:r w:rsidRPr="007A0D4C">
        <w:rPr>
          <w:rFonts w:ascii="Cambria" w:hAnsi="Cambria"/>
          <w:color w:val="000000" w:themeColor="text1"/>
          <w:sz w:val="20"/>
          <w:szCs w:val="20"/>
          <w:lang w:val="es-PE"/>
        </w:rPr>
        <w:t xml:space="preserve">El 30 de septiembre de 1992 el </w:t>
      </w:r>
      <w:r w:rsidR="00980140">
        <w:rPr>
          <w:rFonts w:ascii="Cambria" w:hAnsi="Cambria"/>
          <w:color w:val="000000" w:themeColor="text1"/>
          <w:sz w:val="20"/>
          <w:szCs w:val="20"/>
          <w:lang w:val="es-PE"/>
        </w:rPr>
        <w:t>Juzgado</w:t>
      </w:r>
      <w:r w:rsidRPr="007A0D4C">
        <w:rPr>
          <w:rFonts w:ascii="Cambria" w:hAnsi="Cambria"/>
          <w:color w:val="000000" w:themeColor="text1"/>
          <w:sz w:val="20"/>
          <w:szCs w:val="20"/>
          <w:lang w:val="es-PE"/>
        </w:rPr>
        <w:t xml:space="preserve"> </w:t>
      </w:r>
      <w:r w:rsidR="004069D8" w:rsidRPr="007A0D4C">
        <w:rPr>
          <w:rFonts w:ascii="Cambria" w:hAnsi="Cambria"/>
          <w:color w:val="000000" w:themeColor="text1"/>
          <w:sz w:val="20"/>
          <w:szCs w:val="20"/>
          <w:lang w:val="es-PE"/>
        </w:rPr>
        <w:t xml:space="preserve">remitió </w:t>
      </w:r>
      <w:r w:rsidR="004930BB" w:rsidRPr="007A0D4C">
        <w:rPr>
          <w:rFonts w:ascii="Cambria" w:hAnsi="Cambria"/>
          <w:color w:val="000000" w:themeColor="text1"/>
          <w:sz w:val="20"/>
          <w:szCs w:val="20"/>
          <w:lang w:val="es-PE"/>
        </w:rPr>
        <w:t xml:space="preserve">nuevamente </w:t>
      </w:r>
      <w:r w:rsidRPr="007A0D4C">
        <w:rPr>
          <w:rFonts w:ascii="Cambria" w:hAnsi="Cambria"/>
          <w:color w:val="000000" w:themeColor="text1"/>
          <w:sz w:val="20"/>
          <w:szCs w:val="20"/>
          <w:lang w:val="es-PE"/>
        </w:rPr>
        <w:t>exhortos judiciales solicitando información y cooperación judicial internacional a autoridades policiales y judiciales del Estado de Mato Gros</w:t>
      </w:r>
      <w:r w:rsidR="004069D8">
        <w:rPr>
          <w:rFonts w:ascii="Cambria" w:hAnsi="Cambria"/>
          <w:color w:val="000000" w:themeColor="text1"/>
          <w:sz w:val="20"/>
          <w:szCs w:val="20"/>
          <w:lang w:val="es-PE"/>
        </w:rPr>
        <w:t xml:space="preserve">so, </w:t>
      </w:r>
      <w:r w:rsidRPr="007A0D4C">
        <w:rPr>
          <w:rFonts w:ascii="Cambria" w:hAnsi="Cambria"/>
          <w:color w:val="000000" w:themeColor="text1"/>
          <w:sz w:val="20"/>
          <w:szCs w:val="20"/>
          <w:lang w:val="es-PE"/>
        </w:rPr>
        <w:t xml:space="preserve">respecto de los </w:t>
      </w:r>
      <w:r w:rsidR="004930BB" w:rsidRPr="007A0D4C">
        <w:rPr>
          <w:rFonts w:ascii="Cambria" w:hAnsi="Cambria"/>
          <w:color w:val="000000" w:themeColor="text1"/>
          <w:sz w:val="20"/>
          <w:szCs w:val="20"/>
          <w:lang w:val="es-PE"/>
        </w:rPr>
        <w:t xml:space="preserve">14 </w:t>
      </w:r>
      <w:r w:rsidRPr="007A0D4C">
        <w:rPr>
          <w:rFonts w:ascii="Cambria" w:hAnsi="Cambria"/>
          <w:color w:val="000000" w:themeColor="text1"/>
          <w:sz w:val="20"/>
          <w:szCs w:val="20"/>
          <w:lang w:val="es-PE"/>
        </w:rPr>
        <w:t xml:space="preserve">procesados </w:t>
      </w:r>
      <w:r w:rsidR="00860860">
        <w:rPr>
          <w:rFonts w:ascii="Cambria" w:hAnsi="Cambria"/>
          <w:color w:val="000000" w:themeColor="text1"/>
          <w:sz w:val="20"/>
          <w:szCs w:val="20"/>
          <w:lang w:val="es-PE"/>
        </w:rPr>
        <w:t>brasileño</w:t>
      </w:r>
      <w:r w:rsidR="004930BB" w:rsidRPr="007A0D4C">
        <w:rPr>
          <w:rFonts w:ascii="Cambria" w:hAnsi="Cambria"/>
          <w:color w:val="000000" w:themeColor="text1"/>
          <w:sz w:val="20"/>
          <w:szCs w:val="20"/>
          <w:lang w:val="es-PE"/>
        </w:rPr>
        <w:t xml:space="preserve">s. </w:t>
      </w:r>
      <w:r w:rsidR="00AC3041" w:rsidRPr="007A0D4C">
        <w:rPr>
          <w:rFonts w:ascii="Cambria" w:hAnsi="Cambria"/>
          <w:color w:val="000000" w:themeColor="text1"/>
          <w:sz w:val="20"/>
          <w:szCs w:val="20"/>
          <w:lang w:val="es-PE"/>
        </w:rPr>
        <w:t>Asimismo, el juez solicitó a</w:t>
      </w:r>
      <w:r w:rsidR="0046155E" w:rsidRPr="007A0D4C">
        <w:rPr>
          <w:rFonts w:ascii="Cambria" w:hAnsi="Cambria"/>
          <w:color w:val="000000" w:themeColor="text1"/>
          <w:sz w:val="20"/>
          <w:szCs w:val="20"/>
          <w:lang w:val="es-PE"/>
        </w:rPr>
        <w:t xml:space="preserve">l presidente de la Corte Suprema que dichos exhortos fueran tramitados por la vía diplomática y de conformidad con </w:t>
      </w:r>
      <w:r w:rsidR="00833966" w:rsidRPr="007A0D4C">
        <w:rPr>
          <w:rFonts w:ascii="Cambria" w:hAnsi="Cambria"/>
          <w:color w:val="000000" w:themeColor="text1"/>
          <w:sz w:val="20"/>
          <w:szCs w:val="20"/>
          <w:lang w:val="es-PE"/>
        </w:rPr>
        <w:t xml:space="preserve">las disposiciones legales </w:t>
      </w:r>
      <w:r w:rsidR="00860860">
        <w:rPr>
          <w:rFonts w:ascii="Cambria" w:hAnsi="Cambria"/>
          <w:color w:val="000000" w:themeColor="text1"/>
          <w:sz w:val="20"/>
          <w:szCs w:val="20"/>
          <w:lang w:val="es-PE"/>
        </w:rPr>
        <w:t>brasileña</w:t>
      </w:r>
      <w:r w:rsidR="00833966" w:rsidRPr="007A0D4C">
        <w:rPr>
          <w:rFonts w:ascii="Cambria" w:hAnsi="Cambria"/>
          <w:color w:val="000000" w:themeColor="text1"/>
          <w:sz w:val="20"/>
          <w:szCs w:val="20"/>
          <w:lang w:val="es-PE"/>
        </w:rPr>
        <w:t>s</w:t>
      </w:r>
      <w:r w:rsidR="00833966" w:rsidRPr="007A0D4C">
        <w:rPr>
          <w:rStyle w:val="FootnoteReference"/>
          <w:rFonts w:ascii="Cambria" w:hAnsi="Cambria"/>
          <w:color w:val="000000" w:themeColor="text1"/>
          <w:sz w:val="20"/>
          <w:szCs w:val="20"/>
          <w:lang w:val="es-PE"/>
        </w:rPr>
        <w:footnoteReference w:id="51"/>
      </w:r>
      <w:r w:rsidR="00833966" w:rsidRPr="007A0D4C">
        <w:rPr>
          <w:rFonts w:ascii="Cambria" w:hAnsi="Cambria"/>
          <w:color w:val="000000" w:themeColor="text1"/>
          <w:sz w:val="20"/>
          <w:szCs w:val="20"/>
          <w:lang w:val="es-PE"/>
        </w:rPr>
        <w:t>.</w:t>
      </w:r>
      <w:r w:rsidR="00AC3041" w:rsidRPr="007A0D4C">
        <w:rPr>
          <w:rFonts w:ascii="Cambria" w:hAnsi="Cambria"/>
          <w:color w:val="000000" w:themeColor="text1"/>
          <w:sz w:val="20"/>
          <w:szCs w:val="20"/>
          <w:lang w:val="es-PE"/>
        </w:rPr>
        <w:t xml:space="preserve"> </w:t>
      </w:r>
      <w:r w:rsidR="004930BB" w:rsidRPr="007A0D4C">
        <w:rPr>
          <w:rFonts w:ascii="Cambria" w:hAnsi="Cambria"/>
          <w:color w:val="000000" w:themeColor="text1"/>
          <w:sz w:val="20"/>
          <w:szCs w:val="20"/>
          <w:lang w:val="es-PE"/>
        </w:rPr>
        <w:t>Según la parte peticionaria</w:t>
      </w:r>
      <w:r w:rsidR="0091122C" w:rsidRPr="007A0D4C">
        <w:rPr>
          <w:rFonts w:ascii="Cambria" w:hAnsi="Cambria"/>
          <w:color w:val="000000" w:themeColor="text1"/>
          <w:sz w:val="20"/>
          <w:szCs w:val="20"/>
          <w:lang w:val="es-PE"/>
        </w:rPr>
        <w:t>, no controvertido por el Estado,</w:t>
      </w:r>
      <w:r w:rsidRPr="007A0D4C">
        <w:rPr>
          <w:rFonts w:ascii="Cambria" w:hAnsi="Cambria"/>
          <w:color w:val="000000" w:themeColor="text1"/>
          <w:sz w:val="20"/>
          <w:szCs w:val="20"/>
          <w:lang w:val="es-PE"/>
        </w:rPr>
        <w:t xml:space="preserve"> </w:t>
      </w:r>
      <w:r w:rsidR="004930BB" w:rsidRPr="007A0D4C">
        <w:rPr>
          <w:rFonts w:ascii="Cambria" w:hAnsi="Cambria"/>
          <w:color w:val="000000" w:themeColor="text1"/>
          <w:sz w:val="20"/>
          <w:szCs w:val="20"/>
          <w:lang w:val="es-PE"/>
        </w:rPr>
        <w:t xml:space="preserve">las </w:t>
      </w:r>
      <w:r w:rsidRPr="007A0D4C">
        <w:rPr>
          <w:rFonts w:ascii="Cambria" w:hAnsi="Cambria"/>
          <w:color w:val="000000" w:themeColor="text1"/>
          <w:sz w:val="20"/>
          <w:szCs w:val="20"/>
          <w:lang w:val="es-PE"/>
        </w:rPr>
        <w:t xml:space="preserve">cartas rogatorias fueron </w:t>
      </w:r>
      <w:r w:rsidR="00676B25" w:rsidRPr="007A0D4C">
        <w:rPr>
          <w:rFonts w:ascii="Cambria" w:hAnsi="Cambria"/>
          <w:color w:val="000000" w:themeColor="text1"/>
          <w:sz w:val="20"/>
          <w:szCs w:val="20"/>
          <w:lang w:val="es-PE"/>
        </w:rPr>
        <w:t xml:space="preserve">nuevamente </w:t>
      </w:r>
      <w:r w:rsidRPr="007A0D4C">
        <w:rPr>
          <w:rFonts w:ascii="Cambria" w:hAnsi="Cambria"/>
          <w:color w:val="000000" w:themeColor="text1"/>
          <w:sz w:val="20"/>
          <w:szCs w:val="20"/>
          <w:lang w:val="es-PE"/>
        </w:rPr>
        <w:t>devueltas por vía diplomática de la Cancillería brasileña, debido a que no estaban traducidas al idioma portugués y no se indicaba quién se haría cargo de las costas de las diligencias solicitadas</w:t>
      </w:r>
      <w:r w:rsidR="0091122C" w:rsidRPr="007A0D4C">
        <w:rPr>
          <w:rFonts w:ascii="Cambria" w:hAnsi="Cambria"/>
          <w:color w:val="000000" w:themeColor="text1"/>
          <w:sz w:val="20"/>
          <w:szCs w:val="20"/>
          <w:lang w:val="es-PE"/>
        </w:rPr>
        <w:t xml:space="preserve">. </w:t>
      </w:r>
      <w:r w:rsidRPr="007A0D4C">
        <w:rPr>
          <w:rFonts w:ascii="Cambria" w:hAnsi="Cambria"/>
          <w:color w:val="000000" w:themeColor="text1"/>
          <w:sz w:val="20"/>
          <w:szCs w:val="20"/>
          <w:lang w:val="es-PE"/>
        </w:rPr>
        <w:t>Similares diligencias fueron realizadas de manera infructuosa en julio de 1993 y en marzo de 1994</w:t>
      </w:r>
      <w:r w:rsidR="0091122C" w:rsidRPr="007A0D4C">
        <w:rPr>
          <w:rStyle w:val="FootnoteReference"/>
          <w:rFonts w:ascii="Cambria" w:hAnsi="Cambria"/>
          <w:color w:val="000000" w:themeColor="text1"/>
          <w:sz w:val="20"/>
          <w:szCs w:val="20"/>
          <w:lang w:val="es-PE"/>
        </w:rPr>
        <w:footnoteReference w:id="52"/>
      </w:r>
      <w:r w:rsidR="0091122C" w:rsidRPr="007A0D4C">
        <w:rPr>
          <w:rFonts w:ascii="Cambria" w:hAnsi="Cambria"/>
          <w:color w:val="000000" w:themeColor="text1"/>
          <w:sz w:val="20"/>
          <w:szCs w:val="20"/>
          <w:lang w:val="es-PE"/>
        </w:rPr>
        <w:t>.</w:t>
      </w:r>
    </w:p>
    <w:p w14:paraId="02B34534" w14:textId="77777777" w:rsidR="00CD1E13" w:rsidRPr="007A0D4C" w:rsidRDefault="00CD1E13"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PE"/>
        </w:rPr>
      </w:pPr>
    </w:p>
    <w:p w14:paraId="7604AD55" w14:textId="745565B6" w:rsidR="00DA12DA" w:rsidRPr="00E13CAA" w:rsidRDefault="0061040C"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themeColor="text1"/>
          <w:sz w:val="20"/>
          <w:szCs w:val="20"/>
          <w:lang w:val="es-PE"/>
        </w:rPr>
      </w:pPr>
      <w:r w:rsidRPr="007A0D4C">
        <w:rPr>
          <w:rFonts w:ascii="Cambria" w:hAnsi="Cambria"/>
          <w:color w:val="000000" w:themeColor="text1"/>
          <w:sz w:val="20"/>
          <w:szCs w:val="20"/>
          <w:lang w:val="es-PE"/>
        </w:rPr>
        <w:t>Según la parte peticionari</w:t>
      </w:r>
      <w:r w:rsidR="002840F1" w:rsidRPr="007A0D4C">
        <w:rPr>
          <w:rFonts w:ascii="Cambria" w:hAnsi="Cambria"/>
          <w:color w:val="000000" w:themeColor="text1"/>
          <w:sz w:val="20"/>
          <w:szCs w:val="20"/>
          <w:lang w:val="es-PE"/>
        </w:rPr>
        <w:t>a</w:t>
      </w:r>
      <w:r w:rsidRPr="007A0D4C">
        <w:rPr>
          <w:rFonts w:ascii="Cambria" w:hAnsi="Cambria"/>
          <w:color w:val="000000" w:themeColor="text1"/>
          <w:sz w:val="20"/>
          <w:szCs w:val="20"/>
          <w:lang w:val="es-PE"/>
        </w:rPr>
        <w:t>, lo cual no fue controvertido por el Estado, e</w:t>
      </w:r>
      <w:r w:rsidR="00836E21" w:rsidRPr="007A0D4C">
        <w:rPr>
          <w:rFonts w:ascii="Cambria" w:hAnsi="Cambria"/>
          <w:color w:val="000000" w:themeColor="text1"/>
          <w:sz w:val="20"/>
          <w:szCs w:val="20"/>
          <w:lang w:val="es-PE"/>
        </w:rPr>
        <w:t xml:space="preserve">l 15 de septiembre de 1993 la Policía Nacional de Paraguay detuvo a uno de los procesados en la causa, el señor Daniel Arístides Calonga </w:t>
      </w:r>
      <w:r w:rsidR="00836E21" w:rsidRPr="00E13CAA">
        <w:rPr>
          <w:rFonts w:ascii="Cambria" w:hAnsi="Cambria"/>
          <w:color w:val="000000" w:themeColor="text1"/>
          <w:sz w:val="20"/>
          <w:szCs w:val="20"/>
          <w:lang w:val="es-PE"/>
        </w:rPr>
        <w:t xml:space="preserve">López, quien fue remitido a la Penitenciaría Nacional de Tacumbú a disposición del </w:t>
      </w:r>
      <w:r w:rsidR="00980140">
        <w:rPr>
          <w:rFonts w:ascii="Cambria" w:hAnsi="Cambria"/>
          <w:color w:val="000000" w:themeColor="text1"/>
          <w:sz w:val="20"/>
          <w:szCs w:val="20"/>
          <w:lang w:val="es-PE"/>
        </w:rPr>
        <w:t>Juzgado</w:t>
      </w:r>
      <w:r w:rsidR="00836E21" w:rsidRPr="00E13CAA">
        <w:rPr>
          <w:rFonts w:ascii="Cambria" w:hAnsi="Cambria"/>
          <w:color w:val="000000" w:themeColor="text1"/>
          <w:sz w:val="20"/>
          <w:szCs w:val="20"/>
          <w:lang w:val="es-PE"/>
        </w:rPr>
        <w:t xml:space="preserve">. </w:t>
      </w:r>
      <w:r w:rsidR="002C7975" w:rsidRPr="00E13CAA">
        <w:rPr>
          <w:rFonts w:ascii="Cambria" w:hAnsi="Cambria"/>
          <w:color w:val="000000" w:themeColor="text1"/>
          <w:sz w:val="20"/>
          <w:szCs w:val="20"/>
          <w:lang w:val="es-PE"/>
        </w:rPr>
        <w:t>Según los peticionarios, n</w:t>
      </w:r>
      <w:r w:rsidR="00836E21" w:rsidRPr="00E13CAA">
        <w:rPr>
          <w:rFonts w:ascii="Cambria" w:hAnsi="Cambria"/>
          <w:color w:val="000000" w:themeColor="text1"/>
          <w:sz w:val="20"/>
          <w:szCs w:val="20"/>
          <w:lang w:val="es-PE"/>
        </w:rPr>
        <w:t>o se adoptaron medidas judiciales respecto de este procesado en el marco de la causa</w:t>
      </w:r>
      <w:r w:rsidR="002C7975" w:rsidRPr="00E13CAA">
        <w:rPr>
          <w:rFonts w:ascii="Cambria" w:hAnsi="Cambria"/>
          <w:color w:val="000000" w:themeColor="text1"/>
          <w:sz w:val="20"/>
          <w:szCs w:val="20"/>
          <w:lang w:val="es-PE"/>
        </w:rPr>
        <w:t xml:space="preserve"> ni consta </w:t>
      </w:r>
      <w:r w:rsidR="00836E21" w:rsidRPr="00E13CAA">
        <w:rPr>
          <w:rFonts w:ascii="Cambria" w:hAnsi="Cambria"/>
          <w:color w:val="000000" w:themeColor="text1"/>
          <w:sz w:val="20"/>
          <w:szCs w:val="20"/>
          <w:lang w:val="es-PE"/>
        </w:rPr>
        <w:lastRenderedPageBreak/>
        <w:t xml:space="preserve">que haya sido llamado a prestar declaración indagatoria. </w:t>
      </w:r>
      <w:r w:rsidR="002840F1" w:rsidRPr="00E13CAA">
        <w:rPr>
          <w:rFonts w:ascii="Cambria" w:hAnsi="Cambria"/>
          <w:color w:val="000000" w:themeColor="text1"/>
          <w:sz w:val="20"/>
          <w:szCs w:val="20"/>
          <w:lang w:val="es-PE"/>
        </w:rPr>
        <w:t xml:space="preserve">El procesado falleció </w:t>
      </w:r>
      <w:r w:rsidR="00836E21" w:rsidRPr="00E13CAA">
        <w:rPr>
          <w:rFonts w:ascii="Cambria" w:hAnsi="Cambria"/>
          <w:color w:val="000000" w:themeColor="text1"/>
          <w:sz w:val="20"/>
          <w:szCs w:val="20"/>
          <w:lang w:val="es-PE"/>
        </w:rPr>
        <w:t xml:space="preserve">el 18 de septiembre de 2001, víctima de un </w:t>
      </w:r>
      <w:r w:rsidR="002840F1" w:rsidRPr="00E13CAA">
        <w:rPr>
          <w:rFonts w:ascii="Cambria" w:hAnsi="Cambria"/>
          <w:color w:val="000000" w:themeColor="text1"/>
          <w:sz w:val="20"/>
          <w:szCs w:val="20"/>
          <w:lang w:val="es-PE"/>
        </w:rPr>
        <w:t xml:space="preserve">presunto </w:t>
      </w:r>
      <w:r w:rsidR="00836E21" w:rsidRPr="00E13CAA">
        <w:rPr>
          <w:rFonts w:ascii="Cambria" w:hAnsi="Cambria"/>
          <w:color w:val="000000" w:themeColor="text1"/>
          <w:sz w:val="20"/>
          <w:szCs w:val="20"/>
          <w:lang w:val="es-PE"/>
        </w:rPr>
        <w:t>homicidio</w:t>
      </w:r>
      <w:r w:rsidR="002840F1" w:rsidRPr="00E13CAA">
        <w:rPr>
          <w:rStyle w:val="FootnoteReference"/>
          <w:rFonts w:ascii="Cambria" w:hAnsi="Cambria"/>
          <w:color w:val="000000" w:themeColor="text1"/>
          <w:sz w:val="20"/>
          <w:szCs w:val="20"/>
          <w:lang w:val="es-PE"/>
        </w:rPr>
        <w:footnoteReference w:id="53"/>
      </w:r>
      <w:r w:rsidR="002840F1" w:rsidRPr="00E13CAA">
        <w:rPr>
          <w:rFonts w:ascii="Cambria" w:hAnsi="Cambria"/>
          <w:color w:val="000000" w:themeColor="text1"/>
          <w:sz w:val="20"/>
          <w:szCs w:val="20"/>
          <w:lang w:val="es-PE"/>
        </w:rPr>
        <w:t>.</w:t>
      </w:r>
      <w:r w:rsidR="00836E21" w:rsidRPr="00E13CAA">
        <w:rPr>
          <w:rFonts w:ascii="Cambria" w:hAnsi="Cambria"/>
          <w:color w:val="000000" w:themeColor="text1"/>
          <w:sz w:val="20"/>
          <w:szCs w:val="20"/>
          <w:lang w:val="es-PE"/>
        </w:rPr>
        <w:t xml:space="preserve"> </w:t>
      </w:r>
    </w:p>
    <w:p w14:paraId="240732BE" w14:textId="77777777" w:rsidR="00C918CD" w:rsidRPr="00E13CAA" w:rsidRDefault="00C918CD"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PE"/>
        </w:rPr>
      </w:pPr>
    </w:p>
    <w:p w14:paraId="0AF2BC2E" w14:textId="1D46519D" w:rsidR="00075CE4" w:rsidRPr="00E13CAA" w:rsidRDefault="00836E21"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themeColor="text1"/>
          <w:sz w:val="20"/>
          <w:szCs w:val="20"/>
          <w:lang w:val="es-PE"/>
        </w:rPr>
      </w:pPr>
      <w:r w:rsidRPr="00E13CAA">
        <w:rPr>
          <w:rFonts w:ascii="Cambria" w:hAnsi="Cambria"/>
          <w:color w:val="000000" w:themeColor="text1"/>
          <w:sz w:val="20"/>
          <w:szCs w:val="20"/>
          <w:lang w:val="es-PE"/>
        </w:rPr>
        <w:t xml:space="preserve">El 15 de octubre de 1993 la Policía Nacional de Paraguay detuvo </w:t>
      </w:r>
      <w:r w:rsidR="0074387D" w:rsidRPr="00E13CAA">
        <w:rPr>
          <w:rFonts w:ascii="Cambria" w:hAnsi="Cambria"/>
          <w:color w:val="000000" w:themeColor="text1"/>
          <w:sz w:val="20"/>
          <w:szCs w:val="20"/>
          <w:lang w:val="es-PE"/>
        </w:rPr>
        <w:t xml:space="preserve">por error </w:t>
      </w:r>
      <w:r w:rsidRPr="00E13CAA">
        <w:rPr>
          <w:rFonts w:ascii="Cambria" w:hAnsi="Cambria"/>
          <w:color w:val="000000" w:themeColor="text1"/>
          <w:sz w:val="20"/>
          <w:szCs w:val="20"/>
          <w:lang w:val="es-PE"/>
        </w:rPr>
        <w:t xml:space="preserve">al ciudadano </w:t>
      </w:r>
      <w:r w:rsidR="00860860">
        <w:rPr>
          <w:rFonts w:ascii="Cambria" w:hAnsi="Cambria"/>
          <w:color w:val="000000" w:themeColor="text1"/>
          <w:sz w:val="20"/>
          <w:szCs w:val="20"/>
          <w:lang w:val="es-PE"/>
        </w:rPr>
        <w:t>brasileño</w:t>
      </w:r>
      <w:r w:rsidRPr="00E13CAA">
        <w:rPr>
          <w:rFonts w:ascii="Cambria" w:hAnsi="Cambria"/>
          <w:color w:val="000000" w:themeColor="text1"/>
          <w:sz w:val="20"/>
          <w:szCs w:val="20"/>
          <w:lang w:val="es-PE"/>
        </w:rPr>
        <w:t xml:space="preserve"> Jocimar Alves Silveira, </w:t>
      </w:r>
      <w:r w:rsidR="002B1AB3" w:rsidRPr="00E13CAA">
        <w:rPr>
          <w:rFonts w:ascii="Cambria" w:hAnsi="Cambria"/>
          <w:color w:val="000000" w:themeColor="text1"/>
          <w:sz w:val="20"/>
          <w:szCs w:val="20"/>
          <w:lang w:val="es-PE"/>
        </w:rPr>
        <w:t>a quien se confundió con</w:t>
      </w:r>
      <w:r w:rsidRPr="00E13CAA">
        <w:rPr>
          <w:rFonts w:ascii="Cambria" w:hAnsi="Cambria"/>
          <w:color w:val="000000" w:themeColor="text1"/>
          <w:sz w:val="20"/>
          <w:szCs w:val="20"/>
          <w:lang w:val="es-PE"/>
        </w:rPr>
        <w:t xml:space="preserve"> el procesado José Francisco Araulho</w:t>
      </w:r>
      <w:r w:rsidR="00003E53" w:rsidRPr="00E13CAA">
        <w:rPr>
          <w:rFonts w:ascii="Cambria" w:hAnsi="Cambria"/>
          <w:color w:val="000000" w:themeColor="text1"/>
          <w:sz w:val="20"/>
          <w:szCs w:val="20"/>
          <w:lang w:val="es-PE"/>
        </w:rPr>
        <w:t>. Luego de prestar su declaración</w:t>
      </w:r>
      <w:r w:rsidR="00A97BF0" w:rsidRPr="00E13CAA">
        <w:rPr>
          <w:rFonts w:ascii="Cambria" w:hAnsi="Cambria"/>
          <w:color w:val="000000" w:themeColor="text1"/>
          <w:sz w:val="20"/>
          <w:szCs w:val="20"/>
          <w:lang w:val="es-PE"/>
        </w:rPr>
        <w:t xml:space="preserve"> </w:t>
      </w:r>
      <w:r w:rsidRPr="00E13CAA">
        <w:rPr>
          <w:rFonts w:ascii="Cambria" w:hAnsi="Cambria"/>
          <w:color w:val="000000" w:themeColor="text1"/>
          <w:sz w:val="20"/>
          <w:szCs w:val="20"/>
          <w:lang w:val="es-PE"/>
        </w:rPr>
        <w:t xml:space="preserve">indagatoria </w:t>
      </w:r>
      <w:r w:rsidR="00A97BF0" w:rsidRPr="00E13CAA">
        <w:rPr>
          <w:rFonts w:ascii="Cambria" w:hAnsi="Cambria"/>
          <w:color w:val="000000" w:themeColor="text1"/>
          <w:sz w:val="20"/>
          <w:szCs w:val="20"/>
          <w:lang w:val="es-PE"/>
        </w:rPr>
        <w:t>y comprobar</w:t>
      </w:r>
      <w:r w:rsidR="006F3F2E" w:rsidRPr="00E13CAA">
        <w:rPr>
          <w:rFonts w:ascii="Cambria" w:hAnsi="Cambria"/>
          <w:color w:val="000000" w:themeColor="text1"/>
          <w:sz w:val="20"/>
          <w:szCs w:val="20"/>
          <w:lang w:val="es-PE"/>
        </w:rPr>
        <w:t xml:space="preserve"> su identidad, </w:t>
      </w:r>
      <w:r w:rsidRPr="00E13CAA">
        <w:rPr>
          <w:rFonts w:ascii="Cambria" w:hAnsi="Cambria"/>
          <w:color w:val="000000" w:themeColor="text1"/>
          <w:sz w:val="20"/>
          <w:szCs w:val="20"/>
          <w:lang w:val="es-PE"/>
        </w:rPr>
        <w:t xml:space="preserve">el </w:t>
      </w:r>
      <w:r w:rsidR="00A97BF0" w:rsidRPr="00E13CAA">
        <w:rPr>
          <w:rFonts w:ascii="Cambria" w:hAnsi="Cambria"/>
          <w:color w:val="000000" w:themeColor="text1"/>
          <w:sz w:val="20"/>
          <w:szCs w:val="20"/>
          <w:lang w:val="es-PE"/>
        </w:rPr>
        <w:t xml:space="preserve">21 de octubre de 1993 el </w:t>
      </w:r>
      <w:r w:rsidR="00980140">
        <w:rPr>
          <w:rFonts w:ascii="Cambria" w:hAnsi="Cambria"/>
          <w:color w:val="000000" w:themeColor="text1"/>
          <w:sz w:val="20"/>
          <w:szCs w:val="20"/>
          <w:lang w:val="es-PE"/>
        </w:rPr>
        <w:t>Juzgado</w:t>
      </w:r>
      <w:r w:rsidRPr="00E13CAA">
        <w:rPr>
          <w:rFonts w:ascii="Cambria" w:hAnsi="Cambria"/>
          <w:color w:val="000000" w:themeColor="text1"/>
          <w:sz w:val="20"/>
          <w:szCs w:val="20"/>
          <w:lang w:val="es-PE"/>
        </w:rPr>
        <w:t xml:space="preserve"> dispuso el levantamiento de la detención preventiva</w:t>
      </w:r>
      <w:r w:rsidR="00A97BF0" w:rsidRPr="00E13CAA">
        <w:rPr>
          <w:rStyle w:val="FootnoteReference"/>
          <w:rFonts w:ascii="Cambria" w:hAnsi="Cambria"/>
          <w:color w:val="000000" w:themeColor="text1"/>
          <w:sz w:val="20"/>
          <w:szCs w:val="20"/>
          <w:lang w:val="es-PE"/>
        </w:rPr>
        <w:footnoteReference w:id="54"/>
      </w:r>
      <w:r w:rsidR="00A97BF0" w:rsidRPr="00E13CAA">
        <w:rPr>
          <w:rFonts w:ascii="Cambria" w:hAnsi="Cambria"/>
          <w:color w:val="000000" w:themeColor="text1"/>
          <w:sz w:val="20"/>
          <w:szCs w:val="20"/>
          <w:lang w:val="es-PE"/>
        </w:rPr>
        <w:t>.</w:t>
      </w:r>
    </w:p>
    <w:p w14:paraId="37003291" w14:textId="77777777" w:rsidR="005B10E7" w:rsidRPr="00E13CAA" w:rsidRDefault="005B10E7"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PE"/>
        </w:rPr>
      </w:pPr>
    </w:p>
    <w:p w14:paraId="77B78EA2" w14:textId="2DB5B73F" w:rsidR="004D0286" w:rsidRPr="00E13CAA" w:rsidRDefault="00075CE4"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themeColor="text1"/>
          <w:sz w:val="20"/>
          <w:szCs w:val="20"/>
          <w:lang w:val="es-PE"/>
        </w:rPr>
      </w:pPr>
      <w:r w:rsidRPr="00E13CAA">
        <w:rPr>
          <w:rFonts w:ascii="Cambria" w:hAnsi="Cambria"/>
          <w:color w:val="000000" w:themeColor="text1"/>
          <w:sz w:val="20"/>
          <w:szCs w:val="20"/>
          <w:lang w:val="es-PE"/>
        </w:rPr>
        <w:t>Según la parte peticio</w:t>
      </w:r>
      <w:r w:rsidR="00381DA3" w:rsidRPr="00E13CAA">
        <w:rPr>
          <w:rFonts w:ascii="Cambria" w:hAnsi="Cambria"/>
          <w:color w:val="000000" w:themeColor="text1"/>
          <w:sz w:val="20"/>
          <w:szCs w:val="20"/>
          <w:lang w:val="es-PE"/>
        </w:rPr>
        <w:t>naria, e</w:t>
      </w:r>
      <w:r w:rsidR="00836E21" w:rsidRPr="00E13CAA">
        <w:rPr>
          <w:rFonts w:ascii="Cambria" w:hAnsi="Cambria"/>
          <w:color w:val="000000" w:themeColor="text1"/>
          <w:sz w:val="20"/>
          <w:szCs w:val="20"/>
          <w:lang w:val="es-PE"/>
        </w:rPr>
        <w:t xml:space="preserve">l 29 de agosto de 1996 el Juzgado de la causa se constituyó en el asiento del Poder Judicial de la ciudad de Ponta Porã para tomar declaración informativa al ciudadano brasileño José Paulo Dos Santos Galdino, sindicado por fuentes periodísticas y por investigaciones policiales </w:t>
      </w:r>
      <w:r w:rsidR="00860860">
        <w:rPr>
          <w:rFonts w:ascii="Cambria" w:hAnsi="Cambria"/>
          <w:color w:val="000000" w:themeColor="text1"/>
          <w:sz w:val="20"/>
          <w:szCs w:val="20"/>
          <w:lang w:val="es-PE"/>
        </w:rPr>
        <w:t>brasileña</w:t>
      </w:r>
      <w:r w:rsidR="00836E21" w:rsidRPr="00E13CAA">
        <w:rPr>
          <w:rFonts w:ascii="Cambria" w:hAnsi="Cambria"/>
          <w:color w:val="000000" w:themeColor="text1"/>
          <w:sz w:val="20"/>
          <w:szCs w:val="20"/>
          <w:lang w:val="es-PE"/>
        </w:rPr>
        <w:t>s del Estado de Mato Grosso como un presunto autor material del asesinato de Leguizamón, pero que no estaba procesado formalmente en el marco de la causa</w:t>
      </w:r>
      <w:r w:rsidR="001C57A1" w:rsidRPr="00E13CAA">
        <w:rPr>
          <w:rFonts w:ascii="Cambria" w:hAnsi="Cambria"/>
          <w:color w:val="000000" w:themeColor="text1"/>
          <w:sz w:val="20"/>
          <w:szCs w:val="20"/>
          <w:lang w:val="es-PE"/>
        </w:rPr>
        <w:t xml:space="preserve">. </w:t>
      </w:r>
      <w:r w:rsidR="001A1502" w:rsidRPr="00E13CAA">
        <w:rPr>
          <w:rFonts w:ascii="Cambria" w:hAnsi="Cambria"/>
          <w:color w:val="000000" w:themeColor="text1"/>
          <w:sz w:val="20"/>
          <w:szCs w:val="20"/>
          <w:lang w:val="es-PE"/>
        </w:rPr>
        <w:t>Aquel se encontraba</w:t>
      </w:r>
      <w:r w:rsidR="00EC4EAB" w:rsidRPr="00E13CAA">
        <w:rPr>
          <w:rFonts w:ascii="Cambria" w:hAnsi="Cambria"/>
          <w:color w:val="000000" w:themeColor="text1"/>
          <w:sz w:val="20"/>
          <w:szCs w:val="20"/>
          <w:lang w:val="es-PE"/>
        </w:rPr>
        <w:t xml:space="preserve"> cumpliendo</w:t>
      </w:r>
      <w:r w:rsidR="00836E21" w:rsidRPr="00E13CAA">
        <w:rPr>
          <w:rFonts w:ascii="Cambria" w:hAnsi="Cambria"/>
          <w:color w:val="000000" w:themeColor="text1"/>
          <w:sz w:val="20"/>
          <w:szCs w:val="20"/>
          <w:lang w:val="es-PE"/>
        </w:rPr>
        <w:t xml:space="preserve"> una condena de 22 años de prisión por el delito de homicidio, impuesta por los tribunales del Brasil. El 10 de septiembre de 1996 el fiscal de la causa reiteró al Juzgado la solicitud de procesamiento penal del señor Dos Santos Galdino, ofreciendo como pruebas las declaraciones incriminatorias en su contra que existían en fuentes de la policía brasileña</w:t>
      </w:r>
      <w:r w:rsidR="00447F53" w:rsidRPr="00E13CAA">
        <w:rPr>
          <w:rFonts w:ascii="Cambria" w:hAnsi="Cambria"/>
          <w:color w:val="000000" w:themeColor="text1"/>
          <w:sz w:val="20"/>
          <w:szCs w:val="20"/>
          <w:lang w:val="es-PE"/>
        </w:rPr>
        <w:t>. E</w:t>
      </w:r>
      <w:r w:rsidR="00836E21" w:rsidRPr="00E13CAA">
        <w:rPr>
          <w:rFonts w:ascii="Cambria" w:hAnsi="Cambria"/>
          <w:color w:val="000000" w:themeColor="text1"/>
          <w:sz w:val="20"/>
          <w:szCs w:val="20"/>
          <w:lang w:val="es-PE"/>
        </w:rPr>
        <w:t xml:space="preserve">l 26 de septiembre de 1997 el Juzgado amplió el sumario </w:t>
      </w:r>
      <w:r w:rsidR="004D0286" w:rsidRPr="00E13CAA">
        <w:rPr>
          <w:rFonts w:ascii="Cambria" w:hAnsi="Cambria"/>
          <w:color w:val="000000" w:themeColor="text1"/>
          <w:sz w:val="20"/>
          <w:szCs w:val="20"/>
          <w:lang w:val="es-PE"/>
        </w:rPr>
        <w:t>y lo</w:t>
      </w:r>
      <w:r w:rsidR="00836E21" w:rsidRPr="00E13CAA">
        <w:rPr>
          <w:rFonts w:ascii="Cambria" w:hAnsi="Cambria"/>
          <w:color w:val="000000" w:themeColor="text1"/>
          <w:sz w:val="20"/>
          <w:szCs w:val="20"/>
          <w:lang w:val="es-PE"/>
        </w:rPr>
        <w:t xml:space="preserve"> incluyó como procesado, decretando su detención preventiva</w:t>
      </w:r>
      <w:r w:rsidR="004D0286" w:rsidRPr="00E13CAA">
        <w:rPr>
          <w:rStyle w:val="FootnoteReference"/>
          <w:rFonts w:ascii="Cambria" w:hAnsi="Cambria"/>
          <w:color w:val="000000" w:themeColor="text1"/>
          <w:sz w:val="20"/>
          <w:szCs w:val="20"/>
          <w:lang w:val="es-PE"/>
        </w:rPr>
        <w:footnoteReference w:id="55"/>
      </w:r>
      <w:r w:rsidR="004D0286" w:rsidRPr="00E13CAA">
        <w:rPr>
          <w:rFonts w:ascii="Cambria" w:hAnsi="Cambria"/>
          <w:color w:val="000000" w:themeColor="text1"/>
          <w:sz w:val="20"/>
          <w:szCs w:val="20"/>
          <w:lang w:val="es-PE"/>
        </w:rPr>
        <w:t>.</w:t>
      </w:r>
    </w:p>
    <w:p w14:paraId="13F3DF60" w14:textId="77777777" w:rsidR="00041BDC" w:rsidRPr="00E13CAA" w:rsidRDefault="00041BDC"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PE"/>
        </w:rPr>
      </w:pPr>
    </w:p>
    <w:p w14:paraId="1B9E02EA" w14:textId="2F43C31B" w:rsidR="00424292" w:rsidRPr="00E13CAA" w:rsidRDefault="00836E21"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themeColor="text1"/>
          <w:sz w:val="20"/>
          <w:szCs w:val="20"/>
          <w:lang w:val="es-PE"/>
        </w:rPr>
      </w:pPr>
      <w:r w:rsidRPr="00E13CAA">
        <w:rPr>
          <w:rFonts w:ascii="Cambria" w:hAnsi="Cambria"/>
          <w:color w:val="000000" w:themeColor="text1"/>
          <w:sz w:val="20"/>
          <w:szCs w:val="20"/>
          <w:lang w:val="es-PE"/>
        </w:rPr>
        <w:t xml:space="preserve">El 5 de septiembre de 1996 </w:t>
      </w:r>
      <w:r w:rsidR="00B4562E" w:rsidRPr="00E13CAA">
        <w:rPr>
          <w:rFonts w:ascii="Cambria" w:hAnsi="Cambria"/>
          <w:color w:val="000000" w:themeColor="text1"/>
          <w:sz w:val="20"/>
          <w:szCs w:val="20"/>
          <w:lang w:val="es-PE"/>
        </w:rPr>
        <w:t xml:space="preserve">el procesado Luis Enrique Rodríguez Georges de nacionalidad </w:t>
      </w:r>
      <w:r w:rsidR="00860860">
        <w:rPr>
          <w:rFonts w:ascii="Cambria" w:hAnsi="Cambria"/>
          <w:color w:val="000000" w:themeColor="text1"/>
          <w:sz w:val="20"/>
          <w:szCs w:val="20"/>
          <w:lang w:val="es-PE"/>
        </w:rPr>
        <w:t>brasileña</w:t>
      </w:r>
      <w:r w:rsidR="00B4562E" w:rsidRPr="00E13CAA">
        <w:rPr>
          <w:rFonts w:ascii="Cambria" w:hAnsi="Cambria"/>
          <w:color w:val="000000" w:themeColor="text1"/>
          <w:sz w:val="20"/>
          <w:szCs w:val="20"/>
          <w:lang w:val="es-PE"/>
        </w:rPr>
        <w:t xml:space="preserve"> se </w:t>
      </w:r>
      <w:r w:rsidRPr="00E13CAA">
        <w:rPr>
          <w:rFonts w:ascii="Cambria" w:hAnsi="Cambria"/>
          <w:color w:val="000000" w:themeColor="text1"/>
          <w:sz w:val="20"/>
          <w:szCs w:val="20"/>
          <w:lang w:val="es-PE"/>
        </w:rPr>
        <w:t>puso a disposición del Juzgado</w:t>
      </w:r>
      <w:r w:rsidR="00DD5DEE" w:rsidRPr="00E13CAA">
        <w:rPr>
          <w:rFonts w:ascii="Cambria" w:hAnsi="Cambria"/>
          <w:color w:val="000000" w:themeColor="text1"/>
          <w:sz w:val="20"/>
          <w:szCs w:val="20"/>
          <w:lang w:val="es-PE"/>
        </w:rPr>
        <w:t xml:space="preserve"> de Pedro Juan Caballero</w:t>
      </w:r>
      <w:r w:rsidRPr="00E13CAA">
        <w:rPr>
          <w:rFonts w:ascii="Cambria" w:hAnsi="Cambria"/>
          <w:color w:val="000000" w:themeColor="text1"/>
          <w:sz w:val="20"/>
          <w:szCs w:val="20"/>
          <w:lang w:val="es-PE"/>
        </w:rPr>
        <w:t xml:space="preserve">, </w:t>
      </w:r>
      <w:r w:rsidR="008A1BA2" w:rsidRPr="00E13CAA">
        <w:rPr>
          <w:rFonts w:ascii="Cambria" w:hAnsi="Cambria"/>
          <w:color w:val="000000" w:themeColor="text1"/>
          <w:sz w:val="20"/>
          <w:szCs w:val="20"/>
          <w:lang w:val="es-PE"/>
        </w:rPr>
        <w:t xml:space="preserve">el cual ordenó su detención ese mismo día y recabó su </w:t>
      </w:r>
      <w:r w:rsidRPr="00E13CAA">
        <w:rPr>
          <w:rFonts w:ascii="Cambria" w:hAnsi="Cambria"/>
          <w:color w:val="000000" w:themeColor="text1"/>
          <w:sz w:val="20"/>
          <w:szCs w:val="20"/>
          <w:lang w:val="es-PE"/>
        </w:rPr>
        <w:t>declaración indagatoria</w:t>
      </w:r>
      <w:r w:rsidR="0051546E" w:rsidRPr="00E13CAA">
        <w:rPr>
          <w:rFonts w:ascii="Cambria" w:hAnsi="Cambria"/>
          <w:color w:val="000000" w:themeColor="text1"/>
          <w:sz w:val="20"/>
          <w:szCs w:val="20"/>
          <w:lang w:val="es-PE"/>
        </w:rPr>
        <w:t xml:space="preserve">. </w:t>
      </w:r>
      <w:r w:rsidR="00010A63" w:rsidRPr="00E13CAA">
        <w:rPr>
          <w:rFonts w:ascii="Cambria" w:hAnsi="Cambria"/>
          <w:color w:val="000000" w:themeColor="text1"/>
          <w:sz w:val="20"/>
          <w:szCs w:val="20"/>
          <w:lang w:val="es-PE"/>
        </w:rPr>
        <w:t>Ese mismo día</w:t>
      </w:r>
      <w:r w:rsidRPr="00E13CAA">
        <w:rPr>
          <w:rFonts w:ascii="Cambria" w:hAnsi="Cambria"/>
          <w:color w:val="000000" w:themeColor="text1"/>
          <w:sz w:val="20"/>
          <w:szCs w:val="20"/>
          <w:lang w:val="es-PE"/>
        </w:rPr>
        <w:t xml:space="preserve"> el Juzgado ordenó levantar la detención preventiva del procesado y disponer su libertad</w:t>
      </w:r>
      <w:r w:rsidR="00CC2CCC" w:rsidRPr="00E13CAA">
        <w:rPr>
          <w:rFonts w:ascii="Cambria" w:hAnsi="Cambria"/>
          <w:color w:val="000000" w:themeColor="text1"/>
          <w:sz w:val="20"/>
          <w:szCs w:val="20"/>
          <w:lang w:val="es-PE"/>
        </w:rPr>
        <w:t xml:space="preserve"> debido a la falta de elementos incriminatorios, sin desvincularlo del proceso. No se decretó </w:t>
      </w:r>
      <w:r w:rsidRPr="00E13CAA">
        <w:rPr>
          <w:rFonts w:ascii="Cambria" w:hAnsi="Cambria"/>
          <w:color w:val="000000" w:themeColor="text1"/>
          <w:sz w:val="20"/>
          <w:szCs w:val="20"/>
          <w:lang w:val="es-PE"/>
        </w:rPr>
        <w:t>otra medida cautelar en el marco del juicio</w:t>
      </w:r>
      <w:r w:rsidR="00950B3A" w:rsidRPr="00E13CAA">
        <w:rPr>
          <w:rFonts w:ascii="Cambria" w:hAnsi="Cambria"/>
          <w:color w:val="000000" w:themeColor="text1"/>
          <w:sz w:val="20"/>
          <w:szCs w:val="20"/>
          <w:lang w:val="es-PE"/>
        </w:rPr>
        <w:t>. Según la parte peticionaria, n</w:t>
      </w:r>
      <w:r w:rsidRPr="00E13CAA">
        <w:rPr>
          <w:rFonts w:ascii="Cambria" w:hAnsi="Cambria"/>
          <w:color w:val="000000" w:themeColor="text1"/>
          <w:sz w:val="20"/>
          <w:szCs w:val="20"/>
          <w:lang w:val="es-PE"/>
        </w:rPr>
        <w:t>inguna otra diligencia de investigación se efectuó respecto de este procesado en el transcurso de la causa</w:t>
      </w:r>
      <w:r w:rsidR="00950B3A" w:rsidRPr="00E13CAA">
        <w:rPr>
          <w:rStyle w:val="FootnoteReference"/>
          <w:rFonts w:ascii="Cambria" w:hAnsi="Cambria"/>
          <w:color w:val="000000" w:themeColor="text1"/>
          <w:sz w:val="20"/>
          <w:szCs w:val="20"/>
          <w:lang w:val="es-PE"/>
        </w:rPr>
        <w:footnoteReference w:id="56"/>
      </w:r>
      <w:r w:rsidRPr="00E13CAA">
        <w:rPr>
          <w:rFonts w:ascii="Cambria" w:hAnsi="Cambria"/>
          <w:color w:val="000000" w:themeColor="text1"/>
          <w:sz w:val="20"/>
          <w:szCs w:val="20"/>
          <w:lang w:val="es-PE"/>
        </w:rPr>
        <w:t xml:space="preserve">. </w:t>
      </w:r>
    </w:p>
    <w:p w14:paraId="195AD252" w14:textId="77777777" w:rsidR="002C6D1A" w:rsidRPr="00E13CAA" w:rsidRDefault="002C6D1A"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PE"/>
        </w:rPr>
      </w:pPr>
    </w:p>
    <w:p w14:paraId="1A970D77" w14:textId="0F2AA3BE" w:rsidR="002C6D1A" w:rsidRPr="00E13CAA" w:rsidRDefault="005E681A"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themeColor="text1"/>
          <w:sz w:val="20"/>
          <w:szCs w:val="20"/>
          <w:lang w:val="es-PE"/>
        </w:rPr>
      </w:pPr>
      <w:r w:rsidRPr="00E13CAA">
        <w:rPr>
          <w:rFonts w:ascii="Cambria" w:hAnsi="Cambria"/>
          <w:color w:val="000000" w:themeColor="text1"/>
          <w:sz w:val="20"/>
          <w:szCs w:val="20"/>
          <w:lang w:val="es-PE"/>
        </w:rPr>
        <w:t xml:space="preserve">La parte peticionaria </w:t>
      </w:r>
      <w:r w:rsidR="005471DD" w:rsidRPr="00E13CAA">
        <w:rPr>
          <w:rFonts w:ascii="Cambria" w:hAnsi="Cambria"/>
          <w:color w:val="000000" w:themeColor="text1"/>
          <w:sz w:val="20"/>
          <w:szCs w:val="20"/>
          <w:lang w:val="es-PE"/>
        </w:rPr>
        <w:t>señaló que</w:t>
      </w:r>
      <w:r w:rsidR="001439DD" w:rsidRPr="00E13CAA">
        <w:rPr>
          <w:rFonts w:ascii="Cambria" w:hAnsi="Cambria"/>
          <w:color w:val="000000" w:themeColor="text1"/>
          <w:sz w:val="20"/>
          <w:szCs w:val="20"/>
          <w:lang w:val="es-PE"/>
        </w:rPr>
        <w:t>,</w:t>
      </w:r>
      <w:r w:rsidR="005471DD" w:rsidRPr="00E13CAA">
        <w:rPr>
          <w:rFonts w:ascii="Cambria" w:hAnsi="Cambria"/>
          <w:color w:val="000000" w:themeColor="text1"/>
          <w:sz w:val="20"/>
          <w:szCs w:val="20"/>
          <w:lang w:val="es-PE"/>
        </w:rPr>
        <w:t xml:space="preserve"> de conformidad con el expediente de la causa, el Ju</w:t>
      </w:r>
      <w:r w:rsidR="00836E21" w:rsidRPr="00E13CAA">
        <w:rPr>
          <w:rFonts w:ascii="Cambria" w:hAnsi="Cambria"/>
          <w:color w:val="000000" w:themeColor="text1"/>
          <w:sz w:val="20"/>
          <w:szCs w:val="20"/>
          <w:lang w:val="es-PE"/>
        </w:rPr>
        <w:t xml:space="preserve">zgado rechazó la </w:t>
      </w:r>
      <w:r w:rsidR="00164218" w:rsidRPr="00E13CAA">
        <w:rPr>
          <w:rFonts w:ascii="Cambria" w:hAnsi="Cambria"/>
          <w:color w:val="000000" w:themeColor="text1"/>
          <w:sz w:val="20"/>
          <w:szCs w:val="20"/>
          <w:lang w:val="es-PE"/>
        </w:rPr>
        <w:t>i</w:t>
      </w:r>
      <w:r w:rsidR="00836E21" w:rsidRPr="00E13CAA">
        <w:rPr>
          <w:rFonts w:ascii="Cambria" w:hAnsi="Cambria"/>
          <w:color w:val="000000" w:themeColor="text1"/>
          <w:sz w:val="20"/>
          <w:szCs w:val="20"/>
          <w:lang w:val="es-PE"/>
        </w:rPr>
        <w:t xml:space="preserve">ncorporación </w:t>
      </w:r>
      <w:r w:rsidR="004069D8">
        <w:rPr>
          <w:rFonts w:ascii="Cambria" w:hAnsi="Cambria"/>
          <w:color w:val="000000" w:themeColor="text1"/>
          <w:sz w:val="20"/>
          <w:szCs w:val="20"/>
          <w:lang w:val="es-PE"/>
        </w:rPr>
        <w:t xml:space="preserve">de </w:t>
      </w:r>
      <w:r w:rsidR="00836E21" w:rsidRPr="00E13CAA">
        <w:rPr>
          <w:rFonts w:ascii="Cambria" w:hAnsi="Cambria"/>
          <w:color w:val="000000" w:themeColor="text1"/>
          <w:sz w:val="20"/>
          <w:szCs w:val="20"/>
          <w:lang w:val="es-PE"/>
        </w:rPr>
        <w:t xml:space="preserve">informes </w:t>
      </w:r>
      <w:r w:rsidR="00BA7561" w:rsidRPr="00E13CAA">
        <w:rPr>
          <w:rFonts w:ascii="Cambria" w:hAnsi="Cambria"/>
          <w:color w:val="000000" w:themeColor="text1"/>
          <w:sz w:val="20"/>
          <w:szCs w:val="20"/>
          <w:lang w:val="es-PE"/>
        </w:rPr>
        <w:t>de</w:t>
      </w:r>
      <w:r w:rsidR="00836E21" w:rsidRPr="00E13CAA">
        <w:rPr>
          <w:rFonts w:ascii="Cambria" w:hAnsi="Cambria"/>
          <w:color w:val="000000" w:themeColor="text1"/>
          <w:sz w:val="20"/>
          <w:szCs w:val="20"/>
          <w:lang w:val="es-PE"/>
        </w:rPr>
        <w:t>l agente fiscal provenientes de la Policía brasileña del Estado de Mato Grosso</w:t>
      </w:r>
      <w:r w:rsidR="004069D8" w:rsidRPr="004069D8">
        <w:rPr>
          <w:rFonts w:ascii="Cambria" w:hAnsi="Cambria"/>
          <w:color w:val="000000" w:themeColor="text1"/>
          <w:sz w:val="20"/>
          <w:szCs w:val="20"/>
          <w:lang w:val="es-PE"/>
        </w:rPr>
        <w:t xml:space="preserve"> </w:t>
      </w:r>
      <w:r w:rsidR="004069D8" w:rsidRPr="00E13CAA">
        <w:rPr>
          <w:rFonts w:ascii="Cambria" w:hAnsi="Cambria"/>
          <w:color w:val="000000" w:themeColor="text1"/>
          <w:sz w:val="20"/>
          <w:szCs w:val="20"/>
          <w:lang w:val="es-PE"/>
        </w:rPr>
        <w:t>como prueba</w:t>
      </w:r>
      <w:r w:rsidR="00836E21" w:rsidRPr="00E13CAA">
        <w:rPr>
          <w:rFonts w:ascii="Cambria" w:hAnsi="Cambria"/>
          <w:color w:val="000000" w:themeColor="text1"/>
          <w:sz w:val="20"/>
          <w:szCs w:val="20"/>
          <w:lang w:val="es-PE"/>
        </w:rPr>
        <w:t>, en las que algunos de los procesados daban declaraciones inculpatorias, por no estar traducidas del portugués</w:t>
      </w:r>
      <w:r w:rsidR="00075EBE" w:rsidRPr="00E13CAA">
        <w:rPr>
          <w:rStyle w:val="FootnoteReference"/>
          <w:rFonts w:ascii="Cambria" w:hAnsi="Cambria"/>
          <w:color w:val="000000" w:themeColor="text1"/>
          <w:sz w:val="20"/>
          <w:szCs w:val="20"/>
          <w:lang w:val="es-PE"/>
        </w:rPr>
        <w:footnoteReference w:id="57"/>
      </w:r>
      <w:r w:rsidR="00075EBE" w:rsidRPr="00E13CAA">
        <w:rPr>
          <w:rFonts w:ascii="Cambria" w:hAnsi="Cambria"/>
          <w:color w:val="000000" w:themeColor="text1"/>
          <w:sz w:val="20"/>
          <w:szCs w:val="20"/>
          <w:lang w:val="es-PE"/>
        </w:rPr>
        <w:t>. El Estado no controvirtió lo anterior.</w:t>
      </w:r>
    </w:p>
    <w:p w14:paraId="75BB93FA" w14:textId="77777777" w:rsidR="002C6D1A" w:rsidRPr="00E13CAA" w:rsidRDefault="002C6D1A"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PE"/>
        </w:rPr>
      </w:pPr>
    </w:p>
    <w:p w14:paraId="33C1FC95" w14:textId="77E43200" w:rsidR="009F3182" w:rsidRPr="00E13CAA" w:rsidRDefault="00BE551B"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themeColor="text1"/>
          <w:sz w:val="20"/>
          <w:szCs w:val="20"/>
          <w:lang w:val="es-PE"/>
        </w:rPr>
      </w:pPr>
      <w:r w:rsidRPr="00E13CAA">
        <w:rPr>
          <w:rFonts w:ascii="Cambria" w:hAnsi="Cambria"/>
          <w:color w:val="000000" w:themeColor="text1"/>
          <w:sz w:val="20"/>
          <w:szCs w:val="20"/>
          <w:lang w:val="es-PE"/>
        </w:rPr>
        <w:t>El 14 de mayo de 1992</w:t>
      </w:r>
      <w:r w:rsidR="0062678E" w:rsidRPr="00E13CAA">
        <w:rPr>
          <w:rFonts w:ascii="Cambria" w:hAnsi="Cambria"/>
          <w:color w:val="000000" w:themeColor="text1"/>
          <w:sz w:val="20"/>
          <w:szCs w:val="20"/>
          <w:lang w:val="es-PE"/>
        </w:rPr>
        <w:t xml:space="preserve"> el fiscal del caso pidió al Juzgado llamar a declarar </w:t>
      </w:r>
      <w:r w:rsidR="00875865" w:rsidRPr="00E13CAA">
        <w:rPr>
          <w:rFonts w:ascii="Cambria" w:hAnsi="Cambria"/>
          <w:color w:val="000000" w:themeColor="text1"/>
          <w:sz w:val="20"/>
          <w:szCs w:val="20"/>
          <w:lang w:val="es-PE"/>
        </w:rPr>
        <w:t>a una testigo que mencionó a</w:t>
      </w:r>
      <w:r w:rsidR="00922C2E" w:rsidRPr="00E13CAA">
        <w:rPr>
          <w:rFonts w:ascii="Cambria" w:hAnsi="Cambria"/>
          <w:color w:val="000000" w:themeColor="text1"/>
          <w:sz w:val="20"/>
          <w:szCs w:val="20"/>
          <w:lang w:val="es-PE"/>
        </w:rPr>
        <w:t xml:space="preserve"> </w:t>
      </w:r>
      <w:r w:rsidR="00FD2E69" w:rsidRPr="00E13CAA">
        <w:rPr>
          <w:rFonts w:ascii="Cambria" w:hAnsi="Cambria"/>
          <w:color w:val="000000" w:themeColor="text1"/>
          <w:sz w:val="20"/>
          <w:szCs w:val="20"/>
          <w:lang w:val="es-PE"/>
        </w:rPr>
        <w:t>Fernando Mendonca como p</w:t>
      </w:r>
      <w:r w:rsidR="00CE57A1" w:rsidRPr="00E13CAA">
        <w:rPr>
          <w:rFonts w:ascii="Cambria" w:hAnsi="Cambria"/>
          <w:color w:val="000000" w:themeColor="text1"/>
          <w:sz w:val="20"/>
          <w:szCs w:val="20"/>
          <w:lang w:val="es-PE"/>
        </w:rPr>
        <w:t>resunto</w:t>
      </w:r>
      <w:r w:rsidR="00FD2E69" w:rsidRPr="00E13CAA">
        <w:rPr>
          <w:rFonts w:ascii="Cambria" w:hAnsi="Cambria"/>
          <w:color w:val="000000" w:themeColor="text1"/>
          <w:sz w:val="20"/>
          <w:szCs w:val="20"/>
          <w:lang w:val="es-PE"/>
        </w:rPr>
        <w:t xml:space="preserve"> autor </w:t>
      </w:r>
      <w:r w:rsidR="00BA7332" w:rsidRPr="00E13CAA">
        <w:rPr>
          <w:rFonts w:ascii="Cambria" w:hAnsi="Cambria"/>
          <w:color w:val="000000" w:themeColor="text1"/>
          <w:sz w:val="20"/>
          <w:szCs w:val="20"/>
          <w:lang w:val="es-PE"/>
        </w:rPr>
        <w:t xml:space="preserve">intelectual </w:t>
      </w:r>
      <w:r w:rsidR="00FD2E69" w:rsidRPr="00E13CAA">
        <w:rPr>
          <w:rFonts w:ascii="Cambria" w:hAnsi="Cambria"/>
          <w:color w:val="000000" w:themeColor="text1"/>
          <w:sz w:val="20"/>
          <w:szCs w:val="20"/>
          <w:lang w:val="es-PE"/>
        </w:rPr>
        <w:t xml:space="preserve">del </w:t>
      </w:r>
      <w:r w:rsidR="00007E78">
        <w:rPr>
          <w:rFonts w:ascii="Cambria" w:hAnsi="Cambria"/>
          <w:color w:val="000000" w:themeColor="text1"/>
          <w:sz w:val="20"/>
          <w:szCs w:val="20"/>
          <w:lang w:val="es-PE"/>
        </w:rPr>
        <w:t>asesinato de Santiago Leguizamón</w:t>
      </w:r>
      <w:r w:rsidR="00FD2E69" w:rsidRPr="00E13CAA">
        <w:rPr>
          <w:rFonts w:ascii="Cambria" w:hAnsi="Cambria"/>
          <w:color w:val="000000" w:themeColor="text1"/>
          <w:sz w:val="20"/>
          <w:szCs w:val="20"/>
          <w:lang w:val="es-PE"/>
        </w:rPr>
        <w:t>, luego de la pu</w:t>
      </w:r>
      <w:r w:rsidR="007F3050" w:rsidRPr="00E13CAA">
        <w:rPr>
          <w:rFonts w:ascii="Cambria" w:hAnsi="Cambria"/>
          <w:color w:val="000000" w:themeColor="text1"/>
          <w:sz w:val="20"/>
          <w:szCs w:val="20"/>
          <w:lang w:val="es-PE"/>
        </w:rPr>
        <w:t>b</w:t>
      </w:r>
      <w:r w:rsidR="00FD2E69" w:rsidRPr="00E13CAA">
        <w:rPr>
          <w:rFonts w:ascii="Cambria" w:hAnsi="Cambria"/>
          <w:color w:val="000000" w:themeColor="text1"/>
          <w:sz w:val="20"/>
          <w:szCs w:val="20"/>
          <w:lang w:val="es-PE"/>
        </w:rPr>
        <w:t>licación de una nota de prensa</w:t>
      </w:r>
      <w:r w:rsidR="007F3050" w:rsidRPr="00E13CAA">
        <w:rPr>
          <w:rStyle w:val="FootnoteReference"/>
          <w:rFonts w:ascii="Cambria" w:hAnsi="Cambria"/>
          <w:color w:val="000000" w:themeColor="text1"/>
          <w:sz w:val="20"/>
          <w:szCs w:val="20"/>
          <w:lang w:val="es-PE"/>
        </w:rPr>
        <w:footnoteReference w:id="58"/>
      </w:r>
      <w:r w:rsidR="00FD2E69" w:rsidRPr="00E13CAA">
        <w:rPr>
          <w:rFonts w:ascii="Cambria" w:hAnsi="Cambria"/>
          <w:color w:val="000000" w:themeColor="text1"/>
          <w:sz w:val="20"/>
          <w:szCs w:val="20"/>
          <w:lang w:val="es-PE"/>
        </w:rPr>
        <w:t xml:space="preserve">. </w:t>
      </w:r>
      <w:r w:rsidR="009C088C" w:rsidRPr="00E13CAA">
        <w:rPr>
          <w:rFonts w:ascii="Cambria" w:hAnsi="Cambria"/>
          <w:color w:val="000000" w:themeColor="text1"/>
          <w:sz w:val="20"/>
          <w:szCs w:val="20"/>
          <w:lang w:val="es-PE"/>
        </w:rPr>
        <w:t xml:space="preserve">Según la parte peticionaria, el 5 </w:t>
      </w:r>
      <w:r w:rsidR="00836E21" w:rsidRPr="00E13CAA">
        <w:rPr>
          <w:rFonts w:ascii="Cambria" w:hAnsi="Cambria"/>
          <w:color w:val="000000" w:themeColor="text1"/>
          <w:sz w:val="20"/>
          <w:szCs w:val="20"/>
          <w:lang w:val="es-PE"/>
        </w:rPr>
        <w:t xml:space="preserve">de noviembre de 1997 el Ministerio Público solicitó </w:t>
      </w:r>
      <w:r w:rsidR="00B0722E" w:rsidRPr="00E13CAA">
        <w:rPr>
          <w:rFonts w:ascii="Cambria" w:hAnsi="Cambria"/>
          <w:color w:val="000000" w:themeColor="text1"/>
          <w:sz w:val="20"/>
          <w:szCs w:val="20"/>
          <w:lang w:val="es-PE"/>
        </w:rPr>
        <w:t>su</w:t>
      </w:r>
      <w:r w:rsidR="00836E21" w:rsidRPr="00E13CAA">
        <w:rPr>
          <w:rFonts w:ascii="Cambria" w:hAnsi="Cambria"/>
          <w:color w:val="000000" w:themeColor="text1"/>
          <w:sz w:val="20"/>
          <w:szCs w:val="20"/>
          <w:lang w:val="es-PE"/>
        </w:rPr>
        <w:t xml:space="preserve"> procesamiento penal, sindicado como presunto autor </w:t>
      </w:r>
      <w:r w:rsidR="00BA7332" w:rsidRPr="00E13CAA">
        <w:rPr>
          <w:rFonts w:ascii="Cambria" w:hAnsi="Cambria"/>
          <w:color w:val="000000" w:themeColor="text1"/>
          <w:sz w:val="20"/>
          <w:szCs w:val="20"/>
          <w:lang w:val="es-PE"/>
        </w:rPr>
        <w:t>intelectual d</w:t>
      </w:r>
      <w:r w:rsidR="00836E21" w:rsidRPr="00E13CAA">
        <w:rPr>
          <w:rFonts w:ascii="Cambria" w:hAnsi="Cambria"/>
          <w:color w:val="000000" w:themeColor="text1"/>
          <w:sz w:val="20"/>
          <w:szCs w:val="20"/>
          <w:lang w:val="es-PE"/>
        </w:rPr>
        <w:t>el</w:t>
      </w:r>
      <w:r w:rsidR="00BA7332" w:rsidRPr="00E13CAA">
        <w:rPr>
          <w:rFonts w:ascii="Cambria" w:hAnsi="Cambria"/>
          <w:color w:val="000000" w:themeColor="text1"/>
          <w:sz w:val="20"/>
          <w:szCs w:val="20"/>
          <w:lang w:val="es-PE"/>
        </w:rPr>
        <w:t xml:space="preserve"> asesinato contra e</w:t>
      </w:r>
      <w:r w:rsidR="00836E21" w:rsidRPr="00E13CAA">
        <w:rPr>
          <w:rFonts w:ascii="Cambria" w:hAnsi="Cambria"/>
          <w:color w:val="000000" w:themeColor="text1"/>
          <w:sz w:val="20"/>
          <w:szCs w:val="20"/>
          <w:lang w:val="es-PE"/>
        </w:rPr>
        <w:t xml:space="preserve">l periodista, a partir de las declaraciones brindadas por un testigo periodista de radio Mburucuyá. El 8 de abril de 1998 el Juzgado </w:t>
      </w:r>
      <w:r w:rsidR="003117FB" w:rsidRPr="00E13CAA">
        <w:rPr>
          <w:rFonts w:ascii="Cambria" w:hAnsi="Cambria"/>
          <w:color w:val="000000" w:themeColor="text1"/>
          <w:sz w:val="20"/>
          <w:szCs w:val="20"/>
          <w:lang w:val="es-PE"/>
        </w:rPr>
        <w:t>volvió a</w:t>
      </w:r>
      <w:r w:rsidR="00836E21" w:rsidRPr="00E13CAA">
        <w:rPr>
          <w:rFonts w:ascii="Cambria" w:hAnsi="Cambria"/>
          <w:color w:val="000000" w:themeColor="text1"/>
          <w:sz w:val="20"/>
          <w:szCs w:val="20"/>
          <w:lang w:val="es-PE"/>
        </w:rPr>
        <w:t xml:space="preserve"> ampliar el sumario y decret</w:t>
      </w:r>
      <w:r w:rsidR="003F391D" w:rsidRPr="00E13CAA">
        <w:rPr>
          <w:rFonts w:ascii="Cambria" w:hAnsi="Cambria"/>
          <w:color w:val="000000" w:themeColor="text1"/>
          <w:sz w:val="20"/>
          <w:szCs w:val="20"/>
          <w:lang w:val="es-PE"/>
        </w:rPr>
        <w:t>ó</w:t>
      </w:r>
      <w:r w:rsidR="00836E21" w:rsidRPr="00E13CAA">
        <w:rPr>
          <w:rFonts w:ascii="Cambria" w:hAnsi="Cambria"/>
          <w:color w:val="000000" w:themeColor="text1"/>
          <w:sz w:val="20"/>
          <w:szCs w:val="20"/>
          <w:lang w:val="es-PE"/>
        </w:rPr>
        <w:t xml:space="preserve"> el procesamiento penal de Fernando Enrique Mendonça Alcorta</w:t>
      </w:r>
      <w:r w:rsidR="003F4150" w:rsidRPr="00E13CAA">
        <w:rPr>
          <w:rFonts w:ascii="Cambria" w:hAnsi="Cambria"/>
          <w:color w:val="000000" w:themeColor="text1"/>
          <w:sz w:val="20"/>
          <w:szCs w:val="20"/>
          <w:lang w:val="es-PE"/>
        </w:rPr>
        <w:t>.</w:t>
      </w:r>
      <w:r w:rsidR="00836E21" w:rsidRPr="00E13CAA">
        <w:rPr>
          <w:rFonts w:ascii="Cambria" w:hAnsi="Cambria"/>
          <w:color w:val="000000" w:themeColor="text1"/>
          <w:sz w:val="20"/>
          <w:szCs w:val="20"/>
          <w:lang w:val="es-PE"/>
        </w:rPr>
        <w:t xml:space="preserve"> El 26 de mayo de 1998 el señor Mendonça prestó declaración indagatoria ante el Juzgado de la causa</w:t>
      </w:r>
      <w:r w:rsidR="00B46262" w:rsidRPr="00E13CAA">
        <w:rPr>
          <w:rFonts w:ascii="Cambria" w:hAnsi="Cambria"/>
          <w:color w:val="000000" w:themeColor="text1"/>
          <w:sz w:val="20"/>
          <w:szCs w:val="20"/>
          <w:lang w:val="es-PE"/>
        </w:rPr>
        <w:t xml:space="preserve">. Según la parte </w:t>
      </w:r>
      <w:r w:rsidR="001F689C" w:rsidRPr="00E13CAA">
        <w:rPr>
          <w:rFonts w:ascii="Cambria" w:hAnsi="Cambria"/>
          <w:color w:val="000000" w:themeColor="text1"/>
          <w:sz w:val="20"/>
          <w:szCs w:val="20"/>
          <w:lang w:val="es-PE"/>
        </w:rPr>
        <w:t>peticionaria</w:t>
      </w:r>
      <w:r w:rsidR="00B46262" w:rsidRPr="00E13CAA">
        <w:rPr>
          <w:rFonts w:ascii="Cambria" w:hAnsi="Cambria"/>
          <w:color w:val="000000" w:themeColor="text1"/>
          <w:sz w:val="20"/>
          <w:szCs w:val="20"/>
          <w:lang w:val="es-PE"/>
        </w:rPr>
        <w:t xml:space="preserve">, lo cual no fue controvertido por el Estado, </w:t>
      </w:r>
      <w:r w:rsidR="003F4150" w:rsidRPr="00E13CAA">
        <w:rPr>
          <w:rFonts w:ascii="Cambria" w:hAnsi="Cambria"/>
          <w:color w:val="000000" w:themeColor="text1"/>
          <w:sz w:val="20"/>
          <w:szCs w:val="20"/>
          <w:lang w:val="es-PE"/>
        </w:rPr>
        <w:t>no</w:t>
      </w:r>
      <w:r w:rsidR="00836E21" w:rsidRPr="00E13CAA">
        <w:rPr>
          <w:rFonts w:ascii="Cambria" w:hAnsi="Cambria"/>
          <w:color w:val="000000" w:themeColor="text1"/>
          <w:sz w:val="20"/>
          <w:szCs w:val="20"/>
          <w:lang w:val="es-PE"/>
        </w:rPr>
        <w:t xml:space="preserve"> se decretó medida cautelar alguna para asegurar su comparecencia al juicio y no se realiz</w:t>
      </w:r>
      <w:r w:rsidR="00B46262" w:rsidRPr="00E13CAA">
        <w:rPr>
          <w:rFonts w:ascii="Cambria" w:hAnsi="Cambria"/>
          <w:color w:val="000000" w:themeColor="text1"/>
          <w:sz w:val="20"/>
          <w:szCs w:val="20"/>
          <w:lang w:val="es-PE"/>
        </w:rPr>
        <w:t>aron</w:t>
      </w:r>
      <w:r w:rsidR="00156624" w:rsidRPr="00E13CAA">
        <w:rPr>
          <w:rFonts w:ascii="Cambria" w:hAnsi="Cambria"/>
          <w:color w:val="000000" w:themeColor="text1"/>
          <w:sz w:val="20"/>
          <w:szCs w:val="20"/>
          <w:lang w:val="es-PE"/>
        </w:rPr>
        <w:t xml:space="preserve"> actos posteriores </w:t>
      </w:r>
      <w:r w:rsidR="00836E21" w:rsidRPr="00E13CAA">
        <w:rPr>
          <w:rFonts w:ascii="Cambria" w:hAnsi="Cambria"/>
          <w:color w:val="000000" w:themeColor="text1"/>
          <w:sz w:val="20"/>
          <w:szCs w:val="20"/>
          <w:lang w:val="es-PE"/>
        </w:rPr>
        <w:t>de investigación relacionado</w:t>
      </w:r>
      <w:r w:rsidR="00007E78">
        <w:rPr>
          <w:rFonts w:ascii="Cambria" w:hAnsi="Cambria"/>
          <w:color w:val="000000" w:themeColor="text1"/>
          <w:sz w:val="20"/>
          <w:szCs w:val="20"/>
          <w:lang w:val="es-PE"/>
        </w:rPr>
        <w:t>s</w:t>
      </w:r>
      <w:r w:rsidR="00836E21" w:rsidRPr="00E13CAA">
        <w:rPr>
          <w:rFonts w:ascii="Cambria" w:hAnsi="Cambria"/>
          <w:color w:val="000000" w:themeColor="text1"/>
          <w:sz w:val="20"/>
          <w:szCs w:val="20"/>
          <w:lang w:val="es-PE"/>
        </w:rPr>
        <w:t xml:space="preserve"> </w:t>
      </w:r>
      <w:r w:rsidR="00007E78">
        <w:rPr>
          <w:rFonts w:ascii="Cambria" w:hAnsi="Cambria"/>
          <w:color w:val="000000" w:themeColor="text1"/>
          <w:sz w:val="20"/>
          <w:szCs w:val="20"/>
          <w:lang w:val="es-PE"/>
        </w:rPr>
        <w:t>con</w:t>
      </w:r>
      <w:r w:rsidR="00836E21" w:rsidRPr="00E13CAA">
        <w:rPr>
          <w:rFonts w:ascii="Cambria" w:hAnsi="Cambria"/>
          <w:color w:val="000000" w:themeColor="text1"/>
          <w:sz w:val="20"/>
          <w:szCs w:val="20"/>
          <w:lang w:val="es-PE"/>
        </w:rPr>
        <w:t xml:space="preserve"> su presunta participación en el crimen del periodista. El 14 de mayo de 1999 el Juzgado resolvió el sobreseimiento provisional de Mendonça, </w:t>
      </w:r>
      <w:r w:rsidR="00156624" w:rsidRPr="00E13CAA">
        <w:rPr>
          <w:rFonts w:ascii="Cambria" w:hAnsi="Cambria"/>
          <w:color w:val="000000" w:themeColor="text1"/>
          <w:sz w:val="20"/>
          <w:szCs w:val="20"/>
          <w:lang w:val="es-PE"/>
        </w:rPr>
        <w:t xml:space="preserve">al no haberse podido demostrar su participación en el </w:t>
      </w:r>
      <w:r w:rsidR="00E40009" w:rsidRPr="00E13CAA">
        <w:rPr>
          <w:rFonts w:ascii="Cambria" w:hAnsi="Cambria"/>
          <w:color w:val="000000" w:themeColor="text1"/>
          <w:sz w:val="20"/>
          <w:szCs w:val="20"/>
          <w:lang w:val="es-PE"/>
        </w:rPr>
        <w:lastRenderedPageBreak/>
        <w:t>ilícito</w:t>
      </w:r>
      <w:r w:rsidR="00E40009" w:rsidRPr="00E13CAA">
        <w:rPr>
          <w:rStyle w:val="FootnoteReference"/>
          <w:rFonts w:ascii="Cambria" w:hAnsi="Cambria"/>
          <w:color w:val="000000" w:themeColor="text1"/>
          <w:sz w:val="20"/>
          <w:szCs w:val="20"/>
          <w:lang w:val="es-PE"/>
        </w:rPr>
        <w:footnoteReference w:id="59"/>
      </w:r>
      <w:r w:rsidR="00E40009" w:rsidRPr="00E13CAA">
        <w:rPr>
          <w:rFonts w:ascii="Cambria" w:hAnsi="Cambria"/>
          <w:color w:val="000000" w:themeColor="text1"/>
          <w:sz w:val="20"/>
          <w:szCs w:val="20"/>
          <w:lang w:val="es-PE"/>
        </w:rPr>
        <w:t xml:space="preserve">. </w:t>
      </w:r>
      <w:r w:rsidR="002C4B3E" w:rsidRPr="00E13CAA">
        <w:rPr>
          <w:rFonts w:ascii="Cambria" w:hAnsi="Cambria"/>
          <w:color w:val="000000" w:themeColor="text1"/>
          <w:sz w:val="20"/>
          <w:szCs w:val="20"/>
          <w:lang w:val="es-PE"/>
        </w:rPr>
        <w:t xml:space="preserve">La testigo que inculpó al señor Mendonca, </w:t>
      </w:r>
      <w:r w:rsidR="005B785C" w:rsidRPr="00E13CAA">
        <w:rPr>
          <w:rFonts w:ascii="Cambria" w:hAnsi="Cambria"/>
          <w:color w:val="000000" w:themeColor="text1"/>
          <w:sz w:val="20"/>
          <w:szCs w:val="20"/>
          <w:lang w:val="es-PE"/>
        </w:rPr>
        <w:t xml:space="preserve">en el momento </w:t>
      </w:r>
      <w:r w:rsidR="002C4B3E" w:rsidRPr="00E13CAA">
        <w:rPr>
          <w:rFonts w:ascii="Cambria" w:hAnsi="Cambria"/>
          <w:color w:val="000000" w:themeColor="text1"/>
          <w:sz w:val="20"/>
          <w:szCs w:val="20"/>
          <w:lang w:val="es-PE"/>
        </w:rPr>
        <w:t xml:space="preserve">de declarar ante el </w:t>
      </w:r>
      <w:r w:rsidR="00980140">
        <w:rPr>
          <w:rFonts w:ascii="Cambria" w:hAnsi="Cambria"/>
          <w:color w:val="000000" w:themeColor="text1"/>
          <w:sz w:val="20"/>
          <w:szCs w:val="20"/>
          <w:lang w:val="es-PE"/>
        </w:rPr>
        <w:t>Juzgado</w:t>
      </w:r>
      <w:r w:rsidR="005B785C" w:rsidRPr="00E13CAA">
        <w:rPr>
          <w:rFonts w:ascii="Cambria" w:hAnsi="Cambria"/>
          <w:color w:val="000000" w:themeColor="text1"/>
          <w:sz w:val="20"/>
          <w:szCs w:val="20"/>
          <w:lang w:val="es-PE"/>
        </w:rPr>
        <w:t>, solicitó medidas de protección</w:t>
      </w:r>
      <w:r w:rsidR="00817825" w:rsidRPr="00E13CAA">
        <w:rPr>
          <w:rFonts w:ascii="Cambria" w:hAnsi="Cambria"/>
          <w:color w:val="000000" w:themeColor="text1"/>
          <w:sz w:val="20"/>
          <w:szCs w:val="20"/>
          <w:lang w:val="es-PE"/>
        </w:rPr>
        <w:t xml:space="preserve"> policial</w:t>
      </w:r>
      <w:r w:rsidR="005B785C" w:rsidRPr="00E13CAA">
        <w:rPr>
          <w:rFonts w:ascii="Cambria" w:hAnsi="Cambria"/>
          <w:color w:val="000000" w:themeColor="text1"/>
          <w:sz w:val="20"/>
          <w:szCs w:val="20"/>
          <w:lang w:val="es-PE"/>
        </w:rPr>
        <w:t xml:space="preserve"> </w:t>
      </w:r>
      <w:r w:rsidR="00E87465" w:rsidRPr="00E13CAA">
        <w:rPr>
          <w:rFonts w:ascii="Cambria" w:hAnsi="Cambria"/>
          <w:color w:val="000000" w:themeColor="text1"/>
          <w:sz w:val="20"/>
          <w:szCs w:val="20"/>
          <w:lang w:val="es-PE"/>
        </w:rPr>
        <w:t xml:space="preserve">para su vida </w:t>
      </w:r>
      <w:r w:rsidR="005B785C" w:rsidRPr="00E13CAA">
        <w:rPr>
          <w:rFonts w:ascii="Cambria" w:hAnsi="Cambria"/>
          <w:color w:val="000000" w:themeColor="text1"/>
          <w:sz w:val="20"/>
          <w:szCs w:val="20"/>
          <w:lang w:val="es-PE"/>
        </w:rPr>
        <w:t xml:space="preserve">que le fueron otorgadas </w:t>
      </w:r>
      <w:r w:rsidR="00E87465" w:rsidRPr="00E13CAA">
        <w:rPr>
          <w:rFonts w:ascii="Cambria" w:hAnsi="Cambria"/>
          <w:color w:val="000000" w:themeColor="text1"/>
          <w:sz w:val="20"/>
          <w:szCs w:val="20"/>
          <w:lang w:val="es-PE"/>
        </w:rPr>
        <w:t xml:space="preserve">el 29 de mayo de 1992 por el plazo de </w:t>
      </w:r>
      <w:r w:rsidR="00817825" w:rsidRPr="00E13CAA">
        <w:rPr>
          <w:rFonts w:ascii="Cambria" w:hAnsi="Cambria"/>
          <w:color w:val="000000" w:themeColor="text1"/>
          <w:sz w:val="20"/>
          <w:szCs w:val="20"/>
          <w:lang w:val="es-PE"/>
        </w:rPr>
        <w:t>ocho días. La entidad encargad</w:t>
      </w:r>
      <w:r w:rsidR="003D71A2">
        <w:rPr>
          <w:rFonts w:ascii="Cambria" w:hAnsi="Cambria"/>
          <w:color w:val="000000" w:themeColor="text1"/>
          <w:sz w:val="20"/>
          <w:szCs w:val="20"/>
          <w:lang w:val="es-PE"/>
        </w:rPr>
        <w:t>a</w:t>
      </w:r>
      <w:r w:rsidR="00817825" w:rsidRPr="00E13CAA">
        <w:rPr>
          <w:rFonts w:ascii="Cambria" w:hAnsi="Cambria"/>
          <w:color w:val="000000" w:themeColor="text1"/>
          <w:sz w:val="20"/>
          <w:szCs w:val="20"/>
          <w:lang w:val="es-PE"/>
        </w:rPr>
        <w:t xml:space="preserve"> de brinda</w:t>
      </w:r>
      <w:r w:rsidR="00ED55E3" w:rsidRPr="00E13CAA">
        <w:rPr>
          <w:rFonts w:ascii="Cambria" w:hAnsi="Cambria"/>
          <w:color w:val="000000" w:themeColor="text1"/>
          <w:sz w:val="20"/>
          <w:szCs w:val="20"/>
          <w:lang w:val="es-PE"/>
        </w:rPr>
        <w:t xml:space="preserve">r la protección policial fue </w:t>
      </w:r>
      <w:r w:rsidR="002E1772" w:rsidRPr="00E13CAA">
        <w:rPr>
          <w:rFonts w:ascii="Cambria" w:hAnsi="Cambria"/>
          <w:color w:val="000000" w:themeColor="text1"/>
          <w:sz w:val="20"/>
          <w:szCs w:val="20"/>
          <w:lang w:val="es-PE"/>
        </w:rPr>
        <w:t>la Delegación de Gobierno del Amambay</w:t>
      </w:r>
      <w:r w:rsidR="009E60B7" w:rsidRPr="00E13CAA">
        <w:rPr>
          <w:rStyle w:val="FootnoteReference"/>
          <w:rFonts w:ascii="Cambria" w:hAnsi="Cambria"/>
          <w:color w:val="000000" w:themeColor="text1"/>
          <w:sz w:val="20"/>
          <w:szCs w:val="20"/>
          <w:lang w:val="es-PE"/>
        </w:rPr>
        <w:footnoteReference w:id="60"/>
      </w:r>
      <w:r w:rsidR="005B785C" w:rsidRPr="00E13CAA">
        <w:rPr>
          <w:rFonts w:ascii="Cambria" w:hAnsi="Cambria"/>
          <w:color w:val="000000" w:themeColor="text1"/>
          <w:sz w:val="20"/>
          <w:szCs w:val="20"/>
          <w:lang w:val="es-PE"/>
        </w:rPr>
        <w:t>.</w:t>
      </w:r>
    </w:p>
    <w:p w14:paraId="67D105E3" w14:textId="77777777" w:rsidR="00CE57A1" w:rsidRPr="00E13CAA" w:rsidRDefault="00CE57A1"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PE"/>
        </w:rPr>
      </w:pPr>
    </w:p>
    <w:p w14:paraId="6027CA5D" w14:textId="4D103BBA" w:rsidR="003C070E" w:rsidRPr="00E13CAA" w:rsidRDefault="00F1506F"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themeColor="text1"/>
          <w:sz w:val="20"/>
          <w:szCs w:val="20"/>
          <w:lang w:val="es-PE"/>
        </w:rPr>
      </w:pPr>
      <w:r w:rsidRPr="00E13CAA">
        <w:rPr>
          <w:rFonts w:ascii="Cambria" w:hAnsi="Cambria"/>
          <w:color w:val="000000" w:themeColor="text1"/>
          <w:sz w:val="20"/>
          <w:szCs w:val="20"/>
          <w:lang w:val="es-PE"/>
        </w:rPr>
        <w:t>Según la parte peticionaria</w:t>
      </w:r>
      <w:r w:rsidR="0005258E" w:rsidRPr="00E13CAA">
        <w:rPr>
          <w:rFonts w:ascii="Cambria" w:hAnsi="Cambria"/>
          <w:color w:val="000000" w:themeColor="text1"/>
          <w:sz w:val="20"/>
          <w:szCs w:val="20"/>
          <w:lang w:val="es-PE"/>
        </w:rPr>
        <w:t>,</w:t>
      </w:r>
      <w:r w:rsidR="001F689C" w:rsidRPr="00E13CAA">
        <w:rPr>
          <w:rFonts w:ascii="Cambria" w:hAnsi="Cambria"/>
          <w:color w:val="000000" w:themeColor="text1"/>
          <w:sz w:val="20"/>
          <w:szCs w:val="20"/>
          <w:lang w:val="es-PE"/>
        </w:rPr>
        <w:t xml:space="preserve"> </w:t>
      </w:r>
      <w:r w:rsidR="0005258E" w:rsidRPr="00E13CAA">
        <w:rPr>
          <w:rFonts w:ascii="Cambria" w:hAnsi="Cambria"/>
          <w:color w:val="000000" w:themeColor="text1"/>
          <w:sz w:val="20"/>
          <w:szCs w:val="20"/>
          <w:lang w:val="es-PE"/>
        </w:rPr>
        <w:t>sin controversia por parte del Estado, e</w:t>
      </w:r>
      <w:r w:rsidR="00836E21" w:rsidRPr="00E13CAA">
        <w:rPr>
          <w:rFonts w:ascii="Cambria" w:hAnsi="Cambria"/>
          <w:color w:val="000000" w:themeColor="text1"/>
          <w:sz w:val="20"/>
          <w:szCs w:val="20"/>
          <w:lang w:val="es-PE"/>
        </w:rPr>
        <w:t>l 28 de octubre de 1998 se agregó un informe de la Interpol Brasil referente a los obstáculos legales vigentes a partir del artículo 5 de la Constitución del Brasil que rigen la extradición de los ciudadanos brasileños</w:t>
      </w:r>
      <w:r w:rsidR="00007E78">
        <w:rPr>
          <w:rFonts w:ascii="Cambria" w:hAnsi="Cambria"/>
          <w:color w:val="000000" w:themeColor="text1"/>
          <w:sz w:val="20"/>
          <w:szCs w:val="20"/>
          <w:lang w:val="es-PE"/>
        </w:rPr>
        <w:t>. El informe destacó</w:t>
      </w:r>
      <w:r w:rsidR="00836E21" w:rsidRPr="00E13CAA">
        <w:rPr>
          <w:rFonts w:ascii="Cambria" w:hAnsi="Cambria"/>
          <w:color w:val="000000" w:themeColor="text1"/>
          <w:sz w:val="20"/>
          <w:szCs w:val="20"/>
          <w:lang w:val="es-PE"/>
        </w:rPr>
        <w:t xml:space="preserve"> la posibilidad de solicitar el procesamiento penal ante la jurisdicción </w:t>
      </w:r>
      <w:r w:rsidR="00860860">
        <w:rPr>
          <w:rFonts w:ascii="Cambria" w:hAnsi="Cambria"/>
          <w:color w:val="000000" w:themeColor="text1"/>
          <w:sz w:val="20"/>
          <w:szCs w:val="20"/>
          <w:lang w:val="es-PE"/>
        </w:rPr>
        <w:t>brasileña</w:t>
      </w:r>
      <w:r w:rsidR="00836E21" w:rsidRPr="00E13CAA">
        <w:rPr>
          <w:rFonts w:ascii="Cambria" w:hAnsi="Cambria"/>
          <w:color w:val="000000" w:themeColor="text1"/>
          <w:sz w:val="20"/>
          <w:szCs w:val="20"/>
          <w:lang w:val="es-PE"/>
        </w:rPr>
        <w:t>, de conformidad a las leyes del país</w:t>
      </w:r>
      <w:r w:rsidR="00DB589A" w:rsidRPr="00E13CAA">
        <w:rPr>
          <w:rFonts w:ascii="Cambria" w:hAnsi="Cambria"/>
          <w:color w:val="000000" w:themeColor="text1"/>
          <w:sz w:val="20"/>
          <w:szCs w:val="20"/>
          <w:lang w:val="es-PE"/>
        </w:rPr>
        <w:t xml:space="preserve"> por vía diplomática.</w:t>
      </w:r>
      <w:r w:rsidR="00836E21" w:rsidRPr="00E13CAA">
        <w:rPr>
          <w:rFonts w:ascii="Cambria" w:hAnsi="Cambria"/>
          <w:color w:val="000000" w:themeColor="text1"/>
          <w:sz w:val="20"/>
          <w:szCs w:val="20"/>
          <w:lang w:val="es-PE"/>
        </w:rPr>
        <w:t xml:space="preserve"> </w:t>
      </w:r>
      <w:r w:rsidR="00E24F4E" w:rsidRPr="00E13CAA">
        <w:rPr>
          <w:rFonts w:ascii="Cambria" w:hAnsi="Cambria"/>
          <w:color w:val="000000" w:themeColor="text1"/>
          <w:sz w:val="20"/>
          <w:szCs w:val="20"/>
          <w:lang w:val="es-PE"/>
        </w:rPr>
        <w:t>E</w:t>
      </w:r>
      <w:r w:rsidR="00836E21" w:rsidRPr="00E13CAA">
        <w:rPr>
          <w:rFonts w:ascii="Cambria" w:hAnsi="Cambria"/>
          <w:color w:val="000000" w:themeColor="text1"/>
          <w:sz w:val="20"/>
          <w:szCs w:val="20"/>
          <w:lang w:val="es-PE"/>
        </w:rPr>
        <w:t xml:space="preserve">l 5 de noviembre de 1998 el Juzgado dispuso la vista al Ministerio Público a los efectos que el Fiscal General del Estado </w:t>
      </w:r>
      <w:r w:rsidR="00E24F4E" w:rsidRPr="00E13CAA">
        <w:rPr>
          <w:rFonts w:ascii="Cambria" w:hAnsi="Cambria"/>
          <w:color w:val="000000" w:themeColor="text1"/>
          <w:sz w:val="20"/>
          <w:szCs w:val="20"/>
          <w:lang w:val="es-PE"/>
        </w:rPr>
        <w:t>plantee</w:t>
      </w:r>
      <w:r w:rsidR="00836E21" w:rsidRPr="00E13CAA">
        <w:rPr>
          <w:rFonts w:ascii="Cambria" w:hAnsi="Cambria"/>
          <w:color w:val="000000" w:themeColor="text1"/>
          <w:sz w:val="20"/>
          <w:szCs w:val="20"/>
          <w:lang w:val="es-PE"/>
        </w:rPr>
        <w:t xml:space="preserve"> ante los fueros brasileños la requisitoria de procesamiento penal de los presuntos autores de nacionalidad brasileña</w:t>
      </w:r>
      <w:r w:rsidR="003E75A0" w:rsidRPr="00E13CAA">
        <w:rPr>
          <w:rStyle w:val="FootnoteReference"/>
          <w:rFonts w:ascii="Cambria" w:hAnsi="Cambria"/>
          <w:color w:val="000000" w:themeColor="text1"/>
          <w:sz w:val="20"/>
          <w:szCs w:val="20"/>
          <w:lang w:val="es-PE"/>
        </w:rPr>
        <w:footnoteReference w:id="61"/>
      </w:r>
      <w:r w:rsidR="00A758C1" w:rsidRPr="00E13CAA">
        <w:rPr>
          <w:rFonts w:ascii="Cambria" w:hAnsi="Cambria"/>
          <w:color w:val="000000" w:themeColor="text1"/>
          <w:sz w:val="20"/>
          <w:szCs w:val="20"/>
          <w:lang w:val="es-PE"/>
        </w:rPr>
        <w:t>.</w:t>
      </w:r>
    </w:p>
    <w:p w14:paraId="03D6B9C7" w14:textId="77777777" w:rsidR="000E4324" w:rsidRPr="00E13CAA" w:rsidRDefault="000E4324"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5FA1BF43" w14:textId="70BC7278" w:rsidR="00DD0F24" w:rsidRPr="00E13CAA" w:rsidRDefault="00115C58" w:rsidP="007A0D4C">
      <w:pPr>
        <w:pStyle w:val="Heading3"/>
      </w:pPr>
      <w:bookmarkStart w:id="25" w:name="_Toc47965325"/>
      <w:r w:rsidRPr="00E13CAA">
        <w:t>Archivo de la investigación y solicitud de cooperación internacional a</w:t>
      </w:r>
      <w:r w:rsidR="005E020B" w:rsidRPr="00E13CAA">
        <w:t xml:space="preserve"> las autoridades de Brasil</w:t>
      </w:r>
      <w:bookmarkEnd w:id="25"/>
    </w:p>
    <w:p w14:paraId="0880486E" w14:textId="3C67478D" w:rsidR="00CA4BAF" w:rsidRPr="007A0D4C" w:rsidRDefault="00CA4BAF" w:rsidP="007A0D4C">
      <w:pPr>
        <w:rPr>
          <w:rFonts w:ascii="Cambria" w:hAnsi="Cambria"/>
          <w:sz w:val="20"/>
          <w:szCs w:val="20"/>
          <w:lang w:val="es-PE"/>
        </w:rPr>
      </w:pPr>
    </w:p>
    <w:p w14:paraId="021C7745" w14:textId="02D030CE" w:rsidR="00687C73" w:rsidRPr="007A0D4C" w:rsidRDefault="00CA4BAF"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7A0D4C">
        <w:rPr>
          <w:rFonts w:ascii="Cambria" w:hAnsi="Cambria"/>
          <w:sz w:val="20"/>
          <w:szCs w:val="20"/>
          <w:lang w:val="es-PE"/>
        </w:rPr>
        <w:t xml:space="preserve">El </w:t>
      </w:r>
      <w:r w:rsidR="00D2155A" w:rsidRPr="007A0D4C">
        <w:rPr>
          <w:rFonts w:ascii="Cambria" w:hAnsi="Cambria"/>
          <w:sz w:val="20"/>
          <w:szCs w:val="20"/>
          <w:lang w:val="es-PE"/>
        </w:rPr>
        <w:t>20 de febrero de 2002</w:t>
      </w:r>
      <w:r w:rsidR="002001F7" w:rsidRPr="007A0D4C">
        <w:rPr>
          <w:rFonts w:ascii="Cambria" w:hAnsi="Cambria"/>
          <w:sz w:val="20"/>
          <w:szCs w:val="20"/>
          <w:lang w:val="es-PE"/>
        </w:rPr>
        <w:t xml:space="preserve"> el Juzgado </w:t>
      </w:r>
      <w:r w:rsidR="00B00C0F" w:rsidRPr="007A0D4C">
        <w:rPr>
          <w:rFonts w:ascii="Cambria" w:hAnsi="Cambria"/>
          <w:sz w:val="20"/>
          <w:szCs w:val="20"/>
          <w:lang w:val="es-PE"/>
        </w:rPr>
        <w:t>en lo penal de liquidación y sentencia número uno de</w:t>
      </w:r>
      <w:r w:rsidR="00C828D6">
        <w:rPr>
          <w:rFonts w:ascii="Cambria" w:hAnsi="Cambria"/>
          <w:sz w:val="20"/>
          <w:szCs w:val="20"/>
          <w:lang w:val="es-PE"/>
        </w:rPr>
        <w:t>l</w:t>
      </w:r>
      <w:r w:rsidR="00B00C0F" w:rsidRPr="007A0D4C">
        <w:rPr>
          <w:rFonts w:ascii="Cambria" w:hAnsi="Cambria"/>
          <w:sz w:val="20"/>
          <w:szCs w:val="20"/>
          <w:lang w:val="es-PE"/>
        </w:rPr>
        <w:t xml:space="preserve"> </w:t>
      </w:r>
      <w:r w:rsidR="0043775E" w:rsidRPr="007A0D4C">
        <w:rPr>
          <w:rFonts w:ascii="Cambria" w:hAnsi="Cambria"/>
          <w:sz w:val="20"/>
          <w:szCs w:val="20"/>
          <w:lang w:val="es-PE"/>
        </w:rPr>
        <w:t xml:space="preserve">Amambay adoptó </w:t>
      </w:r>
      <w:r w:rsidR="0043775E" w:rsidRPr="007A0D4C">
        <w:rPr>
          <w:rFonts w:ascii="Cambria" w:hAnsi="Cambria"/>
          <w:sz w:val="20"/>
          <w:szCs w:val="20"/>
          <w:lang w:val="es-VE"/>
        </w:rPr>
        <w:t>una</w:t>
      </w:r>
      <w:r w:rsidR="0043775E" w:rsidRPr="007A0D4C">
        <w:rPr>
          <w:rFonts w:ascii="Cambria" w:hAnsi="Cambria"/>
          <w:sz w:val="20"/>
          <w:szCs w:val="20"/>
          <w:lang w:val="es-PE"/>
        </w:rPr>
        <w:t xml:space="preserve"> resolución </w:t>
      </w:r>
      <w:r w:rsidR="001C5835" w:rsidRPr="007A0D4C">
        <w:rPr>
          <w:rFonts w:ascii="Cambria" w:hAnsi="Cambria"/>
          <w:sz w:val="20"/>
          <w:szCs w:val="20"/>
          <w:lang w:val="es-PE"/>
        </w:rPr>
        <w:t>en la que se estableció que</w:t>
      </w:r>
      <w:r w:rsidR="00687C73" w:rsidRPr="007A0D4C">
        <w:rPr>
          <w:rFonts w:ascii="Cambria" w:hAnsi="Cambria"/>
          <w:sz w:val="20"/>
          <w:szCs w:val="20"/>
          <w:lang w:val="es-PE"/>
        </w:rPr>
        <w:t xml:space="preserve">, </w:t>
      </w:r>
      <w:r w:rsidR="001C5835" w:rsidRPr="007A0D4C">
        <w:rPr>
          <w:rFonts w:ascii="Cambria" w:hAnsi="Cambria"/>
          <w:sz w:val="20"/>
          <w:szCs w:val="20"/>
          <w:lang w:val="es-PE"/>
        </w:rPr>
        <w:t xml:space="preserve">a pesar de haberse realizado todas las diligencias </w:t>
      </w:r>
      <w:r w:rsidR="000A3440" w:rsidRPr="007A0D4C">
        <w:rPr>
          <w:rFonts w:ascii="Cambria" w:hAnsi="Cambria"/>
          <w:sz w:val="20"/>
          <w:szCs w:val="20"/>
          <w:lang w:val="es-PE"/>
        </w:rPr>
        <w:t>investigativas</w:t>
      </w:r>
      <w:r w:rsidR="00687C73" w:rsidRPr="007A0D4C">
        <w:rPr>
          <w:rFonts w:ascii="Cambria" w:hAnsi="Cambria"/>
          <w:sz w:val="20"/>
          <w:szCs w:val="20"/>
          <w:lang w:val="es-PE"/>
        </w:rPr>
        <w:t>,</w:t>
      </w:r>
      <w:r w:rsidR="001C5835" w:rsidRPr="007A0D4C">
        <w:rPr>
          <w:rFonts w:ascii="Cambria" w:hAnsi="Cambria"/>
          <w:sz w:val="20"/>
          <w:szCs w:val="20"/>
          <w:lang w:val="es-PE"/>
        </w:rPr>
        <w:t xml:space="preserve"> </w:t>
      </w:r>
      <w:r w:rsidR="000A3440" w:rsidRPr="007A0D4C">
        <w:rPr>
          <w:rFonts w:ascii="Cambria" w:hAnsi="Cambria"/>
          <w:sz w:val="20"/>
          <w:szCs w:val="20"/>
          <w:lang w:val="es-PE"/>
        </w:rPr>
        <w:t xml:space="preserve">los 14 individuos procesados no pudieron ser habidos al ser ciudadanos </w:t>
      </w:r>
      <w:r w:rsidR="00860860">
        <w:rPr>
          <w:rFonts w:ascii="Cambria" w:hAnsi="Cambria"/>
          <w:sz w:val="20"/>
          <w:szCs w:val="20"/>
          <w:lang w:val="es-PE"/>
        </w:rPr>
        <w:t>brasileño</w:t>
      </w:r>
      <w:r w:rsidR="000A3440" w:rsidRPr="007A0D4C">
        <w:rPr>
          <w:rFonts w:ascii="Cambria" w:hAnsi="Cambria"/>
          <w:sz w:val="20"/>
          <w:szCs w:val="20"/>
          <w:lang w:val="es-PE"/>
        </w:rPr>
        <w:t xml:space="preserve">s </w:t>
      </w:r>
      <w:r w:rsidR="006501A9" w:rsidRPr="007A0D4C">
        <w:rPr>
          <w:rFonts w:ascii="Cambria" w:hAnsi="Cambria"/>
          <w:sz w:val="20"/>
          <w:szCs w:val="20"/>
          <w:lang w:val="es-PE"/>
        </w:rPr>
        <w:t>y encontrarse en ese Estado, sin posibilidad de extradición debido a la normativa interna de Brasil</w:t>
      </w:r>
      <w:r w:rsidR="005A6084" w:rsidRPr="007A0D4C">
        <w:rPr>
          <w:rStyle w:val="FootnoteReference"/>
          <w:rFonts w:ascii="Cambria" w:hAnsi="Cambria"/>
          <w:sz w:val="20"/>
          <w:szCs w:val="20"/>
          <w:lang w:val="es-PE"/>
        </w:rPr>
        <w:footnoteReference w:id="62"/>
      </w:r>
      <w:r w:rsidR="006501A9" w:rsidRPr="007A0D4C">
        <w:rPr>
          <w:rFonts w:ascii="Cambria" w:hAnsi="Cambria"/>
          <w:sz w:val="20"/>
          <w:szCs w:val="20"/>
          <w:lang w:val="es-PE"/>
        </w:rPr>
        <w:t xml:space="preserve">. </w:t>
      </w:r>
    </w:p>
    <w:p w14:paraId="1844B374" w14:textId="1EA52BC1" w:rsidR="007D64EF" w:rsidRPr="007A0D4C" w:rsidRDefault="007D64EF" w:rsidP="007A0D4C">
      <w:pPr>
        <w:jc w:val="both"/>
        <w:rPr>
          <w:rFonts w:ascii="Cambria" w:hAnsi="Cambria"/>
          <w:sz w:val="20"/>
          <w:szCs w:val="20"/>
          <w:lang w:val="es-PE"/>
        </w:rPr>
      </w:pPr>
    </w:p>
    <w:p w14:paraId="418C50F2" w14:textId="2B3F2013" w:rsidR="007D64EF" w:rsidRPr="007A0D4C" w:rsidRDefault="007D64EF"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7A0D4C">
        <w:rPr>
          <w:rFonts w:ascii="Cambria" w:hAnsi="Cambria"/>
          <w:sz w:val="20"/>
          <w:szCs w:val="20"/>
          <w:lang w:val="es-PE"/>
        </w:rPr>
        <w:t>La resolución es</w:t>
      </w:r>
      <w:r w:rsidR="00906BD0" w:rsidRPr="007A0D4C">
        <w:rPr>
          <w:rFonts w:ascii="Cambria" w:hAnsi="Cambria"/>
          <w:sz w:val="20"/>
          <w:szCs w:val="20"/>
          <w:lang w:val="es-PE"/>
        </w:rPr>
        <w:t>tableció que: “</w:t>
      </w:r>
      <w:r w:rsidR="009D4F5C" w:rsidRPr="007A0D4C">
        <w:rPr>
          <w:rFonts w:ascii="Cambria" w:hAnsi="Cambria"/>
          <w:sz w:val="20"/>
          <w:szCs w:val="20"/>
          <w:lang w:val="es-PE"/>
        </w:rPr>
        <w:t>[d]eb</w:t>
      </w:r>
      <w:r w:rsidR="008B2106" w:rsidRPr="007A0D4C">
        <w:rPr>
          <w:rFonts w:ascii="Cambria" w:hAnsi="Cambria"/>
          <w:sz w:val="20"/>
          <w:szCs w:val="20"/>
          <w:lang w:val="es-PE"/>
        </w:rPr>
        <w:t>e</w:t>
      </w:r>
      <w:r w:rsidR="009D4F5C" w:rsidRPr="007A0D4C">
        <w:rPr>
          <w:rFonts w:ascii="Cambria" w:hAnsi="Cambria"/>
          <w:sz w:val="20"/>
          <w:szCs w:val="20"/>
          <w:lang w:val="es-PE"/>
        </w:rPr>
        <w:t xml:space="preserve"> </w:t>
      </w:r>
      <w:r w:rsidR="007B35D4" w:rsidRPr="007A0D4C">
        <w:rPr>
          <w:rFonts w:ascii="Cambria" w:hAnsi="Cambria"/>
          <w:sz w:val="20"/>
          <w:szCs w:val="20"/>
          <w:lang w:val="es-PE"/>
        </w:rPr>
        <w:t>resaltarse</w:t>
      </w:r>
      <w:r w:rsidR="009D4F5C" w:rsidRPr="007A0D4C">
        <w:rPr>
          <w:rFonts w:ascii="Cambria" w:hAnsi="Cambria"/>
          <w:sz w:val="20"/>
          <w:szCs w:val="20"/>
          <w:lang w:val="es-PE"/>
        </w:rPr>
        <w:t xml:space="preserve"> que </w:t>
      </w:r>
      <w:r w:rsidR="00FA344A" w:rsidRPr="007A0D4C">
        <w:rPr>
          <w:rFonts w:ascii="Cambria" w:hAnsi="Cambria"/>
          <w:sz w:val="20"/>
          <w:szCs w:val="20"/>
          <w:lang w:val="es-PE"/>
        </w:rPr>
        <w:t xml:space="preserve">se ha solicitado la extradición de los citados procesados resultando infructuoso el citado pedido </w:t>
      </w:r>
      <w:r w:rsidR="00CE15A1" w:rsidRPr="007A0D4C">
        <w:rPr>
          <w:rFonts w:ascii="Cambria" w:hAnsi="Cambria"/>
          <w:sz w:val="20"/>
          <w:szCs w:val="20"/>
          <w:lang w:val="es-PE"/>
        </w:rPr>
        <w:t>conforme al informe remitido por el mencionado País y el Ministerio de Relaciones Exteriores, en razón de que la Constitución de la República Federativa de Brasil</w:t>
      </w:r>
      <w:r w:rsidR="002026FF" w:rsidRPr="007A0D4C">
        <w:rPr>
          <w:rFonts w:ascii="Cambria" w:hAnsi="Cambria"/>
          <w:sz w:val="20"/>
          <w:szCs w:val="20"/>
          <w:lang w:val="es-PE"/>
        </w:rPr>
        <w:t xml:space="preserve"> imposibilita la </w:t>
      </w:r>
      <w:r w:rsidR="004E4527" w:rsidRPr="007A0D4C">
        <w:rPr>
          <w:rFonts w:ascii="Cambria" w:hAnsi="Cambria"/>
          <w:sz w:val="20"/>
          <w:szCs w:val="20"/>
          <w:lang w:val="es-PE"/>
        </w:rPr>
        <w:t>extradición</w:t>
      </w:r>
      <w:r w:rsidR="002026FF" w:rsidRPr="007A0D4C">
        <w:rPr>
          <w:rFonts w:ascii="Cambria" w:hAnsi="Cambria"/>
          <w:sz w:val="20"/>
          <w:szCs w:val="20"/>
          <w:lang w:val="es-PE"/>
        </w:rPr>
        <w:t xml:space="preserve"> </w:t>
      </w:r>
      <w:r w:rsidR="004E4527" w:rsidRPr="007A0D4C">
        <w:rPr>
          <w:rFonts w:ascii="Cambria" w:hAnsi="Cambria"/>
          <w:sz w:val="20"/>
          <w:szCs w:val="20"/>
          <w:lang w:val="es-PE"/>
        </w:rPr>
        <w:t xml:space="preserve">de los </w:t>
      </w:r>
      <w:r w:rsidR="00357C6D" w:rsidRPr="007A0D4C">
        <w:rPr>
          <w:rFonts w:ascii="Cambria" w:hAnsi="Cambria"/>
          <w:sz w:val="20"/>
          <w:szCs w:val="20"/>
          <w:lang w:val="es-PE"/>
        </w:rPr>
        <w:t xml:space="preserve">ciudadanos brasileños </w:t>
      </w:r>
      <w:r w:rsidR="004E4527" w:rsidRPr="007A0D4C">
        <w:rPr>
          <w:rFonts w:ascii="Cambria" w:hAnsi="Cambria"/>
          <w:sz w:val="20"/>
          <w:szCs w:val="20"/>
          <w:lang w:val="es-PE"/>
        </w:rPr>
        <w:t xml:space="preserve">por hechos punibles que no sean Narcotráfico [cita artículo </w:t>
      </w:r>
      <w:r w:rsidR="002432EC" w:rsidRPr="007A0D4C">
        <w:rPr>
          <w:rFonts w:ascii="Cambria" w:hAnsi="Cambria"/>
          <w:sz w:val="20"/>
          <w:szCs w:val="20"/>
          <w:lang w:val="es-PE"/>
        </w:rPr>
        <w:t>5</w:t>
      </w:r>
      <w:r w:rsidR="00CE322A" w:rsidRPr="007A0D4C">
        <w:rPr>
          <w:rFonts w:ascii="Cambria" w:hAnsi="Cambria"/>
          <w:sz w:val="20"/>
          <w:szCs w:val="20"/>
          <w:lang w:val="es-PE"/>
        </w:rPr>
        <w:t>,</w:t>
      </w:r>
      <w:r w:rsidR="002432EC" w:rsidRPr="007A0D4C">
        <w:rPr>
          <w:rFonts w:ascii="Cambria" w:hAnsi="Cambria"/>
          <w:sz w:val="20"/>
          <w:szCs w:val="20"/>
          <w:lang w:val="es-PE"/>
        </w:rPr>
        <w:t xml:space="preserve"> </w:t>
      </w:r>
      <w:r w:rsidR="00CE322A" w:rsidRPr="007A0D4C">
        <w:rPr>
          <w:rFonts w:ascii="Cambria" w:hAnsi="Cambria"/>
          <w:sz w:val="20"/>
          <w:szCs w:val="20"/>
          <w:lang w:val="es-PE"/>
        </w:rPr>
        <w:t>numeral</w:t>
      </w:r>
      <w:r w:rsidR="002432EC" w:rsidRPr="007A0D4C">
        <w:rPr>
          <w:rFonts w:ascii="Cambria" w:hAnsi="Cambria"/>
          <w:sz w:val="20"/>
          <w:szCs w:val="20"/>
          <w:lang w:val="es-PE"/>
        </w:rPr>
        <w:t xml:space="preserve"> (51) de la Constitución </w:t>
      </w:r>
      <w:r w:rsidR="00860860">
        <w:rPr>
          <w:rFonts w:ascii="Cambria" w:hAnsi="Cambria"/>
          <w:sz w:val="20"/>
          <w:szCs w:val="20"/>
          <w:lang w:val="es-PE"/>
        </w:rPr>
        <w:t>brasileña</w:t>
      </w:r>
      <w:r w:rsidR="005F2258" w:rsidRPr="007A0D4C">
        <w:rPr>
          <w:rFonts w:ascii="Cambria" w:hAnsi="Cambria"/>
          <w:sz w:val="20"/>
          <w:szCs w:val="20"/>
          <w:lang w:val="es-PE"/>
        </w:rPr>
        <w:t>]”</w:t>
      </w:r>
      <w:r w:rsidR="005F2258" w:rsidRPr="007A0D4C">
        <w:rPr>
          <w:rStyle w:val="FootnoteReference"/>
          <w:rFonts w:ascii="Cambria" w:hAnsi="Cambria"/>
          <w:sz w:val="20"/>
          <w:szCs w:val="20"/>
          <w:lang w:val="es-PE"/>
        </w:rPr>
        <w:footnoteReference w:id="63"/>
      </w:r>
      <w:r w:rsidR="005F2258" w:rsidRPr="007A0D4C">
        <w:rPr>
          <w:rFonts w:ascii="Cambria" w:hAnsi="Cambria"/>
          <w:sz w:val="20"/>
          <w:szCs w:val="20"/>
          <w:lang w:val="es-PE"/>
        </w:rPr>
        <w:t>.</w:t>
      </w:r>
      <w:r w:rsidR="008B2106" w:rsidRPr="007A0D4C">
        <w:rPr>
          <w:rFonts w:ascii="Cambria" w:hAnsi="Cambria"/>
          <w:sz w:val="20"/>
          <w:szCs w:val="20"/>
          <w:lang w:val="es-PE"/>
        </w:rPr>
        <w:t xml:space="preserve"> </w:t>
      </w:r>
      <w:r w:rsidR="00877E51" w:rsidRPr="007A0D4C">
        <w:rPr>
          <w:rFonts w:ascii="Cambria" w:hAnsi="Cambria"/>
          <w:sz w:val="20"/>
          <w:szCs w:val="20"/>
          <w:lang w:val="es-PE"/>
        </w:rPr>
        <w:t>La</w:t>
      </w:r>
      <w:r w:rsidR="008B2106" w:rsidRPr="007A0D4C">
        <w:rPr>
          <w:rFonts w:ascii="Cambria" w:hAnsi="Cambria"/>
          <w:sz w:val="20"/>
          <w:szCs w:val="20"/>
          <w:lang w:val="es-PE"/>
        </w:rPr>
        <w:t xml:space="preserve"> CIDH no cuenta con </w:t>
      </w:r>
      <w:r w:rsidR="00443DCD" w:rsidRPr="007A0D4C">
        <w:rPr>
          <w:rFonts w:ascii="Cambria" w:hAnsi="Cambria"/>
          <w:sz w:val="20"/>
          <w:szCs w:val="20"/>
          <w:lang w:val="es-PE"/>
        </w:rPr>
        <w:t xml:space="preserve">la solicitud de extradición y respuesta </w:t>
      </w:r>
      <w:r w:rsidR="00877E51" w:rsidRPr="007A0D4C">
        <w:rPr>
          <w:rFonts w:ascii="Cambria" w:hAnsi="Cambria"/>
          <w:sz w:val="20"/>
          <w:szCs w:val="20"/>
          <w:lang w:val="es-PE"/>
        </w:rPr>
        <w:t>en el expediente ante ella.</w:t>
      </w:r>
    </w:p>
    <w:p w14:paraId="517BCAD4" w14:textId="77777777" w:rsidR="00687C73" w:rsidRPr="007A0D4C" w:rsidRDefault="00687C73" w:rsidP="007A0D4C">
      <w:pPr>
        <w:jc w:val="both"/>
        <w:rPr>
          <w:rFonts w:ascii="Cambria" w:hAnsi="Cambria"/>
          <w:sz w:val="20"/>
          <w:szCs w:val="20"/>
          <w:lang w:val="es-PE"/>
        </w:rPr>
      </w:pPr>
    </w:p>
    <w:p w14:paraId="46D0EC20" w14:textId="2FBE3B5B" w:rsidR="00CE1D73" w:rsidRPr="007A0D4C" w:rsidRDefault="00687C73"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7A0D4C">
        <w:rPr>
          <w:rFonts w:ascii="Cambria" w:hAnsi="Cambria"/>
          <w:sz w:val="20"/>
          <w:szCs w:val="20"/>
          <w:lang w:val="es-PE"/>
        </w:rPr>
        <w:t>L</w:t>
      </w:r>
      <w:r w:rsidR="006501A9" w:rsidRPr="007A0D4C">
        <w:rPr>
          <w:rFonts w:ascii="Cambria" w:hAnsi="Cambria"/>
          <w:sz w:val="20"/>
          <w:szCs w:val="20"/>
          <w:lang w:val="es-PE"/>
        </w:rPr>
        <w:t xml:space="preserve">a resolución </w:t>
      </w:r>
      <w:r w:rsidR="005B0096" w:rsidRPr="007A0D4C">
        <w:rPr>
          <w:rFonts w:ascii="Cambria" w:hAnsi="Cambria"/>
          <w:sz w:val="20"/>
          <w:szCs w:val="20"/>
          <w:lang w:val="es-PE"/>
        </w:rPr>
        <w:t xml:space="preserve">resolvió remitir </w:t>
      </w:r>
      <w:r w:rsidR="00B40F64" w:rsidRPr="007A0D4C">
        <w:rPr>
          <w:rFonts w:ascii="Cambria" w:hAnsi="Cambria"/>
          <w:sz w:val="20"/>
          <w:szCs w:val="20"/>
          <w:lang w:val="es-PE"/>
        </w:rPr>
        <w:t>el</w:t>
      </w:r>
      <w:r w:rsidR="00B4285A" w:rsidRPr="007A0D4C">
        <w:rPr>
          <w:rFonts w:ascii="Cambria" w:hAnsi="Cambria"/>
          <w:sz w:val="20"/>
          <w:szCs w:val="20"/>
          <w:lang w:val="es-PE"/>
        </w:rPr>
        <w:t xml:space="preserve"> expediente judicial al Fiscal General del Estado</w:t>
      </w:r>
      <w:r w:rsidR="009A3F6B" w:rsidRPr="007A0D4C">
        <w:rPr>
          <w:rFonts w:ascii="Cambria" w:hAnsi="Cambria"/>
          <w:sz w:val="20"/>
          <w:szCs w:val="20"/>
          <w:lang w:val="es-PE"/>
        </w:rPr>
        <w:t>, a efecto</w:t>
      </w:r>
      <w:r w:rsidR="00007E78">
        <w:rPr>
          <w:rFonts w:ascii="Cambria" w:hAnsi="Cambria"/>
          <w:sz w:val="20"/>
          <w:szCs w:val="20"/>
          <w:lang w:val="es-PE"/>
        </w:rPr>
        <w:t>s</w:t>
      </w:r>
      <w:r w:rsidR="009A3F6B" w:rsidRPr="007A0D4C">
        <w:rPr>
          <w:rFonts w:ascii="Cambria" w:hAnsi="Cambria"/>
          <w:sz w:val="20"/>
          <w:szCs w:val="20"/>
          <w:lang w:val="es-PE"/>
        </w:rPr>
        <w:t xml:space="preserve"> de que</w:t>
      </w:r>
      <w:r w:rsidR="002644CB" w:rsidRPr="007A0D4C">
        <w:rPr>
          <w:rFonts w:ascii="Cambria" w:hAnsi="Cambria"/>
          <w:sz w:val="20"/>
          <w:szCs w:val="20"/>
          <w:lang w:val="es-PE"/>
        </w:rPr>
        <w:t xml:space="preserve"> se</w:t>
      </w:r>
      <w:r w:rsidR="009A3F6B" w:rsidRPr="007A0D4C">
        <w:rPr>
          <w:rFonts w:ascii="Cambria" w:hAnsi="Cambria"/>
          <w:sz w:val="20"/>
          <w:szCs w:val="20"/>
          <w:lang w:val="es-PE"/>
        </w:rPr>
        <w:t xml:space="preserve"> </w:t>
      </w:r>
      <w:r w:rsidR="00BE771A" w:rsidRPr="007A0D4C">
        <w:rPr>
          <w:rFonts w:ascii="Cambria" w:hAnsi="Cambria"/>
          <w:sz w:val="20"/>
          <w:szCs w:val="20"/>
          <w:lang w:val="es-PE"/>
        </w:rPr>
        <w:t xml:space="preserve">traduzca y </w:t>
      </w:r>
      <w:r w:rsidR="009A3F6B" w:rsidRPr="007A0D4C">
        <w:rPr>
          <w:rFonts w:ascii="Cambria" w:hAnsi="Cambria"/>
          <w:sz w:val="20"/>
          <w:szCs w:val="20"/>
          <w:lang w:val="es-PE"/>
        </w:rPr>
        <w:t xml:space="preserve">traslade a su </w:t>
      </w:r>
      <w:r w:rsidR="00DA41F9" w:rsidRPr="007A0D4C">
        <w:rPr>
          <w:rFonts w:ascii="Cambria" w:hAnsi="Cambria"/>
          <w:sz w:val="20"/>
          <w:szCs w:val="20"/>
          <w:lang w:val="es-PE"/>
        </w:rPr>
        <w:t xml:space="preserve">“similar de la República Federativa de Brasil”, </w:t>
      </w:r>
      <w:r w:rsidR="002C5932" w:rsidRPr="007A0D4C">
        <w:rPr>
          <w:rFonts w:ascii="Cambria" w:hAnsi="Cambria"/>
          <w:sz w:val="20"/>
          <w:szCs w:val="20"/>
          <w:lang w:val="es-PE"/>
        </w:rPr>
        <w:t xml:space="preserve">con base en el </w:t>
      </w:r>
      <w:r w:rsidR="00381247" w:rsidRPr="007A0D4C">
        <w:rPr>
          <w:rFonts w:ascii="Cambria" w:hAnsi="Cambria"/>
          <w:sz w:val="20"/>
          <w:szCs w:val="20"/>
          <w:lang w:val="es-PE"/>
        </w:rPr>
        <w:t>Tratado</w:t>
      </w:r>
      <w:r w:rsidR="002C5932" w:rsidRPr="007A0D4C">
        <w:rPr>
          <w:rFonts w:ascii="Cambria" w:hAnsi="Cambria"/>
          <w:sz w:val="20"/>
          <w:szCs w:val="20"/>
          <w:lang w:val="es-PE"/>
        </w:rPr>
        <w:t xml:space="preserve"> de </w:t>
      </w:r>
      <w:r w:rsidR="00381247" w:rsidRPr="007A0D4C">
        <w:rPr>
          <w:rFonts w:ascii="Cambria" w:hAnsi="Cambria"/>
          <w:sz w:val="20"/>
          <w:szCs w:val="20"/>
          <w:lang w:val="es-PE"/>
        </w:rPr>
        <w:t>Montevideo</w:t>
      </w:r>
      <w:r w:rsidR="002C5932" w:rsidRPr="007A0D4C">
        <w:rPr>
          <w:rFonts w:ascii="Cambria" w:hAnsi="Cambria"/>
          <w:sz w:val="20"/>
          <w:szCs w:val="20"/>
          <w:lang w:val="es-PE"/>
        </w:rPr>
        <w:t xml:space="preserve"> de 1940</w:t>
      </w:r>
      <w:r w:rsidR="00381247" w:rsidRPr="007A0D4C">
        <w:rPr>
          <w:rFonts w:ascii="Cambria" w:hAnsi="Cambria"/>
          <w:sz w:val="20"/>
          <w:szCs w:val="20"/>
          <w:lang w:val="es-PE"/>
        </w:rPr>
        <w:t>,</w:t>
      </w:r>
      <w:r w:rsidR="002C5932" w:rsidRPr="007A0D4C">
        <w:rPr>
          <w:rFonts w:ascii="Cambria" w:hAnsi="Cambria"/>
          <w:sz w:val="20"/>
          <w:szCs w:val="20"/>
          <w:lang w:val="es-PE"/>
        </w:rPr>
        <w:t xml:space="preserve"> </w:t>
      </w:r>
      <w:r w:rsidR="00CA31CB" w:rsidRPr="007A0D4C">
        <w:rPr>
          <w:rFonts w:ascii="Cambria" w:hAnsi="Cambria"/>
          <w:sz w:val="20"/>
          <w:szCs w:val="20"/>
          <w:lang w:val="es-PE"/>
        </w:rPr>
        <w:t>para</w:t>
      </w:r>
      <w:r w:rsidR="00DA41F9" w:rsidRPr="007A0D4C">
        <w:rPr>
          <w:rFonts w:ascii="Cambria" w:hAnsi="Cambria"/>
          <w:sz w:val="20"/>
          <w:szCs w:val="20"/>
          <w:lang w:val="es-PE"/>
        </w:rPr>
        <w:t xml:space="preserve"> que</w:t>
      </w:r>
      <w:r w:rsidR="00CA31CB" w:rsidRPr="007A0D4C">
        <w:rPr>
          <w:rFonts w:ascii="Cambria" w:hAnsi="Cambria"/>
          <w:sz w:val="20"/>
          <w:szCs w:val="20"/>
          <w:lang w:val="es-PE"/>
        </w:rPr>
        <w:t xml:space="preserve"> los </w:t>
      </w:r>
      <w:r w:rsidR="00F129D5" w:rsidRPr="007A0D4C">
        <w:rPr>
          <w:rFonts w:ascii="Cambria" w:hAnsi="Cambria"/>
          <w:sz w:val="20"/>
          <w:szCs w:val="20"/>
          <w:lang w:val="es-PE"/>
        </w:rPr>
        <w:t>14 procesados</w:t>
      </w:r>
      <w:r w:rsidR="00DA41F9" w:rsidRPr="007A0D4C">
        <w:rPr>
          <w:rFonts w:ascii="Cambria" w:hAnsi="Cambria"/>
          <w:sz w:val="20"/>
          <w:szCs w:val="20"/>
          <w:lang w:val="es-PE"/>
        </w:rPr>
        <w:t xml:space="preserve"> sean investigados, </w:t>
      </w:r>
      <w:r w:rsidR="00F129D5" w:rsidRPr="007A0D4C">
        <w:rPr>
          <w:rFonts w:ascii="Cambria" w:hAnsi="Cambria"/>
          <w:sz w:val="20"/>
          <w:szCs w:val="20"/>
          <w:lang w:val="es-PE"/>
        </w:rPr>
        <w:t>juzgados</w:t>
      </w:r>
      <w:r w:rsidR="00DA41F9" w:rsidRPr="007A0D4C">
        <w:rPr>
          <w:rFonts w:ascii="Cambria" w:hAnsi="Cambria"/>
          <w:sz w:val="20"/>
          <w:szCs w:val="20"/>
          <w:lang w:val="es-PE"/>
        </w:rPr>
        <w:t xml:space="preserve"> y </w:t>
      </w:r>
      <w:r w:rsidR="00AC52E2" w:rsidRPr="007A0D4C">
        <w:rPr>
          <w:rFonts w:ascii="Cambria" w:hAnsi="Cambria"/>
          <w:sz w:val="20"/>
          <w:szCs w:val="20"/>
          <w:lang w:val="es-PE"/>
        </w:rPr>
        <w:t>de ser el caso, sancionados por la comisión de</w:t>
      </w:r>
      <w:r w:rsidR="00F129D5" w:rsidRPr="007A0D4C">
        <w:rPr>
          <w:rFonts w:ascii="Cambria" w:hAnsi="Cambria"/>
          <w:sz w:val="20"/>
          <w:szCs w:val="20"/>
          <w:lang w:val="es-PE"/>
        </w:rPr>
        <w:t xml:space="preserve">l delito de </w:t>
      </w:r>
      <w:r w:rsidR="00AC52E2" w:rsidRPr="007A0D4C">
        <w:rPr>
          <w:rFonts w:ascii="Cambria" w:hAnsi="Cambria"/>
          <w:sz w:val="20"/>
          <w:szCs w:val="20"/>
          <w:lang w:val="es-PE"/>
        </w:rPr>
        <w:t>homicidio doloso en contra del periodista</w:t>
      </w:r>
      <w:r w:rsidR="00381247" w:rsidRPr="007A0D4C">
        <w:rPr>
          <w:rStyle w:val="FootnoteReference"/>
          <w:rFonts w:ascii="Cambria" w:hAnsi="Cambria"/>
          <w:sz w:val="20"/>
          <w:szCs w:val="20"/>
          <w:lang w:val="es-PE"/>
        </w:rPr>
        <w:footnoteReference w:id="64"/>
      </w:r>
      <w:r w:rsidR="008D182D" w:rsidRPr="007A0D4C">
        <w:rPr>
          <w:rFonts w:ascii="Cambria" w:hAnsi="Cambria"/>
          <w:sz w:val="20"/>
          <w:szCs w:val="20"/>
          <w:lang w:val="es-PE"/>
        </w:rPr>
        <w:t>.</w:t>
      </w:r>
      <w:r w:rsidR="00E8534D" w:rsidRPr="007A0D4C">
        <w:rPr>
          <w:rFonts w:ascii="Cambria" w:hAnsi="Cambria"/>
          <w:sz w:val="20"/>
          <w:szCs w:val="20"/>
          <w:lang w:val="es-PE"/>
        </w:rPr>
        <w:t xml:space="preserve"> </w:t>
      </w:r>
      <w:r w:rsidR="0059469B" w:rsidRPr="007A0D4C">
        <w:rPr>
          <w:rFonts w:ascii="Cambria" w:hAnsi="Cambria"/>
          <w:sz w:val="20"/>
          <w:szCs w:val="20"/>
          <w:lang w:val="es-PE"/>
        </w:rPr>
        <w:t xml:space="preserve">El 25 de febrero </w:t>
      </w:r>
      <w:r w:rsidR="004C286A" w:rsidRPr="007A0D4C">
        <w:rPr>
          <w:rFonts w:ascii="Cambria" w:hAnsi="Cambria"/>
          <w:sz w:val="20"/>
          <w:szCs w:val="20"/>
          <w:lang w:val="es-PE"/>
        </w:rPr>
        <w:t>de 2002 el expediente fue remitido a la Fiscalía General del Estado</w:t>
      </w:r>
      <w:r w:rsidR="004C286A" w:rsidRPr="007A0D4C">
        <w:rPr>
          <w:rStyle w:val="FootnoteReference"/>
          <w:rFonts w:ascii="Cambria" w:hAnsi="Cambria"/>
          <w:sz w:val="20"/>
          <w:szCs w:val="20"/>
          <w:lang w:val="es-PE"/>
        </w:rPr>
        <w:footnoteReference w:id="65"/>
      </w:r>
      <w:r w:rsidR="004C286A" w:rsidRPr="007A0D4C">
        <w:rPr>
          <w:rFonts w:ascii="Cambria" w:hAnsi="Cambria"/>
          <w:sz w:val="20"/>
          <w:szCs w:val="20"/>
          <w:lang w:val="es-PE"/>
        </w:rPr>
        <w:t>.</w:t>
      </w:r>
    </w:p>
    <w:p w14:paraId="72730CBB" w14:textId="77777777" w:rsidR="003C0738" w:rsidRPr="007A0D4C" w:rsidRDefault="003C0738" w:rsidP="007A0D4C">
      <w:pPr>
        <w:pStyle w:val="ListParagraph"/>
        <w:spacing w:before="0" w:after="0"/>
        <w:rPr>
          <w:sz w:val="20"/>
          <w:szCs w:val="20"/>
          <w:lang w:val="es-PE"/>
        </w:rPr>
      </w:pPr>
    </w:p>
    <w:p w14:paraId="237FA1E8" w14:textId="53824AEA" w:rsidR="003C0738" w:rsidRPr="007A0D4C" w:rsidRDefault="003C0738"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7A0D4C">
        <w:rPr>
          <w:rFonts w:ascii="Cambria" w:hAnsi="Cambria"/>
          <w:sz w:val="20"/>
          <w:szCs w:val="20"/>
          <w:lang w:val="es-PE"/>
        </w:rPr>
        <w:t xml:space="preserve">El Estado informó que </w:t>
      </w:r>
      <w:r w:rsidR="00BD3D48" w:rsidRPr="007A0D4C">
        <w:rPr>
          <w:rFonts w:ascii="Cambria" w:hAnsi="Cambria"/>
          <w:sz w:val="20"/>
          <w:szCs w:val="20"/>
          <w:lang w:val="es-PE"/>
        </w:rPr>
        <w:t xml:space="preserve">en julio de 2006 </w:t>
      </w:r>
      <w:r w:rsidR="00510EAC" w:rsidRPr="007A0D4C">
        <w:rPr>
          <w:rFonts w:ascii="Cambria" w:hAnsi="Cambria"/>
          <w:sz w:val="20"/>
          <w:szCs w:val="20"/>
          <w:lang w:val="es-PE"/>
        </w:rPr>
        <w:t>se remiti</w:t>
      </w:r>
      <w:r w:rsidR="00907915" w:rsidRPr="007A0D4C">
        <w:rPr>
          <w:rFonts w:ascii="Cambria" w:hAnsi="Cambria"/>
          <w:sz w:val="20"/>
          <w:szCs w:val="20"/>
          <w:lang w:val="es-PE"/>
        </w:rPr>
        <w:t>eron 17 tomos</w:t>
      </w:r>
      <w:r w:rsidR="00F50DD1" w:rsidRPr="007A0D4C">
        <w:rPr>
          <w:rFonts w:ascii="Cambria" w:hAnsi="Cambria"/>
          <w:sz w:val="20"/>
          <w:szCs w:val="20"/>
          <w:lang w:val="es-PE"/>
        </w:rPr>
        <w:t xml:space="preserve"> autenticados</w:t>
      </w:r>
      <w:r w:rsidR="00907915" w:rsidRPr="007A0D4C">
        <w:rPr>
          <w:rFonts w:ascii="Cambria" w:hAnsi="Cambria"/>
          <w:sz w:val="20"/>
          <w:szCs w:val="20"/>
          <w:lang w:val="es-PE"/>
        </w:rPr>
        <w:t xml:space="preserve"> </w:t>
      </w:r>
      <w:r w:rsidR="00AE5843" w:rsidRPr="007A0D4C">
        <w:rPr>
          <w:rFonts w:ascii="Cambria" w:hAnsi="Cambria"/>
          <w:sz w:val="20"/>
          <w:szCs w:val="20"/>
          <w:lang w:val="es-PE"/>
        </w:rPr>
        <w:t>al Ministerio de Relaciones Exteriores de Paraguay para que</w:t>
      </w:r>
      <w:r w:rsidR="00007E78">
        <w:rPr>
          <w:rFonts w:ascii="Cambria" w:hAnsi="Cambria"/>
          <w:sz w:val="20"/>
          <w:szCs w:val="20"/>
          <w:lang w:val="es-PE"/>
        </w:rPr>
        <w:t>,</w:t>
      </w:r>
      <w:r w:rsidR="00AE5843" w:rsidRPr="007A0D4C">
        <w:rPr>
          <w:rFonts w:ascii="Cambria" w:hAnsi="Cambria"/>
          <w:sz w:val="20"/>
          <w:szCs w:val="20"/>
          <w:lang w:val="es-PE"/>
        </w:rPr>
        <w:t xml:space="preserve"> por el canal diplomático</w:t>
      </w:r>
      <w:r w:rsidR="00007E78">
        <w:rPr>
          <w:rFonts w:ascii="Cambria" w:hAnsi="Cambria"/>
          <w:sz w:val="20"/>
          <w:szCs w:val="20"/>
          <w:lang w:val="es-PE"/>
        </w:rPr>
        <w:t>,</w:t>
      </w:r>
      <w:r w:rsidR="00AE5843" w:rsidRPr="007A0D4C">
        <w:rPr>
          <w:rFonts w:ascii="Cambria" w:hAnsi="Cambria"/>
          <w:sz w:val="20"/>
          <w:szCs w:val="20"/>
          <w:lang w:val="es-PE"/>
        </w:rPr>
        <w:t xml:space="preserve"> se hagan llegar a la Procuraduría General de </w:t>
      </w:r>
      <w:r w:rsidR="005844A7" w:rsidRPr="007A0D4C">
        <w:rPr>
          <w:rFonts w:ascii="Cambria" w:hAnsi="Cambria"/>
          <w:sz w:val="20"/>
          <w:szCs w:val="20"/>
          <w:lang w:val="es-PE"/>
        </w:rPr>
        <w:t>República Federativa de Brasil</w:t>
      </w:r>
      <w:r w:rsidR="00F055CA" w:rsidRPr="007A0D4C">
        <w:rPr>
          <w:rStyle w:val="FootnoteReference"/>
          <w:rFonts w:ascii="Cambria" w:hAnsi="Cambria"/>
          <w:sz w:val="20"/>
          <w:szCs w:val="20"/>
          <w:lang w:val="es-PE"/>
        </w:rPr>
        <w:footnoteReference w:id="66"/>
      </w:r>
      <w:r w:rsidR="005844A7" w:rsidRPr="007A0D4C">
        <w:rPr>
          <w:rFonts w:ascii="Cambria" w:hAnsi="Cambria"/>
          <w:sz w:val="20"/>
          <w:szCs w:val="20"/>
          <w:lang w:val="es-PE"/>
        </w:rPr>
        <w:t xml:space="preserve">. Debido a la falta de traducciones al portugués </w:t>
      </w:r>
      <w:r w:rsidR="009E6627" w:rsidRPr="007A0D4C">
        <w:rPr>
          <w:rFonts w:ascii="Cambria" w:hAnsi="Cambria"/>
          <w:sz w:val="20"/>
          <w:szCs w:val="20"/>
          <w:lang w:val="es-PE"/>
        </w:rPr>
        <w:t xml:space="preserve">dicha documentación fue devuelta </w:t>
      </w:r>
      <w:r w:rsidR="00041AFD" w:rsidRPr="007A0D4C">
        <w:rPr>
          <w:rFonts w:ascii="Cambria" w:hAnsi="Cambria"/>
          <w:sz w:val="20"/>
          <w:szCs w:val="20"/>
          <w:lang w:val="es-PE"/>
        </w:rPr>
        <w:t>y se solicitaron las traducciones respectivas a la Corte Suprema de Justicia</w:t>
      </w:r>
      <w:r w:rsidR="00F055CA" w:rsidRPr="007A0D4C">
        <w:rPr>
          <w:rStyle w:val="FootnoteReference"/>
          <w:rFonts w:ascii="Cambria" w:hAnsi="Cambria"/>
          <w:sz w:val="20"/>
          <w:szCs w:val="20"/>
          <w:lang w:val="es-PE"/>
        </w:rPr>
        <w:footnoteReference w:id="67"/>
      </w:r>
      <w:r w:rsidR="00041AFD" w:rsidRPr="007A0D4C">
        <w:rPr>
          <w:rFonts w:ascii="Cambria" w:hAnsi="Cambria"/>
          <w:sz w:val="20"/>
          <w:szCs w:val="20"/>
          <w:lang w:val="es-PE"/>
        </w:rPr>
        <w:t xml:space="preserve">. </w:t>
      </w:r>
      <w:r w:rsidR="00EA7420" w:rsidRPr="007A0D4C">
        <w:rPr>
          <w:rFonts w:ascii="Cambria" w:hAnsi="Cambria"/>
          <w:sz w:val="20"/>
          <w:szCs w:val="20"/>
          <w:lang w:val="es-PE"/>
        </w:rPr>
        <w:t xml:space="preserve">La documentación </w:t>
      </w:r>
      <w:r w:rsidR="008F1DC8" w:rsidRPr="007A0D4C">
        <w:rPr>
          <w:rFonts w:ascii="Cambria" w:hAnsi="Cambria"/>
          <w:sz w:val="20"/>
          <w:szCs w:val="20"/>
          <w:lang w:val="es-PE"/>
        </w:rPr>
        <w:t xml:space="preserve">fue </w:t>
      </w:r>
      <w:r w:rsidR="00041AFD" w:rsidRPr="007A0D4C">
        <w:rPr>
          <w:rFonts w:ascii="Cambria" w:hAnsi="Cambria"/>
          <w:sz w:val="20"/>
          <w:szCs w:val="20"/>
          <w:lang w:val="es-PE"/>
        </w:rPr>
        <w:lastRenderedPageBreak/>
        <w:t xml:space="preserve">reenviada nuevamente </w:t>
      </w:r>
      <w:r w:rsidR="00EA7420" w:rsidRPr="007A0D4C">
        <w:rPr>
          <w:rFonts w:ascii="Cambria" w:hAnsi="Cambria"/>
          <w:sz w:val="20"/>
          <w:szCs w:val="20"/>
          <w:lang w:val="es-PE"/>
        </w:rPr>
        <w:t xml:space="preserve">a Brasil </w:t>
      </w:r>
      <w:r w:rsidR="008F1DC8" w:rsidRPr="007A0D4C">
        <w:rPr>
          <w:rFonts w:ascii="Cambria" w:hAnsi="Cambria"/>
          <w:sz w:val="20"/>
          <w:szCs w:val="20"/>
          <w:lang w:val="es-PE"/>
        </w:rPr>
        <w:t xml:space="preserve">en </w:t>
      </w:r>
      <w:r w:rsidR="00E83E88" w:rsidRPr="007A0D4C">
        <w:rPr>
          <w:rFonts w:ascii="Cambria" w:hAnsi="Cambria"/>
          <w:sz w:val="20"/>
          <w:szCs w:val="20"/>
          <w:lang w:val="es-PE"/>
        </w:rPr>
        <w:t xml:space="preserve">el </w:t>
      </w:r>
      <w:r w:rsidR="008F1DC8" w:rsidRPr="007A0D4C">
        <w:rPr>
          <w:rFonts w:ascii="Cambria" w:hAnsi="Cambria"/>
          <w:sz w:val="20"/>
          <w:szCs w:val="20"/>
          <w:lang w:val="es-PE"/>
        </w:rPr>
        <w:t xml:space="preserve">2009. Según el Estado, </w:t>
      </w:r>
      <w:r w:rsidR="00C66110" w:rsidRPr="007A0D4C">
        <w:rPr>
          <w:rFonts w:ascii="Cambria" w:hAnsi="Cambria"/>
          <w:sz w:val="20"/>
          <w:szCs w:val="20"/>
          <w:lang w:val="es-PE"/>
        </w:rPr>
        <w:t xml:space="preserve">el 25 marzo de 2009 </w:t>
      </w:r>
      <w:r w:rsidR="00C457F3" w:rsidRPr="007A0D4C">
        <w:rPr>
          <w:rFonts w:ascii="Cambria" w:hAnsi="Cambria"/>
          <w:sz w:val="20"/>
          <w:szCs w:val="20"/>
          <w:lang w:val="es-PE"/>
        </w:rPr>
        <w:t xml:space="preserve">la Cancillería </w:t>
      </w:r>
      <w:r w:rsidR="00860860">
        <w:rPr>
          <w:rFonts w:ascii="Cambria" w:hAnsi="Cambria"/>
          <w:sz w:val="20"/>
          <w:szCs w:val="20"/>
          <w:lang w:val="es-PE"/>
        </w:rPr>
        <w:t>brasileña</w:t>
      </w:r>
      <w:r w:rsidR="00C457F3" w:rsidRPr="007A0D4C">
        <w:rPr>
          <w:rFonts w:ascii="Cambria" w:hAnsi="Cambria"/>
          <w:sz w:val="20"/>
          <w:szCs w:val="20"/>
          <w:lang w:val="es-PE"/>
        </w:rPr>
        <w:t xml:space="preserve"> acusó recibo de la nota y confirmó su remisión al Ministerio de Justicia</w:t>
      </w:r>
      <w:r w:rsidR="000B4CDE" w:rsidRPr="007A0D4C">
        <w:rPr>
          <w:rStyle w:val="FootnoteReference"/>
          <w:rFonts w:ascii="Cambria" w:hAnsi="Cambria"/>
          <w:sz w:val="20"/>
          <w:szCs w:val="20"/>
          <w:lang w:val="es-PE"/>
        </w:rPr>
        <w:footnoteReference w:id="68"/>
      </w:r>
      <w:r w:rsidR="00C457F3" w:rsidRPr="007A0D4C">
        <w:rPr>
          <w:rFonts w:ascii="Cambria" w:hAnsi="Cambria"/>
          <w:sz w:val="20"/>
          <w:szCs w:val="20"/>
          <w:lang w:val="es-PE"/>
        </w:rPr>
        <w:t xml:space="preserve">. </w:t>
      </w:r>
    </w:p>
    <w:p w14:paraId="792590E3" w14:textId="77777777" w:rsidR="009F7C96" w:rsidRPr="007A0D4C" w:rsidRDefault="009F7C96"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256CBA1B" w14:textId="4880CD42" w:rsidR="00BE2A2C" w:rsidRPr="007A0D4C" w:rsidRDefault="008B0266"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7A0D4C">
        <w:rPr>
          <w:rFonts w:ascii="Cambria" w:hAnsi="Cambria"/>
          <w:sz w:val="20"/>
          <w:szCs w:val="20"/>
          <w:lang w:val="es-PE"/>
        </w:rPr>
        <w:t xml:space="preserve">Según los peticionarios, lo cual no ha sido controvertido por el Estado, </w:t>
      </w:r>
      <w:r w:rsidR="0076598D" w:rsidRPr="007A0D4C">
        <w:rPr>
          <w:rFonts w:ascii="Cambria" w:hAnsi="Cambria"/>
          <w:sz w:val="20"/>
          <w:szCs w:val="20"/>
          <w:lang w:val="es-PE"/>
        </w:rPr>
        <w:t>el 13 de junio de 2011</w:t>
      </w:r>
      <w:r w:rsidR="007738FE" w:rsidRPr="007A0D4C">
        <w:rPr>
          <w:rFonts w:ascii="Cambria" w:hAnsi="Cambria"/>
          <w:sz w:val="20"/>
          <w:szCs w:val="20"/>
          <w:lang w:val="es-PE"/>
        </w:rPr>
        <w:t xml:space="preserve"> </w:t>
      </w:r>
      <w:r w:rsidR="00BE2A2C" w:rsidRPr="007A0D4C">
        <w:rPr>
          <w:rFonts w:ascii="Cambria" w:hAnsi="Cambria"/>
          <w:sz w:val="20"/>
          <w:szCs w:val="20"/>
          <w:lang w:val="es-PE"/>
        </w:rPr>
        <w:t xml:space="preserve">el Ministerio de Relaciones Exteriores del Brasil consultó a las autoridades paraguayas si persistía el interés de requerir la persecución criminal en contra del ciudadano brasileño Daniel Alvares Georges. La cancillería reiteró las solicitudes de persecución penal dirigidas en 2012 y 2013, por no </w:t>
      </w:r>
      <w:r w:rsidR="00007E78">
        <w:rPr>
          <w:rFonts w:ascii="Cambria" w:hAnsi="Cambria"/>
          <w:sz w:val="20"/>
          <w:szCs w:val="20"/>
          <w:lang w:val="es-PE"/>
        </w:rPr>
        <w:t>haber sido</w:t>
      </w:r>
      <w:r w:rsidR="00BE2A2C" w:rsidRPr="007A0D4C">
        <w:rPr>
          <w:rFonts w:ascii="Cambria" w:hAnsi="Cambria"/>
          <w:sz w:val="20"/>
          <w:szCs w:val="20"/>
          <w:lang w:val="es-PE"/>
        </w:rPr>
        <w:t xml:space="preserve"> enviadas con la correspondiente traducción al portugués</w:t>
      </w:r>
      <w:r w:rsidR="00225C28" w:rsidRPr="007A0D4C">
        <w:rPr>
          <w:rFonts w:ascii="Cambria" w:hAnsi="Cambria"/>
          <w:sz w:val="20"/>
          <w:szCs w:val="20"/>
          <w:lang w:val="es-PE"/>
        </w:rPr>
        <w:t xml:space="preserve">. </w:t>
      </w:r>
      <w:r w:rsidR="00BE2A2C" w:rsidRPr="007A0D4C">
        <w:rPr>
          <w:rFonts w:ascii="Cambria" w:hAnsi="Cambria"/>
          <w:sz w:val="20"/>
          <w:szCs w:val="20"/>
          <w:lang w:val="es-PE"/>
        </w:rPr>
        <w:t>En el 2014 otro pedido de cooperación fue devuelto, solicitando aclaraciones respecto de la medida solicitada</w:t>
      </w:r>
      <w:r w:rsidR="00280A09" w:rsidRPr="007A0D4C">
        <w:rPr>
          <w:rFonts w:ascii="Cambria" w:hAnsi="Cambria"/>
          <w:sz w:val="20"/>
          <w:szCs w:val="20"/>
          <w:lang w:val="es-PE"/>
        </w:rPr>
        <w:t>. Conforme a los peticionarios, no controvertido por el Estado,</w:t>
      </w:r>
      <w:r w:rsidR="00D33513" w:rsidRPr="007A0D4C">
        <w:rPr>
          <w:rFonts w:ascii="Cambria" w:hAnsi="Cambria"/>
          <w:sz w:val="20"/>
          <w:szCs w:val="20"/>
          <w:lang w:val="es-PE"/>
        </w:rPr>
        <w:t xml:space="preserve"> a partir de 2014, la causa no ha </w:t>
      </w:r>
      <w:r w:rsidR="00BE2A2C" w:rsidRPr="007A0D4C">
        <w:rPr>
          <w:rFonts w:ascii="Cambria" w:hAnsi="Cambria"/>
          <w:sz w:val="20"/>
          <w:szCs w:val="20"/>
          <w:lang w:val="es-PE"/>
        </w:rPr>
        <w:t>recibi</w:t>
      </w:r>
      <w:r w:rsidR="00D33513" w:rsidRPr="007A0D4C">
        <w:rPr>
          <w:rFonts w:ascii="Cambria" w:hAnsi="Cambria"/>
          <w:sz w:val="20"/>
          <w:szCs w:val="20"/>
          <w:lang w:val="es-PE"/>
        </w:rPr>
        <w:t>do</w:t>
      </w:r>
      <w:r w:rsidR="00BE2A2C" w:rsidRPr="007A0D4C">
        <w:rPr>
          <w:rFonts w:ascii="Cambria" w:hAnsi="Cambria"/>
          <w:sz w:val="20"/>
          <w:szCs w:val="20"/>
          <w:lang w:val="es-PE"/>
        </w:rPr>
        <w:t xml:space="preserve"> trámite alguno</w:t>
      </w:r>
      <w:r w:rsidR="000A20D1" w:rsidRPr="007A0D4C">
        <w:rPr>
          <w:rStyle w:val="FootnoteReference"/>
          <w:rFonts w:ascii="Cambria" w:hAnsi="Cambria"/>
          <w:sz w:val="20"/>
          <w:szCs w:val="20"/>
          <w:lang w:val="es-PE"/>
        </w:rPr>
        <w:footnoteReference w:id="69"/>
      </w:r>
      <w:r w:rsidR="000A20D1" w:rsidRPr="007A0D4C">
        <w:rPr>
          <w:rFonts w:ascii="Cambria" w:hAnsi="Cambria"/>
          <w:sz w:val="20"/>
          <w:szCs w:val="20"/>
          <w:lang w:val="es-PE"/>
        </w:rPr>
        <w:t>.</w:t>
      </w:r>
    </w:p>
    <w:p w14:paraId="0A856450" w14:textId="77777777" w:rsidR="00DB0CF7" w:rsidRPr="007A0D4C" w:rsidRDefault="00DB0CF7" w:rsidP="007A0D4C">
      <w:pPr>
        <w:pStyle w:val="ListParagraph"/>
        <w:spacing w:before="0" w:after="0"/>
        <w:rPr>
          <w:sz w:val="20"/>
          <w:szCs w:val="20"/>
          <w:lang w:val="es-PE"/>
        </w:rPr>
      </w:pPr>
    </w:p>
    <w:p w14:paraId="0822ABA9" w14:textId="49D3D45B" w:rsidR="001C04F3" w:rsidRPr="00325F5E" w:rsidRDefault="00E04A81"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325F5E">
        <w:rPr>
          <w:rFonts w:ascii="Cambria" w:hAnsi="Cambria"/>
          <w:sz w:val="20"/>
          <w:szCs w:val="20"/>
          <w:lang w:val="es-PE"/>
        </w:rPr>
        <w:t xml:space="preserve">El Estado </w:t>
      </w:r>
      <w:r w:rsidR="004403A8" w:rsidRPr="00325F5E">
        <w:rPr>
          <w:rFonts w:ascii="Cambria" w:hAnsi="Cambria"/>
          <w:sz w:val="20"/>
          <w:szCs w:val="20"/>
          <w:lang w:val="es-PE"/>
        </w:rPr>
        <w:t xml:space="preserve">informó que </w:t>
      </w:r>
      <w:r w:rsidR="00FD1208" w:rsidRPr="00325F5E">
        <w:rPr>
          <w:rFonts w:ascii="Cambria" w:hAnsi="Cambria"/>
          <w:sz w:val="20"/>
          <w:szCs w:val="20"/>
          <w:lang w:val="es-PE"/>
        </w:rPr>
        <w:t xml:space="preserve">en el expediente judicial paraguayo </w:t>
      </w:r>
      <w:r w:rsidR="00DD4C75" w:rsidRPr="00325F5E">
        <w:rPr>
          <w:rFonts w:ascii="Cambria" w:hAnsi="Cambria"/>
          <w:sz w:val="20"/>
          <w:szCs w:val="20"/>
          <w:lang w:val="es-PE"/>
        </w:rPr>
        <w:t>constaba</w:t>
      </w:r>
      <w:r w:rsidR="00FD1208" w:rsidRPr="00325F5E">
        <w:rPr>
          <w:rFonts w:ascii="Cambria" w:hAnsi="Cambria"/>
          <w:sz w:val="20"/>
          <w:szCs w:val="20"/>
          <w:lang w:val="es-PE"/>
        </w:rPr>
        <w:t>n</w:t>
      </w:r>
      <w:r w:rsidR="00DD4C75" w:rsidRPr="00325F5E">
        <w:rPr>
          <w:rFonts w:ascii="Cambria" w:hAnsi="Cambria"/>
          <w:sz w:val="20"/>
          <w:szCs w:val="20"/>
          <w:lang w:val="es-PE"/>
        </w:rPr>
        <w:t xml:space="preserve"> </w:t>
      </w:r>
      <w:r w:rsidR="000379BE" w:rsidRPr="00325F5E">
        <w:rPr>
          <w:rFonts w:ascii="Cambria" w:hAnsi="Cambria"/>
          <w:sz w:val="20"/>
          <w:szCs w:val="20"/>
          <w:lang w:val="es-PE"/>
        </w:rPr>
        <w:t xml:space="preserve">artículos de prensa e </w:t>
      </w:r>
      <w:r w:rsidR="00894278" w:rsidRPr="00325F5E">
        <w:rPr>
          <w:rFonts w:ascii="Cambria" w:hAnsi="Cambria"/>
          <w:sz w:val="20"/>
          <w:szCs w:val="20"/>
          <w:lang w:val="es-PE"/>
        </w:rPr>
        <w:t>informes de magistrados o delegados policiales de Brasil</w:t>
      </w:r>
      <w:r w:rsidR="000379BE" w:rsidRPr="00325F5E">
        <w:rPr>
          <w:rFonts w:ascii="Cambria" w:hAnsi="Cambria"/>
          <w:sz w:val="20"/>
          <w:szCs w:val="20"/>
          <w:lang w:val="es-PE"/>
        </w:rPr>
        <w:t xml:space="preserve">, </w:t>
      </w:r>
      <w:r w:rsidR="00894278" w:rsidRPr="00325F5E">
        <w:rPr>
          <w:rFonts w:ascii="Cambria" w:hAnsi="Cambria"/>
          <w:sz w:val="20"/>
          <w:szCs w:val="20"/>
          <w:lang w:val="es-PE"/>
        </w:rPr>
        <w:t xml:space="preserve">que </w:t>
      </w:r>
      <w:r w:rsidR="00FD1208" w:rsidRPr="00325F5E">
        <w:rPr>
          <w:rFonts w:ascii="Cambria" w:hAnsi="Cambria"/>
          <w:sz w:val="20"/>
          <w:szCs w:val="20"/>
          <w:lang w:val="es-PE"/>
        </w:rPr>
        <w:t>podrían dar cuenta de</w:t>
      </w:r>
      <w:r w:rsidR="00894278" w:rsidRPr="00325F5E">
        <w:rPr>
          <w:rFonts w:ascii="Cambria" w:hAnsi="Cambria"/>
          <w:sz w:val="20"/>
          <w:szCs w:val="20"/>
          <w:lang w:val="es-PE"/>
        </w:rPr>
        <w:t xml:space="preserve"> </w:t>
      </w:r>
      <w:r w:rsidR="00B951B9" w:rsidRPr="00325F5E">
        <w:rPr>
          <w:rFonts w:ascii="Cambria" w:hAnsi="Cambria"/>
          <w:sz w:val="20"/>
          <w:szCs w:val="20"/>
          <w:lang w:val="es-PE"/>
        </w:rPr>
        <w:t>la existencia de</w:t>
      </w:r>
      <w:r w:rsidR="00A47C1D" w:rsidRPr="00325F5E">
        <w:rPr>
          <w:rFonts w:ascii="Cambria" w:hAnsi="Cambria"/>
          <w:sz w:val="20"/>
          <w:szCs w:val="20"/>
          <w:lang w:val="es-PE"/>
        </w:rPr>
        <w:t xml:space="preserve"> </w:t>
      </w:r>
      <w:r w:rsidR="00B951B9" w:rsidRPr="00325F5E">
        <w:rPr>
          <w:rFonts w:ascii="Cambria" w:hAnsi="Cambria"/>
          <w:sz w:val="20"/>
          <w:szCs w:val="20"/>
          <w:lang w:val="es-PE"/>
        </w:rPr>
        <w:t xml:space="preserve">investigaciones en el ámbito policial y jurisdiccional penal de Brasil </w:t>
      </w:r>
      <w:r w:rsidR="00BC70FB" w:rsidRPr="00325F5E">
        <w:rPr>
          <w:rFonts w:ascii="Cambria" w:hAnsi="Cambria"/>
          <w:sz w:val="20"/>
          <w:szCs w:val="20"/>
          <w:lang w:val="es-PE"/>
        </w:rPr>
        <w:t xml:space="preserve">por la muerte de Santiago Leguizamón, </w:t>
      </w:r>
      <w:r w:rsidR="00A47C1D" w:rsidRPr="00325F5E">
        <w:rPr>
          <w:rFonts w:ascii="Cambria" w:hAnsi="Cambria"/>
          <w:sz w:val="20"/>
          <w:szCs w:val="20"/>
          <w:lang w:val="es-PE"/>
        </w:rPr>
        <w:t>incluso contra agentes estatales por su presunta participación</w:t>
      </w:r>
      <w:r w:rsidR="007B1BD0" w:rsidRPr="00325F5E">
        <w:rPr>
          <w:rFonts w:ascii="Cambria" w:hAnsi="Cambria"/>
          <w:sz w:val="20"/>
          <w:szCs w:val="20"/>
          <w:lang w:val="es-PE"/>
        </w:rPr>
        <w:t xml:space="preserve"> en el crimen contra el periodista</w:t>
      </w:r>
      <w:r w:rsidR="00A47C1D" w:rsidRPr="00325F5E">
        <w:rPr>
          <w:rFonts w:ascii="Cambria" w:hAnsi="Cambria"/>
          <w:sz w:val="20"/>
          <w:szCs w:val="20"/>
          <w:lang w:val="es-PE"/>
        </w:rPr>
        <w:t xml:space="preserve">. </w:t>
      </w:r>
      <w:r w:rsidR="00504480" w:rsidRPr="00325F5E">
        <w:rPr>
          <w:rFonts w:ascii="Cambria" w:hAnsi="Cambria"/>
          <w:sz w:val="20"/>
          <w:szCs w:val="20"/>
          <w:lang w:val="es-PE"/>
        </w:rPr>
        <w:t xml:space="preserve">El Estado paraguayo </w:t>
      </w:r>
      <w:r w:rsidR="00D064D9" w:rsidRPr="00325F5E">
        <w:rPr>
          <w:rFonts w:ascii="Cambria" w:hAnsi="Cambria"/>
          <w:sz w:val="20"/>
          <w:szCs w:val="20"/>
          <w:lang w:val="es-PE"/>
        </w:rPr>
        <w:t>señaló que estaría recabando información al respecto vía diplomática para confirmar lo anterior</w:t>
      </w:r>
      <w:r w:rsidR="007B1BD0" w:rsidRPr="00325F5E">
        <w:rPr>
          <w:rStyle w:val="FootnoteReference"/>
          <w:rFonts w:ascii="Cambria" w:hAnsi="Cambria"/>
          <w:sz w:val="20"/>
          <w:szCs w:val="20"/>
          <w:lang w:val="es-PE"/>
        </w:rPr>
        <w:footnoteReference w:id="70"/>
      </w:r>
      <w:r w:rsidR="00D064D9" w:rsidRPr="00325F5E">
        <w:rPr>
          <w:rFonts w:ascii="Cambria" w:hAnsi="Cambria"/>
          <w:sz w:val="20"/>
          <w:szCs w:val="20"/>
          <w:lang w:val="es-PE"/>
        </w:rPr>
        <w:t xml:space="preserve">. No consta en el expediente ante la CIDH la existencia de dichas investigaciones y/o procesos, y la parte peticionaria </w:t>
      </w:r>
      <w:r w:rsidR="000D46FD" w:rsidRPr="00325F5E">
        <w:rPr>
          <w:rFonts w:ascii="Cambria" w:hAnsi="Cambria"/>
          <w:sz w:val="20"/>
          <w:szCs w:val="20"/>
          <w:lang w:val="es-PE"/>
        </w:rPr>
        <w:t xml:space="preserve">alega que hasta el 2011 no figuraba ningún </w:t>
      </w:r>
      <w:r w:rsidR="007B1BD0" w:rsidRPr="00325F5E">
        <w:rPr>
          <w:rFonts w:ascii="Cambria" w:hAnsi="Cambria"/>
          <w:sz w:val="20"/>
          <w:szCs w:val="20"/>
          <w:lang w:val="es-PE"/>
        </w:rPr>
        <w:t xml:space="preserve">procedimiento en contra de los 14 presuntos </w:t>
      </w:r>
      <w:r w:rsidR="00086511" w:rsidRPr="00325F5E">
        <w:rPr>
          <w:rFonts w:ascii="Cambria" w:hAnsi="Cambria"/>
          <w:sz w:val="20"/>
          <w:szCs w:val="20"/>
          <w:lang w:val="es-PE"/>
        </w:rPr>
        <w:t>autores</w:t>
      </w:r>
      <w:r w:rsidR="007B1BD0" w:rsidRPr="00325F5E">
        <w:rPr>
          <w:rFonts w:ascii="Cambria" w:hAnsi="Cambria"/>
          <w:sz w:val="20"/>
          <w:szCs w:val="20"/>
          <w:lang w:val="es-PE"/>
        </w:rPr>
        <w:t xml:space="preserve"> materiales</w:t>
      </w:r>
      <w:r w:rsidR="007B1BD0" w:rsidRPr="00325F5E">
        <w:rPr>
          <w:rStyle w:val="FootnoteReference"/>
          <w:rFonts w:ascii="Cambria" w:hAnsi="Cambria"/>
          <w:sz w:val="20"/>
          <w:szCs w:val="20"/>
          <w:lang w:val="es-PE"/>
        </w:rPr>
        <w:footnoteReference w:id="71"/>
      </w:r>
      <w:r w:rsidR="007B1BD0" w:rsidRPr="00325F5E">
        <w:rPr>
          <w:rFonts w:ascii="Cambria" w:hAnsi="Cambria"/>
          <w:sz w:val="20"/>
          <w:szCs w:val="20"/>
          <w:lang w:val="es-PE"/>
        </w:rPr>
        <w:t>.</w:t>
      </w:r>
    </w:p>
    <w:p w14:paraId="5E868731" w14:textId="77777777" w:rsidR="00FC0754" w:rsidRPr="00325F5E" w:rsidRDefault="00FC0754"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0AC6CFE8" w14:textId="104F41D5" w:rsidR="001C04F3" w:rsidRPr="00325F5E" w:rsidRDefault="001C04F3"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325F5E">
        <w:rPr>
          <w:rFonts w:ascii="Cambria" w:hAnsi="Cambria"/>
          <w:sz w:val="20"/>
          <w:szCs w:val="20"/>
          <w:lang w:val="es-PE"/>
        </w:rPr>
        <w:t>De acuerdo con información brindada por el Estado</w:t>
      </w:r>
      <w:r w:rsidR="00F4706E" w:rsidRPr="00325F5E">
        <w:rPr>
          <w:rFonts w:ascii="Cambria" w:hAnsi="Cambria"/>
          <w:sz w:val="20"/>
          <w:szCs w:val="20"/>
          <w:lang w:val="es-PE"/>
        </w:rPr>
        <w:t xml:space="preserve"> </w:t>
      </w:r>
      <w:r w:rsidR="006420F8">
        <w:rPr>
          <w:rFonts w:ascii="Cambria" w:hAnsi="Cambria"/>
          <w:sz w:val="20"/>
          <w:szCs w:val="20"/>
          <w:lang w:val="es-PE"/>
        </w:rPr>
        <w:t>p</w:t>
      </w:r>
      <w:r w:rsidR="00F4706E" w:rsidRPr="00325F5E">
        <w:rPr>
          <w:rFonts w:ascii="Cambria" w:hAnsi="Cambria"/>
          <w:sz w:val="20"/>
          <w:szCs w:val="20"/>
          <w:lang w:val="es-PE"/>
        </w:rPr>
        <w:t>araguay</w:t>
      </w:r>
      <w:r w:rsidR="006420F8">
        <w:rPr>
          <w:rFonts w:ascii="Cambria" w:hAnsi="Cambria"/>
          <w:sz w:val="20"/>
          <w:szCs w:val="20"/>
          <w:lang w:val="es-PE"/>
        </w:rPr>
        <w:t>o</w:t>
      </w:r>
      <w:r w:rsidRPr="00325F5E">
        <w:rPr>
          <w:rFonts w:ascii="Cambria" w:hAnsi="Cambria"/>
          <w:sz w:val="20"/>
          <w:szCs w:val="20"/>
          <w:lang w:val="es-PE"/>
        </w:rPr>
        <w:t>,</w:t>
      </w:r>
      <w:r w:rsidR="0032667D" w:rsidRPr="00325F5E">
        <w:rPr>
          <w:rFonts w:ascii="Cambria" w:hAnsi="Cambria"/>
          <w:sz w:val="20"/>
          <w:szCs w:val="20"/>
          <w:lang w:val="es-PE"/>
        </w:rPr>
        <w:t xml:space="preserve"> </w:t>
      </w:r>
      <w:r w:rsidR="00FC0754" w:rsidRPr="00325F5E">
        <w:rPr>
          <w:rFonts w:ascii="Cambria" w:hAnsi="Cambria"/>
          <w:sz w:val="20"/>
          <w:szCs w:val="20"/>
          <w:lang w:val="es-PE"/>
        </w:rPr>
        <w:t>seis</w:t>
      </w:r>
      <w:r w:rsidR="00BD6676" w:rsidRPr="00325F5E">
        <w:rPr>
          <w:rFonts w:ascii="Cambria" w:hAnsi="Cambria"/>
          <w:sz w:val="20"/>
          <w:szCs w:val="20"/>
          <w:lang w:val="es-PE"/>
        </w:rPr>
        <w:t xml:space="preserve"> de los presuntos autores materiales del asesinato de Santiago </w:t>
      </w:r>
      <w:r w:rsidR="0032667D" w:rsidRPr="00325F5E">
        <w:rPr>
          <w:rFonts w:ascii="Cambria" w:hAnsi="Cambria"/>
          <w:sz w:val="20"/>
          <w:szCs w:val="20"/>
          <w:lang w:val="es-PE"/>
        </w:rPr>
        <w:t>Leguizamón</w:t>
      </w:r>
      <w:r w:rsidR="00BD6676" w:rsidRPr="00325F5E">
        <w:rPr>
          <w:rFonts w:ascii="Cambria" w:hAnsi="Cambria"/>
          <w:sz w:val="20"/>
          <w:szCs w:val="20"/>
          <w:lang w:val="es-PE"/>
        </w:rPr>
        <w:t xml:space="preserve"> habrían fallecido, por lo que </w:t>
      </w:r>
      <w:r w:rsidR="003635AA" w:rsidRPr="00325F5E">
        <w:rPr>
          <w:rFonts w:ascii="Cambria" w:hAnsi="Cambria"/>
          <w:sz w:val="20"/>
          <w:szCs w:val="20"/>
          <w:lang w:val="es-PE"/>
        </w:rPr>
        <w:t>la acción penal estar</w:t>
      </w:r>
      <w:r w:rsidR="00787606" w:rsidRPr="00325F5E">
        <w:rPr>
          <w:rFonts w:ascii="Cambria" w:hAnsi="Cambria"/>
          <w:sz w:val="20"/>
          <w:szCs w:val="20"/>
          <w:lang w:val="es-PE"/>
        </w:rPr>
        <w:t>ía extinta en relación con los mismos</w:t>
      </w:r>
      <w:r w:rsidR="00787606" w:rsidRPr="00325F5E">
        <w:rPr>
          <w:rStyle w:val="FootnoteReference"/>
          <w:rFonts w:ascii="Cambria" w:hAnsi="Cambria"/>
          <w:sz w:val="20"/>
          <w:szCs w:val="20"/>
          <w:lang w:val="es-PE"/>
        </w:rPr>
        <w:footnoteReference w:id="72"/>
      </w:r>
      <w:r w:rsidR="00787606" w:rsidRPr="00325F5E">
        <w:rPr>
          <w:rFonts w:ascii="Cambria" w:hAnsi="Cambria"/>
          <w:sz w:val="20"/>
          <w:szCs w:val="20"/>
          <w:lang w:val="es-PE"/>
        </w:rPr>
        <w:t xml:space="preserve">. </w:t>
      </w:r>
    </w:p>
    <w:p w14:paraId="3EC699E8" w14:textId="640B3837" w:rsidR="005E020B" w:rsidRPr="007A0D4C" w:rsidRDefault="005E020B" w:rsidP="007A0D4C">
      <w:pPr>
        <w:rPr>
          <w:rFonts w:ascii="Cambria" w:hAnsi="Cambria"/>
          <w:sz w:val="20"/>
          <w:szCs w:val="20"/>
          <w:lang w:val="es-PE"/>
        </w:rPr>
      </w:pPr>
    </w:p>
    <w:p w14:paraId="1D787524" w14:textId="3144BFA4" w:rsidR="005E020B" w:rsidRPr="007A0D4C" w:rsidRDefault="005E020B" w:rsidP="007A0D4C">
      <w:pPr>
        <w:pStyle w:val="Heading3"/>
      </w:pPr>
      <w:bookmarkStart w:id="26" w:name="_Toc47965326"/>
      <w:r w:rsidRPr="007A0D4C">
        <w:t xml:space="preserve">Amenazas </w:t>
      </w:r>
      <w:r w:rsidR="00C22E94" w:rsidRPr="007A0D4C">
        <w:t>a los familiares de Santiago Leguizamón</w:t>
      </w:r>
      <w:r w:rsidR="004262FB" w:rsidRPr="007A0D4C">
        <w:t xml:space="preserve"> y consecuencias sufridas con motivo de su asesinato</w:t>
      </w:r>
      <w:bookmarkEnd w:id="26"/>
    </w:p>
    <w:p w14:paraId="4F92BECD" w14:textId="4BAE9A1C" w:rsidR="00C22E94" w:rsidRPr="007A0D4C" w:rsidRDefault="00C22E94" w:rsidP="007A0D4C">
      <w:pPr>
        <w:rPr>
          <w:rFonts w:ascii="Cambria" w:hAnsi="Cambria"/>
          <w:sz w:val="20"/>
          <w:szCs w:val="20"/>
          <w:lang w:val="es-PE"/>
        </w:rPr>
      </w:pPr>
    </w:p>
    <w:p w14:paraId="7473C597" w14:textId="355FD3B2" w:rsidR="00F96A5C" w:rsidRPr="007A0D4C" w:rsidRDefault="00A629D7"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7A0D4C">
        <w:rPr>
          <w:rFonts w:ascii="Cambria" w:hAnsi="Cambria"/>
          <w:sz w:val="20"/>
          <w:szCs w:val="20"/>
          <w:lang w:val="es-PE"/>
        </w:rPr>
        <w:t xml:space="preserve">Conforme a lo alegado por la parte peticionaria, lo cual no fue controvertido por el Estado, </w:t>
      </w:r>
      <w:r w:rsidR="00D04E0F" w:rsidRPr="007A0D4C">
        <w:rPr>
          <w:rFonts w:ascii="Cambria" w:hAnsi="Cambria"/>
          <w:sz w:val="20"/>
          <w:szCs w:val="20"/>
          <w:lang w:val="es-PE"/>
        </w:rPr>
        <w:t>la esposa de Santiago Leguizamón</w:t>
      </w:r>
      <w:r w:rsidR="001E689E" w:rsidRPr="007A0D4C">
        <w:rPr>
          <w:rFonts w:ascii="Cambria" w:hAnsi="Cambria"/>
          <w:sz w:val="20"/>
          <w:szCs w:val="20"/>
          <w:lang w:val="es-PE"/>
        </w:rPr>
        <w:t xml:space="preserve"> y sus hijos, fueron objeto de amenazas con posterioridad al asesinato del periodista.</w:t>
      </w:r>
      <w:r w:rsidR="005F0488" w:rsidRPr="007A0D4C">
        <w:rPr>
          <w:rFonts w:ascii="Cambria" w:hAnsi="Cambria"/>
          <w:sz w:val="20"/>
          <w:szCs w:val="20"/>
          <w:lang w:val="es-PE"/>
        </w:rPr>
        <w:t xml:space="preserve"> </w:t>
      </w:r>
      <w:r w:rsidR="00505860" w:rsidRPr="007A0D4C">
        <w:rPr>
          <w:rFonts w:ascii="Cambria" w:hAnsi="Cambria"/>
          <w:sz w:val="20"/>
          <w:szCs w:val="20"/>
          <w:lang w:val="es-PE"/>
        </w:rPr>
        <w:t>Señalaron que vehículos sin placa y con vidrios polarizados</w:t>
      </w:r>
      <w:r w:rsidR="00397C26" w:rsidRPr="007A0D4C">
        <w:rPr>
          <w:rFonts w:ascii="Cambria" w:hAnsi="Cambria"/>
          <w:sz w:val="20"/>
          <w:szCs w:val="20"/>
          <w:lang w:val="es-PE"/>
        </w:rPr>
        <w:t xml:space="preserve"> merodeaban y se estacionaban en la zona</w:t>
      </w:r>
      <w:r w:rsidR="00D540A5" w:rsidRPr="007A0D4C">
        <w:rPr>
          <w:rFonts w:ascii="Cambria" w:hAnsi="Cambria"/>
          <w:sz w:val="20"/>
          <w:szCs w:val="20"/>
          <w:lang w:val="es-PE"/>
        </w:rPr>
        <w:t xml:space="preserve">, </w:t>
      </w:r>
      <w:r w:rsidR="0091706F" w:rsidRPr="007A0D4C">
        <w:rPr>
          <w:rFonts w:ascii="Cambria" w:hAnsi="Cambria"/>
          <w:sz w:val="20"/>
          <w:szCs w:val="20"/>
          <w:lang w:val="es-PE"/>
        </w:rPr>
        <w:t>incluso</w:t>
      </w:r>
      <w:r w:rsidR="00D540A5" w:rsidRPr="007A0D4C">
        <w:rPr>
          <w:rFonts w:ascii="Cambria" w:hAnsi="Cambria"/>
          <w:sz w:val="20"/>
          <w:szCs w:val="20"/>
          <w:lang w:val="es-PE"/>
        </w:rPr>
        <w:t xml:space="preserve"> el día del velatorio en Asunción. </w:t>
      </w:r>
      <w:r w:rsidR="00251A5D" w:rsidRPr="007A0D4C">
        <w:rPr>
          <w:rFonts w:ascii="Cambria" w:hAnsi="Cambria"/>
          <w:sz w:val="20"/>
          <w:szCs w:val="20"/>
          <w:lang w:val="es-PE"/>
        </w:rPr>
        <w:t xml:space="preserve">Los hijos de Santiago Leguizamón, Dante y Sebastián recibieron llamadas anónimas con extrañas invitaciones </w:t>
      </w:r>
      <w:r w:rsidR="009D2EB6" w:rsidRPr="007A0D4C">
        <w:rPr>
          <w:rFonts w:ascii="Cambria" w:hAnsi="Cambria"/>
          <w:sz w:val="20"/>
          <w:szCs w:val="20"/>
          <w:lang w:val="es-PE"/>
        </w:rPr>
        <w:t>y consultas sobre a qué hora salían de la escuela para buscarlos allí.</w:t>
      </w:r>
      <w:r w:rsidR="009A370A" w:rsidRPr="007A0D4C">
        <w:rPr>
          <w:rFonts w:ascii="Cambria" w:hAnsi="Cambria"/>
          <w:sz w:val="20"/>
          <w:szCs w:val="20"/>
          <w:lang w:val="es-PE"/>
        </w:rPr>
        <w:t xml:space="preserve"> El 1 de mayo de 1991, la señora Ana María Morra recibió una llamada </w:t>
      </w:r>
      <w:r w:rsidR="00367265" w:rsidRPr="007A0D4C">
        <w:rPr>
          <w:rFonts w:ascii="Cambria" w:hAnsi="Cambria"/>
          <w:sz w:val="20"/>
          <w:szCs w:val="20"/>
          <w:lang w:val="es-PE"/>
        </w:rPr>
        <w:t>de una persona desconocida diciendo que era el asesino de Santiago.</w:t>
      </w:r>
      <w:r w:rsidR="000A52D9" w:rsidRPr="007A0D4C">
        <w:rPr>
          <w:rFonts w:ascii="Cambria" w:hAnsi="Cambria"/>
          <w:sz w:val="20"/>
          <w:szCs w:val="20"/>
          <w:lang w:val="es-PE"/>
        </w:rPr>
        <w:t xml:space="preserve"> Según los peticionarios, no controvertido por el Estado, ante dicha situación se solicitó </w:t>
      </w:r>
      <w:r w:rsidR="001A29AB" w:rsidRPr="007A0D4C">
        <w:rPr>
          <w:rFonts w:ascii="Cambria" w:hAnsi="Cambria"/>
          <w:sz w:val="20"/>
          <w:szCs w:val="20"/>
          <w:lang w:val="es-PE"/>
        </w:rPr>
        <w:t>custodia policial la que se mantuvo en la casa de la familia hasta noviembre de 1991</w:t>
      </w:r>
      <w:r w:rsidR="00B82CF8" w:rsidRPr="007A0D4C">
        <w:rPr>
          <w:rFonts w:ascii="Cambria" w:hAnsi="Cambria"/>
          <w:sz w:val="20"/>
          <w:szCs w:val="20"/>
          <w:lang w:val="es-PE"/>
        </w:rPr>
        <w:t>. E</w:t>
      </w:r>
      <w:r w:rsidR="001A29AB" w:rsidRPr="007A0D4C">
        <w:rPr>
          <w:rFonts w:ascii="Cambria" w:hAnsi="Cambria"/>
          <w:sz w:val="20"/>
          <w:szCs w:val="20"/>
          <w:lang w:val="es-PE"/>
        </w:rPr>
        <w:t xml:space="preserve">n junio de 1991 se cambió el número telefónico </w:t>
      </w:r>
      <w:r w:rsidR="00052D1E" w:rsidRPr="007A0D4C">
        <w:rPr>
          <w:rFonts w:ascii="Cambria" w:hAnsi="Cambria"/>
          <w:sz w:val="20"/>
          <w:szCs w:val="20"/>
          <w:lang w:val="es-PE"/>
        </w:rPr>
        <w:t>y se mantuvo en confidencialidad</w:t>
      </w:r>
      <w:r w:rsidR="00105550" w:rsidRPr="007A0D4C">
        <w:rPr>
          <w:rStyle w:val="FootnoteReference"/>
          <w:rFonts w:ascii="Cambria" w:hAnsi="Cambria"/>
          <w:sz w:val="20"/>
          <w:szCs w:val="20"/>
          <w:lang w:val="es-PE"/>
        </w:rPr>
        <w:footnoteReference w:id="73"/>
      </w:r>
      <w:r w:rsidR="00052D1E" w:rsidRPr="007A0D4C">
        <w:rPr>
          <w:rFonts w:ascii="Cambria" w:hAnsi="Cambria"/>
          <w:sz w:val="20"/>
          <w:szCs w:val="20"/>
          <w:lang w:val="es-PE"/>
        </w:rPr>
        <w:t xml:space="preserve">. </w:t>
      </w:r>
    </w:p>
    <w:p w14:paraId="38492543" w14:textId="77777777" w:rsidR="00E04A6B" w:rsidRPr="007A0D4C" w:rsidRDefault="00E04A6B"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62EDB9CF" w14:textId="795B8CC2" w:rsidR="00A105B1" w:rsidRPr="007C4A01" w:rsidRDefault="001F7302"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7A0D4C">
        <w:rPr>
          <w:rFonts w:ascii="Cambria" w:hAnsi="Cambria"/>
          <w:sz w:val="20"/>
          <w:szCs w:val="20"/>
          <w:lang w:val="es-PE"/>
        </w:rPr>
        <w:t xml:space="preserve">Según la parte peticionaria, debido </w:t>
      </w:r>
      <w:r w:rsidR="00A105B1" w:rsidRPr="007A0D4C">
        <w:rPr>
          <w:rFonts w:ascii="Cambria" w:hAnsi="Cambria"/>
          <w:sz w:val="20"/>
          <w:szCs w:val="20"/>
          <w:lang w:val="es-PE"/>
        </w:rPr>
        <w:t xml:space="preserve">a </w:t>
      </w:r>
      <w:r w:rsidR="00B82CF8" w:rsidRPr="007A0D4C">
        <w:rPr>
          <w:rFonts w:ascii="Cambria" w:hAnsi="Cambria"/>
          <w:sz w:val="20"/>
          <w:szCs w:val="20"/>
          <w:lang w:val="es-PE"/>
        </w:rPr>
        <w:t>“</w:t>
      </w:r>
      <w:r w:rsidR="00A105B1" w:rsidRPr="007A0D4C">
        <w:rPr>
          <w:rFonts w:ascii="Cambria" w:hAnsi="Cambria"/>
          <w:sz w:val="20"/>
          <w:szCs w:val="20"/>
          <w:lang w:val="es-PE"/>
        </w:rPr>
        <w:t xml:space="preserve">las constantes amenazas y a las llamadas telefónicas entre otras cosas, la familia Leguizamón Morra decidió no exponer ante el Juzgado los detalles con los que contaba, debido a que no existían garantías </w:t>
      </w:r>
      <w:r w:rsidR="00A105B1" w:rsidRPr="007C4A01">
        <w:rPr>
          <w:rFonts w:ascii="Cambria" w:hAnsi="Cambria"/>
          <w:sz w:val="20"/>
          <w:szCs w:val="20"/>
          <w:lang w:val="es-PE"/>
        </w:rPr>
        <w:t>por parte del Estado Paraguayo</w:t>
      </w:r>
      <w:r w:rsidR="002067AF" w:rsidRPr="007C4A01">
        <w:rPr>
          <w:rFonts w:ascii="Cambria" w:hAnsi="Cambria"/>
          <w:sz w:val="20"/>
          <w:szCs w:val="20"/>
          <w:lang w:val="es-PE"/>
        </w:rPr>
        <w:t>”</w:t>
      </w:r>
      <w:r w:rsidR="00105550" w:rsidRPr="007C4A01">
        <w:rPr>
          <w:rStyle w:val="FootnoteReference"/>
          <w:rFonts w:ascii="Cambria" w:hAnsi="Cambria"/>
          <w:sz w:val="20"/>
          <w:szCs w:val="20"/>
          <w:lang w:val="es-PE"/>
        </w:rPr>
        <w:footnoteReference w:id="74"/>
      </w:r>
      <w:r w:rsidR="00A105B1" w:rsidRPr="007C4A01">
        <w:rPr>
          <w:rFonts w:ascii="Cambria" w:hAnsi="Cambria"/>
          <w:sz w:val="20"/>
          <w:szCs w:val="20"/>
          <w:lang w:val="es-PE"/>
        </w:rPr>
        <w:t xml:space="preserve">. </w:t>
      </w:r>
      <w:r w:rsidR="00461DBF" w:rsidRPr="007C4A01">
        <w:rPr>
          <w:rFonts w:ascii="Cambria" w:hAnsi="Cambria"/>
          <w:sz w:val="20"/>
          <w:szCs w:val="20"/>
          <w:lang w:val="es-PE"/>
        </w:rPr>
        <w:t>No consta en el expediente ante la Comisión la presentación de una denuncia o el inicio de ofici</w:t>
      </w:r>
      <w:r w:rsidR="00CC0E08" w:rsidRPr="007C4A01">
        <w:rPr>
          <w:rFonts w:ascii="Cambria" w:hAnsi="Cambria"/>
          <w:sz w:val="20"/>
          <w:szCs w:val="20"/>
          <w:lang w:val="es-PE"/>
        </w:rPr>
        <w:t>o de una investigación ante las amenazas</w:t>
      </w:r>
      <w:r w:rsidR="005E5DED" w:rsidRPr="007C4A01">
        <w:rPr>
          <w:rFonts w:ascii="Cambria" w:hAnsi="Cambria"/>
          <w:sz w:val="20"/>
          <w:szCs w:val="20"/>
          <w:lang w:val="es-PE"/>
        </w:rPr>
        <w:t xml:space="preserve"> descritas.</w:t>
      </w:r>
    </w:p>
    <w:p w14:paraId="5B1981D2" w14:textId="77777777" w:rsidR="00A105B1" w:rsidRPr="007A0D4C" w:rsidRDefault="00A105B1"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6AEFFB7E" w14:textId="41DEF367" w:rsidR="00105550" w:rsidRPr="007A0D4C" w:rsidRDefault="00AA67DF"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7A0D4C">
        <w:rPr>
          <w:rFonts w:ascii="Cambria" w:hAnsi="Cambria"/>
          <w:sz w:val="20"/>
          <w:szCs w:val="20"/>
          <w:lang w:val="es-PE"/>
        </w:rPr>
        <w:t xml:space="preserve">La muerte de Santiago Leguizamón afectó emocional y económicamente a su esposa e hijos. La señora Ana María Morra </w:t>
      </w:r>
      <w:r w:rsidR="00440F21">
        <w:rPr>
          <w:rFonts w:ascii="Cambria" w:hAnsi="Cambria"/>
          <w:sz w:val="20"/>
          <w:szCs w:val="20"/>
          <w:lang w:val="es-PE"/>
        </w:rPr>
        <w:t xml:space="preserve">recibía </w:t>
      </w:r>
      <w:r w:rsidR="00AD72FB" w:rsidRPr="007A0D4C">
        <w:rPr>
          <w:rFonts w:ascii="Cambria" w:hAnsi="Cambria"/>
          <w:sz w:val="20"/>
          <w:szCs w:val="20"/>
          <w:lang w:val="es-PE"/>
        </w:rPr>
        <w:t>un salario que no le permitía sostener económicamente al hogar, por</w:t>
      </w:r>
      <w:r w:rsidR="007010D2" w:rsidRPr="007A0D4C">
        <w:rPr>
          <w:rFonts w:ascii="Cambria" w:hAnsi="Cambria"/>
          <w:sz w:val="20"/>
          <w:szCs w:val="20"/>
          <w:lang w:val="es-PE"/>
        </w:rPr>
        <w:t xml:space="preserve"> lo que </w:t>
      </w:r>
      <w:r w:rsidR="00C25E2B" w:rsidRPr="007A0D4C">
        <w:rPr>
          <w:rFonts w:ascii="Cambria" w:hAnsi="Cambria"/>
          <w:sz w:val="20"/>
          <w:szCs w:val="20"/>
          <w:lang w:val="es-PE"/>
        </w:rPr>
        <w:t xml:space="preserve">el </w:t>
      </w:r>
      <w:r w:rsidR="00105550" w:rsidRPr="007A0D4C">
        <w:rPr>
          <w:rFonts w:ascii="Cambria" w:hAnsi="Cambria"/>
          <w:sz w:val="20"/>
          <w:szCs w:val="20"/>
          <w:lang w:val="es-PE"/>
        </w:rPr>
        <w:t>director</w:t>
      </w:r>
      <w:r w:rsidR="00C25E2B" w:rsidRPr="007A0D4C">
        <w:rPr>
          <w:rFonts w:ascii="Cambria" w:hAnsi="Cambria"/>
          <w:sz w:val="20"/>
          <w:szCs w:val="20"/>
          <w:lang w:val="es-PE"/>
        </w:rPr>
        <w:t xml:space="preserve"> del Diario ABC Color, Aldo Zucolillo, </w:t>
      </w:r>
      <w:r w:rsidR="005E5DED" w:rsidRPr="007A0D4C">
        <w:rPr>
          <w:rFonts w:ascii="Cambria" w:hAnsi="Cambria"/>
          <w:sz w:val="20"/>
          <w:szCs w:val="20"/>
          <w:lang w:val="es-PE"/>
        </w:rPr>
        <w:t>pagó</w:t>
      </w:r>
      <w:r w:rsidR="00C25E2B" w:rsidRPr="007A0D4C">
        <w:rPr>
          <w:rFonts w:ascii="Cambria" w:hAnsi="Cambria"/>
          <w:sz w:val="20"/>
          <w:szCs w:val="20"/>
          <w:lang w:val="es-PE"/>
        </w:rPr>
        <w:t xml:space="preserve"> la educación de los hijos de</w:t>
      </w:r>
      <w:r w:rsidR="00440F21">
        <w:rPr>
          <w:rFonts w:ascii="Cambria" w:hAnsi="Cambria"/>
          <w:sz w:val="20"/>
          <w:szCs w:val="20"/>
          <w:lang w:val="es-PE"/>
        </w:rPr>
        <w:t>l periodista</w:t>
      </w:r>
      <w:r w:rsidR="00C25E2B" w:rsidRPr="007A0D4C">
        <w:rPr>
          <w:rFonts w:ascii="Cambria" w:hAnsi="Cambria"/>
          <w:sz w:val="20"/>
          <w:szCs w:val="20"/>
          <w:lang w:val="es-PE"/>
        </w:rPr>
        <w:t xml:space="preserve"> </w:t>
      </w:r>
      <w:r w:rsidR="00440F21">
        <w:rPr>
          <w:rFonts w:ascii="Cambria" w:hAnsi="Cambria"/>
          <w:sz w:val="20"/>
          <w:szCs w:val="20"/>
          <w:lang w:val="es-PE"/>
        </w:rPr>
        <w:t xml:space="preserve">con el fin de que pudieran </w:t>
      </w:r>
      <w:r w:rsidR="00440F21">
        <w:rPr>
          <w:rFonts w:ascii="Cambria" w:hAnsi="Cambria"/>
          <w:sz w:val="20"/>
          <w:szCs w:val="20"/>
          <w:lang w:val="es-PE"/>
        </w:rPr>
        <w:lastRenderedPageBreak/>
        <w:t xml:space="preserve">continuar sus estudios </w:t>
      </w:r>
      <w:r w:rsidR="00C25E2B" w:rsidRPr="007A0D4C">
        <w:rPr>
          <w:rFonts w:ascii="Cambria" w:hAnsi="Cambria"/>
          <w:sz w:val="20"/>
          <w:szCs w:val="20"/>
          <w:lang w:val="es-PE"/>
        </w:rPr>
        <w:t>entre</w:t>
      </w:r>
      <w:r w:rsidR="00440F21">
        <w:rPr>
          <w:rFonts w:ascii="Cambria" w:hAnsi="Cambria"/>
          <w:sz w:val="20"/>
          <w:szCs w:val="20"/>
          <w:lang w:val="es-PE"/>
        </w:rPr>
        <w:t xml:space="preserve"> los años</w:t>
      </w:r>
      <w:r w:rsidR="00C25E2B" w:rsidRPr="007A0D4C">
        <w:rPr>
          <w:rFonts w:ascii="Cambria" w:hAnsi="Cambria"/>
          <w:sz w:val="20"/>
          <w:szCs w:val="20"/>
          <w:lang w:val="es-PE"/>
        </w:rPr>
        <w:t xml:space="preserve"> 1991 y 2008. Si bien, </w:t>
      </w:r>
      <w:r w:rsidR="00562FE2" w:rsidRPr="007A0D4C">
        <w:rPr>
          <w:rFonts w:ascii="Cambria" w:hAnsi="Cambria"/>
          <w:sz w:val="20"/>
          <w:szCs w:val="20"/>
          <w:lang w:val="es-PE"/>
        </w:rPr>
        <w:t>el Estado asignó una pensión graciable</w:t>
      </w:r>
      <w:r w:rsidR="00151EDD" w:rsidRPr="007A0D4C">
        <w:rPr>
          <w:rFonts w:ascii="Cambria" w:hAnsi="Cambria"/>
          <w:sz w:val="20"/>
          <w:szCs w:val="20"/>
          <w:lang w:val="es-PE"/>
        </w:rPr>
        <w:t xml:space="preserve"> de aproximadamente $26</w:t>
      </w:r>
      <w:r w:rsidR="00562FE2" w:rsidRPr="007A0D4C">
        <w:rPr>
          <w:rFonts w:ascii="Cambria" w:hAnsi="Cambria"/>
          <w:sz w:val="20"/>
          <w:szCs w:val="20"/>
          <w:lang w:val="es-PE"/>
        </w:rPr>
        <w:t xml:space="preserve"> a cada uno de los hijos</w:t>
      </w:r>
      <w:r w:rsidR="00D278B4" w:rsidRPr="007A0D4C">
        <w:rPr>
          <w:rFonts w:ascii="Cambria" w:hAnsi="Cambria"/>
          <w:sz w:val="20"/>
          <w:szCs w:val="20"/>
          <w:lang w:val="es-PE"/>
        </w:rPr>
        <w:t xml:space="preserve"> del periodista, el monto era insuficiente</w:t>
      </w:r>
      <w:r w:rsidR="00151EDD" w:rsidRPr="007A0D4C">
        <w:rPr>
          <w:rFonts w:ascii="Cambria" w:hAnsi="Cambria"/>
          <w:sz w:val="20"/>
          <w:szCs w:val="20"/>
          <w:lang w:val="es-PE"/>
        </w:rPr>
        <w:t xml:space="preserve">. La situación descrita </w:t>
      </w:r>
      <w:r w:rsidR="00C00184" w:rsidRPr="007A0D4C">
        <w:rPr>
          <w:rFonts w:ascii="Cambria" w:hAnsi="Cambria"/>
          <w:sz w:val="20"/>
          <w:szCs w:val="20"/>
          <w:lang w:val="es-PE"/>
        </w:rPr>
        <w:t>derivó en que Dante y Sebastián trabajaran desde jóvenes</w:t>
      </w:r>
      <w:r w:rsidR="00415FE2" w:rsidRPr="007A0D4C">
        <w:rPr>
          <w:rFonts w:ascii="Cambria" w:hAnsi="Cambria"/>
          <w:sz w:val="20"/>
          <w:szCs w:val="20"/>
          <w:lang w:val="es-PE"/>
        </w:rPr>
        <w:t xml:space="preserve"> para colaborar con los gastos de la casa. Si bien Dante concluyó sus estudios de derecho, Sebastián debió dejar la universidad por no poder costearla</w:t>
      </w:r>
      <w:r w:rsidR="00105550" w:rsidRPr="007A0D4C">
        <w:rPr>
          <w:rStyle w:val="FootnoteReference"/>
          <w:rFonts w:ascii="Cambria" w:hAnsi="Cambria"/>
          <w:sz w:val="20"/>
          <w:szCs w:val="20"/>
          <w:lang w:val="es-PE"/>
        </w:rPr>
        <w:footnoteReference w:id="75"/>
      </w:r>
      <w:r w:rsidR="00415FE2" w:rsidRPr="007A0D4C">
        <w:rPr>
          <w:rFonts w:ascii="Cambria" w:hAnsi="Cambria"/>
          <w:sz w:val="20"/>
          <w:szCs w:val="20"/>
          <w:lang w:val="es-PE"/>
        </w:rPr>
        <w:t xml:space="preserve">. </w:t>
      </w:r>
    </w:p>
    <w:p w14:paraId="267B8E0F" w14:textId="20795CF6" w:rsidR="001E123D" w:rsidRPr="007A0D4C" w:rsidRDefault="00C00184" w:rsidP="007A0D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r w:rsidRPr="007A0D4C">
        <w:rPr>
          <w:rFonts w:ascii="Cambria" w:hAnsi="Cambria"/>
          <w:sz w:val="20"/>
          <w:szCs w:val="20"/>
          <w:lang w:val="es-PE"/>
        </w:rPr>
        <w:t xml:space="preserve"> </w:t>
      </w:r>
    </w:p>
    <w:p w14:paraId="23BCE01E" w14:textId="77777777" w:rsidR="00240F3F" w:rsidRPr="009B49A7" w:rsidRDefault="00240F3F" w:rsidP="009B49A7">
      <w:pPr>
        <w:pStyle w:val="Heading1"/>
        <w:rPr>
          <w:lang w:val="es-VE"/>
        </w:rPr>
      </w:pPr>
      <w:bookmarkStart w:id="27" w:name="_Toc534905528"/>
      <w:bookmarkStart w:id="28" w:name="_Toc4417452"/>
      <w:bookmarkStart w:id="29" w:name="_Toc47965327"/>
      <w:r w:rsidRPr="009B49A7">
        <w:rPr>
          <w:lang w:val="es-VE"/>
        </w:rPr>
        <w:t>ANÁLISIS DE DERECHO</w:t>
      </w:r>
      <w:bookmarkEnd w:id="27"/>
      <w:bookmarkEnd w:id="28"/>
      <w:bookmarkEnd w:id="29"/>
    </w:p>
    <w:p w14:paraId="428CE532" w14:textId="77777777" w:rsidR="007E2BA7" w:rsidRPr="009B49A7" w:rsidRDefault="007E2BA7" w:rsidP="009B49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bookmarkStart w:id="30" w:name="_Toc534905529"/>
    </w:p>
    <w:p w14:paraId="744C1947" w14:textId="212C8731" w:rsidR="0095508E" w:rsidRPr="0087519F" w:rsidRDefault="006163B3"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_tradnl"/>
        </w:rPr>
      </w:pPr>
      <w:r w:rsidRPr="0087519F">
        <w:rPr>
          <w:rFonts w:ascii="Cambria" w:hAnsi="Cambria"/>
          <w:bCs/>
          <w:sz w:val="20"/>
          <w:szCs w:val="20"/>
          <w:lang w:val="es-CO"/>
        </w:rPr>
        <w:t xml:space="preserve">Tomando en cuenta los alegatos de las </w:t>
      </w:r>
      <w:r w:rsidR="0087519F" w:rsidRPr="0087519F">
        <w:rPr>
          <w:rFonts w:ascii="Cambria" w:hAnsi="Cambria"/>
          <w:bCs/>
          <w:sz w:val="20"/>
          <w:szCs w:val="20"/>
          <w:lang w:val="es-CO"/>
        </w:rPr>
        <w:t>partes,</w:t>
      </w:r>
      <w:r w:rsidRPr="0087519F">
        <w:rPr>
          <w:rFonts w:ascii="Cambria" w:hAnsi="Cambria"/>
          <w:bCs/>
          <w:sz w:val="20"/>
          <w:szCs w:val="20"/>
          <w:lang w:val="es-CO"/>
        </w:rPr>
        <w:t xml:space="preserve"> así como los hechos del presente caso, la Comisión efectuará </w:t>
      </w:r>
      <w:r w:rsidRPr="0087519F">
        <w:rPr>
          <w:rFonts w:ascii="Cambria" w:hAnsi="Cambria"/>
          <w:sz w:val="20"/>
          <w:szCs w:val="20"/>
          <w:lang w:val="es-CO"/>
        </w:rPr>
        <w:t>su</w:t>
      </w:r>
      <w:r w:rsidRPr="0087519F">
        <w:rPr>
          <w:rFonts w:ascii="Cambria" w:hAnsi="Cambria"/>
          <w:bCs/>
          <w:sz w:val="20"/>
          <w:szCs w:val="20"/>
          <w:lang w:val="es-CO"/>
        </w:rPr>
        <w:t xml:space="preserve"> análisis de derecho en </w:t>
      </w:r>
      <w:r w:rsidR="006F644F" w:rsidRPr="0087519F">
        <w:rPr>
          <w:rFonts w:ascii="Cambria" w:hAnsi="Cambria"/>
          <w:bCs/>
          <w:sz w:val="20"/>
          <w:szCs w:val="20"/>
          <w:lang w:val="es-CO"/>
        </w:rPr>
        <w:t xml:space="preserve">dos apartados. El primero seguirá </w:t>
      </w:r>
      <w:r w:rsidRPr="0087519F">
        <w:rPr>
          <w:rFonts w:ascii="Cambria" w:hAnsi="Cambria"/>
          <w:bCs/>
          <w:sz w:val="20"/>
          <w:szCs w:val="20"/>
          <w:lang w:val="es-CO"/>
        </w:rPr>
        <w:t xml:space="preserve">el siguiente orden: i) </w:t>
      </w:r>
      <w:bookmarkEnd w:id="30"/>
      <w:r w:rsidR="0059373E" w:rsidRPr="0087519F">
        <w:rPr>
          <w:rFonts w:ascii="Cambria" w:hAnsi="Cambria"/>
          <w:bCs/>
          <w:sz w:val="20"/>
          <w:szCs w:val="20"/>
          <w:lang w:val="es-CO"/>
        </w:rPr>
        <w:t xml:space="preserve">consideraciones </w:t>
      </w:r>
      <w:r w:rsidR="0059373E" w:rsidRPr="0087519F">
        <w:rPr>
          <w:rFonts w:ascii="Cambria" w:hAnsi="Cambria"/>
          <w:sz w:val="20"/>
          <w:szCs w:val="20"/>
          <w:lang w:val="es-PE"/>
        </w:rPr>
        <w:t>generales sobre el rol trascendental de la prensa y las obligaciones positivas de los Estados frente a crímenes contra periodistas cometidos por el ejercicio de la libertad de expresión; ii)</w:t>
      </w:r>
      <w:r w:rsidR="006F644F" w:rsidRPr="0087519F">
        <w:rPr>
          <w:rFonts w:ascii="Cambria" w:hAnsi="Cambria"/>
          <w:sz w:val="20"/>
          <w:szCs w:val="20"/>
          <w:lang w:val="es-ES_tradnl"/>
        </w:rPr>
        <w:t xml:space="preserve"> consideraciones </w:t>
      </w:r>
      <w:r w:rsidR="0059373E" w:rsidRPr="0087519F">
        <w:rPr>
          <w:rFonts w:ascii="Cambria" w:hAnsi="Cambria"/>
          <w:sz w:val="20"/>
          <w:szCs w:val="20"/>
          <w:lang w:val="es-US"/>
        </w:rPr>
        <w:t>s</w:t>
      </w:r>
      <w:r w:rsidR="0059373E" w:rsidRPr="0087519F">
        <w:rPr>
          <w:rFonts w:ascii="Cambria" w:hAnsi="Cambria"/>
          <w:sz w:val="20"/>
          <w:szCs w:val="20"/>
          <w:lang w:val="es-PE"/>
        </w:rPr>
        <w:t xml:space="preserve">obre el deber de prevención </w:t>
      </w:r>
      <w:r w:rsidR="00AD29FD">
        <w:rPr>
          <w:rFonts w:ascii="Cambria" w:hAnsi="Cambria"/>
          <w:sz w:val="20"/>
          <w:szCs w:val="20"/>
          <w:lang w:val="es-PE"/>
        </w:rPr>
        <w:t>de la violación a</w:t>
      </w:r>
      <w:r w:rsidR="0059373E" w:rsidRPr="0087519F">
        <w:rPr>
          <w:rFonts w:ascii="Cambria" w:hAnsi="Cambria"/>
          <w:sz w:val="20"/>
          <w:szCs w:val="20"/>
          <w:lang w:val="es-PE"/>
        </w:rPr>
        <w:t>l derecho a la vida y la obligación de proteger a periodistas expuestos a un riesgo especial</w:t>
      </w:r>
      <w:r w:rsidR="0087519F" w:rsidRPr="0087519F">
        <w:rPr>
          <w:rFonts w:ascii="Cambria" w:hAnsi="Cambria"/>
          <w:sz w:val="20"/>
          <w:szCs w:val="20"/>
          <w:lang w:val="es-PE"/>
        </w:rPr>
        <w:t xml:space="preserve">; c) consideraciones </w:t>
      </w:r>
      <w:r w:rsidR="0095508E" w:rsidRPr="0087519F">
        <w:rPr>
          <w:rFonts w:ascii="Cambria" w:hAnsi="Cambria"/>
          <w:sz w:val="20"/>
          <w:szCs w:val="20"/>
          <w:lang w:val="es-PE"/>
        </w:rPr>
        <w:t>generales sobre el deber de investigar crímenes contra periodistas por el ejercicio de su derecho a la libertad de expresión</w:t>
      </w:r>
      <w:r w:rsidR="0087519F" w:rsidRPr="0087519F">
        <w:rPr>
          <w:rFonts w:ascii="Cambria" w:hAnsi="Cambria"/>
          <w:sz w:val="20"/>
          <w:szCs w:val="20"/>
          <w:lang w:val="es-PE"/>
        </w:rPr>
        <w:t>, y d) análisis del caso. El segundo apartado desarrollará el derecho a la integridad personal de los familiares de Santiago Leguizamón.</w:t>
      </w:r>
    </w:p>
    <w:p w14:paraId="0664923D" w14:textId="51F2A384" w:rsidR="004118F7" w:rsidRPr="009B49A7" w:rsidRDefault="004118F7" w:rsidP="009B49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color w:val="000000"/>
          <w:sz w:val="20"/>
          <w:szCs w:val="20"/>
          <w:lang w:val="es-US"/>
        </w:rPr>
      </w:pPr>
    </w:p>
    <w:p w14:paraId="42C898B7" w14:textId="18E0E9A5" w:rsidR="0024252A" w:rsidRPr="009B49A7" w:rsidRDefault="0024252A" w:rsidP="00C870C0">
      <w:pPr>
        <w:pStyle w:val="Heading2"/>
        <w:widowControl/>
        <w:numPr>
          <w:ilvl w:val="0"/>
          <w:numId w:val="54"/>
        </w:numPr>
        <w:spacing w:before="0" w:after="0"/>
        <w:ind w:left="0" w:firstLine="0"/>
        <w:jc w:val="both"/>
        <w:rPr>
          <w:lang w:eastAsia="es-ES"/>
        </w:rPr>
      </w:pPr>
      <w:bookmarkStart w:id="31" w:name="_Toc6937380"/>
      <w:bookmarkStart w:id="32" w:name="_Toc11073108"/>
      <w:bookmarkStart w:id="33" w:name="_Toc47965328"/>
      <w:r w:rsidRPr="009B49A7">
        <w:rPr>
          <w:lang w:eastAsia="es-ES"/>
        </w:rPr>
        <w:t>Derech</w:t>
      </w:r>
      <w:r w:rsidR="00D46057" w:rsidRPr="009B49A7">
        <w:rPr>
          <w:lang w:eastAsia="es-ES"/>
        </w:rPr>
        <w:t>os</w:t>
      </w:r>
      <w:r w:rsidR="00D46057" w:rsidRPr="009B49A7">
        <w:rPr>
          <w:lang w:val="es-ES"/>
        </w:rPr>
        <w:t xml:space="preserve"> a la vida (artículo 4)</w:t>
      </w:r>
      <w:r w:rsidR="00D46057" w:rsidRPr="009B49A7">
        <w:rPr>
          <w:vertAlign w:val="superscript"/>
          <w:lang w:val="es-ES"/>
        </w:rPr>
        <w:footnoteReference w:id="76"/>
      </w:r>
      <w:r w:rsidR="00D46057" w:rsidRPr="009B49A7">
        <w:rPr>
          <w:lang w:val="es-ES"/>
        </w:rPr>
        <w:t xml:space="preserve">, </w:t>
      </w:r>
      <w:r w:rsidRPr="009B49A7">
        <w:rPr>
          <w:lang w:eastAsia="es-ES"/>
        </w:rPr>
        <w:t xml:space="preserve">a la libertad de </w:t>
      </w:r>
      <w:r w:rsidR="00702CAB" w:rsidRPr="009B49A7">
        <w:rPr>
          <w:lang w:eastAsia="es-ES"/>
        </w:rPr>
        <w:t xml:space="preserve">pensamiento y </w:t>
      </w:r>
      <w:r w:rsidR="002B34B1" w:rsidRPr="009B49A7">
        <w:rPr>
          <w:lang w:eastAsia="es-ES"/>
        </w:rPr>
        <w:t xml:space="preserve">de </w:t>
      </w:r>
      <w:r w:rsidRPr="009B49A7">
        <w:rPr>
          <w:lang w:eastAsia="es-ES"/>
        </w:rPr>
        <w:t>expresión (artículo 13)</w:t>
      </w:r>
      <w:r w:rsidRPr="009B49A7">
        <w:rPr>
          <w:rStyle w:val="FootnoteReference"/>
          <w:lang w:eastAsia="es-ES"/>
        </w:rPr>
        <w:footnoteReference w:id="77"/>
      </w:r>
      <w:r w:rsidR="00C90E06" w:rsidRPr="009B49A7">
        <w:rPr>
          <w:lang w:eastAsia="es-ES"/>
        </w:rPr>
        <w:t xml:space="preserve">, </w:t>
      </w:r>
      <w:r w:rsidR="00C90E06" w:rsidRPr="009B49A7">
        <w:rPr>
          <w:lang w:val="es-ES"/>
        </w:rPr>
        <w:t>a las garantías judiciales (artículo 8)</w:t>
      </w:r>
      <w:r w:rsidR="00C90E06" w:rsidRPr="009B49A7">
        <w:rPr>
          <w:vertAlign w:val="superscript"/>
          <w:lang w:val="es-ES"/>
        </w:rPr>
        <w:footnoteReference w:id="78"/>
      </w:r>
      <w:r w:rsidR="00C90E06" w:rsidRPr="009B49A7">
        <w:rPr>
          <w:vertAlign w:val="superscript"/>
          <w:lang w:val="es-ES"/>
        </w:rPr>
        <w:t xml:space="preserve"> </w:t>
      </w:r>
      <w:r w:rsidR="00C90E06" w:rsidRPr="009B49A7">
        <w:rPr>
          <w:lang w:val="es-ES"/>
        </w:rPr>
        <w:t>y a la protección judicial (artículo 25)</w:t>
      </w:r>
      <w:r w:rsidR="00C90E06" w:rsidRPr="009B49A7">
        <w:rPr>
          <w:vertAlign w:val="superscript"/>
          <w:lang w:val="es-ES"/>
        </w:rPr>
        <w:footnoteReference w:id="79"/>
      </w:r>
      <w:r w:rsidR="00C90E06" w:rsidRPr="009B49A7">
        <w:rPr>
          <w:lang w:val="es-ES"/>
        </w:rPr>
        <w:t xml:space="preserve"> </w:t>
      </w:r>
      <w:r w:rsidRPr="009B49A7">
        <w:rPr>
          <w:lang w:eastAsia="es-ES"/>
        </w:rPr>
        <w:t xml:space="preserve">en relación con </w:t>
      </w:r>
      <w:r w:rsidR="00C90E06" w:rsidRPr="009B49A7">
        <w:rPr>
          <w:lang w:eastAsia="es-ES"/>
        </w:rPr>
        <w:t>el</w:t>
      </w:r>
      <w:r w:rsidRPr="009B49A7">
        <w:rPr>
          <w:lang w:eastAsia="es-ES"/>
        </w:rPr>
        <w:t xml:space="preserve"> artículo 1.1</w:t>
      </w:r>
      <w:r w:rsidRPr="009B49A7">
        <w:rPr>
          <w:rStyle w:val="FootnoteReference"/>
          <w:lang w:eastAsia="es-ES"/>
        </w:rPr>
        <w:footnoteReference w:id="80"/>
      </w:r>
      <w:r w:rsidRPr="009B49A7">
        <w:rPr>
          <w:lang w:eastAsia="es-ES"/>
        </w:rPr>
        <w:t xml:space="preserve"> de la Convención Americana</w:t>
      </w:r>
      <w:bookmarkEnd w:id="31"/>
      <w:bookmarkEnd w:id="32"/>
      <w:bookmarkEnd w:id="33"/>
      <w:r w:rsidR="00702CAB" w:rsidRPr="009B49A7">
        <w:rPr>
          <w:lang w:eastAsia="es-ES"/>
        </w:rPr>
        <w:t xml:space="preserve"> </w:t>
      </w:r>
    </w:p>
    <w:p w14:paraId="50F64CED" w14:textId="271AF11D" w:rsidR="00406A1C" w:rsidRPr="009B49A7" w:rsidRDefault="00406A1C" w:rsidP="009B49A7">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eastAsia="es-ES"/>
        </w:rPr>
      </w:pPr>
    </w:p>
    <w:p w14:paraId="6FD7A51B" w14:textId="4E305218" w:rsidR="001D68F3" w:rsidRPr="002B2B42" w:rsidRDefault="00BB3EB2" w:rsidP="00C870C0">
      <w:pPr>
        <w:pStyle w:val="Heading3"/>
        <w:numPr>
          <w:ilvl w:val="0"/>
          <w:numId w:val="56"/>
        </w:numPr>
        <w:ind w:hanging="720"/>
      </w:pPr>
      <w:bookmarkStart w:id="34" w:name="_Toc47965329"/>
      <w:r w:rsidRPr="002B2B42">
        <w:t>Consideraciones generales s</w:t>
      </w:r>
      <w:r w:rsidR="008042E5" w:rsidRPr="002B2B42">
        <w:t xml:space="preserve">obre </w:t>
      </w:r>
      <w:r w:rsidR="0077565F" w:rsidRPr="002B2B42">
        <w:t xml:space="preserve">el rol trascendental de la prensa </w:t>
      </w:r>
      <w:r w:rsidR="000F4C6B" w:rsidRPr="002B2B42">
        <w:t>y</w:t>
      </w:r>
      <w:r w:rsidR="001D68F3" w:rsidRPr="002B2B42">
        <w:t xml:space="preserve"> l</w:t>
      </w:r>
      <w:r w:rsidRPr="002B2B42">
        <w:t xml:space="preserve">as obligaciones </w:t>
      </w:r>
      <w:r w:rsidR="00E13B49" w:rsidRPr="002B2B42">
        <w:t>positiva</w:t>
      </w:r>
      <w:r w:rsidR="002B2B42" w:rsidRPr="002B2B42">
        <w:t>s</w:t>
      </w:r>
      <w:r w:rsidR="00E13B49" w:rsidRPr="002B2B42">
        <w:t xml:space="preserve"> de los Estados </w:t>
      </w:r>
      <w:r w:rsidR="002B2B42" w:rsidRPr="002B2B42">
        <w:t xml:space="preserve">frente a </w:t>
      </w:r>
      <w:r w:rsidR="001D68F3" w:rsidRPr="002B2B42">
        <w:t xml:space="preserve">crímenes contra periodistas </w:t>
      </w:r>
      <w:r w:rsidR="002B2B42" w:rsidRPr="002B2B42">
        <w:t xml:space="preserve">cometidos </w:t>
      </w:r>
      <w:r w:rsidR="001D68F3" w:rsidRPr="002B2B42">
        <w:t>por el ejercicio de la libertad de expresión</w:t>
      </w:r>
      <w:bookmarkEnd w:id="34"/>
    </w:p>
    <w:p w14:paraId="4124B89D" w14:textId="77777777" w:rsidR="00ED74F2" w:rsidRPr="009B49A7" w:rsidRDefault="00ED74F2" w:rsidP="009B49A7">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eastAsia="es-ES"/>
        </w:rPr>
      </w:pPr>
    </w:p>
    <w:p w14:paraId="75939337" w14:textId="617B3C28" w:rsidR="00827806" w:rsidRPr="009B49A7" w:rsidRDefault="005E5FFB"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9B49A7">
        <w:rPr>
          <w:rFonts w:ascii="Cambria" w:hAnsi="Cambria" w:cs="Verdana"/>
          <w:sz w:val="20"/>
          <w:szCs w:val="20"/>
          <w:lang w:val="es-PE"/>
        </w:rPr>
        <w:t xml:space="preserve">La </w:t>
      </w:r>
      <w:r w:rsidR="00827806" w:rsidRPr="009B49A7">
        <w:rPr>
          <w:rFonts w:ascii="Cambria" w:hAnsi="Cambria" w:cs="Verdana"/>
          <w:sz w:val="20"/>
          <w:szCs w:val="20"/>
          <w:lang w:val="es-PE"/>
        </w:rPr>
        <w:t xml:space="preserve">Corte </w:t>
      </w:r>
      <w:r w:rsidR="00827806" w:rsidRPr="009B49A7">
        <w:rPr>
          <w:rFonts w:ascii="Cambria" w:hAnsi="Cambria" w:cs="Verdana"/>
          <w:sz w:val="20"/>
          <w:szCs w:val="20"/>
          <w:lang w:val="es-CR"/>
        </w:rPr>
        <w:t xml:space="preserve">ha enfatizado </w:t>
      </w:r>
      <w:r w:rsidR="009613F8" w:rsidRPr="009B49A7">
        <w:rPr>
          <w:rFonts w:ascii="Cambria" w:hAnsi="Cambria" w:cs="Verdana"/>
          <w:sz w:val="20"/>
          <w:szCs w:val="20"/>
          <w:lang w:val="es-CR"/>
        </w:rPr>
        <w:t xml:space="preserve">de manera constante </w:t>
      </w:r>
      <w:r w:rsidR="00827806" w:rsidRPr="009B49A7">
        <w:rPr>
          <w:rFonts w:ascii="Cambria" w:hAnsi="Cambria" w:cs="Verdana"/>
          <w:sz w:val="20"/>
          <w:szCs w:val="20"/>
          <w:lang w:val="es-CR"/>
        </w:rPr>
        <w:t>que la libertad de expresión, particularmente en asuntos de interés público, “es una piedra angular en la existencia misma de una sociedad democrática”. Sin una efectiva garantía de la</w:t>
      </w:r>
      <w:r w:rsidR="00827806" w:rsidRPr="009B49A7">
        <w:rPr>
          <w:rFonts w:ascii="Cambria" w:hAnsi="Cambria" w:cs="Verdana"/>
          <w:sz w:val="20"/>
          <w:szCs w:val="20"/>
          <w:lang w:val="es-PE"/>
        </w:rPr>
        <w:t xml:space="preserve"> </w:t>
      </w:r>
      <w:r w:rsidR="00827806" w:rsidRPr="009B49A7">
        <w:rPr>
          <w:rFonts w:ascii="Cambria" w:hAnsi="Cambria" w:cs="Verdana"/>
          <w:sz w:val="20"/>
          <w:szCs w:val="20"/>
          <w:lang w:val="es-CR"/>
        </w:rPr>
        <w:t>libertad de expresión se debilita el sistema democrático y sufren quebranto el pluralismo y</w:t>
      </w:r>
      <w:r w:rsidR="00827806" w:rsidRPr="009B49A7">
        <w:rPr>
          <w:rFonts w:ascii="Cambria" w:hAnsi="Cambria" w:cs="Verdana"/>
          <w:sz w:val="20"/>
          <w:szCs w:val="20"/>
          <w:lang w:val="es-PE"/>
        </w:rPr>
        <w:t xml:space="preserve"> </w:t>
      </w:r>
      <w:r w:rsidR="00827806" w:rsidRPr="009B49A7">
        <w:rPr>
          <w:rFonts w:ascii="Cambria" w:hAnsi="Cambria" w:cs="Verdana"/>
          <w:sz w:val="20"/>
          <w:szCs w:val="20"/>
          <w:lang w:val="es-CR"/>
        </w:rPr>
        <w:t>la tolerancia; los mecanismos de control y denuncia ciudadana pueden volverse inoperantes</w:t>
      </w:r>
      <w:r w:rsidR="00827806" w:rsidRPr="009B49A7">
        <w:rPr>
          <w:rFonts w:ascii="Cambria" w:hAnsi="Cambria" w:cs="Verdana"/>
          <w:sz w:val="20"/>
          <w:szCs w:val="20"/>
          <w:lang w:val="es-PE"/>
        </w:rPr>
        <w:t xml:space="preserve"> </w:t>
      </w:r>
      <w:r w:rsidR="00827806" w:rsidRPr="009B49A7">
        <w:rPr>
          <w:rFonts w:ascii="Cambria" w:hAnsi="Cambria" w:cs="Verdana"/>
          <w:sz w:val="20"/>
          <w:szCs w:val="20"/>
          <w:lang w:val="es-CR"/>
        </w:rPr>
        <w:t>y, en definitiva, se crea un campo fértil para que arraiguen sistemas autoritarios</w:t>
      </w:r>
      <w:r w:rsidR="00827806" w:rsidRPr="009B49A7">
        <w:rPr>
          <w:rStyle w:val="FootnoteReference"/>
          <w:rFonts w:ascii="Cambria" w:hAnsi="Cambria" w:cs="Verdana"/>
          <w:sz w:val="20"/>
          <w:szCs w:val="20"/>
        </w:rPr>
        <w:footnoteReference w:id="81"/>
      </w:r>
      <w:r w:rsidR="00827806" w:rsidRPr="009B49A7">
        <w:rPr>
          <w:rFonts w:ascii="Cambria" w:hAnsi="Cambria" w:cs="Verdana"/>
          <w:sz w:val="20"/>
          <w:szCs w:val="20"/>
          <w:lang w:val="es-PE"/>
        </w:rPr>
        <w:t>.</w:t>
      </w:r>
    </w:p>
    <w:p w14:paraId="5942CBE1" w14:textId="77777777" w:rsidR="006A5E9E" w:rsidRPr="009B49A7" w:rsidRDefault="006A5E9E" w:rsidP="006A5E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6954A19C" w14:textId="67EBD153" w:rsidR="00ED254B" w:rsidRPr="009B49A7" w:rsidRDefault="00493155"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eastAsia="es-ES"/>
        </w:rPr>
      </w:pPr>
      <w:r w:rsidRPr="009B49A7">
        <w:rPr>
          <w:rFonts w:ascii="Cambria" w:hAnsi="Cambria"/>
          <w:sz w:val="20"/>
          <w:szCs w:val="20"/>
          <w:lang w:val="es-PE" w:eastAsia="es-ES"/>
        </w:rPr>
        <w:lastRenderedPageBreak/>
        <w:t>E</w:t>
      </w:r>
      <w:r w:rsidR="0097308B" w:rsidRPr="009B49A7">
        <w:rPr>
          <w:rFonts w:ascii="Cambria" w:hAnsi="Cambria"/>
          <w:sz w:val="20"/>
          <w:szCs w:val="20"/>
          <w:lang w:val="es-PE" w:eastAsia="es-ES"/>
        </w:rPr>
        <w:t>l</w:t>
      </w:r>
      <w:r w:rsidRPr="009B49A7">
        <w:rPr>
          <w:rFonts w:ascii="Cambria" w:hAnsi="Cambria"/>
          <w:sz w:val="20"/>
          <w:szCs w:val="20"/>
          <w:lang w:val="es-PE" w:eastAsia="es-ES"/>
        </w:rPr>
        <w:t xml:space="preserve"> periodismo</w:t>
      </w:r>
      <w:r w:rsidR="00EF3503">
        <w:rPr>
          <w:rFonts w:ascii="Cambria" w:hAnsi="Cambria"/>
          <w:sz w:val="20"/>
          <w:szCs w:val="20"/>
          <w:lang w:val="es-PE" w:eastAsia="es-ES"/>
        </w:rPr>
        <w:t xml:space="preserve"> </w:t>
      </w:r>
      <w:r w:rsidRPr="009B49A7">
        <w:rPr>
          <w:rFonts w:ascii="Cambria" w:hAnsi="Cambria"/>
          <w:sz w:val="20"/>
          <w:szCs w:val="20"/>
          <w:lang w:val="es-PE" w:eastAsia="es-ES"/>
        </w:rPr>
        <w:t>representa una de las manifestaciones más importantes de la libertad de expresión e información. Las labores periodísticas y las actividades de la prensa son elementos fundamentales para el funcionamiento de las democracias, ya que son los periodistas y los medios de comunicación quienes mantienen informada a la sociedad sobre lo que ocurre y sus distintas interpretaciones, condición necesaria para que el debate público sea fuerte, informado y vigoroso</w:t>
      </w:r>
      <w:r w:rsidR="00C61829" w:rsidRPr="009B49A7">
        <w:rPr>
          <w:rStyle w:val="FootnoteReference"/>
          <w:rFonts w:ascii="Cambria" w:hAnsi="Cambria"/>
          <w:sz w:val="20"/>
          <w:szCs w:val="20"/>
          <w:lang w:val="es-PE" w:eastAsia="es-ES"/>
        </w:rPr>
        <w:footnoteReference w:id="82"/>
      </w:r>
      <w:r w:rsidRPr="009B49A7">
        <w:rPr>
          <w:rFonts w:ascii="Cambria" w:hAnsi="Cambria"/>
          <w:sz w:val="20"/>
          <w:szCs w:val="20"/>
          <w:lang w:val="es-PE" w:eastAsia="es-ES"/>
        </w:rPr>
        <w:t>. También es evidente que una prensa libre, independiente y crítica es un elemento fundamental para la vigencia de las demás libertades</w:t>
      </w:r>
      <w:r w:rsidR="007B5BCE" w:rsidRPr="009B49A7">
        <w:rPr>
          <w:rStyle w:val="FootnoteReference"/>
          <w:rFonts w:ascii="Cambria" w:hAnsi="Cambria"/>
          <w:sz w:val="20"/>
          <w:szCs w:val="20"/>
          <w:lang w:val="es-PE" w:eastAsia="es-ES"/>
        </w:rPr>
        <w:footnoteReference w:id="83"/>
      </w:r>
      <w:r w:rsidRPr="009B49A7">
        <w:rPr>
          <w:rFonts w:ascii="Cambria" w:hAnsi="Cambria"/>
          <w:sz w:val="20"/>
          <w:szCs w:val="20"/>
          <w:lang w:val="es-PE" w:eastAsia="es-ES"/>
        </w:rPr>
        <w:t>.</w:t>
      </w:r>
    </w:p>
    <w:p w14:paraId="12289E5D" w14:textId="77777777" w:rsidR="009628B9" w:rsidRPr="009B49A7" w:rsidRDefault="009628B9" w:rsidP="009B49A7">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eastAsia="es-ES"/>
        </w:rPr>
      </w:pPr>
    </w:p>
    <w:p w14:paraId="58B0CF59" w14:textId="444B354C" w:rsidR="00C07458" w:rsidRPr="009313AF" w:rsidRDefault="00556605" w:rsidP="00C0745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bdr w:val="none" w:sz="0" w:space="0" w:color="auto"/>
          <w:lang w:val="es-AR"/>
        </w:rPr>
      </w:pPr>
      <w:r w:rsidRPr="009B49A7">
        <w:rPr>
          <w:rFonts w:ascii="Cambria" w:hAnsi="Cambria"/>
          <w:sz w:val="20"/>
          <w:szCs w:val="20"/>
          <w:lang w:val="es-PE"/>
        </w:rPr>
        <w:t xml:space="preserve">Debido a lo anterior, </w:t>
      </w:r>
      <w:r w:rsidR="009628B9" w:rsidRPr="009B49A7">
        <w:rPr>
          <w:rFonts w:ascii="Cambria" w:hAnsi="Cambria"/>
          <w:sz w:val="20"/>
          <w:szCs w:val="20"/>
          <w:lang w:val="es-ES_tradnl"/>
        </w:rPr>
        <w:t xml:space="preserve">los </w:t>
      </w:r>
      <w:r w:rsidR="00CF373B" w:rsidRPr="009B49A7">
        <w:rPr>
          <w:rFonts w:ascii="Cambria" w:hAnsi="Cambria"/>
          <w:sz w:val="20"/>
          <w:szCs w:val="20"/>
          <w:lang w:val="es-ES_tradnl"/>
        </w:rPr>
        <w:t xml:space="preserve">y las </w:t>
      </w:r>
      <w:r w:rsidR="009628B9" w:rsidRPr="009B49A7">
        <w:rPr>
          <w:rFonts w:ascii="Cambria" w:hAnsi="Cambria"/>
          <w:sz w:val="20"/>
          <w:szCs w:val="20"/>
          <w:lang w:val="es-ES_tradnl"/>
        </w:rPr>
        <w:t>periodistas y trabajadores de medios de comunicación pueden estar en una situación de</w:t>
      </w:r>
      <w:r w:rsidR="009628B9" w:rsidRPr="009B49A7">
        <w:rPr>
          <w:rFonts w:ascii="Cambria" w:hAnsi="Cambria"/>
          <w:sz w:val="20"/>
          <w:szCs w:val="20"/>
          <w:lang w:val="es-PE"/>
        </w:rPr>
        <w:t xml:space="preserve"> vulnerabilidad debido al rol que cumplen en la sociedad. </w:t>
      </w:r>
      <w:r w:rsidR="00147E07">
        <w:rPr>
          <w:rFonts w:ascii="Cambria" w:hAnsi="Cambria"/>
          <w:sz w:val="20"/>
          <w:szCs w:val="20"/>
          <w:lang w:val="es-PE"/>
        </w:rPr>
        <w:t xml:space="preserve">Además, pueden sufrir diversos </w:t>
      </w:r>
      <w:r w:rsidR="00130AD5">
        <w:rPr>
          <w:rFonts w:ascii="Cambria" w:hAnsi="Cambria"/>
          <w:sz w:val="20"/>
          <w:szCs w:val="20"/>
          <w:lang w:val="es-PE"/>
        </w:rPr>
        <w:t xml:space="preserve">obstáculos con el fin de evitar que </w:t>
      </w:r>
      <w:r w:rsidR="009628B9" w:rsidRPr="009B49A7">
        <w:rPr>
          <w:rFonts w:ascii="Cambria" w:hAnsi="Cambria"/>
          <w:sz w:val="20"/>
          <w:szCs w:val="20"/>
          <w:lang w:val="es-PE"/>
        </w:rPr>
        <w:t>saquen a la luz cierta información</w:t>
      </w:r>
      <w:r w:rsidR="005A5B99">
        <w:rPr>
          <w:rFonts w:ascii="Cambria" w:hAnsi="Cambria"/>
          <w:sz w:val="20"/>
          <w:szCs w:val="20"/>
          <w:lang w:val="es-PE"/>
        </w:rPr>
        <w:t>, lo que</w:t>
      </w:r>
      <w:r w:rsidR="00D95E0A">
        <w:rPr>
          <w:rFonts w:ascii="Cambria" w:hAnsi="Cambria"/>
          <w:sz w:val="20"/>
          <w:szCs w:val="20"/>
          <w:lang w:val="es-PE"/>
        </w:rPr>
        <w:t>,</w:t>
      </w:r>
      <w:r w:rsidR="005A5B99">
        <w:rPr>
          <w:rFonts w:ascii="Cambria" w:hAnsi="Cambria"/>
          <w:sz w:val="20"/>
          <w:szCs w:val="20"/>
          <w:lang w:val="es-PE"/>
        </w:rPr>
        <w:t xml:space="preserve"> a su vez,</w:t>
      </w:r>
      <w:r w:rsidR="009628B9" w:rsidRPr="009B49A7">
        <w:rPr>
          <w:rFonts w:ascii="Cambria" w:hAnsi="Cambria"/>
          <w:sz w:val="20"/>
          <w:szCs w:val="20"/>
          <w:lang w:val="es-PE"/>
        </w:rPr>
        <w:t xml:space="preserve"> puede no solo hacerlos desistir de hacer </w:t>
      </w:r>
      <w:r w:rsidR="00851F26" w:rsidRPr="009B49A7">
        <w:rPr>
          <w:rFonts w:ascii="Cambria" w:hAnsi="Cambria"/>
          <w:sz w:val="20"/>
          <w:szCs w:val="20"/>
          <w:lang w:val="es-PE"/>
        </w:rPr>
        <w:t>denuncias,</w:t>
      </w:r>
      <w:r w:rsidR="009628B9" w:rsidRPr="009B49A7">
        <w:rPr>
          <w:rFonts w:ascii="Cambria" w:hAnsi="Cambria"/>
          <w:sz w:val="20"/>
          <w:szCs w:val="20"/>
          <w:lang w:val="es-PE"/>
        </w:rPr>
        <w:t xml:space="preserve"> sino que </w:t>
      </w:r>
      <w:r w:rsidR="009628B9" w:rsidRPr="00595807">
        <w:rPr>
          <w:rFonts w:ascii="Cambria" w:hAnsi="Cambria"/>
          <w:sz w:val="20"/>
          <w:szCs w:val="20"/>
          <w:lang w:val="es-PE"/>
        </w:rPr>
        <w:t>en muchos casos pone en riesgo su vida e integridad</w:t>
      </w:r>
      <w:r w:rsidR="008531E9" w:rsidRPr="00595807">
        <w:rPr>
          <w:rStyle w:val="FootnoteReference"/>
          <w:rFonts w:ascii="Cambria" w:hAnsi="Cambria"/>
          <w:sz w:val="20"/>
          <w:szCs w:val="20"/>
          <w:lang w:val="es-PE"/>
        </w:rPr>
        <w:footnoteReference w:id="84"/>
      </w:r>
      <w:r w:rsidR="00D60C2B" w:rsidRPr="00595807">
        <w:rPr>
          <w:rFonts w:ascii="Cambria" w:hAnsi="Cambria"/>
          <w:sz w:val="20"/>
          <w:szCs w:val="20"/>
          <w:lang w:val="es-PE"/>
        </w:rPr>
        <w:t xml:space="preserve">. </w:t>
      </w:r>
      <w:r w:rsidR="009628B9" w:rsidRPr="00595807">
        <w:rPr>
          <w:rFonts w:ascii="Cambria" w:hAnsi="Cambria"/>
          <w:sz w:val="20"/>
          <w:szCs w:val="20"/>
          <w:lang w:val="es-PE"/>
        </w:rPr>
        <w:t xml:space="preserve"> </w:t>
      </w:r>
    </w:p>
    <w:p w14:paraId="6B3C0DE5" w14:textId="77777777" w:rsidR="00C07458" w:rsidRPr="009313AF" w:rsidRDefault="00C07458" w:rsidP="009313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bdr w:val="none" w:sz="0" w:space="0" w:color="auto"/>
          <w:lang w:val="es-AR"/>
        </w:rPr>
      </w:pPr>
    </w:p>
    <w:p w14:paraId="1BE8327C" w14:textId="07654C90" w:rsidR="00C07458" w:rsidRPr="00595807" w:rsidRDefault="00C07458" w:rsidP="00C0745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bdr w:val="none" w:sz="0" w:space="0" w:color="auto"/>
          <w:lang w:val="es-AR"/>
        </w:rPr>
      </w:pPr>
      <w:r w:rsidRPr="00595807">
        <w:rPr>
          <w:rFonts w:ascii="Cambria" w:hAnsi="Cambria"/>
          <w:sz w:val="20"/>
          <w:szCs w:val="20"/>
          <w:bdr w:val="none" w:sz="0" w:space="0" w:color="auto"/>
          <w:lang w:val="es-AR"/>
        </w:rPr>
        <w:t>Como ha observado la Corte Interamericana, “el ejercicio periodístico sólo puede efectuarse libremente cuando las personas que lo realizan no son víctimas de amenazas ni de agresiones físicas, psíquicas o morales u otros actos de hostigamiento”</w:t>
      </w:r>
      <w:r w:rsidRPr="00595807">
        <w:rPr>
          <w:rFonts w:ascii="Cambria" w:hAnsi="Cambria"/>
          <w:sz w:val="20"/>
          <w:szCs w:val="20"/>
          <w:bdr w:val="none" w:sz="0" w:space="0" w:color="auto"/>
          <w:vertAlign w:val="superscript"/>
          <w:lang w:val="es-AR"/>
        </w:rPr>
        <w:footnoteReference w:id="85"/>
      </w:r>
      <w:r w:rsidRPr="00595807">
        <w:rPr>
          <w:rFonts w:ascii="Cambria" w:hAnsi="Cambria"/>
          <w:sz w:val="20"/>
          <w:szCs w:val="20"/>
          <w:bdr w:val="none" w:sz="0" w:space="0" w:color="auto"/>
          <w:lang w:val="es-AR"/>
        </w:rPr>
        <w:t xml:space="preserve">. </w:t>
      </w:r>
    </w:p>
    <w:p w14:paraId="1BFEC86C" w14:textId="77777777" w:rsidR="009C0AE8" w:rsidRPr="00C07458" w:rsidRDefault="009C0AE8" w:rsidP="009313AF">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4877635E" w14:textId="3C13B45B" w:rsidR="00FA58D4" w:rsidRPr="00595807" w:rsidRDefault="003E0CD3"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bdr w:val="none" w:sz="0" w:space="0" w:color="auto"/>
          <w:lang w:val="es-AR"/>
        </w:rPr>
      </w:pPr>
      <w:r w:rsidRPr="00595807">
        <w:rPr>
          <w:rFonts w:ascii="Cambria" w:hAnsi="Cambria" w:cs="Arial"/>
          <w:sz w:val="20"/>
          <w:szCs w:val="20"/>
          <w:lang w:val="es-PE"/>
        </w:rPr>
        <w:t xml:space="preserve">En este sentido, </w:t>
      </w:r>
      <w:r w:rsidR="000E4E66" w:rsidRPr="00595807">
        <w:rPr>
          <w:rFonts w:ascii="Cambria" w:hAnsi="Cambria"/>
          <w:sz w:val="20"/>
          <w:szCs w:val="20"/>
          <w:bdr w:val="none" w:sz="0" w:space="0" w:color="auto"/>
          <w:shd w:val="clear" w:color="auto" w:fill="FFFFFF"/>
          <w:lang w:val="es-AR"/>
        </w:rPr>
        <w:t xml:space="preserve">la violencia contra periodistas o trabajadores de los medios de comunicación con el objetivo de silenciarlos </w:t>
      </w:r>
      <w:r w:rsidR="00C625F7" w:rsidRPr="00595807">
        <w:rPr>
          <w:rFonts w:ascii="Cambria" w:hAnsi="Cambria"/>
          <w:sz w:val="20"/>
          <w:szCs w:val="20"/>
          <w:bdr w:val="none" w:sz="0" w:space="0" w:color="auto"/>
          <w:shd w:val="clear" w:color="auto" w:fill="FFFFFF"/>
          <w:lang w:val="es-AR"/>
        </w:rPr>
        <w:t xml:space="preserve">no solo </w:t>
      </w:r>
      <w:r w:rsidR="000E4E66" w:rsidRPr="00595807">
        <w:rPr>
          <w:rFonts w:ascii="Cambria" w:hAnsi="Cambria"/>
          <w:sz w:val="20"/>
          <w:szCs w:val="20"/>
          <w:bdr w:val="none" w:sz="0" w:space="0" w:color="auto"/>
          <w:shd w:val="clear" w:color="auto" w:fill="FFFFFF"/>
          <w:lang w:val="es-AR"/>
        </w:rPr>
        <w:t>constituye</w:t>
      </w:r>
      <w:r w:rsidR="00D95E0A">
        <w:rPr>
          <w:rFonts w:ascii="Cambria" w:hAnsi="Cambria"/>
          <w:sz w:val="20"/>
          <w:szCs w:val="20"/>
          <w:bdr w:val="none" w:sz="0" w:space="0" w:color="auto"/>
          <w:shd w:val="clear" w:color="auto" w:fill="FFFFFF"/>
          <w:lang w:val="es-AR"/>
        </w:rPr>
        <w:t xml:space="preserve"> una</w:t>
      </w:r>
      <w:r w:rsidR="000E4E66" w:rsidRPr="00595807">
        <w:rPr>
          <w:rFonts w:ascii="Cambria" w:hAnsi="Cambria"/>
          <w:sz w:val="20"/>
          <w:szCs w:val="20"/>
          <w:bdr w:val="none" w:sz="0" w:space="0" w:color="auto"/>
          <w:shd w:val="clear" w:color="auto" w:fill="FFFFFF"/>
          <w:lang w:val="es-AR"/>
        </w:rPr>
        <w:t xml:space="preserve"> violaci</w:t>
      </w:r>
      <w:r w:rsidR="00D95E0A">
        <w:rPr>
          <w:rFonts w:ascii="Cambria" w:hAnsi="Cambria"/>
          <w:sz w:val="20"/>
          <w:szCs w:val="20"/>
          <w:bdr w:val="none" w:sz="0" w:space="0" w:color="auto"/>
          <w:shd w:val="clear" w:color="auto" w:fill="FFFFFF"/>
          <w:lang w:val="es-AR"/>
        </w:rPr>
        <w:t>ón</w:t>
      </w:r>
      <w:r w:rsidR="000E4E66" w:rsidRPr="00595807">
        <w:rPr>
          <w:rFonts w:ascii="Cambria" w:hAnsi="Cambria"/>
          <w:sz w:val="20"/>
          <w:szCs w:val="20"/>
          <w:bdr w:val="none" w:sz="0" w:space="0" w:color="auto"/>
          <w:shd w:val="clear" w:color="auto" w:fill="FFFFFF"/>
          <w:lang w:val="es-AR"/>
        </w:rPr>
        <w:t xml:space="preserve"> al derecho a la libertad de expresión de la víctima</w:t>
      </w:r>
      <w:r w:rsidR="00C625F7" w:rsidRPr="00595807">
        <w:rPr>
          <w:rFonts w:ascii="Cambria" w:hAnsi="Cambria"/>
          <w:sz w:val="20"/>
          <w:szCs w:val="20"/>
          <w:bdr w:val="none" w:sz="0" w:space="0" w:color="auto"/>
          <w:shd w:val="clear" w:color="auto" w:fill="FFFFFF"/>
          <w:lang w:val="es-AR"/>
        </w:rPr>
        <w:t xml:space="preserve">, sino </w:t>
      </w:r>
      <w:r w:rsidR="00355DE3" w:rsidRPr="00595807">
        <w:rPr>
          <w:rFonts w:ascii="Cambria" w:hAnsi="Cambria"/>
          <w:sz w:val="20"/>
          <w:szCs w:val="20"/>
          <w:bdr w:val="none" w:sz="0" w:space="0" w:color="auto"/>
          <w:shd w:val="clear" w:color="auto" w:fill="FFFFFF"/>
          <w:lang w:val="es-AR"/>
        </w:rPr>
        <w:t>que,</w:t>
      </w:r>
      <w:r w:rsidR="00C625F7" w:rsidRPr="00595807">
        <w:rPr>
          <w:rFonts w:ascii="Cambria" w:hAnsi="Cambria"/>
          <w:sz w:val="20"/>
          <w:szCs w:val="20"/>
          <w:bdr w:val="none" w:sz="0" w:space="0" w:color="auto"/>
          <w:shd w:val="clear" w:color="auto" w:fill="FFFFFF"/>
          <w:lang w:val="es-AR"/>
        </w:rPr>
        <w:t xml:space="preserve"> </w:t>
      </w:r>
      <w:r w:rsidR="00EB31A7" w:rsidRPr="00595807">
        <w:rPr>
          <w:rFonts w:ascii="Cambria" w:hAnsi="Cambria" w:cs="Arial"/>
          <w:sz w:val="20"/>
          <w:szCs w:val="20"/>
          <w:lang w:val="es-AR"/>
        </w:rPr>
        <w:t>en particular, el homicidio</w:t>
      </w:r>
      <w:r w:rsidR="00C147B9" w:rsidRPr="00595807">
        <w:rPr>
          <w:rFonts w:ascii="Cambria" w:hAnsi="Cambria" w:cs="Arial"/>
          <w:sz w:val="20"/>
          <w:szCs w:val="20"/>
          <w:lang w:val="es-PR"/>
        </w:rPr>
        <w:t xml:space="preserve"> </w:t>
      </w:r>
      <w:r w:rsidR="00C147B9" w:rsidRPr="00595807">
        <w:rPr>
          <w:rFonts w:ascii="Cambria" w:hAnsi="Cambria"/>
          <w:bCs/>
          <w:sz w:val="20"/>
          <w:szCs w:val="20"/>
          <w:lang w:val="es-CO"/>
        </w:rPr>
        <w:t>por el ejercicio de su profesión constituye</w:t>
      </w:r>
      <w:r w:rsidR="00C147B9" w:rsidRPr="00595807">
        <w:rPr>
          <w:rFonts w:ascii="Cambria" w:hAnsi="Cambria" w:cs="Arial"/>
          <w:sz w:val="20"/>
          <w:szCs w:val="20"/>
          <w:lang w:val="es-PE"/>
        </w:rPr>
        <w:t xml:space="preserve"> </w:t>
      </w:r>
      <w:r w:rsidRPr="00595807">
        <w:rPr>
          <w:rFonts w:ascii="Cambria" w:hAnsi="Cambria" w:cs="Arial"/>
          <w:sz w:val="20"/>
          <w:szCs w:val="20"/>
          <w:lang w:val="es-PE"/>
        </w:rPr>
        <w:t xml:space="preserve">una </w:t>
      </w:r>
      <w:r w:rsidR="00AC7D22" w:rsidRPr="00595807">
        <w:rPr>
          <w:rFonts w:ascii="Cambria" w:hAnsi="Cambria" w:cs="Arial"/>
          <w:sz w:val="20"/>
          <w:szCs w:val="20"/>
          <w:lang w:val="es-PR"/>
        </w:rPr>
        <w:t xml:space="preserve">de las formas más violentas de suprimir </w:t>
      </w:r>
      <w:r w:rsidR="00C147B9" w:rsidRPr="00595807">
        <w:rPr>
          <w:rFonts w:ascii="Cambria" w:hAnsi="Cambria" w:cs="Arial"/>
          <w:sz w:val="20"/>
          <w:szCs w:val="20"/>
          <w:lang w:val="es-PR"/>
        </w:rPr>
        <w:t xml:space="preserve">dicho derecho </w:t>
      </w:r>
      <w:r w:rsidR="00EB31A7" w:rsidRPr="00595807">
        <w:rPr>
          <w:rFonts w:ascii="Cambria" w:hAnsi="Cambria" w:cs="Arial"/>
          <w:sz w:val="20"/>
          <w:szCs w:val="20"/>
          <w:lang w:val="es-PR"/>
        </w:rPr>
        <w:t xml:space="preserve">y </w:t>
      </w:r>
      <w:r w:rsidR="00A54552" w:rsidRPr="00595807">
        <w:rPr>
          <w:rFonts w:ascii="Cambria" w:hAnsi="Cambria"/>
          <w:bCs/>
          <w:sz w:val="20"/>
          <w:szCs w:val="20"/>
          <w:lang w:val="es-CO"/>
        </w:rPr>
        <w:t>la forma de censura más extrema</w:t>
      </w:r>
      <w:r w:rsidR="00A54552" w:rsidRPr="00595807">
        <w:rPr>
          <w:rStyle w:val="FootnoteReference"/>
          <w:rFonts w:ascii="Cambria" w:hAnsi="Cambria"/>
          <w:bCs/>
          <w:sz w:val="20"/>
          <w:szCs w:val="20"/>
          <w:lang w:val="es-CO"/>
        </w:rPr>
        <w:footnoteReference w:id="86"/>
      </w:r>
      <w:r w:rsidR="00A54552" w:rsidRPr="00595807">
        <w:rPr>
          <w:rFonts w:ascii="Cambria" w:hAnsi="Cambria" w:cs="Arial"/>
          <w:sz w:val="20"/>
          <w:szCs w:val="20"/>
          <w:lang w:val="es-CO"/>
        </w:rPr>
        <w:t xml:space="preserve">. </w:t>
      </w:r>
      <w:r w:rsidR="00D2330C" w:rsidRPr="00595807">
        <w:rPr>
          <w:rFonts w:ascii="Cambria" w:hAnsi="Cambria"/>
          <w:sz w:val="20"/>
          <w:szCs w:val="20"/>
          <w:lang w:val="es-PE"/>
        </w:rPr>
        <w:t>Además, l</w:t>
      </w:r>
      <w:r w:rsidR="0018370B" w:rsidRPr="00595807">
        <w:rPr>
          <w:rFonts w:ascii="Cambria" w:hAnsi="Cambria"/>
          <w:sz w:val="20"/>
          <w:szCs w:val="20"/>
          <w:lang w:val="es-PE"/>
        </w:rPr>
        <w:t xml:space="preserve">a Corte </w:t>
      </w:r>
      <w:r w:rsidR="00891028" w:rsidRPr="00595807">
        <w:rPr>
          <w:rFonts w:ascii="Cambria" w:hAnsi="Cambria"/>
          <w:sz w:val="20"/>
          <w:szCs w:val="20"/>
          <w:bdr w:val="none" w:sz="0" w:space="0" w:color="auto"/>
          <w:shd w:val="clear" w:color="auto" w:fill="FFFFFF"/>
          <w:lang w:val="es-AR"/>
        </w:rPr>
        <w:t>ha afirmado que “</w:t>
      </w:r>
      <w:r w:rsidR="00891028" w:rsidRPr="00595807">
        <w:rPr>
          <w:rFonts w:ascii="Cambria" w:hAnsi="Cambria" w:cs="Arial"/>
          <w:sz w:val="20"/>
          <w:szCs w:val="20"/>
          <w:lang w:val="es-PR"/>
        </w:rPr>
        <w:t xml:space="preserve">la combinación de violencia contra los periodistas y la impunidad tienen un impacto altamente negativo, en primer lugar, respecto a los propios periodistas y sus familias, y en segundo lugar, debido a que ha producido que diversas comunidades […] no reciban información sobre temas que les afectan, tales como el conflicto armado, el crimen </w:t>
      </w:r>
      <w:r w:rsidR="00891028" w:rsidRPr="00595807">
        <w:rPr>
          <w:rFonts w:ascii="Cambria" w:hAnsi="Cambria"/>
          <w:sz w:val="20"/>
          <w:szCs w:val="20"/>
          <w:lang w:val="es-ES"/>
        </w:rPr>
        <w:t>organizado</w:t>
      </w:r>
      <w:r w:rsidR="00891028" w:rsidRPr="00595807">
        <w:rPr>
          <w:rFonts w:ascii="Cambria" w:hAnsi="Cambria" w:cs="Arial"/>
          <w:sz w:val="20"/>
          <w:szCs w:val="20"/>
          <w:lang w:val="es-PR"/>
        </w:rPr>
        <w:t>, el narcotráfico y la corrupción política”</w:t>
      </w:r>
      <w:r w:rsidR="00891028" w:rsidRPr="00595807">
        <w:rPr>
          <w:rStyle w:val="FootnoteReference"/>
          <w:rFonts w:ascii="Cambria" w:hAnsi="Cambria" w:cs="Arial"/>
          <w:sz w:val="20"/>
          <w:szCs w:val="20"/>
          <w:lang w:val="es-PR"/>
        </w:rPr>
        <w:footnoteReference w:id="87"/>
      </w:r>
      <w:r w:rsidR="00891028" w:rsidRPr="00595807">
        <w:rPr>
          <w:rFonts w:ascii="Cambria" w:hAnsi="Cambria" w:cs="Arial"/>
          <w:sz w:val="20"/>
          <w:szCs w:val="20"/>
          <w:lang w:val="es-PR"/>
        </w:rPr>
        <w:t>.</w:t>
      </w:r>
    </w:p>
    <w:p w14:paraId="6120D932" w14:textId="77777777" w:rsidR="00DA0379" w:rsidRPr="00595807" w:rsidRDefault="00DA0379" w:rsidP="009B49A7">
      <w:pPr>
        <w:pStyle w:val="ListParagraph"/>
        <w:spacing w:before="0" w:after="0"/>
        <w:rPr>
          <w:sz w:val="20"/>
          <w:szCs w:val="20"/>
          <w:bdr w:val="none" w:sz="0" w:space="0" w:color="auto"/>
          <w:lang w:val="es-AR"/>
        </w:rPr>
      </w:pPr>
    </w:p>
    <w:p w14:paraId="05CA6010" w14:textId="0BB3A521" w:rsidR="00132004" w:rsidRPr="00595807" w:rsidRDefault="00D95E0A"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bdr w:val="none" w:sz="0" w:space="0" w:color="auto"/>
          <w:lang w:val="es-AR"/>
        </w:rPr>
      </w:pPr>
      <w:r>
        <w:rPr>
          <w:rFonts w:ascii="Cambria" w:hAnsi="Cambria"/>
          <w:sz w:val="20"/>
          <w:szCs w:val="20"/>
          <w:lang w:val="es-CO"/>
        </w:rPr>
        <w:t>L</w:t>
      </w:r>
      <w:r w:rsidR="00B03021" w:rsidRPr="00595807">
        <w:rPr>
          <w:rFonts w:ascii="Cambria" w:hAnsi="Cambria"/>
          <w:sz w:val="20"/>
          <w:szCs w:val="20"/>
          <w:lang w:val="es-CO"/>
        </w:rPr>
        <w:t>os órganos del sistema interamericano han sostenido que, dada la importancia del papel social que desempeñan</w:t>
      </w:r>
      <w:r w:rsidR="00620053" w:rsidRPr="00595807">
        <w:rPr>
          <w:rFonts w:ascii="Cambria" w:hAnsi="Cambria"/>
          <w:sz w:val="20"/>
          <w:szCs w:val="20"/>
          <w:lang w:val="es-CO"/>
        </w:rPr>
        <w:t xml:space="preserve"> los </w:t>
      </w:r>
      <w:r>
        <w:rPr>
          <w:rFonts w:ascii="Cambria" w:hAnsi="Cambria"/>
          <w:sz w:val="20"/>
          <w:szCs w:val="20"/>
          <w:lang w:val="es-CO"/>
        </w:rPr>
        <w:t xml:space="preserve">y las </w:t>
      </w:r>
      <w:r w:rsidR="00620053" w:rsidRPr="00595807">
        <w:rPr>
          <w:rFonts w:ascii="Cambria" w:hAnsi="Cambria"/>
          <w:sz w:val="20"/>
          <w:szCs w:val="20"/>
          <w:lang w:val="es-CO"/>
        </w:rPr>
        <w:t>periodistas</w:t>
      </w:r>
      <w:r w:rsidR="005813C5" w:rsidRPr="00595807">
        <w:rPr>
          <w:rFonts w:ascii="Cambria" w:hAnsi="Cambria"/>
          <w:sz w:val="20"/>
          <w:szCs w:val="20"/>
          <w:lang w:val="es-CO"/>
        </w:rPr>
        <w:t xml:space="preserve"> y debido a </w:t>
      </w:r>
      <w:r w:rsidR="005813C5" w:rsidRPr="00595807">
        <w:rPr>
          <w:rFonts w:ascii="Cambria" w:hAnsi="Cambria"/>
          <w:sz w:val="20"/>
          <w:szCs w:val="20"/>
          <w:bdr w:val="none" w:sz="0" w:space="0" w:color="auto"/>
          <w:lang w:val="es-AR"/>
        </w:rPr>
        <w:t xml:space="preserve">que los derechos a la vida, integridad personal y la libertad de expresión </w:t>
      </w:r>
      <w:r w:rsidR="005813C5" w:rsidRPr="00595807">
        <w:rPr>
          <w:rFonts w:ascii="Cambria" w:hAnsi="Cambria" w:cs="Arial"/>
          <w:sz w:val="20"/>
          <w:szCs w:val="20"/>
          <w:lang w:val="es-PR"/>
        </w:rPr>
        <w:t>se encuentran estrechamente relacionados</w:t>
      </w:r>
      <w:r w:rsidR="005813C5" w:rsidRPr="00595807">
        <w:rPr>
          <w:rStyle w:val="FootnoteReference"/>
          <w:rFonts w:ascii="Cambria" w:hAnsi="Cambria" w:cs="Arial"/>
          <w:sz w:val="20"/>
          <w:szCs w:val="20"/>
          <w:lang w:val="es-PR"/>
        </w:rPr>
        <w:footnoteReference w:id="88"/>
      </w:r>
      <w:r>
        <w:rPr>
          <w:rFonts w:ascii="Cambria" w:hAnsi="Cambria" w:cs="Arial"/>
          <w:sz w:val="20"/>
          <w:szCs w:val="20"/>
          <w:lang w:val="es-PR"/>
        </w:rPr>
        <w:t>,</w:t>
      </w:r>
      <w:r w:rsidR="00620053" w:rsidRPr="00595807">
        <w:rPr>
          <w:rFonts w:ascii="Cambria" w:hAnsi="Cambria" w:cs="Arial"/>
          <w:sz w:val="20"/>
          <w:szCs w:val="20"/>
          <w:lang w:val="es-PR"/>
        </w:rPr>
        <w:t xml:space="preserve"> en casos de</w:t>
      </w:r>
      <w:r w:rsidR="004D6C3B" w:rsidRPr="00595807">
        <w:rPr>
          <w:rFonts w:ascii="Cambria" w:hAnsi="Cambria"/>
          <w:sz w:val="20"/>
          <w:szCs w:val="20"/>
          <w:bdr w:val="none" w:sz="0" w:space="0" w:color="auto"/>
          <w:shd w:val="clear" w:color="auto" w:fill="FFFFFF"/>
          <w:lang w:val="es-AR"/>
        </w:rPr>
        <w:t xml:space="preserve"> violencia contra periodistas o trabajadores de los medios de comunicación por el ejercicio de su derecho a la libertad de expresión</w:t>
      </w:r>
      <w:r w:rsidR="004D6C3B" w:rsidRPr="00595807">
        <w:rPr>
          <w:rFonts w:ascii="Cambria" w:hAnsi="Cambria"/>
          <w:sz w:val="20"/>
          <w:szCs w:val="20"/>
          <w:bdr w:val="none" w:sz="0" w:space="0" w:color="auto"/>
          <w:lang w:val="es-AR"/>
        </w:rPr>
        <w:t xml:space="preserve">, </w:t>
      </w:r>
      <w:r w:rsidR="00620053" w:rsidRPr="00595807">
        <w:rPr>
          <w:rFonts w:ascii="Cambria" w:hAnsi="Cambria"/>
          <w:sz w:val="20"/>
          <w:szCs w:val="20"/>
          <w:lang w:val="es-CO"/>
        </w:rPr>
        <w:t xml:space="preserve">la Convención Americana impone </w:t>
      </w:r>
      <w:r w:rsidR="00D17C97" w:rsidRPr="00595807">
        <w:rPr>
          <w:rFonts w:ascii="Cambria" w:hAnsi="Cambria"/>
          <w:sz w:val="20"/>
          <w:szCs w:val="20"/>
          <w:bdr w:val="none" w:sz="0" w:space="0" w:color="auto"/>
          <w:lang w:val="es-AR"/>
        </w:rPr>
        <w:t xml:space="preserve">obligaciones positivas </w:t>
      </w:r>
      <w:r>
        <w:rPr>
          <w:rFonts w:ascii="Cambria" w:hAnsi="Cambria"/>
          <w:sz w:val="20"/>
          <w:szCs w:val="20"/>
          <w:bdr w:val="none" w:sz="0" w:space="0" w:color="auto"/>
          <w:lang w:val="es-AR"/>
        </w:rPr>
        <w:t xml:space="preserve">y </w:t>
      </w:r>
      <w:r w:rsidRPr="00595807">
        <w:rPr>
          <w:rFonts w:ascii="Cambria" w:hAnsi="Cambria"/>
          <w:sz w:val="20"/>
          <w:szCs w:val="20"/>
          <w:lang w:val="es-CO"/>
        </w:rPr>
        <w:t xml:space="preserve">deberes especiales </w:t>
      </w:r>
      <w:r w:rsidR="00D17C97" w:rsidRPr="00595807">
        <w:rPr>
          <w:rFonts w:ascii="Cambria" w:hAnsi="Cambria"/>
          <w:sz w:val="20"/>
          <w:szCs w:val="20"/>
          <w:bdr w:val="none" w:sz="0" w:space="0" w:color="auto"/>
          <w:lang w:val="es-AR"/>
        </w:rPr>
        <w:t>en cabeza del Estado</w:t>
      </w:r>
      <w:r>
        <w:rPr>
          <w:rFonts w:ascii="Cambria" w:hAnsi="Cambria"/>
          <w:sz w:val="20"/>
          <w:szCs w:val="20"/>
          <w:bdr w:val="none" w:sz="0" w:space="0" w:color="auto"/>
          <w:lang w:val="es-AR"/>
        </w:rPr>
        <w:t>. Estos son el</w:t>
      </w:r>
      <w:r w:rsidR="00D17C97" w:rsidRPr="00595807">
        <w:rPr>
          <w:rFonts w:ascii="Cambria" w:hAnsi="Cambria"/>
          <w:sz w:val="20"/>
          <w:szCs w:val="20"/>
          <w:bdr w:val="none" w:sz="0" w:space="0" w:color="auto"/>
          <w:lang w:val="es-AR"/>
        </w:rPr>
        <w:t xml:space="preserve"> </w:t>
      </w:r>
      <w:r>
        <w:rPr>
          <w:rFonts w:ascii="Cambria" w:hAnsi="Cambria"/>
          <w:sz w:val="20"/>
          <w:szCs w:val="20"/>
          <w:lang w:val="es-CO"/>
        </w:rPr>
        <w:t xml:space="preserve">deber </w:t>
      </w:r>
      <w:r w:rsidR="00620053" w:rsidRPr="00595807">
        <w:rPr>
          <w:rFonts w:ascii="Cambria" w:hAnsi="Cambria"/>
          <w:sz w:val="20"/>
          <w:szCs w:val="20"/>
          <w:lang w:val="es-CO"/>
        </w:rPr>
        <w:t xml:space="preserve">de prevención, protección y procuración de justicia frente a todo acto de violencia que sea ejecutado con el </w:t>
      </w:r>
      <w:r w:rsidR="00620053" w:rsidRPr="00595807">
        <w:rPr>
          <w:rFonts w:ascii="Cambria" w:hAnsi="Cambria"/>
          <w:sz w:val="20"/>
          <w:szCs w:val="20"/>
          <w:lang w:val="es-CO"/>
        </w:rPr>
        <w:lastRenderedPageBreak/>
        <w:t>objetivo de silenciarlos</w:t>
      </w:r>
      <w:r w:rsidR="00873CBB" w:rsidRPr="00595807">
        <w:rPr>
          <w:rStyle w:val="FootnoteReference"/>
          <w:rFonts w:ascii="Cambria" w:hAnsi="Cambria"/>
          <w:sz w:val="20"/>
          <w:szCs w:val="20"/>
          <w:lang w:val="es-CO"/>
        </w:rPr>
        <w:footnoteReference w:id="89"/>
      </w:r>
      <w:r w:rsidR="00620053" w:rsidRPr="00595807">
        <w:rPr>
          <w:rFonts w:ascii="Cambria" w:hAnsi="Cambria"/>
          <w:sz w:val="20"/>
          <w:szCs w:val="20"/>
          <w:lang w:val="es-CO"/>
        </w:rPr>
        <w:t>.</w:t>
      </w:r>
      <w:r w:rsidR="00D17C97" w:rsidRPr="00595807">
        <w:rPr>
          <w:rFonts w:ascii="Cambria" w:hAnsi="Cambria"/>
          <w:sz w:val="20"/>
          <w:szCs w:val="20"/>
          <w:lang w:val="es-CO"/>
        </w:rPr>
        <w:t xml:space="preserve"> </w:t>
      </w:r>
      <w:r w:rsidR="00781EC2">
        <w:rPr>
          <w:rFonts w:ascii="Cambria" w:hAnsi="Cambria"/>
          <w:sz w:val="20"/>
          <w:szCs w:val="20"/>
          <w:lang w:val="es-CO"/>
        </w:rPr>
        <w:t>A continuación</w:t>
      </w:r>
      <w:r w:rsidR="003D71A2">
        <w:rPr>
          <w:rFonts w:ascii="Cambria" w:hAnsi="Cambria"/>
          <w:sz w:val="20"/>
          <w:szCs w:val="20"/>
          <w:lang w:val="es-CO"/>
        </w:rPr>
        <w:t>,</w:t>
      </w:r>
      <w:r w:rsidR="00781EC2">
        <w:rPr>
          <w:rFonts w:ascii="Cambria" w:hAnsi="Cambria"/>
          <w:sz w:val="20"/>
          <w:szCs w:val="20"/>
          <w:lang w:val="es-CO"/>
        </w:rPr>
        <w:t xml:space="preserve"> la Comisión desarrollará algunos de estos deberes con mayor precisión.</w:t>
      </w:r>
    </w:p>
    <w:p w14:paraId="20D27BF1" w14:textId="77777777" w:rsidR="00EE77CF" w:rsidRPr="00595807" w:rsidRDefault="00EE77CF" w:rsidP="009B49A7">
      <w:pPr>
        <w:rPr>
          <w:rFonts w:ascii="Cambria" w:hAnsi="Cambria"/>
          <w:sz w:val="20"/>
          <w:szCs w:val="20"/>
          <w:lang w:val="es-US" w:eastAsia="es-ES"/>
        </w:rPr>
      </w:pPr>
    </w:p>
    <w:p w14:paraId="210B3408" w14:textId="05D29079" w:rsidR="007C748C" w:rsidRPr="00C122DB" w:rsidRDefault="002B2B42" w:rsidP="00C870C0">
      <w:pPr>
        <w:pStyle w:val="Heading3"/>
        <w:numPr>
          <w:ilvl w:val="0"/>
          <w:numId w:val="56"/>
        </w:numPr>
        <w:ind w:hanging="720"/>
      </w:pPr>
      <w:bookmarkStart w:id="35" w:name="_Toc47965330"/>
      <w:r w:rsidRPr="00C122DB">
        <w:rPr>
          <w:lang w:val="es-US"/>
        </w:rPr>
        <w:t>Consideraciones s</w:t>
      </w:r>
      <w:r w:rsidR="00F1184E" w:rsidRPr="00C122DB">
        <w:t xml:space="preserve">obre el deber de </w:t>
      </w:r>
      <w:r w:rsidR="00FC24CE" w:rsidRPr="00C122DB">
        <w:t xml:space="preserve">prevención </w:t>
      </w:r>
      <w:r w:rsidR="00AD29FD">
        <w:t>de la violación a</w:t>
      </w:r>
      <w:r w:rsidR="00FC24CE" w:rsidRPr="00C122DB">
        <w:t>l derecho a la vida</w:t>
      </w:r>
      <w:r w:rsidR="007C748C" w:rsidRPr="00C122DB">
        <w:t xml:space="preserve"> y la obligación de proteger a periodistas </w:t>
      </w:r>
      <w:r w:rsidR="00DB0731" w:rsidRPr="00C122DB">
        <w:t>expuestos a u</w:t>
      </w:r>
      <w:r w:rsidR="007C748C" w:rsidRPr="00C122DB">
        <w:t>n riesgo</w:t>
      </w:r>
      <w:r w:rsidR="00DB0731" w:rsidRPr="00C122DB">
        <w:t xml:space="preserve"> especial</w:t>
      </w:r>
      <w:bookmarkEnd w:id="35"/>
    </w:p>
    <w:p w14:paraId="500E0709" w14:textId="77777777" w:rsidR="00141089" w:rsidRPr="00595807" w:rsidRDefault="00141089" w:rsidP="003D190E">
      <w:pPr>
        <w:rPr>
          <w:rFonts w:ascii="Cambria" w:hAnsi="Cambria"/>
          <w:sz w:val="20"/>
          <w:szCs w:val="20"/>
          <w:highlight w:val="green"/>
          <w:lang w:val="es-PE"/>
        </w:rPr>
      </w:pPr>
    </w:p>
    <w:p w14:paraId="77518287" w14:textId="4124FCFB" w:rsidR="00823966" w:rsidRPr="00595807" w:rsidRDefault="00823966"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r w:rsidRPr="00595807">
        <w:rPr>
          <w:rFonts w:ascii="Cambria" w:hAnsi="Cambria"/>
          <w:sz w:val="20"/>
          <w:szCs w:val="20"/>
          <w:lang w:val="es-ES"/>
        </w:rPr>
        <w:t>La Corte Interamericana ha establecido que “el derecho a la vida ocupa un espacio fundamental en la Convención Americana, por ser el presupuesto esencial para el ejercicio de los demás derechos. Los Estados tienen la obligación de garantizar la creación de las condiciones que se requieran para que no se produzcan violaciones de ese derecho inalienable”</w:t>
      </w:r>
      <w:r w:rsidRPr="00595807">
        <w:rPr>
          <w:rStyle w:val="FootnoteReference"/>
          <w:rFonts w:ascii="Cambria" w:hAnsi="Cambria"/>
          <w:sz w:val="20"/>
          <w:szCs w:val="20"/>
          <w:lang w:val="es-ES"/>
        </w:rPr>
        <w:footnoteReference w:id="90"/>
      </w:r>
      <w:r w:rsidRPr="00595807">
        <w:rPr>
          <w:rFonts w:ascii="Cambria" w:hAnsi="Cambria"/>
          <w:sz w:val="20"/>
          <w:szCs w:val="20"/>
          <w:lang w:val="es-ES"/>
        </w:rPr>
        <w:t xml:space="preserve">. La protección activa del derecho a la vida por parte del </w:t>
      </w:r>
      <w:r w:rsidR="00245CAB" w:rsidRPr="00595807">
        <w:rPr>
          <w:rFonts w:ascii="Cambria" w:hAnsi="Cambria"/>
          <w:sz w:val="20"/>
          <w:szCs w:val="20"/>
          <w:lang w:val="es-ES"/>
        </w:rPr>
        <w:t>Estado</w:t>
      </w:r>
      <w:r w:rsidRPr="00595807">
        <w:rPr>
          <w:rFonts w:ascii="Cambria" w:hAnsi="Cambria"/>
          <w:sz w:val="20"/>
          <w:szCs w:val="20"/>
          <w:lang w:val="es-ES"/>
        </w:rPr>
        <w:t xml:space="preserve"> involucra también a quienes deben resguardar la seguridad e impone al Estado el deber de adoptar las medidas necesarias no solo “para prevenir, suprimir y castigar la privación de la vida como consecuencia de actos criminales, sino también para prevenir y proteger a los individuos de actos criminales de otros individuos e investigar efectivamente estas situaciones”</w:t>
      </w:r>
      <w:r w:rsidRPr="00595807">
        <w:rPr>
          <w:rStyle w:val="FootnoteReference"/>
          <w:rFonts w:ascii="Cambria" w:hAnsi="Cambria"/>
          <w:sz w:val="20"/>
          <w:szCs w:val="20"/>
          <w:lang w:val="es-ES"/>
        </w:rPr>
        <w:footnoteReference w:id="91"/>
      </w:r>
      <w:r w:rsidRPr="00595807">
        <w:rPr>
          <w:rFonts w:ascii="Cambria" w:hAnsi="Cambria"/>
          <w:sz w:val="20"/>
          <w:szCs w:val="20"/>
          <w:lang w:val="es-ES"/>
        </w:rPr>
        <w:t>.</w:t>
      </w:r>
    </w:p>
    <w:p w14:paraId="405C52C4" w14:textId="77777777" w:rsidR="00823966" w:rsidRPr="00595807" w:rsidRDefault="00823966" w:rsidP="00823966">
      <w:pPr>
        <w:pStyle w:val="ListParagraph"/>
        <w:spacing w:before="0" w:after="0"/>
        <w:rPr>
          <w:sz w:val="20"/>
          <w:szCs w:val="20"/>
          <w:lang w:val="es-ES"/>
        </w:rPr>
      </w:pPr>
    </w:p>
    <w:p w14:paraId="69B5F53E" w14:textId="24622880" w:rsidR="00ED6212" w:rsidRPr="00DC7A11" w:rsidRDefault="00E70A84"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r w:rsidRPr="00595807">
        <w:rPr>
          <w:rFonts w:ascii="Cambria" w:hAnsi="Cambria"/>
          <w:sz w:val="20"/>
          <w:szCs w:val="20"/>
          <w:lang w:val="es-CO"/>
        </w:rPr>
        <w:t>De</w:t>
      </w:r>
      <w:r w:rsidR="009B562A" w:rsidRPr="00595807">
        <w:rPr>
          <w:rFonts w:ascii="Cambria" w:hAnsi="Cambria"/>
          <w:sz w:val="20"/>
          <w:szCs w:val="20"/>
          <w:lang w:val="es-CO"/>
        </w:rPr>
        <w:t xml:space="preserve"> conformidad con la información </w:t>
      </w:r>
      <w:r w:rsidR="00807B29" w:rsidRPr="00595807">
        <w:rPr>
          <w:rFonts w:ascii="Cambria" w:hAnsi="Cambria"/>
          <w:sz w:val="20"/>
          <w:szCs w:val="20"/>
          <w:lang w:val="es-CO"/>
        </w:rPr>
        <w:t xml:space="preserve">derivada </w:t>
      </w:r>
      <w:r w:rsidR="000808AB" w:rsidRPr="00595807">
        <w:rPr>
          <w:rFonts w:ascii="Cambria" w:hAnsi="Cambria"/>
          <w:sz w:val="20"/>
          <w:szCs w:val="20"/>
          <w:lang w:val="es-CO"/>
        </w:rPr>
        <w:t>del expediente judicial</w:t>
      </w:r>
      <w:r w:rsidR="004B71C2" w:rsidRPr="00595807">
        <w:rPr>
          <w:rFonts w:ascii="Cambria" w:hAnsi="Cambria"/>
          <w:sz w:val="20"/>
          <w:szCs w:val="20"/>
          <w:lang w:val="es-CO"/>
        </w:rPr>
        <w:t xml:space="preserve">, </w:t>
      </w:r>
      <w:r w:rsidR="000808AB" w:rsidRPr="00595807">
        <w:rPr>
          <w:rFonts w:ascii="Cambria" w:hAnsi="Cambria"/>
          <w:sz w:val="20"/>
          <w:szCs w:val="20"/>
          <w:lang w:val="es-CO"/>
        </w:rPr>
        <w:t xml:space="preserve">no existen </w:t>
      </w:r>
      <w:r w:rsidR="00967EAB" w:rsidRPr="00595807">
        <w:rPr>
          <w:rFonts w:ascii="Cambria" w:hAnsi="Cambria"/>
          <w:sz w:val="20"/>
          <w:szCs w:val="20"/>
          <w:lang w:val="es-CO"/>
        </w:rPr>
        <w:t xml:space="preserve">suficientes </w:t>
      </w:r>
      <w:r w:rsidR="000808AB" w:rsidRPr="00595807">
        <w:rPr>
          <w:rFonts w:ascii="Cambria" w:hAnsi="Cambria"/>
          <w:sz w:val="20"/>
          <w:szCs w:val="20"/>
          <w:lang w:val="es-CO"/>
        </w:rPr>
        <w:t xml:space="preserve">indicios </w:t>
      </w:r>
      <w:r w:rsidR="008D69BE" w:rsidRPr="00595807">
        <w:rPr>
          <w:rFonts w:ascii="Cambria" w:hAnsi="Cambria"/>
          <w:sz w:val="20"/>
          <w:szCs w:val="20"/>
          <w:lang w:val="es-CO"/>
        </w:rPr>
        <w:t>que le permitan a la CIDH</w:t>
      </w:r>
      <w:r w:rsidR="00311915" w:rsidRPr="00595807">
        <w:rPr>
          <w:rFonts w:ascii="Cambria" w:hAnsi="Cambria"/>
          <w:sz w:val="20"/>
          <w:szCs w:val="20"/>
          <w:lang w:val="es-CO"/>
        </w:rPr>
        <w:t xml:space="preserve"> </w:t>
      </w:r>
      <w:r w:rsidR="0013642E" w:rsidRPr="00595807">
        <w:rPr>
          <w:rFonts w:ascii="Cambria" w:hAnsi="Cambria"/>
          <w:sz w:val="20"/>
          <w:szCs w:val="20"/>
          <w:lang w:val="es-CO"/>
        </w:rPr>
        <w:t>concluir</w:t>
      </w:r>
      <w:r w:rsidR="00051AFC" w:rsidRPr="00595807">
        <w:rPr>
          <w:rFonts w:ascii="Cambria" w:hAnsi="Cambria"/>
          <w:sz w:val="20"/>
          <w:szCs w:val="20"/>
          <w:lang w:val="es-CO"/>
        </w:rPr>
        <w:t xml:space="preserve"> </w:t>
      </w:r>
      <w:r w:rsidR="0013642E" w:rsidRPr="00595807">
        <w:rPr>
          <w:rFonts w:ascii="Cambria" w:hAnsi="Cambria"/>
          <w:sz w:val="20"/>
          <w:szCs w:val="20"/>
          <w:lang w:val="es-CO"/>
        </w:rPr>
        <w:t xml:space="preserve">que </w:t>
      </w:r>
      <w:r w:rsidR="008E58D3" w:rsidRPr="00595807">
        <w:rPr>
          <w:rFonts w:ascii="Cambria" w:hAnsi="Cambria"/>
          <w:sz w:val="20"/>
          <w:szCs w:val="20"/>
          <w:lang w:val="es-CO"/>
        </w:rPr>
        <w:t>la</w:t>
      </w:r>
      <w:r w:rsidR="007069F0" w:rsidRPr="00595807">
        <w:rPr>
          <w:rFonts w:ascii="Cambria" w:hAnsi="Cambria"/>
          <w:sz w:val="20"/>
          <w:szCs w:val="20"/>
          <w:lang w:val="es-CO"/>
        </w:rPr>
        <w:t xml:space="preserve">s amenazas proferidas </w:t>
      </w:r>
      <w:r w:rsidR="003108CF" w:rsidRPr="00595807">
        <w:rPr>
          <w:rFonts w:ascii="Cambria" w:hAnsi="Cambria"/>
          <w:sz w:val="20"/>
          <w:szCs w:val="20"/>
          <w:lang w:val="es-CO"/>
        </w:rPr>
        <w:t xml:space="preserve">en </w:t>
      </w:r>
      <w:r w:rsidR="007069F0" w:rsidRPr="00595807">
        <w:rPr>
          <w:rFonts w:ascii="Cambria" w:hAnsi="Cambria"/>
          <w:sz w:val="20"/>
          <w:szCs w:val="20"/>
          <w:lang w:val="es-CO"/>
        </w:rPr>
        <w:t>contra</w:t>
      </w:r>
      <w:r w:rsidR="003108CF" w:rsidRPr="00595807">
        <w:rPr>
          <w:rFonts w:ascii="Cambria" w:hAnsi="Cambria"/>
          <w:sz w:val="20"/>
          <w:szCs w:val="20"/>
          <w:lang w:val="es-CO"/>
        </w:rPr>
        <w:t xml:space="preserve"> del periodista Santiago Leguizamón</w:t>
      </w:r>
      <w:r w:rsidR="003E5E82" w:rsidRPr="00595807">
        <w:rPr>
          <w:rFonts w:ascii="Cambria" w:hAnsi="Cambria"/>
          <w:sz w:val="20"/>
          <w:szCs w:val="20"/>
          <w:lang w:val="es-CO"/>
        </w:rPr>
        <w:t xml:space="preserve">, así como su posterior </w:t>
      </w:r>
      <w:r w:rsidR="004F1AA1" w:rsidRPr="007C4A01">
        <w:rPr>
          <w:rFonts w:ascii="Cambria" w:hAnsi="Cambria"/>
          <w:sz w:val="20"/>
          <w:szCs w:val="20"/>
          <w:lang w:val="es-CO"/>
        </w:rPr>
        <w:t>asesinato</w:t>
      </w:r>
      <w:r w:rsidR="003E5E82" w:rsidRPr="007C4A01">
        <w:rPr>
          <w:rFonts w:ascii="Cambria" w:hAnsi="Cambria"/>
          <w:sz w:val="20"/>
          <w:szCs w:val="20"/>
          <w:lang w:val="es-CO"/>
        </w:rPr>
        <w:t xml:space="preserve"> </w:t>
      </w:r>
      <w:r w:rsidR="0013642E" w:rsidRPr="007C4A01">
        <w:rPr>
          <w:rFonts w:ascii="Cambria" w:hAnsi="Cambria"/>
          <w:sz w:val="20"/>
          <w:szCs w:val="20"/>
          <w:lang w:val="es-CO"/>
        </w:rPr>
        <w:t>fueron</w:t>
      </w:r>
      <w:r w:rsidR="0013642E" w:rsidRPr="00595807">
        <w:rPr>
          <w:rFonts w:ascii="Cambria" w:hAnsi="Cambria"/>
          <w:sz w:val="20"/>
          <w:szCs w:val="20"/>
          <w:lang w:val="es-CO"/>
        </w:rPr>
        <w:t xml:space="preserve"> causadas </w:t>
      </w:r>
      <w:r w:rsidR="0013642E" w:rsidRPr="00595807">
        <w:rPr>
          <w:rFonts w:ascii="Cambria" w:hAnsi="Cambria"/>
          <w:sz w:val="20"/>
          <w:szCs w:val="20"/>
          <w:lang w:val="es-ES"/>
        </w:rPr>
        <w:t>por</w:t>
      </w:r>
      <w:r w:rsidR="00823966" w:rsidRPr="00595807">
        <w:rPr>
          <w:rFonts w:ascii="Cambria" w:hAnsi="Cambria"/>
          <w:sz w:val="20"/>
          <w:szCs w:val="20"/>
          <w:lang w:val="es-ES"/>
        </w:rPr>
        <w:t xml:space="preserve"> agentes del Estado</w:t>
      </w:r>
      <w:r w:rsidR="0089219E" w:rsidRPr="00595807">
        <w:rPr>
          <w:rFonts w:ascii="Cambria" w:hAnsi="Cambria"/>
          <w:sz w:val="20"/>
          <w:szCs w:val="20"/>
          <w:lang w:val="es-ES"/>
        </w:rPr>
        <w:t xml:space="preserve">. Por lo anterior, </w:t>
      </w:r>
      <w:r w:rsidR="00823966" w:rsidRPr="00595807">
        <w:rPr>
          <w:rFonts w:ascii="Cambria" w:hAnsi="Cambria"/>
          <w:sz w:val="20"/>
          <w:szCs w:val="20"/>
          <w:lang w:val="es-ES"/>
        </w:rPr>
        <w:t>corresponde analizar</w:t>
      </w:r>
      <w:r w:rsidR="00DC26DD" w:rsidRPr="00595807">
        <w:rPr>
          <w:rFonts w:ascii="Cambria" w:hAnsi="Cambria"/>
          <w:sz w:val="20"/>
          <w:szCs w:val="20"/>
          <w:lang w:val="es-ES"/>
        </w:rPr>
        <w:t xml:space="preserve"> la alegada violación del derecho a la vida</w:t>
      </w:r>
      <w:r w:rsidR="00823966" w:rsidRPr="00595807">
        <w:rPr>
          <w:rFonts w:ascii="Cambria" w:hAnsi="Cambria"/>
          <w:sz w:val="20"/>
          <w:szCs w:val="20"/>
          <w:lang w:val="es-ES"/>
        </w:rPr>
        <w:t xml:space="preserve"> bajo el deber de protección</w:t>
      </w:r>
      <w:r w:rsidR="00421E6C">
        <w:rPr>
          <w:rFonts w:ascii="Cambria" w:hAnsi="Cambria"/>
          <w:sz w:val="20"/>
          <w:szCs w:val="20"/>
          <w:lang w:val="es-ES"/>
        </w:rPr>
        <w:t xml:space="preserve"> y prevención</w:t>
      </w:r>
      <w:r w:rsidR="00823966" w:rsidRPr="00595807">
        <w:rPr>
          <w:rFonts w:ascii="Cambria" w:hAnsi="Cambria"/>
          <w:sz w:val="20"/>
          <w:szCs w:val="20"/>
          <w:lang w:val="es-ES"/>
        </w:rPr>
        <w:t>, como componente de la obligación de garantía</w:t>
      </w:r>
      <w:r w:rsidR="00ED6212" w:rsidRPr="00595807">
        <w:rPr>
          <w:rFonts w:ascii="Cambria" w:hAnsi="Cambria"/>
          <w:sz w:val="20"/>
          <w:szCs w:val="20"/>
          <w:lang w:val="es-ES"/>
        </w:rPr>
        <w:t xml:space="preserve">, la cual </w:t>
      </w:r>
      <w:r w:rsidR="00ED6212" w:rsidRPr="00595807">
        <w:rPr>
          <w:rFonts w:ascii="Cambria" w:hAnsi="Cambria"/>
          <w:sz w:val="20"/>
          <w:szCs w:val="20"/>
          <w:bdr w:val="none" w:sz="0" w:space="0" w:color="auto"/>
          <w:lang w:val="es-ES"/>
        </w:rPr>
        <w:t xml:space="preserve">se proyecta más allá de la relación entre los agentes estatales y las personas </w:t>
      </w:r>
      <w:r w:rsidR="00ED6212" w:rsidRPr="00DC7A11">
        <w:rPr>
          <w:rFonts w:ascii="Cambria" w:hAnsi="Cambria"/>
          <w:sz w:val="20"/>
          <w:szCs w:val="20"/>
          <w:bdr w:val="none" w:sz="0" w:space="0" w:color="auto"/>
          <w:lang w:val="es-ES"/>
        </w:rPr>
        <w:t>sometidas a su jurisdicción, “abarcando asimismo el deber de prevenir, en la esfera privada, que terceros vulneren los bienes jurídicos protegidos”</w:t>
      </w:r>
      <w:r w:rsidR="00ED6212" w:rsidRPr="00DC7A11">
        <w:rPr>
          <w:rFonts w:ascii="Cambria" w:hAnsi="Cambria"/>
          <w:sz w:val="20"/>
          <w:szCs w:val="20"/>
          <w:bdr w:val="none" w:sz="0" w:space="0" w:color="auto"/>
          <w:vertAlign w:val="superscript"/>
        </w:rPr>
        <w:footnoteReference w:id="92"/>
      </w:r>
      <w:r w:rsidR="00ED6212" w:rsidRPr="00DC7A11">
        <w:rPr>
          <w:rFonts w:ascii="Cambria" w:hAnsi="Cambria"/>
          <w:sz w:val="20"/>
          <w:szCs w:val="20"/>
          <w:bdr w:val="none" w:sz="0" w:space="0" w:color="auto"/>
          <w:lang w:val="es-ES"/>
        </w:rPr>
        <w:t xml:space="preserve">. </w:t>
      </w:r>
    </w:p>
    <w:p w14:paraId="5BFD9A36" w14:textId="048E3FBE" w:rsidR="00DA5641" w:rsidRPr="00DC7A11" w:rsidRDefault="00DA5641" w:rsidP="00FE78C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2B12016E" w14:textId="7AB917FC" w:rsidR="00DA5641" w:rsidRPr="00DC7A11" w:rsidRDefault="00E35367"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bdr w:val="none" w:sz="0" w:space="0" w:color="auto"/>
          <w:shd w:val="clear" w:color="auto" w:fill="FFFFFF"/>
          <w:lang w:val="es-AR"/>
        </w:rPr>
      </w:pPr>
      <w:r w:rsidRPr="00DC7A11">
        <w:rPr>
          <w:rFonts w:ascii="Cambria" w:hAnsi="Cambria"/>
          <w:sz w:val="20"/>
          <w:szCs w:val="20"/>
          <w:bdr w:val="none" w:sz="0" w:space="0" w:color="auto"/>
          <w:shd w:val="clear" w:color="auto" w:fill="FFFFFF"/>
          <w:lang w:val="es-ES"/>
        </w:rPr>
        <w:t>Al respecto, como</w:t>
      </w:r>
      <w:r w:rsidR="00775834" w:rsidRPr="00DC7A11">
        <w:rPr>
          <w:rFonts w:ascii="Cambria" w:hAnsi="Cambria"/>
          <w:sz w:val="20"/>
          <w:szCs w:val="20"/>
          <w:bdr w:val="none" w:sz="0" w:space="0" w:color="auto"/>
          <w:shd w:val="clear" w:color="auto" w:fill="FFFFFF"/>
          <w:lang w:val="es-PE"/>
        </w:rPr>
        <w:t xml:space="preserve"> fue establecido en párrafos anteriores, la</w:t>
      </w:r>
      <w:r w:rsidR="00775834" w:rsidRPr="00DC7A11">
        <w:rPr>
          <w:rFonts w:ascii="Cambria" w:hAnsi="Cambria"/>
          <w:sz w:val="20"/>
          <w:szCs w:val="20"/>
          <w:bdr w:val="none" w:sz="0" w:space="0" w:color="auto"/>
          <w:shd w:val="clear" w:color="auto" w:fill="FFFFFF"/>
          <w:lang w:val="es-AR"/>
        </w:rPr>
        <w:t xml:space="preserve"> Corte Interamericana ha determinado que “es fundamental que los periodistas que laboran en los medios de comunicación gocen de la protección y de la independencia necesarias para realizar sus funciones a cabalidad, ya que son ellos quienes mantienen informada a la sociedad, requisito indispensable para que ésta goce de una plena libertad y el debate público se fortalezca”</w:t>
      </w:r>
      <w:r w:rsidR="00775834" w:rsidRPr="00DC7A11">
        <w:rPr>
          <w:rFonts w:ascii="Cambria" w:hAnsi="Cambria"/>
          <w:sz w:val="20"/>
          <w:szCs w:val="20"/>
          <w:bdr w:val="none" w:sz="0" w:space="0" w:color="auto"/>
          <w:vertAlign w:val="superscript"/>
          <w:lang w:val="es-AR"/>
        </w:rPr>
        <w:footnoteReference w:id="93"/>
      </w:r>
      <w:r w:rsidR="00775834" w:rsidRPr="00DC7A11">
        <w:rPr>
          <w:rFonts w:ascii="Cambria" w:hAnsi="Cambria"/>
          <w:sz w:val="20"/>
          <w:szCs w:val="20"/>
          <w:bdr w:val="none" w:sz="0" w:space="0" w:color="auto"/>
          <w:shd w:val="clear" w:color="auto" w:fill="FFFFFF"/>
          <w:lang w:val="es-AR"/>
        </w:rPr>
        <w:t>.</w:t>
      </w:r>
      <w:r w:rsidR="00FB2B11" w:rsidRPr="00DC7A11">
        <w:rPr>
          <w:rFonts w:ascii="Cambria" w:hAnsi="Cambria"/>
          <w:sz w:val="20"/>
          <w:szCs w:val="20"/>
          <w:bdr w:val="none" w:sz="0" w:space="0" w:color="auto"/>
          <w:shd w:val="clear" w:color="auto" w:fill="FFFFFF"/>
          <w:lang w:val="es-AR"/>
        </w:rPr>
        <w:t xml:space="preserve"> </w:t>
      </w:r>
      <w:r w:rsidR="00775834" w:rsidRPr="00DC7A11">
        <w:rPr>
          <w:rFonts w:ascii="Cambria" w:hAnsi="Cambria"/>
          <w:sz w:val="20"/>
          <w:szCs w:val="20"/>
          <w:bdr w:val="none" w:sz="0" w:space="0" w:color="auto"/>
          <w:lang w:val="es-AR"/>
        </w:rPr>
        <w:t>En este sentido, la CIDH ha reconocido que los Estados tienen una obligación de proteger a quienes están expuestos a un riesgo especial en razón del ejercicio de su profesión</w:t>
      </w:r>
      <w:r w:rsidR="00775834" w:rsidRPr="00DC7A11">
        <w:rPr>
          <w:rFonts w:ascii="Cambria" w:hAnsi="Cambria"/>
          <w:sz w:val="20"/>
          <w:szCs w:val="20"/>
          <w:bdr w:val="none" w:sz="0" w:space="0" w:color="auto"/>
          <w:vertAlign w:val="superscript"/>
          <w:lang w:val="es-AR"/>
        </w:rPr>
        <w:footnoteReference w:id="94"/>
      </w:r>
      <w:r w:rsidR="00775834" w:rsidRPr="00DC7A11">
        <w:rPr>
          <w:rFonts w:ascii="Cambria" w:hAnsi="Cambria"/>
          <w:sz w:val="20"/>
          <w:szCs w:val="20"/>
          <w:bdr w:val="none" w:sz="0" w:space="0" w:color="auto"/>
          <w:lang w:val="es-AR"/>
        </w:rPr>
        <w:t xml:space="preserve">. </w:t>
      </w:r>
    </w:p>
    <w:p w14:paraId="29DA1C47" w14:textId="77777777" w:rsidR="00A72357" w:rsidRPr="00DC7A11" w:rsidRDefault="00A72357" w:rsidP="00A723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bdr w:val="none" w:sz="0" w:space="0" w:color="auto"/>
          <w:shd w:val="clear" w:color="auto" w:fill="FFFFFF"/>
          <w:lang w:val="es-AR"/>
        </w:rPr>
      </w:pPr>
    </w:p>
    <w:p w14:paraId="7D79C5B8" w14:textId="7A2C5781" w:rsidR="00FF79AE" w:rsidRPr="0022303D" w:rsidRDefault="00823966"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r w:rsidRPr="00DC7A11">
        <w:rPr>
          <w:rFonts w:ascii="Cambria" w:hAnsi="Cambria"/>
          <w:sz w:val="20"/>
          <w:szCs w:val="20"/>
          <w:bdr w:val="none" w:sz="0" w:space="0" w:color="auto"/>
          <w:lang w:val="es-ES"/>
        </w:rPr>
        <w:t xml:space="preserve">Sin embargo, </w:t>
      </w:r>
      <w:r w:rsidR="00A402C5" w:rsidRPr="00DC7A11">
        <w:rPr>
          <w:rFonts w:ascii="Cambria" w:hAnsi="Cambria"/>
          <w:sz w:val="20"/>
          <w:szCs w:val="20"/>
          <w:bdr w:val="none" w:sz="0" w:space="0" w:color="auto"/>
          <w:lang w:val="es-ES"/>
        </w:rPr>
        <w:t xml:space="preserve">el </w:t>
      </w:r>
      <w:r w:rsidR="00A402C5" w:rsidRPr="00DC7A11">
        <w:rPr>
          <w:rFonts w:ascii="Cambria" w:hAnsi="Cambria"/>
          <w:sz w:val="20"/>
          <w:szCs w:val="20"/>
          <w:bdr w:val="none" w:sz="0" w:space="0" w:color="auto"/>
          <w:lang w:val="es-AR"/>
        </w:rPr>
        <w:t>alcance de la obligación positiva del Estado de proteger a personas que están expuestos a un riesgo especial</w:t>
      </w:r>
      <w:r w:rsidR="00D6277E">
        <w:rPr>
          <w:rFonts w:ascii="Cambria" w:hAnsi="Cambria"/>
          <w:sz w:val="20"/>
          <w:szCs w:val="20"/>
          <w:bdr w:val="none" w:sz="0" w:space="0" w:color="auto"/>
          <w:lang w:val="es-AR"/>
        </w:rPr>
        <w:t xml:space="preserve"> y del deber de prevenir </w:t>
      </w:r>
      <w:r w:rsidR="00D6277E" w:rsidRPr="00595807">
        <w:rPr>
          <w:rFonts w:ascii="Cambria" w:hAnsi="Cambria"/>
          <w:sz w:val="20"/>
          <w:szCs w:val="20"/>
          <w:lang w:val="es-ES"/>
        </w:rPr>
        <w:t>violaci</w:t>
      </w:r>
      <w:r w:rsidR="00D6277E">
        <w:rPr>
          <w:rFonts w:ascii="Cambria" w:hAnsi="Cambria"/>
          <w:sz w:val="20"/>
          <w:szCs w:val="20"/>
          <w:lang w:val="es-ES"/>
        </w:rPr>
        <w:t>ones</w:t>
      </w:r>
      <w:r w:rsidR="00D6277E" w:rsidRPr="00595807">
        <w:rPr>
          <w:rFonts w:ascii="Cambria" w:hAnsi="Cambria"/>
          <w:sz w:val="20"/>
          <w:szCs w:val="20"/>
          <w:lang w:val="es-ES"/>
        </w:rPr>
        <w:t xml:space="preserve"> de derechos humanos</w:t>
      </w:r>
      <w:r w:rsidR="00D6277E">
        <w:rPr>
          <w:rFonts w:ascii="Cambria" w:hAnsi="Cambria"/>
          <w:sz w:val="20"/>
          <w:szCs w:val="20"/>
          <w:bdr w:val="none" w:sz="0" w:space="0" w:color="auto"/>
          <w:lang w:val="es-AR"/>
        </w:rPr>
        <w:t xml:space="preserve"> </w:t>
      </w:r>
      <w:r w:rsidR="00A402C5" w:rsidRPr="00DC7A11">
        <w:rPr>
          <w:rFonts w:ascii="Cambria" w:hAnsi="Cambria"/>
          <w:sz w:val="20"/>
          <w:szCs w:val="20"/>
          <w:bdr w:val="none" w:sz="0" w:space="0" w:color="auto"/>
          <w:lang w:val="es-AR"/>
        </w:rPr>
        <w:t>fue definido por la Corte Interamericana</w:t>
      </w:r>
      <w:r w:rsidR="00D6277E">
        <w:rPr>
          <w:rFonts w:ascii="Cambria" w:hAnsi="Cambria"/>
          <w:i/>
          <w:iCs/>
          <w:sz w:val="20"/>
          <w:szCs w:val="20"/>
          <w:bdr w:val="none" w:sz="0" w:space="0" w:color="auto"/>
          <w:lang w:val="es-AR"/>
        </w:rPr>
        <w:t xml:space="preserve">. </w:t>
      </w:r>
      <w:r w:rsidR="00D6277E" w:rsidRPr="000D7953">
        <w:rPr>
          <w:rFonts w:ascii="Cambria" w:hAnsi="Cambria"/>
          <w:sz w:val="20"/>
          <w:szCs w:val="20"/>
          <w:bdr w:val="none" w:sz="0" w:space="0" w:color="auto"/>
          <w:lang w:val="es-AR"/>
        </w:rPr>
        <w:t>Esta</w:t>
      </w:r>
      <w:r w:rsidR="009B01AA" w:rsidRPr="00D6277E">
        <w:rPr>
          <w:rFonts w:ascii="Cambria" w:hAnsi="Cambria"/>
          <w:sz w:val="20"/>
          <w:szCs w:val="20"/>
          <w:bdr w:val="none" w:sz="0" w:space="0" w:color="auto"/>
          <w:lang w:val="es-AR"/>
        </w:rPr>
        <w:t xml:space="preserve"> </w:t>
      </w:r>
      <w:r w:rsidR="009B01AA" w:rsidRPr="00DC7A11">
        <w:rPr>
          <w:rFonts w:ascii="Cambria" w:hAnsi="Cambria"/>
          <w:sz w:val="20"/>
          <w:szCs w:val="20"/>
          <w:bdr w:val="none" w:sz="0" w:space="0" w:color="auto"/>
          <w:lang w:val="es-AR"/>
        </w:rPr>
        <w:t>ha</w:t>
      </w:r>
      <w:r w:rsidR="009B01AA" w:rsidRPr="00595807">
        <w:rPr>
          <w:rFonts w:ascii="Cambria" w:hAnsi="Cambria"/>
          <w:sz w:val="20"/>
          <w:szCs w:val="20"/>
          <w:bdr w:val="none" w:sz="0" w:space="0" w:color="auto"/>
          <w:lang w:val="es-AR"/>
        </w:rPr>
        <w:t xml:space="preserve"> establecido</w:t>
      </w:r>
      <w:r w:rsidR="001B32E7" w:rsidRPr="00595807">
        <w:rPr>
          <w:rFonts w:ascii="Cambria" w:hAnsi="Cambria"/>
          <w:sz w:val="20"/>
          <w:szCs w:val="20"/>
          <w:bdr w:val="none" w:sz="0" w:space="0" w:color="auto"/>
          <w:lang w:val="es-AR"/>
        </w:rPr>
        <w:t xml:space="preserve"> que</w:t>
      </w:r>
      <w:r w:rsidRPr="00595807">
        <w:rPr>
          <w:rFonts w:ascii="Cambria" w:hAnsi="Cambria"/>
          <w:sz w:val="20"/>
          <w:szCs w:val="20"/>
          <w:bdr w:val="none" w:sz="0" w:space="0" w:color="auto"/>
          <w:lang w:val="es-ES"/>
        </w:rPr>
        <w:t xml:space="preserve"> u</w:t>
      </w:r>
      <w:r w:rsidRPr="00595807">
        <w:rPr>
          <w:rFonts w:ascii="Cambria" w:hAnsi="Cambria"/>
          <w:sz w:val="20"/>
          <w:szCs w:val="20"/>
          <w:lang w:val="es-ES"/>
        </w:rPr>
        <w:t>n Estado no puede ser responsable por cualquier violación de derechos humanos cometida entre particulares dentro de su jurisdicción</w:t>
      </w:r>
      <w:r w:rsidRPr="00595807">
        <w:rPr>
          <w:rStyle w:val="FootnoteReference"/>
          <w:rFonts w:ascii="Cambria" w:hAnsi="Cambria"/>
          <w:sz w:val="20"/>
          <w:szCs w:val="20"/>
          <w:lang w:val="es-ES"/>
        </w:rPr>
        <w:footnoteReference w:id="95"/>
      </w:r>
      <w:r w:rsidRPr="00595807">
        <w:rPr>
          <w:rFonts w:ascii="Cambria" w:hAnsi="Cambria"/>
          <w:sz w:val="20"/>
          <w:szCs w:val="20"/>
          <w:lang w:val="es-ES"/>
        </w:rPr>
        <w:t>, ya que “sus deberes de adoptar medidas de prevención y protección de los particulares en sus relaciones entre sí se encuentran condicionados al conocimiento de una situación de riesgo real e inmediato para un individuo […] y las posibilidades razonables de prevenir o evitar ese riesgo”</w:t>
      </w:r>
      <w:r w:rsidRPr="00595807">
        <w:rPr>
          <w:rFonts w:ascii="Cambria" w:hAnsi="Cambria"/>
          <w:sz w:val="20"/>
          <w:szCs w:val="20"/>
          <w:vertAlign w:val="superscript"/>
        </w:rPr>
        <w:footnoteReference w:id="96"/>
      </w:r>
      <w:r w:rsidRPr="00595807">
        <w:rPr>
          <w:rFonts w:ascii="Cambria" w:hAnsi="Cambria"/>
          <w:sz w:val="20"/>
          <w:szCs w:val="20"/>
          <w:lang w:val="es-ES"/>
        </w:rPr>
        <w:t xml:space="preserve">. En particular, </w:t>
      </w:r>
      <w:r w:rsidRPr="00595807">
        <w:rPr>
          <w:rFonts w:ascii="Cambria" w:eastAsia="Cambria" w:hAnsi="Cambria"/>
          <w:sz w:val="20"/>
          <w:szCs w:val="20"/>
          <w:u w:color="000000"/>
          <w:lang w:val="es-MX"/>
        </w:rPr>
        <w:t>a fin de establecer un incumplimiento del deber de prevenir violaciones a</w:t>
      </w:r>
      <w:r w:rsidR="006F7764" w:rsidRPr="00595807">
        <w:rPr>
          <w:rFonts w:ascii="Cambria" w:eastAsia="Cambria" w:hAnsi="Cambria"/>
          <w:sz w:val="20"/>
          <w:szCs w:val="20"/>
          <w:u w:color="000000"/>
          <w:lang w:val="es-MX"/>
        </w:rPr>
        <w:t xml:space="preserve">l </w:t>
      </w:r>
      <w:r w:rsidRPr="00595807">
        <w:rPr>
          <w:rFonts w:ascii="Cambria" w:eastAsia="Cambria" w:hAnsi="Cambria"/>
          <w:sz w:val="20"/>
          <w:szCs w:val="20"/>
          <w:u w:color="000000"/>
          <w:lang w:val="es-MX"/>
        </w:rPr>
        <w:t xml:space="preserve">derecho a la vida, debe verificarse que: i) </w:t>
      </w:r>
      <w:r w:rsidRPr="0022303D">
        <w:rPr>
          <w:rFonts w:ascii="Cambria" w:eastAsia="Cambria" w:hAnsi="Cambria"/>
          <w:sz w:val="20"/>
          <w:szCs w:val="20"/>
          <w:u w:color="000000"/>
          <w:lang w:val="es-MX"/>
        </w:rPr>
        <w:t>las autoridades estatales sabían, o debían haber sabido, de la existencia de un riesgo real e inmediato para la vida y/o integridad personal de un individuo o grupo de individuos determinado, y que ii) tales autoridades no adoptaron las medidas necesarias dentro del ámbito de sus atribuciones que, juzgadas razonablemente, podían esperarse para prevenir o evitar ese riesgo</w:t>
      </w:r>
      <w:r w:rsidRPr="0022303D">
        <w:rPr>
          <w:rStyle w:val="FootnoteReference"/>
          <w:rFonts w:ascii="Cambria" w:eastAsia="Cambria" w:hAnsi="Cambria"/>
          <w:sz w:val="20"/>
          <w:szCs w:val="20"/>
          <w:u w:color="000000"/>
          <w:lang w:val="es-MX"/>
        </w:rPr>
        <w:footnoteReference w:id="97"/>
      </w:r>
      <w:r w:rsidRPr="0022303D">
        <w:rPr>
          <w:rFonts w:ascii="Cambria" w:hAnsi="Cambria"/>
          <w:sz w:val="20"/>
          <w:szCs w:val="20"/>
          <w:lang w:val="es-MX"/>
        </w:rPr>
        <w:t>.</w:t>
      </w:r>
    </w:p>
    <w:p w14:paraId="0255445A" w14:textId="77777777" w:rsidR="00835ED1" w:rsidRPr="00595807" w:rsidRDefault="00835ED1" w:rsidP="00141089">
      <w:pPr>
        <w:rPr>
          <w:rFonts w:ascii="Cambria" w:hAnsi="Cambria"/>
          <w:sz w:val="20"/>
          <w:szCs w:val="20"/>
          <w:highlight w:val="green"/>
          <w:bdr w:val="none" w:sz="0" w:space="0" w:color="auto"/>
          <w:lang w:val="es-PE"/>
        </w:rPr>
      </w:pPr>
    </w:p>
    <w:p w14:paraId="29A6AD87" w14:textId="7A5BD42E" w:rsidR="00780D45" w:rsidRPr="00374A7E" w:rsidRDefault="00034C84"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sz w:val="20"/>
          <w:szCs w:val="20"/>
          <w:bdr w:val="none" w:sz="0" w:space="0" w:color="auto"/>
          <w:lang w:val="es-AR"/>
        </w:rPr>
      </w:pPr>
      <w:r w:rsidRPr="00374A7E">
        <w:rPr>
          <w:rFonts w:ascii="Cambria" w:hAnsi="Cambria"/>
          <w:sz w:val="20"/>
          <w:szCs w:val="20"/>
          <w:lang w:val="es-CO"/>
        </w:rPr>
        <w:lastRenderedPageBreak/>
        <w:t>S</w:t>
      </w:r>
      <w:r w:rsidR="00141089" w:rsidRPr="00374A7E">
        <w:rPr>
          <w:rFonts w:ascii="Cambria" w:hAnsi="Cambria"/>
          <w:sz w:val="20"/>
          <w:szCs w:val="20"/>
          <w:lang w:val="es-CO"/>
        </w:rPr>
        <w:t>egún la jurisprudencia y doctrina interamericana, este riesgo especial debe ser evaluado a la</w:t>
      </w:r>
      <w:r w:rsidR="00141089" w:rsidRPr="00374A7E">
        <w:rPr>
          <w:rFonts w:ascii="Cambria" w:hAnsi="Cambria"/>
          <w:sz w:val="20"/>
          <w:szCs w:val="20"/>
          <w:bdr w:val="none" w:sz="0" w:space="0" w:color="auto"/>
          <w:lang w:val="es-AR"/>
        </w:rPr>
        <w:t xml:space="preserve"> luz del contexto existente en el país, y puede surgir por factores tales como el tipo de hechos que los y las periodistas cubren, el interés público de la información que difunden o la zona a la cual deben acceder para cumplir con su labor, así como por amenazas en relación con la difusión de esa información o por denunciar o impulsar la investigación de violaciones que sufrieron o de las que se enteraron en el ejercicio de su profesión</w:t>
      </w:r>
      <w:r w:rsidR="00141089" w:rsidRPr="00374A7E">
        <w:rPr>
          <w:rFonts w:ascii="Cambria" w:hAnsi="Cambria"/>
          <w:sz w:val="20"/>
          <w:szCs w:val="20"/>
          <w:bdr w:val="none" w:sz="0" w:space="0" w:color="auto"/>
          <w:vertAlign w:val="superscript"/>
          <w:lang w:val="es-AR"/>
        </w:rPr>
        <w:footnoteReference w:id="98"/>
      </w:r>
      <w:r w:rsidR="00141089" w:rsidRPr="00374A7E">
        <w:rPr>
          <w:rFonts w:ascii="Cambria" w:hAnsi="Cambria"/>
          <w:sz w:val="20"/>
          <w:szCs w:val="20"/>
          <w:bdr w:val="none" w:sz="0" w:space="0" w:color="auto"/>
          <w:lang w:val="es-AR"/>
        </w:rPr>
        <w:t xml:space="preserve">. </w:t>
      </w:r>
    </w:p>
    <w:p w14:paraId="2FE7D522" w14:textId="77777777" w:rsidR="00780D45" w:rsidRPr="00374A7E" w:rsidRDefault="00780D45" w:rsidP="00780D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bdr w:val="none" w:sz="0" w:space="0" w:color="auto"/>
          <w:lang w:val="es-AR"/>
        </w:rPr>
      </w:pPr>
    </w:p>
    <w:p w14:paraId="379D86A0" w14:textId="037AA708" w:rsidR="00141089" w:rsidRPr="000D7953" w:rsidRDefault="00141089" w:rsidP="007C4A01">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sz w:val="20"/>
          <w:szCs w:val="20"/>
          <w:bdr w:val="none" w:sz="0" w:space="0" w:color="auto"/>
          <w:lang w:val="es-AR"/>
        </w:rPr>
      </w:pPr>
      <w:r w:rsidRPr="00374A7E">
        <w:rPr>
          <w:rFonts w:ascii="Cambria" w:hAnsi="Cambria"/>
          <w:sz w:val="20"/>
          <w:szCs w:val="20"/>
          <w:bdr w:val="none" w:sz="0" w:space="0" w:color="auto"/>
          <w:lang w:val="es-AR"/>
        </w:rPr>
        <w:t>La Corte enfatizó que “corresponde a las autoridades estatales que toman conocimiento de la situación de riesgo especial, identificar o valorar si la persona objeto de amenazas y hostigamientos requiere de medidas de protección o remitir a la autoridad competente para hacerlo, así como ofrecer a la persona en riesgo información oportuna sobre las medidas disponibles</w:t>
      </w:r>
      <w:r w:rsidR="0062429E" w:rsidRPr="00374A7E">
        <w:rPr>
          <w:rFonts w:ascii="Cambria" w:hAnsi="Cambria"/>
          <w:sz w:val="20"/>
          <w:szCs w:val="20"/>
          <w:bdr w:val="none" w:sz="0" w:space="0" w:color="auto"/>
          <w:lang w:val="es-AR"/>
        </w:rPr>
        <w:t xml:space="preserve">. </w:t>
      </w:r>
      <w:r w:rsidR="0062429E" w:rsidRPr="00374A7E">
        <w:rPr>
          <w:rFonts w:ascii="Cambria" w:hAnsi="Cambria"/>
          <w:sz w:val="20"/>
          <w:szCs w:val="20"/>
          <w:lang w:val="es-CR"/>
        </w:rPr>
        <w:t>La valoración sobre si una persona requiere medidas de protección y cuáles son las medidas adecuadas es una obligación que corresponde al Estado y no puede restringirse a que la propia víctima lo solicite a “las autoridades competentes”, ni que conozca con exactitud cuál es la autoridad en mejor capacidad de atender su situación, ya que corresponde al Estado establecer medidas de coordinación entre sus entidades y funcionarios para tal fin</w:t>
      </w:r>
      <w:r w:rsidRPr="00374A7E">
        <w:rPr>
          <w:rFonts w:ascii="Cambria" w:hAnsi="Cambria"/>
          <w:sz w:val="20"/>
          <w:szCs w:val="20"/>
          <w:bdr w:val="none" w:sz="0" w:space="0" w:color="auto"/>
          <w:lang w:val="es-AR"/>
        </w:rPr>
        <w:t>”</w:t>
      </w:r>
      <w:r w:rsidRPr="00374A7E">
        <w:rPr>
          <w:rFonts w:ascii="Cambria" w:hAnsi="Cambria"/>
          <w:sz w:val="20"/>
          <w:szCs w:val="20"/>
          <w:bdr w:val="none" w:sz="0" w:space="0" w:color="auto"/>
          <w:vertAlign w:val="superscript"/>
          <w:lang w:val="es-AR"/>
        </w:rPr>
        <w:footnoteReference w:id="99"/>
      </w:r>
      <w:r w:rsidRPr="00374A7E">
        <w:rPr>
          <w:rFonts w:ascii="Cambria" w:hAnsi="Cambria"/>
          <w:sz w:val="20"/>
          <w:szCs w:val="20"/>
          <w:bdr w:val="none" w:sz="0" w:space="0" w:color="auto"/>
          <w:lang w:val="es-AR"/>
        </w:rPr>
        <w:t xml:space="preserve">. </w:t>
      </w:r>
    </w:p>
    <w:p w14:paraId="13668B77" w14:textId="77777777" w:rsidR="001A17E7" w:rsidRPr="00245CAB" w:rsidRDefault="001A17E7" w:rsidP="000D795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bdr w:val="none" w:sz="0" w:space="0" w:color="auto"/>
          <w:lang w:val="es-AR"/>
        </w:rPr>
      </w:pPr>
    </w:p>
    <w:p w14:paraId="04692AF1" w14:textId="55652ADB" w:rsidR="00374A7E" w:rsidRPr="00466196" w:rsidRDefault="00141089"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sz w:val="20"/>
          <w:szCs w:val="20"/>
          <w:bdr w:val="none" w:sz="0" w:space="0" w:color="auto"/>
          <w:lang w:val="es-AR"/>
        </w:rPr>
      </w:pPr>
      <w:r w:rsidRPr="00374A7E">
        <w:rPr>
          <w:rFonts w:ascii="Cambria" w:hAnsi="Cambria"/>
          <w:sz w:val="20"/>
          <w:szCs w:val="20"/>
          <w:bdr w:val="none" w:sz="0" w:space="0" w:color="auto"/>
          <w:lang w:val="es-AR"/>
        </w:rPr>
        <w:t xml:space="preserve">Los Estados no sólo tienen la obligación de proteger a periodistas en riesgo, sino que deben garantizar que las medidas de protección adoptadas sean efectivas y adecuadas. En ese sentido, cuando se adoptan medidas para proteger a un periodista frente a una amenaza creíble de daño contra su integridad física, estas </w:t>
      </w:r>
      <w:r w:rsidRPr="00466196">
        <w:rPr>
          <w:rFonts w:ascii="Cambria" w:hAnsi="Cambria"/>
          <w:sz w:val="20"/>
          <w:szCs w:val="20"/>
          <w:bdr w:val="none" w:sz="0" w:space="0" w:color="auto"/>
          <w:lang w:val="es-AR"/>
        </w:rPr>
        <w:t>medidas deberían tener en cuenta las necesidades propias de la profesión de la persona beneficiaria, su género y otras circunstancias individuales</w:t>
      </w:r>
      <w:r w:rsidRPr="00466196">
        <w:rPr>
          <w:rFonts w:ascii="Cambria" w:hAnsi="Cambria"/>
          <w:sz w:val="20"/>
          <w:szCs w:val="20"/>
          <w:bdr w:val="none" w:sz="0" w:space="0" w:color="auto"/>
          <w:vertAlign w:val="superscript"/>
          <w:lang w:val="es-AR"/>
        </w:rPr>
        <w:footnoteReference w:id="100"/>
      </w:r>
      <w:r w:rsidRPr="00466196">
        <w:rPr>
          <w:rFonts w:ascii="Cambria" w:hAnsi="Cambria"/>
          <w:sz w:val="20"/>
          <w:szCs w:val="20"/>
          <w:bdr w:val="none" w:sz="0" w:space="0" w:color="auto"/>
          <w:lang w:val="es-AR"/>
        </w:rPr>
        <w:t>.</w:t>
      </w:r>
    </w:p>
    <w:p w14:paraId="252A09F2" w14:textId="77777777" w:rsidR="00DC0D2D" w:rsidRPr="00466196" w:rsidRDefault="00DC0D2D" w:rsidP="00DC0D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bdr w:val="none" w:sz="0" w:space="0" w:color="auto"/>
          <w:lang w:val="es-AR"/>
        </w:rPr>
      </w:pPr>
    </w:p>
    <w:p w14:paraId="69F4AA71" w14:textId="3E56B3FB" w:rsidR="003D190E" w:rsidRPr="00466196" w:rsidRDefault="00374A7E"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sz w:val="20"/>
          <w:szCs w:val="20"/>
          <w:bdr w:val="none" w:sz="0" w:space="0" w:color="auto"/>
          <w:lang w:val="es-AR"/>
        </w:rPr>
      </w:pPr>
      <w:r w:rsidRPr="00466196">
        <w:rPr>
          <w:rFonts w:ascii="Cambria" w:hAnsi="Cambria"/>
          <w:color w:val="000000"/>
          <w:sz w:val="20"/>
          <w:szCs w:val="20"/>
          <w:bdr w:val="none" w:sz="0" w:space="0" w:color="auto"/>
          <w:lang w:val="es-AR"/>
        </w:rPr>
        <w:t xml:space="preserve">Por otro lado, la </w:t>
      </w:r>
      <w:r w:rsidR="00674307" w:rsidRPr="00466196">
        <w:rPr>
          <w:rFonts w:ascii="Cambria" w:hAnsi="Cambria"/>
          <w:color w:val="000000"/>
          <w:sz w:val="20"/>
          <w:szCs w:val="20"/>
          <w:bdr w:val="none" w:sz="0" w:space="0" w:color="auto"/>
          <w:lang w:val="es-AR"/>
        </w:rPr>
        <w:t xml:space="preserve">Corte ha establecido que la </w:t>
      </w:r>
      <w:r w:rsidR="00674307" w:rsidRPr="00466196">
        <w:rPr>
          <w:rFonts w:ascii="Cambria" w:hAnsi="Cambria"/>
          <w:sz w:val="20"/>
          <w:szCs w:val="20"/>
          <w:lang w:val="es-PE"/>
        </w:rPr>
        <w:t>obligación de garantizar el derecho a la vida presupone, además, el deber de los Estados de prevenir las violaciones a dicho derecho. Este deber de prevención abarca todas aquellas medidas de carácter jurídico, político, administrativo y cultural que promuevan la salvaguarda de los derechos humanos</w:t>
      </w:r>
      <w:r w:rsidR="00370AEB" w:rsidRPr="00466196">
        <w:rPr>
          <w:rStyle w:val="FootnoteReference"/>
          <w:rFonts w:ascii="Cambria" w:hAnsi="Cambria"/>
          <w:sz w:val="20"/>
          <w:szCs w:val="20"/>
          <w:lang w:val="es-PE"/>
        </w:rPr>
        <w:footnoteReference w:id="101"/>
      </w:r>
      <w:r w:rsidR="00600E84" w:rsidRPr="00466196">
        <w:rPr>
          <w:rFonts w:ascii="Cambria" w:hAnsi="Cambria"/>
          <w:sz w:val="20"/>
          <w:szCs w:val="20"/>
          <w:lang w:val="es-PE"/>
        </w:rPr>
        <w:t xml:space="preserve">. </w:t>
      </w:r>
      <w:r w:rsidR="001C202E" w:rsidRPr="00466196">
        <w:rPr>
          <w:rFonts w:ascii="Cambria" w:hAnsi="Cambria"/>
          <w:sz w:val="20"/>
          <w:szCs w:val="20"/>
          <w:lang w:val="es-PE"/>
        </w:rPr>
        <w:t xml:space="preserve">En este sentido, </w:t>
      </w:r>
      <w:r w:rsidR="00071B38">
        <w:rPr>
          <w:rFonts w:ascii="Cambria" w:hAnsi="Cambria"/>
          <w:sz w:val="20"/>
          <w:szCs w:val="20"/>
          <w:lang w:val="es-PE"/>
        </w:rPr>
        <w:t xml:space="preserve">la </w:t>
      </w:r>
      <w:r w:rsidRPr="00466196">
        <w:rPr>
          <w:rFonts w:ascii="Cambria" w:hAnsi="Cambria"/>
          <w:color w:val="000000"/>
          <w:sz w:val="20"/>
          <w:szCs w:val="20"/>
          <w:bdr w:val="none" w:sz="0" w:space="0" w:color="auto"/>
          <w:lang w:val="es-AR"/>
        </w:rPr>
        <w:t xml:space="preserve">CIDH ha establecido que </w:t>
      </w:r>
      <w:r w:rsidR="00CC4BD1" w:rsidRPr="00466196">
        <w:rPr>
          <w:rFonts w:ascii="Cambria" w:hAnsi="Cambria"/>
          <w:sz w:val="20"/>
          <w:szCs w:val="20"/>
          <w:lang w:val="es-PE"/>
        </w:rPr>
        <w:t>se necesitan mecanismos de prevención y medidas para resolver algunas de las causas profundas de la violencia contra los periodistas y de la impunidad</w:t>
      </w:r>
      <w:r w:rsidR="000B7986" w:rsidRPr="00466196">
        <w:rPr>
          <w:rFonts w:ascii="Cambria" w:hAnsi="Cambria"/>
          <w:sz w:val="20"/>
          <w:szCs w:val="20"/>
          <w:lang w:val="es-PE"/>
        </w:rPr>
        <w:t xml:space="preserve"> y ha destacado la importancia del est</w:t>
      </w:r>
      <w:r w:rsidR="00DF314D" w:rsidRPr="00466196">
        <w:rPr>
          <w:rFonts w:ascii="Cambria" w:hAnsi="Cambria"/>
          <w:sz w:val="20"/>
          <w:szCs w:val="20"/>
          <w:lang w:val="es-PE"/>
        </w:rPr>
        <w:t xml:space="preserve">ablecimiento de programas especiales de protección para periodistas, en particular en zonas </w:t>
      </w:r>
      <w:r w:rsidR="005B31D6" w:rsidRPr="00466196">
        <w:rPr>
          <w:rFonts w:ascii="Cambria" w:hAnsi="Cambria"/>
          <w:sz w:val="20"/>
          <w:szCs w:val="20"/>
          <w:lang w:val="es-PE"/>
        </w:rPr>
        <w:t>donde existen situaciones graves de violencia contra estos grupos</w:t>
      </w:r>
      <w:r w:rsidR="00D6277E">
        <w:rPr>
          <w:rStyle w:val="FootnoteReference"/>
          <w:rFonts w:ascii="Cambria" w:hAnsi="Cambria"/>
          <w:sz w:val="20"/>
          <w:szCs w:val="20"/>
          <w:lang w:val="es-PE"/>
        </w:rPr>
        <w:footnoteReference w:id="102"/>
      </w:r>
      <w:r w:rsidR="00CF561A" w:rsidRPr="00466196">
        <w:rPr>
          <w:rFonts w:ascii="Cambria" w:hAnsi="Cambria"/>
          <w:sz w:val="20"/>
          <w:szCs w:val="20"/>
          <w:lang w:val="es-PE"/>
        </w:rPr>
        <w:t xml:space="preserve">. </w:t>
      </w:r>
    </w:p>
    <w:p w14:paraId="519CBFB6" w14:textId="77777777" w:rsidR="004110D5" w:rsidRPr="004110D5" w:rsidRDefault="004110D5" w:rsidP="004110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highlight w:val="green"/>
          <w:bdr w:val="none" w:sz="0" w:space="0" w:color="auto"/>
          <w:lang w:val="es-AR"/>
        </w:rPr>
      </w:pPr>
    </w:p>
    <w:p w14:paraId="33EC03EE" w14:textId="1E064231" w:rsidR="00F1184E" w:rsidRPr="008965C4" w:rsidRDefault="00037C87" w:rsidP="00C870C0">
      <w:pPr>
        <w:pStyle w:val="Heading3"/>
        <w:numPr>
          <w:ilvl w:val="0"/>
          <w:numId w:val="56"/>
        </w:numPr>
        <w:ind w:hanging="720"/>
      </w:pPr>
      <w:bookmarkStart w:id="36" w:name="_Toc47965331"/>
      <w:r w:rsidRPr="008965C4">
        <w:t>Consideraciones generales s</w:t>
      </w:r>
      <w:r w:rsidR="007C748C" w:rsidRPr="008965C4">
        <w:t xml:space="preserve">obre el deber de </w:t>
      </w:r>
      <w:r w:rsidR="00F1184E" w:rsidRPr="008965C4">
        <w:t xml:space="preserve">investigar crímenes contra periodistas por el ejercicio de </w:t>
      </w:r>
      <w:r w:rsidR="00AC4CD7" w:rsidRPr="008965C4">
        <w:t>su derecho a la</w:t>
      </w:r>
      <w:r w:rsidR="00F1184E" w:rsidRPr="008965C4">
        <w:t xml:space="preserve"> libertad de expresión</w:t>
      </w:r>
      <w:bookmarkEnd w:id="36"/>
    </w:p>
    <w:p w14:paraId="7663CFBE" w14:textId="77777777" w:rsidR="00090E71" w:rsidRPr="008965C4" w:rsidRDefault="00090E71" w:rsidP="00090E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2D6C4CC6" w14:textId="035E9E51" w:rsidR="004070BC" w:rsidRPr="008965C4" w:rsidRDefault="004070BC"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8965C4">
        <w:rPr>
          <w:rFonts w:ascii="Cambria" w:hAnsi="Cambria"/>
          <w:sz w:val="20"/>
          <w:szCs w:val="20"/>
          <w:lang w:val="es-US"/>
        </w:rPr>
        <w:t>La</w:t>
      </w:r>
      <w:r w:rsidRPr="008965C4">
        <w:rPr>
          <w:rFonts w:ascii="Cambria" w:hAnsi="Cambria"/>
          <w:sz w:val="20"/>
          <w:szCs w:val="20"/>
          <w:lang w:val="es-ES"/>
        </w:rPr>
        <w:t xml:space="preserve"> Corte ha establecido que, de conformidad con los artículos 8.1 y 25.1 de la Convención Americana, los Estados </w:t>
      </w:r>
      <w:r w:rsidRPr="008965C4">
        <w:rPr>
          <w:rFonts w:ascii="Cambria" w:eastAsia="Times New Roman" w:hAnsi="Cambria" w:cs="Cambria"/>
          <w:sz w:val="20"/>
          <w:szCs w:val="20"/>
          <w:u w:color="000000"/>
          <w:lang w:val="es-ES" w:eastAsia="es-ES"/>
        </w:rPr>
        <w:t>están</w:t>
      </w:r>
      <w:r w:rsidRPr="008965C4">
        <w:rPr>
          <w:rFonts w:ascii="Cambria" w:hAnsi="Cambria"/>
          <w:sz w:val="20"/>
          <w:szCs w:val="20"/>
          <w:lang w:val="es-ES"/>
        </w:rPr>
        <w:t xml:space="preserve"> obligados a suministrar recursos judiciales efectivos a las víctimas de violaciones de los derechos humanos</w:t>
      </w:r>
      <w:r w:rsidRPr="008965C4">
        <w:rPr>
          <w:rStyle w:val="FootnoteReference"/>
          <w:rFonts w:ascii="Cambria" w:hAnsi="Cambria"/>
          <w:sz w:val="20"/>
          <w:szCs w:val="20"/>
          <w:lang w:val="es-ES"/>
        </w:rPr>
        <w:footnoteReference w:id="103"/>
      </w:r>
      <w:r w:rsidRPr="008965C4">
        <w:rPr>
          <w:rFonts w:ascii="Cambria" w:hAnsi="Cambria"/>
          <w:sz w:val="20"/>
          <w:szCs w:val="20"/>
          <w:lang w:val="es-ES"/>
        </w:rPr>
        <w:t>. Dichos recursos deben ser sustanciados de conformidad con las reglas del debido proceso legal</w:t>
      </w:r>
      <w:r w:rsidRPr="008965C4">
        <w:rPr>
          <w:rStyle w:val="FootnoteReference"/>
          <w:rFonts w:ascii="Cambria" w:hAnsi="Cambria"/>
          <w:sz w:val="20"/>
          <w:szCs w:val="20"/>
          <w:lang w:val="es-ES"/>
        </w:rPr>
        <w:footnoteReference w:id="104"/>
      </w:r>
      <w:r w:rsidRPr="008965C4">
        <w:rPr>
          <w:rFonts w:ascii="Cambria" w:hAnsi="Cambria"/>
          <w:sz w:val="20"/>
          <w:szCs w:val="20"/>
          <w:lang w:val="es-ES"/>
        </w:rPr>
        <w:t xml:space="preserve">. Asimismo, la Corte ha señalado que el derecho de acceso a la justicia debe asegurar, en </w:t>
      </w:r>
      <w:r w:rsidR="000141DC">
        <w:rPr>
          <w:rFonts w:ascii="Cambria" w:hAnsi="Cambria"/>
          <w:sz w:val="20"/>
          <w:szCs w:val="20"/>
          <w:lang w:val="es-ES"/>
        </w:rPr>
        <w:t xml:space="preserve">un plazo </w:t>
      </w:r>
      <w:r w:rsidRPr="008965C4">
        <w:rPr>
          <w:rFonts w:ascii="Cambria" w:hAnsi="Cambria"/>
          <w:sz w:val="20"/>
          <w:szCs w:val="20"/>
          <w:lang w:val="es-ES"/>
        </w:rPr>
        <w:t>razonable, el derecho de las presuntas víctimas o sus familiares a que se haga todo lo necesario para conocer la verdad de lo sucedido e investigar, juzgar y, en su caso, sancionar a los eventuales responsables</w:t>
      </w:r>
      <w:r w:rsidRPr="008965C4">
        <w:rPr>
          <w:rStyle w:val="FootnoteReference"/>
          <w:rFonts w:ascii="Cambria" w:hAnsi="Cambria"/>
          <w:sz w:val="20"/>
          <w:szCs w:val="20"/>
          <w:lang w:val="es-ES"/>
        </w:rPr>
        <w:footnoteReference w:id="105"/>
      </w:r>
      <w:r w:rsidRPr="008965C4">
        <w:rPr>
          <w:rFonts w:ascii="Cambria" w:hAnsi="Cambria"/>
          <w:sz w:val="20"/>
          <w:szCs w:val="20"/>
          <w:lang w:val="es-ES"/>
        </w:rPr>
        <w:t>.</w:t>
      </w:r>
    </w:p>
    <w:p w14:paraId="0401C9F8" w14:textId="77777777" w:rsidR="004070BC" w:rsidRPr="008965C4" w:rsidRDefault="004070BC" w:rsidP="008965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5F21E211" w14:textId="6668F77F" w:rsidR="00CB0CCB" w:rsidRPr="008965C4" w:rsidRDefault="009D0017"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8965C4">
        <w:rPr>
          <w:rFonts w:ascii="Cambria" w:hAnsi="Cambria"/>
          <w:sz w:val="20"/>
          <w:szCs w:val="20"/>
          <w:lang w:val="es-US"/>
        </w:rPr>
        <w:lastRenderedPageBreak/>
        <w:t xml:space="preserve">La jurisprudencia ha sido clara en destacar que, a la luz del deber de investigar con debida diligencia “una vez que las autoridades estatales tengan conocimiento del hecho, deben iniciar </w:t>
      </w:r>
      <w:r w:rsidRPr="008965C4">
        <w:rPr>
          <w:rFonts w:ascii="Cambria" w:hAnsi="Cambria"/>
          <w:i/>
          <w:sz w:val="20"/>
          <w:szCs w:val="20"/>
          <w:lang w:val="es-US"/>
        </w:rPr>
        <w:t xml:space="preserve">ex officio </w:t>
      </w:r>
      <w:r w:rsidRPr="008965C4">
        <w:rPr>
          <w:rFonts w:ascii="Cambria" w:hAnsi="Cambria"/>
          <w:sz w:val="20"/>
          <w:szCs w:val="20"/>
          <w:lang w:val="es-US"/>
        </w:rPr>
        <w:t>y sin dilación, una investigación seria, imparcial y efectiva […] por todos los medios legales disponibles y orientada a la determinación de la verdad”</w:t>
      </w:r>
      <w:r w:rsidRPr="008965C4">
        <w:rPr>
          <w:rFonts w:ascii="Cambria" w:hAnsi="Cambria"/>
          <w:sz w:val="20"/>
          <w:szCs w:val="20"/>
          <w:vertAlign w:val="superscript"/>
        </w:rPr>
        <w:footnoteReference w:id="106"/>
      </w:r>
      <w:r w:rsidRPr="008965C4">
        <w:rPr>
          <w:rFonts w:ascii="Cambria" w:hAnsi="Cambria"/>
          <w:sz w:val="20"/>
          <w:szCs w:val="20"/>
          <w:lang w:val="es-US"/>
        </w:rPr>
        <w:t xml:space="preserve">. </w:t>
      </w:r>
      <w:r w:rsidR="00CB0CCB" w:rsidRPr="008965C4">
        <w:rPr>
          <w:rFonts w:ascii="Cambria" w:hAnsi="Cambria"/>
          <w:sz w:val="20"/>
          <w:szCs w:val="20"/>
          <w:lang w:val="es-CO"/>
        </w:rPr>
        <w:t xml:space="preserve">Tanto </w:t>
      </w:r>
      <w:r w:rsidR="00CB0CCB" w:rsidRPr="008965C4">
        <w:rPr>
          <w:rFonts w:ascii="Cambria" w:hAnsi="Cambria"/>
          <w:spacing w:val="-3"/>
          <w:sz w:val="20"/>
          <w:szCs w:val="20"/>
          <w:lang w:val="es-ES"/>
        </w:rPr>
        <w:t>la</w:t>
      </w:r>
      <w:r w:rsidR="00CB0CCB" w:rsidRPr="008965C4">
        <w:rPr>
          <w:rFonts w:ascii="Cambria" w:hAnsi="Cambria"/>
          <w:sz w:val="20"/>
          <w:szCs w:val="20"/>
          <w:lang w:val="es-CO"/>
        </w:rPr>
        <w:t xml:space="preserve"> Comisión como la Corte han señalado en su jurisprudencia reiterada que el deber de investigar es una obligación de medio y no de resultado, que 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w:t>
      </w:r>
      <w:r w:rsidR="00CB0CCB" w:rsidRPr="008965C4">
        <w:rPr>
          <w:rStyle w:val="FootnoteReference"/>
          <w:rFonts w:ascii="Cambria" w:hAnsi="Cambria"/>
          <w:sz w:val="20"/>
          <w:szCs w:val="20"/>
        </w:rPr>
        <w:footnoteReference w:id="107"/>
      </w:r>
      <w:r w:rsidR="00CB0CCB" w:rsidRPr="008965C4">
        <w:rPr>
          <w:rFonts w:ascii="Cambria" w:hAnsi="Cambria"/>
          <w:sz w:val="20"/>
          <w:szCs w:val="20"/>
          <w:lang w:val="es-CO"/>
        </w:rPr>
        <w:t>.</w:t>
      </w:r>
    </w:p>
    <w:p w14:paraId="63EBA537" w14:textId="77777777" w:rsidR="00DB2850" w:rsidRPr="008965C4" w:rsidRDefault="00DB2850" w:rsidP="00E246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3903ACAD" w14:textId="4F865305" w:rsidR="009D0017" w:rsidRPr="008965C4" w:rsidRDefault="009D0017"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8965C4">
        <w:rPr>
          <w:rFonts w:ascii="Cambria" w:hAnsi="Cambria"/>
          <w:sz w:val="20"/>
          <w:szCs w:val="20"/>
          <w:lang w:val="es-US"/>
        </w:rPr>
        <w:t>Asimismo, es necesario tener presente que el deber de investigar se mantiene “cualquiera sea el agente al cual pueda eventualmente atribuirse la violación, aun los particulares, pues, si sus hechos no son investigados con seriedad, resultarían, en cierto modo, auxiliados por el poder público, lo que comprometería la responsabilidad internacional del Estado”</w:t>
      </w:r>
      <w:r w:rsidRPr="008965C4">
        <w:rPr>
          <w:rFonts w:ascii="Cambria" w:hAnsi="Cambria"/>
          <w:sz w:val="20"/>
          <w:szCs w:val="20"/>
          <w:vertAlign w:val="superscript"/>
        </w:rPr>
        <w:footnoteReference w:id="108"/>
      </w:r>
      <w:r w:rsidRPr="008965C4">
        <w:rPr>
          <w:rFonts w:ascii="Cambria" w:hAnsi="Cambria"/>
          <w:sz w:val="20"/>
          <w:szCs w:val="20"/>
          <w:lang w:val="es-US"/>
        </w:rPr>
        <w:t xml:space="preserve">. </w:t>
      </w:r>
    </w:p>
    <w:p w14:paraId="7CD85B35" w14:textId="77777777" w:rsidR="008965C4" w:rsidRDefault="008965C4" w:rsidP="00E246CF">
      <w:pPr>
        <w:pStyle w:val="ListParagraph"/>
        <w:spacing w:before="0" w:after="0"/>
        <w:rPr>
          <w:sz w:val="20"/>
          <w:szCs w:val="20"/>
          <w:lang w:val="es-PE"/>
        </w:rPr>
      </w:pPr>
    </w:p>
    <w:p w14:paraId="24815AEC" w14:textId="55A9CB13" w:rsidR="008C1951" w:rsidRPr="008965C4" w:rsidRDefault="008C1951"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8965C4">
        <w:rPr>
          <w:rFonts w:ascii="Cambria" w:hAnsi="Cambria"/>
          <w:sz w:val="20"/>
          <w:szCs w:val="20"/>
          <w:bdr w:val="none" w:sz="0" w:space="0" w:color="auto"/>
          <w:lang w:val="es-AR"/>
        </w:rPr>
        <w:t xml:space="preserve">Tanto la Comisión como la Corte se han referido al efecto amedrentador que los crímenes contra periodistas tienen para otros y otras profesionales de los medios de </w:t>
      </w:r>
      <w:r w:rsidR="00D64C70" w:rsidRPr="008965C4">
        <w:rPr>
          <w:rFonts w:ascii="Cambria" w:hAnsi="Cambria"/>
          <w:sz w:val="20"/>
          <w:szCs w:val="20"/>
          <w:bdr w:val="none" w:sz="0" w:space="0" w:color="auto"/>
          <w:lang w:val="es-AR"/>
        </w:rPr>
        <w:t>comunicación,</w:t>
      </w:r>
      <w:r w:rsidRPr="008965C4">
        <w:rPr>
          <w:rFonts w:ascii="Cambria" w:hAnsi="Cambria"/>
          <w:sz w:val="20"/>
          <w:szCs w:val="20"/>
          <w:bdr w:val="none" w:sz="0" w:space="0" w:color="auto"/>
          <w:lang w:val="es-AR"/>
        </w:rPr>
        <w:t xml:space="preserve"> así como para los y las ciudadanas que pretenden denunciar abusos de poder o actos ilícitos de cualquier naturaleza</w:t>
      </w:r>
      <w:r w:rsidRPr="008965C4">
        <w:rPr>
          <w:rFonts w:ascii="Cambria" w:hAnsi="Cambria"/>
          <w:sz w:val="20"/>
          <w:szCs w:val="20"/>
          <w:bdr w:val="none" w:sz="0" w:space="0" w:color="auto"/>
          <w:vertAlign w:val="superscript"/>
          <w:lang w:val="es-AR"/>
        </w:rPr>
        <w:footnoteReference w:id="109"/>
      </w:r>
      <w:r w:rsidRPr="008965C4">
        <w:rPr>
          <w:rFonts w:ascii="Cambria" w:hAnsi="Cambria"/>
          <w:sz w:val="20"/>
          <w:szCs w:val="20"/>
          <w:bdr w:val="none" w:sz="0" w:space="0" w:color="auto"/>
          <w:lang w:val="es-AR"/>
        </w:rPr>
        <w:t>. Este efecto amedrentador solamente podrá evitarse, “mediante la acción decisiva del Estado para castigar a quienes resulten responsables, tal como corresponde a su obligación bajo el derecho internacional y el derecho interno”</w:t>
      </w:r>
      <w:r w:rsidRPr="008965C4">
        <w:rPr>
          <w:rFonts w:ascii="Cambria" w:hAnsi="Cambria"/>
          <w:sz w:val="20"/>
          <w:szCs w:val="20"/>
          <w:bdr w:val="none" w:sz="0" w:space="0" w:color="auto"/>
          <w:vertAlign w:val="superscript"/>
          <w:lang w:val="es-AR"/>
        </w:rPr>
        <w:footnoteReference w:id="110"/>
      </w:r>
      <w:r w:rsidRPr="008965C4">
        <w:rPr>
          <w:rFonts w:ascii="Cambria" w:hAnsi="Cambria"/>
          <w:sz w:val="20"/>
          <w:szCs w:val="20"/>
          <w:bdr w:val="none" w:sz="0" w:space="0" w:color="auto"/>
          <w:lang w:val="es-AR"/>
        </w:rPr>
        <w:t>.</w:t>
      </w:r>
    </w:p>
    <w:p w14:paraId="62D2FE99" w14:textId="77777777" w:rsidR="008965C4" w:rsidRDefault="008965C4" w:rsidP="00E246CF">
      <w:pPr>
        <w:pStyle w:val="ListParagraph"/>
        <w:spacing w:before="0" w:after="0"/>
        <w:rPr>
          <w:sz w:val="20"/>
          <w:szCs w:val="20"/>
          <w:lang w:val="es-PE"/>
        </w:rPr>
      </w:pPr>
    </w:p>
    <w:p w14:paraId="6ED8EBDA" w14:textId="3D1FB344" w:rsidR="008C1951" w:rsidRPr="008965C4" w:rsidRDefault="008C1951"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8965C4">
        <w:rPr>
          <w:rFonts w:ascii="Cambria" w:hAnsi="Cambria"/>
          <w:sz w:val="20"/>
          <w:szCs w:val="20"/>
          <w:bdr w:val="none" w:sz="0" w:space="0" w:color="auto"/>
          <w:lang w:val="es-AR"/>
        </w:rPr>
        <w:t>La Corte ha señalado que la impunidad – entendida como la falta en su conjunto de investigación, persecución, captura, enjuiciamiento y condena – propicia la repetición crónica de violaciones de derechos humanos y la total indefensión de las víctimas y sus familiares</w:t>
      </w:r>
      <w:r w:rsidRPr="008965C4">
        <w:rPr>
          <w:rFonts w:ascii="Cambria" w:hAnsi="Cambria"/>
          <w:sz w:val="20"/>
          <w:szCs w:val="20"/>
          <w:bdr w:val="none" w:sz="0" w:space="0" w:color="auto"/>
          <w:vertAlign w:val="superscript"/>
          <w:lang w:val="es-AR"/>
        </w:rPr>
        <w:footnoteReference w:id="111"/>
      </w:r>
      <w:r w:rsidRPr="008965C4">
        <w:rPr>
          <w:rFonts w:ascii="Cambria" w:hAnsi="Cambria"/>
          <w:sz w:val="20"/>
          <w:szCs w:val="20"/>
          <w:bdr w:val="none" w:sz="0" w:space="0" w:color="auto"/>
          <w:lang w:val="es-AR"/>
        </w:rPr>
        <w:t>. Por su parte, la CIDH ha instado en reiteradas ocasiones a los Estados a “[r]ealizar investigaciones serias, imparciales y efectivas sobre los asesinatos, agresiones, amenazas y actos de intimidación cometidos contra periodistas y trabajadores de medios de comunicación social”</w:t>
      </w:r>
      <w:r w:rsidRPr="008965C4">
        <w:rPr>
          <w:rFonts w:ascii="Cambria" w:hAnsi="Cambria"/>
          <w:sz w:val="20"/>
          <w:szCs w:val="20"/>
          <w:bdr w:val="none" w:sz="0" w:space="0" w:color="auto"/>
          <w:vertAlign w:val="superscript"/>
          <w:lang w:val="es-AR"/>
        </w:rPr>
        <w:footnoteReference w:id="112"/>
      </w:r>
      <w:r w:rsidRPr="008965C4">
        <w:rPr>
          <w:rFonts w:ascii="Cambria" w:hAnsi="Cambria"/>
          <w:sz w:val="20"/>
          <w:szCs w:val="20"/>
          <w:bdr w:val="none" w:sz="0" w:space="0" w:color="auto"/>
          <w:lang w:val="es-AR"/>
        </w:rPr>
        <w:t xml:space="preserve">. </w:t>
      </w:r>
    </w:p>
    <w:p w14:paraId="124DDA0F" w14:textId="77777777" w:rsidR="008965C4" w:rsidRDefault="008965C4" w:rsidP="00E246CF">
      <w:pPr>
        <w:pStyle w:val="ListParagraph"/>
        <w:spacing w:before="0" w:after="0"/>
        <w:rPr>
          <w:sz w:val="20"/>
          <w:szCs w:val="20"/>
          <w:lang w:val="es-PE"/>
        </w:rPr>
      </w:pPr>
    </w:p>
    <w:p w14:paraId="3F869E81" w14:textId="741F3FD9" w:rsidR="00B44863" w:rsidRPr="00B5616B" w:rsidRDefault="00B44863"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8965C4">
        <w:rPr>
          <w:rFonts w:ascii="Cambria" w:hAnsi="Cambria"/>
          <w:bCs/>
          <w:sz w:val="20"/>
          <w:szCs w:val="20"/>
          <w:lang w:val="es-AR"/>
        </w:rPr>
        <w:t xml:space="preserve">En el cumplimiento de su obligación de investigar, </w:t>
      </w:r>
      <w:r w:rsidRPr="008965C4">
        <w:rPr>
          <w:rFonts w:ascii="Cambria" w:hAnsi="Cambria"/>
          <w:bCs/>
          <w:sz w:val="20"/>
          <w:szCs w:val="20"/>
          <w:lang w:val="es-CO"/>
        </w:rPr>
        <w:t>juzgar y, en su caso, sancionar los responsables por los hechos de violencia cometidos contra periodistas por el ejercicio de su derecho a la libertad de expresión, los Estados deben hacer hincapié de algunas obligaciones específicas, las cuales incluyen: (i)</w:t>
      </w:r>
      <w:r w:rsidRPr="008965C4">
        <w:rPr>
          <w:rFonts w:ascii="Cambria" w:hAnsi="Cambria"/>
          <w:bCs/>
          <w:sz w:val="20"/>
          <w:szCs w:val="20"/>
          <w:lang w:val="es-UY"/>
        </w:rPr>
        <w:t xml:space="preserve"> l</w:t>
      </w:r>
      <w:r w:rsidRPr="008965C4">
        <w:rPr>
          <w:rFonts w:ascii="Cambria" w:hAnsi="Cambria"/>
          <w:bCs/>
          <w:sz w:val="20"/>
          <w:szCs w:val="20"/>
          <w:lang w:val="es-AR"/>
        </w:rPr>
        <w:t>a obligación de adoptar un marco institucional adecuado que permita investigar, juzgar y sancionar de manera efectiva la violencia contra periodistas;</w:t>
      </w:r>
      <w:r w:rsidRPr="008965C4">
        <w:rPr>
          <w:rFonts w:ascii="Cambria" w:hAnsi="Cambria"/>
          <w:bCs/>
          <w:sz w:val="20"/>
          <w:szCs w:val="20"/>
          <w:lang w:val="es-UY"/>
        </w:rPr>
        <w:t xml:space="preserve"> (ii) l</w:t>
      </w:r>
      <w:r w:rsidRPr="008965C4">
        <w:rPr>
          <w:rFonts w:ascii="Cambria" w:hAnsi="Cambria"/>
          <w:bCs/>
          <w:sz w:val="20"/>
          <w:szCs w:val="20"/>
          <w:lang w:val="es-AR"/>
        </w:rPr>
        <w:t>a obligación de actuar con debida diligencia y agotar las líneas de investigación vinculadas con el ejercicio periodístico de la víctima</w:t>
      </w:r>
      <w:r w:rsidRPr="008965C4">
        <w:rPr>
          <w:rFonts w:ascii="Cambria" w:hAnsi="Cambria"/>
          <w:bCs/>
          <w:sz w:val="20"/>
          <w:szCs w:val="20"/>
          <w:lang w:val="es-UY"/>
        </w:rPr>
        <w:t xml:space="preserve">; (iii) </w:t>
      </w:r>
      <w:r w:rsidRPr="008965C4">
        <w:rPr>
          <w:rFonts w:ascii="Cambria" w:hAnsi="Cambria"/>
          <w:bCs/>
          <w:sz w:val="20"/>
          <w:szCs w:val="20"/>
          <w:lang w:val="es-AR"/>
        </w:rPr>
        <w:t xml:space="preserve">la obligación de efectuar investigaciones en un plazo </w:t>
      </w:r>
      <w:r w:rsidRPr="00B5616B">
        <w:rPr>
          <w:rFonts w:ascii="Cambria" w:hAnsi="Cambria"/>
          <w:bCs/>
          <w:sz w:val="20"/>
          <w:szCs w:val="20"/>
          <w:lang w:val="es-AR"/>
        </w:rPr>
        <w:t>razonable</w:t>
      </w:r>
      <w:r w:rsidR="00C068E7" w:rsidRPr="00B5616B">
        <w:rPr>
          <w:rFonts w:ascii="Cambria" w:hAnsi="Cambria"/>
          <w:bCs/>
          <w:sz w:val="20"/>
          <w:szCs w:val="20"/>
          <w:lang w:val="es-AR"/>
        </w:rPr>
        <w:t xml:space="preserve">; </w:t>
      </w:r>
      <w:r w:rsidRPr="00B5616B">
        <w:rPr>
          <w:rFonts w:ascii="Cambria" w:hAnsi="Cambria"/>
          <w:bCs/>
          <w:sz w:val="20"/>
          <w:szCs w:val="20"/>
          <w:lang w:val="es-UY"/>
        </w:rPr>
        <w:t xml:space="preserve">(iv) </w:t>
      </w:r>
      <w:r w:rsidR="00A82133" w:rsidRPr="00B5616B">
        <w:rPr>
          <w:rFonts w:ascii="Cambria" w:hAnsi="Cambria"/>
          <w:bCs/>
          <w:sz w:val="20"/>
          <w:szCs w:val="20"/>
          <w:lang w:val="es-UY"/>
        </w:rPr>
        <w:t>la obligación de rem</w:t>
      </w:r>
      <w:r w:rsidR="00B86F15" w:rsidRPr="00B5616B">
        <w:rPr>
          <w:rFonts w:ascii="Cambria" w:hAnsi="Cambria"/>
          <w:bCs/>
          <w:sz w:val="20"/>
          <w:szCs w:val="20"/>
          <w:lang w:val="es-UY"/>
        </w:rPr>
        <w:t>o</w:t>
      </w:r>
      <w:r w:rsidR="00A82133" w:rsidRPr="00B5616B">
        <w:rPr>
          <w:rFonts w:ascii="Cambria" w:hAnsi="Cambria"/>
          <w:bCs/>
          <w:sz w:val="20"/>
          <w:szCs w:val="20"/>
          <w:lang w:val="es-UY"/>
        </w:rPr>
        <w:t>ver los obstáculos legales a la investigación y sanción proporcionada y efectiva de los delitos más graves contra periodistas</w:t>
      </w:r>
      <w:r w:rsidR="00C068E7" w:rsidRPr="00B5616B">
        <w:rPr>
          <w:rFonts w:ascii="Cambria" w:hAnsi="Cambria"/>
          <w:bCs/>
          <w:sz w:val="20"/>
          <w:szCs w:val="20"/>
          <w:lang w:val="es-UY"/>
        </w:rPr>
        <w:t xml:space="preserve">, y (v) </w:t>
      </w:r>
      <w:r w:rsidRPr="00B5616B">
        <w:rPr>
          <w:rFonts w:ascii="Cambria" w:hAnsi="Cambria"/>
          <w:bCs/>
          <w:sz w:val="20"/>
          <w:szCs w:val="20"/>
          <w:lang w:val="es-AR"/>
        </w:rPr>
        <w:t>la obligación de facilitar la participación de las víctimas en las investigaciones</w:t>
      </w:r>
      <w:r w:rsidRPr="00B5616B">
        <w:rPr>
          <w:rFonts w:ascii="Cambria" w:hAnsi="Cambria"/>
          <w:bCs/>
          <w:sz w:val="20"/>
          <w:szCs w:val="20"/>
          <w:vertAlign w:val="superscript"/>
          <w:lang w:val="es-AR"/>
        </w:rPr>
        <w:footnoteReference w:id="113"/>
      </w:r>
      <w:r w:rsidRPr="00B5616B">
        <w:rPr>
          <w:rFonts w:ascii="Cambria" w:hAnsi="Cambria"/>
          <w:bCs/>
          <w:sz w:val="20"/>
          <w:szCs w:val="20"/>
          <w:lang w:val="es-AR"/>
        </w:rPr>
        <w:t>.</w:t>
      </w:r>
      <w:r w:rsidR="00B422DD" w:rsidRPr="00B5616B">
        <w:rPr>
          <w:rFonts w:ascii="Cambria" w:hAnsi="Cambria"/>
          <w:bCs/>
          <w:sz w:val="20"/>
          <w:szCs w:val="20"/>
          <w:lang w:val="es-AR"/>
        </w:rPr>
        <w:t xml:space="preserve"> A </w:t>
      </w:r>
      <w:r w:rsidR="00B86F15" w:rsidRPr="00B5616B">
        <w:rPr>
          <w:rFonts w:ascii="Cambria" w:hAnsi="Cambria"/>
          <w:bCs/>
          <w:sz w:val="20"/>
          <w:szCs w:val="20"/>
          <w:lang w:val="es-AR"/>
        </w:rPr>
        <w:t>continuación,</w:t>
      </w:r>
      <w:r w:rsidR="00B422DD" w:rsidRPr="00B5616B">
        <w:rPr>
          <w:rFonts w:ascii="Cambria" w:hAnsi="Cambria"/>
          <w:bCs/>
          <w:sz w:val="20"/>
          <w:szCs w:val="20"/>
          <w:lang w:val="es-AR"/>
        </w:rPr>
        <w:t xml:space="preserve"> la Comisión se referirá</w:t>
      </w:r>
      <w:r w:rsidR="002271F1" w:rsidRPr="00B5616B">
        <w:rPr>
          <w:rFonts w:ascii="Cambria" w:hAnsi="Cambria"/>
          <w:bCs/>
          <w:sz w:val="20"/>
          <w:szCs w:val="20"/>
          <w:lang w:val="es-AR"/>
        </w:rPr>
        <w:t xml:space="preserve"> a algunas de estas obligaciones de conformidad con los estándares establecidos en el sistema interamericano</w:t>
      </w:r>
      <w:r w:rsidR="00B86F15" w:rsidRPr="00B5616B">
        <w:rPr>
          <w:rFonts w:ascii="Cambria" w:hAnsi="Cambria"/>
          <w:bCs/>
          <w:sz w:val="20"/>
          <w:szCs w:val="20"/>
          <w:lang w:val="es-AR"/>
        </w:rPr>
        <w:t xml:space="preserve"> aplicables al presente caso.</w:t>
      </w:r>
    </w:p>
    <w:p w14:paraId="41E09E56" w14:textId="54294116" w:rsidR="00794C1F" w:rsidRPr="00B5616B" w:rsidRDefault="00794C1F" w:rsidP="00B5616B">
      <w:pPr>
        <w:pStyle w:val="ListParagraph"/>
        <w:spacing w:before="0" w:after="0"/>
        <w:rPr>
          <w:sz w:val="20"/>
          <w:szCs w:val="20"/>
          <w:lang w:val="es-US"/>
        </w:rPr>
      </w:pPr>
    </w:p>
    <w:p w14:paraId="4DB2D543" w14:textId="2588A166" w:rsidR="00FE0DE9" w:rsidRPr="00B5616B" w:rsidRDefault="00360539" w:rsidP="00B5616B">
      <w:pPr>
        <w:pStyle w:val="Heading4"/>
        <w:rPr>
          <w:szCs w:val="20"/>
        </w:rPr>
      </w:pPr>
      <w:r w:rsidRPr="00B5616B">
        <w:rPr>
          <w:szCs w:val="20"/>
        </w:rPr>
        <w:t xml:space="preserve">3.a. </w:t>
      </w:r>
      <w:r w:rsidR="00FE0DE9" w:rsidRPr="00B5616B">
        <w:rPr>
          <w:szCs w:val="20"/>
        </w:rPr>
        <w:t>Debida diligencia</w:t>
      </w:r>
      <w:r w:rsidR="00601BBA" w:rsidRPr="00B5616B">
        <w:rPr>
          <w:szCs w:val="20"/>
        </w:rPr>
        <w:t xml:space="preserve"> </w:t>
      </w:r>
      <w:r w:rsidR="00637167" w:rsidRPr="00B5616B">
        <w:rPr>
          <w:szCs w:val="20"/>
        </w:rPr>
        <w:t xml:space="preserve">en la recaudación de pruebas </w:t>
      </w:r>
    </w:p>
    <w:p w14:paraId="535DEA19" w14:textId="54EA9A05" w:rsidR="00FE0DE9" w:rsidRPr="00B5616B" w:rsidRDefault="00FE0DE9" w:rsidP="00B5616B">
      <w:pPr>
        <w:pStyle w:val="ListParagraph"/>
        <w:spacing w:before="0" w:after="0"/>
        <w:rPr>
          <w:sz w:val="20"/>
          <w:szCs w:val="20"/>
          <w:lang w:val="es-US"/>
        </w:rPr>
      </w:pPr>
    </w:p>
    <w:p w14:paraId="72E5ABF0" w14:textId="5FEC3D6D" w:rsidR="008255B9" w:rsidRPr="00B5616B" w:rsidRDefault="008255B9"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Cs/>
          <w:sz w:val="20"/>
          <w:szCs w:val="20"/>
          <w:lang w:val="es-US"/>
        </w:rPr>
      </w:pPr>
      <w:r w:rsidRPr="00B5616B">
        <w:rPr>
          <w:rFonts w:ascii="Cambria" w:hAnsi="Cambria"/>
          <w:bCs/>
          <w:sz w:val="20"/>
          <w:szCs w:val="20"/>
          <w:lang w:val="es-US"/>
        </w:rPr>
        <w:t xml:space="preserve">La CIDH reitera que la investigación de las violaciones perpetradas en este caso debía ser efectuada con el más estricto apego a la </w:t>
      </w:r>
      <w:r w:rsidRPr="00B5616B">
        <w:rPr>
          <w:rFonts w:ascii="Cambria" w:hAnsi="Cambria"/>
          <w:sz w:val="20"/>
          <w:szCs w:val="20"/>
          <w:lang w:val="es-ES"/>
        </w:rPr>
        <w:t>debida diligencia, dada la gravedad del delito y la naturaleza de los derechos lesionados – derechos a la vida y</w:t>
      </w:r>
      <w:r w:rsidRPr="00B5616B">
        <w:rPr>
          <w:rFonts w:ascii="Cambria" w:hAnsi="Cambria"/>
          <w:bCs/>
          <w:sz w:val="20"/>
          <w:szCs w:val="20"/>
          <w:lang w:val="es-US"/>
        </w:rPr>
        <w:t xml:space="preserve"> a la libertad de expresión – que representaron un claro mensaje intimidante para quienes ejerc</w:t>
      </w:r>
      <w:r w:rsidR="003406DA">
        <w:rPr>
          <w:rFonts w:ascii="Cambria" w:hAnsi="Cambria"/>
          <w:bCs/>
          <w:sz w:val="20"/>
          <w:szCs w:val="20"/>
          <w:lang w:val="es-US"/>
        </w:rPr>
        <w:t>ían</w:t>
      </w:r>
      <w:r w:rsidRPr="00B5616B">
        <w:rPr>
          <w:rFonts w:ascii="Cambria" w:hAnsi="Cambria"/>
          <w:bCs/>
          <w:sz w:val="20"/>
          <w:szCs w:val="20"/>
          <w:lang w:val="es-US"/>
        </w:rPr>
        <w:t xml:space="preserve"> el periodismo en la zona</w:t>
      </w:r>
      <w:r w:rsidR="0050781E" w:rsidRPr="00B5616B">
        <w:rPr>
          <w:rStyle w:val="FootnoteReference"/>
          <w:rFonts w:ascii="Cambria" w:hAnsi="Cambria"/>
          <w:bCs/>
          <w:sz w:val="20"/>
          <w:szCs w:val="20"/>
          <w:lang w:val="es-US"/>
        </w:rPr>
        <w:footnoteReference w:id="114"/>
      </w:r>
      <w:r w:rsidRPr="00B5616B">
        <w:rPr>
          <w:rFonts w:ascii="Cambria" w:hAnsi="Cambria"/>
          <w:bCs/>
          <w:sz w:val="20"/>
          <w:szCs w:val="20"/>
          <w:lang w:val="es-US"/>
        </w:rPr>
        <w:t xml:space="preserve">. </w:t>
      </w:r>
    </w:p>
    <w:p w14:paraId="727BCA51" w14:textId="77777777" w:rsidR="00AA17FE" w:rsidRPr="000D7953" w:rsidRDefault="00AA17FE" w:rsidP="00B561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sz w:val="20"/>
          <w:szCs w:val="20"/>
          <w:lang w:val="es-US"/>
        </w:rPr>
      </w:pPr>
    </w:p>
    <w:p w14:paraId="7060FC49" w14:textId="37B3498D" w:rsidR="00B54E4A" w:rsidRPr="00806344" w:rsidRDefault="00905E88"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39114E">
        <w:rPr>
          <w:rFonts w:ascii="Cambria" w:hAnsi="Cambria"/>
          <w:sz w:val="20"/>
          <w:szCs w:val="20"/>
          <w:lang w:val="es-PE"/>
        </w:rPr>
        <w:t>A este respecto, l</w:t>
      </w:r>
      <w:r w:rsidR="00FE0DE9" w:rsidRPr="0039114E">
        <w:rPr>
          <w:rFonts w:ascii="Cambria" w:hAnsi="Cambria"/>
          <w:sz w:val="20"/>
          <w:szCs w:val="20"/>
          <w:lang w:val="es-PE"/>
        </w:rPr>
        <w:t>a Corte ha señalado de forma constante que la eficiente determinación de la verdad en el marco de la obligación de investigar una muerte debe mostrarse desde las primeras diligencias con toda acuciosidad</w:t>
      </w:r>
      <w:r w:rsidR="00FE0DE9" w:rsidRPr="00B5616B">
        <w:rPr>
          <w:rStyle w:val="FootnoteReference"/>
          <w:rFonts w:ascii="Cambria" w:hAnsi="Cambria"/>
          <w:sz w:val="20"/>
          <w:szCs w:val="20"/>
        </w:rPr>
        <w:footnoteReference w:id="115"/>
      </w:r>
      <w:r w:rsidR="00FE0DE9" w:rsidRPr="0039114E">
        <w:rPr>
          <w:rFonts w:ascii="Cambria" w:hAnsi="Cambria"/>
          <w:sz w:val="20"/>
          <w:szCs w:val="20"/>
          <w:lang w:val="es-PE"/>
        </w:rPr>
        <w:t xml:space="preserve">. </w:t>
      </w:r>
      <w:r w:rsidR="00FE0DE9" w:rsidRPr="00806344">
        <w:rPr>
          <w:rFonts w:ascii="Cambria" w:hAnsi="Cambria"/>
          <w:sz w:val="20"/>
          <w:szCs w:val="20"/>
          <w:lang w:val="es-PE"/>
        </w:rPr>
        <w:t>En la investigación de la muerte violenta de una persona es crucial la importancia que tienen las primeras etapas de la investigación y el impacto negativo que las omisiones e irregularidades en tales etapas puede tener en las perspectivas reales y efectivas de esclarecer el hecho</w:t>
      </w:r>
      <w:r w:rsidR="00FE0DE9" w:rsidRPr="00B5616B">
        <w:rPr>
          <w:rStyle w:val="FootnoteReference"/>
          <w:rFonts w:ascii="Cambria" w:hAnsi="Cambria"/>
          <w:sz w:val="20"/>
          <w:szCs w:val="20"/>
        </w:rPr>
        <w:footnoteReference w:id="116"/>
      </w:r>
      <w:r w:rsidR="00FE0DE9" w:rsidRPr="00806344">
        <w:rPr>
          <w:rFonts w:ascii="Cambria" w:hAnsi="Cambria"/>
          <w:sz w:val="20"/>
          <w:szCs w:val="20"/>
          <w:lang w:val="es-PE"/>
        </w:rPr>
        <w:t xml:space="preserve">. Conforme a lo anterior, </w:t>
      </w:r>
      <w:r w:rsidR="0023486C" w:rsidRPr="00806344">
        <w:rPr>
          <w:rFonts w:ascii="Cambria" w:hAnsi="Cambria"/>
          <w:sz w:val="20"/>
          <w:szCs w:val="20"/>
          <w:lang w:val="es-PE"/>
        </w:rPr>
        <w:t xml:space="preserve">la Corte, siguiendo </w:t>
      </w:r>
      <w:r w:rsidR="0023486C" w:rsidRPr="00B5616B">
        <w:rPr>
          <w:rFonts w:ascii="Cambria" w:hAnsi="Cambria"/>
          <w:sz w:val="20"/>
          <w:szCs w:val="20"/>
          <w:lang w:val="es-ES"/>
        </w:rPr>
        <w:t>los estándares del Protocolo de Minnesota</w:t>
      </w:r>
      <w:r w:rsidR="0023486C" w:rsidRPr="00B5616B">
        <w:rPr>
          <w:rStyle w:val="FootnoteReference"/>
          <w:rFonts w:ascii="Cambria" w:hAnsi="Cambria" w:cs="Verdana"/>
          <w:sz w:val="20"/>
          <w:szCs w:val="20"/>
          <w:lang w:val="es-ES"/>
        </w:rPr>
        <w:footnoteReference w:id="117"/>
      </w:r>
      <w:r w:rsidR="0023486C" w:rsidRPr="00B5616B">
        <w:rPr>
          <w:rFonts w:ascii="Cambria" w:hAnsi="Cambria"/>
          <w:sz w:val="20"/>
          <w:szCs w:val="20"/>
          <w:lang w:val="es-ES"/>
        </w:rPr>
        <w:t>,</w:t>
      </w:r>
      <w:r w:rsidR="0023486C" w:rsidRPr="00806344">
        <w:rPr>
          <w:rFonts w:ascii="Cambria" w:hAnsi="Cambria"/>
          <w:sz w:val="20"/>
          <w:szCs w:val="20"/>
          <w:lang w:val="es-PE"/>
        </w:rPr>
        <w:t xml:space="preserve"> </w:t>
      </w:r>
      <w:r w:rsidR="00FE0DE9" w:rsidRPr="00806344">
        <w:rPr>
          <w:rFonts w:ascii="Cambria" w:hAnsi="Cambria"/>
          <w:sz w:val="20"/>
          <w:szCs w:val="20"/>
          <w:lang w:val="es-PE"/>
        </w:rPr>
        <w:t xml:space="preserve">ha </w:t>
      </w:r>
      <w:r w:rsidR="00F51B82" w:rsidRPr="00B5616B">
        <w:rPr>
          <w:rFonts w:ascii="Cambria" w:hAnsi="Cambria" w:cs="Tahoma"/>
          <w:sz w:val="20"/>
          <w:szCs w:val="20"/>
          <w:lang w:val="es-MX"/>
        </w:rPr>
        <w:t xml:space="preserve">establecido algunas diligencias mínimas </w:t>
      </w:r>
      <w:r w:rsidR="00FE0DE9" w:rsidRPr="00806344">
        <w:rPr>
          <w:rFonts w:ascii="Cambria" w:hAnsi="Cambria"/>
          <w:sz w:val="20"/>
          <w:szCs w:val="20"/>
          <w:lang w:val="es-PE"/>
        </w:rPr>
        <w:t>que son precis</w:t>
      </w:r>
      <w:r w:rsidR="00284920" w:rsidRPr="00806344">
        <w:rPr>
          <w:rFonts w:ascii="Cambria" w:hAnsi="Cambria"/>
          <w:sz w:val="20"/>
          <w:szCs w:val="20"/>
          <w:lang w:val="es-PE"/>
        </w:rPr>
        <w:t>a</w:t>
      </w:r>
      <w:r w:rsidR="00FE0DE9" w:rsidRPr="00806344">
        <w:rPr>
          <w:rFonts w:ascii="Cambria" w:hAnsi="Cambria"/>
          <w:sz w:val="20"/>
          <w:szCs w:val="20"/>
          <w:lang w:val="es-PE"/>
        </w:rPr>
        <w:t>s observar en una investigación cuando se está frente a una muerte violenta,</w:t>
      </w:r>
      <w:r w:rsidR="00810D9B" w:rsidRPr="00806344">
        <w:rPr>
          <w:rFonts w:ascii="Cambria" w:hAnsi="Cambria"/>
          <w:sz w:val="20"/>
          <w:szCs w:val="20"/>
          <w:lang w:val="es-PE"/>
        </w:rPr>
        <w:t xml:space="preserve"> </w:t>
      </w:r>
      <w:r w:rsidR="00810D9B" w:rsidRPr="00B5616B">
        <w:rPr>
          <w:rFonts w:ascii="Cambria" w:hAnsi="Cambria"/>
          <w:sz w:val="20"/>
          <w:szCs w:val="20"/>
          <w:lang w:val="es-US"/>
        </w:rPr>
        <w:t>súbita, inesperada y sospechosa,</w:t>
      </w:r>
      <w:r w:rsidR="00FE0DE9" w:rsidRPr="00806344">
        <w:rPr>
          <w:rFonts w:ascii="Cambria" w:hAnsi="Cambria"/>
          <w:sz w:val="20"/>
          <w:szCs w:val="20"/>
          <w:lang w:val="es-PE"/>
        </w:rPr>
        <w:t xml:space="preserve"> como la ocurrida en el presente caso. Las autoridades estatales que conducen la investigación deben realizar como mínimo, </w:t>
      </w:r>
      <w:r w:rsidR="00FE0DE9" w:rsidRPr="00806344">
        <w:rPr>
          <w:rFonts w:ascii="Cambria" w:hAnsi="Cambria"/>
          <w:i/>
          <w:sz w:val="20"/>
          <w:szCs w:val="20"/>
          <w:lang w:val="es-PE"/>
        </w:rPr>
        <w:t>inter alia</w:t>
      </w:r>
      <w:r w:rsidR="00FE0DE9" w:rsidRPr="00806344">
        <w:rPr>
          <w:rFonts w:ascii="Cambria" w:hAnsi="Cambria"/>
          <w:sz w:val="20"/>
          <w:szCs w:val="20"/>
          <w:lang w:val="es-PE"/>
        </w:rPr>
        <w:t>: i) identificar a la víctima; ii) recuperar y preservar el material probatorio relacionado con la muerte; iii) identificar posibles testigos y obtener sus declaraciones en relación con la muerte que se investiga; iv) determinar la causa, forma, lugar y momento de la muerte, así como cualquier procedimiento o práctica que pueda haberla provocado, y v) distinguir entre muerte natural, muerte accidental, suicidio y homicidio. Además, es necesario investigar exhaustivamente la escena del crimen, se deben realizar autopsias y análisis de restos humanos, en forma rigurosa, por profesionales competentes y empleando los procedimientos más apropiados</w:t>
      </w:r>
      <w:r w:rsidR="00FE0DE9" w:rsidRPr="00B5616B">
        <w:rPr>
          <w:rStyle w:val="FootnoteReference"/>
          <w:rFonts w:ascii="Cambria" w:hAnsi="Cambria"/>
          <w:sz w:val="20"/>
          <w:szCs w:val="20"/>
        </w:rPr>
        <w:footnoteReference w:id="118"/>
      </w:r>
      <w:r w:rsidR="00FE0DE9" w:rsidRPr="00806344">
        <w:rPr>
          <w:rFonts w:ascii="Cambria" w:hAnsi="Cambria"/>
          <w:sz w:val="20"/>
          <w:szCs w:val="20"/>
          <w:lang w:val="es-PE"/>
        </w:rPr>
        <w:t>.</w:t>
      </w:r>
    </w:p>
    <w:p w14:paraId="74196FF3" w14:textId="77777777" w:rsidR="004110D5" w:rsidRPr="00806344" w:rsidRDefault="004110D5" w:rsidP="004110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60BADFC6" w14:textId="132D9F8B" w:rsidR="00FE0DE9" w:rsidRPr="00806344" w:rsidRDefault="00FE0DE9"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B5616B">
        <w:rPr>
          <w:rFonts w:ascii="Cambria" w:hAnsi="Cambria"/>
          <w:bCs/>
          <w:sz w:val="20"/>
          <w:szCs w:val="20"/>
          <w:lang w:val="es-AR"/>
        </w:rPr>
        <w:t>Además, la Corte ha señalado a lo largo de su jurisprudencia, en relación con la escena del delito, que los</w:t>
      </w:r>
      <w:r w:rsidRPr="00B5616B">
        <w:rPr>
          <w:rFonts w:ascii="Cambria" w:hAnsi="Cambria"/>
          <w:sz w:val="20"/>
          <w:szCs w:val="20"/>
          <w:lang w:val="es-PE"/>
        </w:rPr>
        <w:t xml:space="preserve"> investigadores deben, como mínimo: i) fotografiar dicha escena, cualquier otra evidencia física y el cuerpo como se encontró y después de moverlo; ii) recoger y conservar todas las muestras de sangre, cabello, fibras, hilos u otras pistas; iii) examinar el área en busca de huellas de zapatos o cualquier otra que tenga naturaleza </w:t>
      </w:r>
      <w:r w:rsidRPr="00D34A0A">
        <w:rPr>
          <w:rFonts w:ascii="Cambria" w:hAnsi="Cambria"/>
          <w:sz w:val="20"/>
          <w:szCs w:val="20"/>
          <w:lang w:val="es-PE"/>
        </w:rPr>
        <w:t>de evidencia, y iv) hacer un informe detallando cualquier observación de la escena, las acciones de los investigadores y la disposición de toda la evidencia coleccionada</w:t>
      </w:r>
      <w:r w:rsidRPr="00D34A0A">
        <w:rPr>
          <w:rStyle w:val="FootnoteReference"/>
          <w:rFonts w:ascii="Cambria" w:hAnsi="Cambria"/>
          <w:sz w:val="20"/>
          <w:szCs w:val="20"/>
        </w:rPr>
        <w:footnoteReference w:id="119"/>
      </w:r>
      <w:r w:rsidRPr="00D34A0A">
        <w:rPr>
          <w:rFonts w:ascii="Cambria" w:hAnsi="Cambria"/>
          <w:sz w:val="20"/>
          <w:szCs w:val="20"/>
          <w:lang w:val="es-PE"/>
        </w:rPr>
        <w:t xml:space="preserve">. </w:t>
      </w:r>
      <w:r w:rsidRPr="00806344">
        <w:rPr>
          <w:rFonts w:ascii="Cambria" w:hAnsi="Cambria"/>
          <w:sz w:val="20"/>
          <w:szCs w:val="20"/>
          <w:lang w:val="es-PE"/>
        </w:rPr>
        <w:t>La Corte también ha establecido que al investigar una escena del delito esta se debe preservar con el fin de proteger toda evidencia</w:t>
      </w:r>
      <w:r w:rsidRPr="00D34A0A">
        <w:rPr>
          <w:rStyle w:val="FootnoteReference"/>
          <w:rFonts w:ascii="Cambria" w:hAnsi="Cambria"/>
          <w:sz w:val="20"/>
          <w:szCs w:val="20"/>
        </w:rPr>
        <w:footnoteReference w:id="120"/>
      </w:r>
      <w:r w:rsidRPr="00806344">
        <w:rPr>
          <w:rFonts w:ascii="Cambria" w:hAnsi="Cambria"/>
          <w:sz w:val="20"/>
          <w:szCs w:val="20"/>
          <w:lang w:val="es-PE"/>
        </w:rPr>
        <w:t>.</w:t>
      </w:r>
    </w:p>
    <w:p w14:paraId="7875E36D" w14:textId="77777777" w:rsidR="00C64E12" w:rsidRPr="00D34A0A" w:rsidRDefault="00C64E12" w:rsidP="00D34A0A">
      <w:pPr>
        <w:rPr>
          <w:rFonts w:ascii="Cambria" w:hAnsi="Cambria"/>
          <w:sz w:val="20"/>
          <w:szCs w:val="20"/>
          <w:lang w:val="es-US" w:eastAsia="es-CR"/>
        </w:rPr>
      </w:pPr>
    </w:p>
    <w:p w14:paraId="4723A2F5" w14:textId="38DC39CA" w:rsidR="00FE0DE9" w:rsidRPr="00D34A0A" w:rsidRDefault="008F7456" w:rsidP="00D34A0A">
      <w:pPr>
        <w:pStyle w:val="Heading4"/>
        <w:rPr>
          <w:szCs w:val="20"/>
        </w:rPr>
      </w:pPr>
      <w:r w:rsidRPr="00D34A0A">
        <w:rPr>
          <w:szCs w:val="20"/>
        </w:rPr>
        <w:t xml:space="preserve">3.b </w:t>
      </w:r>
      <w:r w:rsidR="00A17C5D" w:rsidRPr="00D34A0A">
        <w:rPr>
          <w:szCs w:val="20"/>
        </w:rPr>
        <w:t>L</w:t>
      </w:r>
      <w:r w:rsidR="00DF099B" w:rsidRPr="00D34A0A">
        <w:rPr>
          <w:szCs w:val="20"/>
        </w:rPr>
        <w:t>íneas de investigación</w:t>
      </w:r>
      <w:r w:rsidR="00A17C5D" w:rsidRPr="00D34A0A">
        <w:rPr>
          <w:szCs w:val="20"/>
        </w:rPr>
        <w:t xml:space="preserve"> </w:t>
      </w:r>
      <w:r w:rsidR="00943453" w:rsidRPr="00D34A0A">
        <w:rPr>
          <w:szCs w:val="20"/>
        </w:rPr>
        <w:t xml:space="preserve">y la determinación de los responsables </w:t>
      </w:r>
    </w:p>
    <w:p w14:paraId="73A1BC51" w14:textId="1EC269A3" w:rsidR="00AF630E" w:rsidRPr="00D34A0A" w:rsidRDefault="00AF630E" w:rsidP="00D34A0A">
      <w:pPr>
        <w:rPr>
          <w:rFonts w:ascii="Cambria" w:hAnsi="Cambria"/>
          <w:sz w:val="20"/>
          <w:szCs w:val="20"/>
          <w:lang w:val="es-PE"/>
        </w:rPr>
      </w:pPr>
    </w:p>
    <w:p w14:paraId="4B4F8B6A" w14:textId="068CCE7C" w:rsidR="00AF630E" w:rsidRDefault="00C21840" w:rsidP="0043281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Cs/>
          <w:sz w:val="20"/>
          <w:szCs w:val="20"/>
          <w:lang w:val="es-CO"/>
        </w:rPr>
      </w:pPr>
      <w:r w:rsidRPr="00732173">
        <w:rPr>
          <w:rFonts w:ascii="Cambria" w:hAnsi="Cambria"/>
          <w:bCs/>
          <w:sz w:val="20"/>
          <w:szCs w:val="20"/>
          <w:lang w:val="es-PE"/>
        </w:rPr>
        <w:t>E</w:t>
      </w:r>
      <w:r w:rsidR="00AF630E" w:rsidRPr="00732173">
        <w:rPr>
          <w:rFonts w:ascii="Cambria" w:hAnsi="Cambria"/>
          <w:bCs/>
          <w:sz w:val="20"/>
          <w:szCs w:val="20"/>
          <w:lang w:val="es-CO"/>
        </w:rPr>
        <w:t xml:space="preserve">n el caso de violencia contra periodistas, las investigaciones penales deben agotar las líneas vinculadas con el ejercicio periodístico. Al respecto, la Corte Interamericana ha señalado que, en el cumplimiento de sus obligaciones de investigación y protección, el Estado debe actuar de forma tal que tome en cuenta la </w:t>
      </w:r>
      <w:r w:rsidR="00AF630E" w:rsidRPr="00732173">
        <w:rPr>
          <w:rFonts w:ascii="Cambria" w:hAnsi="Cambria"/>
          <w:sz w:val="20"/>
          <w:szCs w:val="20"/>
          <w:lang w:val="es-ES"/>
        </w:rPr>
        <w:t>razonable</w:t>
      </w:r>
      <w:r w:rsidR="00AF630E" w:rsidRPr="00732173">
        <w:rPr>
          <w:rFonts w:ascii="Cambria" w:hAnsi="Cambria"/>
          <w:bCs/>
          <w:sz w:val="20"/>
          <w:szCs w:val="20"/>
          <w:lang w:val="es-CO"/>
        </w:rPr>
        <w:t xml:space="preserve"> conexión entre la agresión motivada por el ejercicio de la libertad de expresión con los actos de violencia perpetrados</w:t>
      </w:r>
      <w:r w:rsidR="00AF630E" w:rsidRPr="00D34A0A">
        <w:rPr>
          <w:rFonts w:ascii="Cambria" w:hAnsi="Cambria"/>
          <w:bCs/>
          <w:sz w:val="20"/>
          <w:szCs w:val="20"/>
          <w:vertAlign w:val="superscript"/>
        </w:rPr>
        <w:footnoteReference w:id="121"/>
      </w:r>
      <w:r w:rsidR="00AF630E" w:rsidRPr="00732173">
        <w:rPr>
          <w:rFonts w:ascii="Cambria" w:hAnsi="Cambria"/>
          <w:bCs/>
          <w:sz w:val="20"/>
          <w:szCs w:val="20"/>
          <w:lang w:val="es-CO"/>
        </w:rPr>
        <w:t>.</w:t>
      </w:r>
      <w:r w:rsidR="005B38F2" w:rsidRPr="00661B5B">
        <w:rPr>
          <w:rFonts w:ascii="Cambria" w:hAnsi="Cambria"/>
          <w:bCs/>
          <w:sz w:val="20"/>
          <w:szCs w:val="20"/>
          <w:lang w:val="es-CO"/>
        </w:rPr>
        <w:t xml:space="preserve"> </w:t>
      </w:r>
      <w:r w:rsidR="0054761F" w:rsidRPr="00661B5B">
        <w:rPr>
          <w:rFonts w:ascii="Cambria" w:hAnsi="Cambria"/>
          <w:bCs/>
          <w:sz w:val="20"/>
          <w:szCs w:val="20"/>
          <w:lang w:val="es-CO"/>
        </w:rPr>
        <w:t xml:space="preserve">Lo anterior es especialmente relevante en </w:t>
      </w:r>
      <w:r w:rsidR="00DC09A3" w:rsidRPr="008613A0">
        <w:rPr>
          <w:rFonts w:ascii="Cambria" w:hAnsi="Cambria"/>
          <w:bCs/>
          <w:sz w:val="20"/>
          <w:szCs w:val="20"/>
          <w:lang w:val="es-CO"/>
        </w:rPr>
        <w:t xml:space="preserve">casos en los que </w:t>
      </w:r>
      <w:r w:rsidR="00E54040" w:rsidRPr="008613A0">
        <w:rPr>
          <w:rFonts w:ascii="Cambria" w:hAnsi="Cambria"/>
          <w:bCs/>
          <w:sz w:val="20"/>
          <w:szCs w:val="20"/>
          <w:lang w:val="es-CO"/>
        </w:rPr>
        <w:t xml:space="preserve">periodistas </w:t>
      </w:r>
      <w:r w:rsidR="001C31E4" w:rsidRPr="0045629E">
        <w:rPr>
          <w:rFonts w:ascii="Cambria" w:hAnsi="Cambria"/>
          <w:bCs/>
          <w:sz w:val="20"/>
          <w:szCs w:val="20"/>
          <w:lang w:val="es-CO"/>
        </w:rPr>
        <w:t xml:space="preserve">reportan sobre hechos de elevado interés público </w:t>
      </w:r>
      <w:r w:rsidR="006F6CD9" w:rsidRPr="00F37DDA">
        <w:rPr>
          <w:rFonts w:ascii="Cambria" w:hAnsi="Cambria"/>
          <w:bCs/>
          <w:sz w:val="20"/>
          <w:szCs w:val="20"/>
          <w:lang w:val="es-CO"/>
        </w:rPr>
        <w:t xml:space="preserve">en los que están involucrados </w:t>
      </w:r>
      <w:r w:rsidR="007370DB" w:rsidRPr="00F37DDA">
        <w:rPr>
          <w:rFonts w:ascii="Cambria" w:hAnsi="Cambria"/>
          <w:bCs/>
          <w:sz w:val="20"/>
          <w:szCs w:val="20"/>
          <w:lang w:val="es-CO"/>
        </w:rPr>
        <w:t xml:space="preserve">presuntos grupos criminales </w:t>
      </w:r>
      <w:r w:rsidR="00732173" w:rsidRPr="00C07458">
        <w:rPr>
          <w:rFonts w:ascii="Cambria" w:hAnsi="Cambria"/>
          <w:bCs/>
          <w:sz w:val="20"/>
          <w:szCs w:val="20"/>
          <w:lang w:val="es-CO"/>
        </w:rPr>
        <w:t xml:space="preserve">con la alegada participación de agentes estatales, </w:t>
      </w:r>
      <w:r w:rsidR="00B46939" w:rsidRPr="00C07458">
        <w:rPr>
          <w:rFonts w:ascii="Cambria" w:hAnsi="Cambria"/>
          <w:bCs/>
          <w:sz w:val="20"/>
          <w:szCs w:val="20"/>
          <w:lang w:val="es-CO"/>
        </w:rPr>
        <w:t>en zonas peligrosas</w:t>
      </w:r>
      <w:r w:rsidR="000A7B44" w:rsidRPr="00C07458">
        <w:rPr>
          <w:rFonts w:ascii="Cambria" w:hAnsi="Cambria"/>
          <w:bCs/>
          <w:sz w:val="20"/>
          <w:szCs w:val="20"/>
          <w:lang w:val="es-CO"/>
        </w:rPr>
        <w:t xml:space="preserve">. La Comisión considera trascendental que </w:t>
      </w:r>
      <w:r w:rsidR="003A659C" w:rsidRPr="00B705B1">
        <w:rPr>
          <w:rFonts w:ascii="Cambria" w:hAnsi="Cambria"/>
          <w:bCs/>
          <w:sz w:val="20"/>
          <w:szCs w:val="20"/>
          <w:lang w:val="es-CO"/>
        </w:rPr>
        <w:t xml:space="preserve">los actos </w:t>
      </w:r>
      <w:r w:rsidR="00FC6A2A" w:rsidRPr="00DC3902">
        <w:rPr>
          <w:rFonts w:ascii="Cambria" w:hAnsi="Cambria"/>
          <w:bCs/>
          <w:sz w:val="20"/>
          <w:szCs w:val="20"/>
          <w:lang w:val="es-CO"/>
        </w:rPr>
        <w:t xml:space="preserve">de </w:t>
      </w:r>
      <w:r w:rsidR="00FC6A2A" w:rsidRPr="0096449B">
        <w:rPr>
          <w:rFonts w:ascii="Cambria" w:hAnsi="Cambria"/>
          <w:bCs/>
          <w:sz w:val="20"/>
          <w:szCs w:val="20"/>
          <w:lang w:val="es-CO"/>
        </w:rPr>
        <w:t>investigación</w:t>
      </w:r>
      <w:r w:rsidR="003A659C" w:rsidRPr="009313AF">
        <w:rPr>
          <w:rFonts w:ascii="Cambria" w:hAnsi="Cambria"/>
          <w:bCs/>
          <w:sz w:val="20"/>
          <w:szCs w:val="20"/>
          <w:lang w:val="es-CO"/>
        </w:rPr>
        <w:t xml:space="preserve"> estén</w:t>
      </w:r>
      <w:r w:rsidR="00FC6A2A" w:rsidRPr="009313AF">
        <w:rPr>
          <w:rFonts w:ascii="Cambria" w:hAnsi="Cambria"/>
          <w:bCs/>
          <w:sz w:val="20"/>
          <w:szCs w:val="20"/>
          <w:lang w:val="es-CO"/>
        </w:rPr>
        <w:t xml:space="preserve"> orientados a determinar </w:t>
      </w:r>
      <w:r w:rsidR="008725A7" w:rsidRPr="009313AF">
        <w:rPr>
          <w:rFonts w:ascii="Cambria" w:hAnsi="Cambria"/>
          <w:bCs/>
          <w:sz w:val="20"/>
          <w:szCs w:val="20"/>
          <w:lang w:val="es-CO"/>
        </w:rPr>
        <w:t>la verdad de los hechos y los respectivos responsables</w:t>
      </w:r>
      <w:r w:rsidR="000141DC">
        <w:rPr>
          <w:rFonts w:ascii="Cambria" w:hAnsi="Cambria"/>
          <w:bCs/>
          <w:sz w:val="20"/>
          <w:szCs w:val="20"/>
          <w:lang w:val="es-CO"/>
        </w:rPr>
        <w:t>. Para ello,</w:t>
      </w:r>
      <w:r w:rsidR="00262665">
        <w:rPr>
          <w:rFonts w:ascii="Cambria" w:hAnsi="Cambria"/>
          <w:bCs/>
          <w:sz w:val="20"/>
          <w:szCs w:val="20"/>
          <w:lang w:val="es-CO"/>
        </w:rPr>
        <w:t xml:space="preserve"> los Estados</w:t>
      </w:r>
      <w:r w:rsidR="007D330A" w:rsidRPr="009313AF">
        <w:rPr>
          <w:rFonts w:ascii="Cambria" w:hAnsi="Cambria"/>
          <w:bCs/>
          <w:sz w:val="20"/>
          <w:szCs w:val="20"/>
          <w:lang w:val="es-CO"/>
        </w:rPr>
        <w:t xml:space="preserve"> deberán</w:t>
      </w:r>
      <w:r w:rsidR="00262665">
        <w:rPr>
          <w:rFonts w:ascii="Cambria" w:hAnsi="Cambria"/>
          <w:bCs/>
          <w:sz w:val="20"/>
          <w:szCs w:val="20"/>
          <w:lang w:val="es-CO"/>
        </w:rPr>
        <w:t>,</w:t>
      </w:r>
      <w:r w:rsidR="003C2E27" w:rsidRPr="009313AF">
        <w:rPr>
          <w:rFonts w:ascii="Cambria" w:hAnsi="Cambria"/>
          <w:bCs/>
          <w:sz w:val="20"/>
          <w:szCs w:val="20"/>
          <w:lang w:val="es-CO"/>
        </w:rPr>
        <w:t xml:space="preserve"> como mínimo</w:t>
      </w:r>
      <w:r w:rsidR="00262665">
        <w:rPr>
          <w:rFonts w:ascii="Cambria" w:hAnsi="Cambria"/>
          <w:bCs/>
          <w:sz w:val="20"/>
          <w:szCs w:val="20"/>
          <w:lang w:val="es-CO"/>
        </w:rPr>
        <w:t>,</w:t>
      </w:r>
      <w:r w:rsidR="007D330A" w:rsidRPr="009313AF">
        <w:rPr>
          <w:rFonts w:ascii="Cambria" w:hAnsi="Cambria"/>
          <w:bCs/>
          <w:sz w:val="20"/>
          <w:szCs w:val="20"/>
          <w:lang w:val="es-CO"/>
        </w:rPr>
        <w:t xml:space="preserve"> hacer un estudio profundo y exhaustivo de</w:t>
      </w:r>
      <w:r w:rsidR="00D303E8" w:rsidRPr="009313AF">
        <w:rPr>
          <w:rFonts w:ascii="Cambria" w:hAnsi="Cambria"/>
          <w:bCs/>
          <w:sz w:val="20"/>
          <w:szCs w:val="20"/>
          <w:lang w:val="es-CO"/>
        </w:rPr>
        <w:t>l tipo de hechos</w:t>
      </w:r>
      <w:r w:rsidR="00262665">
        <w:rPr>
          <w:rFonts w:ascii="Cambria" w:hAnsi="Cambria"/>
          <w:bCs/>
          <w:sz w:val="20"/>
          <w:szCs w:val="20"/>
          <w:lang w:val="es-CO"/>
        </w:rPr>
        <w:t xml:space="preserve"> investigados</w:t>
      </w:r>
      <w:r w:rsidR="00321F32" w:rsidRPr="009313AF">
        <w:rPr>
          <w:rFonts w:ascii="Cambria" w:hAnsi="Cambria"/>
          <w:bCs/>
          <w:sz w:val="20"/>
          <w:szCs w:val="20"/>
          <w:lang w:val="es-CO"/>
        </w:rPr>
        <w:t xml:space="preserve">, </w:t>
      </w:r>
      <w:r w:rsidR="00262665">
        <w:rPr>
          <w:rFonts w:ascii="Cambria" w:hAnsi="Cambria"/>
          <w:bCs/>
          <w:sz w:val="20"/>
          <w:szCs w:val="20"/>
          <w:lang w:val="es-CO"/>
        </w:rPr>
        <w:t xml:space="preserve">y de las </w:t>
      </w:r>
      <w:r w:rsidR="00321F32" w:rsidRPr="009313AF">
        <w:rPr>
          <w:rFonts w:ascii="Cambria" w:hAnsi="Cambria"/>
          <w:bCs/>
          <w:sz w:val="20"/>
          <w:szCs w:val="20"/>
          <w:lang w:val="es-CO"/>
        </w:rPr>
        <w:t>opiniones o investigaciones</w:t>
      </w:r>
      <w:r w:rsidR="00A67BFB" w:rsidRPr="009313AF">
        <w:rPr>
          <w:rFonts w:ascii="Cambria" w:hAnsi="Cambria"/>
          <w:bCs/>
          <w:sz w:val="20"/>
          <w:szCs w:val="20"/>
          <w:lang w:val="es-CO"/>
        </w:rPr>
        <w:t xml:space="preserve"> periodísticas </w:t>
      </w:r>
      <w:r w:rsidR="00663D1C" w:rsidRPr="009313AF">
        <w:rPr>
          <w:rFonts w:ascii="Cambria" w:hAnsi="Cambria"/>
          <w:bCs/>
          <w:sz w:val="20"/>
          <w:szCs w:val="20"/>
          <w:lang w:val="es-CO"/>
        </w:rPr>
        <w:t>elaboradas por</w:t>
      </w:r>
      <w:r w:rsidR="00A67BFB" w:rsidRPr="009313AF">
        <w:rPr>
          <w:rFonts w:ascii="Cambria" w:hAnsi="Cambria"/>
          <w:bCs/>
          <w:sz w:val="20"/>
          <w:szCs w:val="20"/>
          <w:lang w:val="es-CO"/>
        </w:rPr>
        <w:t xml:space="preserve"> la víctima</w:t>
      </w:r>
      <w:r w:rsidR="00663D1C" w:rsidRPr="009313AF">
        <w:rPr>
          <w:rFonts w:ascii="Cambria" w:hAnsi="Cambria"/>
          <w:bCs/>
          <w:sz w:val="20"/>
          <w:szCs w:val="20"/>
          <w:lang w:val="es-CO"/>
        </w:rPr>
        <w:t xml:space="preserve"> dentro de un contexto </w:t>
      </w:r>
      <w:r w:rsidR="00663D1C" w:rsidRPr="009313AF">
        <w:rPr>
          <w:rFonts w:ascii="Cambria" w:hAnsi="Cambria"/>
          <w:bCs/>
          <w:sz w:val="20"/>
          <w:szCs w:val="20"/>
          <w:lang w:val="es-CO"/>
        </w:rPr>
        <w:lastRenderedPageBreak/>
        <w:t>en particular</w:t>
      </w:r>
      <w:r w:rsidR="009E7A47" w:rsidRPr="009313AF">
        <w:rPr>
          <w:rFonts w:ascii="Cambria" w:hAnsi="Cambria"/>
          <w:bCs/>
          <w:sz w:val="20"/>
          <w:szCs w:val="20"/>
          <w:lang w:val="es-CO"/>
        </w:rPr>
        <w:t>; deberán</w:t>
      </w:r>
      <w:r w:rsidR="004772ED" w:rsidRPr="009313AF">
        <w:rPr>
          <w:rFonts w:ascii="Cambria" w:hAnsi="Cambria"/>
          <w:bCs/>
          <w:sz w:val="20"/>
          <w:szCs w:val="20"/>
          <w:lang w:val="es-CO"/>
        </w:rPr>
        <w:t xml:space="preserve"> identificar a</w:t>
      </w:r>
      <w:r w:rsidR="00A67BFB" w:rsidRPr="009313AF">
        <w:rPr>
          <w:rFonts w:ascii="Cambria" w:hAnsi="Cambria"/>
          <w:bCs/>
          <w:sz w:val="20"/>
          <w:szCs w:val="20"/>
          <w:lang w:val="es-CO"/>
        </w:rPr>
        <w:t xml:space="preserve"> las personas que </w:t>
      </w:r>
      <w:r w:rsidR="00CA1738" w:rsidRPr="009313AF">
        <w:rPr>
          <w:rFonts w:ascii="Cambria" w:hAnsi="Cambria"/>
          <w:bCs/>
          <w:sz w:val="20"/>
          <w:szCs w:val="20"/>
          <w:lang w:val="es-CO"/>
        </w:rPr>
        <w:t>fueron</w:t>
      </w:r>
      <w:r w:rsidR="00A67BFB" w:rsidRPr="009313AF">
        <w:rPr>
          <w:rFonts w:ascii="Cambria" w:hAnsi="Cambria"/>
          <w:bCs/>
          <w:sz w:val="20"/>
          <w:szCs w:val="20"/>
          <w:lang w:val="es-CO"/>
        </w:rPr>
        <w:t xml:space="preserve"> denunciadas en </w:t>
      </w:r>
      <w:r w:rsidR="003C2E27" w:rsidRPr="009313AF">
        <w:rPr>
          <w:rFonts w:ascii="Cambria" w:hAnsi="Cambria"/>
          <w:bCs/>
          <w:sz w:val="20"/>
          <w:szCs w:val="20"/>
          <w:lang w:val="es-CO"/>
        </w:rPr>
        <w:t xml:space="preserve">aquellas </w:t>
      </w:r>
      <w:r w:rsidR="00B93E23" w:rsidRPr="009313AF">
        <w:rPr>
          <w:rFonts w:ascii="Cambria" w:hAnsi="Cambria"/>
          <w:bCs/>
          <w:sz w:val="20"/>
          <w:szCs w:val="20"/>
          <w:lang w:val="es-CO"/>
        </w:rPr>
        <w:t>investigaciones</w:t>
      </w:r>
      <w:r w:rsidR="00C83D0C" w:rsidRPr="009313AF">
        <w:rPr>
          <w:rFonts w:ascii="Cambria" w:hAnsi="Cambria"/>
          <w:bCs/>
          <w:sz w:val="20"/>
          <w:szCs w:val="20"/>
          <w:lang w:val="es-CO"/>
        </w:rPr>
        <w:t xml:space="preserve"> </w:t>
      </w:r>
      <w:r w:rsidR="003C2E27" w:rsidRPr="009313AF">
        <w:rPr>
          <w:rFonts w:ascii="Cambria" w:hAnsi="Cambria"/>
          <w:bCs/>
          <w:sz w:val="20"/>
          <w:szCs w:val="20"/>
          <w:lang w:val="es-CO"/>
        </w:rPr>
        <w:t xml:space="preserve">como punto de partida </w:t>
      </w:r>
      <w:r w:rsidR="00AF51B4" w:rsidRPr="009313AF">
        <w:rPr>
          <w:rFonts w:ascii="Cambria" w:hAnsi="Cambria"/>
          <w:bCs/>
          <w:sz w:val="20"/>
          <w:szCs w:val="20"/>
          <w:lang w:val="es-CO"/>
        </w:rPr>
        <w:t>para de</w:t>
      </w:r>
      <w:r w:rsidR="00E00491" w:rsidRPr="009313AF">
        <w:rPr>
          <w:rFonts w:ascii="Cambria" w:hAnsi="Cambria"/>
          <w:bCs/>
          <w:sz w:val="20"/>
          <w:szCs w:val="20"/>
          <w:lang w:val="es-CO"/>
        </w:rPr>
        <w:t xml:space="preserve">terminar a los presuntos responsables que </w:t>
      </w:r>
      <w:r w:rsidR="004D081D" w:rsidRPr="009313AF">
        <w:rPr>
          <w:rFonts w:ascii="Cambria" w:hAnsi="Cambria"/>
          <w:bCs/>
          <w:sz w:val="20"/>
          <w:szCs w:val="20"/>
          <w:lang w:val="es-CO"/>
        </w:rPr>
        <w:t xml:space="preserve">podrían </w:t>
      </w:r>
      <w:r w:rsidR="00B92280" w:rsidRPr="009313AF">
        <w:rPr>
          <w:rFonts w:ascii="Cambria" w:hAnsi="Cambria"/>
          <w:bCs/>
          <w:sz w:val="20"/>
          <w:szCs w:val="20"/>
          <w:lang w:val="es-CO"/>
        </w:rPr>
        <w:t>querer</w:t>
      </w:r>
      <w:r w:rsidR="00E00491" w:rsidRPr="009313AF">
        <w:rPr>
          <w:rFonts w:ascii="Cambria" w:hAnsi="Cambria"/>
          <w:bCs/>
          <w:sz w:val="20"/>
          <w:szCs w:val="20"/>
          <w:lang w:val="es-CO"/>
        </w:rPr>
        <w:t xml:space="preserve"> silenciar el trabajo periodístico</w:t>
      </w:r>
      <w:r w:rsidR="00DA7E31" w:rsidRPr="009313AF">
        <w:rPr>
          <w:rFonts w:ascii="Cambria" w:hAnsi="Cambria"/>
          <w:bCs/>
          <w:sz w:val="20"/>
          <w:szCs w:val="20"/>
          <w:lang w:val="es-CO"/>
        </w:rPr>
        <w:t xml:space="preserve">, </w:t>
      </w:r>
      <w:r w:rsidR="00A24CCD" w:rsidRPr="009313AF">
        <w:rPr>
          <w:rFonts w:ascii="Cambria" w:hAnsi="Cambria"/>
          <w:bCs/>
          <w:sz w:val="20"/>
          <w:szCs w:val="20"/>
          <w:lang w:val="es-CO"/>
        </w:rPr>
        <w:t xml:space="preserve">además de las que se deriven de la propia investigación, </w:t>
      </w:r>
      <w:r w:rsidR="00937B03" w:rsidRPr="009313AF">
        <w:rPr>
          <w:rFonts w:ascii="Cambria" w:hAnsi="Cambria"/>
          <w:bCs/>
          <w:sz w:val="20"/>
          <w:szCs w:val="20"/>
          <w:lang w:val="es-CO"/>
        </w:rPr>
        <w:t>así como</w:t>
      </w:r>
      <w:r w:rsidR="00262665">
        <w:rPr>
          <w:rFonts w:ascii="Cambria" w:hAnsi="Cambria"/>
          <w:bCs/>
          <w:sz w:val="20"/>
          <w:szCs w:val="20"/>
          <w:lang w:val="es-CO"/>
        </w:rPr>
        <w:t xml:space="preserve"> determinar</w:t>
      </w:r>
      <w:r w:rsidR="0011073B" w:rsidRPr="009313AF">
        <w:rPr>
          <w:rFonts w:ascii="Cambria" w:hAnsi="Cambria"/>
          <w:bCs/>
          <w:sz w:val="20"/>
          <w:szCs w:val="20"/>
          <w:lang w:val="es-CO"/>
        </w:rPr>
        <w:t xml:space="preserve"> </w:t>
      </w:r>
      <w:r w:rsidR="00DA7E31" w:rsidRPr="009313AF">
        <w:rPr>
          <w:rFonts w:ascii="Cambria" w:hAnsi="Cambria"/>
          <w:bCs/>
          <w:sz w:val="20"/>
          <w:szCs w:val="20"/>
          <w:lang w:val="es-CO"/>
        </w:rPr>
        <w:t>la existencia de amenazas previas</w:t>
      </w:r>
      <w:r w:rsidR="00661B5B" w:rsidRPr="009313AF">
        <w:rPr>
          <w:rFonts w:ascii="Cambria" w:hAnsi="Cambria"/>
          <w:bCs/>
          <w:sz w:val="20"/>
          <w:szCs w:val="20"/>
          <w:lang w:val="es-CO"/>
        </w:rPr>
        <w:t>,</w:t>
      </w:r>
      <w:r w:rsidR="00DA7E31" w:rsidRPr="009313AF">
        <w:rPr>
          <w:rFonts w:ascii="Cambria" w:hAnsi="Cambria"/>
          <w:bCs/>
          <w:sz w:val="20"/>
          <w:szCs w:val="20"/>
          <w:lang w:val="es-CO"/>
        </w:rPr>
        <w:t xml:space="preserve"> su origen</w:t>
      </w:r>
      <w:r w:rsidR="00937B03" w:rsidRPr="009313AF">
        <w:rPr>
          <w:rFonts w:ascii="Cambria" w:hAnsi="Cambria"/>
          <w:bCs/>
          <w:sz w:val="20"/>
          <w:szCs w:val="20"/>
          <w:lang w:val="es-CO"/>
        </w:rPr>
        <w:t xml:space="preserve"> y móvil.</w:t>
      </w:r>
    </w:p>
    <w:p w14:paraId="178F3A9E" w14:textId="77777777" w:rsidR="00432817" w:rsidRPr="0045629E" w:rsidRDefault="00432817" w:rsidP="00D34A0A">
      <w:pPr>
        <w:jc w:val="both"/>
        <w:rPr>
          <w:rFonts w:ascii="Cambria" w:hAnsi="Cambria"/>
          <w:bCs/>
          <w:sz w:val="20"/>
          <w:szCs w:val="20"/>
          <w:lang w:val="es-CO"/>
        </w:rPr>
      </w:pPr>
    </w:p>
    <w:p w14:paraId="36DA3E40" w14:textId="1098455C" w:rsidR="004E4E36" w:rsidRDefault="00AF630E" w:rsidP="007C4A01">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Cs/>
          <w:sz w:val="20"/>
          <w:szCs w:val="20"/>
          <w:lang w:val="es-CO"/>
        </w:rPr>
      </w:pPr>
      <w:r w:rsidRPr="00C07458">
        <w:rPr>
          <w:rFonts w:ascii="Cambria" w:hAnsi="Cambria"/>
          <w:bCs/>
          <w:sz w:val="20"/>
          <w:szCs w:val="20"/>
          <w:lang w:val="es-CO"/>
        </w:rPr>
        <w:t>A su vez, bajo estos principios el Estado está obligado a investigar</w:t>
      </w:r>
      <w:r w:rsidR="00260512" w:rsidRPr="00C07458">
        <w:rPr>
          <w:rFonts w:ascii="Cambria" w:hAnsi="Cambria"/>
          <w:bCs/>
          <w:sz w:val="20"/>
          <w:szCs w:val="20"/>
          <w:lang w:val="es-CO"/>
        </w:rPr>
        <w:t>,</w:t>
      </w:r>
      <w:r w:rsidRPr="00C07458">
        <w:rPr>
          <w:rFonts w:ascii="Cambria" w:hAnsi="Cambria"/>
          <w:bCs/>
          <w:sz w:val="20"/>
          <w:szCs w:val="20"/>
          <w:lang w:val="es-CO"/>
        </w:rPr>
        <w:t xml:space="preserve"> </w:t>
      </w:r>
      <w:r w:rsidR="00260512" w:rsidRPr="00C07458">
        <w:rPr>
          <w:rFonts w:ascii="Cambria" w:hAnsi="Cambria"/>
          <w:sz w:val="20"/>
          <w:szCs w:val="20"/>
          <w:bdr w:val="none" w:sz="0" w:space="0" w:color="auto"/>
          <w:lang w:val="es-AR"/>
        </w:rPr>
        <w:t xml:space="preserve">identificar, juzgar </w:t>
      </w:r>
      <w:r w:rsidRPr="00C07458">
        <w:rPr>
          <w:rFonts w:ascii="Cambria" w:hAnsi="Cambria"/>
          <w:bCs/>
          <w:sz w:val="20"/>
          <w:szCs w:val="20"/>
          <w:lang w:val="es-CO"/>
        </w:rPr>
        <w:t xml:space="preserve">y, en su caso, sancionar a todos los autores de los delitos, incluidos los autores materiales, intelectuales, partícipes, colaboradores y los eventuales encubridores de las violaciones de derechos humanos cometidas. Debe, además, </w:t>
      </w:r>
      <w:r w:rsidRPr="0096449B">
        <w:rPr>
          <w:rFonts w:ascii="Cambria" w:hAnsi="Cambria"/>
          <w:bCs/>
          <w:sz w:val="20"/>
          <w:szCs w:val="20"/>
          <w:lang w:val="es-CO"/>
        </w:rPr>
        <w:t>investigar las estructuras de ejecución de los crímenes o estructuras criminales a las que pertenezcan los agresores</w:t>
      </w:r>
      <w:r w:rsidR="00CA7A52" w:rsidRPr="0045629E">
        <w:rPr>
          <w:rFonts w:ascii="Cambria" w:hAnsi="Cambria"/>
          <w:sz w:val="20"/>
          <w:szCs w:val="20"/>
          <w:bdr w:val="none" w:sz="0" w:space="0" w:color="auto"/>
          <w:vertAlign w:val="superscript"/>
          <w:lang w:val="es-AR"/>
        </w:rPr>
        <w:footnoteReference w:id="122"/>
      </w:r>
      <w:r w:rsidRPr="0045629E">
        <w:rPr>
          <w:rFonts w:ascii="Cambria" w:hAnsi="Cambria"/>
          <w:bCs/>
          <w:sz w:val="20"/>
          <w:szCs w:val="20"/>
          <w:lang w:val="es-CO"/>
        </w:rPr>
        <w:t xml:space="preserve">. Como fue explicado, la “debida diligencia” </w:t>
      </w:r>
      <w:r w:rsidRPr="00F37DDA">
        <w:rPr>
          <w:rFonts w:ascii="Cambria" w:hAnsi="Cambria"/>
          <w:sz w:val="20"/>
          <w:szCs w:val="20"/>
          <w:lang w:val="es-ES"/>
        </w:rPr>
        <w:t>exige</w:t>
      </w:r>
      <w:r w:rsidRPr="00F37DDA">
        <w:rPr>
          <w:rFonts w:ascii="Cambria" w:hAnsi="Cambria"/>
          <w:bCs/>
          <w:sz w:val="20"/>
          <w:szCs w:val="20"/>
          <w:lang w:val="es-CO"/>
        </w:rPr>
        <w:t xml:space="preserve"> que las investigaciones impulsadas por el Estado tomen en cuenta “la complejidad de los</w:t>
      </w:r>
      <w:r w:rsidRPr="00C07458">
        <w:rPr>
          <w:rFonts w:ascii="Cambria" w:hAnsi="Cambria"/>
          <w:bCs/>
          <w:sz w:val="20"/>
          <w:szCs w:val="20"/>
          <w:lang w:val="es-CO"/>
        </w:rPr>
        <w:t xml:space="preserve"> hechos, el contexto en que ocurrieron y los patrones que explican su comisión”, asegurando que no haya “omisiones en la recaudación de prueba y en el seguimiento de líneas lógicas de investigación”</w:t>
      </w:r>
      <w:r w:rsidRPr="0045629E">
        <w:rPr>
          <w:rFonts w:ascii="Cambria" w:hAnsi="Cambria"/>
          <w:bCs/>
          <w:sz w:val="20"/>
          <w:szCs w:val="20"/>
          <w:vertAlign w:val="superscript"/>
        </w:rPr>
        <w:footnoteReference w:id="123"/>
      </w:r>
      <w:r w:rsidRPr="0045629E">
        <w:rPr>
          <w:rFonts w:ascii="Cambria" w:hAnsi="Cambria"/>
          <w:bCs/>
          <w:sz w:val="20"/>
          <w:szCs w:val="20"/>
          <w:lang w:val="es-CO"/>
        </w:rPr>
        <w:t>. Esta obligación reviste especial relevancia en casos d</w:t>
      </w:r>
      <w:r w:rsidRPr="00F37DDA">
        <w:rPr>
          <w:rFonts w:ascii="Cambria" w:hAnsi="Cambria"/>
          <w:bCs/>
          <w:sz w:val="20"/>
          <w:szCs w:val="20"/>
          <w:lang w:val="es-CO"/>
        </w:rPr>
        <w:t>e violencia contra periodistas, que a menudo se cometen por redes criminales que actúan bajo tolerancia o aquiescencia de agentes estatales, y en las cuales el autor material del delito sólo ejecuta órdenes</w:t>
      </w:r>
      <w:r w:rsidR="006B1A60" w:rsidRPr="0045629E">
        <w:rPr>
          <w:rStyle w:val="FootnoteReference"/>
          <w:rFonts w:ascii="Cambria" w:hAnsi="Cambria"/>
          <w:bCs/>
          <w:sz w:val="20"/>
          <w:szCs w:val="20"/>
          <w:lang w:val="es-CO"/>
        </w:rPr>
        <w:footnoteReference w:id="124"/>
      </w:r>
      <w:r w:rsidRPr="0045629E">
        <w:rPr>
          <w:rFonts w:ascii="Cambria" w:hAnsi="Cambria"/>
          <w:bCs/>
          <w:sz w:val="20"/>
          <w:szCs w:val="20"/>
          <w:lang w:val="es-CO"/>
        </w:rPr>
        <w:t>.</w:t>
      </w:r>
    </w:p>
    <w:p w14:paraId="3CA988BA" w14:textId="77777777" w:rsidR="00A969FB" w:rsidRPr="007C4A01" w:rsidRDefault="00A969FB" w:rsidP="000D795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sz w:val="20"/>
          <w:szCs w:val="20"/>
          <w:lang w:val="es-CO"/>
        </w:rPr>
      </w:pPr>
    </w:p>
    <w:p w14:paraId="2E4F64C9" w14:textId="6E3ACEE5" w:rsidR="004E4E36" w:rsidRPr="00F37DDA" w:rsidRDefault="005123EC"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9313AF">
        <w:rPr>
          <w:rFonts w:ascii="Cambria" w:hAnsi="Cambria"/>
          <w:sz w:val="20"/>
          <w:szCs w:val="20"/>
          <w:lang w:val="es-PE"/>
        </w:rPr>
        <w:t>L</w:t>
      </w:r>
      <w:r w:rsidR="00AB75AB" w:rsidRPr="009313AF">
        <w:rPr>
          <w:rFonts w:ascii="Cambria" w:hAnsi="Cambria"/>
          <w:sz w:val="20"/>
          <w:szCs w:val="20"/>
          <w:lang w:val="es-PE"/>
        </w:rPr>
        <w:t>a Corte</w:t>
      </w:r>
      <w:r w:rsidRPr="009313AF">
        <w:rPr>
          <w:rFonts w:ascii="Cambria" w:hAnsi="Cambria"/>
          <w:sz w:val="20"/>
          <w:szCs w:val="20"/>
          <w:lang w:val="es-PE"/>
        </w:rPr>
        <w:t xml:space="preserve"> también</w:t>
      </w:r>
      <w:r w:rsidR="00AB75AB" w:rsidRPr="009313AF">
        <w:rPr>
          <w:rFonts w:ascii="Cambria" w:hAnsi="Cambria"/>
          <w:sz w:val="20"/>
          <w:szCs w:val="20"/>
          <w:lang w:val="es-PE"/>
        </w:rPr>
        <w:t xml:space="preserve"> ha señalado que </w:t>
      </w:r>
      <w:r w:rsidR="004E4E36" w:rsidRPr="009313AF">
        <w:rPr>
          <w:rFonts w:ascii="Cambria" w:hAnsi="Cambria"/>
          <w:sz w:val="20"/>
          <w:szCs w:val="20"/>
          <w:lang w:val="es-PE"/>
        </w:rPr>
        <w:t>para determinar si un Estado ha cumplido con su obligación de investigar a todas las personas penalmente responsables, es necesario analizar i) la existencia de indicios sobre la participación de los presuntos responsables, y ii) si hubo una actuación diligente o negligente en la indagación de tales indicios</w:t>
      </w:r>
      <w:r w:rsidR="00AB75AB" w:rsidRPr="0045629E">
        <w:rPr>
          <w:rStyle w:val="FootnoteReference"/>
          <w:rFonts w:ascii="Cambria" w:hAnsi="Cambria"/>
          <w:sz w:val="20"/>
          <w:szCs w:val="20"/>
          <w:lang w:val="es-PE"/>
        </w:rPr>
        <w:footnoteReference w:id="125"/>
      </w:r>
      <w:r w:rsidR="004E4E36" w:rsidRPr="0045629E">
        <w:rPr>
          <w:rFonts w:ascii="Cambria" w:hAnsi="Cambria"/>
          <w:sz w:val="20"/>
          <w:szCs w:val="20"/>
          <w:lang w:val="es-PE"/>
        </w:rPr>
        <w:t>.</w:t>
      </w:r>
    </w:p>
    <w:p w14:paraId="350DD3C8" w14:textId="77777777" w:rsidR="008613A0" w:rsidRPr="00F37DDA" w:rsidRDefault="008613A0" w:rsidP="009313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6CBD7107" w14:textId="0EECC7A7" w:rsidR="001D6485" w:rsidRPr="009313AF" w:rsidRDefault="008613A0" w:rsidP="0024198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C07458">
        <w:rPr>
          <w:rFonts w:ascii="Cambria" w:hAnsi="Cambria"/>
          <w:sz w:val="20"/>
          <w:szCs w:val="20"/>
          <w:lang w:val="es-PE"/>
        </w:rPr>
        <w:t xml:space="preserve">Con base en lo anterior, la Comisión considera </w:t>
      </w:r>
      <w:r w:rsidR="00A00344" w:rsidRPr="00C07458">
        <w:rPr>
          <w:rFonts w:ascii="Cambria" w:hAnsi="Cambria"/>
          <w:sz w:val="20"/>
          <w:szCs w:val="20"/>
          <w:lang w:val="es-PE"/>
        </w:rPr>
        <w:t>que</w:t>
      </w:r>
      <w:r w:rsidR="00313BDC" w:rsidRPr="00C07458">
        <w:rPr>
          <w:rFonts w:ascii="Cambria" w:hAnsi="Cambria"/>
          <w:sz w:val="20"/>
          <w:szCs w:val="20"/>
          <w:lang w:val="es-PE"/>
        </w:rPr>
        <w:t xml:space="preserve">, </w:t>
      </w:r>
      <w:r w:rsidR="00BA4262" w:rsidRPr="00C07458">
        <w:rPr>
          <w:rFonts w:ascii="Cambria" w:hAnsi="Cambria"/>
          <w:sz w:val="20"/>
          <w:szCs w:val="20"/>
          <w:lang w:val="es-PE"/>
        </w:rPr>
        <w:t>siguiendo</w:t>
      </w:r>
      <w:r w:rsidR="00313BDC" w:rsidRPr="00C07458">
        <w:rPr>
          <w:rFonts w:ascii="Cambria" w:hAnsi="Cambria"/>
          <w:sz w:val="20"/>
          <w:szCs w:val="20"/>
          <w:lang w:val="es-PE"/>
        </w:rPr>
        <w:t xml:space="preserve"> lo</w:t>
      </w:r>
      <w:r w:rsidR="00313BDC" w:rsidRPr="00147E07">
        <w:rPr>
          <w:rFonts w:ascii="Cambria" w:hAnsi="Cambria"/>
          <w:sz w:val="20"/>
          <w:szCs w:val="20"/>
          <w:lang w:val="es-PE"/>
        </w:rPr>
        <w:t xml:space="preserve">s </w:t>
      </w:r>
      <w:r w:rsidR="00313BDC" w:rsidRPr="00130AD5">
        <w:rPr>
          <w:rFonts w:ascii="Cambria" w:hAnsi="Cambria"/>
          <w:sz w:val="20"/>
          <w:szCs w:val="20"/>
          <w:lang w:val="es-PE"/>
        </w:rPr>
        <w:t xml:space="preserve">estándares </w:t>
      </w:r>
      <w:r w:rsidR="00BA4262" w:rsidRPr="008C2670">
        <w:rPr>
          <w:rFonts w:ascii="Cambria" w:hAnsi="Cambria"/>
          <w:sz w:val="20"/>
          <w:szCs w:val="20"/>
          <w:lang w:val="es-PE"/>
        </w:rPr>
        <w:t xml:space="preserve">de debida diligencia </w:t>
      </w:r>
      <w:r w:rsidR="00313BDC" w:rsidRPr="00B705B1">
        <w:rPr>
          <w:rFonts w:ascii="Cambria" w:hAnsi="Cambria"/>
          <w:sz w:val="20"/>
          <w:szCs w:val="20"/>
          <w:lang w:val="es-PE"/>
        </w:rPr>
        <w:t>antes citados</w:t>
      </w:r>
      <w:r w:rsidR="00313BDC" w:rsidRPr="0096449B">
        <w:rPr>
          <w:rFonts w:ascii="Cambria" w:hAnsi="Cambria"/>
          <w:sz w:val="20"/>
          <w:szCs w:val="20"/>
          <w:lang w:val="es-PE"/>
        </w:rPr>
        <w:t>,</w:t>
      </w:r>
      <w:r w:rsidR="00A00344" w:rsidRPr="009313AF">
        <w:rPr>
          <w:rFonts w:ascii="Cambria" w:hAnsi="Cambria"/>
          <w:sz w:val="20"/>
          <w:szCs w:val="20"/>
          <w:lang w:val="es-PE"/>
        </w:rPr>
        <w:t xml:space="preserve"> los Estados </w:t>
      </w:r>
      <w:r w:rsidR="00A60869" w:rsidRPr="009313AF">
        <w:rPr>
          <w:rFonts w:ascii="Cambria" w:hAnsi="Cambria"/>
          <w:sz w:val="20"/>
          <w:szCs w:val="20"/>
          <w:lang w:val="es-PE"/>
        </w:rPr>
        <w:t xml:space="preserve">deberán adoptar protocolos de investigación </w:t>
      </w:r>
      <w:r w:rsidR="00DE7C6D" w:rsidRPr="009313AF">
        <w:rPr>
          <w:rFonts w:ascii="Cambria" w:hAnsi="Cambria"/>
          <w:sz w:val="20"/>
          <w:szCs w:val="20"/>
          <w:lang w:val="es-PE"/>
        </w:rPr>
        <w:t xml:space="preserve">para los delitos cometidos contra la libertad de expresión </w:t>
      </w:r>
      <w:r w:rsidR="00941068" w:rsidRPr="009313AF">
        <w:rPr>
          <w:rFonts w:ascii="Cambria" w:hAnsi="Cambria"/>
          <w:sz w:val="20"/>
          <w:szCs w:val="20"/>
          <w:lang w:val="es-PE"/>
        </w:rPr>
        <w:t xml:space="preserve">que </w:t>
      </w:r>
      <w:r w:rsidR="003A2776" w:rsidRPr="009313AF">
        <w:rPr>
          <w:rFonts w:ascii="Cambria" w:hAnsi="Cambria"/>
          <w:sz w:val="20"/>
          <w:szCs w:val="20"/>
          <w:lang w:val="es-PE"/>
        </w:rPr>
        <w:t>tengan en cuenta los siguiente</w:t>
      </w:r>
      <w:r w:rsidR="009D0B2F" w:rsidRPr="009313AF">
        <w:rPr>
          <w:rFonts w:ascii="Cambria" w:hAnsi="Cambria"/>
          <w:sz w:val="20"/>
          <w:szCs w:val="20"/>
          <w:lang w:val="es-PE"/>
        </w:rPr>
        <w:t>s</w:t>
      </w:r>
      <w:r w:rsidR="003A2776" w:rsidRPr="009313AF">
        <w:rPr>
          <w:rFonts w:ascii="Cambria" w:hAnsi="Cambria"/>
          <w:sz w:val="20"/>
          <w:szCs w:val="20"/>
          <w:lang w:val="es-PE"/>
        </w:rPr>
        <w:t xml:space="preserve"> criterios mínimos: a)</w:t>
      </w:r>
      <w:r w:rsidR="009D0B2F" w:rsidRPr="009313AF">
        <w:rPr>
          <w:rFonts w:ascii="Cambria" w:hAnsi="Cambria"/>
          <w:sz w:val="20"/>
          <w:szCs w:val="20"/>
          <w:lang w:val="es-PE"/>
        </w:rPr>
        <w:t xml:space="preserve"> </w:t>
      </w:r>
      <w:r w:rsidRPr="009313AF">
        <w:rPr>
          <w:rFonts w:ascii="Cambria" w:hAnsi="Cambria"/>
          <w:sz w:val="20"/>
          <w:szCs w:val="20"/>
          <w:lang w:val="es-PE"/>
        </w:rPr>
        <w:t>la creación de planes de investigación eficaces que orienten los actos de investigación</w:t>
      </w:r>
      <w:r w:rsidR="008B2228" w:rsidRPr="009313AF">
        <w:rPr>
          <w:rFonts w:ascii="Cambria" w:hAnsi="Cambria"/>
          <w:sz w:val="20"/>
          <w:szCs w:val="20"/>
          <w:lang w:val="es-PE"/>
        </w:rPr>
        <w:t xml:space="preserve"> con base en los estándares mínimos de debida diligencia citados en párrafos precedentes</w:t>
      </w:r>
      <w:r w:rsidR="00FE72C4" w:rsidRPr="009313AF">
        <w:rPr>
          <w:rFonts w:ascii="Cambria" w:hAnsi="Cambria"/>
          <w:sz w:val="20"/>
          <w:szCs w:val="20"/>
          <w:lang w:val="es-PE"/>
        </w:rPr>
        <w:t xml:space="preserve">, </w:t>
      </w:r>
      <w:r w:rsidR="008B2228" w:rsidRPr="009313AF">
        <w:rPr>
          <w:rFonts w:ascii="Cambria" w:hAnsi="Cambria"/>
          <w:sz w:val="20"/>
          <w:szCs w:val="20"/>
          <w:lang w:val="es-PE"/>
        </w:rPr>
        <w:t>como la</w:t>
      </w:r>
      <w:r w:rsidR="00F83A9B" w:rsidRPr="009313AF">
        <w:rPr>
          <w:rFonts w:ascii="Cambria" w:hAnsi="Cambria"/>
          <w:sz w:val="20"/>
          <w:szCs w:val="20"/>
          <w:lang w:val="es-PE"/>
        </w:rPr>
        <w:t xml:space="preserve"> </w:t>
      </w:r>
      <w:r w:rsidR="008F0A73" w:rsidRPr="009313AF">
        <w:rPr>
          <w:rFonts w:ascii="Cambria" w:hAnsi="Cambria"/>
          <w:sz w:val="20"/>
          <w:szCs w:val="20"/>
          <w:lang w:val="es-PE"/>
        </w:rPr>
        <w:t>preserva</w:t>
      </w:r>
      <w:r w:rsidR="008B2228" w:rsidRPr="009313AF">
        <w:rPr>
          <w:rFonts w:ascii="Cambria" w:hAnsi="Cambria"/>
          <w:sz w:val="20"/>
          <w:szCs w:val="20"/>
          <w:lang w:val="es-PE"/>
        </w:rPr>
        <w:t xml:space="preserve">ción de </w:t>
      </w:r>
      <w:r w:rsidR="008F0A73" w:rsidRPr="009313AF">
        <w:rPr>
          <w:rFonts w:ascii="Cambria" w:hAnsi="Cambria"/>
          <w:sz w:val="20"/>
          <w:szCs w:val="20"/>
          <w:lang w:val="es-PE"/>
        </w:rPr>
        <w:t>la escena del crime</w:t>
      </w:r>
      <w:r w:rsidR="006F69BB" w:rsidRPr="009313AF">
        <w:rPr>
          <w:rFonts w:ascii="Cambria" w:hAnsi="Cambria"/>
          <w:sz w:val="20"/>
          <w:szCs w:val="20"/>
          <w:lang w:val="es-PE"/>
        </w:rPr>
        <w:t xml:space="preserve">n, </w:t>
      </w:r>
      <w:r w:rsidR="008B2228" w:rsidRPr="009313AF">
        <w:rPr>
          <w:rFonts w:ascii="Cambria" w:hAnsi="Cambria"/>
          <w:sz w:val="20"/>
          <w:szCs w:val="20"/>
          <w:lang w:val="es-PE"/>
        </w:rPr>
        <w:t xml:space="preserve">la recaudación y preservación </w:t>
      </w:r>
      <w:r w:rsidR="00FE72C4" w:rsidRPr="009313AF">
        <w:rPr>
          <w:rFonts w:ascii="Cambria" w:hAnsi="Cambria"/>
          <w:sz w:val="20"/>
          <w:szCs w:val="20"/>
          <w:lang w:val="es-PE"/>
        </w:rPr>
        <w:t>de manera eficaz</w:t>
      </w:r>
      <w:r w:rsidR="008B2228" w:rsidRPr="009313AF">
        <w:rPr>
          <w:rFonts w:ascii="Cambria" w:hAnsi="Cambria"/>
          <w:sz w:val="20"/>
          <w:szCs w:val="20"/>
          <w:lang w:val="es-PE"/>
        </w:rPr>
        <w:t xml:space="preserve"> de</w:t>
      </w:r>
      <w:r w:rsidR="00FE72C4" w:rsidRPr="009313AF">
        <w:rPr>
          <w:rFonts w:ascii="Cambria" w:hAnsi="Cambria"/>
          <w:sz w:val="20"/>
          <w:szCs w:val="20"/>
          <w:lang w:val="es-PE"/>
        </w:rPr>
        <w:t xml:space="preserve"> la evidencia policial y forense</w:t>
      </w:r>
      <w:r w:rsidR="008B2228" w:rsidRPr="009313AF">
        <w:rPr>
          <w:rFonts w:ascii="Cambria" w:hAnsi="Cambria"/>
          <w:sz w:val="20"/>
          <w:szCs w:val="20"/>
          <w:lang w:val="es-PE"/>
        </w:rPr>
        <w:t>, entre otros</w:t>
      </w:r>
      <w:r w:rsidRPr="0045629E">
        <w:rPr>
          <w:rFonts w:ascii="Cambria" w:hAnsi="Cambria"/>
          <w:sz w:val="20"/>
          <w:szCs w:val="20"/>
          <w:lang w:val="es-PE"/>
        </w:rPr>
        <w:t xml:space="preserve">; b) la obligación de agotar todas las líneas de </w:t>
      </w:r>
      <w:r w:rsidRPr="00C07458">
        <w:rPr>
          <w:rFonts w:ascii="Cambria" w:hAnsi="Cambria"/>
          <w:sz w:val="20"/>
          <w:szCs w:val="20"/>
          <w:lang w:val="es-PE"/>
        </w:rPr>
        <w:t xml:space="preserve">investigación relacionadas con la labor periodística de la víctima, estableciendo una serie de preguntas orientadoras; c) </w:t>
      </w:r>
      <w:r w:rsidR="00D32E78" w:rsidRPr="0096449B">
        <w:rPr>
          <w:rFonts w:ascii="Cambria" w:hAnsi="Cambria"/>
          <w:sz w:val="20"/>
          <w:szCs w:val="20"/>
          <w:lang w:val="es-PE"/>
        </w:rPr>
        <w:t xml:space="preserve">la realización de un </w:t>
      </w:r>
      <w:r w:rsidRPr="009313AF">
        <w:rPr>
          <w:rFonts w:ascii="Cambria" w:hAnsi="Cambria"/>
          <w:sz w:val="20"/>
          <w:szCs w:val="20"/>
          <w:lang w:val="es-PE"/>
        </w:rPr>
        <w:t>análisis de contexto</w:t>
      </w:r>
      <w:r w:rsidR="0030687A" w:rsidRPr="009313AF">
        <w:rPr>
          <w:rFonts w:ascii="Cambria" w:hAnsi="Cambria"/>
          <w:sz w:val="20"/>
          <w:szCs w:val="20"/>
          <w:lang w:val="es-PE"/>
        </w:rPr>
        <w:t xml:space="preserve"> con </w:t>
      </w:r>
      <w:r w:rsidRPr="009313AF">
        <w:rPr>
          <w:rFonts w:ascii="Cambria" w:hAnsi="Cambria"/>
          <w:sz w:val="20"/>
          <w:szCs w:val="20"/>
          <w:lang w:val="es-PE"/>
        </w:rPr>
        <w:t xml:space="preserve">una metodología exhaustiva que prevé los antecedentes de publicaciones de la víctima y el contexto de agresiones, criminalidad y violaciones a derechos humanos en la región donde ocurre el delito; d) </w:t>
      </w:r>
      <w:r w:rsidR="00235891" w:rsidRPr="009313AF">
        <w:rPr>
          <w:rFonts w:ascii="Cambria" w:hAnsi="Cambria"/>
          <w:sz w:val="20"/>
          <w:szCs w:val="20"/>
          <w:lang w:val="es-PE"/>
        </w:rPr>
        <w:t xml:space="preserve">la consideración particular del modo en que opera el poder político y delictivo </w:t>
      </w:r>
      <w:r w:rsidR="00011C43" w:rsidRPr="009313AF">
        <w:rPr>
          <w:rFonts w:ascii="Cambria" w:hAnsi="Cambria"/>
          <w:sz w:val="20"/>
          <w:szCs w:val="20"/>
          <w:lang w:val="es-PE"/>
        </w:rPr>
        <w:t>a nivel local; e)</w:t>
      </w:r>
      <w:r w:rsidR="00F835B3" w:rsidRPr="009313AF">
        <w:rPr>
          <w:rFonts w:ascii="Cambria" w:hAnsi="Cambria"/>
          <w:sz w:val="20"/>
          <w:szCs w:val="20"/>
          <w:lang w:val="es-PE"/>
        </w:rPr>
        <w:t xml:space="preserve"> </w:t>
      </w:r>
      <w:r w:rsidR="00B06DE4" w:rsidRPr="009313AF">
        <w:rPr>
          <w:rFonts w:ascii="Cambria" w:hAnsi="Cambria"/>
          <w:sz w:val="20"/>
          <w:szCs w:val="20"/>
          <w:lang w:val="es-PE"/>
        </w:rPr>
        <w:t xml:space="preserve">la protección de </w:t>
      </w:r>
      <w:r w:rsidR="000E4937" w:rsidRPr="009313AF">
        <w:rPr>
          <w:rFonts w:ascii="Cambria" w:hAnsi="Cambria"/>
          <w:sz w:val="20"/>
          <w:szCs w:val="20"/>
          <w:lang w:val="es-PE"/>
        </w:rPr>
        <w:t xml:space="preserve">testigos y familiares de la víctima, de ser el caso; f) </w:t>
      </w:r>
      <w:r w:rsidR="0054067E" w:rsidRPr="009313AF">
        <w:rPr>
          <w:rFonts w:ascii="Cambria" w:hAnsi="Cambria"/>
          <w:sz w:val="20"/>
          <w:szCs w:val="20"/>
          <w:lang w:val="es-PE"/>
        </w:rPr>
        <w:t xml:space="preserve">la realización </w:t>
      </w:r>
      <w:r w:rsidR="00117F8D" w:rsidRPr="009313AF">
        <w:rPr>
          <w:rFonts w:ascii="Cambria" w:hAnsi="Cambria"/>
          <w:sz w:val="20"/>
          <w:szCs w:val="20"/>
          <w:lang w:val="es-PE"/>
        </w:rPr>
        <w:t xml:space="preserve">de </w:t>
      </w:r>
      <w:r w:rsidRPr="009313AF">
        <w:rPr>
          <w:rFonts w:ascii="Cambria" w:hAnsi="Cambria"/>
          <w:sz w:val="20"/>
          <w:szCs w:val="20"/>
          <w:lang w:val="es-PE"/>
        </w:rPr>
        <w:t xml:space="preserve">actos de investigación dirigidos a identificar a todas las personas responsables de delitos (materiales e intelectuales); </w:t>
      </w:r>
      <w:r w:rsidR="000A7EFE" w:rsidRPr="009313AF">
        <w:rPr>
          <w:rFonts w:ascii="Cambria" w:hAnsi="Cambria"/>
          <w:sz w:val="20"/>
          <w:szCs w:val="20"/>
          <w:lang w:val="es-PE"/>
        </w:rPr>
        <w:t>g</w:t>
      </w:r>
      <w:r w:rsidRPr="009313AF">
        <w:rPr>
          <w:rFonts w:ascii="Cambria" w:hAnsi="Cambria"/>
          <w:sz w:val="20"/>
          <w:szCs w:val="20"/>
          <w:lang w:val="es-PE"/>
        </w:rPr>
        <w:t xml:space="preserve">) </w:t>
      </w:r>
      <w:r w:rsidR="00117F8D" w:rsidRPr="009313AF">
        <w:rPr>
          <w:rFonts w:ascii="Cambria" w:hAnsi="Cambria"/>
          <w:sz w:val="20"/>
          <w:szCs w:val="20"/>
          <w:lang w:val="es-PE"/>
        </w:rPr>
        <w:t xml:space="preserve">la adopción de </w:t>
      </w:r>
      <w:r w:rsidRPr="009313AF">
        <w:rPr>
          <w:rFonts w:ascii="Cambria" w:hAnsi="Cambria"/>
          <w:sz w:val="20"/>
          <w:szCs w:val="20"/>
          <w:lang w:val="es-PE"/>
        </w:rPr>
        <w:t>directrices de enfoque especializado de género e interculturalidad</w:t>
      </w:r>
      <w:r w:rsidR="000A7EFE" w:rsidRPr="009313AF">
        <w:rPr>
          <w:rFonts w:ascii="Cambria" w:hAnsi="Cambria"/>
          <w:sz w:val="20"/>
          <w:szCs w:val="20"/>
          <w:lang w:val="es-PE"/>
        </w:rPr>
        <w:t xml:space="preserve">, </w:t>
      </w:r>
      <w:r w:rsidR="00F37DDA">
        <w:rPr>
          <w:rFonts w:ascii="Cambria" w:hAnsi="Cambria"/>
          <w:sz w:val="20"/>
          <w:szCs w:val="20"/>
          <w:lang w:val="es-PE"/>
        </w:rPr>
        <w:t xml:space="preserve">y </w:t>
      </w:r>
      <w:r w:rsidR="00291E76" w:rsidRPr="00F37DDA">
        <w:rPr>
          <w:rFonts w:ascii="Cambria" w:hAnsi="Cambria"/>
          <w:sz w:val="20"/>
          <w:szCs w:val="20"/>
          <w:lang w:val="es-PE"/>
        </w:rPr>
        <w:t>h) e</w:t>
      </w:r>
      <w:r w:rsidR="00067C73" w:rsidRPr="006A3101">
        <w:rPr>
          <w:rFonts w:ascii="Cambria" w:hAnsi="Cambria"/>
          <w:sz w:val="20"/>
          <w:szCs w:val="20"/>
          <w:lang w:val="es-PE"/>
        </w:rPr>
        <w:t xml:space="preserve">l establecimiento de criterios </w:t>
      </w:r>
      <w:r w:rsidR="0089269E" w:rsidRPr="006A3101">
        <w:rPr>
          <w:rFonts w:ascii="Cambria" w:hAnsi="Cambria"/>
          <w:sz w:val="20"/>
          <w:szCs w:val="20"/>
          <w:lang w:val="es-PE"/>
        </w:rPr>
        <w:t xml:space="preserve">que permitan investigar de forma </w:t>
      </w:r>
      <w:r w:rsidR="00E24279" w:rsidRPr="00C3008B">
        <w:rPr>
          <w:rFonts w:ascii="Cambria" w:hAnsi="Cambria"/>
          <w:sz w:val="20"/>
          <w:szCs w:val="20"/>
          <w:lang w:val="es-PE"/>
        </w:rPr>
        <w:t>efi</w:t>
      </w:r>
      <w:r w:rsidR="00E24279" w:rsidRPr="000A6D3D">
        <w:rPr>
          <w:rFonts w:ascii="Cambria" w:hAnsi="Cambria"/>
          <w:sz w:val="20"/>
          <w:szCs w:val="20"/>
          <w:lang w:val="es-PE"/>
        </w:rPr>
        <w:t>caz</w:t>
      </w:r>
      <w:r w:rsidR="00733CB3" w:rsidRPr="000A6D3D">
        <w:rPr>
          <w:rFonts w:ascii="Cambria" w:hAnsi="Cambria"/>
          <w:sz w:val="20"/>
          <w:szCs w:val="20"/>
          <w:lang w:val="es-PE"/>
        </w:rPr>
        <w:t xml:space="preserve">, </w:t>
      </w:r>
      <w:r w:rsidR="00733CB3" w:rsidRPr="009313AF">
        <w:rPr>
          <w:rFonts w:ascii="Cambria" w:hAnsi="Cambria"/>
          <w:sz w:val="20"/>
          <w:szCs w:val="20"/>
          <w:lang w:val="es-MX"/>
        </w:rPr>
        <w:t>inmediata, exhaustiva, seria e imparcia</w:t>
      </w:r>
      <w:r w:rsidR="00533D3D" w:rsidRPr="0045629E">
        <w:rPr>
          <w:rFonts w:ascii="Cambria" w:hAnsi="Cambria"/>
          <w:sz w:val="20"/>
          <w:szCs w:val="20"/>
          <w:lang w:val="es-MX"/>
        </w:rPr>
        <w:t>l l</w:t>
      </w:r>
      <w:r w:rsidR="00E24279" w:rsidRPr="00F37DDA">
        <w:rPr>
          <w:rFonts w:ascii="Cambria" w:hAnsi="Cambria"/>
          <w:sz w:val="20"/>
          <w:szCs w:val="20"/>
          <w:lang w:val="es-PE"/>
        </w:rPr>
        <w:t>as amenazas y a</w:t>
      </w:r>
      <w:r w:rsidR="00822DDA" w:rsidRPr="00F37DDA">
        <w:rPr>
          <w:rFonts w:ascii="Cambria" w:hAnsi="Cambria"/>
          <w:sz w:val="20"/>
          <w:szCs w:val="20"/>
          <w:lang w:val="es-PE"/>
        </w:rPr>
        <w:t>coso contra periodistas,</w:t>
      </w:r>
      <w:r w:rsidR="00CC2F8C" w:rsidRPr="006A3101">
        <w:rPr>
          <w:rFonts w:ascii="Cambria" w:hAnsi="Cambria"/>
          <w:sz w:val="20"/>
          <w:szCs w:val="20"/>
          <w:lang w:val="es-PE"/>
        </w:rPr>
        <w:t xml:space="preserve"> con el fin </w:t>
      </w:r>
      <w:r w:rsidR="00581BC7" w:rsidRPr="009313AF">
        <w:rPr>
          <w:rFonts w:ascii="Cambria" w:hAnsi="Cambria"/>
          <w:sz w:val="20"/>
          <w:szCs w:val="20"/>
          <w:lang w:val="es-MX"/>
        </w:rPr>
        <w:t xml:space="preserve">de actuar sobre las causas estructurales que afectan </w:t>
      </w:r>
      <w:r w:rsidR="00533D3D" w:rsidRPr="009313AF">
        <w:rPr>
          <w:rFonts w:ascii="Cambria" w:hAnsi="Cambria"/>
          <w:sz w:val="20"/>
          <w:szCs w:val="20"/>
          <w:lang w:val="es-MX"/>
        </w:rPr>
        <w:t>su</w:t>
      </w:r>
      <w:r w:rsidR="00581BC7" w:rsidRPr="009313AF">
        <w:rPr>
          <w:rFonts w:ascii="Cambria" w:hAnsi="Cambria"/>
          <w:sz w:val="20"/>
          <w:szCs w:val="20"/>
          <w:lang w:val="es-MX"/>
        </w:rPr>
        <w:t xml:space="preserve"> seguridad </w:t>
      </w:r>
      <w:r w:rsidR="00407250" w:rsidRPr="009313AF">
        <w:rPr>
          <w:rFonts w:ascii="Cambria" w:hAnsi="Cambria"/>
          <w:sz w:val="20"/>
          <w:szCs w:val="20"/>
          <w:lang w:val="es-MX"/>
        </w:rPr>
        <w:t>e</w:t>
      </w:r>
      <w:r w:rsidR="00733CB3" w:rsidRPr="009313AF">
        <w:rPr>
          <w:rFonts w:ascii="Cambria" w:hAnsi="Cambria"/>
          <w:sz w:val="20"/>
          <w:szCs w:val="20"/>
          <w:lang w:val="es-MX"/>
        </w:rPr>
        <w:t xml:space="preserve"> identificar</w:t>
      </w:r>
      <w:r w:rsidR="000D44DD" w:rsidRPr="009313AF">
        <w:rPr>
          <w:rFonts w:ascii="Cambria" w:hAnsi="Cambria"/>
          <w:sz w:val="20"/>
          <w:szCs w:val="20"/>
          <w:lang w:val="es-MX"/>
        </w:rPr>
        <w:t xml:space="preserve"> su origen</w:t>
      </w:r>
      <w:r w:rsidR="00733CB3" w:rsidRPr="009313AF">
        <w:rPr>
          <w:rFonts w:ascii="Cambria" w:hAnsi="Cambria"/>
          <w:sz w:val="20"/>
          <w:szCs w:val="20"/>
          <w:lang w:val="es-MX"/>
        </w:rPr>
        <w:t>, y sancionar a los responsables, con el objeto de tratar de impedir que las amenazas se cumplan</w:t>
      </w:r>
      <w:r w:rsidR="000D44DD" w:rsidRPr="009313AF">
        <w:rPr>
          <w:rStyle w:val="FootnoteReference"/>
          <w:rFonts w:ascii="Cambria" w:hAnsi="Cambria"/>
          <w:sz w:val="20"/>
          <w:szCs w:val="20"/>
          <w:lang w:val="es-MX"/>
        </w:rPr>
        <w:footnoteReference w:id="126"/>
      </w:r>
      <w:r w:rsidR="008C3291" w:rsidRPr="009313AF">
        <w:rPr>
          <w:rFonts w:ascii="Cambria" w:hAnsi="Cambria"/>
          <w:sz w:val="20"/>
          <w:szCs w:val="20"/>
          <w:lang w:val="es-MX"/>
        </w:rPr>
        <w:t xml:space="preserve">. </w:t>
      </w:r>
    </w:p>
    <w:p w14:paraId="11D77EE5" w14:textId="77777777" w:rsidR="001D6485" w:rsidRPr="009313AF" w:rsidRDefault="001D6485" w:rsidP="009313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3D9D72DE" w14:textId="67DED027" w:rsidR="002C5362" w:rsidRPr="0045629E" w:rsidRDefault="008C3291" w:rsidP="009313A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9313AF">
        <w:rPr>
          <w:rFonts w:ascii="Cambria" w:hAnsi="Cambria"/>
          <w:sz w:val="20"/>
          <w:szCs w:val="20"/>
          <w:lang w:val="es-MX"/>
        </w:rPr>
        <w:t xml:space="preserve">Además, la Comisión considera </w:t>
      </w:r>
      <w:r w:rsidR="00E95936" w:rsidRPr="009313AF">
        <w:rPr>
          <w:rFonts w:ascii="Cambria" w:hAnsi="Cambria"/>
          <w:sz w:val="20"/>
          <w:szCs w:val="20"/>
          <w:lang w:val="es-MX"/>
        </w:rPr>
        <w:t xml:space="preserve">que </w:t>
      </w:r>
      <w:r w:rsidR="00D254D9" w:rsidRPr="009313AF">
        <w:rPr>
          <w:rFonts w:ascii="Cambria" w:hAnsi="Cambria"/>
          <w:sz w:val="20"/>
          <w:szCs w:val="20"/>
          <w:lang w:val="es-PE"/>
        </w:rPr>
        <w:t>l</w:t>
      </w:r>
      <w:r w:rsidR="003A1211" w:rsidRPr="009313AF">
        <w:rPr>
          <w:rFonts w:ascii="Cambria" w:hAnsi="Cambria"/>
          <w:sz w:val="20"/>
          <w:szCs w:val="20"/>
          <w:lang w:val="es-PE"/>
        </w:rPr>
        <w:t>os investigadores y funcionarios</w:t>
      </w:r>
      <w:r w:rsidR="00EE40FB">
        <w:rPr>
          <w:rFonts w:ascii="Cambria" w:hAnsi="Cambria"/>
          <w:sz w:val="20"/>
          <w:szCs w:val="20"/>
          <w:lang w:val="es-PE"/>
        </w:rPr>
        <w:t xml:space="preserve"> encargados</w:t>
      </w:r>
      <w:r w:rsidR="003A1211" w:rsidRPr="009313AF">
        <w:rPr>
          <w:rFonts w:ascii="Cambria" w:hAnsi="Cambria"/>
          <w:sz w:val="20"/>
          <w:szCs w:val="20"/>
          <w:lang w:val="es-PE"/>
        </w:rPr>
        <w:t xml:space="preserve"> de</w:t>
      </w:r>
      <w:r w:rsidR="00EE40FB">
        <w:rPr>
          <w:rFonts w:ascii="Cambria" w:hAnsi="Cambria"/>
          <w:sz w:val="20"/>
          <w:szCs w:val="20"/>
          <w:lang w:val="es-PE"/>
        </w:rPr>
        <w:t xml:space="preserve"> la</w:t>
      </w:r>
      <w:r w:rsidR="003A1211" w:rsidRPr="009313AF">
        <w:rPr>
          <w:rFonts w:ascii="Cambria" w:hAnsi="Cambria"/>
          <w:sz w:val="20"/>
          <w:szCs w:val="20"/>
          <w:lang w:val="es-PE"/>
        </w:rPr>
        <w:t xml:space="preserve"> aplicación de la ley deben estar debidamente equipados y recibir capacitación especializada en todos los aspectos de la investigación de delitos contra la libertad de expres</w:t>
      </w:r>
      <w:r w:rsidR="008963D6" w:rsidRPr="009313AF">
        <w:rPr>
          <w:rFonts w:ascii="Cambria" w:hAnsi="Cambria"/>
          <w:sz w:val="20"/>
          <w:szCs w:val="20"/>
          <w:lang w:val="es-PE"/>
        </w:rPr>
        <w:t xml:space="preserve">ión. De igual manera, </w:t>
      </w:r>
      <w:r w:rsidR="00CF0010" w:rsidRPr="009313AF">
        <w:rPr>
          <w:rFonts w:ascii="Cambria" w:hAnsi="Cambria"/>
          <w:sz w:val="20"/>
          <w:szCs w:val="20"/>
          <w:lang w:val="es-PE"/>
        </w:rPr>
        <w:t>en situaciones en las que se sospeche el involucramiento de autoridades locales o poderosas bandas delictivas</w:t>
      </w:r>
      <w:r w:rsidR="003100D6" w:rsidRPr="009313AF">
        <w:rPr>
          <w:rFonts w:ascii="Cambria" w:hAnsi="Cambria"/>
          <w:sz w:val="20"/>
          <w:szCs w:val="20"/>
          <w:lang w:val="es-PE"/>
        </w:rPr>
        <w:t xml:space="preserve"> o la connivencia de las primeras con las segundas</w:t>
      </w:r>
      <w:r w:rsidR="00CF0010" w:rsidRPr="009313AF">
        <w:rPr>
          <w:rFonts w:ascii="Cambria" w:hAnsi="Cambria"/>
          <w:sz w:val="20"/>
          <w:szCs w:val="20"/>
          <w:lang w:val="es-PE"/>
        </w:rPr>
        <w:t xml:space="preserve">, </w:t>
      </w:r>
      <w:r w:rsidR="00C16B20" w:rsidRPr="009313AF">
        <w:rPr>
          <w:rFonts w:ascii="Cambria" w:hAnsi="Cambria"/>
          <w:sz w:val="20"/>
          <w:szCs w:val="20"/>
          <w:lang w:val="es-PE"/>
        </w:rPr>
        <w:t>en las que</w:t>
      </w:r>
      <w:r w:rsidR="00CF0010" w:rsidRPr="009313AF">
        <w:rPr>
          <w:rFonts w:ascii="Cambria" w:hAnsi="Cambria"/>
          <w:sz w:val="20"/>
          <w:szCs w:val="20"/>
          <w:lang w:val="es-PE"/>
        </w:rPr>
        <w:t xml:space="preserve"> </w:t>
      </w:r>
      <w:r w:rsidR="00C16B20" w:rsidRPr="009313AF">
        <w:rPr>
          <w:rFonts w:ascii="Cambria" w:hAnsi="Cambria"/>
          <w:sz w:val="20"/>
          <w:szCs w:val="20"/>
          <w:lang w:val="es-PE"/>
        </w:rPr>
        <w:t>la independencia e imparcialidad de las autoridades a cargo de la investigación o juzgamiento haya sido razonablemente cuestionada</w:t>
      </w:r>
      <w:r w:rsidR="003250D8" w:rsidRPr="009313AF">
        <w:rPr>
          <w:rFonts w:ascii="Cambria" w:hAnsi="Cambria"/>
          <w:sz w:val="20"/>
          <w:szCs w:val="20"/>
          <w:lang w:val="es-PE"/>
        </w:rPr>
        <w:t xml:space="preserve">, el Estado deberá establecer criterios claros y precisos en su legislación a fin de </w:t>
      </w:r>
      <w:r w:rsidR="00D77DA6" w:rsidRPr="009313AF">
        <w:rPr>
          <w:rFonts w:ascii="Cambria" w:hAnsi="Cambria"/>
          <w:sz w:val="20"/>
          <w:szCs w:val="20"/>
          <w:lang w:val="es-PE"/>
        </w:rPr>
        <w:t>que la investigación y juzgamiento sea</w:t>
      </w:r>
      <w:r w:rsidR="00C542CA" w:rsidRPr="009313AF">
        <w:rPr>
          <w:rFonts w:ascii="Cambria" w:hAnsi="Cambria"/>
          <w:sz w:val="20"/>
          <w:szCs w:val="20"/>
          <w:lang w:val="es-PE"/>
        </w:rPr>
        <w:t>n</w:t>
      </w:r>
      <w:r w:rsidR="00D77DA6" w:rsidRPr="009313AF">
        <w:rPr>
          <w:rFonts w:ascii="Cambria" w:hAnsi="Cambria"/>
          <w:sz w:val="20"/>
          <w:szCs w:val="20"/>
          <w:lang w:val="es-PE"/>
        </w:rPr>
        <w:t xml:space="preserve"> </w:t>
      </w:r>
      <w:r w:rsidR="00D4240C" w:rsidRPr="009313AF">
        <w:rPr>
          <w:rFonts w:ascii="Cambria" w:hAnsi="Cambria"/>
          <w:sz w:val="20"/>
          <w:szCs w:val="20"/>
          <w:lang w:val="es-PE"/>
        </w:rPr>
        <w:t>trasladad</w:t>
      </w:r>
      <w:r w:rsidR="00C542CA" w:rsidRPr="009313AF">
        <w:rPr>
          <w:rFonts w:ascii="Cambria" w:hAnsi="Cambria"/>
          <w:sz w:val="20"/>
          <w:szCs w:val="20"/>
          <w:lang w:val="es-PE"/>
        </w:rPr>
        <w:t xml:space="preserve">os </w:t>
      </w:r>
      <w:r w:rsidR="00D4240C" w:rsidRPr="009313AF">
        <w:rPr>
          <w:rFonts w:ascii="Cambria" w:hAnsi="Cambria"/>
          <w:sz w:val="20"/>
          <w:szCs w:val="20"/>
          <w:lang w:val="es-PE"/>
        </w:rPr>
        <w:t xml:space="preserve">a </w:t>
      </w:r>
      <w:r w:rsidR="00C542CA" w:rsidRPr="009313AF">
        <w:rPr>
          <w:rFonts w:ascii="Cambria" w:hAnsi="Cambria"/>
          <w:sz w:val="20"/>
          <w:szCs w:val="20"/>
          <w:lang w:val="es-PE"/>
        </w:rPr>
        <w:t>fiscalías y/o juzgados</w:t>
      </w:r>
      <w:r w:rsidR="00D4240C" w:rsidRPr="009313AF">
        <w:rPr>
          <w:rFonts w:ascii="Cambria" w:hAnsi="Cambria"/>
          <w:sz w:val="20"/>
          <w:szCs w:val="20"/>
          <w:lang w:val="es-PE"/>
        </w:rPr>
        <w:t xml:space="preserve"> independientes </w:t>
      </w:r>
      <w:r w:rsidR="00C542CA" w:rsidRPr="009313AF">
        <w:rPr>
          <w:rFonts w:ascii="Cambria" w:hAnsi="Cambria"/>
          <w:sz w:val="20"/>
          <w:szCs w:val="20"/>
          <w:lang w:val="es-PE"/>
        </w:rPr>
        <w:t>e imparciales</w:t>
      </w:r>
      <w:r w:rsidR="001D6485" w:rsidRPr="009313AF">
        <w:rPr>
          <w:rStyle w:val="FootnoteReference"/>
          <w:rFonts w:ascii="Cambria" w:hAnsi="Cambria"/>
          <w:sz w:val="20"/>
          <w:szCs w:val="20"/>
          <w:lang w:val="es-PE"/>
        </w:rPr>
        <w:footnoteReference w:id="127"/>
      </w:r>
      <w:r w:rsidR="00241982" w:rsidRPr="009313AF">
        <w:rPr>
          <w:rFonts w:ascii="Cambria" w:hAnsi="Cambria"/>
          <w:sz w:val="20"/>
          <w:szCs w:val="20"/>
          <w:lang w:val="es-PE"/>
        </w:rPr>
        <w:t>.</w:t>
      </w:r>
    </w:p>
    <w:p w14:paraId="129022F0" w14:textId="77777777" w:rsidR="00DF099B" w:rsidRPr="00B5616B" w:rsidRDefault="00DF099B" w:rsidP="00B5616B">
      <w:pPr>
        <w:pStyle w:val="ListParagraph"/>
        <w:spacing w:before="0" w:after="0"/>
        <w:rPr>
          <w:sz w:val="20"/>
          <w:szCs w:val="20"/>
          <w:lang w:val="es-ES"/>
        </w:rPr>
      </w:pPr>
    </w:p>
    <w:p w14:paraId="01B538E0" w14:textId="1B7A1610" w:rsidR="00FE0DE9" w:rsidRPr="00B5616B" w:rsidRDefault="00943453" w:rsidP="00B5616B">
      <w:pPr>
        <w:pStyle w:val="Heading4"/>
        <w:rPr>
          <w:szCs w:val="20"/>
        </w:rPr>
      </w:pPr>
      <w:r w:rsidRPr="00B5616B">
        <w:rPr>
          <w:szCs w:val="20"/>
        </w:rPr>
        <w:t xml:space="preserve">3.c </w:t>
      </w:r>
      <w:r w:rsidR="00FE0DE9" w:rsidRPr="00B5616B">
        <w:rPr>
          <w:szCs w:val="20"/>
        </w:rPr>
        <w:t xml:space="preserve">Plazo razonable </w:t>
      </w:r>
    </w:p>
    <w:p w14:paraId="1BD84DB1" w14:textId="77777777" w:rsidR="00FE0DE9" w:rsidRPr="00B5616B" w:rsidRDefault="00FE0DE9" w:rsidP="00B5616B">
      <w:pPr>
        <w:pStyle w:val="ListParagraph"/>
        <w:spacing w:before="0" w:after="0"/>
        <w:rPr>
          <w:sz w:val="20"/>
          <w:szCs w:val="20"/>
          <w:lang w:val="es-US"/>
        </w:rPr>
      </w:pPr>
    </w:p>
    <w:p w14:paraId="61271DC2" w14:textId="77777777" w:rsidR="00794C1F" w:rsidRPr="00B5616B" w:rsidRDefault="00794C1F"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US"/>
        </w:rPr>
      </w:pPr>
      <w:r w:rsidRPr="00B5616B">
        <w:rPr>
          <w:rFonts w:ascii="Cambria" w:hAnsi="Cambria"/>
          <w:sz w:val="20"/>
          <w:szCs w:val="20"/>
          <w:lang w:val="es-US"/>
        </w:rPr>
        <w:t xml:space="preserve">En cuanto al plazo razonable, el artículo 8.1 de la Convención Americana establece como uno de los elementos del debido proceso que los tribunales decidan los casos sometidos a su conocimiento en un plazo razonable. En este sentido, una demora prolongada puede llegar a constituir </w:t>
      </w:r>
      <w:r w:rsidRPr="00B5616B">
        <w:rPr>
          <w:rFonts w:ascii="Cambria" w:hAnsi="Cambria"/>
          <w:i/>
          <w:sz w:val="20"/>
          <w:szCs w:val="20"/>
          <w:lang w:val="es-US"/>
        </w:rPr>
        <w:t>per se</w:t>
      </w:r>
      <w:r w:rsidRPr="00B5616B">
        <w:rPr>
          <w:rFonts w:ascii="Cambria" w:hAnsi="Cambria"/>
          <w:sz w:val="20"/>
          <w:szCs w:val="20"/>
          <w:lang w:val="es-US"/>
        </w:rPr>
        <w:t xml:space="preserve"> una violación de las garantías judiciales</w:t>
      </w:r>
      <w:r w:rsidRPr="00B5616B">
        <w:rPr>
          <w:rStyle w:val="FootnoteReference"/>
          <w:rFonts w:ascii="Cambria" w:hAnsi="Cambria"/>
          <w:sz w:val="20"/>
          <w:szCs w:val="20"/>
          <w:lang w:val="es-ES_tradnl"/>
        </w:rPr>
        <w:footnoteReference w:id="128"/>
      </w:r>
      <w:r w:rsidRPr="00B5616B">
        <w:rPr>
          <w:rFonts w:ascii="Cambria" w:hAnsi="Cambria"/>
          <w:sz w:val="20"/>
          <w:szCs w:val="20"/>
          <w:lang w:val="es-US"/>
        </w:rPr>
        <w:t>, por lo que corresponde al Estado exponer y probar la razón por la cual se ha requerido más tiempo del razonable para dictar sentencia definitiva en un caso particular</w:t>
      </w:r>
      <w:r w:rsidRPr="00B5616B">
        <w:rPr>
          <w:rStyle w:val="FootnoteReference"/>
          <w:rFonts w:ascii="Cambria" w:hAnsi="Cambria"/>
          <w:sz w:val="20"/>
          <w:szCs w:val="20"/>
          <w:lang w:val="es-ES_tradnl"/>
        </w:rPr>
        <w:footnoteReference w:id="129"/>
      </w:r>
      <w:r w:rsidRPr="00B5616B">
        <w:rPr>
          <w:rFonts w:ascii="Cambria" w:hAnsi="Cambria"/>
          <w:sz w:val="20"/>
          <w:szCs w:val="20"/>
          <w:lang w:val="es-US"/>
        </w:rPr>
        <w:t xml:space="preserve">. </w:t>
      </w:r>
    </w:p>
    <w:p w14:paraId="34AD977C" w14:textId="77777777" w:rsidR="00794C1F" w:rsidRPr="00B5616B" w:rsidRDefault="00794C1F" w:rsidP="00B5616B">
      <w:pPr>
        <w:ind w:left="629"/>
        <w:jc w:val="both"/>
        <w:rPr>
          <w:rFonts w:ascii="Cambria" w:hAnsi="Cambria"/>
          <w:sz w:val="20"/>
          <w:szCs w:val="20"/>
          <w:lang w:val="es-ES"/>
        </w:rPr>
      </w:pPr>
    </w:p>
    <w:p w14:paraId="02993B21" w14:textId="77777777" w:rsidR="00794C1F" w:rsidRPr="00B5616B" w:rsidRDefault="00794C1F" w:rsidP="00D44BDA">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r w:rsidRPr="00B5616B">
        <w:rPr>
          <w:rFonts w:ascii="Cambria" w:hAnsi="Cambria"/>
          <w:sz w:val="20"/>
          <w:szCs w:val="20"/>
          <w:lang w:val="es-ES"/>
        </w:rPr>
        <w:t>En ese sentido, la razonabilidad del plazo se debe apreciar en relación con la duración total del procedimiento penal</w:t>
      </w:r>
      <w:r w:rsidRPr="00B5616B">
        <w:rPr>
          <w:rStyle w:val="FootnoteReference"/>
          <w:rFonts w:ascii="Cambria" w:hAnsi="Cambria"/>
          <w:sz w:val="20"/>
          <w:szCs w:val="20"/>
          <w:lang w:val="es-ES_tradnl"/>
        </w:rPr>
        <w:footnoteReference w:id="130"/>
      </w:r>
      <w:r w:rsidRPr="00B5616B">
        <w:rPr>
          <w:rFonts w:ascii="Cambria" w:hAnsi="Cambria"/>
          <w:sz w:val="20"/>
          <w:szCs w:val="20"/>
          <w:lang w:val="es-ES"/>
        </w:rPr>
        <w:t xml:space="preserve">. </w:t>
      </w:r>
      <w:r w:rsidRPr="00B5616B">
        <w:rPr>
          <w:rFonts w:ascii="Cambria" w:hAnsi="Cambria"/>
          <w:sz w:val="20"/>
          <w:szCs w:val="20"/>
          <w:lang w:val="es-US"/>
        </w:rPr>
        <w:t>Según los términos del artículo 8.1 de la Convención Americana, la Comisión tomará en consideración, a la luz de las circunstancias concretas del caso, los siguientes cuatro elementos</w:t>
      </w:r>
      <w:r w:rsidRPr="00B5616B">
        <w:rPr>
          <w:rFonts w:ascii="Cambria" w:hAnsi="Cambria"/>
          <w:sz w:val="20"/>
          <w:szCs w:val="20"/>
          <w:lang w:val="es-ES"/>
        </w:rPr>
        <w:t>: i) la complejidad del asunto; ii) la actividad procesal del interesado; iii) la conducta de las autoridades judiciales;</w:t>
      </w:r>
      <w:r w:rsidRPr="00B5616B">
        <w:rPr>
          <w:rFonts w:ascii="Cambria" w:hAnsi="Cambria"/>
          <w:sz w:val="20"/>
          <w:szCs w:val="20"/>
          <w:lang w:val="es-US"/>
        </w:rPr>
        <w:t xml:space="preserve"> y iv) la afectación generada en la situación jurídica de la persona involucrada en el proceso</w:t>
      </w:r>
      <w:r w:rsidRPr="00B5616B">
        <w:rPr>
          <w:rStyle w:val="FootnoteReference"/>
          <w:rFonts w:ascii="Cambria" w:hAnsi="Cambria"/>
          <w:sz w:val="20"/>
          <w:szCs w:val="20"/>
          <w:lang w:val="es-ES_tradnl"/>
        </w:rPr>
        <w:footnoteReference w:id="131"/>
      </w:r>
      <w:r w:rsidRPr="00B5616B">
        <w:rPr>
          <w:rFonts w:ascii="Cambria" w:hAnsi="Cambria"/>
          <w:sz w:val="20"/>
          <w:szCs w:val="20"/>
          <w:lang w:val="es-ES"/>
        </w:rPr>
        <w:t>.</w:t>
      </w:r>
    </w:p>
    <w:p w14:paraId="46188853" w14:textId="32EFD824" w:rsidR="00361F7C" w:rsidRPr="00B5616B" w:rsidRDefault="00361F7C" w:rsidP="00D44BD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S"/>
        </w:rPr>
      </w:pPr>
      <w:bookmarkStart w:id="37" w:name="_Toc534905537"/>
    </w:p>
    <w:p w14:paraId="1AB3860E" w14:textId="77777777" w:rsidR="00692BFA" w:rsidRPr="00524E57" w:rsidRDefault="00361F7C" w:rsidP="00D44BDA">
      <w:pPr>
        <w:pStyle w:val="Heading3"/>
        <w:tabs>
          <w:tab w:val="left" w:pos="720"/>
        </w:tabs>
        <w:rPr>
          <w:lang w:val="es-US"/>
        </w:rPr>
      </w:pPr>
      <w:bookmarkStart w:id="38" w:name="_Toc47965332"/>
      <w:r w:rsidRPr="00524E57">
        <w:t>Análisis del caso</w:t>
      </w:r>
      <w:bookmarkEnd w:id="38"/>
    </w:p>
    <w:p w14:paraId="6194FD1C" w14:textId="77777777" w:rsidR="00F43758" w:rsidRPr="00524E57" w:rsidRDefault="00F43758" w:rsidP="00D44BD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i/>
          <w:iCs/>
          <w:spacing w:val="-2"/>
          <w:sz w:val="20"/>
          <w:szCs w:val="20"/>
          <w:lang w:val="es-US"/>
        </w:rPr>
      </w:pPr>
    </w:p>
    <w:p w14:paraId="10DC3FE1" w14:textId="62DA1588" w:rsidR="006B4B6C" w:rsidRPr="005541DE" w:rsidRDefault="00F71B09" w:rsidP="00D44BDA">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i/>
          <w:iCs/>
          <w:spacing w:val="-2"/>
          <w:sz w:val="20"/>
          <w:szCs w:val="20"/>
          <w:lang w:val="es-ES_tradnl"/>
        </w:rPr>
      </w:pPr>
      <w:r w:rsidRPr="00524E57">
        <w:rPr>
          <w:rFonts w:ascii="Cambria" w:hAnsi="Cambria"/>
          <w:sz w:val="20"/>
          <w:szCs w:val="20"/>
          <w:lang w:val="es-US"/>
        </w:rPr>
        <w:t>E</w:t>
      </w:r>
      <w:r w:rsidR="000F4ACC" w:rsidRPr="00524E57">
        <w:rPr>
          <w:rFonts w:ascii="Cambria" w:hAnsi="Cambria"/>
          <w:sz w:val="20"/>
          <w:szCs w:val="20"/>
          <w:lang w:val="es-VE"/>
        </w:rPr>
        <w:t xml:space="preserve">l presente caso </w:t>
      </w:r>
      <w:r w:rsidRPr="00524E57">
        <w:rPr>
          <w:rFonts w:ascii="Cambria" w:hAnsi="Cambria"/>
          <w:spacing w:val="-2"/>
          <w:sz w:val="20"/>
          <w:szCs w:val="20"/>
          <w:lang w:val="es-ES_tradnl"/>
        </w:rPr>
        <w:t>se refiere a</w:t>
      </w:r>
      <w:r w:rsidR="00B23FE9" w:rsidRPr="00524E57">
        <w:rPr>
          <w:rFonts w:ascii="Cambria" w:hAnsi="Cambria"/>
          <w:spacing w:val="-2"/>
          <w:sz w:val="20"/>
          <w:szCs w:val="20"/>
          <w:lang w:val="es-ES_tradnl"/>
        </w:rPr>
        <w:t xml:space="preserve">l asesinato de Santiago Leguizamón, </w:t>
      </w:r>
      <w:r w:rsidR="00F4078C" w:rsidRPr="00524E57">
        <w:rPr>
          <w:rFonts w:ascii="Cambria" w:hAnsi="Cambria"/>
          <w:sz w:val="20"/>
          <w:szCs w:val="20"/>
          <w:lang w:val="es-VE"/>
        </w:rPr>
        <w:t>un importante periodista y defensor de derechos humanos de Pedro Juan Caballero, una de las zonas más violentas de Paraguay</w:t>
      </w:r>
      <w:r w:rsidR="00A068A6" w:rsidRPr="00524E57">
        <w:rPr>
          <w:rFonts w:ascii="Cambria" w:hAnsi="Cambria"/>
          <w:sz w:val="20"/>
          <w:szCs w:val="20"/>
          <w:lang w:val="es-VE"/>
        </w:rPr>
        <w:t xml:space="preserve"> y a la </w:t>
      </w:r>
      <w:r w:rsidR="002F7924" w:rsidRPr="00524E57">
        <w:rPr>
          <w:rFonts w:ascii="Cambria" w:hAnsi="Cambria"/>
          <w:sz w:val="20"/>
          <w:szCs w:val="20"/>
          <w:lang w:val="es-VE"/>
        </w:rPr>
        <w:t xml:space="preserve">impunidad en la que se encuentra el caso. </w:t>
      </w:r>
      <w:r w:rsidR="002F7924" w:rsidRPr="00524E57">
        <w:rPr>
          <w:rFonts w:ascii="Cambria" w:hAnsi="Cambria"/>
          <w:spacing w:val="-2"/>
          <w:sz w:val="20"/>
          <w:szCs w:val="20"/>
          <w:lang w:val="es-ES_tradnl"/>
        </w:rPr>
        <w:t>Dicho lo anterior, la Comisión deberá determinar si</w:t>
      </w:r>
      <w:r w:rsidR="001C7E29" w:rsidRPr="00524E57">
        <w:rPr>
          <w:rFonts w:ascii="Cambria" w:hAnsi="Cambria"/>
          <w:spacing w:val="-2"/>
          <w:sz w:val="20"/>
          <w:szCs w:val="20"/>
          <w:lang w:val="es-ES_tradnl"/>
        </w:rPr>
        <w:t xml:space="preserve"> el Estado</w:t>
      </w:r>
      <w:r w:rsidR="00C11F21" w:rsidRPr="00524E57">
        <w:rPr>
          <w:rFonts w:ascii="Cambria" w:hAnsi="Cambria"/>
          <w:spacing w:val="-2"/>
          <w:sz w:val="20"/>
          <w:szCs w:val="20"/>
          <w:lang w:val="es-ES_tradnl"/>
        </w:rPr>
        <w:t xml:space="preserve"> es responsable </w:t>
      </w:r>
      <w:r w:rsidR="0039213E" w:rsidRPr="00524E57">
        <w:rPr>
          <w:rFonts w:ascii="Cambria" w:hAnsi="Cambria"/>
          <w:spacing w:val="-2"/>
          <w:sz w:val="20"/>
          <w:szCs w:val="20"/>
          <w:lang w:val="es-ES_tradnl"/>
        </w:rPr>
        <w:t xml:space="preserve">internacionalmente por la muerte del periodista y si garantizó su derecho a la libertad de expresión. </w:t>
      </w:r>
      <w:r w:rsidR="001A45DB" w:rsidRPr="00524E57">
        <w:rPr>
          <w:rFonts w:ascii="Cambria" w:hAnsi="Cambria"/>
          <w:spacing w:val="-2"/>
          <w:sz w:val="20"/>
          <w:szCs w:val="20"/>
          <w:lang w:val="es-ES_tradnl"/>
        </w:rPr>
        <w:t xml:space="preserve">Asimismo, la CIDH deberá establecer si el Estado </w:t>
      </w:r>
      <w:r w:rsidR="00DB2919" w:rsidRPr="00524E57">
        <w:rPr>
          <w:rFonts w:ascii="Cambria" w:hAnsi="Cambria"/>
          <w:spacing w:val="-2"/>
          <w:sz w:val="20"/>
          <w:szCs w:val="20"/>
          <w:lang w:val="es-ES_tradnl"/>
        </w:rPr>
        <w:t>cumplió con su obliga</w:t>
      </w:r>
      <w:r w:rsidR="00B20D95" w:rsidRPr="00524E57">
        <w:rPr>
          <w:rFonts w:ascii="Cambria" w:hAnsi="Cambria"/>
          <w:spacing w:val="-2"/>
          <w:sz w:val="20"/>
          <w:szCs w:val="20"/>
          <w:lang w:val="es-ES_tradnl"/>
        </w:rPr>
        <w:t>ción de investigar el</w:t>
      </w:r>
      <w:r w:rsidR="00993DFF" w:rsidRPr="00524E57">
        <w:rPr>
          <w:rFonts w:ascii="Cambria" w:hAnsi="Cambria"/>
          <w:spacing w:val="-2"/>
          <w:sz w:val="20"/>
          <w:szCs w:val="20"/>
          <w:lang w:val="es-ES_tradnl"/>
        </w:rPr>
        <w:t xml:space="preserve"> crimen </w:t>
      </w:r>
      <w:r w:rsidR="00537445" w:rsidRPr="00524E57">
        <w:rPr>
          <w:rFonts w:ascii="Cambria" w:hAnsi="Cambria"/>
          <w:spacing w:val="-2"/>
          <w:sz w:val="20"/>
          <w:szCs w:val="20"/>
          <w:lang w:val="es-ES_tradnl"/>
        </w:rPr>
        <w:t xml:space="preserve">y garantizó los derechos a </w:t>
      </w:r>
      <w:r w:rsidR="00D43A66" w:rsidRPr="00524E57">
        <w:rPr>
          <w:rFonts w:ascii="Cambria" w:hAnsi="Cambria"/>
          <w:spacing w:val="-2"/>
          <w:sz w:val="20"/>
          <w:szCs w:val="20"/>
          <w:lang w:val="es-ES_tradnl"/>
        </w:rPr>
        <w:t xml:space="preserve">las </w:t>
      </w:r>
      <w:r w:rsidR="001A45DB" w:rsidRPr="00524E57">
        <w:rPr>
          <w:rFonts w:ascii="Cambria" w:hAnsi="Cambria"/>
          <w:spacing w:val="-2"/>
          <w:sz w:val="20"/>
          <w:szCs w:val="20"/>
          <w:lang w:val="es-ES_tradnl"/>
        </w:rPr>
        <w:t>garantías judiciales</w:t>
      </w:r>
      <w:r w:rsidR="00D43A66" w:rsidRPr="00524E57">
        <w:rPr>
          <w:rFonts w:ascii="Cambria" w:hAnsi="Cambria"/>
          <w:spacing w:val="-2"/>
          <w:sz w:val="20"/>
          <w:szCs w:val="20"/>
          <w:lang w:val="es-ES_tradnl"/>
        </w:rPr>
        <w:t xml:space="preserve"> y protección judicial</w:t>
      </w:r>
      <w:r w:rsidR="001A45DB" w:rsidRPr="00524E57">
        <w:rPr>
          <w:rFonts w:ascii="Cambria" w:hAnsi="Cambria"/>
          <w:spacing w:val="-2"/>
          <w:sz w:val="20"/>
          <w:szCs w:val="20"/>
          <w:lang w:val="es-ES_tradnl"/>
        </w:rPr>
        <w:t xml:space="preserve"> </w:t>
      </w:r>
      <w:r w:rsidR="00B20D95" w:rsidRPr="00524E57">
        <w:rPr>
          <w:rFonts w:ascii="Cambria" w:hAnsi="Cambria"/>
          <w:spacing w:val="-2"/>
          <w:sz w:val="20"/>
          <w:szCs w:val="20"/>
          <w:lang w:val="es-ES_tradnl"/>
        </w:rPr>
        <w:t xml:space="preserve">a sus familiares. </w:t>
      </w:r>
    </w:p>
    <w:p w14:paraId="372ADEE4" w14:textId="02B59697" w:rsidR="005541DE" w:rsidRDefault="005541DE" w:rsidP="005541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pacing w:val="-2"/>
          <w:sz w:val="20"/>
          <w:szCs w:val="20"/>
          <w:lang w:val="es-ES_tradnl"/>
        </w:rPr>
      </w:pPr>
    </w:p>
    <w:p w14:paraId="0B5ED675" w14:textId="17990ADB" w:rsidR="005541DE" w:rsidRPr="002D1E99" w:rsidRDefault="005541DE" w:rsidP="003846AB">
      <w:pPr>
        <w:pStyle w:val="Heading4"/>
      </w:pPr>
      <w:r>
        <w:t xml:space="preserve">4.a Derecho a la vida y a la libertad de expresión de Santiago Leguizamón </w:t>
      </w:r>
    </w:p>
    <w:p w14:paraId="10FDB40B" w14:textId="77777777" w:rsidR="002D1E99" w:rsidRPr="002D1E99" w:rsidRDefault="002D1E99" w:rsidP="002D1E9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i/>
          <w:iCs/>
          <w:spacing w:val="-2"/>
          <w:sz w:val="20"/>
          <w:szCs w:val="20"/>
          <w:lang w:val="es-ES_tradnl"/>
        </w:rPr>
      </w:pPr>
    </w:p>
    <w:p w14:paraId="5567EE99" w14:textId="6378DBDE" w:rsidR="005E0448" w:rsidRPr="007523A4" w:rsidRDefault="002D1E99" w:rsidP="007523A4">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i/>
          <w:iCs/>
          <w:spacing w:val="-2"/>
          <w:sz w:val="20"/>
          <w:szCs w:val="20"/>
          <w:lang w:val="es-ES_tradnl"/>
        </w:rPr>
      </w:pPr>
      <w:r w:rsidRPr="007523A4">
        <w:rPr>
          <w:rFonts w:ascii="Cambria" w:hAnsi="Cambria"/>
          <w:sz w:val="20"/>
          <w:szCs w:val="20"/>
          <w:lang w:val="es-VE"/>
        </w:rPr>
        <w:t xml:space="preserve">Los peticionarios alegan que el periodista solicitó protección </w:t>
      </w:r>
      <w:r w:rsidR="00C75D29" w:rsidRPr="007523A4">
        <w:rPr>
          <w:rFonts w:ascii="Cambria" w:hAnsi="Cambria"/>
          <w:sz w:val="20"/>
          <w:szCs w:val="20"/>
          <w:lang w:val="es-VE"/>
        </w:rPr>
        <w:t>poli</w:t>
      </w:r>
      <w:r w:rsidRPr="007523A4">
        <w:rPr>
          <w:rFonts w:ascii="Cambria" w:hAnsi="Cambria"/>
          <w:sz w:val="20"/>
          <w:szCs w:val="20"/>
          <w:lang w:val="es-VE"/>
        </w:rPr>
        <w:t>cial en distintas oportunidades y que las denuncias sobre sus amenazas eran de notorio conocimiento, pero que el Estado no adoptó medidas de protección</w:t>
      </w:r>
      <w:r w:rsidR="00071B38">
        <w:rPr>
          <w:rFonts w:ascii="Cambria" w:hAnsi="Cambria"/>
          <w:sz w:val="20"/>
          <w:szCs w:val="20"/>
          <w:lang w:val="es-VE"/>
        </w:rPr>
        <w:t xml:space="preserve"> adecuadas</w:t>
      </w:r>
      <w:r w:rsidRPr="007523A4">
        <w:rPr>
          <w:rFonts w:ascii="Cambria" w:hAnsi="Cambria"/>
          <w:sz w:val="20"/>
          <w:szCs w:val="20"/>
          <w:lang w:val="es-VE"/>
        </w:rPr>
        <w:t xml:space="preserve">, por lo que es responsable por </w:t>
      </w:r>
      <w:r w:rsidR="00AD17AE" w:rsidRPr="007523A4">
        <w:rPr>
          <w:rFonts w:ascii="Cambria" w:hAnsi="Cambria"/>
          <w:sz w:val="20"/>
          <w:szCs w:val="20"/>
          <w:lang w:val="es-VE"/>
        </w:rPr>
        <w:t xml:space="preserve">la violación del derecho a la vida y a la libertad de expresión </w:t>
      </w:r>
      <w:r w:rsidR="001B141B" w:rsidRPr="007523A4">
        <w:rPr>
          <w:rFonts w:ascii="Cambria" w:hAnsi="Cambria"/>
          <w:sz w:val="20"/>
          <w:szCs w:val="20"/>
          <w:lang w:val="es-VE"/>
        </w:rPr>
        <w:t xml:space="preserve">de Santiago Leguizamón. Por su parte, el Estado señaló que no era responsable debido a que </w:t>
      </w:r>
      <w:r w:rsidR="0056376C" w:rsidRPr="007523A4">
        <w:rPr>
          <w:rFonts w:ascii="Cambria" w:hAnsi="Cambria"/>
          <w:sz w:val="20"/>
          <w:szCs w:val="20"/>
          <w:lang w:val="es-VE"/>
        </w:rPr>
        <w:t xml:space="preserve">la muerte del periodista no fue causada por agentes estatales. Como fue previamente señalado, </w:t>
      </w:r>
      <w:r w:rsidR="002F79CF" w:rsidRPr="007523A4">
        <w:rPr>
          <w:rFonts w:ascii="Cambria" w:hAnsi="Cambria"/>
          <w:spacing w:val="-2"/>
          <w:sz w:val="20"/>
          <w:szCs w:val="20"/>
          <w:lang w:val="es-ES_tradnl"/>
        </w:rPr>
        <w:t>conforme a</w:t>
      </w:r>
      <w:r w:rsidR="002F79CF" w:rsidRPr="007523A4">
        <w:rPr>
          <w:rFonts w:ascii="Cambria" w:hAnsi="Cambria"/>
          <w:i/>
          <w:iCs/>
          <w:spacing w:val="-2"/>
          <w:sz w:val="20"/>
          <w:szCs w:val="20"/>
          <w:lang w:val="es-ES_tradnl"/>
        </w:rPr>
        <w:t xml:space="preserve"> </w:t>
      </w:r>
      <w:r w:rsidR="00B20904" w:rsidRPr="007523A4">
        <w:rPr>
          <w:rFonts w:ascii="Cambria" w:hAnsi="Cambria"/>
          <w:sz w:val="20"/>
          <w:szCs w:val="20"/>
          <w:lang w:val="es-CO"/>
        </w:rPr>
        <w:t xml:space="preserve">la información derivada del expediente judicial, no existen suficientes indicios que le permitan a la CIDH concluir que las amenazas proferidas en contra del periodista Santiago Leguizamón, así como su posterior asesinato fueron causadas </w:t>
      </w:r>
      <w:r w:rsidR="00B20904" w:rsidRPr="007523A4">
        <w:rPr>
          <w:rFonts w:ascii="Cambria" w:hAnsi="Cambria"/>
          <w:sz w:val="20"/>
          <w:szCs w:val="20"/>
          <w:lang w:val="es-ES"/>
        </w:rPr>
        <w:t>por agentes del Estado. Por lo anterior, corresponde analizar la alegada violación del derecho a la vida bajo el deber de</w:t>
      </w:r>
      <w:r w:rsidR="005336CC">
        <w:rPr>
          <w:rFonts w:ascii="Cambria" w:hAnsi="Cambria"/>
          <w:sz w:val="20"/>
          <w:szCs w:val="20"/>
          <w:lang w:val="es-ES"/>
        </w:rPr>
        <w:t xml:space="preserve"> prevención y</w:t>
      </w:r>
      <w:r w:rsidR="00B20904" w:rsidRPr="007523A4">
        <w:rPr>
          <w:rFonts w:ascii="Cambria" w:hAnsi="Cambria"/>
          <w:sz w:val="20"/>
          <w:szCs w:val="20"/>
          <w:lang w:val="es-ES"/>
        </w:rPr>
        <w:t xml:space="preserve"> protección, como componente</w:t>
      </w:r>
      <w:r w:rsidR="00D00D45">
        <w:rPr>
          <w:rFonts w:ascii="Cambria" w:hAnsi="Cambria"/>
          <w:sz w:val="20"/>
          <w:szCs w:val="20"/>
          <w:lang w:val="es-ES"/>
        </w:rPr>
        <w:t>s</w:t>
      </w:r>
      <w:r w:rsidR="00B20904" w:rsidRPr="007523A4">
        <w:rPr>
          <w:rFonts w:ascii="Cambria" w:hAnsi="Cambria"/>
          <w:sz w:val="20"/>
          <w:szCs w:val="20"/>
          <w:lang w:val="es-ES"/>
        </w:rPr>
        <w:t xml:space="preserve"> de la obligación de garantía</w:t>
      </w:r>
      <w:r w:rsidR="00E60924" w:rsidRPr="007523A4">
        <w:rPr>
          <w:rFonts w:ascii="Cambria" w:hAnsi="Cambria"/>
          <w:sz w:val="20"/>
          <w:szCs w:val="20"/>
          <w:lang w:val="es-ES"/>
        </w:rPr>
        <w:t xml:space="preserve">. Lo anterior, </w:t>
      </w:r>
      <w:r w:rsidR="00E60924" w:rsidRPr="007523A4">
        <w:rPr>
          <w:rFonts w:ascii="Cambria" w:hAnsi="Cambria"/>
          <w:sz w:val="20"/>
          <w:szCs w:val="20"/>
          <w:lang w:val="es-ES"/>
        </w:rPr>
        <w:lastRenderedPageBreak/>
        <w:t>sin perjuicio del deber del Estado de investigar</w:t>
      </w:r>
      <w:r w:rsidR="00B818F9" w:rsidRPr="007523A4">
        <w:rPr>
          <w:rFonts w:ascii="Cambria" w:hAnsi="Cambria"/>
          <w:sz w:val="20"/>
          <w:szCs w:val="20"/>
          <w:lang w:val="es-ES"/>
        </w:rPr>
        <w:t>, juzgar y sancionar a todos los autores del crimen, lo cual podría incluir a agentes estatales.</w:t>
      </w:r>
    </w:p>
    <w:p w14:paraId="0F39570D" w14:textId="77777777" w:rsidR="005E0448" w:rsidRPr="007523A4" w:rsidRDefault="005E0448" w:rsidP="007523A4">
      <w:pPr>
        <w:pStyle w:val="ListParagraph"/>
        <w:spacing w:before="0" w:after="0"/>
        <w:rPr>
          <w:sz w:val="20"/>
          <w:szCs w:val="20"/>
          <w:lang w:val="es-MX"/>
        </w:rPr>
      </w:pPr>
    </w:p>
    <w:p w14:paraId="3DD1B6F9" w14:textId="614C8086" w:rsidR="005E0448" w:rsidRPr="007523A4" w:rsidRDefault="005E0448" w:rsidP="007523A4">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i/>
          <w:iCs/>
          <w:spacing w:val="-2"/>
          <w:sz w:val="20"/>
          <w:szCs w:val="20"/>
          <w:lang w:val="es-ES_tradnl"/>
        </w:rPr>
      </w:pPr>
      <w:r w:rsidRPr="007523A4">
        <w:rPr>
          <w:rFonts w:ascii="Cambria" w:hAnsi="Cambria"/>
          <w:sz w:val="20"/>
          <w:szCs w:val="20"/>
          <w:lang w:val="es-MX"/>
        </w:rPr>
        <w:t xml:space="preserve">A continuación, la Comisión analizará si el Estado cumplió con su deber de proteger los derechos a la vida </w:t>
      </w:r>
      <w:r w:rsidR="0013541A" w:rsidRPr="007523A4">
        <w:rPr>
          <w:rFonts w:ascii="Cambria" w:hAnsi="Cambria"/>
          <w:sz w:val="20"/>
          <w:szCs w:val="20"/>
          <w:lang w:val="es-MX"/>
        </w:rPr>
        <w:t>y a la libertad de expresión de Santiago Leguizamón</w:t>
      </w:r>
      <w:r w:rsidR="00D00D45">
        <w:rPr>
          <w:rFonts w:ascii="Cambria" w:hAnsi="Cambria"/>
          <w:sz w:val="20"/>
          <w:szCs w:val="20"/>
          <w:lang w:val="es-MX"/>
        </w:rPr>
        <w:t xml:space="preserve"> y con su deber de prevenir violaciones a tales derechos</w:t>
      </w:r>
      <w:r w:rsidR="0013541A" w:rsidRPr="007523A4">
        <w:rPr>
          <w:rFonts w:ascii="Cambria" w:hAnsi="Cambria"/>
          <w:sz w:val="20"/>
          <w:szCs w:val="20"/>
          <w:lang w:val="es-MX"/>
        </w:rPr>
        <w:t xml:space="preserve">, </w:t>
      </w:r>
      <w:r w:rsidRPr="007523A4">
        <w:rPr>
          <w:rFonts w:ascii="Cambria" w:hAnsi="Cambria"/>
          <w:sz w:val="20"/>
          <w:szCs w:val="20"/>
          <w:lang w:val="es-MX"/>
        </w:rPr>
        <w:t xml:space="preserve">de conformidad con los estándares antes señalados. </w:t>
      </w:r>
    </w:p>
    <w:p w14:paraId="7D788E83" w14:textId="77777777" w:rsidR="000F1A1A" w:rsidRPr="007523A4" w:rsidRDefault="000F1A1A" w:rsidP="007523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pacing w:val="-2"/>
          <w:sz w:val="20"/>
          <w:szCs w:val="20"/>
          <w:lang w:val="es-ES"/>
        </w:rPr>
      </w:pPr>
    </w:p>
    <w:p w14:paraId="145139DB" w14:textId="2E97CF35" w:rsidR="00C57FB3" w:rsidRPr="007523A4" w:rsidRDefault="00677462" w:rsidP="007523A4">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i/>
          <w:iCs/>
          <w:spacing w:val="-2"/>
          <w:sz w:val="20"/>
          <w:szCs w:val="20"/>
          <w:lang w:val="es-ES_tradnl"/>
        </w:rPr>
      </w:pPr>
      <w:r w:rsidRPr="007523A4">
        <w:rPr>
          <w:rFonts w:ascii="Cambria" w:hAnsi="Cambria"/>
          <w:sz w:val="20"/>
          <w:szCs w:val="20"/>
          <w:lang w:val="es-ES"/>
        </w:rPr>
        <w:t>L</w:t>
      </w:r>
      <w:r w:rsidR="00B33695" w:rsidRPr="007523A4">
        <w:rPr>
          <w:rFonts w:ascii="Cambria" w:hAnsi="Cambria"/>
          <w:sz w:val="20"/>
          <w:szCs w:val="20"/>
          <w:lang w:val="es-VE"/>
        </w:rPr>
        <w:t xml:space="preserve">a </w:t>
      </w:r>
      <w:r w:rsidR="004740D8" w:rsidRPr="007523A4">
        <w:rPr>
          <w:rFonts w:ascii="Cambria" w:hAnsi="Cambria"/>
          <w:sz w:val="20"/>
          <w:szCs w:val="20"/>
          <w:lang w:val="es-VE"/>
        </w:rPr>
        <w:t xml:space="preserve">Comisión considera que </w:t>
      </w:r>
      <w:r w:rsidR="00293B99" w:rsidRPr="007523A4">
        <w:rPr>
          <w:rFonts w:ascii="Cambria" w:hAnsi="Cambria"/>
          <w:sz w:val="20"/>
          <w:szCs w:val="20"/>
          <w:lang w:val="es-VE"/>
        </w:rPr>
        <w:t xml:space="preserve">existen elementos de convicción suficientes </w:t>
      </w:r>
      <w:r w:rsidR="00F325D7" w:rsidRPr="007523A4">
        <w:rPr>
          <w:rFonts w:ascii="Cambria" w:hAnsi="Cambria"/>
          <w:sz w:val="20"/>
          <w:szCs w:val="20"/>
          <w:lang w:val="es-VE"/>
        </w:rPr>
        <w:t xml:space="preserve">y consistentes que permiten concluir que el asesinato de Santiago Leguizamón </w:t>
      </w:r>
      <w:r w:rsidR="00C73408" w:rsidRPr="007523A4">
        <w:rPr>
          <w:rFonts w:ascii="Cambria" w:hAnsi="Cambria"/>
          <w:sz w:val="20"/>
          <w:szCs w:val="20"/>
          <w:lang w:val="es-VE"/>
        </w:rPr>
        <w:t xml:space="preserve">estuvo </w:t>
      </w:r>
      <w:r w:rsidR="00E03590" w:rsidRPr="007523A4">
        <w:rPr>
          <w:rFonts w:ascii="Cambria" w:hAnsi="Cambria"/>
          <w:sz w:val="20"/>
          <w:szCs w:val="20"/>
          <w:lang w:val="es-VE"/>
        </w:rPr>
        <w:t>vinculado</w:t>
      </w:r>
      <w:r w:rsidR="00C73408" w:rsidRPr="007523A4">
        <w:rPr>
          <w:rFonts w:ascii="Cambria" w:hAnsi="Cambria"/>
          <w:sz w:val="20"/>
          <w:szCs w:val="20"/>
          <w:lang w:val="es-VE"/>
        </w:rPr>
        <w:t xml:space="preserve"> a su labor periodística</w:t>
      </w:r>
      <w:r w:rsidR="000602B3">
        <w:rPr>
          <w:rFonts w:ascii="Cambria" w:hAnsi="Cambria"/>
          <w:sz w:val="20"/>
          <w:szCs w:val="20"/>
          <w:lang w:val="es-VE"/>
        </w:rPr>
        <w:t>, en particular po</w:t>
      </w:r>
      <w:r w:rsidR="00E74957">
        <w:rPr>
          <w:rFonts w:ascii="Cambria" w:hAnsi="Cambria"/>
          <w:sz w:val="20"/>
          <w:szCs w:val="20"/>
          <w:lang w:val="es-VE"/>
        </w:rPr>
        <w:t>rque</w:t>
      </w:r>
      <w:r w:rsidR="000602B3">
        <w:rPr>
          <w:rFonts w:ascii="Cambria" w:hAnsi="Cambria"/>
          <w:sz w:val="20"/>
          <w:szCs w:val="20"/>
          <w:lang w:val="es-VE"/>
        </w:rPr>
        <w:t xml:space="preserve"> investigaba temas </w:t>
      </w:r>
      <w:r w:rsidR="00F028E0">
        <w:rPr>
          <w:rFonts w:ascii="Cambria" w:hAnsi="Cambria"/>
          <w:sz w:val="20"/>
          <w:szCs w:val="20"/>
          <w:lang w:val="es-VE"/>
        </w:rPr>
        <w:t>de interés público</w:t>
      </w:r>
      <w:r w:rsidR="00E74957">
        <w:rPr>
          <w:rFonts w:ascii="Cambria" w:hAnsi="Cambria"/>
          <w:sz w:val="20"/>
          <w:szCs w:val="20"/>
          <w:lang w:val="es-VE"/>
        </w:rPr>
        <w:t xml:space="preserve"> en donde estarían involucrados</w:t>
      </w:r>
      <w:r w:rsidR="00685FEF">
        <w:rPr>
          <w:rFonts w:ascii="Cambria" w:hAnsi="Cambria"/>
          <w:sz w:val="20"/>
          <w:szCs w:val="20"/>
          <w:lang w:val="es-VE"/>
        </w:rPr>
        <w:t xml:space="preserve"> importantes grupos de poder.</w:t>
      </w:r>
      <w:r w:rsidR="00E74957">
        <w:rPr>
          <w:rFonts w:ascii="Cambria" w:hAnsi="Cambria"/>
          <w:sz w:val="20"/>
          <w:szCs w:val="20"/>
          <w:lang w:val="es-VE"/>
        </w:rPr>
        <w:t xml:space="preserve"> </w:t>
      </w:r>
      <w:r w:rsidR="00A272E7" w:rsidRPr="007523A4">
        <w:rPr>
          <w:rFonts w:ascii="Cambria" w:hAnsi="Cambria"/>
          <w:sz w:val="20"/>
          <w:szCs w:val="20"/>
          <w:lang w:val="es-VE"/>
        </w:rPr>
        <w:t xml:space="preserve">Asimismo, diversas declaraciones rendidas durante las investigaciones </w:t>
      </w:r>
      <w:r w:rsidR="00CD5F4E" w:rsidRPr="007523A4">
        <w:rPr>
          <w:rFonts w:ascii="Cambria" w:hAnsi="Cambria"/>
          <w:sz w:val="20"/>
          <w:szCs w:val="20"/>
          <w:lang w:val="es-VE"/>
        </w:rPr>
        <w:t xml:space="preserve">y proceso penal por su </w:t>
      </w:r>
      <w:r w:rsidR="00D00D45">
        <w:rPr>
          <w:rFonts w:ascii="Cambria" w:hAnsi="Cambria"/>
          <w:sz w:val="20"/>
          <w:szCs w:val="20"/>
          <w:lang w:val="es-VE"/>
        </w:rPr>
        <w:t>muerte</w:t>
      </w:r>
      <w:r w:rsidR="00CD5F4E" w:rsidRPr="007523A4">
        <w:rPr>
          <w:rFonts w:ascii="Cambria" w:hAnsi="Cambria"/>
          <w:sz w:val="20"/>
          <w:szCs w:val="20"/>
          <w:lang w:val="es-VE"/>
        </w:rPr>
        <w:t xml:space="preserve"> vinculan el asesinato </w:t>
      </w:r>
      <w:r w:rsidR="00351A04" w:rsidRPr="007523A4">
        <w:rPr>
          <w:rFonts w:ascii="Cambria" w:hAnsi="Cambria"/>
          <w:sz w:val="20"/>
          <w:szCs w:val="20"/>
          <w:lang w:val="es-VE"/>
        </w:rPr>
        <w:t xml:space="preserve">con </w:t>
      </w:r>
      <w:r w:rsidR="00AE552E" w:rsidRPr="007523A4">
        <w:rPr>
          <w:rFonts w:ascii="Cambria" w:hAnsi="Cambria"/>
          <w:sz w:val="20"/>
          <w:szCs w:val="20"/>
          <w:lang w:val="es-VE"/>
        </w:rPr>
        <w:t>la</w:t>
      </w:r>
      <w:r w:rsidR="00351A04" w:rsidRPr="007523A4">
        <w:rPr>
          <w:rFonts w:ascii="Cambria" w:hAnsi="Cambria"/>
          <w:sz w:val="20"/>
          <w:szCs w:val="20"/>
          <w:lang w:val="es-VE"/>
        </w:rPr>
        <w:t xml:space="preserve"> labor crítica del periodista en la zona</w:t>
      </w:r>
      <w:r w:rsidR="00DF0BB5" w:rsidRPr="007523A4">
        <w:rPr>
          <w:rFonts w:ascii="Cambria" w:hAnsi="Cambria"/>
          <w:sz w:val="20"/>
          <w:szCs w:val="20"/>
          <w:lang w:val="es-VE"/>
        </w:rPr>
        <w:t>. De igual manera, de la prueba aportada</w:t>
      </w:r>
      <w:r w:rsidR="00D00D45">
        <w:rPr>
          <w:rFonts w:ascii="Cambria" w:hAnsi="Cambria"/>
          <w:sz w:val="20"/>
          <w:szCs w:val="20"/>
          <w:lang w:val="es-VE"/>
        </w:rPr>
        <w:t>,</w:t>
      </w:r>
      <w:r w:rsidR="00DF0BB5" w:rsidRPr="007523A4">
        <w:rPr>
          <w:rFonts w:ascii="Cambria" w:hAnsi="Cambria"/>
          <w:sz w:val="20"/>
          <w:szCs w:val="20"/>
          <w:lang w:val="es-VE"/>
        </w:rPr>
        <w:t xml:space="preserve"> result</w:t>
      </w:r>
      <w:r w:rsidR="00F24167" w:rsidRPr="007523A4">
        <w:rPr>
          <w:rFonts w:ascii="Cambria" w:hAnsi="Cambria"/>
          <w:sz w:val="20"/>
          <w:szCs w:val="20"/>
          <w:lang w:val="es-VE"/>
        </w:rPr>
        <w:t>a claro que Santiago recibió una serie de amenazas, incluso de muerte</w:t>
      </w:r>
      <w:r w:rsidR="005336CC">
        <w:rPr>
          <w:rFonts w:ascii="Cambria" w:hAnsi="Cambria"/>
          <w:sz w:val="20"/>
          <w:szCs w:val="20"/>
          <w:lang w:val="es-VE"/>
        </w:rPr>
        <w:t>,</w:t>
      </w:r>
      <w:r w:rsidR="00F24167" w:rsidRPr="007523A4">
        <w:rPr>
          <w:rFonts w:ascii="Cambria" w:hAnsi="Cambria"/>
          <w:sz w:val="20"/>
          <w:szCs w:val="20"/>
          <w:lang w:val="es-VE"/>
        </w:rPr>
        <w:t xml:space="preserve"> como respuesta a los artículos que publicaba</w:t>
      </w:r>
      <w:r w:rsidR="00D01D2D" w:rsidRPr="007523A4">
        <w:rPr>
          <w:rFonts w:ascii="Cambria" w:hAnsi="Cambria"/>
          <w:sz w:val="20"/>
          <w:szCs w:val="20"/>
          <w:lang w:val="es-VE"/>
        </w:rPr>
        <w:t xml:space="preserve">, a pesar de que no se conoce con certeza si estas provinieron de agentes estatales o de terceros. </w:t>
      </w:r>
      <w:r w:rsidR="00C57FB3" w:rsidRPr="007523A4">
        <w:rPr>
          <w:rFonts w:ascii="Cambria" w:hAnsi="Cambria"/>
          <w:sz w:val="20"/>
          <w:szCs w:val="20"/>
          <w:lang w:val="es-VE"/>
        </w:rPr>
        <w:t xml:space="preserve"> </w:t>
      </w:r>
    </w:p>
    <w:p w14:paraId="0B17B976" w14:textId="77777777" w:rsidR="00FB3949" w:rsidRPr="007523A4" w:rsidRDefault="00FB3949" w:rsidP="007523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pacing w:val="-2"/>
          <w:sz w:val="20"/>
          <w:szCs w:val="20"/>
          <w:lang w:val="es-ES_tradnl"/>
        </w:rPr>
      </w:pPr>
    </w:p>
    <w:p w14:paraId="6FD1DCBE" w14:textId="2FF8F30F" w:rsidR="00A321F6" w:rsidRPr="007523A4" w:rsidRDefault="00815111" w:rsidP="007523A4">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pacing w:val="-2"/>
          <w:sz w:val="20"/>
          <w:szCs w:val="20"/>
          <w:lang w:val="es-ES_tradnl"/>
        </w:rPr>
      </w:pPr>
      <w:r w:rsidRPr="007523A4">
        <w:rPr>
          <w:rFonts w:ascii="Cambria" w:hAnsi="Cambria"/>
          <w:spacing w:val="-2"/>
          <w:sz w:val="20"/>
          <w:szCs w:val="20"/>
          <w:lang w:val="es-ES_tradnl"/>
        </w:rPr>
        <w:t xml:space="preserve">Para la Comisión resulta probado que </w:t>
      </w:r>
      <w:r w:rsidR="00A21BA9" w:rsidRPr="007523A4">
        <w:rPr>
          <w:rFonts w:ascii="Cambria" w:hAnsi="Cambria"/>
          <w:sz w:val="20"/>
          <w:szCs w:val="20"/>
          <w:lang w:val="es-VE"/>
        </w:rPr>
        <w:t>Santiago</w:t>
      </w:r>
      <w:r w:rsidR="00E944CE" w:rsidRPr="007523A4">
        <w:rPr>
          <w:rFonts w:ascii="Cambria" w:hAnsi="Cambria"/>
          <w:sz w:val="20"/>
          <w:szCs w:val="20"/>
          <w:lang w:val="es-VE"/>
        </w:rPr>
        <w:t xml:space="preserve"> exponía</w:t>
      </w:r>
      <w:r w:rsidR="00D00D45">
        <w:rPr>
          <w:rFonts w:ascii="Cambria" w:hAnsi="Cambria"/>
          <w:sz w:val="20"/>
          <w:szCs w:val="20"/>
          <w:lang w:val="es-VE"/>
        </w:rPr>
        <w:t xml:space="preserve"> </w:t>
      </w:r>
      <w:r w:rsidR="00E944CE" w:rsidRPr="007523A4">
        <w:rPr>
          <w:rFonts w:ascii="Cambria" w:hAnsi="Cambria"/>
          <w:sz w:val="20"/>
          <w:szCs w:val="20"/>
          <w:lang w:val="es-VE"/>
        </w:rPr>
        <w:t>de forma pública</w:t>
      </w:r>
      <w:r w:rsidR="00C83ED7" w:rsidRPr="007523A4">
        <w:rPr>
          <w:rFonts w:ascii="Cambria" w:hAnsi="Cambria"/>
          <w:sz w:val="20"/>
          <w:szCs w:val="20"/>
          <w:lang w:val="es-VE"/>
        </w:rPr>
        <w:t>, hechos y críticas respecto de</w:t>
      </w:r>
      <w:r w:rsidR="00D73429" w:rsidRPr="007523A4">
        <w:rPr>
          <w:rFonts w:ascii="Cambria" w:hAnsi="Cambria"/>
          <w:sz w:val="20"/>
          <w:szCs w:val="20"/>
          <w:lang w:val="es-VE"/>
        </w:rPr>
        <w:t xml:space="preserve"> </w:t>
      </w:r>
      <w:r w:rsidR="00A21BA9" w:rsidRPr="007523A4">
        <w:rPr>
          <w:rFonts w:ascii="Cambria" w:hAnsi="Cambria"/>
          <w:sz w:val="20"/>
          <w:szCs w:val="20"/>
          <w:lang w:val="es-ES"/>
        </w:rPr>
        <w:t>la actuación de las autoridades y ciertos empresarios de su comunidad, en relación con el medio ambiente, contrabando de madera, la situación de los pueblos indígenas y sus tierras, la corrupción y los problemas de delincuencia y violencia en</w:t>
      </w:r>
      <w:r w:rsidR="00D00D45" w:rsidRPr="007523A4">
        <w:rPr>
          <w:rFonts w:ascii="Cambria" w:hAnsi="Cambria"/>
          <w:sz w:val="20"/>
          <w:szCs w:val="20"/>
          <w:lang w:val="es-VE"/>
        </w:rPr>
        <w:t xml:space="preserve"> la ciudad de Pedro Juan Caballero</w:t>
      </w:r>
      <w:r w:rsidR="00D00D45">
        <w:rPr>
          <w:rFonts w:ascii="Cambria" w:hAnsi="Cambria"/>
          <w:sz w:val="20"/>
          <w:szCs w:val="20"/>
          <w:lang w:val="es-VE"/>
        </w:rPr>
        <w:t>,</w:t>
      </w:r>
      <w:r w:rsidR="00A21BA9" w:rsidRPr="007523A4">
        <w:rPr>
          <w:rFonts w:ascii="Cambria" w:hAnsi="Cambria"/>
          <w:sz w:val="20"/>
          <w:szCs w:val="20"/>
          <w:lang w:val="es-ES"/>
        </w:rPr>
        <w:t xml:space="preserve"> zona fronteriza</w:t>
      </w:r>
      <w:r w:rsidR="00D00D45">
        <w:rPr>
          <w:rFonts w:ascii="Cambria" w:hAnsi="Cambria"/>
          <w:sz w:val="20"/>
          <w:szCs w:val="20"/>
          <w:lang w:val="es-ES"/>
        </w:rPr>
        <w:t xml:space="preserve"> con Brasil.</w:t>
      </w:r>
      <w:r w:rsidR="002D1AD2" w:rsidRPr="007523A4">
        <w:rPr>
          <w:rFonts w:ascii="Cambria" w:hAnsi="Cambria"/>
          <w:sz w:val="20"/>
          <w:szCs w:val="20"/>
          <w:lang w:val="es-VE"/>
        </w:rPr>
        <w:t xml:space="preserve"> </w:t>
      </w:r>
      <w:r w:rsidR="00F54FC9" w:rsidRPr="007523A4">
        <w:rPr>
          <w:rFonts w:ascii="Cambria" w:hAnsi="Cambria"/>
          <w:sz w:val="20"/>
          <w:szCs w:val="20"/>
          <w:lang w:val="es-VE"/>
        </w:rPr>
        <w:t>Es decir que el periodista investigó temas de alto interés público</w:t>
      </w:r>
      <w:r w:rsidR="00A568C5" w:rsidRPr="007523A4">
        <w:rPr>
          <w:rFonts w:ascii="Cambria" w:hAnsi="Cambria"/>
          <w:sz w:val="20"/>
          <w:szCs w:val="20"/>
          <w:lang w:val="es-VE"/>
        </w:rPr>
        <w:t>, y expuso,</w:t>
      </w:r>
      <w:r w:rsidR="00F60BDC" w:rsidRPr="007523A4">
        <w:rPr>
          <w:rFonts w:ascii="Cambria" w:hAnsi="Cambria"/>
          <w:sz w:val="20"/>
          <w:szCs w:val="20"/>
          <w:lang w:val="es-VE"/>
        </w:rPr>
        <w:t xml:space="preserve"> de manera directa y reiterada</w:t>
      </w:r>
      <w:r w:rsidR="00A568C5" w:rsidRPr="007523A4">
        <w:rPr>
          <w:rFonts w:ascii="Cambria" w:hAnsi="Cambria"/>
          <w:sz w:val="20"/>
          <w:szCs w:val="20"/>
          <w:lang w:val="es-VE"/>
        </w:rPr>
        <w:t xml:space="preserve">, </w:t>
      </w:r>
      <w:r w:rsidR="00C53911" w:rsidRPr="007523A4">
        <w:rPr>
          <w:rFonts w:ascii="Cambria" w:hAnsi="Cambria"/>
          <w:sz w:val="20"/>
          <w:szCs w:val="20"/>
          <w:lang w:val="es-VE"/>
        </w:rPr>
        <w:t xml:space="preserve">a las autoridades y empresarios poderosos de su localidad. Esto le generó una serie de amenazas, </w:t>
      </w:r>
      <w:r w:rsidR="0097028A" w:rsidRPr="007523A4">
        <w:rPr>
          <w:rFonts w:ascii="Cambria" w:hAnsi="Cambria"/>
          <w:sz w:val="20"/>
          <w:szCs w:val="20"/>
          <w:lang w:val="es-VE"/>
        </w:rPr>
        <w:t>que luego se concretaron en su brutal asesinato</w:t>
      </w:r>
      <w:r w:rsidR="00D612DF" w:rsidRPr="007523A4">
        <w:rPr>
          <w:rFonts w:ascii="Cambria" w:hAnsi="Cambria"/>
          <w:sz w:val="20"/>
          <w:szCs w:val="20"/>
          <w:lang w:val="es-VE"/>
        </w:rPr>
        <w:t xml:space="preserve">, causado por 21 heridas de bala, que incluso </w:t>
      </w:r>
      <w:r w:rsidR="00D00D45">
        <w:rPr>
          <w:rFonts w:ascii="Cambria" w:hAnsi="Cambria"/>
          <w:sz w:val="20"/>
          <w:szCs w:val="20"/>
          <w:lang w:val="es-VE"/>
        </w:rPr>
        <w:t xml:space="preserve">le </w:t>
      </w:r>
      <w:r w:rsidR="00D612DF" w:rsidRPr="007523A4">
        <w:rPr>
          <w:rFonts w:ascii="Cambria" w:hAnsi="Cambria"/>
          <w:sz w:val="20"/>
          <w:szCs w:val="20"/>
          <w:lang w:val="es-VE"/>
        </w:rPr>
        <w:t xml:space="preserve">causaron la </w:t>
      </w:r>
      <w:r w:rsidR="004E525A" w:rsidRPr="007523A4">
        <w:rPr>
          <w:rFonts w:ascii="Cambria" w:hAnsi="Cambria"/>
          <w:sz w:val="20"/>
          <w:szCs w:val="20"/>
          <w:lang w:val="es-VE"/>
        </w:rPr>
        <w:t>pérdida del globo ocula</w:t>
      </w:r>
      <w:r w:rsidR="00EB7E60" w:rsidRPr="007523A4">
        <w:rPr>
          <w:rFonts w:ascii="Cambria" w:hAnsi="Cambria"/>
          <w:sz w:val="20"/>
          <w:szCs w:val="20"/>
          <w:lang w:val="es-VE"/>
        </w:rPr>
        <w:t>r izquierdo</w:t>
      </w:r>
      <w:r w:rsidR="00EC56D7" w:rsidRPr="007523A4">
        <w:rPr>
          <w:rFonts w:ascii="Cambria" w:hAnsi="Cambria"/>
          <w:sz w:val="20"/>
          <w:szCs w:val="20"/>
          <w:lang w:val="es-VE"/>
        </w:rPr>
        <w:t>.</w:t>
      </w:r>
      <w:r w:rsidR="00030F34" w:rsidRPr="007523A4">
        <w:rPr>
          <w:rFonts w:ascii="Cambria" w:hAnsi="Cambria"/>
          <w:sz w:val="20"/>
          <w:szCs w:val="20"/>
          <w:lang w:val="es-VE"/>
        </w:rPr>
        <w:t xml:space="preserve"> Además,</w:t>
      </w:r>
      <w:r w:rsidR="00EC56D7" w:rsidRPr="007523A4">
        <w:rPr>
          <w:rFonts w:ascii="Cambria" w:hAnsi="Cambria"/>
          <w:sz w:val="20"/>
          <w:szCs w:val="20"/>
          <w:lang w:val="es-VE"/>
        </w:rPr>
        <w:t xml:space="preserve"> </w:t>
      </w:r>
      <w:r w:rsidR="00030F34" w:rsidRPr="007523A4">
        <w:rPr>
          <w:rFonts w:ascii="Cambria" w:hAnsi="Cambria"/>
          <w:sz w:val="20"/>
          <w:szCs w:val="20"/>
          <w:lang w:val="es-VE"/>
        </w:rPr>
        <w:t>l</w:t>
      </w:r>
      <w:r w:rsidR="00EC56D7" w:rsidRPr="007523A4">
        <w:rPr>
          <w:rFonts w:ascii="Cambria" w:hAnsi="Cambria"/>
          <w:sz w:val="20"/>
          <w:szCs w:val="20"/>
          <w:lang w:val="es-VE"/>
        </w:rPr>
        <w:t xml:space="preserve">a Comisión destaca </w:t>
      </w:r>
      <w:r w:rsidR="00030F34" w:rsidRPr="007523A4">
        <w:rPr>
          <w:rFonts w:ascii="Cambria" w:hAnsi="Cambria"/>
          <w:sz w:val="20"/>
          <w:szCs w:val="20"/>
          <w:lang w:val="es-VE"/>
        </w:rPr>
        <w:t>que</w:t>
      </w:r>
      <w:r w:rsidR="00F22DF0" w:rsidRPr="007523A4">
        <w:rPr>
          <w:rFonts w:ascii="Cambria" w:hAnsi="Cambria"/>
          <w:sz w:val="20"/>
          <w:szCs w:val="20"/>
          <w:lang w:val="es-VE"/>
        </w:rPr>
        <w:t xml:space="preserve"> Pedro Juan Caballero </w:t>
      </w:r>
      <w:r w:rsidR="00CC6A86" w:rsidRPr="007523A4">
        <w:rPr>
          <w:rFonts w:ascii="Cambria" w:hAnsi="Cambria"/>
          <w:sz w:val="20"/>
          <w:szCs w:val="20"/>
          <w:lang w:val="es-VE"/>
        </w:rPr>
        <w:t>era una zona muy violenta, en donde</w:t>
      </w:r>
      <w:r w:rsidR="00E77CCC">
        <w:rPr>
          <w:rFonts w:ascii="Cambria" w:hAnsi="Cambria"/>
          <w:sz w:val="20"/>
          <w:szCs w:val="20"/>
          <w:lang w:val="es-VE"/>
        </w:rPr>
        <w:t xml:space="preserve">, </w:t>
      </w:r>
      <w:r w:rsidR="00CC6A86" w:rsidRPr="007523A4">
        <w:rPr>
          <w:rFonts w:ascii="Cambria" w:hAnsi="Cambria"/>
          <w:sz w:val="20"/>
          <w:szCs w:val="20"/>
          <w:lang w:val="es-VE"/>
        </w:rPr>
        <w:t xml:space="preserve">según la prensa de la época, se sabía </w:t>
      </w:r>
      <w:r w:rsidR="00233028" w:rsidRPr="007523A4">
        <w:rPr>
          <w:rFonts w:ascii="Cambria" w:hAnsi="Cambria"/>
          <w:sz w:val="20"/>
          <w:szCs w:val="20"/>
          <w:lang w:val="es-VE"/>
        </w:rPr>
        <w:t xml:space="preserve">“quiénes eran los mafiosos </w:t>
      </w:r>
      <w:r w:rsidR="00F075CD" w:rsidRPr="007523A4">
        <w:rPr>
          <w:rFonts w:ascii="Cambria" w:hAnsi="Cambria"/>
          <w:sz w:val="20"/>
          <w:szCs w:val="20"/>
          <w:lang w:val="es-VE"/>
        </w:rPr>
        <w:t>en la zona”</w:t>
      </w:r>
      <w:r w:rsidR="00E26DFD" w:rsidRPr="007523A4">
        <w:rPr>
          <w:rFonts w:ascii="Cambria" w:hAnsi="Cambria"/>
          <w:sz w:val="20"/>
          <w:szCs w:val="20"/>
          <w:lang w:val="es-VE"/>
        </w:rPr>
        <w:t xml:space="preserve"> y “quiénes eran los corruptos”</w:t>
      </w:r>
      <w:r w:rsidR="00F075CD" w:rsidRPr="007523A4">
        <w:rPr>
          <w:rStyle w:val="FootnoteReference"/>
          <w:rFonts w:ascii="Cambria" w:hAnsi="Cambria"/>
          <w:sz w:val="20"/>
          <w:szCs w:val="20"/>
          <w:lang w:val="es-VE"/>
        </w:rPr>
        <w:footnoteReference w:id="132"/>
      </w:r>
      <w:r w:rsidR="00F075CD" w:rsidRPr="007523A4">
        <w:rPr>
          <w:rFonts w:ascii="Cambria" w:hAnsi="Cambria"/>
          <w:sz w:val="20"/>
          <w:szCs w:val="20"/>
          <w:lang w:val="es-VE"/>
        </w:rPr>
        <w:t>.</w:t>
      </w:r>
      <w:r w:rsidR="00657ACB" w:rsidRPr="007523A4">
        <w:rPr>
          <w:rFonts w:ascii="Cambria" w:hAnsi="Cambria"/>
          <w:sz w:val="20"/>
          <w:szCs w:val="20"/>
          <w:lang w:val="es-VE"/>
        </w:rPr>
        <w:t xml:space="preserve"> Lo anterior comprueba la existencia de un riesgo </w:t>
      </w:r>
      <w:r w:rsidR="006A4798" w:rsidRPr="007523A4">
        <w:rPr>
          <w:rFonts w:ascii="Cambria" w:hAnsi="Cambria"/>
          <w:sz w:val="20"/>
          <w:szCs w:val="20"/>
          <w:lang w:val="es-VE"/>
        </w:rPr>
        <w:t>especial con motivo de su labor y el ejercicio de su derecho a la libertad de expresión</w:t>
      </w:r>
      <w:r w:rsidR="00657ACB" w:rsidRPr="007523A4">
        <w:rPr>
          <w:rFonts w:ascii="Cambria" w:hAnsi="Cambria"/>
          <w:sz w:val="20"/>
          <w:szCs w:val="20"/>
          <w:lang w:val="es-VE"/>
        </w:rPr>
        <w:t>.</w:t>
      </w:r>
    </w:p>
    <w:p w14:paraId="65F6264D" w14:textId="77777777" w:rsidR="007523A4" w:rsidRPr="007523A4" w:rsidRDefault="007523A4" w:rsidP="007523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pacing w:val="-2"/>
          <w:sz w:val="20"/>
          <w:szCs w:val="20"/>
          <w:lang w:val="es-ES_tradnl"/>
        </w:rPr>
      </w:pPr>
    </w:p>
    <w:p w14:paraId="0FBEF407" w14:textId="75F36FD2" w:rsidR="00884512" w:rsidRPr="002812FE" w:rsidRDefault="00887642" w:rsidP="007523A4">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pacing w:val="-2"/>
          <w:sz w:val="20"/>
          <w:szCs w:val="20"/>
          <w:lang w:val="es-ES_tradnl"/>
        </w:rPr>
      </w:pPr>
      <w:r w:rsidRPr="007523A4">
        <w:rPr>
          <w:rFonts w:ascii="Cambria" w:hAnsi="Cambria"/>
          <w:spacing w:val="-2"/>
          <w:sz w:val="20"/>
          <w:szCs w:val="20"/>
          <w:lang w:val="es-ES_tradnl"/>
        </w:rPr>
        <w:t xml:space="preserve">Asimismo, </w:t>
      </w:r>
      <w:r w:rsidR="00A1471C" w:rsidRPr="007523A4">
        <w:rPr>
          <w:rFonts w:ascii="Cambria" w:hAnsi="Cambria"/>
          <w:spacing w:val="-2"/>
          <w:sz w:val="20"/>
          <w:szCs w:val="20"/>
          <w:lang w:val="es-ES_tradnl"/>
        </w:rPr>
        <w:t xml:space="preserve">en cuanto </w:t>
      </w:r>
      <w:r w:rsidR="00A1471C" w:rsidRPr="007523A4">
        <w:rPr>
          <w:rFonts w:ascii="Cambria" w:hAnsi="Cambria"/>
          <w:sz w:val="20"/>
          <w:szCs w:val="20"/>
          <w:lang w:val="es-US"/>
        </w:rPr>
        <w:t>al conocimiento de la situación de riesgo, la Comisión destaca que</w:t>
      </w:r>
      <w:r w:rsidR="00D72D44" w:rsidRPr="007523A4">
        <w:rPr>
          <w:rFonts w:ascii="Cambria" w:hAnsi="Cambria"/>
          <w:sz w:val="20"/>
          <w:szCs w:val="20"/>
          <w:lang w:val="es-US"/>
        </w:rPr>
        <w:t xml:space="preserve"> dicho requisito se cumple cuando la víctima pone en conocimiento</w:t>
      </w:r>
      <w:r w:rsidR="005330F0" w:rsidRPr="007523A4">
        <w:rPr>
          <w:rFonts w:ascii="Cambria" w:hAnsi="Cambria"/>
          <w:sz w:val="20"/>
          <w:szCs w:val="20"/>
          <w:lang w:val="es-US"/>
        </w:rPr>
        <w:t xml:space="preserve"> del Estado</w:t>
      </w:r>
      <w:r w:rsidR="00FF2F03" w:rsidRPr="007523A4">
        <w:rPr>
          <w:rFonts w:ascii="Cambria" w:hAnsi="Cambria"/>
          <w:sz w:val="20"/>
          <w:szCs w:val="20"/>
          <w:lang w:val="es-US"/>
        </w:rPr>
        <w:t xml:space="preserve"> </w:t>
      </w:r>
      <w:r w:rsidR="00FF2F03" w:rsidRPr="007523A4">
        <w:rPr>
          <w:rFonts w:ascii="Cambria" w:hAnsi="Cambria"/>
          <w:sz w:val="20"/>
          <w:szCs w:val="20"/>
          <w:lang w:val="es-PE"/>
        </w:rPr>
        <w:t>una situación de riesgo real e inmediato a través de</w:t>
      </w:r>
      <w:r w:rsidR="00D72D44" w:rsidRPr="007523A4">
        <w:rPr>
          <w:rFonts w:ascii="Cambria" w:hAnsi="Cambria"/>
          <w:sz w:val="20"/>
          <w:szCs w:val="20"/>
          <w:lang w:val="es-US"/>
        </w:rPr>
        <w:t xml:space="preserve"> </w:t>
      </w:r>
      <w:r w:rsidR="00CD4A25" w:rsidRPr="007523A4">
        <w:rPr>
          <w:rFonts w:ascii="Cambria" w:hAnsi="Cambria"/>
          <w:sz w:val="20"/>
          <w:szCs w:val="20"/>
          <w:lang w:val="es-PE"/>
        </w:rPr>
        <w:t>las denuncias realizadas ante órganos o funcionarios públicos, respecto de las cuales se puede verificar el conocimiento estatal previo</w:t>
      </w:r>
      <w:r w:rsidR="00A225EF" w:rsidRPr="007523A4">
        <w:rPr>
          <w:rFonts w:ascii="Cambria" w:hAnsi="Cambria"/>
          <w:sz w:val="20"/>
          <w:szCs w:val="20"/>
          <w:lang w:val="es-PE"/>
        </w:rPr>
        <w:t xml:space="preserve">. </w:t>
      </w:r>
      <w:r w:rsidR="00E11FC7" w:rsidRPr="007523A4">
        <w:rPr>
          <w:rFonts w:ascii="Cambria" w:hAnsi="Cambria"/>
          <w:sz w:val="20"/>
          <w:szCs w:val="20"/>
          <w:lang w:val="es-PE"/>
        </w:rPr>
        <w:t>Además</w:t>
      </w:r>
      <w:r w:rsidR="00A225EF" w:rsidRPr="007523A4">
        <w:rPr>
          <w:rFonts w:ascii="Cambria" w:hAnsi="Cambria"/>
          <w:sz w:val="20"/>
          <w:szCs w:val="20"/>
          <w:lang w:val="es-PE"/>
        </w:rPr>
        <w:t xml:space="preserve">, la Comisión considera </w:t>
      </w:r>
      <w:r w:rsidR="00E77021" w:rsidRPr="007523A4">
        <w:rPr>
          <w:rFonts w:ascii="Cambria" w:hAnsi="Cambria"/>
          <w:sz w:val="20"/>
          <w:szCs w:val="20"/>
          <w:lang w:val="es-PE"/>
        </w:rPr>
        <w:t>que la puesta en conocimiento también se cumple si se logra determinar</w:t>
      </w:r>
      <w:r w:rsidR="00153E99" w:rsidRPr="007523A4">
        <w:rPr>
          <w:rFonts w:ascii="Cambria" w:hAnsi="Cambria"/>
          <w:sz w:val="20"/>
          <w:szCs w:val="20"/>
          <w:lang w:val="es-PE"/>
        </w:rPr>
        <w:t xml:space="preserve"> en ciertos casos,</w:t>
      </w:r>
      <w:r w:rsidR="00E77021" w:rsidRPr="007523A4">
        <w:rPr>
          <w:rFonts w:ascii="Cambria" w:hAnsi="Cambria"/>
          <w:sz w:val="20"/>
          <w:szCs w:val="20"/>
          <w:lang w:val="es-PE"/>
        </w:rPr>
        <w:t xml:space="preserve"> </w:t>
      </w:r>
      <w:r w:rsidR="00E77021" w:rsidRPr="00420DFB">
        <w:rPr>
          <w:rFonts w:ascii="Cambria" w:hAnsi="Cambria"/>
          <w:sz w:val="20"/>
          <w:szCs w:val="20"/>
          <w:lang w:val="es-PE"/>
        </w:rPr>
        <w:t xml:space="preserve">que </w:t>
      </w:r>
      <w:r w:rsidR="00A225EF" w:rsidRPr="00420DFB">
        <w:rPr>
          <w:rFonts w:ascii="Cambria" w:hAnsi="Cambria"/>
          <w:sz w:val="20"/>
          <w:szCs w:val="20"/>
          <w:lang w:val="es-PE"/>
        </w:rPr>
        <w:t xml:space="preserve">el Estado </w:t>
      </w:r>
      <w:r w:rsidR="00800660" w:rsidRPr="00420DFB">
        <w:rPr>
          <w:rFonts w:ascii="Cambria" w:hAnsi="Cambria"/>
          <w:sz w:val="20"/>
          <w:szCs w:val="20"/>
          <w:lang w:val="es-PE"/>
        </w:rPr>
        <w:t>recibió</w:t>
      </w:r>
      <w:r w:rsidR="00A225EF" w:rsidRPr="00420DFB">
        <w:rPr>
          <w:rFonts w:ascii="Cambria" w:hAnsi="Cambria"/>
          <w:sz w:val="20"/>
          <w:szCs w:val="20"/>
          <w:lang w:val="es-PE"/>
        </w:rPr>
        <w:t xml:space="preserve"> noticia de dich</w:t>
      </w:r>
      <w:r w:rsidR="00800660" w:rsidRPr="00420DFB">
        <w:rPr>
          <w:rFonts w:ascii="Cambria" w:hAnsi="Cambria"/>
          <w:sz w:val="20"/>
          <w:szCs w:val="20"/>
          <w:lang w:val="es-PE"/>
        </w:rPr>
        <w:t>o riesgo real e inmediato</w:t>
      </w:r>
      <w:r w:rsidR="00A225EF" w:rsidRPr="00420DFB">
        <w:rPr>
          <w:rFonts w:ascii="Cambria" w:hAnsi="Cambria"/>
          <w:sz w:val="20"/>
          <w:szCs w:val="20"/>
          <w:lang w:val="es-PE"/>
        </w:rPr>
        <w:t xml:space="preserve"> por otros medios</w:t>
      </w:r>
      <w:r w:rsidR="00315AC9" w:rsidRPr="00420DFB">
        <w:rPr>
          <w:rFonts w:ascii="Cambria" w:hAnsi="Cambria"/>
          <w:sz w:val="20"/>
          <w:szCs w:val="20"/>
          <w:lang w:val="es-PE"/>
        </w:rPr>
        <w:t xml:space="preserve"> que permitan comprobar </w:t>
      </w:r>
      <w:r w:rsidR="00FC3A0C" w:rsidRPr="00420DFB">
        <w:rPr>
          <w:rFonts w:ascii="Cambria" w:hAnsi="Cambria"/>
          <w:sz w:val="20"/>
          <w:szCs w:val="20"/>
          <w:lang w:val="es-PE"/>
        </w:rPr>
        <w:t>que conoció</w:t>
      </w:r>
      <w:r w:rsidR="001461B0" w:rsidRPr="00420DFB">
        <w:rPr>
          <w:rFonts w:ascii="Cambria" w:hAnsi="Cambria"/>
          <w:sz w:val="20"/>
          <w:szCs w:val="20"/>
          <w:lang w:val="es-PE"/>
        </w:rPr>
        <w:t xml:space="preserve"> una situación particular</w:t>
      </w:r>
      <w:r w:rsidR="00A225EF" w:rsidRPr="00420DFB">
        <w:rPr>
          <w:rFonts w:ascii="Cambria" w:hAnsi="Cambria"/>
          <w:sz w:val="20"/>
          <w:szCs w:val="20"/>
          <w:lang w:val="es-PE"/>
        </w:rPr>
        <w:t xml:space="preserve">, </w:t>
      </w:r>
      <w:r w:rsidR="00800660" w:rsidRPr="00420DFB">
        <w:rPr>
          <w:rFonts w:ascii="Cambria" w:hAnsi="Cambria"/>
          <w:sz w:val="20"/>
          <w:szCs w:val="20"/>
          <w:lang w:val="es-PE"/>
        </w:rPr>
        <w:t xml:space="preserve">lo cual </w:t>
      </w:r>
      <w:r w:rsidR="00A225EF" w:rsidRPr="00420DFB">
        <w:rPr>
          <w:rFonts w:ascii="Cambria" w:hAnsi="Cambria"/>
          <w:sz w:val="20"/>
          <w:szCs w:val="20"/>
          <w:lang w:val="es-PE"/>
        </w:rPr>
        <w:t>debe ser suficiente para que éste active mecanismos de protección a favor de</w:t>
      </w:r>
      <w:r w:rsidR="00800660" w:rsidRPr="00420DFB">
        <w:rPr>
          <w:rFonts w:ascii="Cambria" w:hAnsi="Cambria"/>
          <w:sz w:val="20"/>
          <w:szCs w:val="20"/>
          <w:lang w:val="es-PE"/>
        </w:rPr>
        <w:t xml:space="preserve"> la víctima</w:t>
      </w:r>
      <w:r w:rsidR="00800660" w:rsidRPr="00420DFB">
        <w:rPr>
          <w:rStyle w:val="FootnoteReference"/>
          <w:rFonts w:ascii="Cambria" w:hAnsi="Cambria"/>
          <w:sz w:val="20"/>
          <w:szCs w:val="20"/>
          <w:lang w:val="es-PE"/>
        </w:rPr>
        <w:footnoteReference w:id="133"/>
      </w:r>
      <w:r w:rsidR="00800660" w:rsidRPr="00420DFB">
        <w:rPr>
          <w:rFonts w:ascii="Cambria" w:hAnsi="Cambria"/>
          <w:sz w:val="20"/>
          <w:szCs w:val="20"/>
          <w:lang w:val="es-PE"/>
        </w:rPr>
        <w:t>.</w:t>
      </w:r>
      <w:r w:rsidR="00645756" w:rsidRPr="007523A4">
        <w:rPr>
          <w:rFonts w:ascii="Cambria" w:hAnsi="Cambria"/>
          <w:sz w:val="20"/>
          <w:szCs w:val="20"/>
          <w:lang w:val="es-PE"/>
        </w:rPr>
        <w:t xml:space="preserve"> Es decir que, una vez que </w:t>
      </w:r>
      <w:r w:rsidR="00685A5D" w:rsidRPr="007523A4">
        <w:rPr>
          <w:rFonts w:ascii="Cambria" w:hAnsi="Cambria"/>
          <w:sz w:val="20"/>
          <w:szCs w:val="20"/>
          <w:bdr w:val="none" w:sz="0" w:space="0" w:color="auto"/>
          <w:lang w:val="es-AR"/>
        </w:rPr>
        <w:t xml:space="preserve">las autoridades estatales </w:t>
      </w:r>
      <w:r w:rsidR="00BA6828" w:rsidRPr="007523A4">
        <w:rPr>
          <w:rFonts w:ascii="Cambria" w:hAnsi="Cambria"/>
          <w:sz w:val="20"/>
          <w:szCs w:val="20"/>
          <w:bdr w:val="none" w:sz="0" w:space="0" w:color="auto"/>
          <w:lang w:val="es-AR"/>
        </w:rPr>
        <w:t>t</w:t>
      </w:r>
      <w:r w:rsidR="00685A5D" w:rsidRPr="007523A4">
        <w:rPr>
          <w:rFonts w:ascii="Cambria" w:hAnsi="Cambria"/>
          <w:sz w:val="20"/>
          <w:szCs w:val="20"/>
          <w:bdr w:val="none" w:sz="0" w:space="0" w:color="auto"/>
          <w:lang w:val="es-AR"/>
        </w:rPr>
        <w:t xml:space="preserve">oman conocimiento de la situación de riesgo especial, </w:t>
      </w:r>
      <w:r w:rsidR="007166CA" w:rsidRPr="002812FE">
        <w:rPr>
          <w:rFonts w:ascii="Cambria" w:hAnsi="Cambria"/>
          <w:sz w:val="20"/>
          <w:szCs w:val="20"/>
          <w:bdr w:val="none" w:sz="0" w:space="0" w:color="auto"/>
          <w:lang w:val="es-AR"/>
        </w:rPr>
        <w:t>le</w:t>
      </w:r>
      <w:r w:rsidR="007166CA" w:rsidRPr="002812FE">
        <w:rPr>
          <w:rFonts w:ascii="Cambria" w:hAnsi="Cambria"/>
          <w:sz w:val="20"/>
          <w:szCs w:val="20"/>
          <w:lang w:val="es-CR"/>
        </w:rPr>
        <w:t xml:space="preserve"> corresponde al Estado</w:t>
      </w:r>
      <w:r w:rsidR="007166CA" w:rsidRPr="002812FE">
        <w:rPr>
          <w:rFonts w:ascii="Cambria" w:hAnsi="Cambria"/>
          <w:sz w:val="20"/>
          <w:szCs w:val="20"/>
          <w:bdr w:val="none" w:sz="0" w:space="0" w:color="auto"/>
          <w:lang w:val="es-AR"/>
        </w:rPr>
        <w:t xml:space="preserve"> </w:t>
      </w:r>
      <w:r w:rsidR="00685A5D" w:rsidRPr="007523A4">
        <w:rPr>
          <w:rFonts w:ascii="Cambria" w:hAnsi="Cambria"/>
          <w:sz w:val="20"/>
          <w:szCs w:val="20"/>
          <w:bdr w:val="none" w:sz="0" w:space="0" w:color="auto"/>
          <w:lang w:val="es-AR"/>
        </w:rPr>
        <w:t xml:space="preserve">identificar o valorar </w:t>
      </w:r>
      <w:r w:rsidR="004D7684">
        <w:rPr>
          <w:rFonts w:ascii="Cambria" w:hAnsi="Cambria"/>
          <w:sz w:val="20"/>
          <w:szCs w:val="20"/>
          <w:bdr w:val="none" w:sz="0" w:space="0" w:color="auto"/>
          <w:lang w:val="es-AR"/>
        </w:rPr>
        <w:t xml:space="preserve">el nivel de riesgo, </w:t>
      </w:r>
      <w:r w:rsidR="00685A5D" w:rsidRPr="007523A4">
        <w:rPr>
          <w:rFonts w:ascii="Cambria" w:hAnsi="Cambria"/>
          <w:sz w:val="20"/>
          <w:szCs w:val="20"/>
          <w:bdr w:val="none" w:sz="0" w:space="0" w:color="auto"/>
          <w:lang w:val="es-AR"/>
        </w:rPr>
        <w:t xml:space="preserve">si la persona objeto de </w:t>
      </w:r>
      <w:r w:rsidR="00685A5D" w:rsidRPr="002812FE">
        <w:rPr>
          <w:rFonts w:ascii="Cambria" w:hAnsi="Cambria"/>
          <w:sz w:val="20"/>
          <w:szCs w:val="20"/>
          <w:bdr w:val="none" w:sz="0" w:space="0" w:color="auto"/>
          <w:lang w:val="es-AR"/>
        </w:rPr>
        <w:t>amenazas y hostigamientos requiere de medidas de protección o remitir a la autoridad competente para hacerlo, así como ofrecer a la persona en riesgo información oportuna sobre las medidas disponibles</w:t>
      </w:r>
      <w:r w:rsidR="00685A5D" w:rsidRPr="002812FE">
        <w:rPr>
          <w:rFonts w:ascii="Cambria" w:hAnsi="Cambria"/>
          <w:sz w:val="20"/>
          <w:szCs w:val="20"/>
          <w:lang w:val="es-CR"/>
        </w:rPr>
        <w:t xml:space="preserve">.  </w:t>
      </w:r>
    </w:p>
    <w:p w14:paraId="13EF7BE5" w14:textId="77777777" w:rsidR="00CD4A25" w:rsidRPr="002812FE" w:rsidRDefault="00CD4A25" w:rsidP="007523A4">
      <w:pPr>
        <w:pStyle w:val="ListParagraph"/>
        <w:spacing w:before="0" w:after="0"/>
        <w:rPr>
          <w:sz w:val="20"/>
          <w:szCs w:val="20"/>
          <w:lang w:val="es-US"/>
        </w:rPr>
      </w:pPr>
    </w:p>
    <w:p w14:paraId="263129B6" w14:textId="2E84D8C5" w:rsidR="0060479B" w:rsidRDefault="0060479B" w:rsidP="00604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ES_tradnl"/>
        </w:rPr>
      </w:pPr>
      <w:r>
        <w:rPr>
          <w:rFonts w:ascii="Cambria" w:hAnsi="Cambria"/>
          <w:sz w:val="20"/>
          <w:szCs w:val="20"/>
          <w:lang w:val="es-ES_tradnl"/>
        </w:rPr>
        <w:t>En</w:t>
      </w:r>
      <w:r w:rsidR="004D7684">
        <w:rPr>
          <w:rFonts w:ascii="Cambria" w:hAnsi="Cambria"/>
          <w:sz w:val="20"/>
          <w:szCs w:val="20"/>
          <w:lang w:val="es-ES_tradnl"/>
        </w:rPr>
        <w:t xml:space="preserve"> el presente caso</w:t>
      </w:r>
      <w:r>
        <w:rPr>
          <w:rFonts w:ascii="Cambria" w:hAnsi="Cambria"/>
          <w:sz w:val="20"/>
          <w:szCs w:val="20"/>
          <w:lang w:val="es-ES_tradnl"/>
        </w:rPr>
        <w:t>, l</w:t>
      </w:r>
      <w:r w:rsidRPr="00C27961">
        <w:rPr>
          <w:rFonts w:ascii="Cambria" w:hAnsi="Cambria"/>
          <w:sz w:val="20"/>
          <w:szCs w:val="20"/>
          <w:lang w:val="es-ES_tradnl"/>
        </w:rPr>
        <w:t xml:space="preserve">a Comisión comprueba que el </w:t>
      </w:r>
      <w:r>
        <w:rPr>
          <w:rFonts w:ascii="Cambria" w:hAnsi="Cambria"/>
          <w:sz w:val="20"/>
          <w:szCs w:val="20"/>
          <w:lang w:val="es-ES_tradnl"/>
        </w:rPr>
        <w:t>Estado conoció del riesgo en el que se encontraba Santiago Leguizamón. En efecto, según los elementos probatorios ante en el expediente,</w:t>
      </w:r>
      <w:r w:rsidRPr="00C27961">
        <w:rPr>
          <w:rFonts w:ascii="Cambria" w:hAnsi="Cambria"/>
          <w:sz w:val="20"/>
          <w:szCs w:val="20"/>
          <w:lang w:val="es-ES_tradnl"/>
        </w:rPr>
        <w:t xml:space="preserve"> </w:t>
      </w:r>
      <w:r>
        <w:rPr>
          <w:rFonts w:ascii="Cambria" w:hAnsi="Cambria"/>
          <w:sz w:val="20"/>
          <w:szCs w:val="20"/>
          <w:lang w:val="es-ES_tradnl"/>
        </w:rPr>
        <w:t xml:space="preserve">el </w:t>
      </w:r>
      <w:r w:rsidRPr="00C27961">
        <w:rPr>
          <w:rFonts w:ascii="Cambria" w:hAnsi="Cambria"/>
          <w:sz w:val="20"/>
          <w:szCs w:val="20"/>
          <w:lang w:val="es-ES_tradnl"/>
        </w:rPr>
        <w:t>Delegado de Gobierno del Amambay declaró en prensa y ante la autoridad judicial que un día antes de que se produjera la muerte del periodista, aquel le ofreció escolta policial por el grave peligro en el que se encontraba. Es decir que, dicha autoridad, quien en aquella época era el representante del poder ejecutivo en el departamento</w:t>
      </w:r>
      <w:r>
        <w:rPr>
          <w:rFonts w:ascii="Cambria" w:hAnsi="Cambria"/>
          <w:sz w:val="20"/>
          <w:szCs w:val="20"/>
          <w:lang w:val="es-ES_tradnl"/>
        </w:rPr>
        <w:t xml:space="preserve">, </w:t>
      </w:r>
      <w:r w:rsidRPr="00C27961">
        <w:rPr>
          <w:rFonts w:ascii="Cambria" w:hAnsi="Cambria"/>
          <w:sz w:val="20"/>
          <w:szCs w:val="20"/>
          <w:lang w:val="es-ES_tradnl"/>
        </w:rPr>
        <w:t>quien ejercía funciones de supervisión de la policía de la zona</w:t>
      </w:r>
      <w:r>
        <w:rPr>
          <w:rFonts w:ascii="Cambria" w:hAnsi="Cambria"/>
          <w:sz w:val="20"/>
          <w:szCs w:val="20"/>
          <w:lang w:val="es-ES_tradnl"/>
        </w:rPr>
        <w:t xml:space="preserve"> y cuya dependencia era la encargada de ofrecer medidas de protección </w:t>
      </w:r>
      <w:r w:rsidRPr="00420DFB">
        <w:rPr>
          <w:rFonts w:ascii="Cambria" w:hAnsi="Cambria"/>
          <w:sz w:val="20"/>
          <w:szCs w:val="20"/>
          <w:lang w:val="es-ES_tradnl"/>
        </w:rPr>
        <w:t>policial (</w:t>
      </w:r>
      <w:r w:rsidRPr="00420DFB">
        <w:rPr>
          <w:rFonts w:ascii="Cambria" w:hAnsi="Cambria"/>
          <w:i/>
          <w:iCs/>
          <w:sz w:val="20"/>
          <w:szCs w:val="20"/>
          <w:lang w:val="es-ES_tradnl"/>
        </w:rPr>
        <w:t>supra</w:t>
      </w:r>
      <w:r w:rsidRPr="00420DFB">
        <w:rPr>
          <w:rFonts w:ascii="Cambria" w:hAnsi="Cambria"/>
          <w:sz w:val="20"/>
          <w:szCs w:val="20"/>
          <w:lang w:val="es-ES_tradnl"/>
        </w:rPr>
        <w:t xml:space="preserve"> párr. 53), conoció</w:t>
      </w:r>
      <w:r w:rsidRPr="00C27961">
        <w:rPr>
          <w:rFonts w:ascii="Cambria" w:hAnsi="Cambria"/>
          <w:sz w:val="20"/>
          <w:szCs w:val="20"/>
          <w:lang w:val="es-ES_tradnl"/>
        </w:rPr>
        <w:t xml:space="preserve"> el riesgo en el que se encontraba Santiago. Si bien no se puede determinar el momento en el que conoció</w:t>
      </w:r>
      <w:r>
        <w:rPr>
          <w:rFonts w:ascii="Cambria" w:hAnsi="Cambria"/>
          <w:sz w:val="20"/>
          <w:szCs w:val="20"/>
          <w:lang w:val="es-ES_tradnl"/>
        </w:rPr>
        <w:t xml:space="preserve"> el riesgo</w:t>
      </w:r>
      <w:r w:rsidRPr="00C27961">
        <w:rPr>
          <w:rFonts w:ascii="Cambria" w:hAnsi="Cambria"/>
          <w:sz w:val="20"/>
          <w:szCs w:val="20"/>
          <w:lang w:val="es-ES_tradnl"/>
        </w:rPr>
        <w:t xml:space="preserve">, la Comisión considera razonable concluir que dicho conocimiento no fue adquirido un día antes del asesinato, sino con anterioridad, por lo que el Estado debió </w:t>
      </w:r>
      <w:r>
        <w:rPr>
          <w:rFonts w:ascii="Cambria" w:hAnsi="Cambria"/>
          <w:sz w:val="20"/>
          <w:szCs w:val="20"/>
          <w:lang w:val="es-ES_tradnl"/>
        </w:rPr>
        <w:t xml:space="preserve">efectuar un análisis de riesgo y </w:t>
      </w:r>
      <w:r w:rsidRPr="00C27961">
        <w:rPr>
          <w:rFonts w:ascii="Cambria" w:hAnsi="Cambria"/>
          <w:sz w:val="20"/>
          <w:szCs w:val="20"/>
          <w:lang w:val="es-ES_tradnl"/>
        </w:rPr>
        <w:t xml:space="preserve">adoptar medidas de protección en beneficio del </w:t>
      </w:r>
      <w:r w:rsidRPr="006F1DBC">
        <w:rPr>
          <w:rFonts w:ascii="Cambria" w:hAnsi="Cambria"/>
          <w:sz w:val="20"/>
          <w:szCs w:val="20"/>
          <w:lang w:val="es-ES_tradnl"/>
        </w:rPr>
        <w:t>periodista</w:t>
      </w:r>
      <w:r w:rsidRPr="00601762">
        <w:rPr>
          <w:rFonts w:ascii="Cambria" w:hAnsi="Cambria"/>
          <w:sz w:val="20"/>
          <w:szCs w:val="20"/>
          <w:lang w:val="es-ES_tradnl"/>
        </w:rPr>
        <w:t xml:space="preserve">. El Estado debió </w:t>
      </w:r>
      <w:r w:rsidRPr="00601762">
        <w:rPr>
          <w:rFonts w:ascii="Cambria" w:hAnsi="Cambria"/>
          <w:sz w:val="20"/>
          <w:szCs w:val="20"/>
          <w:bdr w:val="none" w:sz="0" w:space="0" w:color="auto"/>
          <w:lang w:val="es-AR"/>
        </w:rPr>
        <w:t xml:space="preserve">ofrecerle información oportuna sobre las medidas disponibles de acuerdo con las circunstancias particulares </w:t>
      </w:r>
      <w:r w:rsidRPr="00601762">
        <w:rPr>
          <w:rFonts w:ascii="Cambria" w:hAnsi="Cambria"/>
          <w:sz w:val="20"/>
          <w:szCs w:val="20"/>
          <w:bdr w:val="none" w:sz="0" w:space="0" w:color="auto"/>
          <w:lang w:val="es-AR"/>
        </w:rPr>
        <w:lastRenderedPageBreak/>
        <w:t>de este, en especial si es que existían dudas por parte del periodista sobre la efectividad de las medidas que podría adoptar el Estado, como se deriva de declaraciones de testigos en las investigaciones a nivel interno</w:t>
      </w:r>
      <w:r w:rsidRPr="00601762">
        <w:rPr>
          <w:rStyle w:val="FootnoteReference"/>
          <w:rFonts w:ascii="Cambria" w:hAnsi="Cambria"/>
          <w:sz w:val="20"/>
          <w:szCs w:val="20"/>
          <w:bdr w:val="none" w:sz="0" w:space="0" w:color="auto"/>
          <w:lang w:val="es-AR"/>
        </w:rPr>
        <w:footnoteReference w:id="134"/>
      </w:r>
      <w:r w:rsidRPr="006F1DBC">
        <w:rPr>
          <w:rFonts w:ascii="Cambria" w:hAnsi="Cambria"/>
          <w:sz w:val="20"/>
          <w:szCs w:val="20"/>
          <w:lang w:val="es-ES_tradnl"/>
        </w:rPr>
        <w:t>. Aun</w:t>
      </w:r>
      <w:r w:rsidRPr="00C27961">
        <w:rPr>
          <w:rFonts w:ascii="Cambria" w:hAnsi="Cambria"/>
          <w:sz w:val="20"/>
          <w:szCs w:val="20"/>
          <w:lang w:val="es-ES_tradnl"/>
        </w:rPr>
        <w:t xml:space="preserve"> si el Delegado de </w:t>
      </w:r>
      <w:r w:rsidRPr="0038781E">
        <w:rPr>
          <w:rFonts w:ascii="Cambria" w:hAnsi="Cambria"/>
          <w:sz w:val="20"/>
          <w:szCs w:val="20"/>
          <w:lang w:val="es-ES_tradnl"/>
        </w:rPr>
        <w:t xml:space="preserve">Gobierno no fuera la única autoridad encargada de ofrecer protección, este requisito se encuentra cumplido, ya que existe un deber de coordinación entre </w:t>
      </w:r>
      <w:r w:rsidRPr="00C52C14">
        <w:rPr>
          <w:rFonts w:ascii="Cambria" w:hAnsi="Cambria"/>
          <w:sz w:val="20"/>
          <w:szCs w:val="20"/>
          <w:lang w:val="es-ES_tradnl"/>
        </w:rPr>
        <w:t>las entidades y funcionarios por parte del Estado.</w:t>
      </w:r>
    </w:p>
    <w:p w14:paraId="0AC9F9E9" w14:textId="77777777" w:rsidR="0060479B" w:rsidRPr="00902508" w:rsidRDefault="0060479B" w:rsidP="000D795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20"/>
          <w:szCs w:val="20"/>
          <w:lang w:val="es-ES_tradnl"/>
        </w:rPr>
      </w:pPr>
    </w:p>
    <w:p w14:paraId="26B3A6E4" w14:textId="6ADF2FCA" w:rsidR="007523A4" w:rsidRPr="000D7953" w:rsidRDefault="001721A5" w:rsidP="000D7953">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sz w:val="20"/>
          <w:szCs w:val="20"/>
          <w:lang w:val="es-ES_tradnl"/>
        </w:rPr>
      </w:pPr>
      <w:r w:rsidRPr="002812FE">
        <w:rPr>
          <w:rFonts w:ascii="Cambria" w:hAnsi="Cambria"/>
          <w:sz w:val="20"/>
          <w:szCs w:val="20"/>
          <w:lang w:val="es-ES_tradnl"/>
        </w:rPr>
        <w:t>A</w:t>
      </w:r>
      <w:r w:rsidR="0060479B">
        <w:rPr>
          <w:rFonts w:ascii="Cambria" w:hAnsi="Cambria"/>
          <w:sz w:val="20"/>
          <w:szCs w:val="20"/>
          <w:lang w:val="es-ES_tradnl"/>
        </w:rPr>
        <w:t>demás</w:t>
      </w:r>
      <w:r w:rsidRPr="002812FE">
        <w:rPr>
          <w:rFonts w:ascii="Cambria" w:hAnsi="Cambria"/>
          <w:sz w:val="20"/>
          <w:szCs w:val="20"/>
          <w:lang w:val="es-ES_tradnl"/>
        </w:rPr>
        <w:t xml:space="preserve">, </w:t>
      </w:r>
      <w:r w:rsidR="00221A0B" w:rsidRPr="00C27961">
        <w:rPr>
          <w:rFonts w:ascii="Cambria" w:hAnsi="Cambria"/>
          <w:sz w:val="20"/>
          <w:szCs w:val="20"/>
          <w:lang w:val="es-ES_tradnl"/>
        </w:rPr>
        <w:t>surge de la prueba que</w:t>
      </w:r>
      <w:r w:rsidR="00221A0B">
        <w:rPr>
          <w:rFonts w:ascii="Cambria" w:hAnsi="Cambria"/>
          <w:sz w:val="20"/>
          <w:szCs w:val="20"/>
          <w:lang w:val="es-ES_tradnl"/>
        </w:rPr>
        <w:t xml:space="preserve"> Santiago Leguizamón, quien era un periodista </w:t>
      </w:r>
      <w:r w:rsidR="00221A0B" w:rsidRPr="00C27961">
        <w:rPr>
          <w:rFonts w:ascii="Cambria" w:hAnsi="Cambria"/>
          <w:sz w:val="20"/>
          <w:szCs w:val="20"/>
          <w:lang w:val="es-ES_tradnl"/>
        </w:rPr>
        <w:t xml:space="preserve">muy reconocido en la </w:t>
      </w:r>
      <w:r w:rsidR="00221A0B">
        <w:rPr>
          <w:rFonts w:ascii="Cambria" w:hAnsi="Cambria"/>
          <w:sz w:val="20"/>
          <w:szCs w:val="20"/>
          <w:lang w:val="es-ES_tradnl"/>
        </w:rPr>
        <w:t>ciudad de Pedro Juan Caballero y en Paraguay</w:t>
      </w:r>
      <w:r w:rsidR="00221A0B" w:rsidRPr="00C27961">
        <w:rPr>
          <w:rFonts w:ascii="Cambria" w:hAnsi="Cambria"/>
          <w:sz w:val="20"/>
          <w:szCs w:val="20"/>
          <w:lang w:val="es-ES_tradnl"/>
        </w:rPr>
        <w:t>, denunció públicamente a través de su programa de radio</w:t>
      </w:r>
      <w:r w:rsidR="00AD7758">
        <w:rPr>
          <w:rFonts w:ascii="Cambria" w:hAnsi="Cambria"/>
          <w:sz w:val="20"/>
          <w:szCs w:val="20"/>
          <w:lang w:val="es-ES_tradnl"/>
        </w:rPr>
        <w:t>,</w:t>
      </w:r>
      <w:r w:rsidR="00221A0B" w:rsidRPr="00C27961">
        <w:rPr>
          <w:rFonts w:ascii="Cambria" w:hAnsi="Cambria"/>
          <w:sz w:val="20"/>
          <w:szCs w:val="20"/>
          <w:lang w:val="es-ES_tradnl"/>
        </w:rPr>
        <w:t xml:space="preserve"> la existencia de amenazas en su contra y preguntaba en dicho programa de dónde proven</w:t>
      </w:r>
      <w:r w:rsidR="00221A0B">
        <w:rPr>
          <w:rFonts w:ascii="Cambria" w:hAnsi="Cambria"/>
          <w:sz w:val="20"/>
          <w:szCs w:val="20"/>
          <w:lang w:val="es-ES_tradnl"/>
        </w:rPr>
        <w:t>drían</w:t>
      </w:r>
      <w:r w:rsidR="00221A0B" w:rsidRPr="00C27961">
        <w:rPr>
          <w:rFonts w:ascii="Cambria" w:hAnsi="Cambria"/>
          <w:sz w:val="20"/>
          <w:szCs w:val="20"/>
          <w:lang w:val="es-ES_tradnl"/>
        </w:rPr>
        <w:t xml:space="preserve"> las mismas.</w:t>
      </w:r>
      <w:r w:rsidR="007C61C8">
        <w:rPr>
          <w:rFonts w:ascii="Cambria" w:hAnsi="Cambria"/>
          <w:sz w:val="20"/>
          <w:szCs w:val="20"/>
          <w:lang w:val="es-ES_tradnl"/>
        </w:rPr>
        <w:t xml:space="preserve"> </w:t>
      </w:r>
      <w:r w:rsidR="00E01B5C">
        <w:rPr>
          <w:rFonts w:ascii="Cambria" w:hAnsi="Cambria"/>
          <w:sz w:val="20"/>
          <w:szCs w:val="20"/>
          <w:lang w:val="es-ES_tradnl"/>
        </w:rPr>
        <w:t xml:space="preserve">Asimismo, </w:t>
      </w:r>
      <w:r w:rsidR="00DC1786">
        <w:rPr>
          <w:rFonts w:ascii="Cambria" w:hAnsi="Cambria"/>
          <w:sz w:val="20"/>
          <w:szCs w:val="20"/>
          <w:lang w:val="es-ES_tradnl"/>
        </w:rPr>
        <w:t>si bien e</w:t>
      </w:r>
      <w:r w:rsidRPr="002812FE">
        <w:rPr>
          <w:rFonts w:ascii="Cambria" w:hAnsi="Cambria"/>
          <w:sz w:val="20"/>
          <w:szCs w:val="20"/>
          <w:lang w:val="es-ES_tradnl"/>
        </w:rPr>
        <w:t>n el caso concreto</w:t>
      </w:r>
      <w:r w:rsidR="006B4221" w:rsidRPr="002812FE">
        <w:rPr>
          <w:rFonts w:ascii="Cambria" w:hAnsi="Cambria"/>
          <w:sz w:val="20"/>
          <w:szCs w:val="20"/>
          <w:lang w:val="es-ES_tradnl"/>
        </w:rPr>
        <w:t xml:space="preserve">, </w:t>
      </w:r>
      <w:r w:rsidR="00784270" w:rsidRPr="002812FE">
        <w:rPr>
          <w:rFonts w:ascii="Cambria" w:hAnsi="Cambria"/>
          <w:sz w:val="20"/>
          <w:szCs w:val="20"/>
          <w:lang w:val="es-ES_tradnl"/>
        </w:rPr>
        <w:t>no consta en el expediente que Santiago Leguizamón h</w:t>
      </w:r>
      <w:r w:rsidR="001630CD" w:rsidRPr="002812FE">
        <w:rPr>
          <w:rFonts w:ascii="Cambria" w:hAnsi="Cambria"/>
          <w:sz w:val="20"/>
          <w:szCs w:val="20"/>
          <w:lang w:val="es-ES_tradnl"/>
        </w:rPr>
        <w:t xml:space="preserve">aya puesto en conocimiento de las autoridades la existencia de las amenazas en su contra o haya </w:t>
      </w:r>
      <w:r w:rsidR="00FF230A">
        <w:rPr>
          <w:rFonts w:ascii="Cambria" w:hAnsi="Cambria"/>
          <w:sz w:val="20"/>
          <w:szCs w:val="20"/>
          <w:lang w:val="es-ES_tradnl"/>
        </w:rPr>
        <w:t xml:space="preserve">presentado una petición formal </w:t>
      </w:r>
      <w:r w:rsidR="001630CD" w:rsidRPr="002812FE">
        <w:rPr>
          <w:rFonts w:ascii="Cambria" w:hAnsi="Cambria"/>
          <w:sz w:val="20"/>
          <w:szCs w:val="20"/>
          <w:lang w:val="es-ES_tradnl"/>
        </w:rPr>
        <w:t>de protección</w:t>
      </w:r>
      <w:r w:rsidR="00DC1786">
        <w:rPr>
          <w:rFonts w:ascii="Cambria" w:hAnsi="Cambria"/>
          <w:sz w:val="20"/>
          <w:szCs w:val="20"/>
          <w:lang w:val="es-ES_tradnl"/>
        </w:rPr>
        <w:t xml:space="preserve">, </w:t>
      </w:r>
      <w:r w:rsidR="008B7CFC" w:rsidRPr="002812FE">
        <w:rPr>
          <w:rFonts w:ascii="Cambria" w:hAnsi="Cambria"/>
          <w:sz w:val="20"/>
          <w:szCs w:val="20"/>
          <w:lang w:val="es-ES_tradnl"/>
        </w:rPr>
        <w:t xml:space="preserve">los peticionarios alegaron que el periodista </w:t>
      </w:r>
      <w:r w:rsidR="00FF230A">
        <w:rPr>
          <w:rFonts w:ascii="Cambria" w:hAnsi="Cambria"/>
          <w:sz w:val="20"/>
          <w:szCs w:val="20"/>
          <w:lang w:val="es-ES_tradnl"/>
        </w:rPr>
        <w:t>sí solicitó</w:t>
      </w:r>
      <w:r w:rsidR="008B7CFC" w:rsidRPr="002812FE">
        <w:rPr>
          <w:rFonts w:ascii="Cambria" w:hAnsi="Cambria"/>
          <w:sz w:val="20"/>
          <w:szCs w:val="20"/>
          <w:lang w:val="es-ES_tradnl"/>
        </w:rPr>
        <w:t xml:space="preserve"> </w:t>
      </w:r>
      <w:r w:rsidR="00212ECA" w:rsidRPr="002812FE">
        <w:rPr>
          <w:rFonts w:ascii="Cambria" w:hAnsi="Cambria"/>
          <w:sz w:val="20"/>
          <w:szCs w:val="20"/>
          <w:lang w:val="es-ES_tradnl"/>
        </w:rPr>
        <w:t xml:space="preserve">protección policial en varias </w:t>
      </w:r>
      <w:r w:rsidR="00212ECA" w:rsidRPr="00C27961">
        <w:rPr>
          <w:rFonts w:ascii="Cambria" w:hAnsi="Cambria"/>
          <w:sz w:val="20"/>
          <w:szCs w:val="20"/>
          <w:lang w:val="es-ES_tradnl"/>
        </w:rPr>
        <w:t>oportunidades, la cual habría sido otorgada en algunos casos</w:t>
      </w:r>
      <w:r w:rsidR="00FF230A">
        <w:rPr>
          <w:rFonts w:ascii="Cambria" w:hAnsi="Cambria"/>
          <w:sz w:val="20"/>
          <w:szCs w:val="20"/>
          <w:lang w:val="es-ES_tradnl"/>
        </w:rPr>
        <w:t xml:space="preserve">. Lo anterior, </w:t>
      </w:r>
      <w:r w:rsidR="00212ECA" w:rsidRPr="00C27961">
        <w:rPr>
          <w:rFonts w:ascii="Cambria" w:hAnsi="Cambria"/>
          <w:sz w:val="20"/>
          <w:szCs w:val="20"/>
          <w:lang w:val="es-ES_tradnl"/>
        </w:rPr>
        <w:t xml:space="preserve">no fue controvertido por el Estado. </w:t>
      </w:r>
    </w:p>
    <w:p w14:paraId="3AB4267E" w14:textId="77777777" w:rsidR="000C6F36" w:rsidRPr="00601762" w:rsidRDefault="000C6F36" w:rsidP="0060176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20"/>
          <w:szCs w:val="20"/>
          <w:lang w:val="es-ES_tradnl"/>
        </w:rPr>
      </w:pPr>
    </w:p>
    <w:p w14:paraId="470321D5" w14:textId="2C70B63F" w:rsidR="00BB2DC4" w:rsidRPr="00420DFB" w:rsidRDefault="00BB2DC4" w:rsidP="00C27961">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ES_tradnl"/>
        </w:rPr>
      </w:pPr>
      <w:r w:rsidRPr="0038781E">
        <w:rPr>
          <w:rFonts w:ascii="Cambria" w:hAnsi="Cambria"/>
          <w:sz w:val="20"/>
          <w:szCs w:val="20"/>
          <w:lang w:val="es-ES_tradnl"/>
        </w:rPr>
        <w:t xml:space="preserve">En cuanto a si el riesgo era real e inmediato, la CIDH considera que los hechos </w:t>
      </w:r>
      <w:r w:rsidR="006421D0" w:rsidRPr="0038781E">
        <w:rPr>
          <w:rFonts w:ascii="Cambria" w:hAnsi="Cambria"/>
          <w:sz w:val="20"/>
          <w:szCs w:val="20"/>
          <w:lang w:val="es-ES_tradnl"/>
        </w:rPr>
        <w:t xml:space="preserve">conocidos por </w:t>
      </w:r>
      <w:r w:rsidRPr="0038781E">
        <w:rPr>
          <w:rFonts w:ascii="Cambria" w:hAnsi="Cambria"/>
          <w:sz w:val="20"/>
          <w:szCs w:val="20"/>
          <w:lang w:val="es-ES_tradnl"/>
        </w:rPr>
        <w:t>las autoridades, en sí mismos, revestían especial seriedad. En efecto, las amenazas</w:t>
      </w:r>
      <w:r w:rsidR="0029430D" w:rsidRPr="00C52C14">
        <w:rPr>
          <w:rFonts w:ascii="Cambria" w:hAnsi="Cambria"/>
          <w:sz w:val="20"/>
          <w:szCs w:val="20"/>
          <w:lang w:val="es-ES_tradnl"/>
        </w:rPr>
        <w:t>, incluso</w:t>
      </w:r>
      <w:r w:rsidRPr="00902508">
        <w:rPr>
          <w:rFonts w:ascii="Cambria" w:hAnsi="Cambria"/>
          <w:sz w:val="20"/>
          <w:szCs w:val="20"/>
          <w:lang w:val="es-ES_tradnl"/>
        </w:rPr>
        <w:t xml:space="preserve"> </w:t>
      </w:r>
      <w:r w:rsidR="00BF3F68" w:rsidRPr="00546ED5">
        <w:rPr>
          <w:rFonts w:ascii="Cambria" w:hAnsi="Cambria"/>
          <w:sz w:val="20"/>
          <w:szCs w:val="20"/>
          <w:lang w:val="es-ES_tradnl"/>
        </w:rPr>
        <w:t>de muerte</w:t>
      </w:r>
      <w:r w:rsidR="0029430D" w:rsidRPr="00546ED5">
        <w:rPr>
          <w:rFonts w:ascii="Cambria" w:hAnsi="Cambria"/>
          <w:sz w:val="20"/>
          <w:szCs w:val="20"/>
          <w:lang w:val="es-ES_tradnl"/>
        </w:rPr>
        <w:t>,</w:t>
      </w:r>
      <w:r w:rsidR="00BF3F68" w:rsidRPr="00546ED5">
        <w:rPr>
          <w:rFonts w:ascii="Cambria" w:hAnsi="Cambria"/>
          <w:sz w:val="20"/>
          <w:szCs w:val="20"/>
          <w:lang w:val="es-ES_tradnl"/>
        </w:rPr>
        <w:t xml:space="preserve"> </w:t>
      </w:r>
      <w:r w:rsidRPr="00546ED5">
        <w:rPr>
          <w:rFonts w:ascii="Cambria" w:hAnsi="Cambria"/>
          <w:sz w:val="20"/>
          <w:szCs w:val="20"/>
          <w:lang w:val="es-ES_tradnl"/>
        </w:rPr>
        <w:t xml:space="preserve">sufridas por </w:t>
      </w:r>
      <w:r w:rsidR="000C2444" w:rsidRPr="0038781E">
        <w:rPr>
          <w:rFonts w:ascii="Cambria" w:hAnsi="Cambria"/>
          <w:sz w:val="20"/>
          <w:szCs w:val="20"/>
          <w:lang w:val="es-ES_tradnl"/>
        </w:rPr>
        <w:t xml:space="preserve">Santiago Leguizamón </w:t>
      </w:r>
      <w:r w:rsidR="00890C9C" w:rsidRPr="0038781E">
        <w:rPr>
          <w:rFonts w:ascii="Cambria" w:hAnsi="Cambria"/>
          <w:sz w:val="20"/>
          <w:szCs w:val="20"/>
          <w:lang w:val="es-ES_tradnl"/>
        </w:rPr>
        <w:t>eran lo suficientemente graves</w:t>
      </w:r>
      <w:r w:rsidR="00103DB0" w:rsidRPr="0038781E">
        <w:rPr>
          <w:rFonts w:ascii="Cambria" w:hAnsi="Cambria"/>
          <w:sz w:val="20"/>
          <w:szCs w:val="20"/>
          <w:lang w:val="es-ES_tradnl"/>
        </w:rPr>
        <w:t xml:space="preserve">, y </w:t>
      </w:r>
      <w:r w:rsidR="008720D9" w:rsidRPr="0038781E">
        <w:rPr>
          <w:rFonts w:ascii="Cambria" w:hAnsi="Cambria"/>
          <w:sz w:val="20"/>
          <w:szCs w:val="20"/>
          <w:lang w:val="es-ES_tradnl"/>
        </w:rPr>
        <w:t xml:space="preserve">la posibilidad de su concreción </w:t>
      </w:r>
      <w:r w:rsidR="00103DB0" w:rsidRPr="0038781E">
        <w:rPr>
          <w:rFonts w:ascii="Cambria" w:hAnsi="Cambria"/>
          <w:sz w:val="20"/>
          <w:szCs w:val="20"/>
          <w:lang w:val="es-ES_tradnl"/>
        </w:rPr>
        <w:t>era</w:t>
      </w:r>
      <w:r w:rsidR="009266C7" w:rsidRPr="0038781E">
        <w:rPr>
          <w:rFonts w:ascii="Cambria" w:hAnsi="Cambria"/>
          <w:sz w:val="20"/>
          <w:szCs w:val="20"/>
          <w:lang w:val="es-ES_tradnl"/>
        </w:rPr>
        <w:t xml:space="preserve"> </w:t>
      </w:r>
      <w:r w:rsidR="008F7312" w:rsidRPr="0038781E">
        <w:rPr>
          <w:rFonts w:ascii="Cambria" w:hAnsi="Cambria"/>
          <w:sz w:val="20"/>
          <w:szCs w:val="20"/>
          <w:lang w:val="es-ES_tradnl"/>
        </w:rPr>
        <w:t>sumamente elevada</w:t>
      </w:r>
      <w:r w:rsidR="002D024B" w:rsidRPr="0038781E">
        <w:rPr>
          <w:rFonts w:ascii="Cambria" w:hAnsi="Cambria"/>
          <w:sz w:val="20"/>
          <w:szCs w:val="20"/>
          <w:lang w:val="es-ES_tradnl"/>
        </w:rPr>
        <w:t xml:space="preserve"> </w:t>
      </w:r>
      <w:r w:rsidR="00103DB0" w:rsidRPr="0038781E">
        <w:rPr>
          <w:rFonts w:ascii="Cambria" w:hAnsi="Cambria"/>
          <w:sz w:val="20"/>
          <w:szCs w:val="20"/>
          <w:lang w:val="es-ES_tradnl"/>
        </w:rPr>
        <w:t xml:space="preserve">no sólo por el contenido de sus investigaciones y artículos periodísticos que se centraban en el actuar delictivo de grandes grupos de poder, sino también </w:t>
      </w:r>
      <w:r w:rsidR="00373D40" w:rsidRPr="0038781E">
        <w:rPr>
          <w:rFonts w:ascii="Cambria" w:hAnsi="Cambria"/>
          <w:sz w:val="20"/>
          <w:szCs w:val="20"/>
          <w:lang w:val="es-ES_tradnl"/>
        </w:rPr>
        <w:t xml:space="preserve">por </w:t>
      </w:r>
      <w:r w:rsidR="00750AEA" w:rsidRPr="0038781E">
        <w:rPr>
          <w:rFonts w:ascii="Cambria" w:hAnsi="Cambria"/>
          <w:sz w:val="20"/>
          <w:szCs w:val="20"/>
          <w:lang w:val="es-ES_tradnl"/>
        </w:rPr>
        <w:t xml:space="preserve">la </w:t>
      </w:r>
      <w:r w:rsidR="00373D40" w:rsidRPr="0038781E">
        <w:rPr>
          <w:rFonts w:ascii="Cambria" w:hAnsi="Cambria"/>
          <w:sz w:val="20"/>
          <w:szCs w:val="20"/>
          <w:lang w:val="es-ES_tradnl"/>
        </w:rPr>
        <w:t>naturaleza violenta de la zona en la cual residía y sobre la cual se refería en dichas investigaciones.</w:t>
      </w:r>
      <w:r w:rsidR="00EC5918" w:rsidRPr="0038781E">
        <w:rPr>
          <w:rFonts w:ascii="Cambria" w:hAnsi="Cambria"/>
          <w:sz w:val="20"/>
          <w:szCs w:val="20"/>
          <w:lang w:val="es-ES_tradnl"/>
        </w:rPr>
        <w:t xml:space="preserve"> </w:t>
      </w:r>
      <w:r w:rsidR="00750AEA" w:rsidRPr="0038781E">
        <w:rPr>
          <w:rFonts w:ascii="Cambria" w:hAnsi="Cambria"/>
          <w:sz w:val="20"/>
          <w:szCs w:val="20"/>
          <w:lang w:val="es-ES_tradnl"/>
        </w:rPr>
        <w:t>Asimismo, s</w:t>
      </w:r>
      <w:r w:rsidR="00EC5918" w:rsidRPr="0038781E">
        <w:rPr>
          <w:rFonts w:ascii="Cambria" w:hAnsi="Cambria"/>
          <w:sz w:val="20"/>
          <w:szCs w:val="20"/>
          <w:lang w:val="es-ES_tradnl"/>
        </w:rPr>
        <w:t>egún declaraciones brindadas a nivel interno, las últimas amenazas contra Santiago fueron recibidas un</w:t>
      </w:r>
      <w:r w:rsidR="004561B9" w:rsidRPr="0038781E">
        <w:rPr>
          <w:rFonts w:ascii="Cambria" w:hAnsi="Cambria"/>
          <w:sz w:val="20"/>
          <w:szCs w:val="20"/>
          <w:lang w:val="es-ES_tradnl"/>
        </w:rPr>
        <w:t>os días antes de su asesinato</w:t>
      </w:r>
      <w:r w:rsidR="00AE73A9" w:rsidRPr="0038781E">
        <w:rPr>
          <w:rFonts w:ascii="Cambria" w:hAnsi="Cambria"/>
          <w:sz w:val="20"/>
          <w:szCs w:val="20"/>
          <w:lang w:val="es-ES_tradnl"/>
        </w:rPr>
        <w:t xml:space="preserve"> y las advertencias por parte de sus</w:t>
      </w:r>
      <w:r w:rsidR="009E1864" w:rsidRPr="0038781E">
        <w:rPr>
          <w:rFonts w:ascii="Cambria" w:hAnsi="Cambria"/>
          <w:sz w:val="20"/>
          <w:szCs w:val="20"/>
          <w:lang w:val="es-ES_tradnl"/>
        </w:rPr>
        <w:t xml:space="preserve"> colegas se incrementaron días antes de su </w:t>
      </w:r>
      <w:r w:rsidR="00366F09" w:rsidRPr="0038781E">
        <w:rPr>
          <w:rFonts w:ascii="Cambria" w:hAnsi="Cambria"/>
          <w:sz w:val="20"/>
          <w:szCs w:val="20"/>
          <w:lang w:val="es-ES_tradnl"/>
        </w:rPr>
        <w:t>muerte</w:t>
      </w:r>
      <w:r w:rsidR="004561B9" w:rsidRPr="0038781E">
        <w:rPr>
          <w:rFonts w:ascii="Cambria" w:hAnsi="Cambria"/>
          <w:sz w:val="20"/>
          <w:szCs w:val="20"/>
          <w:lang w:val="es-ES_tradnl"/>
        </w:rPr>
        <w:t>.</w:t>
      </w:r>
      <w:r w:rsidR="00103DB0" w:rsidRPr="0038781E">
        <w:rPr>
          <w:rFonts w:ascii="Cambria" w:hAnsi="Cambria"/>
          <w:sz w:val="20"/>
          <w:szCs w:val="20"/>
          <w:lang w:val="es-ES_tradnl"/>
        </w:rPr>
        <w:t xml:space="preserve"> </w:t>
      </w:r>
      <w:r w:rsidRPr="0038781E">
        <w:rPr>
          <w:rFonts w:ascii="Cambria" w:hAnsi="Cambria"/>
          <w:sz w:val="20"/>
          <w:szCs w:val="20"/>
          <w:lang w:val="es-ES_tradnl"/>
        </w:rPr>
        <w:t>La Comisión advierte que el riesgo enfrentado por</w:t>
      </w:r>
      <w:r w:rsidR="00672E7C" w:rsidRPr="0038781E">
        <w:rPr>
          <w:rFonts w:ascii="Cambria" w:hAnsi="Cambria"/>
          <w:sz w:val="20"/>
          <w:szCs w:val="20"/>
          <w:lang w:val="es-ES_tradnl"/>
        </w:rPr>
        <w:t xml:space="preserve"> aquel </w:t>
      </w:r>
      <w:r w:rsidR="00BB0E1E" w:rsidRPr="0038781E">
        <w:rPr>
          <w:rFonts w:ascii="Cambria" w:hAnsi="Cambria"/>
          <w:sz w:val="20"/>
          <w:szCs w:val="20"/>
          <w:lang w:val="es-ES_tradnl"/>
        </w:rPr>
        <w:t>fue</w:t>
      </w:r>
      <w:r w:rsidR="00672E7C" w:rsidRPr="0038781E">
        <w:rPr>
          <w:rFonts w:ascii="Cambria" w:hAnsi="Cambria"/>
          <w:sz w:val="20"/>
          <w:szCs w:val="20"/>
          <w:lang w:val="es-ES_tradnl"/>
        </w:rPr>
        <w:t xml:space="preserve"> </w:t>
      </w:r>
      <w:r w:rsidR="00672E7C" w:rsidRPr="00420DFB">
        <w:rPr>
          <w:rFonts w:ascii="Cambria" w:hAnsi="Cambria"/>
          <w:sz w:val="20"/>
          <w:szCs w:val="20"/>
          <w:lang w:val="es-ES_tradnl"/>
        </w:rPr>
        <w:t>co</w:t>
      </w:r>
      <w:r w:rsidRPr="00420DFB">
        <w:rPr>
          <w:rFonts w:ascii="Cambria" w:hAnsi="Cambria"/>
          <w:sz w:val="20"/>
          <w:szCs w:val="20"/>
          <w:lang w:val="es-ES_tradnl"/>
        </w:rPr>
        <w:t xml:space="preserve">nsistente con la situación de </w:t>
      </w:r>
      <w:r w:rsidR="00FF1516" w:rsidRPr="00420DFB">
        <w:rPr>
          <w:rFonts w:ascii="Cambria" w:hAnsi="Cambria"/>
          <w:sz w:val="20"/>
          <w:szCs w:val="20"/>
          <w:lang w:val="es-ES_tradnl"/>
        </w:rPr>
        <w:t xml:space="preserve">violencia y criminalidad </w:t>
      </w:r>
      <w:r w:rsidRPr="00420DFB">
        <w:rPr>
          <w:rFonts w:ascii="Cambria" w:hAnsi="Cambria"/>
          <w:sz w:val="20"/>
          <w:szCs w:val="20"/>
          <w:lang w:val="es-ES_tradnl"/>
        </w:rPr>
        <w:t>que enfrentaba</w:t>
      </w:r>
      <w:r w:rsidR="00FF1516" w:rsidRPr="00420DFB">
        <w:rPr>
          <w:rFonts w:ascii="Cambria" w:hAnsi="Cambria"/>
          <w:sz w:val="20"/>
          <w:szCs w:val="20"/>
          <w:lang w:val="es-ES_tradnl"/>
        </w:rPr>
        <w:t xml:space="preserve"> la ciudad de Pedro Juan Caballero en</w:t>
      </w:r>
      <w:r w:rsidRPr="00420DFB">
        <w:rPr>
          <w:rFonts w:ascii="Cambria" w:hAnsi="Cambria"/>
          <w:sz w:val="20"/>
          <w:szCs w:val="20"/>
          <w:lang w:val="es-ES_tradnl"/>
        </w:rPr>
        <w:t xml:space="preserve"> la época de los hechos</w:t>
      </w:r>
      <w:r w:rsidR="00222CFC" w:rsidRPr="00420DFB">
        <w:rPr>
          <w:rFonts w:ascii="Cambria" w:hAnsi="Cambria"/>
          <w:sz w:val="20"/>
          <w:szCs w:val="20"/>
          <w:lang w:val="es-ES_tradnl"/>
        </w:rPr>
        <w:t xml:space="preserve">, la cual </w:t>
      </w:r>
      <w:r w:rsidR="00BB0E1E" w:rsidRPr="00420DFB">
        <w:rPr>
          <w:rFonts w:ascii="Cambria" w:hAnsi="Cambria"/>
          <w:sz w:val="20"/>
          <w:szCs w:val="20"/>
          <w:lang w:val="es-ES_tradnl"/>
        </w:rPr>
        <w:t>incluso se mantiene hasta la actualidad.</w:t>
      </w:r>
      <w:r w:rsidR="00A235FB" w:rsidRPr="00420DFB">
        <w:rPr>
          <w:rFonts w:ascii="Cambria" w:hAnsi="Cambria"/>
          <w:sz w:val="20"/>
          <w:szCs w:val="20"/>
          <w:lang w:val="es-ES_tradnl"/>
        </w:rPr>
        <w:t xml:space="preserve"> </w:t>
      </w:r>
      <w:r w:rsidRPr="00420DFB">
        <w:rPr>
          <w:rFonts w:ascii="Cambria" w:hAnsi="Cambria"/>
          <w:sz w:val="20"/>
          <w:szCs w:val="20"/>
          <w:lang w:val="es-US"/>
        </w:rPr>
        <w:t>Por lo tanto, teniendo en cuenta</w:t>
      </w:r>
      <w:r w:rsidR="0094299F" w:rsidRPr="00420DFB">
        <w:rPr>
          <w:rFonts w:ascii="Cambria" w:hAnsi="Cambria"/>
          <w:sz w:val="20"/>
          <w:szCs w:val="20"/>
          <w:lang w:val="es-US"/>
        </w:rPr>
        <w:t xml:space="preserve"> lo anteriormente señalado,</w:t>
      </w:r>
      <w:r w:rsidRPr="00420DFB">
        <w:rPr>
          <w:rFonts w:ascii="Cambria" w:hAnsi="Cambria"/>
          <w:sz w:val="20"/>
          <w:szCs w:val="20"/>
          <w:lang w:val="es-US"/>
        </w:rPr>
        <w:t xml:space="preserve"> </w:t>
      </w:r>
      <w:r w:rsidRPr="00420DFB">
        <w:rPr>
          <w:rFonts w:ascii="Cambria" w:hAnsi="Cambria"/>
          <w:sz w:val="20"/>
          <w:szCs w:val="20"/>
          <w:lang w:val="es-MX"/>
        </w:rPr>
        <w:t xml:space="preserve">la información </w:t>
      </w:r>
      <w:r w:rsidR="006B7AD7" w:rsidRPr="00420DFB">
        <w:rPr>
          <w:rFonts w:ascii="Cambria" w:hAnsi="Cambria"/>
          <w:sz w:val="20"/>
          <w:szCs w:val="20"/>
          <w:lang w:val="es-MX"/>
        </w:rPr>
        <w:t>conocida por</w:t>
      </w:r>
      <w:r w:rsidRPr="00420DFB">
        <w:rPr>
          <w:rFonts w:ascii="Cambria" w:hAnsi="Cambria"/>
          <w:sz w:val="20"/>
          <w:szCs w:val="20"/>
          <w:lang w:val="es-MX"/>
        </w:rPr>
        <w:t xml:space="preserve"> las autoridades,</w:t>
      </w:r>
      <w:r w:rsidR="002C1DFA" w:rsidRPr="00420DFB">
        <w:rPr>
          <w:rFonts w:ascii="Cambria" w:hAnsi="Cambria"/>
          <w:sz w:val="20"/>
          <w:szCs w:val="20"/>
          <w:lang w:val="es-MX"/>
        </w:rPr>
        <w:t xml:space="preserve"> </w:t>
      </w:r>
      <w:r w:rsidRPr="00420DFB">
        <w:rPr>
          <w:rFonts w:ascii="Cambria" w:hAnsi="Cambria"/>
          <w:sz w:val="20"/>
          <w:szCs w:val="20"/>
          <w:lang w:val="es-MX"/>
        </w:rPr>
        <w:t xml:space="preserve">sumado al </w:t>
      </w:r>
      <w:r w:rsidR="00232DAD" w:rsidRPr="00420DFB">
        <w:rPr>
          <w:rFonts w:ascii="Cambria" w:hAnsi="Cambria"/>
          <w:sz w:val="20"/>
          <w:szCs w:val="20"/>
          <w:lang w:val="es-MX"/>
        </w:rPr>
        <w:t xml:space="preserve">patrón de violencia </w:t>
      </w:r>
      <w:r w:rsidRPr="00420DFB">
        <w:rPr>
          <w:rFonts w:ascii="Cambria" w:hAnsi="Cambria"/>
          <w:sz w:val="20"/>
          <w:szCs w:val="20"/>
          <w:lang w:val="es-MX"/>
        </w:rPr>
        <w:t xml:space="preserve">y </w:t>
      </w:r>
      <w:r w:rsidR="00912961" w:rsidRPr="00420DFB">
        <w:rPr>
          <w:rFonts w:ascii="Cambria" w:hAnsi="Cambria"/>
          <w:sz w:val="20"/>
          <w:szCs w:val="20"/>
          <w:lang w:val="es-MX"/>
        </w:rPr>
        <w:t xml:space="preserve">a </w:t>
      </w:r>
      <w:r w:rsidRPr="00420DFB">
        <w:rPr>
          <w:rFonts w:ascii="Cambria" w:hAnsi="Cambria"/>
          <w:sz w:val="20"/>
          <w:szCs w:val="20"/>
          <w:lang w:val="es-MX"/>
        </w:rPr>
        <w:t>l</w:t>
      </w:r>
      <w:r w:rsidR="00912961" w:rsidRPr="00420DFB">
        <w:rPr>
          <w:rFonts w:ascii="Cambria" w:hAnsi="Cambria"/>
          <w:sz w:val="20"/>
          <w:szCs w:val="20"/>
          <w:lang w:val="es-MX"/>
        </w:rPr>
        <w:t>a proliferación</w:t>
      </w:r>
      <w:r w:rsidR="00B04ED8" w:rsidRPr="00420DFB">
        <w:rPr>
          <w:rFonts w:ascii="Cambria" w:hAnsi="Cambria"/>
          <w:sz w:val="20"/>
          <w:szCs w:val="20"/>
          <w:lang w:val="es-MX"/>
        </w:rPr>
        <w:t xml:space="preserve"> del</w:t>
      </w:r>
      <w:r w:rsidRPr="00420DFB">
        <w:rPr>
          <w:rFonts w:ascii="Cambria" w:hAnsi="Cambria"/>
          <w:sz w:val="20"/>
          <w:szCs w:val="20"/>
          <w:lang w:val="es-MX"/>
        </w:rPr>
        <w:t xml:space="preserve"> crimen organizado existente </w:t>
      </w:r>
      <w:r w:rsidR="006B7AD7" w:rsidRPr="00420DFB">
        <w:rPr>
          <w:rFonts w:ascii="Cambria" w:hAnsi="Cambria"/>
          <w:sz w:val="20"/>
          <w:szCs w:val="20"/>
          <w:lang w:val="es-MX"/>
        </w:rPr>
        <w:t>en Pedro Juan Caballero</w:t>
      </w:r>
      <w:r w:rsidRPr="00420DFB">
        <w:rPr>
          <w:rFonts w:ascii="Cambria" w:hAnsi="Cambria"/>
          <w:sz w:val="20"/>
          <w:szCs w:val="20"/>
          <w:lang w:val="es-MX"/>
        </w:rPr>
        <w:t xml:space="preserve"> al momento en el que ocurrieron los hechos</w:t>
      </w:r>
      <w:r w:rsidR="00E84E4F" w:rsidRPr="00420DFB">
        <w:rPr>
          <w:rFonts w:ascii="Cambria" w:hAnsi="Cambria"/>
          <w:sz w:val="20"/>
          <w:szCs w:val="20"/>
          <w:lang w:val="es-MX"/>
        </w:rPr>
        <w:t xml:space="preserve">, </w:t>
      </w:r>
      <w:r w:rsidR="00A364E8" w:rsidRPr="00420DFB">
        <w:rPr>
          <w:rFonts w:ascii="Cambria" w:hAnsi="Cambria"/>
          <w:sz w:val="20"/>
          <w:szCs w:val="20"/>
          <w:lang w:val="es-MX"/>
        </w:rPr>
        <w:t xml:space="preserve">que el propio Estado conocía y sobre </w:t>
      </w:r>
      <w:r w:rsidR="00EF4A77" w:rsidRPr="00420DFB">
        <w:rPr>
          <w:rFonts w:ascii="Cambria" w:hAnsi="Cambria"/>
          <w:sz w:val="20"/>
          <w:szCs w:val="20"/>
          <w:lang w:val="es-MX"/>
        </w:rPr>
        <w:t>el</w:t>
      </w:r>
      <w:r w:rsidR="0026406D" w:rsidRPr="00420DFB">
        <w:rPr>
          <w:rFonts w:ascii="Cambria" w:hAnsi="Cambria"/>
          <w:sz w:val="20"/>
          <w:szCs w:val="20"/>
          <w:lang w:val="es-MX"/>
        </w:rPr>
        <w:t xml:space="preserve"> cual el periodista denunciaba,</w:t>
      </w:r>
      <w:r w:rsidR="006F4B1A" w:rsidRPr="00420DFB">
        <w:rPr>
          <w:rFonts w:ascii="Cambria" w:hAnsi="Cambria"/>
          <w:sz w:val="20"/>
          <w:szCs w:val="20"/>
          <w:lang w:val="es-MX"/>
        </w:rPr>
        <w:t xml:space="preserve"> </w:t>
      </w:r>
      <w:r w:rsidRPr="00420DFB">
        <w:rPr>
          <w:rFonts w:ascii="Cambria" w:hAnsi="Cambria"/>
          <w:sz w:val="20"/>
          <w:szCs w:val="20"/>
          <w:lang w:val="es-US"/>
        </w:rPr>
        <w:t xml:space="preserve">la Comisión concluye que </w:t>
      </w:r>
      <w:r w:rsidR="006B7AD7" w:rsidRPr="00420DFB">
        <w:rPr>
          <w:rFonts w:ascii="Cambria" w:hAnsi="Cambria"/>
          <w:sz w:val="20"/>
          <w:szCs w:val="20"/>
          <w:lang w:val="es-ES_tradnl"/>
        </w:rPr>
        <w:t xml:space="preserve">Santiago Leguizamón </w:t>
      </w:r>
      <w:r w:rsidR="00DE7703" w:rsidRPr="00420DFB">
        <w:rPr>
          <w:rFonts w:ascii="Cambria" w:hAnsi="Cambria"/>
          <w:sz w:val="20"/>
          <w:szCs w:val="20"/>
          <w:lang w:val="es-ES_tradnl"/>
        </w:rPr>
        <w:t>recibió amenazas</w:t>
      </w:r>
      <w:r w:rsidR="0029430D" w:rsidRPr="00420DFB">
        <w:rPr>
          <w:rFonts w:ascii="Cambria" w:hAnsi="Cambria"/>
          <w:sz w:val="20"/>
          <w:szCs w:val="20"/>
          <w:lang w:val="es-ES_tradnl"/>
        </w:rPr>
        <w:t xml:space="preserve"> </w:t>
      </w:r>
      <w:r w:rsidR="00DE7703" w:rsidRPr="00420DFB">
        <w:rPr>
          <w:rFonts w:ascii="Cambria" w:hAnsi="Cambria"/>
          <w:sz w:val="20"/>
          <w:szCs w:val="20"/>
          <w:lang w:val="es-ES_tradnl"/>
        </w:rPr>
        <w:t xml:space="preserve">que </w:t>
      </w:r>
      <w:r w:rsidR="00F340D0" w:rsidRPr="00420DFB">
        <w:rPr>
          <w:rFonts w:ascii="Cambria" w:hAnsi="Cambria"/>
          <w:sz w:val="20"/>
          <w:szCs w:val="20"/>
          <w:lang w:val="es-ES_tradnl"/>
        </w:rPr>
        <w:t>l</w:t>
      </w:r>
      <w:r w:rsidR="00C87161" w:rsidRPr="00420DFB">
        <w:rPr>
          <w:rFonts w:ascii="Cambria" w:hAnsi="Cambria"/>
          <w:sz w:val="20"/>
          <w:szCs w:val="20"/>
          <w:lang w:val="es-ES_tradnl"/>
        </w:rPr>
        <w:t>o colocaron en</w:t>
      </w:r>
      <w:r w:rsidR="00F340D0" w:rsidRPr="00420DFB">
        <w:rPr>
          <w:rFonts w:ascii="Cambria" w:hAnsi="Cambria"/>
          <w:sz w:val="20"/>
          <w:szCs w:val="20"/>
          <w:lang w:val="es-US"/>
        </w:rPr>
        <w:t xml:space="preserve"> </w:t>
      </w:r>
      <w:r w:rsidRPr="00420DFB">
        <w:rPr>
          <w:rFonts w:ascii="Cambria" w:hAnsi="Cambria"/>
          <w:sz w:val="20"/>
          <w:szCs w:val="20"/>
          <w:lang w:val="es-US"/>
        </w:rPr>
        <w:t>un riesgo real e inmediato para su vida</w:t>
      </w:r>
      <w:r w:rsidR="006B7AD7" w:rsidRPr="00420DFB">
        <w:rPr>
          <w:rFonts w:ascii="Cambria" w:hAnsi="Cambria"/>
          <w:sz w:val="20"/>
          <w:szCs w:val="20"/>
          <w:lang w:val="es-US"/>
        </w:rPr>
        <w:t>.</w:t>
      </w:r>
    </w:p>
    <w:p w14:paraId="280269FE" w14:textId="77777777" w:rsidR="00C27961" w:rsidRPr="00420DFB" w:rsidRDefault="00C27961" w:rsidP="00C2796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20"/>
          <w:szCs w:val="20"/>
          <w:lang w:val="es-ES_tradnl"/>
        </w:rPr>
      </w:pPr>
    </w:p>
    <w:p w14:paraId="5597F8D2" w14:textId="3C453DEA" w:rsidR="0038781E" w:rsidRPr="00420DFB" w:rsidRDefault="00BB2DC4" w:rsidP="0038781E">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PE"/>
        </w:rPr>
      </w:pPr>
      <w:r w:rsidRPr="00420DFB">
        <w:rPr>
          <w:rFonts w:ascii="Cambria" w:hAnsi="Cambria"/>
          <w:sz w:val="20"/>
          <w:szCs w:val="20"/>
          <w:lang w:val="es-ES_tradnl"/>
        </w:rPr>
        <w:t xml:space="preserve">En cuanto a si las autoridades que tuvieron conocimiento de la situación de riesgo adoptaron </w:t>
      </w:r>
      <w:r w:rsidRPr="00420DFB">
        <w:rPr>
          <w:rFonts w:ascii="Cambria" w:hAnsi="Cambria"/>
          <w:sz w:val="20"/>
          <w:szCs w:val="20"/>
          <w:lang w:val="es-MX"/>
        </w:rPr>
        <w:t>las medidas necesarias, dentro del ámbito de sus atribuciones que, juzgadas razonablemente, podían esperarse para prevenir o evitar ese riesgo</w:t>
      </w:r>
      <w:r w:rsidRPr="00420DFB">
        <w:rPr>
          <w:rFonts w:ascii="Cambria" w:hAnsi="Cambria"/>
          <w:sz w:val="20"/>
          <w:szCs w:val="20"/>
          <w:lang w:val="es-ES_tradnl"/>
        </w:rPr>
        <w:t xml:space="preserve">, la CIDH nota que, a </w:t>
      </w:r>
      <w:r w:rsidRPr="00420DFB">
        <w:rPr>
          <w:rFonts w:ascii="Cambria" w:hAnsi="Cambria"/>
          <w:sz w:val="20"/>
          <w:szCs w:val="20"/>
          <w:lang w:val="es-MX"/>
        </w:rPr>
        <w:t>partir de</w:t>
      </w:r>
      <w:r w:rsidR="00381918" w:rsidRPr="00420DFB">
        <w:rPr>
          <w:rFonts w:ascii="Cambria" w:hAnsi="Cambria"/>
          <w:sz w:val="20"/>
          <w:szCs w:val="20"/>
          <w:lang w:val="es-MX"/>
        </w:rPr>
        <w:t xml:space="preserve">l conocimiento </w:t>
      </w:r>
      <w:r w:rsidR="0023096B" w:rsidRPr="00420DFB">
        <w:rPr>
          <w:rFonts w:ascii="Cambria" w:hAnsi="Cambria"/>
          <w:sz w:val="20"/>
          <w:szCs w:val="20"/>
          <w:lang w:val="es-MX"/>
        </w:rPr>
        <w:t xml:space="preserve">del riesgo por parte </w:t>
      </w:r>
      <w:r w:rsidR="00381918" w:rsidRPr="00420DFB">
        <w:rPr>
          <w:rFonts w:ascii="Cambria" w:hAnsi="Cambria"/>
          <w:sz w:val="20"/>
          <w:szCs w:val="20"/>
          <w:lang w:val="es-MX"/>
        </w:rPr>
        <w:t>del Estado,</w:t>
      </w:r>
      <w:r w:rsidRPr="00420DFB">
        <w:rPr>
          <w:rFonts w:ascii="Cambria" w:hAnsi="Cambria"/>
          <w:sz w:val="20"/>
          <w:szCs w:val="20"/>
          <w:lang w:val="es-MX"/>
        </w:rPr>
        <w:t xml:space="preserve"> se activó </w:t>
      </w:r>
      <w:r w:rsidR="00381918" w:rsidRPr="00420DFB">
        <w:rPr>
          <w:rFonts w:ascii="Cambria" w:hAnsi="Cambria"/>
          <w:sz w:val="20"/>
          <w:szCs w:val="20"/>
          <w:lang w:val="es-MX"/>
        </w:rPr>
        <w:t>su</w:t>
      </w:r>
      <w:r w:rsidRPr="00420DFB">
        <w:rPr>
          <w:rFonts w:ascii="Cambria" w:hAnsi="Cambria"/>
          <w:sz w:val="20"/>
          <w:szCs w:val="20"/>
          <w:lang w:val="es-MX"/>
        </w:rPr>
        <w:t xml:space="preserve"> deber de adoptar medidas de protección, conforme al deber de garantía</w:t>
      </w:r>
      <w:r w:rsidR="00C74D18" w:rsidRPr="00420DFB">
        <w:rPr>
          <w:rFonts w:ascii="Cambria" w:hAnsi="Cambria"/>
          <w:sz w:val="20"/>
          <w:szCs w:val="20"/>
          <w:lang w:val="es-MX"/>
        </w:rPr>
        <w:t>, para lo cual también debieron realizar un a</w:t>
      </w:r>
      <w:r w:rsidR="00FA7DFD" w:rsidRPr="00420DFB">
        <w:rPr>
          <w:rFonts w:ascii="Cambria" w:hAnsi="Cambria"/>
          <w:sz w:val="20"/>
          <w:szCs w:val="20"/>
          <w:lang w:val="es-MX"/>
        </w:rPr>
        <w:t>n</w:t>
      </w:r>
      <w:r w:rsidR="00C74D18" w:rsidRPr="00420DFB">
        <w:rPr>
          <w:rFonts w:ascii="Cambria" w:hAnsi="Cambria"/>
          <w:sz w:val="20"/>
          <w:szCs w:val="20"/>
          <w:lang w:val="es-MX"/>
        </w:rPr>
        <w:t>álisi</w:t>
      </w:r>
      <w:r w:rsidR="00FA7DFD" w:rsidRPr="00420DFB">
        <w:rPr>
          <w:rFonts w:ascii="Cambria" w:hAnsi="Cambria"/>
          <w:sz w:val="20"/>
          <w:szCs w:val="20"/>
          <w:lang w:val="es-MX"/>
        </w:rPr>
        <w:t>s de riesgo</w:t>
      </w:r>
      <w:r w:rsidR="0023096B" w:rsidRPr="00420DFB">
        <w:rPr>
          <w:rFonts w:ascii="Cambria" w:hAnsi="Cambria"/>
          <w:sz w:val="20"/>
          <w:szCs w:val="20"/>
          <w:lang w:val="es-MX"/>
        </w:rPr>
        <w:t xml:space="preserve">. </w:t>
      </w:r>
      <w:r w:rsidR="00FA7DFD" w:rsidRPr="00420DFB">
        <w:rPr>
          <w:rFonts w:ascii="Cambria" w:hAnsi="Cambria"/>
          <w:sz w:val="20"/>
          <w:szCs w:val="20"/>
          <w:lang w:val="es-PE"/>
        </w:rPr>
        <w:t>La CIDH ha considerado que “</w:t>
      </w:r>
      <w:r w:rsidR="00FA7DFD" w:rsidRPr="00420DFB">
        <w:rPr>
          <w:rFonts w:ascii="Cambria" w:hAnsi="Cambria"/>
          <w:sz w:val="20"/>
          <w:szCs w:val="20"/>
          <w:lang w:val="es-ES_tradnl"/>
        </w:rPr>
        <w:t>[l]</w:t>
      </w:r>
      <w:r w:rsidR="00FA7DFD" w:rsidRPr="00420DFB">
        <w:rPr>
          <w:rFonts w:ascii="Cambria" w:hAnsi="Cambria"/>
          <w:sz w:val="20"/>
          <w:szCs w:val="20"/>
          <w:lang w:val="es-PE"/>
        </w:rPr>
        <w:t xml:space="preserve">a evaluación del riesgo debe ser entendida como el medio por el cual el Estado estudiará la mejor manera bajo la cual cumplirá con su obligación de protección, para ello, el Estado debe garantizar que en el proceso de evaluación del riesgo exista una adecuada comunicación y participación activa </w:t>
      </w:r>
      <w:r w:rsidR="0059383B" w:rsidRPr="00420DFB">
        <w:rPr>
          <w:rFonts w:ascii="Cambria" w:hAnsi="Cambria"/>
          <w:sz w:val="20"/>
          <w:szCs w:val="20"/>
          <w:lang w:val="es-PE"/>
        </w:rPr>
        <w:t xml:space="preserve">[de la </w:t>
      </w:r>
      <w:r w:rsidR="00CA4DB3" w:rsidRPr="00420DFB">
        <w:rPr>
          <w:rFonts w:ascii="Cambria" w:hAnsi="Cambria"/>
          <w:sz w:val="20"/>
          <w:szCs w:val="20"/>
          <w:lang w:val="es-PE"/>
        </w:rPr>
        <w:t>víctima]</w:t>
      </w:r>
      <w:r w:rsidR="00FA7DFD" w:rsidRPr="00420DFB">
        <w:rPr>
          <w:rFonts w:ascii="Cambria" w:hAnsi="Cambria"/>
          <w:sz w:val="20"/>
          <w:szCs w:val="20"/>
          <w:lang w:val="es-PE"/>
        </w:rPr>
        <w:t>”. La CIDH ha indicado que “</w:t>
      </w:r>
      <w:r w:rsidR="00FA7DFD" w:rsidRPr="00420DFB">
        <w:rPr>
          <w:rFonts w:ascii="Cambria" w:hAnsi="Cambria"/>
          <w:sz w:val="20"/>
          <w:szCs w:val="20"/>
          <w:lang w:val="es-MX"/>
        </w:rPr>
        <w:t>[u]</w:t>
      </w:r>
      <w:r w:rsidR="00FA7DFD" w:rsidRPr="00420DFB">
        <w:rPr>
          <w:rFonts w:ascii="Cambria" w:hAnsi="Cambria"/>
          <w:sz w:val="20"/>
          <w:szCs w:val="20"/>
          <w:lang w:val="es-ES"/>
        </w:rPr>
        <w:t xml:space="preserve">na adecuada evaluación del riesgo debe permitir al Estado adoptar las medidas de seguridad apropiadas para salvaguardar los derechos del </w:t>
      </w:r>
      <w:r w:rsidR="00CA4DB3" w:rsidRPr="00420DFB">
        <w:rPr>
          <w:rFonts w:ascii="Cambria" w:hAnsi="Cambria"/>
          <w:sz w:val="20"/>
          <w:szCs w:val="20"/>
          <w:lang w:val="es-ES"/>
        </w:rPr>
        <w:t>[…]</w:t>
      </w:r>
      <w:r w:rsidR="00FA7DFD" w:rsidRPr="00420DFB">
        <w:rPr>
          <w:rFonts w:ascii="Cambria" w:hAnsi="Cambria"/>
          <w:sz w:val="20"/>
          <w:szCs w:val="20"/>
          <w:lang w:val="es-ES"/>
        </w:rPr>
        <w:t xml:space="preserve"> solicitante y garantizar así la continuidad de sus actividades”</w:t>
      </w:r>
      <w:r w:rsidR="00FA7DFD" w:rsidRPr="00420DFB">
        <w:rPr>
          <w:rStyle w:val="FootnoteReference"/>
          <w:rFonts w:ascii="Cambria" w:hAnsi="Cambria"/>
          <w:sz w:val="20"/>
          <w:szCs w:val="20"/>
          <w:lang w:val="es-PE"/>
        </w:rPr>
        <w:t xml:space="preserve"> </w:t>
      </w:r>
      <w:r w:rsidR="00FA7DFD" w:rsidRPr="00420DFB">
        <w:rPr>
          <w:rStyle w:val="FootnoteReference"/>
          <w:rFonts w:ascii="Cambria" w:hAnsi="Cambria"/>
          <w:sz w:val="20"/>
          <w:szCs w:val="20"/>
        </w:rPr>
        <w:footnoteReference w:id="135"/>
      </w:r>
      <w:r w:rsidR="00FA7DFD" w:rsidRPr="00420DFB">
        <w:rPr>
          <w:rFonts w:ascii="Cambria" w:hAnsi="Cambria"/>
          <w:sz w:val="20"/>
          <w:szCs w:val="20"/>
          <w:lang w:val="es-ES"/>
        </w:rPr>
        <w:t xml:space="preserve">. </w:t>
      </w:r>
    </w:p>
    <w:p w14:paraId="491EDD49" w14:textId="77777777" w:rsidR="0038781E" w:rsidRPr="00420DFB" w:rsidRDefault="0038781E" w:rsidP="0060176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20"/>
          <w:szCs w:val="20"/>
          <w:lang w:val="es-PE"/>
        </w:rPr>
      </w:pPr>
    </w:p>
    <w:p w14:paraId="06E5D7DD" w14:textId="7361ED06" w:rsidR="00DF10D7" w:rsidRPr="00420DFB" w:rsidRDefault="0023096B" w:rsidP="0060176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PE"/>
        </w:rPr>
      </w:pPr>
      <w:r w:rsidRPr="00420DFB">
        <w:rPr>
          <w:rFonts w:ascii="Cambria" w:hAnsi="Cambria"/>
          <w:sz w:val="20"/>
          <w:szCs w:val="20"/>
          <w:lang w:val="es-MX"/>
        </w:rPr>
        <w:t>Sin embargo,</w:t>
      </w:r>
      <w:r w:rsidR="00D863F1" w:rsidRPr="00420DFB">
        <w:rPr>
          <w:rFonts w:ascii="Cambria" w:hAnsi="Cambria"/>
          <w:sz w:val="20"/>
          <w:szCs w:val="20"/>
          <w:lang w:val="es-MX"/>
        </w:rPr>
        <w:t xml:space="preserve"> no consta </w:t>
      </w:r>
      <w:r w:rsidR="00BB2DC4" w:rsidRPr="00420DFB">
        <w:rPr>
          <w:rFonts w:ascii="Cambria" w:hAnsi="Cambria"/>
          <w:sz w:val="20"/>
          <w:szCs w:val="20"/>
          <w:lang w:val="es-MX"/>
        </w:rPr>
        <w:t xml:space="preserve">en el expediente que </w:t>
      </w:r>
      <w:r w:rsidRPr="00420DFB">
        <w:rPr>
          <w:rFonts w:ascii="Cambria" w:hAnsi="Cambria"/>
          <w:sz w:val="20"/>
          <w:szCs w:val="20"/>
          <w:lang w:val="es-MX"/>
        </w:rPr>
        <w:t xml:space="preserve">Paraguay </w:t>
      </w:r>
      <w:r w:rsidR="00BB2DC4" w:rsidRPr="00420DFB">
        <w:rPr>
          <w:rFonts w:ascii="Cambria" w:hAnsi="Cambria"/>
          <w:sz w:val="20"/>
          <w:szCs w:val="20"/>
          <w:lang w:val="es-MX"/>
        </w:rPr>
        <w:t xml:space="preserve">haya </w:t>
      </w:r>
      <w:r w:rsidR="00591B01">
        <w:rPr>
          <w:rFonts w:ascii="Cambria" w:hAnsi="Cambria"/>
          <w:sz w:val="20"/>
          <w:szCs w:val="20"/>
          <w:lang w:val="es-MX"/>
        </w:rPr>
        <w:t>adoptado</w:t>
      </w:r>
      <w:r w:rsidR="00BB2DC4" w:rsidRPr="00420DFB">
        <w:rPr>
          <w:rFonts w:ascii="Cambria" w:hAnsi="Cambria"/>
          <w:sz w:val="20"/>
          <w:szCs w:val="20"/>
          <w:lang w:val="es-MX"/>
        </w:rPr>
        <w:t xml:space="preserve"> las </w:t>
      </w:r>
      <w:r w:rsidR="00BB2DC4" w:rsidRPr="00420DFB">
        <w:rPr>
          <w:rFonts w:ascii="Cambria" w:hAnsi="Cambria"/>
          <w:sz w:val="20"/>
          <w:szCs w:val="20"/>
          <w:lang w:val="es-US"/>
        </w:rPr>
        <w:t xml:space="preserve">medidas de protección que el riesgo </w:t>
      </w:r>
      <w:r w:rsidR="00332B28" w:rsidRPr="00420DFB">
        <w:rPr>
          <w:rFonts w:ascii="Cambria" w:hAnsi="Cambria"/>
          <w:sz w:val="20"/>
          <w:szCs w:val="20"/>
          <w:lang w:val="es-US"/>
        </w:rPr>
        <w:t xml:space="preserve">especial en razón del ejercicio periodístico </w:t>
      </w:r>
      <w:r w:rsidR="00BB2DC4" w:rsidRPr="00420DFB">
        <w:rPr>
          <w:rFonts w:ascii="Cambria" w:hAnsi="Cambria"/>
          <w:sz w:val="20"/>
          <w:szCs w:val="20"/>
          <w:lang w:val="es-US"/>
        </w:rPr>
        <w:t xml:space="preserve">ameritaba. </w:t>
      </w:r>
      <w:r w:rsidR="00821BE5" w:rsidRPr="00420DFB">
        <w:rPr>
          <w:rFonts w:ascii="Cambria" w:hAnsi="Cambria"/>
          <w:sz w:val="20"/>
          <w:szCs w:val="20"/>
          <w:lang w:val="es-US"/>
        </w:rPr>
        <w:t xml:space="preserve">En efecto, </w:t>
      </w:r>
      <w:r w:rsidR="00D129F8" w:rsidRPr="00420DFB">
        <w:rPr>
          <w:rFonts w:ascii="Cambria" w:hAnsi="Cambria"/>
          <w:sz w:val="20"/>
          <w:szCs w:val="20"/>
          <w:lang w:val="es-PE"/>
        </w:rPr>
        <w:t xml:space="preserve">el Estado no ha aportado información que demuestre que al tener conocimiento de la situación de riesgo específico hubiera realizado los esfuerzos suficientes para </w:t>
      </w:r>
      <w:r w:rsidR="00DA260F" w:rsidRPr="00420DFB">
        <w:rPr>
          <w:rFonts w:ascii="Cambria" w:hAnsi="Cambria"/>
          <w:sz w:val="20"/>
          <w:szCs w:val="20"/>
          <w:lang w:val="es-PE"/>
        </w:rPr>
        <w:t xml:space="preserve">hacer un seguimiento serio, oportuno y diligente </w:t>
      </w:r>
      <w:r w:rsidR="001008A4" w:rsidRPr="00420DFB">
        <w:rPr>
          <w:rFonts w:ascii="Cambria" w:hAnsi="Cambria"/>
          <w:sz w:val="20"/>
          <w:szCs w:val="20"/>
          <w:lang w:val="es-PE"/>
        </w:rPr>
        <w:t xml:space="preserve">para </w:t>
      </w:r>
      <w:r w:rsidR="00CF5364" w:rsidRPr="00420DFB">
        <w:rPr>
          <w:rFonts w:ascii="Cambria" w:hAnsi="Cambria" w:cs="Arial"/>
          <w:sz w:val="20"/>
          <w:szCs w:val="20"/>
          <w:lang w:val="es-PE"/>
        </w:rPr>
        <w:t>conocer</w:t>
      </w:r>
      <w:r w:rsidR="00E51FCD" w:rsidRPr="00420DFB">
        <w:rPr>
          <w:rFonts w:ascii="Cambria" w:hAnsi="Cambria" w:cs="Arial"/>
          <w:sz w:val="20"/>
          <w:szCs w:val="20"/>
          <w:lang w:val="es-PE"/>
        </w:rPr>
        <w:t xml:space="preserve"> de forma</w:t>
      </w:r>
      <w:r w:rsidR="00602EE4" w:rsidRPr="00420DFB">
        <w:rPr>
          <w:rFonts w:ascii="Cambria" w:hAnsi="Cambria" w:cs="Arial"/>
          <w:sz w:val="20"/>
          <w:szCs w:val="20"/>
          <w:lang w:val="es-PE"/>
        </w:rPr>
        <w:t xml:space="preserve"> más específic</w:t>
      </w:r>
      <w:r w:rsidR="00E51FCD" w:rsidRPr="00420DFB">
        <w:rPr>
          <w:rFonts w:ascii="Cambria" w:hAnsi="Cambria" w:cs="Arial"/>
          <w:sz w:val="20"/>
          <w:szCs w:val="20"/>
          <w:lang w:val="es-PE"/>
        </w:rPr>
        <w:t>a</w:t>
      </w:r>
      <w:r w:rsidR="00602EE4" w:rsidRPr="00420DFB">
        <w:rPr>
          <w:rFonts w:ascii="Cambria" w:hAnsi="Cambria" w:cs="Arial"/>
          <w:sz w:val="20"/>
          <w:szCs w:val="20"/>
          <w:lang w:val="es-PE"/>
        </w:rPr>
        <w:t xml:space="preserve"> el contenido de las amenazas sufridas </w:t>
      </w:r>
      <w:r w:rsidR="00E0435A" w:rsidRPr="00420DFB">
        <w:rPr>
          <w:rFonts w:ascii="Cambria" w:hAnsi="Cambria" w:cs="Arial"/>
          <w:sz w:val="20"/>
          <w:szCs w:val="20"/>
          <w:lang w:val="es-PE"/>
        </w:rPr>
        <w:t xml:space="preserve">ni </w:t>
      </w:r>
      <w:r w:rsidR="00442D13" w:rsidRPr="00420DFB">
        <w:rPr>
          <w:rFonts w:ascii="Cambria" w:hAnsi="Cambria" w:cs="Arial"/>
          <w:sz w:val="20"/>
          <w:szCs w:val="20"/>
          <w:lang w:val="es-PE"/>
        </w:rPr>
        <w:t>su</w:t>
      </w:r>
      <w:r w:rsidR="00E0435A" w:rsidRPr="00420DFB">
        <w:rPr>
          <w:rFonts w:ascii="Cambria" w:hAnsi="Cambria" w:cs="Arial"/>
          <w:sz w:val="20"/>
          <w:szCs w:val="20"/>
          <w:lang w:val="es-PE"/>
        </w:rPr>
        <w:t xml:space="preserve"> relación con el ejerc</w:t>
      </w:r>
      <w:r w:rsidR="00BB0A54" w:rsidRPr="00420DFB">
        <w:rPr>
          <w:rFonts w:ascii="Cambria" w:hAnsi="Cambria" w:cs="Arial"/>
          <w:sz w:val="20"/>
          <w:szCs w:val="20"/>
          <w:lang w:val="es-PE"/>
        </w:rPr>
        <w:t xml:space="preserve">icio periodístico, </w:t>
      </w:r>
      <w:r w:rsidR="00220EAA" w:rsidRPr="00420DFB">
        <w:rPr>
          <w:rFonts w:ascii="Cambria" w:hAnsi="Cambria" w:cs="Arial"/>
          <w:sz w:val="20"/>
          <w:szCs w:val="20"/>
          <w:lang w:val="es-PE"/>
        </w:rPr>
        <w:t>con el fin de realizar</w:t>
      </w:r>
      <w:r w:rsidR="00602EE4" w:rsidRPr="00420DFB">
        <w:rPr>
          <w:rFonts w:ascii="Cambria" w:hAnsi="Cambria" w:cs="Arial"/>
          <w:sz w:val="20"/>
          <w:szCs w:val="20"/>
          <w:lang w:val="es-PE"/>
        </w:rPr>
        <w:t xml:space="preserve"> el análisis de riesgo correspondiente y ofrecer las medidas de protección necesarias</w:t>
      </w:r>
      <w:r w:rsidR="00DD4AA8" w:rsidRPr="00420DFB">
        <w:rPr>
          <w:rFonts w:ascii="Cambria" w:hAnsi="Cambria" w:cs="Arial"/>
          <w:sz w:val="20"/>
          <w:szCs w:val="20"/>
          <w:lang w:val="es-PE"/>
        </w:rPr>
        <w:t xml:space="preserve"> </w:t>
      </w:r>
      <w:r w:rsidR="00DD4AA8" w:rsidRPr="00420DFB">
        <w:rPr>
          <w:rFonts w:ascii="Cambria" w:hAnsi="Cambria"/>
          <w:sz w:val="20"/>
          <w:szCs w:val="20"/>
          <w:lang w:val="es-PE"/>
        </w:rPr>
        <w:t xml:space="preserve">para preservar </w:t>
      </w:r>
      <w:r w:rsidR="0031200D" w:rsidRPr="00420DFB">
        <w:rPr>
          <w:rFonts w:ascii="Cambria" w:hAnsi="Cambria"/>
          <w:sz w:val="20"/>
          <w:szCs w:val="20"/>
          <w:lang w:val="es-PE"/>
        </w:rPr>
        <w:t xml:space="preserve">la </w:t>
      </w:r>
      <w:r w:rsidR="00DD4AA8" w:rsidRPr="00420DFB">
        <w:rPr>
          <w:rFonts w:ascii="Cambria" w:hAnsi="Cambria"/>
          <w:sz w:val="20"/>
          <w:szCs w:val="20"/>
          <w:lang w:val="es-PE"/>
        </w:rPr>
        <w:t>vida</w:t>
      </w:r>
      <w:r w:rsidR="0031200D" w:rsidRPr="00420DFB">
        <w:rPr>
          <w:rFonts w:ascii="Cambria" w:hAnsi="Cambria"/>
          <w:sz w:val="20"/>
          <w:szCs w:val="20"/>
          <w:lang w:val="es-PE"/>
        </w:rPr>
        <w:t xml:space="preserve"> de</w:t>
      </w:r>
      <w:r w:rsidR="00F04969" w:rsidRPr="00420DFB">
        <w:rPr>
          <w:rFonts w:ascii="Cambria" w:hAnsi="Cambria"/>
          <w:sz w:val="20"/>
          <w:szCs w:val="20"/>
          <w:lang w:val="es-PE"/>
        </w:rPr>
        <w:t xml:space="preserve"> Santiago Leguizamón</w:t>
      </w:r>
      <w:r w:rsidR="00602EE4" w:rsidRPr="00420DFB">
        <w:rPr>
          <w:rFonts w:ascii="Cambria" w:hAnsi="Cambria" w:cs="Arial"/>
          <w:sz w:val="20"/>
          <w:szCs w:val="20"/>
          <w:lang w:val="es-PE"/>
        </w:rPr>
        <w:t>.</w:t>
      </w:r>
      <w:r w:rsidR="00D2189F" w:rsidRPr="00420DFB">
        <w:rPr>
          <w:rFonts w:ascii="Cambria" w:hAnsi="Cambria" w:cs="Arial"/>
          <w:sz w:val="20"/>
          <w:szCs w:val="20"/>
          <w:lang w:val="es-PE"/>
        </w:rPr>
        <w:t xml:space="preserve"> </w:t>
      </w:r>
      <w:r w:rsidR="00786EE4" w:rsidRPr="00420DFB">
        <w:rPr>
          <w:rFonts w:ascii="Cambria" w:hAnsi="Cambria" w:cs="Arial"/>
          <w:sz w:val="20"/>
          <w:szCs w:val="20"/>
          <w:lang w:val="es-PE"/>
        </w:rPr>
        <w:t xml:space="preserve">Lo anterior, máxime </w:t>
      </w:r>
      <w:r w:rsidR="00260DFE" w:rsidRPr="00420DFB">
        <w:rPr>
          <w:rFonts w:ascii="Cambria" w:hAnsi="Cambria" w:cs="Arial"/>
          <w:sz w:val="20"/>
          <w:szCs w:val="20"/>
          <w:lang w:val="es-PE"/>
        </w:rPr>
        <w:t>el patrón de violencia de la zona</w:t>
      </w:r>
      <w:r w:rsidR="005A5DE4" w:rsidRPr="00420DFB">
        <w:rPr>
          <w:rFonts w:ascii="Cambria" w:hAnsi="Cambria" w:cs="Arial"/>
          <w:sz w:val="20"/>
          <w:szCs w:val="20"/>
          <w:lang w:val="es-PE"/>
        </w:rPr>
        <w:t xml:space="preserve"> y l</w:t>
      </w:r>
      <w:r w:rsidR="006F0624" w:rsidRPr="00420DFB">
        <w:rPr>
          <w:rFonts w:ascii="Cambria" w:hAnsi="Cambria" w:cs="Arial"/>
          <w:sz w:val="20"/>
          <w:szCs w:val="20"/>
          <w:lang w:val="es-PE"/>
        </w:rPr>
        <w:t>a desconfianza que podría haber tenido el periodista en la efectividad de las instituciones estat</w:t>
      </w:r>
      <w:r w:rsidR="00CE4B38" w:rsidRPr="00420DFB">
        <w:rPr>
          <w:rFonts w:ascii="Cambria" w:hAnsi="Cambria" w:cs="Arial"/>
          <w:sz w:val="20"/>
          <w:szCs w:val="20"/>
          <w:lang w:val="es-PE"/>
        </w:rPr>
        <w:t>a</w:t>
      </w:r>
      <w:r w:rsidR="006F0624" w:rsidRPr="00420DFB">
        <w:rPr>
          <w:rFonts w:ascii="Cambria" w:hAnsi="Cambria" w:cs="Arial"/>
          <w:sz w:val="20"/>
          <w:szCs w:val="20"/>
          <w:lang w:val="es-PE"/>
        </w:rPr>
        <w:t>les, para la cual se le deb</w:t>
      </w:r>
      <w:r w:rsidR="00CE4B38" w:rsidRPr="00420DFB">
        <w:rPr>
          <w:rFonts w:ascii="Cambria" w:hAnsi="Cambria" w:cs="Arial"/>
          <w:sz w:val="20"/>
          <w:szCs w:val="20"/>
          <w:lang w:val="es-PE"/>
        </w:rPr>
        <w:t>i</w:t>
      </w:r>
      <w:r w:rsidR="006F0624" w:rsidRPr="00420DFB">
        <w:rPr>
          <w:rFonts w:ascii="Cambria" w:hAnsi="Cambria" w:cs="Arial"/>
          <w:sz w:val="20"/>
          <w:szCs w:val="20"/>
          <w:lang w:val="es-PE"/>
        </w:rPr>
        <w:t>eron brindar alternativas efectivas de protección</w:t>
      </w:r>
      <w:r w:rsidR="00CE4B38" w:rsidRPr="00420DFB">
        <w:rPr>
          <w:rFonts w:ascii="Cambria" w:hAnsi="Cambria" w:cs="Arial"/>
          <w:sz w:val="20"/>
          <w:szCs w:val="20"/>
          <w:lang w:val="es-PE"/>
        </w:rPr>
        <w:t xml:space="preserve">, conforme al riesgo identificado. </w:t>
      </w:r>
      <w:r w:rsidR="00D2189F" w:rsidRPr="00420DFB">
        <w:rPr>
          <w:rFonts w:ascii="Cambria" w:hAnsi="Cambria" w:cs="Arial"/>
          <w:sz w:val="20"/>
          <w:szCs w:val="20"/>
          <w:lang w:val="es-PE"/>
        </w:rPr>
        <w:t>En el caso concreto, y c</w:t>
      </w:r>
      <w:r w:rsidR="0031200D" w:rsidRPr="00420DFB">
        <w:rPr>
          <w:rFonts w:ascii="Cambria" w:hAnsi="Cambria" w:cs="Arial"/>
          <w:sz w:val="20"/>
          <w:szCs w:val="20"/>
          <w:lang w:val="es-PE"/>
        </w:rPr>
        <w:t>on base en</w:t>
      </w:r>
      <w:r w:rsidR="00D2189F" w:rsidRPr="00420DFB">
        <w:rPr>
          <w:rFonts w:ascii="Cambria" w:hAnsi="Cambria" w:cs="Arial"/>
          <w:sz w:val="20"/>
          <w:szCs w:val="20"/>
          <w:lang w:val="es-PE"/>
        </w:rPr>
        <w:t xml:space="preserve"> los elementos citados en párrafos precedentes</w:t>
      </w:r>
      <w:r w:rsidR="0031200D" w:rsidRPr="00420DFB">
        <w:rPr>
          <w:rFonts w:ascii="Cambria" w:hAnsi="Cambria" w:cs="Arial"/>
          <w:sz w:val="20"/>
          <w:szCs w:val="20"/>
          <w:lang w:val="es-PE"/>
        </w:rPr>
        <w:t>,</w:t>
      </w:r>
      <w:r w:rsidR="00FF5F4F" w:rsidRPr="00420DFB">
        <w:rPr>
          <w:rFonts w:ascii="Cambria" w:hAnsi="Cambria"/>
          <w:sz w:val="20"/>
          <w:szCs w:val="20"/>
          <w:lang w:val="es-PE"/>
        </w:rPr>
        <w:t xml:space="preserve"> existían razones suficientes para concluir que el motivo de la amenaza en su contra </w:t>
      </w:r>
      <w:r w:rsidR="00FF5F4F" w:rsidRPr="00420DFB">
        <w:rPr>
          <w:rFonts w:ascii="Cambria" w:hAnsi="Cambria"/>
          <w:sz w:val="20"/>
          <w:szCs w:val="20"/>
          <w:lang w:val="es-PE"/>
        </w:rPr>
        <w:lastRenderedPageBreak/>
        <w:t xml:space="preserve">guardaba relación con sus actuaciones como </w:t>
      </w:r>
      <w:r w:rsidR="00F04969" w:rsidRPr="00420DFB">
        <w:rPr>
          <w:rFonts w:ascii="Cambria" w:hAnsi="Cambria"/>
          <w:sz w:val="20"/>
          <w:szCs w:val="20"/>
          <w:lang w:val="es-PE"/>
        </w:rPr>
        <w:t>periodista</w:t>
      </w:r>
      <w:r w:rsidR="00FF5F4F" w:rsidRPr="00420DFB">
        <w:rPr>
          <w:rFonts w:ascii="Cambria" w:hAnsi="Cambria"/>
          <w:sz w:val="20"/>
          <w:szCs w:val="20"/>
          <w:lang w:val="es-PE"/>
        </w:rPr>
        <w:t xml:space="preserve">. </w:t>
      </w:r>
      <w:r w:rsidR="00FF49C6" w:rsidRPr="00420DFB">
        <w:rPr>
          <w:rFonts w:ascii="Cambria" w:hAnsi="Cambria"/>
          <w:sz w:val="20"/>
          <w:szCs w:val="20"/>
          <w:lang w:val="es-PE"/>
        </w:rPr>
        <w:t>Por lo anterior, e</w:t>
      </w:r>
      <w:r w:rsidR="00FF5F4F" w:rsidRPr="00420DFB">
        <w:rPr>
          <w:rFonts w:ascii="Cambria" w:hAnsi="Cambria"/>
          <w:sz w:val="20"/>
          <w:szCs w:val="20"/>
          <w:lang w:val="es-PE"/>
        </w:rPr>
        <w:t>l Estado no cumplió con su deber de prevenir la vulneración de sus derechos a través de la adopción de medidas oportunas y necesarias de protección</w:t>
      </w:r>
      <w:r w:rsidR="00C52C14" w:rsidRPr="00420DFB">
        <w:rPr>
          <w:rStyle w:val="FootnoteReference"/>
          <w:rFonts w:ascii="Cambria" w:hAnsi="Cambria"/>
          <w:sz w:val="20"/>
          <w:szCs w:val="20"/>
          <w:lang w:val="es-PE"/>
        </w:rPr>
        <w:footnoteReference w:id="136"/>
      </w:r>
      <w:r w:rsidR="00FF5F4F" w:rsidRPr="00420DFB">
        <w:rPr>
          <w:rFonts w:ascii="Cambria" w:hAnsi="Cambria"/>
          <w:sz w:val="20"/>
          <w:szCs w:val="20"/>
          <w:lang w:val="es-PE"/>
        </w:rPr>
        <w:t>.</w:t>
      </w:r>
      <w:r w:rsidR="00602EE4" w:rsidRPr="00420DFB">
        <w:rPr>
          <w:rFonts w:ascii="Cambria" w:hAnsi="Cambria" w:cs="Arial"/>
          <w:sz w:val="20"/>
          <w:szCs w:val="20"/>
          <w:lang w:val="es-PE"/>
        </w:rPr>
        <w:t xml:space="preserve"> </w:t>
      </w:r>
    </w:p>
    <w:p w14:paraId="485D0942" w14:textId="77777777" w:rsidR="00207967" w:rsidRPr="009E19B5" w:rsidRDefault="00207967" w:rsidP="009E19B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20"/>
          <w:szCs w:val="20"/>
          <w:lang w:val="es-ES_tradnl"/>
        </w:rPr>
      </w:pPr>
    </w:p>
    <w:p w14:paraId="4E887A1A" w14:textId="0ECF01C8" w:rsidR="00BB2DC4" w:rsidRPr="00BE183D" w:rsidRDefault="00591B01" w:rsidP="00BE183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ES_tradnl"/>
        </w:rPr>
      </w:pPr>
      <w:r w:rsidRPr="00BE183D">
        <w:rPr>
          <w:rFonts w:ascii="Cambria" w:hAnsi="Cambria"/>
          <w:color w:val="000000"/>
          <w:sz w:val="20"/>
          <w:szCs w:val="20"/>
          <w:bdr w:val="none" w:sz="0" w:space="0" w:color="auto"/>
          <w:lang w:val="es-AR"/>
        </w:rPr>
        <w:t>Por otro lado</w:t>
      </w:r>
      <w:r>
        <w:rPr>
          <w:rFonts w:ascii="Cambria" w:hAnsi="Cambria"/>
          <w:sz w:val="20"/>
          <w:szCs w:val="20"/>
          <w:lang w:val="es-CO"/>
        </w:rPr>
        <w:t>, l</w:t>
      </w:r>
      <w:r w:rsidR="00FF027A" w:rsidRPr="00BE183D">
        <w:rPr>
          <w:rFonts w:ascii="Cambria" w:hAnsi="Cambria"/>
          <w:sz w:val="20"/>
          <w:szCs w:val="20"/>
          <w:lang w:val="es-CO"/>
        </w:rPr>
        <w:t xml:space="preserve">a CIDH considera que el papel </w:t>
      </w:r>
      <w:r w:rsidR="008A7F4A" w:rsidRPr="00BE183D">
        <w:rPr>
          <w:rFonts w:ascii="Cambria" w:hAnsi="Cambria"/>
          <w:sz w:val="20"/>
          <w:szCs w:val="20"/>
          <w:lang w:val="es-CO"/>
        </w:rPr>
        <w:t>social que desempeña</w:t>
      </w:r>
      <w:r w:rsidR="00FF027A" w:rsidRPr="00BE183D">
        <w:rPr>
          <w:rFonts w:ascii="Cambria" w:hAnsi="Cambria"/>
          <w:sz w:val="20"/>
          <w:szCs w:val="20"/>
          <w:lang w:val="es-CO"/>
        </w:rPr>
        <w:t xml:space="preserve">ba Santiago Leguizamón </w:t>
      </w:r>
      <w:r w:rsidR="00E32810" w:rsidRPr="00BE183D">
        <w:rPr>
          <w:rFonts w:ascii="Cambria" w:hAnsi="Cambria"/>
          <w:sz w:val="20"/>
          <w:szCs w:val="20"/>
          <w:lang w:val="es-CO"/>
        </w:rPr>
        <w:t xml:space="preserve">como periodista </w:t>
      </w:r>
      <w:r w:rsidR="00FF027A" w:rsidRPr="00BE183D">
        <w:rPr>
          <w:rFonts w:ascii="Cambria" w:hAnsi="Cambria"/>
          <w:sz w:val="20"/>
          <w:szCs w:val="20"/>
          <w:lang w:val="es-CO"/>
        </w:rPr>
        <w:t xml:space="preserve">era de vital importancia </w:t>
      </w:r>
      <w:r w:rsidR="00387205" w:rsidRPr="00BE183D">
        <w:rPr>
          <w:rFonts w:ascii="Cambria" w:hAnsi="Cambria"/>
          <w:sz w:val="20"/>
          <w:szCs w:val="20"/>
          <w:lang w:val="es-CO"/>
        </w:rPr>
        <w:t xml:space="preserve">y que su </w:t>
      </w:r>
      <w:r w:rsidR="008A7F4A" w:rsidRPr="00BE183D">
        <w:rPr>
          <w:rFonts w:ascii="Cambria" w:hAnsi="Cambria"/>
          <w:sz w:val="20"/>
          <w:szCs w:val="20"/>
          <w:bdr w:val="none" w:sz="0" w:space="0" w:color="auto"/>
          <w:lang w:val="es-AR"/>
        </w:rPr>
        <w:t>derecho</w:t>
      </w:r>
      <w:r w:rsidR="00387205" w:rsidRPr="00BE183D">
        <w:rPr>
          <w:rFonts w:ascii="Cambria" w:hAnsi="Cambria"/>
          <w:sz w:val="20"/>
          <w:szCs w:val="20"/>
          <w:bdr w:val="none" w:sz="0" w:space="0" w:color="auto"/>
          <w:lang w:val="es-AR"/>
        </w:rPr>
        <w:t xml:space="preserve"> </w:t>
      </w:r>
      <w:r w:rsidR="008A7F4A" w:rsidRPr="00BE183D">
        <w:rPr>
          <w:rFonts w:ascii="Cambria" w:hAnsi="Cambria"/>
          <w:sz w:val="20"/>
          <w:szCs w:val="20"/>
          <w:bdr w:val="none" w:sz="0" w:space="0" w:color="auto"/>
          <w:lang w:val="es-AR"/>
        </w:rPr>
        <w:t>a la vida</w:t>
      </w:r>
      <w:r w:rsidR="00387205" w:rsidRPr="00BE183D">
        <w:rPr>
          <w:rFonts w:ascii="Cambria" w:hAnsi="Cambria" w:cs="Arial"/>
          <w:sz w:val="20"/>
          <w:szCs w:val="20"/>
          <w:lang w:val="es-PR"/>
        </w:rPr>
        <w:t xml:space="preserve"> se encuentra estrechamente relacionado</w:t>
      </w:r>
      <w:r w:rsidR="00387205" w:rsidRPr="00BE183D">
        <w:rPr>
          <w:rFonts w:ascii="Cambria" w:hAnsi="Cambria"/>
          <w:sz w:val="20"/>
          <w:szCs w:val="20"/>
          <w:lang w:val="es-ES_tradnl"/>
        </w:rPr>
        <w:t xml:space="preserve"> con su derecho </w:t>
      </w:r>
      <w:r w:rsidR="00387205" w:rsidRPr="00BE183D">
        <w:rPr>
          <w:rFonts w:ascii="Cambria" w:hAnsi="Cambria"/>
          <w:sz w:val="20"/>
          <w:szCs w:val="20"/>
          <w:bdr w:val="none" w:sz="0" w:space="0" w:color="auto"/>
          <w:lang w:val="es-AR"/>
        </w:rPr>
        <w:t>a</w:t>
      </w:r>
      <w:r w:rsidR="008A7F4A" w:rsidRPr="00BE183D">
        <w:rPr>
          <w:rFonts w:ascii="Cambria" w:hAnsi="Cambria"/>
          <w:sz w:val="20"/>
          <w:szCs w:val="20"/>
          <w:bdr w:val="none" w:sz="0" w:space="0" w:color="auto"/>
          <w:lang w:val="es-AR"/>
        </w:rPr>
        <w:t xml:space="preserve"> la libertad de expresión</w:t>
      </w:r>
      <w:r w:rsidR="00823689" w:rsidRPr="00BE183D">
        <w:rPr>
          <w:rFonts w:ascii="Cambria" w:hAnsi="Cambria"/>
          <w:sz w:val="20"/>
          <w:szCs w:val="20"/>
          <w:bdr w:val="none" w:sz="0" w:space="0" w:color="auto"/>
          <w:lang w:val="es-AR"/>
        </w:rPr>
        <w:t xml:space="preserve">. </w:t>
      </w:r>
      <w:r w:rsidR="00057709" w:rsidRPr="00BE183D">
        <w:rPr>
          <w:rFonts w:ascii="Cambria" w:hAnsi="Cambria"/>
          <w:sz w:val="20"/>
          <w:szCs w:val="20"/>
          <w:bdr w:val="none" w:sz="0" w:space="0" w:color="auto"/>
          <w:lang w:val="es-AR"/>
        </w:rPr>
        <w:t xml:space="preserve">En este sentido, </w:t>
      </w:r>
      <w:r w:rsidR="00DC3854" w:rsidRPr="00BE183D">
        <w:rPr>
          <w:rFonts w:ascii="Cambria" w:hAnsi="Cambria"/>
          <w:sz w:val="20"/>
          <w:szCs w:val="20"/>
          <w:bdr w:val="none" w:sz="0" w:space="0" w:color="auto"/>
          <w:lang w:val="es-AR"/>
        </w:rPr>
        <w:t>su</w:t>
      </w:r>
      <w:r w:rsidR="007A6BCC" w:rsidRPr="00BE183D">
        <w:rPr>
          <w:rFonts w:ascii="Cambria" w:hAnsi="Cambria"/>
          <w:sz w:val="20"/>
          <w:szCs w:val="20"/>
          <w:bdr w:val="none" w:sz="0" w:space="0" w:color="auto"/>
          <w:lang w:val="es-AR"/>
        </w:rPr>
        <w:t xml:space="preserve"> </w:t>
      </w:r>
      <w:r w:rsidR="00DC3854" w:rsidRPr="00BE183D">
        <w:rPr>
          <w:rFonts w:ascii="Cambria" w:hAnsi="Cambria"/>
          <w:sz w:val="20"/>
          <w:szCs w:val="20"/>
          <w:bdr w:val="none" w:sz="0" w:space="0" w:color="auto"/>
          <w:lang w:val="es-AR"/>
        </w:rPr>
        <w:t xml:space="preserve">derecho a la </w:t>
      </w:r>
      <w:r w:rsidR="007A6BCC" w:rsidRPr="00BE183D">
        <w:rPr>
          <w:rFonts w:ascii="Cambria" w:hAnsi="Cambria"/>
          <w:sz w:val="20"/>
          <w:szCs w:val="20"/>
          <w:bdr w:val="none" w:sz="0" w:space="0" w:color="auto"/>
          <w:lang w:val="es-AR"/>
        </w:rPr>
        <w:t>libertad de expresión</w:t>
      </w:r>
      <w:r w:rsidR="00DC3854" w:rsidRPr="00BE183D">
        <w:rPr>
          <w:rFonts w:ascii="Cambria" w:hAnsi="Cambria"/>
          <w:sz w:val="20"/>
          <w:szCs w:val="20"/>
          <w:bdr w:val="none" w:sz="0" w:space="0" w:color="auto"/>
          <w:lang w:val="es-AR"/>
        </w:rPr>
        <w:t xml:space="preserve"> se vio afectado debido a que</w:t>
      </w:r>
      <w:r>
        <w:rPr>
          <w:rFonts w:ascii="Cambria" w:hAnsi="Cambria"/>
          <w:sz w:val="20"/>
          <w:szCs w:val="20"/>
          <w:bdr w:val="none" w:sz="0" w:space="0" w:color="auto"/>
          <w:lang w:val="es-AR"/>
        </w:rPr>
        <w:t>,</w:t>
      </w:r>
      <w:r w:rsidR="00DC3854" w:rsidRPr="00BE183D">
        <w:rPr>
          <w:rFonts w:ascii="Cambria" w:hAnsi="Cambria"/>
          <w:sz w:val="20"/>
          <w:szCs w:val="20"/>
          <w:bdr w:val="none" w:sz="0" w:space="0" w:color="auto"/>
          <w:lang w:val="es-AR"/>
        </w:rPr>
        <w:t xml:space="preserve"> con motivo de</w:t>
      </w:r>
      <w:r w:rsidR="00A532C8" w:rsidRPr="00BE183D">
        <w:rPr>
          <w:rFonts w:ascii="Cambria" w:hAnsi="Cambria"/>
          <w:sz w:val="20"/>
          <w:szCs w:val="20"/>
          <w:bdr w:val="none" w:sz="0" w:space="0" w:color="auto"/>
          <w:lang w:val="es-AR"/>
        </w:rPr>
        <w:t xml:space="preserve"> su muerte</w:t>
      </w:r>
      <w:r>
        <w:rPr>
          <w:rFonts w:ascii="Cambria" w:hAnsi="Cambria"/>
          <w:sz w:val="20"/>
          <w:szCs w:val="20"/>
          <w:bdr w:val="none" w:sz="0" w:space="0" w:color="auto"/>
          <w:lang w:val="es-AR"/>
        </w:rPr>
        <w:t>,</w:t>
      </w:r>
      <w:r w:rsidR="00A532C8" w:rsidRPr="00BE183D">
        <w:rPr>
          <w:rFonts w:ascii="Cambria" w:hAnsi="Cambria"/>
          <w:sz w:val="20"/>
          <w:szCs w:val="20"/>
          <w:bdr w:val="none" w:sz="0" w:space="0" w:color="auto"/>
          <w:lang w:val="es-AR"/>
        </w:rPr>
        <w:t xml:space="preserve"> no pude seguir ejerci</w:t>
      </w:r>
      <w:r w:rsidR="00A3240C" w:rsidRPr="00BE183D">
        <w:rPr>
          <w:rFonts w:ascii="Cambria" w:hAnsi="Cambria"/>
          <w:sz w:val="20"/>
          <w:szCs w:val="20"/>
          <w:bdr w:val="none" w:sz="0" w:space="0" w:color="auto"/>
          <w:lang w:val="es-AR"/>
        </w:rPr>
        <w:t>énd</w:t>
      </w:r>
      <w:r w:rsidR="00A532C8" w:rsidRPr="00BE183D">
        <w:rPr>
          <w:rFonts w:ascii="Cambria" w:hAnsi="Cambria"/>
          <w:sz w:val="20"/>
          <w:szCs w:val="20"/>
          <w:bdr w:val="none" w:sz="0" w:space="0" w:color="auto"/>
          <w:lang w:val="es-AR"/>
        </w:rPr>
        <w:t>o</w:t>
      </w:r>
      <w:r w:rsidR="00A3240C" w:rsidRPr="00BE183D">
        <w:rPr>
          <w:rFonts w:ascii="Cambria" w:hAnsi="Cambria"/>
          <w:sz w:val="20"/>
          <w:szCs w:val="20"/>
          <w:bdr w:val="none" w:sz="0" w:space="0" w:color="auto"/>
          <w:lang w:val="es-AR"/>
        </w:rPr>
        <w:t>lo</w:t>
      </w:r>
      <w:r w:rsidR="00043997" w:rsidRPr="00BE183D">
        <w:rPr>
          <w:rFonts w:ascii="Cambria" w:hAnsi="Cambria"/>
          <w:sz w:val="20"/>
          <w:szCs w:val="20"/>
          <w:bdr w:val="none" w:sz="0" w:space="0" w:color="auto"/>
          <w:lang w:val="es-AR"/>
        </w:rPr>
        <w:t>.</w:t>
      </w:r>
      <w:r w:rsidR="00DC3854" w:rsidRPr="00BE183D">
        <w:rPr>
          <w:rFonts w:ascii="Cambria" w:hAnsi="Cambria"/>
          <w:sz w:val="20"/>
          <w:szCs w:val="20"/>
          <w:bdr w:val="none" w:sz="0" w:space="0" w:color="auto"/>
          <w:lang w:val="es-AR"/>
        </w:rPr>
        <w:t xml:space="preserve"> </w:t>
      </w:r>
      <w:r w:rsidR="00043997" w:rsidRPr="00BE183D">
        <w:rPr>
          <w:rFonts w:ascii="Cambria" w:hAnsi="Cambria"/>
          <w:sz w:val="20"/>
          <w:szCs w:val="20"/>
          <w:bdr w:val="none" w:sz="0" w:space="0" w:color="auto"/>
          <w:lang w:val="es-AR"/>
        </w:rPr>
        <w:t>Es decir que</w:t>
      </w:r>
      <w:r w:rsidR="00E369FA" w:rsidRPr="00BE183D">
        <w:rPr>
          <w:rFonts w:ascii="Cambria" w:hAnsi="Cambria"/>
          <w:sz w:val="20"/>
          <w:szCs w:val="20"/>
          <w:bdr w:val="none" w:sz="0" w:space="0" w:color="auto"/>
          <w:lang w:val="es-AR"/>
        </w:rPr>
        <w:t xml:space="preserve"> el Estado no cumplió con su deber de garantizar la</w:t>
      </w:r>
      <w:r w:rsidR="009C4BD9" w:rsidRPr="00BE183D">
        <w:rPr>
          <w:rFonts w:ascii="Cambria" w:hAnsi="Cambria"/>
          <w:sz w:val="20"/>
          <w:szCs w:val="20"/>
          <w:bdr w:val="none" w:sz="0" w:space="0" w:color="auto"/>
          <w:lang w:val="es-AR"/>
        </w:rPr>
        <w:t xml:space="preserve"> vida del periodista, quien fue asesinado </w:t>
      </w:r>
      <w:r w:rsidR="00865C72" w:rsidRPr="00BE183D">
        <w:rPr>
          <w:rFonts w:ascii="Cambria" w:hAnsi="Cambria"/>
          <w:sz w:val="20"/>
          <w:szCs w:val="20"/>
          <w:bdr w:val="none" w:sz="0" w:space="0" w:color="auto"/>
          <w:lang w:val="es-AR"/>
        </w:rPr>
        <w:t>para censurarlo de la forma más extrema.</w:t>
      </w:r>
      <w:r w:rsidR="00E43BBB" w:rsidRPr="00BE183D">
        <w:rPr>
          <w:rFonts w:ascii="Cambria" w:hAnsi="Cambria"/>
          <w:sz w:val="20"/>
          <w:szCs w:val="20"/>
          <w:bdr w:val="none" w:sz="0" w:space="0" w:color="auto"/>
          <w:lang w:val="es-AR"/>
        </w:rPr>
        <w:t xml:space="preserve"> </w:t>
      </w:r>
      <w:r w:rsidR="00043997" w:rsidRPr="00BE183D">
        <w:rPr>
          <w:rFonts w:ascii="Cambria" w:hAnsi="Cambria"/>
          <w:sz w:val="20"/>
          <w:szCs w:val="20"/>
          <w:bdr w:val="none" w:sz="0" w:space="0" w:color="auto"/>
          <w:lang w:val="es-AR"/>
        </w:rPr>
        <w:t xml:space="preserve"> </w:t>
      </w:r>
    </w:p>
    <w:p w14:paraId="67B25338" w14:textId="77777777" w:rsidR="00865C72" w:rsidRPr="00BE183D" w:rsidRDefault="00865C72" w:rsidP="00BE183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20"/>
          <w:szCs w:val="20"/>
          <w:lang w:val="es-ES_tradnl"/>
        </w:rPr>
      </w:pPr>
    </w:p>
    <w:p w14:paraId="3198FD79" w14:textId="05D48732" w:rsidR="000F7F7D" w:rsidRPr="00BE183D" w:rsidRDefault="00591B01" w:rsidP="00BE183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sz w:val="20"/>
          <w:szCs w:val="20"/>
          <w:bdr w:val="none" w:sz="0" w:space="0" w:color="auto"/>
          <w:lang w:val="es-AR"/>
        </w:rPr>
      </w:pPr>
      <w:r>
        <w:rPr>
          <w:rFonts w:ascii="Cambria" w:hAnsi="Cambria"/>
          <w:color w:val="000000"/>
          <w:sz w:val="20"/>
          <w:szCs w:val="20"/>
          <w:bdr w:val="none" w:sz="0" w:space="0" w:color="auto"/>
          <w:lang w:val="es-AR"/>
        </w:rPr>
        <w:t>La</w:t>
      </w:r>
      <w:r w:rsidR="000F7F7D" w:rsidRPr="00BE183D">
        <w:rPr>
          <w:rFonts w:ascii="Cambria" w:hAnsi="Cambria"/>
          <w:color w:val="000000"/>
          <w:sz w:val="20"/>
          <w:szCs w:val="20"/>
          <w:bdr w:val="none" w:sz="0" w:space="0" w:color="auto"/>
          <w:lang w:val="es-AR"/>
        </w:rPr>
        <w:t xml:space="preserve"> Corte ha establecido que la </w:t>
      </w:r>
      <w:r w:rsidR="000F7F7D" w:rsidRPr="00BE183D">
        <w:rPr>
          <w:rFonts w:ascii="Cambria" w:hAnsi="Cambria"/>
          <w:sz w:val="20"/>
          <w:szCs w:val="20"/>
          <w:lang w:val="es-PE"/>
        </w:rPr>
        <w:t xml:space="preserve">obligación de garantizar el derecho a la vida </w:t>
      </w:r>
      <w:r w:rsidR="00474BFC" w:rsidRPr="00BE183D">
        <w:rPr>
          <w:rFonts w:ascii="Cambria" w:hAnsi="Cambria"/>
          <w:sz w:val="20"/>
          <w:szCs w:val="20"/>
          <w:lang w:val="es-PE"/>
        </w:rPr>
        <w:t xml:space="preserve">y a la libertad de expresión </w:t>
      </w:r>
      <w:r w:rsidR="000F7F7D" w:rsidRPr="00BE183D">
        <w:rPr>
          <w:rFonts w:ascii="Cambria" w:hAnsi="Cambria"/>
          <w:sz w:val="20"/>
          <w:szCs w:val="20"/>
          <w:lang w:val="es-PE"/>
        </w:rPr>
        <w:t>presupone, además, el deber de</w:t>
      </w:r>
      <w:r w:rsidR="00556BAC" w:rsidRPr="00BE183D">
        <w:rPr>
          <w:rFonts w:ascii="Cambria" w:hAnsi="Cambria"/>
          <w:sz w:val="20"/>
          <w:szCs w:val="20"/>
          <w:lang w:val="es-PE"/>
        </w:rPr>
        <w:t xml:space="preserve"> adoptar medidas para prevenir la violencia contra periodistas</w:t>
      </w:r>
      <w:r w:rsidR="00A9254D" w:rsidRPr="00BE183D">
        <w:rPr>
          <w:rFonts w:ascii="Cambria" w:hAnsi="Cambria"/>
          <w:sz w:val="20"/>
          <w:szCs w:val="20"/>
          <w:lang w:val="es-PE"/>
        </w:rPr>
        <w:t xml:space="preserve"> y para otorgarle</w:t>
      </w:r>
      <w:r w:rsidR="00474BFC" w:rsidRPr="00BE183D">
        <w:rPr>
          <w:rFonts w:ascii="Cambria" w:hAnsi="Cambria"/>
          <w:sz w:val="20"/>
          <w:szCs w:val="20"/>
          <w:lang w:val="es-PE"/>
        </w:rPr>
        <w:t>s</w:t>
      </w:r>
      <w:r w:rsidR="00A9254D" w:rsidRPr="00BE183D">
        <w:rPr>
          <w:rFonts w:ascii="Cambria" w:hAnsi="Cambria"/>
          <w:sz w:val="20"/>
          <w:szCs w:val="20"/>
          <w:lang w:val="es-PE"/>
        </w:rPr>
        <w:t xml:space="preserve"> la protección debida</w:t>
      </w:r>
      <w:r w:rsidR="000F7F7D" w:rsidRPr="00BE183D">
        <w:rPr>
          <w:rFonts w:ascii="Cambria" w:hAnsi="Cambria"/>
          <w:sz w:val="20"/>
          <w:szCs w:val="20"/>
          <w:lang w:val="es-PE"/>
        </w:rPr>
        <w:t xml:space="preserve">. </w:t>
      </w:r>
      <w:r w:rsidR="00A9254D" w:rsidRPr="00BE183D">
        <w:rPr>
          <w:rFonts w:ascii="Cambria" w:hAnsi="Cambria"/>
          <w:sz w:val="20"/>
          <w:szCs w:val="20"/>
          <w:lang w:val="es-PE"/>
        </w:rPr>
        <w:t>Al respecto, c</w:t>
      </w:r>
      <w:r w:rsidR="000F7F7D" w:rsidRPr="00BE183D">
        <w:rPr>
          <w:rFonts w:ascii="Cambria" w:hAnsi="Cambria"/>
          <w:sz w:val="20"/>
          <w:szCs w:val="20"/>
          <w:lang w:val="es-PE"/>
        </w:rPr>
        <w:t>omo fuera destacado en párrafos anteriores, con posterioridad al homicidio de Santiago Leguizamón y hasta la actualidad, 19 periodistas habrían perdido la vida con motivo de sus labores periodísticas en Paraguay, especialmente en zonas fronterizas, por lo cual la CIDH ha catalogado a esta región como una “zona silenciada”</w:t>
      </w:r>
      <w:r w:rsidR="000F7F7D" w:rsidRPr="00BE183D">
        <w:rPr>
          <w:rStyle w:val="FootnoteReference"/>
          <w:rFonts w:ascii="Cambria" w:hAnsi="Cambria"/>
          <w:sz w:val="20"/>
          <w:szCs w:val="20"/>
          <w:lang w:val="es-PE"/>
        </w:rPr>
        <w:footnoteReference w:id="137"/>
      </w:r>
      <w:r w:rsidR="000F7F7D" w:rsidRPr="00BE183D">
        <w:rPr>
          <w:rFonts w:ascii="Cambria" w:hAnsi="Cambria"/>
          <w:sz w:val="20"/>
          <w:szCs w:val="20"/>
          <w:lang w:val="es-PE"/>
        </w:rPr>
        <w:t xml:space="preserve">. La CIDH no cuenta con información actualizada respecto a las medidas adoptadas </w:t>
      </w:r>
      <w:r w:rsidR="000F7F7D" w:rsidRPr="00BE183D">
        <w:rPr>
          <w:rFonts w:ascii="Cambria" w:hAnsi="Cambria" w:cs="Calibri"/>
          <w:sz w:val="20"/>
          <w:szCs w:val="20"/>
          <w:lang w:val="es-AR"/>
        </w:rPr>
        <w:t>para garantizar la seguridad de los y las periodistas que se encuentran sometidos a un riesgo especial por el ejercicio de su oficio,</w:t>
      </w:r>
      <w:r w:rsidR="00231168">
        <w:rPr>
          <w:rFonts w:ascii="Cambria" w:hAnsi="Cambria" w:cs="Calibri"/>
          <w:sz w:val="20"/>
          <w:szCs w:val="20"/>
          <w:lang w:val="es-AR"/>
        </w:rPr>
        <w:t xml:space="preserve"> especialmente en las zonas fronterizas,</w:t>
      </w:r>
      <w:r w:rsidR="000F7F7D" w:rsidRPr="00BE183D">
        <w:rPr>
          <w:rFonts w:ascii="Cambria" w:hAnsi="Cambria" w:cs="Calibri"/>
          <w:sz w:val="20"/>
          <w:szCs w:val="20"/>
          <w:lang w:val="es-AR"/>
        </w:rPr>
        <w:t xml:space="preserve"> ya sea que las amenazas provengan de agentes del Estado o que sean originadas en particulares.</w:t>
      </w:r>
    </w:p>
    <w:p w14:paraId="73CC2C3E" w14:textId="77777777" w:rsidR="00C27961" w:rsidRPr="00BE183D" w:rsidRDefault="00C27961" w:rsidP="00BE18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bdr w:val="none" w:sz="0" w:space="0" w:color="auto"/>
          <w:lang w:val="es-AR"/>
        </w:rPr>
      </w:pPr>
    </w:p>
    <w:p w14:paraId="4AB90FF7" w14:textId="24BA77B8" w:rsidR="003846AB" w:rsidRPr="000D7953" w:rsidRDefault="00BB2DC4" w:rsidP="00BE183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sz w:val="20"/>
          <w:szCs w:val="20"/>
          <w:bdr w:val="none" w:sz="0" w:space="0" w:color="auto"/>
          <w:lang w:val="es-AR"/>
        </w:rPr>
      </w:pPr>
      <w:r w:rsidRPr="00BE183D">
        <w:rPr>
          <w:rFonts w:ascii="Cambria" w:hAnsi="Cambria"/>
          <w:sz w:val="20"/>
          <w:szCs w:val="20"/>
          <w:lang w:val="es-US"/>
        </w:rPr>
        <w:t xml:space="preserve">Como resultado de lo expuesto, la Comisión estima que el Estado no cumplió con su deber de proteger </w:t>
      </w:r>
      <w:r w:rsidR="00343A4A">
        <w:rPr>
          <w:rFonts w:ascii="Cambria" w:hAnsi="Cambria"/>
          <w:sz w:val="20"/>
          <w:szCs w:val="20"/>
          <w:lang w:val="es-US"/>
        </w:rPr>
        <w:t>a Santiago Leguizamón y prevenir su muerte, por lo que es responsable por la falta de garantía de sus</w:t>
      </w:r>
      <w:r w:rsidR="00502C7C" w:rsidRPr="00BE183D">
        <w:rPr>
          <w:rFonts w:ascii="Cambria" w:hAnsi="Cambria"/>
          <w:sz w:val="20"/>
          <w:szCs w:val="20"/>
          <w:lang w:val="es-US"/>
        </w:rPr>
        <w:t xml:space="preserve"> d</w:t>
      </w:r>
      <w:r w:rsidRPr="00BE183D">
        <w:rPr>
          <w:rFonts w:ascii="Cambria" w:hAnsi="Cambria"/>
          <w:sz w:val="20"/>
          <w:szCs w:val="20"/>
          <w:lang w:val="es-US"/>
        </w:rPr>
        <w:t>erecho</w:t>
      </w:r>
      <w:r w:rsidR="00502C7C" w:rsidRPr="00BE183D">
        <w:rPr>
          <w:rFonts w:ascii="Cambria" w:hAnsi="Cambria"/>
          <w:sz w:val="20"/>
          <w:szCs w:val="20"/>
          <w:lang w:val="es-US"/>
        </w:rPr>
        <w:t>s</w:t>
      </w:r>
      <w:r w:rsidRPr="00BE183D">
        <w:rPr>
          <w:rFonts w:ascii="Cambria" w:hAnsi="Cambria"/>
          <w:sz w:val="20"/>
          <w:szCs w:val="20"/>
          <w:lang w:val="es-US"/>
        </w:rPr>
        <w:t xml:space="preserve"> a la vida</w:t>
      </w:r>
      <w:r w:rsidR="00502C7C" w:rsidRPr="00BE183D">
        <w:rPr>
          <w:rFonts w:ascii="Cambria" w:hAnsi="Cambria"/>
          <w:sz w:val="20"/>
          <w:szCs w:val="20"/>
          <w:lang w:val="es-US"/>
        </w:rPr>
        <w:t xml:space="preserve"> y a la libertad de expresión</w:t>
      </w:r>
      <w:r w:rsidRPr="00BE183D">
        <w:rPr>
          <w:rFonts w:ascii="Cambria" w:hAnsi="Cambria"/>
          <w:sz w:val="20"/>
          <w:szCs w:val="20"/>
          <w:lang w:val="es-US"/>
        </w:rPr>
        <w:t xml:space="preserve"> </w:t>
      </w:r>
      <w:r w:rsidRPr="00BE183D">
        <w:rPr>
          <w:rFonts w:ascii="Cambria" w:hAnsi="Cambria"/>
          <w:sz w:val="20"/>
          <w:szCs w:val="20"/>
          <w:lang w:val="es-MX"/>
        </w:rPr>
        <w:t>establecido</w:t>
      </w:r>
      <w:r w:rsidR="00ED2524" w:rsidRPr="00BE183D">
        <w:rPr>
          <w:rFonts w:ascii="Cambria" w:hAnsi="Cambria"/>
          <w:sz w:val="20"/>
          <w:szCs w:val="20"/>
          <w:lang w:val="es-MX"/>
        </w:rPr>
        <w:t>s</w:t>
      </w:r>
      <w:r w:rsidRPr="00BE183D">
        <w:rPr>
          <w:rFonts w:ascii="Cambria" w:hAnsi="Cambria"/>
          <w:sz w:val="20"/>
          <w:szCs w:val="20"/>
          <w:lang w:val="es-MX"/>
        </w:rPr>
        <w:t xml:space="preserve"> en </w:t>
      </w:r>
      <w:r w:rsidR="00ED2524" w:rsidRPr="00BE183D">
        <w:rPr>
          <w:rFonts w:ascii="Cambria" w:hAnsi="Cambria"/>
          <w:sz w:val="20"/>
          <w:szCs w:val="20"/>
          <w:lang w:val="es-MX"/>
        </w:rPr>
        <w:t>los</w:t>
      </w:r>
      <w:r w:rsidRPr="00BE183D">
        <w:rPr>
          <w:rFonts w:ascii="Cambria" w:hAnsi="Cambria"/>
          <w:sz w:val="20"/>
          <w:szCs w:val="20"/>
          <w:lang w:val="es-MX"/>
        </w:rPr>
        <w:t xml:space="preserve"> artículos 4.1 y</w:t>
      </w:r>
      <w:r w:rsidR="00ED2524" w:rsidRPr="00BE183D">
        <w:rPr>
          <w:rFonts w:ascii="Cambria" w:hAnsi="Cambria"/>
          <w:sz w:val="20"/>
          <w:szCs w:val="20"/>
          <w:lang w:val="es-MX"/>
        </w:rPr>
        <w:t xml:space="preserve"> 13</w:t>
      </w:r>
      <w:r w:rsidRPr="00BE183D">
        <w:rPr>
          <w:rFonts w:ascii="Cambria" w:hAnsi="Cambria"/>
          <w:sz w:val="20"/>
          <w:szCs w:val="20"/>
          <w:lang w:val="es-MX"/>
        </w:rPr>
        <w:t xml:space="preserve"> de la Convención Americana, en </w:t>
      </w:r>
      <w:r w:rsidR="00343A4A">
        <w:rPr>
          <w:rFonts w:ascii="Cambria" w:hAnsi="Cambria"/>
          <w:sz w:val="20"/>
          <w:szCs w:val="20"/>
          <w:lang w:val="es-MX"/>
        </w:rPr>
        <w:t xml:space="preserve">relación con </w:t>
      </w:r>
      <w:r w:rsidRPr="00BE183D">
        <w:rPr>
          <w:rFonts w:ascii="Cambria" w:hAnsi="Cambria"/>
          <w:sz w:val="20"/>
          <w:szCs w:val="20"/>
          <w:lang w:val="es-MX"/>
        </w:rPr>
        <w:t>el artículo 1.1 del mismo instrumento, en perjuicio</w:t>
      </w:r>
      <w:r w:rsidR="00502C7C" w:rsidRPr="00BE183D">
        <w:rPr>
          <w:rFonts w:ascii="Cambria" w:hAnsi="Cambria"/>
          <w:sz w:val="20"/>
          <w:szCs w:val="20"/>
          <w:lang w:val="es-MX"/>
        </w:rPr>
        <w:t xml:space="preserve"> Santiago Leguizamón</w:t>
      </w:r>
      <w:r w:rsidRPr="00BE183D">
        <w:rPr>
          <w:rFonts w:ascii="Cambria" w:hAnsi="Cambria"/>
          <w:sz w:val="20"/>
          <w:szCs w:val="20"/>
          <w:lang w:val="es-MX"/>
        </w:rPr>
        <w:t xml:space="preserve">. </w:t>
      </w:r>
    </w:p>
    <w:p w14:paraId="342B87F1" w14:textId="77777777" w:rsidR="008F7755" w:rsidRPr="00420DFB" w:rsidRDefault="008F7755" w:rsidP="000D795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bdr w:val="none" w:sz="0" w:space="0" w:color="auto"/>
          <w:lang w:val="es-AR"/>
        </w:rPr>
      </w:pPr>
    </w:p>
    <w:p w14:paraId="5E6C636B" w14:textId="49BA9784" w:rsidR="003846AB" w:rsidRPr="00BE183D" w:rsidRDefault="003846AB" w:rsidP="00BE183D">
      <w:pPr>
        <w:pStyle w:val="Heading4"/>
        <w:rPr>
          <w:szCs w:val="20"/>
          <w:bdr w:val="none" w:sz="0" w:space="0" w:color="auto"/>
        </w:rPr>
      </w:pPr>
      <w:r w:rsidRPr="00BE183D">
        <w:rPr>
          <w:szCs w:val="20"/>
          <w:bdr w:val="none" w:sz="0" w:space="0" w:color="auto"/>
        </w:rPr>
        <w:t xml:space="preserve">4.b Derecho a las garantías judiciales y protección judicial de los familiares </w:t>
      </w:r>
    </w:p>
    <w:p w14:paraId="2730EE2C" w14:textId="77777777" w:rsidR="006E2EAB" w:rsidRPr="00BE183D" w:rsidRDefault="006E2EAB" w:rsidP="00BE183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pacing w:val="-2"/>
          <w:sz w:val="20"/>
          <w:szCs w:val="20"/>
          <w:lang w:val="es-US"/>
        </w:rPr>
      </w:pPr>
    </w:p>
    <w:p w14:paraId="1FA6AAC9" w14:textId="31C4BC24" w:rsidR="006B2321" w:rsidRPr="00BE183D" w:rsidRDefault="009D17D6" w:rsidP="00BE183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i/>
          <w:iCs/>
          <w:spacing w:val="-2"/>
          <w:sz w:val="20"/>
          <w:szCs w:val="20"/>
          <w:lang w:val="es-ES_tradnl"/>
        </w:rPr>
      </w:pPr>
      <w:r w:rsidRPr="00BE183D">
        <w:rPr>
          <w:rFonts w:ascii="Cambria" w:hAnsi="Cambria"/>
          <w:spacing w:val="-2"/>
          <w:sz w:val="20"/>
          <w:szCs w:val="20"/>
          <w:lang w:val="es-ES_tradnl"/>
        </w:rPr>
        <w:t xml:space="preserve">A continuación, </w:t>
      </w:r>
      <w:r w:rsidRPr="00BE183D">
        <w:rPr>
          <w:rFonts w:ascii="Cambria" w:hAnsi="Cambria"/>
          <w:sz w:val="20"/>
          <w:szCs w:val="20"/>
          <w:lang w:val="es-CO"/>
        </w:rPr>
        <w:t>la Comisión analizará si mediante las investigaciones iniciadas a nivel interno, el Estad</w:t>
      </w:r>
      <w:r w:rsidR="006B6C20">
        <w:rPr>
          <w:rFonts w:ascii="Cambria" w:hAnsi="Cambria"/>
          <w:sz w:val="20"/>
          <w:szCs w:val="20"/>
          <w:lang w:val="es-CO"/>
        </w:rPr>
        <w:t xml:space="preserve">o </w:t>
      </w:r>
      <w:r w:rsidRPr="00BE183D">
        <w:rPr>
          <w:rFonts w:ascii="Cambria" w:hAnsi="Cambria"/>
          <w:sz w:val="20"/>
          <w:szCs w:val="20"/>
          <w:lang w:val="es-CO"/>
        </w:rPr>
        <w:t>cumpli</w:t>
      </w:r>
      <w:r w:rsidR="006B6C20">
        <w:rPr>
          <w:rFonts w:ascii="Cambria" w:hAnsi="Cambria"/>
          <w:sz w:val="20"/>
          <w:szCs w:val="20"/>
          <w:lang w:val="es-CO"/>
        </w:rPr>
        <w:t>ó</w:t>
      </w:r>
      <w:r w:rsidRPr="00BE183D">
        <w:rPr>
          <w:rFonts w:ascii="Cambria" w:hAnsi="Cambria"/>
          <w:sz w:val="20"/>
          <w:szCs w:val="20"/>
          <w:lang w:val="es-CO"/>
        </w:rPr>
        <w:t xml:space="preserve"> con su obligación de investigar los hechos del presente caso</w:t>
      </w:r>
      <w:r w:rsidR="006B6C20">
        <w:rPr>
          <w:rFonts w:ascii="Cambria" w:hAnsi="Cambria"/>
          <w:sz w:val="20"/>
          <w:szCs w:val="20"/>
          <w:lang w:val="es-CO"/>
        </w:rPr>
        <w:t xml:space="preserve">, </w:t>
      </w:r>
      <w:r w:rsidR="00580A48" w:rsidRPr="00BE183D">
        <w:rPr>
          <w:rFonts w:ascii="Cambria" w:hAnsi="Cambria"/>
          <w:sz w:val="20"/>
          <w:szCs w:val="20"/>
          <w:lang w:val="es-CO"/>
        </w:rPr>
        <w:t>de conformidad</w:t>
      </w:r>
      <w:r w:rsidRPr="00BE183D">
        <w:rPr>
          <w:rFonts w:ascii="Cambria" w:hAnsi="Cambria"/>
          <w:sz w:val="20"/>
          <w:szCs w:val="20"/>
          <w:lang w:val="es-CO"/>
        </w:rPr>
        <w:t xml:space="preserve"> </w:t>
      </w:r>
      <w:r w:rsidR="00580A48" w:rsidRPr="00BE183D">
        <w:rPr>
          <w:rFonts w:ascii="Cambria" w:hAnsi="Cambria"/>
          <w:sz w:val="20"/>
          <w:szCs w:val="20"/>
          <w:lang w:val="es-CO"/>
        </w:rPr>
        <w:t>con</w:t>
      </w:r>
      <w:r w:rsidRPr="00BE183D">
        <w:rPr>
          <w:rFonts w:ascii="Cambria" w:hAnsi="Cambria"/>
          <w:sz w:val="20"/>
          <w:szCs w:val="20"/>
          <w:lang w:val="es-CO"/>
        </w:rPr>
        <w:t xml:space="preserve"> los estándares descritos anteriormente. Este análisis será efectuado</w:t>
      </w:r>
      <w:r w:rsidR="00580A48" w:rsidRPr="00BE183D">
        <w:rPr>
          <w:rFonts w:ascii="Cambria" w:hAnsi="Cambria"/>
          <w:sz w:val="20"/>
          <w:szCs w:val="20"/>
          <w:lang w:val="es-CO"/>
        </w:rPr>
        <w:t xml:space="preserve"> respecto de </w:t>
      </w:r>
      <w:r w:rsidR="00AF43A8" w:rsidRPr="00BE183D">
        <w:rPr>
          <w:rFonts w:ascii="Cambria" w:hAnsi="Cambria"/>
          <w:sz w:val="20"/>
          <w:szCs w:val="20"/>
          <w:lang w:val="es-CO"/>
        </w:rPr>
        <w:t>tres</w:t>
      </w:r>
      <w:r w:rsidR="00580A48" w:rsidRPr="00BE183D">
        <w:rPr>
          <w:rFonts w:ascii="Cambria" w:hAnsi="Cambria"/>
          <w:sz w:val="20"/>
          <w:szCs w:val="20"/>
          <w:lang w:val="es-CO"/>
        </w:rPr>
        <w:t xml:space="preserve"> puntos: a)</w:t>
      </w:r>
      <w:r w:rsidRPr="00BE183D">
        <w:rPr>
          <w:rFonts w:ascii="Cambria" w:hAnsi="Cambria"/>
          <w:sz w:val="20"/>
          <w:szCs w:val="20"/>
          <w:lang w:val="es-CO"/>
        </w:rPr>
        <w:t xml:space="preserve"> d</w:t>
      </w:r>
      <w:r w:rsidR="00CA06E3" w:rsidRPr="00BE183D">
        <w:rPr>
          <w:rFonts w:ascii="Cambria" w:hAnsi="Cambria"/>
          <w:sz w:val="20"/>
          <w:szCs w:val="20"/>
          <w:lang w:val="es-CO"/>
        </w:rPr>
        <w:t>eber de</w:t>
      </w:r>
      <w:r w:rsidRPr="00BE183D">
        <w:rPr>
          <w:rFonts w:ascii="Cambria" w:hAnsi="Cambria"/>
          <w:sz w:val="20"/>
          <w:szCs w:val="20"/>
          <w:lang w:val="es-CO"/>
        </w:rPr>
        <w:t xml:space="preserve"> debida diligencia en la investigación</w:t>
      </w:r>
      <w:r w:rsidR="00CA06E3" w:rsidRPr="00BE183D">
        <w:rPr>
          <w:rFonts w:ascii="Cambria" w:hAnsi="Cambria"/>
          <w:sz w:val="20"/>
          <w:szCs w:val="20"/>
          <w:lang w:val="es-CO"/>
        </w:rPr>
        <w:t>; b) seguimiento de líneas de investigación</w:t>
      </w:r>
      <w:r w:rsidR="00265A99" w:rsidRPr="00BE183D">
        <w:rPr>
          <w:rFonts w:ascii="Cambria" w:hAnsi="Cambria"/>
          <w:sz w:val="20"/>
          <w:szCs w:val="20"/>
          <w:lang w:val="es-CO"/>
        </w:rPr>
        <w:t xml:space="preserve"> y determinación de los responsables del crimen</w:t>
      </w:r>
      <w:r w:rsidR="00001E9D" w:rsidRPr="00BE183D">
        <w:rPr>
          <w:rFonts w:ascii="Cambria" w:hAnsi="Cambria"/>
          <w:sz w:val="20"/>
          <w:szCs w:val="20"/>
          <w:lang w:val="es-CO"/>
        </w:rPr>
        <w:t>,</w:t>
      </w:r>
      <w:r w:rsidRPr="00BE183D">
        <w:rPr>
          <w:rFonts w:ascii="Cambria" w:hAnsi="Cambria"/>
          <w:sz w:val="20"/>
          <w:szCs w:val="20"/>
          <w:lang w:val="es-CO"/>
        </w:rPr>
        <w:t xml:space="preserve"> y</w:t>
      </w:r>
      <w:r w:rsidR="00001E9D" w:rsidRPr="00BE183D">
        <w:rPr>
          <w:rFonts w:ascii="Cambria" w:hAnsi="Cambria"/>
          <w:sz w:val="20"/>
          <w:szCs w:val="20"/>
          <w:lang w:val="es-CO"/>
        </w:rPr>
        <w:t xml:space="preserve"> c) </w:t>
      </w:r>
      <w:r w:rsidRPr="00BE183D">
        <w:rPr>
          <w:rFonts w:ascii="Cambria" w:hAnsi="Cambria"/>
          <w:sz w:val="20"/>
          <w:szCs w:val="20"/>
          <w:lang w:val="es-CO"/>
        </w:rPr>
        <w:t>cumplimiento de la garantía de</w:t>
      </w:r>
      <w:r w:rsidR="006B6C20">
        <w:rPr>
          <w:rFonts w:ascii="Cambria" w:hAnsi="Cambria"/>
          <w:sz w:val="20"/>
          <w:szCs w:val="20"/>
          <w:lang w:val="es-CO"/>
        </w:rPr>
        <w:t>l</w:t>
      </w:r>
      <w:r w:rsidRPr="00BE183D">
        <w:rPr>
          <w:rFonts w:ascii="Cambria" w:hAnsi="Cambria"/>
          <w:sz w:val="20"/>
          <w:szCs w:val="20"/>
          <w:lang w:val="es-CO"/>
        </w:rPr>
        <w:t xml:space="preserve"> plazo razonable</w:t>
      </w:r>
      <w:r w:rsidR="00001E9D" w:rsidRPr="00BE183D">
        <w:rPr>
          <w:rFonts w:ascii="Cambria" w:hAnsi="Cambria"/>
          <w:sz w:val="20"/>
          <w:szCs w:val="20"/>
          <w:lang w:val="es-CO"/>
        </w:rPr>
        <w:t>.</w:t>
      </w:r>
    </w:p>
    <w:p w14:paraId="56848556" w14:textId="77777777" w:rsidR="00001E9D" w:rsidRPr="00BE183D" w:rsidRDefault="00001E9D" w:rsidP="00BE183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i/>
          <w:iCs/>
          <w:spacing w:val="-2"/>
          <w:sz w:val="20"/>
          <w:szCs w:val="20"/>
          <w:lang w:val="es-ES_tradnl"/>
        </w:rPr>
      </w:pPr>
    </w:p>
    <w:p w14:paraId="2CE6D190" w14:textId="716D65AC" w:rsidR="002A29B8" w:rsidRPr="00BE183D" w:rsidRDefault="00074F54" w:rsidP="00BE183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i/>
          <w:iCs/>
          <w:spacing w:val="-2"/>
          <w:sz w:val="20"/>
          <w:szCs w:val="20"/>
          <w:lang w:val="es-ES_tradnl"/>
        </w:rPr>
      </w:pPr>
      <w:r w:rsidRPr="00BE183D">
        <w:rPr>
          <w:rFonts w:ascii="Cambria" w:hAnsi="Cambria"/>
          <w:spacing w:val="-2"/>
          <w:sz w:val="20"/>
          <w:szCs w:val="20"/>
          <w:lang w:val="es-ES_tradnl"/>
        </w:rPr>
        <w:t>En cuanto al deber de debida diligencia</w:t>
      </w:r>
      <w:r w:rsidR="003A58AC" w:rsidRPr="00BE183D">
        <w:rPr>
          <w:rFonts w:ascii="Cambria" w:hAnsi="Cambria"/>
          <w:spacing w:val="-2"/>
          <w:sz w:val="20"/>
          <w:szCs w:val="20"/>
          <w:lang w:val="es-ES_tradnl"/>
        </w:rPr>
        <w:t xml:space="preserve"> en la recaudación de prueba y en </w:t>
      </w:r>
      <w:r w:rsidR="00CE6575" w:rsidRPr="00BE183D">
        <w:rPr>
          <w:rFonts w:ascii="Cambria" w:hAnsi="Cambria"/>
          <w:spacing w:val="-2"/>
          <w:sz w:val="20"/>
          <w:szCs w:val="20"/>
          <w:lang w:val="es-ES_tradnl"/>
        </w:rPr>
        <w:t>el desarrollo de</w:t>
      </w:r>
      <w:r w:rsidR="003A58AC" w:rsidRPr="00BE183D">
        <w:rPr>
          <w:rFonts w:ascii="Cambria" w:hAnsi="Cambria"/>
          <w:spacing w:val="-2"/>
          <w:sz w:val="20"/>
          <w:szCs w:val="20"/>
          <w:lang w:val="es-ES_tradnl"/>
        </w:rPr>
        <w:t xml:space="preserve"> las investigaciones iniciales</w:t>
      </w:r>
      <w:r w:rsidR="00DB1605" w:rsidRPr="00BE183D">
        <w:rPr>
          <w:rFonts w:ascii="Cambria" w:hAnsi="Cambria"/>
          <w:spacing w:val="-2"/>
          <w:sz w:val="20"/>
          <w:szCs w:val="20"/>
          <w:lang w:val="es-ES_tradnl"/>
        </w:rPr>
        <w:t xml:space="preserve">, </w:t>
      </w:r>
      <w:r w:rsidR="006A1968" w:rsidRPr="00BE183D">
        <w:rPr>
          <w:rFonts w:ascii="Cambria" w:hAnsi="Cambria"/>
          <w:sz w:val="20"/>
          <w:szCs w:val="20"/>
          <w:lang w:val="es-PE"/>
        </w:rPr>
        <w:t xml:space="preserve">de la información presentada, la CIDH </w:t>
      </w:r>
      <w:r w:rsidR="00E903AF">
        <w:rPr>
          <w:rFonts w:ascii="Cambria" w:hAnsi="Cambria"/>
          <w:sz w:val="20"/>
          <w:szCs w:val="20"/>
          <w:lang w:val="es-PE"/>
        </w:rPr>
        <w:t xml:space="preserve">destaca que </w:t>
      </w:r>
      <w:r w:rsidR="006A1968" w:rsidRPr="00BE183D">
        <w:rPr>
          <w:rFonts w:ascii="Cambria" w:hAnsi="Cambria"/>
          <w:sz w:val="20"/>
          <w:szCs w:val="20"/>
          <w:lang w:val="es-PE"/>
        </w:rPr>
        <w:t xml:space="preserve">las autoridades </w:t>
      </w:r>
      <w:r w:rsidR="0083737B" w:rsidRPr="00BE183D">
        <w:rPr>
          <w:rFonts w:ascii="Cambria" w:hAnsi="Cambria"/>
          <w:sz w:val="20"/>
          <w:szCs w:val="20"/>
          <w:lang w:val="es-PE"/>
        </w:rPr>
        <w:t>iniciaron una investigación de forma inmediata</w:t>
      </w:r>
      <w:r w:rsidR="00E903AF">
        <w:rPr>
          <w:rFonts w:ascii="Cambria" w:hAnsi="Cambria"/>
          <w:sz w:val="20"/>
          <w:szCs w:val="20"/>
          <w:lang w:val="es-PE"/>
        </w:rPr>
        <w:t xml:space="preserve"> luego</w:t>
      </w:r>
      <w:r w:rsidR="0083737B" w:rsidRPr="00BE183D">
        <w:rPr>
          <w:rFonts w:ascii="Cambria" w:hAnsi="Cambria"/>
          <w:sz w:val="20"/>
          <w:szCs w:val="20"/>
          <w:lang w:val="es-PE"/>
        </w:rPr>
        <w:t xml:space="preserve"> de conocidos los hechos</w:t>
      </w:r>
      <w:r w:rsidR="008D11EF" w:rsidRPr="00BE183D">
        <w:rPr>
          <w:rFonts w:ascii="Cambria" w:hAnsi="Cambria"/>
          <w:sz w:val="20"/>
          <w:szCs w:val="20"/>
          <w:lang w:val="es-PE"/>
        </w:rPr>
        <w:t xml:space="preserve"> y </w:t>
      </w:r>
      <w:r w:rsidR="0083737B" w:rsidRPr="00BE183D">
        <w:rPr>
          <w:rFonts w:ascii="Cambria" w:hAnsi="Cambria"/>
          <w:sz w:val="20"/>
          <w:szCs w:val="20"/>
          <w:lang w:val="es-PE"/>
        </w:rPr>
        <w:t>al poco tiempo de ocurrido el asesinato</w:t>
      </w:r>
      <w:r w:rsidR="00B34DF1">
        <w:rPr>
          <w:rFonts w:ascii="Cambria" w:hAnsi="Cambria"/>
          <w:sz w:val="20"/>
          <w:szCs w:val="20"/>
          <w:lang w:val="es-PE"/>
        </w:rPr>
        <w:t>, recabaron</w:t>
      </w:r>
      <w:r w:rsidR="004C417D">
        <w:rPr>
          <w:rFonts w:ascii="Cambria" w:hAnsi="Cambria"/>
          <w:sz w:val="20"/>
          <w:szCs w:val="20"/>
          <w:lang w:val="es-PE"/>
        </w:rPr>
        <w:t xml:space="preserve"> algunos elementos probatorios, recibieron varias declaraciones</w:t>
      </w:r>
      <w:r w:rsidR="00281B8D">
        <w:rPr>
          <w:rFonts w:ascii="Cambria" w:hAnsi="Cambria"/>
          <w:sz w:val="20"/>
          <w:szCs w:val="20"/>
          <w:lang w:val="es-PE"/>
        </w:rPr>
        <w:t xml:space="preserve"> y </w:t>
      </w:r>
      <w:r w:rsidR="00B34DF1">
        <w:rPr>
          <w:rFonts w:ascii="Cambria" w:hAnsi="Cambria"/>
          <w:sz w:val="20"/>
          <w:szCs w:val="20"/>
          <w:lang w:val="es-PE"/>
        </w:rPr>
        <w:t>llevaron a cabo algunas diligencias importantes</w:t>
      </w:r>
      <w:r w:rsidR="00E903AF">
        <w:rPr>
          <w:rFonts w:ascii="Cambria" w:hAnsi="Cambria"/>
          <w:sz w:val="20"/>
          <w:szCs w:val="20"/>
          <w:lang w:val="es-PE"/>
        </w:rPr>
        <w:t>. Sin embargo,</w:t>
      </w:r>
      <w:r w:rsidR="0083737B" w:rsidRPr="00BE183D">
        <w:rPr>
          <w:rFonts w:ascii="Cambria" w:hAnsi="Cambria"/>
          <w:sz w:val="20"/>
          <w:szCs w:val="20"/>
          <w:lang w:val="es-PE"/>
        </w:rPr>
        <w:t xml:space="preserve"> las autoridades encargadas</w:t>
      </w:r>
      <w:r w:rsidR="006A1968" w:rsidRPr="00BE183D">
        <w:rPr>
          <w:rFonts w:ascii="Cambria" w:hAnsi="Cambria"/>
          <w:sz w:val="20"/>
          <w:szCs w:val="20"/>
          <w:lang w:val="es-PE"/>
        </w:rPr>
        <w:t xml:space="preserve"> de la investigación en este caso no siguieron procedimientos adecuados a los estándares internacionales al momento de realizar </w:t>
      </w:r>
      <w:r w:rsidR="009A62FC" w:rsidRPr="00BE183D">
        <w:rPr>
          <w:rFonts w:ascii="Cambria" w:hAnsi="Cambria"/>
          <w:sz w:val="20"/>
          <w:szCs w:val="20"/>
          <w:lang w:val="es-PE"/>
        </w:rPr>
        <w:t>la inspec</w:t>
      </w:r>
      <w:r w:rsidR="00907074" w:rsidRPr="00BE183D">
        <w:rPr>
          <w:rFonts w:ascii="Cambria" w:hAnsi="Cambria"/>
          <w:sz w:val="20"/>
          <w:szCs w:val="20"/>
          <w:lang w:val="es-PE"/>
        </w:rPr>
        <w:t>ción</w:t>
      </w:r>
      <w:r w:rsidR="006A1968" w:rsidRPr="00BE183D">
        <w:rPr>
          <w:rFonts w:ascii="Cambria" w:hAnsi="Cambria"/>
          <w:sz w:val="20"/>
          <w:szCs w:val="20"/>
          <w:lang w:val="es-PE"/>
        </w:rPr>
        <w:t xml:space="preserve"> del lugar de los hechos</w:t>
      </w:r>
      <w:r w:rsidR="006B3447" w:rsidRPr="00BE183D">
        <w:rPr>
          <w:rFonts w:ascii="Cambria" w:hAnsi="Cambria"/>
          <w:sz w:val="20"/>
          <w:szCs w:val="20"/>
          <w:lang w:val="es-PE"/>
        </w:rPr>
        <w:t xml:space="preserve"> y la recaudación de prueba</w:t>
      </w:r>
      <w:r w:rsidR="006A1968" w:rsidRPr="00BE183D">
        <w:rPr>
          <w:rFonts w:ascii="Cambria" w:hAnsi="Cambria"/>
          <w:sz w:val="20"/>
          <w:szCs w:val="20"/>
          <w:lang w:val="es-PE"/>
        </w:rPr>
        <w:t xml:space="preserve">. </w:t>
      </w:r>
    </w:p>
    <w:p w14:paraId="541A699E" w14:textId="77777777" w:rsidR="00415F88" w:rsidRPr="00BE183D" w:rsidRDefault="00415F88" w:rsidP="00BE183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i/>
          <w:iCs/>
          <w:spacing w:val="-2"/>
          <w:sz w:val="20"/>
          <w:szCs w:val="20"/>
          <w:lang w:val="es-ES_tradnl"/>
        </w:rPr>
      </w:pPr>
    </w:p>
    <w:p w14:paraId="2487C645" w14:textId="1D163DE5" w:rsidR="00497252" w:rsidRPr="00BE183D" w:rsidRDefault="002A29B8" w:rsidP="00BE183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i/>
          <w:iCs/>
          <w:spacing w:val="-2"/>
          <w:sz w:val="20"/>
          <w:szCs w:val="20"/>
          <w:lang w:val="es-ES_tradnl"/>
        </w:rPr>
      </w:pPr>
      <w:r w:rsidRPr="00BE183D">
        <w:rPr>
          <w:rFonts w:ascii="Cambria" w:hAnsi="Cambria"/>
          <w:sz w:val="20"/>
          <w:szCs w:val="20"/>
          <w:lang w:val="es-ES_tradnl"/>
        </w:rPr>
        <w:t xml:space="preserve">En efecto, </w:t>
      </w:r>
      <w:r w:rsidRPr="00BE183D">
        <w:rPr>
          <w:rFonts w:ascii="Cambria" w:hAnsi="Cambria"/>
          <w:sz w:val="20"/>
          <w:szCs w:val="20"/>
          <w:lang w:val="es-PE"/>
        </w:rPr>
        <w:t>n</w:t>
      </w:r>
      <w:r w:rsidR="00B640E2" w:rsidRPr="00BE183D">
        <w:rPr>
          <w:rFonts w:ascii="Cambria" w:hAnsi="Cambria"/>
          <w:sz w:val="20"/>
          <w:szCs w:val="20"/>
          <w:lang w:val="es-PE"/>
        </w:rPr>
        <w:t>o se deriva del expediente que se haya investigado exhaustivamente la escena del delito ni que se haya recuperado y preservado todo el material probatorio relacionado con la muerte</w:t>
      </w:r>
      <w:r w:rsidR="003E29C9">
        <w:rPr>
          <w:rFonts w:ascii="Cambria" w:hAnsi="Cambria"/>
          <w:sz w:val="20"/>
          <w:szCs w:val="20"/>
          <w:lang w:val="es-PE"/>
        </w:rPr>
        <w:t xml:space="preserve"> de Santiago Leguizamón</w:t>
      </w:r>
      <w:r w:rsidR="00B640E2" w:rsidRPr="00BE183D">
        <w:rPr>
          <w:rFonts w:ascii="Cambria" w:hAnsi="Cambria"/>
          <w:sz w:val="20"/>
          <w:szCs w:val="20"/>
          <w:lang w:val="es-PE"/>
        </w:rPr>
        <w:t xml:space="preserve">. </w:t>
      </w:r>
      <w:r w:rsidR="001713EB" w:rsidRPr="00BE183D">
        <w:rPr>
          <w:rFonts w:ascii="Cambria" w:hAnsi="Cambria"/>
          <w:sz w:val="20"/>
          <w:szCs w:val="20"/>
          <w:lang w:val="es-PE"/>
        </w:rPr>
        <w:t>D</w:t>
      </w:r>
      <w:r w:rsidR="006A1968" w:rsidRPr="00BE183D">
        <w:rPr>
          <w:rFonts w:ascii="Cambria" w:hAnsi="Cambria"/>
          <w:sz w:val="20"/>
          <w:szCs w:val="20"/>
          <w:lang w:val="es-PE"/>
        </w:rPr>
        <w:t xml:space="preserve">el acta de inspección del </w:t>
      </w:r>
      <w:r w:rsidR="001713EB" w:rsidRPr="00BE183D">
        <w:rPr>
          <w:rFonts w:ascii="Cambria" w:hAnsi="Cambria"/>
          <w:sz w:val="20"/>
          <w:szCs w:val="20"/>
          <w:lang w:val="es-PE"/>
        </w:rPr>
        <w:t>lugar de los hechos</w:t>
      </w:r>
      <w:r w:rsidR="006A1968" w:rsidRPr="00BE183D">
        <w:rPr>
          <w:rFonts w:ascii="Cambria" w:hAnsi="Cambria"/>
          <w:sz w:val="20"/>
          <w:szCs w:val="20"/>
          <w:lang w:val="es-PE"/>
        </w:rPr>
        <w:t>, no se</w:t>
      </w:r>
      <w:r w:rsidR="00C3172C" w:rsidRPr="00BE183D">
        <w:rPr>
          <w:rFonts w:ascii="Cambria" w:hAnsi="Cambria"/>
          <w:sz w:val="20"/>
          <w:szCs w:val="20"/>
          <w:lang w:val="es-PE"/>
        </w:rPr>
        <w:t xml:space="preserve"> </w:t>
      </w:r>
      <w:r w:rsidR="0052045F" w:rsidRPr="00BE183D">
        <w:rPr>
          <w:rFonts w:ascii="Cambria" w:hAnsi="Cambria"/>
          <w:sz w:val="20"/>
          <w:szCs w:val="20"/>
          <w:lang w:val="es-PE"/>
        </w:rPr>
        <w:t xml:space="preserve">deduce </w:t>
      </w:r>
      <w:r w:rsidR="00C3172C" w:rsidRPr="00BE183D">
        <w:rPr>
          <w:rFonts w:ascii="Cambria" w:hAnsi="Cambria"/>
          <w:sz w:val="20"/>
          <w:szCs w:val="20"/>
          <w:lang w:val="es-PE"/>
        </w:rPr>
        <w:t xml:space="preserve">que se haya brindado un resguardo adecuado a la escena del crimen </w:t>
      </w:r>
      <w:r w:rsidR="0052045F" w:rsidRPr="00BE183D">
        <w:rPr>
          <w:rFonts w:ascii="Cambria" w:hAnsi="Cambria"/>
          <w:sz w:val="20"/>
          <w:szCs w:val="20"/>
          <w:lang w:val="es-PE"/>
        </w:rPr>
        <w:t>luego de que</w:t>
      </w:r>
      <w:r w:rsidR="00CC75CF" w:rsidRPr="00BE183D">
        <w:rPr>
          <w:rFonts w:ascii="Cambria" w:hAnsi="Cambria"/>
          <w:sz w:val="20"/>
          <w:szCs w:val="20"/>
          <w:lang w:val="es-PE"/>
        </w:rPr>
        <w:t xml:space="preserve"> las autoridades se </w:t>
      </w:r>
      <w:r w:rsidR="0083737B" w:rsidRPr="00BE183D">
        <w:rPr>
          <w:rFonts w:ascii="Cambria" w:hAnsi="Cambria"/>
          <w:sz w:val="20"/>
          <w:szCs w:val="20"/>
          <w:lang w:val="es-PE"/>
        </w:rPr>
        <w:t>apersonar</w:t>
      </w:r>
      <w:r w:rsidR="00BB7368" w:rsidRPr="00BE183D">
        <w:rPr>
          <w:rFonts w:ascii="Cambria" w:hAnsi="Cambria"/>
          <w:sz w:val="20"/>
          <w:szCs w:val="20"/>
          <w:lang w:val="es-PE"/>
        </w:rPr>
        <w:t>a</w:t>
      </w:r>
      <w:r w:rsidR="0083737B" w:rsidRPr="00BE183D">
        <w:rPr>
          <w:rFonts w:ascii="Cambria" w:hAnsi="Cambria"/>
          <w:sz w:val="20"/>
          <w:szCs w:val="20"/>
          <w:lang w:val="es-PE"/>
        </w:rPr>
        <w:t xml:space="preserve">n al lugar de los hechos, </w:t>
      </w:r>
      <w:r w:rsidR="00BB7368" w:rsidRPr="00BE183D">
        <w:rPr>
          <w:rFonts w:ascii="Cambria" w:hAnsi="Cambria"/>
          <w:sz w:val="20"/>
          <w:szCs w:val="20"/>
          <w:lang w:val="es-PE"/>
        </w:rPr>
        <w:t xml:space="preserve">ni </w:t>
      </w:r>
      <w:r w:rsidR="00D75315" w:rsidRPr="00BE183D">
        <w:rPr>
          <w:rFonts w:ascii="Cambria" w:hAnsi="Cambria"/>
          <w:sz w:val="20"/>
          <w:szCs w:val="20"/>
          <w:lang w:val="es-PE"/>
        </w:rPr>
        <w:t xml:space="preserve">que se </w:t>
      </w:r>
      <w:r w:rsidR="009303E1" w:rsidRPr="00BE183D">
        <w:rPr>
          <w:rFonts w:ascii="Cambria" w:hAnsi="Cambria"/>
          <w:sz w:val="20"/>
          <w:szCs w:val="20"/>
          <w:lang w:val="es-PE"/>
        </w:rPr>
        <w:t>recolectar</w:t>
      </w:r>
      <w:r w:rsidR="00D75315" w:rsidRPr="00BE183D">
        <w:rPr>
          <w:rFonts w:ascii="Cambria" w:hAnsi="Cambria"/>
          <w:sz w:val="20"/>
          <w:szCs w:val="20"/>
          <w:lang w:val="es-PE"/>
        </w:rPr>
        <w:t>an todos</w:t>
      </w:r>
      <w:r w:rsidR="009303E1" w:rsidRPr="00BE183D">
        <w:rPr>
          <w:rFonts w:ascii="Cambria" w:hAnsi="Cambria"/>
          <w:sz w:val="20"/>
          <w:szCs w:val="20"/>
          <w:lang w:val="es-PE"/>
        </w:rPr>
        <w:t xml:space="preserve"> elementos de interés </w:t>
      </w:r>
      <w:r w:rsidR="00D75315" w:rsidRPr="00BE183D">
        <w:rPr>
          <w:rFonts w:ascii="Cambria" w:hAnsi="Cambria"/>
          <w:sz w:val="20"/>
          <w:szCs w:val="20"/>
          <w:lang w:val="es-PE"/>
        </w:rPr>
        <w:t>criminalístico. Por ejemplo, solo se recolecta</w:t>
      </w:r>
      <w:r w:rsidR="001F18A3" w:rsidRPr="00BE183D">
        <w:rPr>
          <w:rFonts w:ascii="Cambria" w:hAnsi="Cambria"/>
          <w:sz w:val="20"/>
          <w:szCs w:val="20"/>
          <w:lang w:val="es-PE"/>
        </w:rPr>
        <w:t>ron</w:t>
      </w:r>
      <w:r w:rsidR="00D75315" w:rsidRPr="00BE183D">
        <w:rPr>
          <w:rFonts w:ascii="Cambria" w:hAnsi="Cambria"/>
          <w:sz w:val="20"/>
          <w:szCs w:val="20"/>
          <w:lang w:val="es-PE"/>
        </w:rPr>
        <w:t xml:space="preserve"> </w:t>
      </w:r>
      <w:r w:rsidR="00D825C6" w:rsidRPr="00BE183D">
        <w:rPr>
          <w:rFonts w:ascii="Cambria" w:hAnsi="Cambria"/>
          <w:sz w:val="20"/>
          <w:szCs w:val="20"/>
          <w:lang w:val="es-PE"/>
        </w:rPr>
        <w:t xml:space="preserve">dos proyectiles de bala y un cartucho, a pesar de que </w:t>
      </w:r>
      <w:r w:rsidR="00C42121" w:rsidRPr="00BE183D">
        <w:rPr>
          <w:rFonts w:ascii="Cambria" w:hAnsi="Cambria"/>
          <w:sz w:val="20"/>
          <w:szCs w:val="20"/>
          <w:lang w:val="es-PE"/>
        </w:rPr>
        <w:t>varios disparos fueron efectuados</w:t>
      </w:r>
      <w:r w:rsidR="0020364C" w:rsidRPr="00BE183D">
        <w:rPr>
          <w:rFonts w:ascii="Cambria" w:hAnsi="Cambria"/>
          <w:sz w:val="20"/>
          <w:szCs w:val="20"/>
          <w:lang w:val="es-PE"/>
        </w:rPr>
        <w:t>,</w:t>
      </w:r>
      <w:r w:rsidR="00C42121" w:rsidRPr="00BE183D">
        <w:rPr>
          <w:rFonts w:ascii="Cambria" w:hAnsi="Cambria"/>
          <w:sz w:val="20"/>
          <w:szCs w:val="20"/>
          <w:lang w:val="es-PE"/>
        </w:rPr>
        <w:t xml:space="preserve"> los que produjeron 21 heridas de bala en el cuerpo de Santiago Leguizamón.</w:t>
      </w:r>
      <w:r w:rsidR="001E4D8C" w:rsidRPr="00BE183D">
        <w:rPr>
          <w:rFonts w:ascii="Cambria" w:hAnsi="Cambria"/>
          <w:sz w:val="20"/>
          <w:szCs w:val="20"/>
          <w:lang w:val="es-PE"/>
        </w:rPr>
        <w:t xml:space="preserve"> Tampoco </w:t>
      </w:r>
      <w:r w:rsidR="0020364C" w:rsidRPr="00BE183D">
        <w:rPr>
          <w:rFonts w:ascii="Cambria" w:hAnsi="Cambria"/>
          <w:sz w:val="20"/>
          <w:szCs w:val="20"/>
          <w:lang w:val="es-PE"/>
        </w:rPr>
        <w:t xml:space="preserve">se advierte del expediente que se </w:t>
      </w:r>
      <w:r w:rsidR="00D7251F" w:rsidRPr="00BE183D">
        <w:rPr>
          <w:rFonts w:ascii="Cambria" w:hAnsi="Cambria"/>
          <w:sz w:val="20"/>
          <w:szCs w:val="20"/>
          <w:lang w:val="es-PE"/>
        </w:rPr>
        <w:t xml:space="preserve">recogieran </w:t>
      </w:r>
      <w:r w:rsidR="0020364C" w:rsidRPr="00BE183D">
        <w:rPr>
          <w:rFonts w:ascii="Cambria" w:hAnsi="Cambria"/>
          <w:sz w:val="20"/>
          <w:szCs w:val="20"/>
          <w:lang w:val="es-PE"/>
        </w:rPr>
        <w:t>y conservar</w:t>
      </w:r>
      <w:r w:rsidR="00D7251F" w:rsidRPr="00BE183D">
        <w:rPr>
          <w:rFonts w:ascii="Cambria" w:hAnsi="Cambria"/>
          <w:sz w:val="20"/>
          <w:szCs w:val="20"/>
          <w:lang w:val="es-PE"/>
        </w:rPr>
        <w:t>an</w:t>
      </w:r>
      <w:r w:rsidR="0020364C" w:rsidRPr="00BE183D">
        <w:rPr>
          <w:rFonts w:ascii="Cambria" w:hAnsi="Cambria"/>
          <w:sz w:val="20"/>
          <w:szCs w:val="20"/>
          <w:lang w:val="es-PE"/>
        </w:rPr>
        <w:t xml:space="preserve"> </w:t>
      </w:r>
      <w:r w:rsidR="0020364C" w:rsidRPr="00BE183D">
        <w:rPr>
          <w:rFonts w:ascii="Cambria" w:hAnsi="Cambria"/>
          <w:sz w:val="20"/>
          <w:szCs w:val="20"/>
          <w:lang w:val="es-PE"/>
        </w:rPr>
        <w:lastRenderedPageBreak/>
        <w:t xml:space="preserve">muestras </w:t>
      </w:r>
      <w:r w:rsidR="00C74556" w:rsidRPr="00BE183D">
        <w:rPr>
          <w:rFonts w:ascii="Cambria" w:hAnsi="Cambria"/>
          <w:sz w:val="20"/>
          <w:szCs w:val="20"/>
          <w:lang w:val="es-PE"/>
        </w:rPr>
        <w:t>de sangre, pelos, fibras e hilos, huellas digitales o cualquier otra pista</w:t>
      </w:r>
      <w:r w:rsidR="0020364C" w:rsidRPr="00BE183D">
        <w:rPr>
          <w:rFonts w:ascii="Cambria" w:hAnsi="Cambria"/>
          <w:sz w:val="20"/>
          <w:szCs w:val="20"/>
          <w:lang w:val="es-PE"/>
        </w:rPr>
        <w:t xml:space="preserve">; que se examinara el área en búsqueda de huellas de zapatos o </w:t>
      </w:r>
      <w:r w:rsidR="00F21A4F" w:rsidRPr="00BE183D">
        <w:rPr>
          <w:rFonts w:ascii="Cambria" w:hAnsi="Cambria"/>
          <w:sz w:val="20"/>
          <w:szCs w:val="20"/>
          <w:lang w:val="es-PE"/>
        </w:rPr>
        <w:t>huellas de</w:t>
      </w:r>
      <w:r w:rsidR="0020364C" w:rsidRPr="00BE183D">
        <w:rPr>
          <w:rFonts w:ascii="Cambria" w:hAnsi="Cambria"/>
          <w:sz w:val="20"/>
          <w:szCs w:val="20"/>
          <w:lang w:val="es-PE"/>
        </w:rPr>
        <w:t xml:space="preserve"> vehículos que pudieran servir como pistas o evidencias de lo sucedido. </w:t>
      </w:r>
      <w:r w:rsidR="00A27CCD" w:rsidRPr="00BE183D">
        <w:rPr>
          <w:rFonts w:ascii="Cambria" w:hAnsi="Cambria"/>
          <w:sz w:val="20"/>
          <w:szCs w:val="20"/>
          <w:lang w:val="es-PE"/>
        </w:rPr>
        <w:t>Si bien se realizó un croquis dibujado del lugar de los hechos</w:t>
      </w:r>
      <w:r w:rsidR="003E2DA1" w:rsidRPr="00BE183D">
        <w:rPr>
          <w:rFonts w:ascii="Cambria" w:hAnsi="Cambria"/>
          <w:sz w:val="20"/>
          <w:szCs w:val="20"/>
          <w:lang w:val="es-PE"/>
        </w:rPr>
        <w:t>,</w:t>
      </w:r>
      <w:r w:rsidR="00A27CCD" w:rsidRPr="00BE183D">
        <w:rPr>
          <w:rFonts w:ascii="Cambria" w:hAnsi="Cambria"/>
          <w:sz w:val="20"/>
          <w:szCs w:val="20"/>
          <w:lang w:val="es-PE"/>
        </w:rPr>
        <w:t xml:space="preserve"> la escena del delito no fue fotografiada para el registro respectivo</w:t>
      </w:r>
      <w:r w:rsidR="003E2DA1" w:rsidRPr="00BE183D">
        <w:rPr>
          <w:rFonts w:ascii="Cambria" w:hAnsi="Cambria"/>
          <w:sz w:val="20"/>
          <w:szCs w:val="20"/>
          <w:lang w:val="es-PE"/>
        </w:rPr>
        <w:t>. Tampoco se detalla la posición del cuerpo</w:t>
      </w:r>
      <w:r w:rsidR="001B3B0B" w:rsidRPr="00BE183D">
        <w:rPr>
          <w:rFonts w:ascii="Cambria" w:hAnsi="Cambria"/>
          <w:sz w:val="20"/>
          <w:szCs w:val="20"/>
          <w:lang w:val="es-PE"/>
        </w:rPr>
        <w:t xml:space="preserve"> del periodista, solo se destaca que se ubicó dentro del auto Nissan blanco, </w:t>
      </w:r>
      <w:r w:rsidR="00497998" w:rsidRPr="00BE183D">
        <w:rPr>
          <w:rFonts w:ascii="Cambria" w:hAnsi="Cambria"/>
          <w:sz w:val="20"/>
          <w:szCs w:val="20"/>
          <w:lang w:val="es-PE"/>
        </w:rPr>
        <w:t xml:space="preserve">pero no se especifica la posición del cadáver y si se lo movió o no, </w:t>
      </w:r>
      <w:r w:rsidR="001B3B0B" w:rsidRPr="00BE183D">
        <w:rPr>
          <w:rFonts w:ascii="Cambria" w:hAnsi="Cambria"/>
          <w:sz w:val="20"/>
          <w:szCs w:val="20"/>
          <w:lang w:val="es-PE"/>
        </w:rPr>
        <w:t>ni se registraron</w:t>
      </w:r>
      <w:r w:rsidR="00045A2B" w:rsidRPr="00BE183D">
        <w:rPr>
          <w:rFonts w:ascii="Cambria" w:hAnsi="Cambria"/>
          <w:sz w:val="20"/>
          <w:szCs w:val="20"/>
          <w:lang w:val="es-PE"/>
        </w:rPr>
        <w:t xml:space="preserve"> los</w:t>
      </w:r>
      <w:r w:rsidR="00A27CCD" w:rsidRPr="00BE183D">
        <w:rPr>
          <w:rFonts w:ascii="Cambria" w:hAnsi="Cambria"/>
          <w:sz w:val="20"/>
          <w:szCs w:val="20"/>
          <w:lang w:val="es-PE"/>
        </w:rPr>
        <w:t xml:space="preserve"> artículos encontrados en </w:t>
      </w:r>
      <w:r w:rsidR="00045A2B" w:rsidRPr="00BE183D">
        <w:rPr>
          <w:rFonts w:ascii="Cambria" w:hAnsi="Cambria"/>
          <w:sz w:val="20"/>
          <w:szCs w:val="20"/>
          <w:lang w:val="es-PE"/>
        </w:rPr>
        <w:t>el vehículo</w:t>
      </w:r>
      <w:r w:rsidR="00360282" w:rsidRPr="00BE183D">
        <w:rPr>
          <w:rFonts w:ascii="Cambria" w:hAnsi="Cambria"/>
          <w:sz w:val="20"/>
          <w:szCs w:val="20"/>
          <w:lang w:val="es-PE"/>
        </w:rPr>
        <w:t xml:space="preserve"> o alrededor de este </w:t>
      </w:r>
      <w:r w:rsidR="00A27CCD" w:rsidRPr="00BE183D">
        <w:rPr>
          <w:rFonts w:ascii="Cambria" w:hAnsi="Cambria"/>
          <w:sz w:val="20"/>
          <w:szCs w:val="20"/>
          <w:lang w:val="es-PE"/>
        </w:rPr>
        <w:t>y su posición con relación al cadáver</w:t>
      </w:r>
      <w:r w:rsidR="00360282" w:rsidRPr="00BE183D">
        <w:rPr>
          <w:rFonts w:ascii="Cambria" w:hAnsi="Cambria"/>
          <w:sz w:val="20"/>
          <w:szCs w:val="20"/>
          <w:lang w:val="es-PE"/>
        </w:rPr>
        <w:t xml:space="preserve">. </w:t>
      </w:r>
      <w:r w:rsidR="00497252" w:rsidRPr="00BE183D">
        <w:rPr>
          <w:rFonts w:ascii="Cambria" w:hAnsi="Cambria"/>
          <w:sz w:val="20"/>
          <w:szCs w:val="20"/>
          <w:lang w:val="es-PE"/>
        </w:rPr>
        <w:t xml:space="preserve">La Comisión tampoco observa del expediente que se haya mantenido una cadena de custodia respecto de la escasa prueba recolectada. </w:t>
      </w:r>
    </w:p>
    <w:p w14:paraId="585DD6B6" w14:textId="07CE08E1" w:rsidR="00A27CCD" w:rsidRPr="00BE183D" w:rsidRDefault="00A27CCD" w:rsidP="00BE183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i/>
          <w:iCs/>
          <w:spacing w:val="-2"/>
          <w:sz w:val="20"/>
          <w:szCs w:val="20"/>
          <w:lang w:val="es-ES_tradnl"/>
        </w:rPr>
      </w:pPr>
    </w:p>
    <w:p w14:paraId="2302E4C7" w14:textId="2E6323B6" w:rsidR="00A27CCD" w:rsidRPr="00BE183D" w:rsidRDefault="00470405" w:rsidP="00BE183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i/>
          <w:iCs/>
          <w:spacing w:val="-2"/>
          <w:sz w:val="20"/>
          <w:szCs w:val="20"/>
          <w:lang w:val="es-ES_tradnl"/>
        </w:rPr>
      </w:pPr>
      <w:r w:rsidRPr="00BE183D">
        <w:rPr>
          <w:rFonts w:ascii="Cambria" w:hAnsi="Cambria"/>
          <w:sz w:val="20"/>
          <w:szCs w:val="20"/>
          <w:lang w:val="es-PE"/>
        </w:rPr>
        <w:t xml:space="preserve">Por otra parte, se observa que en el lugar de los hechos se recolectaron dos proyectiles de bala y un cartucho, pero </w:t>
      </w:r>
      <w:r w:rsidR="00E27500" w:rsidRPr="00BE183D">
        <w:rPr>
          <w:rFonts w:ascii="Cambria" w:hAnsi="Cambria"/>
          <w:bCs/>
          <w:sz w:val="20"/>
          <w:szCs w:val="20"/>
          <w:lang w:val="es-PE"/>
        </w:rPr>
        <w:t>d</w:t>
      </w:r>
      <w:r w:rsidR="00E27500" w:rsidRPr="00BE183D">
        <w:rPr>
          <w:rFonts w:ascii="Cambria" w:hAnsi="Cambria"/>
          <w:bCs/>
          <w:sz w:val="20"/>
          <w:szCs w:val="20"/>
          <w:lang w:val="es-CO"/>
        </w:rPr>
        <w:t xml:space="preserve">el expediente no es posible determinar </w:t>
      </w:r>
      <w:r w:rsidR="00E27500" w:rsidRPr="00BE183D">
        <w:rPr>
          <w:rFonts w:ascii="Cambria" w:hAnsi="Cambria"/>
          <w:sz w:val="20"/>
          <w:szCs w:val="20"/>
          <w:lang w:val="es-PE"/>
        </w:rPr>
        <w:t>si</w:t>
      </w:r>
      <w:r w:rsidRPr="00BE183D">
        <w:rPr>
          <w:rFonts w:ascii="Cambria" w:hAnsi="Cambria"/>
          <w:sz w:val="20"/>
          <w:szCs w:val="20"/>
          <w:lang w:val="es-PE"/>
        </w:rPr>
        <w:t xml:space="preserve"> este material fue objeto de estudio balístico</w:t>
      </w:r>
      <w:r w:rsidR="00E225A5" w:rsidRPr="00BE183D">
        <w:rPr>
          <w:rFonts w:ascii="Cambria" w:hAnsi="Cambria"/>
          <w:sz w:val="20"/>
          <w:szCs w:val="20"/>
          <w:lang w:val="es-PE"/>
        </w:rPr>
        <w:t xml:space="preserve"> ni se comprobó el calibre utilizado en el crimen</w:t>
      </w:r>
      <w:r w:rsidRPr="00BE183D">
        <w:rPr>
          <w:rFonts w:ascii="Cambria" w:hAnsi="Cambria"/>
          <w:sz w:val="20"/>
          <w:szCs w:val="20"/>
          <w:lang w:val="es-PE"/>
        </w:rPr>
        <w:t>.</w:t>
      </w:r>
      <w:r w:rsidRPr="00BE183D">
        <w:rPr>
          <w:rFonts w:ascii="Cambria" w:hAnsi="Cambria"/>
          <w:bCs/>
          <w:sz w:val="20"/>
          <w:szCs w:val="20"/>
          <w:lang w:val="es-CO"/>
        </w:rPr>
        <w:t xml:space="preserve"> </w:t>
      </w:r>
      <w:r w:rsidR="00E27500" w:rsidRPr="00BE183D">
        <w:rPr>
          <w:rFonts w:ascii="Cambria" w:hAnsi="Cambria"/>
          <w:bCs/>
          <w:sz w:val="20"/>
          <w:szCs w:val="20"/>
          <w:lang w:val="es-CO"/>
        </w:rPr>
        <w:t>El vehículo Nissan blanco donde fue hallado el cuerpo tampoco fue objeto de ninguna pericia, solo se dej</w:t>
      </w:r>
      <w:r w:rsidR="00841A9C" w:rsidRPr="00BE183D">
        <w:rPr>
          <w:rFonts w:ascii="Cambria" w:hAnsi="Cambria"/>
          <w:bCs/>
          <w:sz w:val="20"/>
          <w:szCs w:val="20"/>
          <w:lang w:val="es-CO"/>
        </w:rPr>
        <w:t>ó</w:t>
      </w:r>
      <w:r w:rsidR="00E27500" w:rsidRPr="00BE183D">
        <w:rPr>
          <w:rFonts w:ascii="Cambria" w:hAnsi="Cambria"/>
          <w:bCs/>
          <w:sz w:val="20"/>
          <w:szCs w:val="20"/>
          <w:lang w:val="es-CO"/>
        </w:rPr>
        <w:t xml:space="preserve"> constancia que fue trasladado al predio judicial. </w:t>
      </w:r>
      <w:r w:rsidRPr="00BE183D">
        <w:rPr>
          <w:rFonts w:ascii="Cambria" w:hAnsi="Cambria"/>
          <w:sz w:val="20"/>
          <w:szCs w:val="20"/>
          <w:lang w:val="es-PE"/>
        </w:rPr>
        <w:t>Las mencionadas fallas y omisiones en la obtención de pruebas demuestran</w:t>
      </w:r>
      <w:r w:rsidR="00CB20E7">
        <w:rPr>
          <w:rFonts w:ascii="Cambria" w:hAnsi="Cambria"/>
          <w:sz w:val="20"/>
          <w:szCs w:val="20"/>
          <w:lang w:val="es-PE"/>
        </w:rPr>
        <w:t xml:space="preserve"> la</w:t>
      </w:r>
      <w:r w:rsidRPr="00BE183D">
        <w:rPr>
          <w:rFonts w:ascii="Cambria" w:hAnsi="Cambria"/>
          <w:sz w:val="20"/>
          <w:szCs w:val="20"/>
          <w:lang w:val="es-PE"/>
        </w:rPr>
        <w:t xml:space="preserve"> falta de debida diligencia del Estado en la recuperación y preservación de material probatorio. </w:t>
      </w:r>
      <w:r w:rsidRPr="009313AF">
        <w:rPr>
          <w:rFonts w:ascii="Cambria" w:hAnsi="Cambria"/>
          <w:sz w:val="20"/>
          <w:szCs w:val="20"/>
          <w:lang w:val="es-PE"/>
        </w:rPr>
        <w:t>La CIDH estima que esto pudo contribuir a la dificultad de determinar la verdad de lo ocurrido e identificar y, en su caso, sancionar a los culpables.</w:t>
      </w:r>
    </w:p>
    <w:p w14:paraId="4A09AD29" w14:textId="77777777" w:rsidR="009442B3" w:rsidRPr="00BE183D" w:rsidRDefault="009442B3" w:rsidP="00BE183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i/>
          <w:iCs/>
          <w:spacing w:val="-2"/>
          <w:sz w:val="20"/>
          <w:szCs w:val="20"/>
          <w:lang w:val="es-ES_tradnl"/>
        </w:rPr>
      </w:pPr>
    </w:p>
    <w:p w14:paraId="24C9DB5E" w14:textId="0CE260FD" w:rsidR="006F308A" w:rsidRPr="00BE183D" w:rsidRDefault="009442B3" w:rsidP="00BE183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US"/>
        </w:rPr>
      </w:pPr>
      <w:r w:rsidRPr="00BE183D">
        <w:rPr>
          <w:rFonts w:ascii="Cambria" w:hAnsi="Cambria"/>
          <w:sz w:val="20"/>
          <w:szCs w:val="20"/>
          <w:lang w:val="es-ES_tradnl"/>
        </w:rPr>
        <w:t xml:space="preserve">Por otro lado, </w:t>
      </w:r>
      <w:r w:rsidRPr="00BE183D">
        <w:rPr>
          <w:rFonts w:ascii="Cambria" w:hAnsi="Cambria"/>
          <w:sz w:val="20"/>
          <w:szCs w:val="20"/>
          <w:lang w:val="es-PE"/>
        </w:rPr>
        <w:t xml:space="preserve">si bien se realizó una “inspección médica” del cadáver mediante la cual se </w:t>
      </w:r>
      <w:r w:rsidRPr="00BE183D">
        <w:rPr>
          <w:rFonts w:ascii="Cambria" w:hAnsi="Cambria"/>
          <w:color w:val="000000" w:themeColor="text1"/>
          <w:sz w:val="20"/>
          <w:szCs w:val="20"/>
          <w:lang w:val="es-PE"/>
        </w:rPr>
        <w:t>determinó la causa de muerte y se describieron diversas lesiones por arma de fuego, no se realizó una autopsia</w:t>
      </w:r>
      <w:r w:rsidR="001618D2" w:rsidRPr="00BE183D">
        <w:rPr>
          <w:rFonts w:ascii="Cambria" w:hAnsi="Cambria"/>
          <w:color w:val="000000" w:themeColor="text1"/>
          <w:sz w:val="20"/>
          <w:szCs w:val="20"/>
          <w:lang w:val="es-PE"/>
        </w:rPr>
        <w:t xml:space="preserve"> que cumpliera con los requisitos mínimos </w:t>
      </w:r>
      <w:r w:rsidR="00941C53" w:rsidRPr="00BE183D">
        <w:rPr>
          <w:rFonts w:ascii="Cambria" w:hAnsi="Cambria"/>
          <w:color w:val="000000" w:themeColor="text1"/>
          <w:sz w:val="20"/>
          <w:szCs w:val="20"/>
          <w:lang w:val="es-PE"/>
        </w:rPr>
        <w:t xml:space="preserve">ni se describió </w:t>
      </w:r>
      <w:r w:rsidR="00B820C3" w:rsidRPr="00BE183D">
        <w:rPr>
          <w:rFonts w:ascii="Cambria" w:hAnsi="Cambria"/>
          <w:color w:val="000000" w:themeColor="text1"/>
          <w:sz w:val="20"/>
          <w:szCs w:val="20"/>
          <w:lang w:val="es-PE"/>
        </w:rPr>
        <w:t xml:space="preserve">si la vestimenta del periodista fue examinada en la búsqueda de elementos probatorios. La inspección médica </w:t>
      </w:r>
      <w:r w:rsidR="00FA2DC4" w:rsidRPr="00BE183D">
        <w:rPr>
          <w:rFonts w:ascii="Cambria" w:hAnsi="Cambria"/>
          <w:sz w:val="20"/>
          <w:szCs w:val="20"/>
          <w:lang w:val="es-PE"/>
        </w:rPr>
        <w:t xml:space="preserve">no describe con detalle cada una de las lesiones encontradas ni </w:t>
      </w:r>
      <w:r w:rsidR="00EE1FB8" w:rsidRPr="00BE183D">
        <w:rPr>
          <w:rFonts w:ascii="Cambria" w:hAnsi="Cambria"/>
          <w:sz w:val="20"/>
          <w:szCs w:val="20"/>
          <w:lang w:val="es-PE"/>
        </w:rPr>
        <w:t>el</w:t>
      </w:r>
      <w:r w:rsidR="00FA2DC4" w:rsidRPr="00BE183D">
        <w:rPr>
          <w:rFonts w:ascii="Cambria" w:hAnsi="Cambria"/>
          <w:sz w:val="20"/>
          <w:szCs w:val="20"/>
          <w:lang w:val="es-PE"/>
        </w:rPr>
        <w:t xml:space="preserve"> tamaño</w:t>
      </w:r>
      <w:r w:rsidR="00EE1FB8" w:rsidRPr="00BE183D">
        <w:rPr>
          <w:rFonts w:ascii="Cambria" w:hAnsi="Cambria"/>
          <w:sz w:val="20"/>
          <w:szCs w:val="20"/>
          <w:lang w:val="es-PE"/>
        </w:rPr>
        <w:t xml:space="preserve"> de todas</w:t>
      </w:r>
      <w:r w:rsidR="00BA65B9">
        <w:rPr>
          <w:rFonts w:ascii="Cambria" w:hAnsi="Cambria"/>
          <w:sz w:val="20"/>
          <w:szCs w:val="20"/>
          <w:lang w:val="es-PE"/>
        </w:rPr>
        <w:t>,</w:t>
      </w:r>
      <w:r w:rsidR="00EE1FB8" w:rsidRPr="00BE183D">
        <w:rPr>
          <w:rFonts w:ascii="Cambria" w:hAnsi="Cambria"/>
          <w:sz w:val="20"/>
          <w:szCs w:val="20"/>
          <w:lang w:val="es-PE"/>
        </w:rPr>
        <w:t xml:space="preserve"> ni existe registro fotográfico de las lesiones</w:t>
      </w:r>
      <w:r w:rsidR="00FA2DC4" w:rsidRPr="00BE183D">
        <w:rPr>
          <w:rFonts w:ascii="Cambria" w:hAnsi="Cambria"/>
          <w:sz w:val="20"/>
          <w:szCs w:val="20"/>
          <w:lang w:val="es-PE"/>
        </w:rPr>
        <w:t xml:space="preserve">; </w:t>
      </w:r>
      <w:r w:rsidR="00CE2329" w:rsidRPr="00BE183D">
        <w:rPr>
          <w:rFonts w:ascii="Cambria" w:hAnsi="Cambria"/>
          <w:sz w:val="20"/>
          <w:szCs w:val="20"/>
          <w:lang w:val="es-PE"/>
        </w:rPr>
        <w:t>tampoco</w:t>
      </w:r>
      <w:r w:rsidR="00FA2DC4" w:rsidRPr="00BE183D">
        <w:rPr>
          <w:rFonts w:ascii="Cambria" w:hAnsi="Cambria"/>
          <w:sz w:val="20"/>
          <w:szCs w:val="20"/>
          <w:lang w:val="es-PE"/>
        </w:rPr>
        <w:t xml:space="preserve"> determina la posible hora de muerte ni</w:t>
      </w:r>
      <w:r w:rsidR="000645B3" w:rsidRPr="00BE183D">
        <w:rPr>
          <w:rFonts w:ascii="Cambria" w:hAnsi="Cambria"/>
          <w:sz w:val="20"/>
          <w:szCs w:val="20"/>
          <w:lang w:val="es-PE"/>
        </w:rPr>
        <w:t xml:space="preserve"> destaca detalles de las heridas que puedan brindar elementos probatorios </w:t>
      </w:r>
      <w:r w:rsidR="00764AE0" w:rsidRPr="00BE183D">
        <w:rPr>
          <w:rFonts w:ascii="Cambria" w:hAnsi="Cambria"/>
          <w:sz w:val="20"/>
          <w:szCs w:val="20"/>
          <w:lang w:val="es-PE"/>
        </w:rPr>
        <w:t>adicionales</w:t>
      </w:r>
      <w:r w:rsidR="000645B3" w:rsidRPr="00BE183D">
        <w:rPr>
          <w:rFonts w:ascii="Cambria" w:hAnsi="Cambria"/>
          <w:sz w:val="20"/>
          <w:szCs w:val="20"/>
          <w:lang w:val="es-PE"/>
        </w:rPr>
        <w:t xml:space="preserve"> respecto de la </w:t>
      </w:r>
      <w:r w:rsidR="00764AE0" w:rsidRPr="00BE183D">
        <w:rPr>
          <w:rFonts w:ascii="Cambria" w:hAnsi="Cambria"/>
          <w:sz w:val="20"/>
          <w:szCs w:val="20"/>
          <w:lang w:val="es-PE"/>
        </w:rPr>
        <w:t xml:space="preserve">trayectoria, distancia de los disparos y posición de los agentes perpetradores. </w:t>
      </w:r>
      <w:r w:rsidR="00FA2DC4" w:rsidRPr="00BE183D">
        <w:rPr>
          <w:rFonts w:ascii="Cambria" w:hAnsi="Cambria"/>
          <w:sz w:val="20"/>
          <w:szCs w:val="20"/>
          <w:lang w:val="es-PE"/>
        </w:rPr>
        <w:t xml:space="preserve"> </w:t>
      </w:r>
    </w:p>
    <w:p w14:paraId="361BB248" w14:textId="77777777" w:rsidR="005126A1" w:rsidRPr="00BE183D" w:rsidRDefault="005126A1" w:rsidP="00BE183D">
      <w:pPr>
        <w:pStyle w:val="ListParagraph"/>
        <w:spacing w:before="0" w:after="0"/>
        <w:rPr>
          <w:sz w:val="20"/>
          <w:szCs w:val="20"/>
          <w:lang w:val="es-US"/>
        </w:rPr>
      </w:pPr>
    </w:p>
    <w:p w14:paraId="2A6E0702" w14:textId="2E22A77C" w:rsidR="007F157A" w:rsidRPr="009313AF" w:rsidRDefault="0098524D" w:rsidP="00BA30C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US"/>
        </w:rPr>
      </w:pPr>
      <w:r w:rsidRPr="00124EBC">
        <w:rPr>
          <w:rFonts w:ascii="Cambria" w:hAnsi="Cambria"/>
          <w:sz w:val="20"/>
          <w:szCs w:val="20"/>
          <w:lang w:val="es-US"/>
        </w:rPr>
        <w:t>De igual manera</w:t>
      </w:r>
      <w:r w:rsidR="006F308A" w:rsidRPr="00124EBC">
        <w:rPr>
          <w:rFonts w:ascii="Cambria" w:hAnsi="Cambria"/>
          <w:sz w:val="20"/>
          <w:szCs w:val="20"/>
          <w:lang w:val="es-US"/>
        </w:rPr>
        <w:t xml:space="preserve">, si bien </w:t>
      </w:r>
      <w:r w:rsidR="0008246A" w:rsidRPr="00124EBC">
        <w:rPr>
          <w:rFonts w:ascii="Cambria" w:hAnsi="Cambria"/>
          <w:sz w:val="20"/>
          <w:szCs w:val="20"/>
          <w:lang w:val="es-US"/>
        </w:rPr>
        <w:t xml:space="preserve">la </w:t>
      </w:r>
      <w:r w:rsidR="0008246A" w:rsidRPr="00BA30C5">
        <w:rPr>
          <w:rFonts w:ascii="Cambria" w:hAnsi="Cambria"/>
          <w:sz w:val="20"/>
          <w:szCs w:val="20"/>
          <w:lang w:val="es-US"/>
        </w:rPr>
        <w:t>Comisión no cuenta con el expediente del proceso penal completo</w:t>
      </w:r>
      <w:r w:rsidR="00025B0F" w:rsidRPr="00402E2F">
        <w:rPr>
          <w:rFonts w:ascii="Cambria" w:hAnsi="Cambria"/>
          <w:sz w:val="20"/>
          <w:szCs w:val="20"/>
          <w:lang w:val="es-US"/>
        </w:rPr>
        <w:t>, de las pruebas ante ella</w:t>
      </w:r>
      <w:r w:rsidR="00153A58" w:rsidRPr="00C07458">
        <w:rPr>
          <w:rFonts w:ascii="Cambria" w:hAnsi="Cambria"/>
          <w:sz w:val="20"/>
          <w:szCs w:val="20"/>
          <w:lang w:val="es-US"/>
        </w:rPr>
        <w:t>, no</w:t>
      </w:r>
      <w:r w:rsidR="00025B0F" w:rsidRPr="00C07458">
        <w:rPr>
          <w:rFonts w:ascii="Cambria" w:hAnsi="Cambria"/>
          <w:sz w:val="20"/>
          <w:szCs w:val="20"/>
          <w:lang w:val="es-US"/>
        </w:rPr>
        <w:t xml:space="preserve"> </w:t>
      </w:r>
      <w:r w:rsidR="00741072" w:rsidRPr="00C07458">
        <w:rPr>
          <w:rFonts w:ascii="Cambria" w:hAnsi="Cambria"/>
          <w:sz w:val="20"/>
          <w:szCs w:val="20"/>
          <w:lang w:val="es-US"/>
        </w:rPr>
        <w:t>se deduce</w:t>
      </w:r>
      <w:r w:rsidR="005A62A2" w:rsidRPr="00C07458">
        <w:rPr>
          <w:rFonts w:ascii="Cambria" w:hAnsi="Cambria"/>
          <w:sz w:val="20"/>
          <w:szCs w:val="20"/>
          <w:lang w:val="es-US"/>
        </w:rPr>
        <w:t xml:space="preserve"> claramente</w:t>
      </w:r>
      <w:r w:rsidR="00741072" w:rsidRPr="00C07458">
        <w:rPr>
          <w:rFonts w:ascii="Cambria" w:hAnsi="Cambria"/>
          <w:sz w:val="20"/>
          <w:szCs w:val="20"/>
          <w:lang w:val="es-US"/>
        </w:rPr>
        <w:t xml:space="preserve"> que </w:t>
      </w:r>
      <w:r w:rsidR="00741072" w:rsidRPr="00130AD5">
        <w:rPr>
          <w:rFonts w:ascii="Cambria" w:hAnsi="Cambria"/>
          <w:sz w:val="20"/>
          <w:szCs w:val="20"/>
          <w:lang w:val="es-US"/>
        </w:rPr>
        <w:t xml:space="preserve">se haya seguido una línea </w:t>
      </w:r>
      <w:r w:rsidR="00741072" w:rsidRPr="003E35D8">
        <w:rPr>
          <w:rFonts w:ascii="Cambria" w:hAnsi="Cambria"/>
          <w:sz w:val="20"/>
          <w:szCs w:val="20"/>
          <w:lang w:val="es-US"/>
        </w:rPr>
        <w:t xml:space="preserve">lógica de investigación </w:t>
      </w:r>
      <w:r w:rsidR="00741072" w:rsidRPr="008C2670">
        <w:rPr>
          <w:rFonts w:ascii="Cambria" w:hAnsi="Cambria"/>
          <w:sz w:val="20"/>
          <w:szCs w:val="20"/>
          <w:lang w:val="es-US"/>
        </w:rPr>
        <w:t xml:space="preserve">vinculada al ejercicio </w:t>
      </w:r>
      <w:r w:rsidR="00741072" w:rsidRPr="0096449B">
        <w:rPr>
          <w:rFonts w:ascii="Cambria" w:hAnsi="Cambria"/>
          <w:sz w:val="20"/>
          <w:szCs w:val="20"/>
          <w:lang w:val="es-US"/>
        </w:rPr>
        <w:t xml:space="preserve">de </w:t>
      </w:r>
      <w:r w:rsidR="00741072" w:rsidRPr="009313AF">
        <w:rPr>
          <w:rFonts w:ascii="Cambria" w:hAnsi="Cambria"/>
          <w:sz w:val="20"/>
          <w:szCs w:val="20"/>
          <w:lang w:val="es-US"/>
        </w:rPr>
        <w:t>la labor periodística de la víctima, ni que se haya estudiado con cuidado los posible móviles de su crimen o los presuntos responsables</w:t>
      </w:r>
      <w:r w:rsidR="007F157A" w:rsidRPr="009313AF">
        <w:rPr>
          <w:rFonts w:ascii="Cambria" w:hAnsi="Cambria"/>
          <w:sz w:val="20"/>
          <w:szCs w:val="20"/>
          <w:lang w:val="es-US"/>
        </w:rPr>
        <w:t xml:space="preserve"> materiales e</w:t>
      </w:r>
      <w:r w:rsidR="00741072" w:rsidRPr="009313AF">
        <w:rPr>
          <w:rFonts w:ascii="Cambria" w:hAnsi="Cambria"/>
          <w:sz w:val="20"/>
          <w:szCs w:val="20"/>
          <w:lang w:val="es-US"/>
        </w:rPr>
        <w:t xml:space="preserve"> intelectuales con base en la información de interés público que Santiago Leguizamón publicaba</w:t>
      </w:r>
      <w:r w:rsidR="00C55F91" w:rsidRPr="009313AF">
        <w:rPr>
          <w:rFonts w:ascii="Cambria" w:hAnsi="Cambria"/>
          <w:sz w:val="20"/>
          <w:szCs w:val="20"/>
          <w:lang w:val="es-US"/>
        </w:rPr>
        <w:t xml:space="preserve">. </w:t>
      </w:r>
      <w:r w:rsidR="00DB3EFC" w:rsidRPr="009313AF">
        <w:rPr>
          <w:rFonts w:ascii="Cambria" w:hAnsi="Cambria"/>
          <w:sz w:val="20"/>
          <w:szCs w:val="20"/>
          <w:lang w:val="es-US"/>
        </w:rPr>
        <w:t xml:space="preserve">Lo anterior, </w:t>
      </w:r>
      <w:r w:rsidR="005A62A2" w:rsidRPr="009313AF">
        <w:rPr>
          <w:rFonts w:ascii="Cambria" w:hAnsi="Cambria"/>
          <w:sz w:val="20"/>
          <w:szCs w:val="20"/>
          <w:lang w:val="es-US"/>
        </w:rPr>
        <w:t xml:space="preserve">a pesar de </w:t>
      </w:r>
      <w:r w:rsidR="003767C5" w:rsidRPr="009313AF">
        <w:rPr>
          <w:rFonts w:ascii="Cambria" w:hAnsi="Cambria"/>
          <w:sz w:val="20"/>
          <w:szCs w:val="20"/>
          <w:lang w:val="es-US"/>
        </w:rPr>
        <w:t>que</w:t>
      </w:r>
      <w:r w:rsidR="007E76BF">
        <w:rPr>
          <w:rFonts w:ascii="Cambria" w:hAnsi="Cambria"/>
          <w:sz w:val="20"/>
          <w:szCs w:val="20"/>
          <w:lang w:val="es-US"/>
        </w:rPr>
        <w:t xml:space="preserve"> Santiago Leguizamón era un reconocido periodista en Paraguay, </w:t>
      </w:r>
      <w:r w:rsidR="003767C5" w:rsidRPr="007E76BF">
        <w:rPr>
          <w:rFonts w:ascii="Cambria" w:hAnsi="Cambria"/>
          <w:sz w:val="20"/>
          <w:szCs w:val="20"/>
          <w:lang w:val="es-US"/>
        </w:rPr>
        <w:t xml:space="preserve">las autoridades conocían de la situación de riesgo con base en </w:t>
      </w:r>
      <w:r w:rsidR="003707AB">
        <w:rPr>
          <w:rFonts w:ascii="Cambria" w:hAnsi="Cambria"/>
          <w:sz w:val="20"/>
          <w:szCs w:val="20"/>
          <w:lang w:val="es-US"/>
        </w:rPr>
        <w:t>su</w:t>
      </w:r>
      <w:r w:rsidR="003767C5" w:rsidRPr="007E76BF">
        <w:rPr>
          <w:rFonts w:ascii="Cambria" w:hAnsi="Cambria"/>
          <w:sz w:val="20"/>
          <w:szCs w:val="20"/>
          <w:lang w:val="es-US"/>
        </w:rPr>
        <w:t xml:space="preserve"> labor periodística,</w:t>
      </w:r>
      <w:r w:rsidR="003707AB">
        <w:rPr>
          <w:rFonts w:ascii="Cambria" w:hAnsi="Cambria"/>
          <w:sz w:val="20"/>
          <w:szCs w:val="20"/>
          <w:lang w:val="es-US"/>
        </w:rPr>
        <w:t xml:space="preserve"> c</w:t>
      </w:r>
      <w:r w:rsidR="00F6230A">
        <w:rPr>
          <w:rFonts w:ascii="Cambria" w:hAnsi="Cambria"/>
          <w:sz w:val="20"/>
          <w:szCs w:val="20"/>
          <w:lang w:val="es-US"/>
        </w:rPr>
        <w:t>onocían</w:t>
      </w:r>
      <w:r w:rsidR="003767C5" w:rsidRPr="007E76BF">
        <w:rPr>
          <w:rFonts w:ascii="Cambria" w:hAnsi="Cambria"/>
          <w:sz w:val="20"/>
          <w:szCs w:val="20"/>
          <w:lang w:val="es-US"/>
        </w:rPr>
        <w:t xml:space="preserve"> </w:t>
      </w:r>
      <w:r w:rsidR="00306D7B" w:rsidRPr="007E76BF">
        <w:rPr>
          <w:rFonts w:ascii="Cambria" w:hAnsi="Cambria"/>
          <w:sz w:val="20"/>
          <w:szCs w:val="20"/>
          <w:lang w:val="es-US"/>
        </w:rPr>
        <w:t xml:space="preserve">de </w:t>
      </w:r>
      <w:r w:rsidR="005A62A2" w:rsidRPr="007E76BF">
        <w:rPr>
          <w:rFonts w:ascii="Cambria" w:hAnsi="Cambria"/>
          <w:sz w:val="20"/>
          <w:szCs w:val="20"/>
          <w:lang w:val="es-US"/>
        </w:rPr>
        <w:t>las diversas declarac</w:t>
      </w:r>
      <w:r w:rsidR="00DB3EFC" w:rsidRPr="007E76BF">
        <w:rPr>
          <w:rFonts w:ascii="Cambria" w:hAnsi="Cambria"/>
          <w:sz w:val="20"/>
          <w:szCs w:val="20"/>
          <w:lang w:val="es-US"/>
        </w:rPr>
        <w:t>iones a nivel interno que dieron cuenta de la existencia de ame</w:t>
      </w:r>
      <w:r w:rsidR="00306D7B" w:rsidRPr="007E76BF">
        <w:rPr>
          <w:rFonts w:ascii="Cambria" w:hAnsi="Cambria"/>
          <w:sz w:val="20"/>
          <w:szCs w:val="20"/>
          <w:lang w:val="es-US"/>
        </w:rPr>
        <w:t xml:space="preserve">nazas con motivo de su oficio </w:t>
      </w:r>
      <w:r w:rsidR="00F744E1" w:rsidRPr="00F6230A">
        <w:rPr>
          <w:rFonts w:ascii="Cambria" w:hAnsi="Cambria"/>
          <w:sz w:val="20"/>
          <w:szCs w:val="20"/>
          <w:lang w:val="es-US"/>
        </w:rPr>
        <w:t xml:space="preserve">y </w:t>
      </w:r>
      <w:r w:rsidR="00CD4BCF">
        <w:rPr>
          <w:rFonts w:ascii="Cambria" w:hAnsi="Cambria"/>
          <w:sz w:val="20"/>
          <w:szCs w:val="20"/>
          <w:lang w:val="es-US"/>
        </w:rPr>
        <w:t>sabían</w:t>
      </w:r>
      <w:r w:rsidR="00F744E1" w:rsidRPr="00F6230A">
        <w:rPr>
          <w:rFonts w:ascii="Cambria" w:hAnsi="Cambria"/>
          <w:sz w:val="20"/>
          <w:szCs w:val="20"/>
          <w:lang w:val="es-US"/>
        </w:rPr>
        <w:t xml:space="preserve"> l</w:t>
      </w:r>
      <w:r w:rsidR="005460DF">
        <w:rPr>
          <w:rFonts w:ascii="Cambria" w:hAnsi="Cambria"/>
          <w:sz w:val="20"/>
          <w:szCs w:val="20"/>
          <w:lang w:val="es-US"/>
        </w:rPr>
        <w:t xml:space="preserve">a naturaleza de los </w:t>
      </w:r>
      <w:r w:rsidR="00F744E1" w:rsidRPr="005460DF">
        <w:rPr>
          <w:rFonts w:ascii="Cambria" w:hAnsi="Cambria"/>
          <w:sz w:val="20"/>
          <w:szCs w:val="20"/>
          <w:lang w:val="es-US"/>
        </w:rPr>
        <w:t>hechos repor</w:t>
      </w:r>
      <w:r w:rsidR="0095000B" w:rsidRPr="005460DF">
        <w:rPr>
          <w:rFonts w:ascii="Cambria" w:hAnsi="Cambria"/>
          <w:sz w:val="20"/>
          <w:szCs w:val="20"/>
          <w:lang w:val="es-US"/>
        </w:rPr>
        <w:t xml:space="preserve">tados por la víctima. </w:t>
      </w:r>
      <w:r w:rsidR="005A3DF5" w:rsidRPr="005460DF">
        <w:rPr>
          <w:rFonts w:ascii="Cambria" w:hAnsi="Cambria"/>
          <w:sz w:val="20"/>
          <w:szCs w:val="20"/>
          <w:lang w:val="es-US"/>
        </w:rPr>
        <w:t xml:space="preserve">Si bien el juez de la causa solicitó los artículos publicados por Leguizamón, </w:t>
      </w:r>
      <w:r w:rsidR="00BC3A5C" w:rsidRPr="005460DF">
        <w:rPr>
          <w:rFonts w:ascii="Cambria" w:hAnsi="Cambria"/>
          <w:sz w:val="20"/>
          <w:szCs w:val="20"/>
          <w:lang w:val="es-US"/>
        </w:rPr>
        <w:t>solo</w:t>
      </w:r>
      <w:r w:rsidR="00B30961" w:rsidRPr="005460DF">
        <w:rPr>
          <w:rFonts w:ascii="Cambria" w:hAnsi="Cambria"/>
          <w:sz w:val="20"/>
          <w:szCs w:val="20"/>
          <w:lang w:val="es-US"/>
        </w:rPr>
        <w:t xml:space="preserve"> </w:t>
      </w:r>
      <w:r w:rsidR="0097533C" w:rsidRPr="005460DF">
        <w:rPr>
          <w:rFonts w:ascii="Cambria" w:hAnsi="Cambria"/>
          <w:sz w:val="20"/>
          <w:szCs w:val="20"/>
          <w:lang w:val="es-US"/>
        </w:rPr>
        <w:t>alguno</w:t>
      </w:r>
      <w:r w:rsidR="0097533C">
        <w:rPr>
          <w:rFonts w:ascii="Cambria" w:hAnsi="Cambria"/>
          <w:sz w:val="20"/>
          <w:szCs w:val="20"/>
          <w:lang w:val="es-US"/>
        </w:rPr>
        <w:t>s</w:t>
      </w:r>
      <w:r w:rsidR="0097533C" w:rsidRPr="005460DF">
        <w:rPr>
          <w:rFonts w:ascii="Cambria" w:hAnsi="Cambria"/>
          <w:sz w:val="20"/>
          <w:szCs w:val="20"/>
          <w:lang w:val="es-US"/>
        </w:rPr>
        <w:t xml:space="preserve"> </w:t>
      </w:r>
      <w:r w:rsidR="0097533C" w:rsidRPr="0097533C">
        <w:rPr>
          <w:rFonts w:ascii="Cambria" w:hAnsi="Cambria"/>
          <w:sz w:val="20"/>
          <w:szCs w:val="20"/>
          <w:lang w:val="es-US"/>
        </w:rPr>
        <w:t>de ellos fue</w:t>
      </w:r>
      <w:r w:rsidR="0097533C">
        <w:rPr>
          <w:rFonts w:ascii="Cambria" w:hAnsi="Cambria"/>
          <w:sz w:val="20"/>
          <w:szCs w:val="20"/>
          <w:lang w:val="es-US"/>
        </w:rPr>
        <w:t>ron</w:t>
      </w:r>
      <w:r w:rsidR="00BC3A5C" w:rsidRPr="0097533C">
        <w:rPr>
          <w:rFonts w:ascii="Cambria" w:hAnsi="Cambria"/>
          <w:sz w:val="20"/>
          <w:szCs w:val="20"/>
          <w:lang w:val="es-US"/>
        </w:rPr>
        <w:t xml:space="preserve"> </w:t>
      </w:r>
      <w:r w:rsidR="000403AB" w:rsidRPr="0097533C">
        <w:rPr>
          <w:rFonts w:ascii="Cambria" w:hAnsi="Cambria"/>
          <w:sz w:val="20"/>
          <w:szCs w:val="20"/>
          <w:lang w:val="es-US"/>
        </w:rPr>
        <w:t>aportados</w:t>
      </w:r>
      <w:r w:rsidR="00420CE5">
        <w:rPr>
          <w:rFonts w:ascii="Cambria" w:hAnsi="Cambria"/>
          <w:sz w:val="20"/>
          <w:szCs w:val="20"/>
          <w:lang w:val="es-US"/>
        </w:rPr>
        <w:t>. Tampoco</w:t>
      </w:r>
      <w:r w:rsidR="000403AB" w:rsidRPr="0097533C">
        <w:rPr>
          <w:rFonts w:ascii="Cambria" w:hAnsi="Cambria"/>
          <w:sz w:val="20"/>
          <w:szCs w:val="20"/>
          <w:lang w:val="es-US"/>
        </w:rPr>
        <w:t xml:space="preserve"> se deduce que las investigacione</w:t>
      </w:r>
      <w:r w:rsidR="000403AB" w:rsidRPr="00420CE5">
        <w:rPr>
          <w:rFonts w:ascii="Cambria" w:hAnsi="Cambria"/>
          <w:sz w:val="20"/>
          <w:szCs w:val="20"/>
          <w:lang w:val="es-US"/>
        </w:rPr>
        <w:t xml:space="preserve">s hayan realizado un análisis exhaustivo </w:t>
      </w:r>
      <w:r w:rsidR="00420CE5">
        <w:rPr>
          <w:rFonts w:ascii="Cambria" w:hAnsi="Cambria"/>
          <w:sz w:val="20"/>
          <w:szCs w:val="20"/>
          <w:lang w:val="es-US"/>
        </w:rPr>
        <w:t xml:space="preserve">del trabajo periodístico </w:t>
      </w:r>
      <w:r w:rsidR="0008285D">
        <w:rPr>
          <w:rFonts w:ascii="Cambria" w:hAnsi="Cambria"/>
          <w:sz w:val="20"/>
          <w:szCs w:val="20"/>
          <w:lang w:val="es-US"/>
        </w:rPr>
        <w:t xml:space="preserve">de Leguizamón </w:t>
      </w:r>
      <w:r w:rsidR="001D51FC" w:rsidRPr="00420CE5">
        <w:rPr>
          <w:rFonts w:ascii="Cambria" w:hAnsi="Cambria"/>
          <w:sz w:val="20"/>
          <w:szCs w:val="20"/>
          <w:lang w:val="es-US"/>
        </w:rPr>
        <w:t>con el fin de relacionar el crimen con la labor period</w:t>
      </w:r>
      <w:r w:rsidR="00B92057" w:rsidRPr="0008285D">
        <w:rPr>
          <w:rFonts w:ascii="Cambria" w:hAnsi="Cambria"/>
          <w:sz w:val="20"/>
          <w:szCs w:val="20"/>
          <w:lang w:val="es-US"/>
        </w:rPr>
        <w:t xml:space="preserve">ística </w:t>
      </w:r>
      <w:r w:rsidR="00637853" w:rsidRPr="0008285D">
        <w:rPr>
          <w:rFonts w:ascii="Cambria" w:hAnsi="Cambria"/>
          <w:sz w:val="20"/>
          <w:szCs w:val="20"/>
          <w:lang w:val="es-US"/>
        </w:rPr>
        <w:t xml:space="preserve">y con el objetivo </w:t>
      </w:r>
      <w:r w:rsidR="006F1791">
        <w:rPr>
          <w:rFonts w:ascii="Cambria" w:hAnsi="Cambria"/>
          <w:sz w:val="20"/>
          <w:szCs w:val="20"/>
          <w:lang w:val="es-US"/>
        </w:rPr>
        <w:t xml:space="preserve">de establecer </w:t>
      </w:r>
      <w:r w:rsidR="00124EBC" w:rsidRPr="006F1791">
        <w:rPr>
          <w:rFonts w:ascii="Cambria" w:hAnsi="Cambria"/>
          <w:sz w:val="20"/>
          <w:szCs w:val="20"/>
          <w:lang w:val="es-US"/>
        </w:rPr>
        <w:t xml:space="preserve">los </w:t>
      </w:r>
      <w:r w:rsidR="005A69CD" w:rsidRPr="006F1791">
        <w:rPr>
          <w:rFonts w:ascii="Cambria" w:hAnsi="Cambria"/>
          <w:sz w:val="20"/>
          <w:szCs w:val="20"/>
          <w:lang w:val="es-US"/>
        </w:rPr>
        <w:t>posibles</w:t>
      </w:r>
      <w:r w:rsidR="00124EBC" w:rsidRPr="006F1791">
        <w:rPr>
          <w:rFonts w:ascii="Cambria" w:hAnsi="Cambria"/>
          <w:sz w:val="20"/>
          <w:szCs w:val="20"/>
          <w:lang w:val="es-US"/>
        </w:rPr>
        <w:t xml:space="preserve"> autores materiales e intelectuales que </w:t>
      </w:r>
      <w:r w:rsidR="005A69CD">
        <w:rPr>
          <w:rFonts w:ascii="Cambria" w:hAnsi="Cambria"/>
          <w:sz w:val="20"/>
          <w:szCs w:val="20"/>
          <w:lang w:val="es-US"/>
        </w:rPr>
        <w:t xml:space="preserve">podrían haber </w:t>
      </w:r>
      <w:r w:rsidR="00124EBC" w:rsidRPr="006F1791">
        <w:rPr>
          <w:rFonts w:ascii="Cambria" w:hAnsi="Cambria"/>
          <w:sz w:val="20"/>
          <w:szCs w:val="20"/>
          <w:lang w:val="es-US"/>
        </w:rPr>
        <w:t>quer</w:t>
      </w:r>
      <w:r w:rsidR="005A69CD">
        <w:rPr>
          <w:rFonts w:ascii="Cambria" w:hAnsi="Cambria"/>
          <w:sz w:val="20"/>
          <w:szCs w:val="20"/>
          <w:lang w:val="es-US"/>
        </w:rPr>
        <w:t>ido</w:t>
      </w:r>
      <w:r w:rsidR="00124EBC" w:rsidRPr="006F1791">
        <w:rPr>
          <w:rFonts w:ascii="Cambria" w:hAnsi="Cambria"/>
          <w:sz w:val="20"/>
          <w:szCs w:val="20"/>
          <w:lang w:val="es-US"/>
        </w:rPr>
        <w:t xml:space="preserve"> silenciarlo. </w:t>
      </w:r>
    </w:p>
    <w:p w14:paraId="59E00A9A" w14:textId="77777777" w:rsidR="00124EBC" w:rsidRPr="00124EBC" w:rsidRDefault="00124EBC" w:rsidP="009313A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20"/>
          <w:szCs w:val="20"/>
          <w:lang w:val="es-US"/>
        </w:rPr>
      </w:pPr>
    </w:p>
    <w:p w14:paraId="2D94D4DB" w14:textId="02D8249A" w:rsidR="00932F24" w:rsidRPr="009313AF" w:rsidRDefault="00932F24" w:rsidP="00BA30C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US"/>
        </w:rPr>
      </w:pPr>
      <w:r w:rsidRPr="00BE183D">
        <w:rPr>
          <w:rFonts w:ascii="Cambria" w:hAnsi="Cambria"/>
          <w:bCs/>
          <w:sz w:val="20"/>
          <w:szCs w:val="20"/>
          <w:lang w:val="es-AR"/>
        </w:rPr>
        <w:t xml:space="preserve">La CIDH considera que la investigación tampoco ponderó aspectos vinculados con el contexto </w:t>
      </w:r>
      <w:r>
        <w:rPr>
          <w:rFonts w:ascii="Cambria" w:hAnsi="Cambria"/>
          <w:bCs/>
          <w:sz w:val="20"/>
          <w:szCs w:val="20"/>
          <w:lang w:val="es-AR"/>
        </w:rPr>
        <w:t xml:space="preserve">de Pedro Juan Caballero </w:t>
      </w:r>
      <w:r w:rsidRPr="00BE183D">
        <w:rPr>
          <w:rFonts w:ascii="Cambria" w:hAnsi="Cambria"/>
          <w:bCs/>
          <w:sz w:val="20"/>
          <w:szCs w:val="20"/>
          <w:lang w:val="es-AR"/>
        </w:rPr>
        <w:t xml:space="preserve">y al no centrarse </w:t>
      </w:r>
      <w:r>
        <w:rPr>
          <w:rFonts w:ascii="Cambria" w:hAnsi="Cambria"/>
          <w:bCs/>
          <w:sz w:val="20"/>
          <w:szCs w:val="20"/>
          <w:lang w:val="es-AR"/>
        </w:rPr>
        <w:t xml:space="preserve">el Estado </w:t>
      </w:r>
      <w:r w:rsidRPr="00BE183D">
        <w:rPr>
          <w:rFonts w:ascii="Cambria" w:hAnsi="Cambria"/>
          <w:bCs/>
          <w:sz w:val="20"/>
          <w:szCs w:val="20"/>
          <w:lang w:val="es-AR"/>
        </w:rPr>
        <w:t xml:space="preserve">en la actividad profesional del periodista, como de las características del caso debió haber hecho, las investigaciones tuvieron menos posibilidades de conseguir los resultados deseados. El crimen de Santiago no se ejecutó en cualquier zona, sino en un área </w:t>
      </w:r>
      <w:r>
        <w:rPr>
          <w:rFonts w:ascii="Cambria" w:hAnsi="Cambria"/>
          <w:bCs/>
          <w:sz w:val="20"/>
          <w:szCs w:val="20"/>
          <w:lang w:val="es-AR"/>
        </w:rPr>
        <w:t>con elevados índices de violencia</w:t>
      </w:r>
      <w:r w:rsidRPr="00BE183D">
        <w:rPr>
          <w:rFonts w:ascii="Cambria" w:hAnsi="Cambria"/>
          <w:bCs/>
          <w:sz w:val="20"/>
          <w:szCs w:val="20"/>
          <w:lang w:val="es-AR"/>
        </w:rPr>
        <w:t xml:space="preserve">, donde </w:t>
      </w:r>
      <w:r w:rsidRPr="00BE183D">
        <w:rPr>
          <w:rFonts w:ascii="Cambria" w:hAnsi="Cambria"/>
          <w:bCs/>
          <w:sz w:val="20"/>
          <w:szCs w:val="20"/>
          <w:lang w:val="es-US"/>
        </w:rPr>
        <w:t>se sospechaba que el hecho podría haber sido cometido por estructuras criminales imperantes en la zona fronteriza, incluso con participación de autoridades locales</w:t>
      </w:r>
      <w:r w:rsidR="00BA65B9">
        <w:rPr>
          <w:rFonts w:ascii="Cambria" w:hAnsi="Cambria"/>
          <w:bCs/>
          <w:sz w:val="20"/>
          <w:szCs w:val="20"/>
          <w:lang w:val="es-US"/>
        </w:rPr>
        <w:t>. Incluso</w:t>
      </w:r>
      <w:r w:rsidRPr="00BE183D">
        <w:rPr>
          <w:rFonts w:ascii="Cambria" w:hAnsi="Cambria"/>
          <w:bCs/>
          <w:sz w:val="20"/>
          <w:szCs w:val="20"/>
          <w:lang w:val="es-US"/>
        </w:rPr>
        <w:t>, una declarante</w:t>
      </w:r>
      <w:r w:rsidR="00BA65B9">
        <w:rPr>
          <w:rFonts w:ascii="Cambria" w:hAnsi="Cambria"/>
          <w:bCs/>
          <w:sz w:val="20"/>
          <w:szCs w:val="20"/>
          <w:lang w:val="es-US"/>
        </w:rPr>
        <w:t>, residente en la zona,</w:t>
      </w:r>
      <w:r w:rsidRPr="00BE183D">
        <w:rPr>
          <w:rFonts w:ascii="Cambria" w:hAnsi="Cambria"/>
          <w:bCs/>
          <w:sz w:val="20"/>
          <w:szCs w:val="20"/>
          <w:lang w:val="es-US"/>
        </w:rPr>
        <w:t xml:space="preserve"> habría solicitado medidas de protección </w:t>
      </w:r>
      <w:r w:rsidRPr="00BE183D">
        <w:rPr>
          <w:rFonts w:ascii="Cambria" w:hAnsi="Cambria"/>
          <w:color w:val="000000" w:themeColor="text1"/>
          <w:sz w:val="20"/>
          <w:szCs w:val="20"/>
          <w:lang w:val="es-PE"/>
        </w:rPr>
        <w:t>con motivo de su temor manifiesto a recibir represalias debido a su declaración.</w:t>
      </w:r>
    </w:p>
    <w:p w14:paraId="41B6A3B6" w14:textId="77777777" w:rsidR="00932F24" w:rsidRDefault="00932F24" w:rsidP="009313AF">
      <w:pPr>
        <w:pStyle w:val="ListParagraph"/>
        <w:spacing w:before="0" w:after="0"/>
        <w:rPr>
          <w:sz w:val="20"/>
          <w:szCs w:val="20"/>
          <w:lang w:val="es-US"/>
        </w:rPr>
      </w:pPr>
    </w:p>
    <w:p w14:paraId="0D785EC7" w14:textId="301060A3" w:rsidR="007C6B97" w:rsidRPr="00BE183D" w:rsidRDefault="00FD1DC9" w:rsidP="00BA30C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US"/>
        </w:rPr>
      </w:pPr>
      <w:r>
        <w:rPr>
          <w:rFonts w:ascii="Cambria" w:hAnsi="Cambria"/>
          <w:sz w:val="20"/>
          <w:szCs w:val="20"/>
          <w:lang w:val="es-US"/>
        </w:rPr>
        <w:t xml:space="preserve">Además, no </w:t>
      </w:r>
      <w:r w:rsidR="00025B0F" w:rsidRPr="00BE183D">
        <w:rPr>
          <w:rFonts w:ascii="Cambria" w:hAnsi="Cambria"/>
          <w:sz w:val="20"/>
          <w:szCs w:val="20"/>
          <w:lang w:val="es-US"/>
        </w:rPr>
        <w:t xml:space="preserve">se deriva </w:t>
      </w:r>
      <w:r w:rsidR="00153A58" w:rsidRPr="00BE183D">
        <w:rPr>
          <w:rFonts w:ascii="Cambria" w:hAnsi="Cambria"/>
          <w:sz w:val="20"/>
          <w:szCs w:val="20"/>
          <w:lang w:val="es-US"/>
        </w:rPr>
        <w:t>de forma clara que el Estado haya asumido una línea de investigación respecto del homicidio de Santiago Leguizamón</w:t>
      </w:r>
      <w:r w:rsidR="00187294" w:rsidRPr="00BE183D">
        <w:rPr>
          <w:rFonts w:ascii="Cambria" w:hAnsi="Cambria"/>
          <w:sz w:val="20"/>
          <w:szCs w:val="20"/>
          <w:lang w:val="es-US"/>
        </w:rPr>
        <w:t xml:space="preserve"> que confirme o refute </w:t>
      </w:r>
      <w:r w:rsidR="00F2580F" w:rsidRPr="00BE183D">
        <w:rPr>
          <w:rFonts w:ascii="Cambria" w:hAnsi="Cambria"/>
          <w:sz w:val="20"/>
          <w:szCs w:val="20"/>
          <w:lang w:val="es-US"/>
        </w:rPr>
        <w:t xml:space="preserve">una </w:t>
      </w:r>
      <w:r w:rsidR="00217220" w:rsidRPr="00BE183D">
        <w:rPr>
          <w:rFonts w:ascii="Cambria" w:hAnsi="Cambria"/>
          <w:sz w:val="20"/>
          <w:szCs w:val="20"/>
          <w:lang w:val="es-US"/>
        </w:rPr>
        <w:t>hi</w:t>
      </w:r>
      <w:r w:rsidR="00582407" w:rsidRPr="00BE183D">
        <w:rPr>
          <w:rFonts w:ascii="Cambria" w:hAnsi="Cambria"/>
          <w:sz w:val="20"/>
          <w:szCs w:val="20"/>
          <w:lang w:val="es-US"/>
        </w:rPr>
        <w:t>pótesis de autoría,</w:t>
      </w:r>
      <w:r w:rsidR="000312A7" w:rsidRPr="00BE183D">
        <w:rPr>
          <w:rFonts w:ascii="Cambria" w:hAnsi="Cambria"/>
          <w:sz w:val="20"/>
          <w:szCs w:val="20"/>
          <w:lang w:val="es-US"/>
        </w:rPr>
        <w:t xml:space="preserve"> </w:t>
      </w:r>
      <w:r w:rsidR="00B722C0" w:rsidRPr="00BE183D">
        <w:rPr>
          <w:rFonts w:ascii="Cambria" w:hAnsi="Cambria"/>
          <w:sz w:val="20"/>
          <w:szCs w:val="20"/>
          <w:lang w:val="es-US"/>
        </w:rPr>
        <w:t xml:space="preserve">sino que </w:t>
      </w:r>
      <w:r w:rsidR="00F2580F" w:rsidRPr="00BE183D">
        <w:rPr>
          <w:rFonts w:ascii="Cambria" w:hAnsi="Cambria"/>
          <w:sz w:val="20"/>
          <w:szCs w:val="20"/>
          <w:lang w:val="es-US"/>
        </w:rPr>
        <w:t>más</w:t>
      </w:r>
      <w:r w:rsidR="00B722C0" w:rsidRPr="00BE183D">
        <w:rPr>
          <w:rFonts w:ascii="Cambria" w:hAnsi="Cambria"/>
          <w:sz w:val="20"/>
          <w:szCs w:val="20"/>
          <w:lang w:val="es-US"/>
        </w:rPr>
        <w:t xml:space="preserve"> bien </w:t>
      </w:r>
      <w:r w:rsidR="00582407" w:rsidRPr="00BE183D">
        <w:rPr>
          <w:rFonts w:ascii="Cambria" w:hAnsi="Cambria"/>
          <w:sz w:val="20"/>
          <w:szCs w:val="20"/>
          <w:lang w:val="es-US"/>
        </w:rPr>
        <w:t xml:space="preserve">surge de la prueba que </w:t>
      </w:r>
      <w:r w:rsidR="00FD35C6" w:rsidRPr="00BE183D">
        <w:rPr>
          <w:rFonts w:ascii="Cambria" w:hAnsi="Cambria"/>
          <w:sz w:val="20"/>
          <w:szCs w:val="20"/>
          <w:lang w:val="es-US"/>
        </w:rPr>
        <w:t xml:space="preserve">la investigación se </w:t>
      </w:r>
      <w:r w:rsidR="00BA65B9" w:rsidRPr="00BE183D">
        <w:rPr>
          <w:rFonts w:ascii="Cambria" w:hAnsi="Cambria"/>
          <w:sz w:val="20"/>
          <w:szCs w:val="20"/>
          <w:lang w:val="es-US"/>
        </w:rPr>
        <w:t>gui</w:t>
      </w:r>
      <w:r w:rsidR="00BA65B9">
        <w:rPr>
          <w:rFonts w:ascii="Cambria" w:hAnsi="Cambria"/>
          <w:sz w:val="20"/>
          <w:szCs w:val="20"/>
          <w:lang w:val="es-US"/>
        </w:rPr>
        <w:t>o</w:t>
      </w:r>
      <w:r w:rsidR="00FD35C6" w:rsidRPr="00BE183D">
        <w:rPr>
          <w:rFonts w:ascii="Cambria" w:hAnsi="Cambria"/>
          <w:sz w:val="20"/>
          <w:szCs w:val="20"/>
          <w:lang w:val="es-US"/>
        </w:rPr>
        <w:t xml:space="preserve"> </w:t>
      </w:r>
      <w:r w:rsidR="00BB59FB">
        <w:rPr>
          <w:rFonts w:ascii="Cambria" w:hAnsi="Cambria"/>
          <w:sz w:val="20"/>
          <w:szCs w:val="20"/>
          <w:lang w:val="es-US"/>
        </w:rPr>
        <w:t xml:space="preserve">principalmente </w:t>
      </w:r>
      <w:r w:rsidR="00BA65B9">
        <w:rPr>
          <w:rFonts w:ascii="Cambria" w:hAnsi="Cambria"/>
          <w:sz w:val="20"/>
          <w:szCs w:val="20"/>
          <w:lang w:val="es-US"/>
        </w:rPr>
        <w:t>por</w:t>
      </w:r>
      <w:r w:rsidR="00FD35C6" w:rsidRPr="00BE183D">
        <w:rPr>
          <w:rFonts w:ascii="Cambria" w:hAnsi="Cambria"/>
          <w:sz w:val="20"/>
          <w:szCs w:val="20"/>
          <w:lang w:val="es-US"/>
        </w:rPr>
        <w:t xml:space="preserve"> investigaciones periodísticas</w:t>
      </w:r>
      <w:r w:rsidR="001B0D6C">
        <w:rPr>
          <w:rFonts w:ascii="Cambria" w:hAnsi="Cambria"/>
          <w:sz w:val="20"/>
          <w:szCs w:val="20"/>
          <w:lang w:val="es-US"/>
        </w:rPr>
        <w:t xml:space="preserve"> que </w:t>
      </w:r>
      <w:r w:rsidR="005F4E37">
        <w:rPr>
          <w:rFonts w:ascii="Cambria" w:hAnsi="Cambria"/>
          <w:sz w:val="20"/>
          <w:szCs w:val="20"/>
          <w:lang w:val="es-US"/>
        </w:rPr>
        <w:t>establecían sus propias hipótesis de</w:t>
      </w:r>
      <w:r w:rsidR="001B0D6C">
        <w:rPr>
          <w:rFonts w:ascii="Cambria" w:hAnsi="Cambria"/>
          <w:sz w:val="20"/>
          <w:szCs w:val="20"/>
          <w:lang w:val="es-US"/>
        </w:rPr>
        <w:t xml:space="preserve"> </w:t>
      </w:r>
      <w:r w:rsidR="006173AF">
        <w:rPr>
          <w:rFonts w:ascii="Cambria" w:hAnsi="Cambria"/>
          <w:sz w:val="20"/>
          <w:szCs w:val="20"/>
          <w:lang w:val="es-US"/>
        </w:rPr>
        <w:t>autoría</w:t>
      </w:r>
      <w:r w:rsidR="007E5E19">
        <w:rPr>
          <w:rFonts w:ascii="Cambria" w:hAnsi="Cambria"/>
          <w:sz w:val="20"/>
          <w:szCs w:val="20"/>
          <w:lang w:val="es-US"/>
        </w:rPr>
        <w:t>.</w:t>
      </w:r>
      <w:r w:rsidR="00FD35C6" w:rsidRPr="00BE183D">
        <w:rPr>
          <w:rFonts w:ascii="Cambria" w:hAnsi="Cambria"/>
          <w:sz w:val="20"/>
          <w:szCs w:val="20"/>
          <w:lang w:val="es-US"/>
        </w:rPr>
        <w:t xml:space="preserve"> </w:t>
      </w:r>
    </w:p>
    <w:p w14:paraId="2B524045" w14:textId="750F30CC" w:rsidR="007C6B97" w:rsidRDefault="007C6B97" w:rsidP="00840AA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20"/>
          <w:szCs w:val="20"/>
          <w:lang w:val="es-ES"/>
        </w:rPr>
      </w:pPr>
    </w:p>
    <w:p w14:paraId="4BABCEB7" w14:textId="7F581B83" w:rsidR="00866F16" w:rsidRDefault="00806189" w:rsidP="002C542E">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ES"/>
        </w:rPr>
      </w:pPr>
      <w:r w:rsidRPr="00840AA5">
        <w:rPr>
          <w:rFonts w:ascii="Cambria" w:hAnsi="Cambria"/>
          <w:sz w:val="20"/>
          <w:szCs w:val="20"/>
          <w:lang w:val="es-ES"/>
        </w:rPr>
        <w:t xml:space="preserve">Si bien el Estado </w:t>
      </w:r>
      <w:r w:rsidR="006D0E66" w:rsidRPr="00840AA5">
        <w:rPr>
          <w:rFonts w:ascii="Cambria" w:hAnsi="Cambria"/>
          <w:sz w:val="20"/>
          <w:szCs w:val="20"/>
          <w:lang w:val="es-ES"/>
        </w:rPr>
        <w:t>inici</w:t>
      </w:r>
      <w:r w:rsidR="006D0E66" w:rsidRPr="000A6D3D">
        <w:rPr>
          <w:rFonts w:ascii="Cambria" w:hAnsi="Cambria"/>
          <w:sz w:val="20"/>
          <w:szCs w:val="20"/>
          <w:lang w:val="es-ES"/>
        </w:rPr>
        <w:t xml:space="preserve">ó un proceso penal </w:t>
      </w:r>
      <w:r w:rsidR="00421498" w:rsidRPr="00C07458">
        <w:rPr>
          <w:rFonts w:ascii="Cambria" w:hAnsi="Cambria"/>
          <w:sz w:val="20"/>
          <w:szCs w:val="20"/>
          <w:lang w:val="es-ES"/>
        </w:rPr>
        <w:t>contra 14 presuntos autores materiales</w:t>
      </w:r>
      <w:r w:rsidR="000665C4" w:rsidRPr="00C07458">
        <w:rPr>
          <w:rFonts w:ascii="Cambria" w:hAnsi="Cambria"/>
          <w:sz w:val="20"/>
          <w:szCs w:val="20"/>
          <w:lang w:val="es-ES"/>
        </w:rPr>
        <w:t xml:space="preserve"> (algunos de los cuales habrían fallecido), todo</w:t>
      </w:r>
      <w:r w:rsidR="005972AA" w:rsidRPr="0096449B">
        <w:rPr>
          <w:rFonts w:ascii="Cambria" w:hAnsi="Cambria"/>
          <w:sz w:val="20"/>
          <w:szCs w:val="20"/>
          <w:lang w:val="es-ES"/>
        </w:rPr>
        <w:t>s e</w:t>
      </w:r>
      <w:r w:rsidR="005972AA" w:rsidRPr="009313AF">
        <w:rPr>
          <w:rFonts w:ascii="Cambria" w:hAnsi="Cambria"/>
          <w:sz w:val="20"/>
          <w:szCs w:val="20"/>
          <w:lang w:val="es-ES"/>
        </w:rPr>
        <w:t xml:space="preserve">llos </w:t>
      </w:r>
      <w:r w:rsidR="00FF375A" w:rsidRPr="009313AF">
        <w:rPr>
          <w:rFonts w:ascii="Cambria" w:hAnsi="Cambria"/>
          <w:sz w:val="20"/>
          <w:szCs w:val="20"/>
          <w:lang w:val="es-ES"/>
        </w:rPr>
        <w:t xml:space="preserve">se encontrarían en Brasil </w:t>
      </w:r>
      <w:r w:rsidR="00AA1435" w:rsidRPr="009313AF">
        <w:rPr>
          <w:rFonts w:ascii="Cambria" w:hAnsi="Cambria"/>
          <w:sz w:val="20"/>
          <w:szCs w:val="20"/>
          <w:lang w:val="es-ES"/>
        </w:rPr>
        <w:t>sin la posibilidad de ser extraditados</w:t>
      </w:r>
      <w:r w:rsidR="009570CA" w:rsidRPr="009313AF">
        <w:rPr>
          <w:rFonts w:ascii="Cambria" w:hAnsi="Cambria"/>
          <w:sz w:val="20"/>
          <w:szCs w:val="20"/>
          <w:lang w:val="es-ES"/>
        </w:rPr>
        <w:t xml:space="preserve"> por lo que prácticamente ninguna diligencia de importancia fue adoptada para determinar su responsabilidad</w:t>
      </w:r>
      <w:r w:rsidR="00645DA3" w:rsidRPr="009313AF">
        <w:rPr>
          <w:rFonts w:ascii="Cambria" w:hAnsi="Cambria"/>
          <w:sz w:val="20"/>
          <w:szCs w:val="20"/>
          <w:lang w:val="es-ES"/>
        </w:rPr>
        <w:t xml:space="preserve">. De igual manera, varias de las solicitudes de cooperación internacional a Brasil para recabar información y determinar </w:t>
      </w:r>
      <w:r w:rsidR="00E4419A" w:rsidRPr="009313AF">
        <w:rPr>
          <w:rFonts w:ascii="Cambria" w:hAnsi="Cambria"/>
          <w:sz w:val="20"/>
          <w:szCs w:val="20"/>
          <w:lang w:val="es-ES"/>
        </w:rPr>
        <w:lastRenderedPageBreak/>
        <w:t xml:space="preserve">la responsabilidad de </w:t>
      </w:r>
      <w:r w:rsidR="00645DA3" w:rsidRPr="009313AF">
        <w:rPr>
          <w:rFonts w:ascii="Cambria" w:hAnsi="Cambria"/>
          <w:sz w:val="20"/>
          <w:szCs w:val="20"/>
          <w:lang w:val="es-ES"/>
        </w:rPr>
        <w:t xml:space="preserve">los autores materiales y </w:t>
      </w:r>
      <w:r w:rsidR="00E4419A" w:rsidRPr="009313AF">
        <w:rPr>
          <w:rFonts w:ascii="Cambria" w:hAnsi="Cambria"/>
          <w:sz w:val="20"/>
          <w:szCs w:val="20"/>
          <w:lang w:val="es-ES"/>
        </w:rPr>
        <w:t>establecer los posibles autores intelectuales</w:t>
      </w:r>
      <w:r w:rsidR="00C013DD" w:rsidRPr="009313AF">
        <w:rPr>
          <w:rFonts w:ascii="Cambria" w:hAnsi="Cambria"/>
          <w:sz w:val="20"/>
          <w:szCs w:val="20"/>
          <w:lang w:val="es-ES"/>
        </w:rPr>
        <w:t xml:space="preserve"> </w:t>
      </w:r>
      <w:r w:rsidR="00645DA3" w:rsidRPr="009313AF">
        <w:rPr>
          <w:rFonts w:ascii="Cambria" w:hAnsi="Cambria"/>
          <w:sz w:val="20"/>
          <w:szCs w:val="20"/>
          <w:lang w:val="es-ES"/>
        </w:rPr>
        <w:t>no fueron diligentemente sustanciadas, se tramitaron con lentitud y ni siquiera fueron traducidas al portugués ni cumplieron con los protocolos diplomáticos</w:t>
      </w:r>
      <w:r w:rsidR="00657E9C" w:rsidRPr="009313AF">
        <w:rPr>
          <w:rFonts w:ascii="Cambria" w:hAnsi="Cambria"/>
          <w:sz w:val="20"/>
          <w:szCs w:val="20"/>
          <w:lang w:val="es-ES"/>
        </w:rPr>
        <w:t xml:space="preserve">. </w:t>
      </w:r>
      <w:r w:rsidR="001703EE" w:rsidRPr="009313AF">
        <w:rPr>
          <w:rFonts w:ascii="Cambria" w:hAnsi="Cambria"/>
          <w:sz w:val="20"/>
          <w:szCs w:val="20"/>
          <w:lang w:val="es-ES"/>
        </w:rPr>
        <w:t>Tamp</w:t>
      </w:r>
      <w:r w:rsidR="00E40469" w:rsidRPr="009313AF">
        <w:rPr>
          <w:rFonts w:ascii="Cambria" w:hAnsi="Cambria"/>
          <w:sz w:val="20"/>
          <w:szCs w:val="20"/>
          <w:lang w:val="es-ES"/>
        </w:rPr>
        <w:t>o</w:t>
      </w:r>
      <w:r w:rsidR="001703EE" w:rsidRPr="009313AF">
        <w:rPr>
          <w:rFonts w:ascii="Cambria" w:hAnsi="Cambria"/>
          <w:sz w:val="20"/>
          <w:szCs w:val="20"/>
          <w:lang w:val="es-ES"/>
        </w:rPr>
        <w:t>co</w:t>
      </w:r>
      <w:r w:rsidR="00AA1435" w:rsidRPr="009313AF">
        <w:rPr>
          <w:rFonts w:ascii="Cambria" w:hAnsi="Cambria"/>
          <w:sz w:val="20"/>
          <w:szCs w:val="20"/>
          <w:lang w:val="es-ES"/>
        </w:rPr>
        <w:t xml:space="preserve"> se deriva del expediente que el Estado</w:t>
      </w:r>
      <w:r w:rsidR="006D0E66" w:rsidRPr="009313AF">
        <w:rPr>
          <w:rFonts w:ascii="Cambria" w:hAnsi="Cambria"/>
          <w:sz w:val="20"/>
          <w:szCs w:val="20"/>
          <w:lang w:val="es-ES"/>
        </w:rPr>
        <w:t xml:space="preserve"> </w:t>
      </w:r>
      <w:r w:rsidR="009570CA" w:rsidRPr="009313AF">
        <w:rPr>
          <w:rFonts w:ascii="Cambria" w:hAnsi="Cambria"/>
          <w:sz w:val="20"/>
          <w:szCs w:val="20"/>
          <w:lang w:val="es-ES"/>
        </w:rPr>
        <w:t>haya adoptado</w:t>
      </w:r>
      <w:r w:rsidR="00176B64" w:rsidRPr="009313AF">
        <w:rPr>
          <w:rFonts w:ascii="Cambria" w:hAnsi="Cambria"/>
          <w:sz w:val="20"/>
          <w:szCs w:val="20"/>
          <w:lang w:val="es-ES"/>
        </w:rPr>
        <w:t xml:space="preserve"> medida alguna para investigar a cualquier otro autor material o intelectual dentro de Paraguay</w:t>
      </w:r>
      <w:r w:rsidR="000D1A61" w:rsidRPr="009313AF">
        <w:rPr>
          <w:rFonts w:ascii="Cambria" w:hAnsi="Cambria"/>
          <w:sz w:val="20"/>
          <w:szCs w:val="20"/>
          <w:lang w:val="es-ES"/>
        </w:rPr>
        <w:t xml:space="preserve"> ni que se hayan iniciado investigaciones respecto de la autoría material de un empresario conocido en Brasil, a pesar de los indicios </w:t>
      </w:r>
      <w:r w:rsidR="008F1EF4" w:rsidRPr="009313AF">
        <w:rPr>
          <w:rFonts w:ascii="Cambria" w:hAnsi="Cambria"/>
          <w:sz w:val="20"/>
          <w:szCs w:val="20"/>
          <w:lang w:val="es-ES"/>
        </w:rPr>
        <w:t xml:space="preserve">existentes. </w:t>
      </w:r>
      <w:r w:rsidR="00176B64" w:rsidRPr="009313AF">
        <w:rPr>
          <w:rFonts w:ascii="Cambria" w:hAnsi="Cambria"/>
          <w:sz w:val="20"/>
          <w:szCs w:val="20"/>
          <w:lang w:val="es-ES"/>
        </w:rPr>
        <w:t>Si bien se incluyó en el proceso penal al presidente del Consejo de Desarrollo del Amambay (CODAM)-organismo encargado de las políticas de desarrollo en Amambay-</w:t>
      </w:r>
      <w:r w:rsidR="009E2B0F" w:rsidRPr="009313AF">
        <w:rPr>
          <w:rFonts w:ascii="Cambria" w:hAnsi="Cambria"/>
          <w:sz w:val="20"/>
          <w:szCs w:val="20"/>
          <w:lang w:val="es-ES"/>
        </w:rPr>
        <w:t xml:space="preserve">con motivo de la declaración de una testigo, </w:t>
      </w:r>
      <w:r w:rsidR="00176B64" w:rsidRPr="009313AF">
        <w:rPr>
          <w:rFonts w:ascii="Cambria" w:hAnsi="Cambria"/>
          <w:sz w:val="20"/>
          <w:szCs w:val="20"/>
          <w:lang w:val="es-ES"/>
        </w:rPr>
        <w:t>luego</w:t>
      </w:r>
      <w:r w:rsidR="00E40469" w:rsidRPr="009313AF">
        <w:rPr>
          <w:rFonts w:ascii="Cambria" w:hAnsi="Cambria"/>
          <w:sz w:val="20"/>
          <w:szCs w:val="20"/>
          <w:lang w:val="es-ES"/>
        </w:rPr>
        <w:t xml:space="preserve"> de</w:t>
      </w:r>
      <w:r w:rsidR="00176B64" w:rsidRPr="009313AF">
        <w:rPr>
          <w:rFonts w:ascii="Cambria" w:hAnsi="Cambria"/>
          <w:sz w:val="20"/>
          <w:szCs w:val="20"/>
          <w:lang w:val="es-ES"/>
        </w:rPr>
        <w:t xml:space="preserve"> </w:t>
      </w:r>
      <w:r w:rsidR="00866F16" w:rsidRPr="009313AF">
        <w:rPr>
          <w:rFonts w:ascii="Cambria" w:hAnsi="Cambria"/>
          <w:sz w:val="20"/>
          <w:szCs w:val="20"/>
          <w:lang w:val="es-ES"/>
        </w:rPr>
        <w:t>recabada la</w:t>
      </w:r>
      <w:r w:rsidR="00176B64" w:rsidRPr="009313AF">
        <w:rPr>
          <w:rFonts w:ascii="Cambria" w:hAnsi="Cambria"/>
          <w:sz w:val="20"/>
          <w:szCs w:val="20"/>
          <w:lang w:val="es-ES"/>
        </w:rPr>
        <w:t xml:space="preserve"> declaración </w:t>
      </w:r>
      <w:r w:rsidR="00866F16" w:rsidRPr="009313AF">
        <w:rPr>
          <w:rFonts w:ascii="Cambria" w:hAnsi="Cambria"/>
          <w:sz w:val="20"/>
          <w:szCs w:val="20"/>
          <w:lang w:val="es-ES"/>
        </w:rPr>
        <w:t>de aquel</w:t>
      </w:r>
      <w:r w:rsidR="00E40469" w:rsidRPr="009313AF">
        <w:rPr>
          <w:rFonts w:ascii="Cambria" w:hAnsi="Cambria"/>
          <w:sz w:val="20"/>
          <w:szCs w:val="20"/>
          <w:lang w:val="es-ES"/>
        </w:rPr>
        <w:t>,</w:t>
      </w:r>
      <w:r w:rsidR="00866F16" w:rsidRPr="009313AF">
        <w:rPr>
          <w:rFonts w:ascii="Cambria" w:hAnsi="Cambria"/>
          <w:sz w:val="20"/>
          <w:szCs w:val="20"/>
          <w:lang w:val="es-ES"/>
        </w:rPr>
        <w:t xml:space="preserve"> </w:t>
      </w:r>
      <w:r w:rsidR="00176B64" w:rsidRPr="009313AF">
        <w:rPr>
          <w:rFonts w:ascii="Cambria" w:hAnsi="Cambria"/>
          <w:sz w:val="20"/>
          <w:szCs w:val="20"/>
          <w:lang w:val="es-ES"/>
        </w:rPr>
        <w:t xml:space="preserve">no se realizó ninguna otra diligencia para determinar su posible autoría intelectual, sino que se sobreseyó provisionalmente la investigación. </w:t>
      </w:r>
    </w:p>
    <w:p w14:paraId="2B8F2BFD" w14:textId="77777777" w:rsidR="00840AA5" w:rsidRPr="002C542E" w:rsidRDefault="00840AA5" w:rsidP="009313A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20"/>
          <w:szCs w:val="20"/>
          <w:lang w:val="es-US"/>
        </w:rPr>
      </w:pPr>
    </w:p>
    <w:p w14:paraId="52A09AD0" w14:textId="722469AC" w:rsidR="00DA54FA" w:rsidRPr="009313AF" w:rsidRDefault="00F2029C" w:rsidP="009313A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ES"/>
        </w:rPr>
      </w:pPr>
      <w:r w:rsidRPr="00BE183D">
        <w:rPr>
          <w:rFonts w:ascii="Cambria" w:hAnsi="Cambria"/>
          <w:sz w:val="20"/>
          <w:szCs w:val="20"/>
          <w:lang w:val="es-ES"/>
        </w:rPr>
        <w:t xml:space="preserve">Asimismo, el Estado detuvo a un hombre confundiendo su identidad con la de uno de los procesados, </w:t>
      </w:r>
      <w:r w:rsidR="00DA53D5" w:rsidRPr="00BE183D">
        <w:rPr>
          <w:rFonts w:ascii="Cambria" w:hAnsi="Cambria"/>
          <w:sz w:val="20"/>
          <w:szCs w:val="20"/>
          <w:lang w:val="es-ES"/>
        </w:rPr>
        <w:t xml:space="preserve">no realizó mayores diligencias respecto del único procesado </w:t>
      </w:r>
      <w:r w:rsidR="00860860">
        <w:rPr>
          <w:rFonts w:ascii="Cambria" w:hAnsi="Cambria"/>
          <w:sz w:val="20"/>
          <w:szCs w:val="20"/>
          <w:lang w:val="es-ES"/>
        </w:rPr>
        <w:t>brasileño</w:t>
      </w:r>
      <w:r w:rsidR="00DA53D5" w:rsidRPr="00BE183D">
        <w:rPr>
          <w:rFonts w:ascii="Cambria" w:hAnsi="Cambria"/>
          <w:sz w:val="20"/>
          <w:szCs w:val="20"/>
          <w:lang w:val="es-ES"/>
        </w:rPr>
        <w:t xml:space="preserve"> a quien lograron detener, </w:t>
      </w:r>
      <w:r w:rsidRPr="00BE183D">
        <w:rPr>
          <w:rFonts w:ascii="Cambria" w:hAnsi="Cambria"/>
          <w:sz w:val="20"/>
          <w:szCs w:val="20"/>
          <w:lang w:val="es-ES"/>
        </w:rPr>
        <w:t>n</w:t>
      </w:r>
      <w:r w:rsidR="009570CA">
        <w:rPr>
          <w:rFonts w:ascii="Cambria" w:hAnsi="Cambria"/>
          <w:sz w:val="20"/>
          <w:szCs w:val="20"/>
          <w:lang w:val="es-ES"/>
        </w:rPr>
        <w:t>i</w:t>
      </w:r>
      <w:r w:rsidRPr="00BE183D">
        <w:rPr>
          <w:rFonts w:ascii="Cambria" w:hAnsi="Cambria"/>
          <w:sz w:val="20"/>
          <w:szCs w:val="20"/>
          <w:lang w:val="es-ES"/>
        </w:rPr>
        <w:t xml:space="preserve"> cumplió con los requisitos solicitados por la Interpol </w:t>
      </w:r>
      <w:r w:rsidR="008A36A8" w:rsidRPr="00BE183D">
        <w:rPr>
          <w:rFonts w:ascii="Cambria" w:hAnsi="Cambria"/>
          <w:sz w:val="20"/>
          <w:szCs w:val="20"/>
          <w:lang w:val="es-ES"/>
        </w:rPr>
        <w:t>para poder emitir las órdenes de captura internacional</w:t>
      </w:r>
      <w:r w:rsidR="00617AC3">
        <w:rPr>
          <w:rFonts w:ascii="Cambria" w:hAnsi="Cambria"/>
          <w:sz w:val="20"/>
          <w:szCs w:val="20"/>
          <w:lang w:val="es-ES"/>
        </w:rPr>
        <w:t xml:space="preserve">. </w:t>
      </w:r>
    </w:p>
    <w:p w14:paraId="4650CA55" w14:textId="77777777" w:rsidR="00F61896" w:rsidRPr="00BE183D" w:rsidRDefault="00F61896" w:rsidP="00BE183D">
      <w:pPr>
        <w:pStyle w:val="ListParagraph"/>
        <w:spacing w:before="0" w:after="0"/>
        <w:rPr>
          <w:bCs/>
          <w:sz w:val="20"/>
          <w:szCs w:val="20"/>
          <w:lang w:val="es-US"/>
        </w:rPr>
      </w:pPr>
    </w:p>
    <w:p w14:paraId="3C379B17" w14:textId="0E0AAFBA" w:rsidR="00F61896" w:rsidRPr="00BE183D" w:rsidRDefault="00F61896" w:rsidP="00BE183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ES"/>
        </w:rPr>
      </w:pPr>
      <w:r w:rsidRPr="00BE183D">
        <w:rPr>
          <w:rFonts w:ascii="Cambria" w:hAnsi="Cambria"/>
          <w:bCs/>
          <w:sz w:val="20"/>
          <w:szCs w:val="20"/>
          <w:lang w:val="es-US"/>
        </w:rPr>
        <w:t>De</w:t>
      </w:r>
      <w:r w:rsidRPr="00BE183D">
        <w:rPr>
          <w:rFonts w:ascii="Cambria" w:hAnsi="Cambria"/>
          <w:bCs/>
          <w:sz w:val="20"/>
          <w:szCs w:val="20"/>
          <w:lang w:val="es-CO"/>
        </w:rPr>
        <w:t xml:space="preserve"> conformidad con lo anterior, la CIDH estima que las medidas emprendidas para impulsar la investigación no </w:t>
      </w:r>
      <w:r w:rsidR="00B6530C">
        <w:rPr>
          <w:rFonts w:ascii="Cambria" w:hAnsi="Cambria"/>
          <w:bCs/>
          <w:sz w:val="20"/>
          <w:szCs w:val="20"/>
          <w:lang w:val="es-CO"/>
        </w:rPr>
        <w:t>fueron</w:t>
      </w:r>
      <w:r w:rsidRPr="00BE183D">
        <w:rPr>
          <w:rFonts w:ascii="Cambria" w:hAnsi="Cambria"/>
          <w:bCs/>
          <w:sz w:val="20"/>
          <w:szCs w:val="20"/>
          <w:lang w:val="es-CO"/>
        </w:rPr>
        <w:t xml:space="preserve"> adecuadas y suficientes para satisfacer </w:t>
      </w:r>
      <w:r w:rsidR="00126031">
        <w:rPr>
          <w:rFonts w:ascii="Cambria" w:hAnsi="Cambria"/>
          <w:bCs/>
          <w:sz w:val="20"/>
          <w:szCs w:val="20"/>
          <w:lang w:val="es-CO"/>
        </w:rPr>
        <w:t>la</w:t>
      </w:r>
      <w:r w:rsidRPr="00BE183D">
        <w:rPr>
          <w:rFonts w:ascii="Cambria" w:hAnsi="Cambria"/>
          <w:bCs/>
          <w:sz w:val="20"/>
          <w:szCs w:val="20"/>
          <w:lang w:val="es-CO"/>
        </w:rPr>
        <w:t xml:space="preserve"> obligación</w:t>
      </w:r>
      <w:r w:rsidR="00126031">
        <w:rPr>
          <w:rFonts w:ascii="Cambria" w:hAnsi="Cambria"/>
          <w:bCs/>
          <w:sz w:val="20"/>
          <w:szCs w:val="20"/>
          <w:lang w:val="es-CO"/>
        </w:rPr>
        <w:t xml:space="preserve"> del Estado</w:t>
      </w:r>
      <w:r w:rsidRPr="00BE183D">
        <w:rPr>
          <w:rFonts w:ascii="Cambria" w:hAnsi="Cambria"/>
          <w:bCs/>
          <w:sz w:val="20"/>
          <w:szCs w:val="20"/>
          <w:lang w:val="es-CO"/>
        </w:rPr>
        <w:t xml:space="preserve"> de realizar una investigación exhaustiva y diligente, dada la gravedad del crimen investigado y los efectos perversos que la impunidad de este tipo de casos genera en</w:t>
      </w:r>
      <w:r w:rsidR="005968C1" w:rsidRPr="00BE183D">
        <w:rPr>
          <w:rFonts w:ascii="Cambria" w:hAnsi="Cambria"/>
          <w:bCs/>
          <w:sz w:val="20"/>
          <w:szCs w:val="20"/>
          <w:lang w:val="es-CO"/>
        </w:rPr>
        <w:t xml:space="preserve"> los demás periodistas y en</w:t>
      </w:r>
      <w:r w:rsidRPr="00BE183D">
        <w:rPr>
          <w:rFonts w:ascii="Cambria" w:hAnsi="Cambria"/>
          <w:bCs/>
          <w:sz w:val="20"/>
          <w:szCs w:val="20"/>
          <w:lang w:val="es-CO"/>
        </w:rPr>
        <w:t xml:space="preserve"> la</w:t>
      </w:r>
      <w:r w:rsidR="005968C1" w:rsidRPr="00BE183D">
        <w:rPr>
          <w:rFonts w:ascii="Cambria" w:hAnsi="Cambria"/>
          <w:bCs/>
          <w:sz w:val="20"/>
          <w:szCs w:val="20"/>
          <w:lang w:val="es-CO"/>
        </w:rPr>
        <w:t xml:space="preserve"> comunidad</w:t>
      </w:r>
      <w:r w:rsidRPr="00BE183D">
        <w:rPr>
          <w:rFonts w:ascii="Cambria" w:hAnsi="Cambria"/>
          <w:bCs/>
          <w:sz w:val="20"/>
          <w:szCs w:val="20"/>
          <w:lang w:val="es-CO"/>
        </w:rPr>
        <w:t xml:space="preserve">. </w:t>
      </w:r>
    </w:p>
    <w:p w14:paraId="35B438C6" w14:textId="77777777" w:rsidR="007C6B97" w:rsidRPr="00BE183D" w:rsidRDefault="007C6B97" w:rsidP="00BE183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20"/>
          <w:szCs w:val="20"/>
          <w:lang w:val="es-ES"/>
        </w:rPr>
      </w:pPr>
    </w:p>
    <w:p w14:paraId="5DF2C258" w14:textId="78EF6F22" w:rsidR="007C6B97" w:rsidRPr="00BE183D" w:rsidRDefault="005968C1" w:rsidP="00BE183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ES"/>
        </w:rPr>
      </w:pPr>
      <w:r w:rsidRPr="00BE183D">
        <w:rPr>
          <w:rFonts w:ascii="Cambria" w:hAnsi="Cambria"/>
          <w:bCs/>
          <w:sz w:val="20"/>
          <w:szCs w:val="20"/>
          <w:lang w:val="es-ES"/>
        </w:rPr>
        <w:t>Finalmente, si</w:t>
      </w:r>
      <w:r w:rsidR="007C6B97" w:rsidRPr="00BE183D">
        <w:rPr>
          <w:rFonts w:ascii="Cambria" w:hAnsi="Cambria"/>
          <w:bCs/>
          <w:sz w:val="20"/>
          <w:szCs w:val="20"/>
          <w:lang w:val="es-ES"/>
        </w:rPr>
        <w:t xml:space="preserve"> bien </w:t>
      </w:r>
      <w:r w:rsidR="007C6B97" w:rsidRPr="00BE183D">
        <w:rPr>
          <w:rFonts w:ascii="Cambria" w:hAnsi="Cambria"/>
          <w:bCs/>
          <w:sz w:val="20"/>
          <w:szCs w:val="20"/>
          <w:lang w:val="es-US"/>
        </w:rPr>
        <w:t xml:space="preserve">el Estado alega que no pudo continuar con las investigaciones del caso ni ejecutar las órdenes de captura contra los 14 presuntos autores materiales por ser estos de nacionalidad </w:t>
      </w:r>
      <w:r w:rsidR="00860860">
        <w:rPr>
          <w:rFonts w:ascii="Cambria" w:hAnsi="Cambria"/>
          <w:bCs/>
          <w:sz w:val="20"/>
          <w:szCs w:val="20"/>
          <w:lang w:val="es-US"/>
        </w:rPr>
        <w:t>brasileña</w:t>
      </w:r>
      <w:r w:rsidR="007C6B97" w:rsidRPr="00BE183D">
        <w:rPr>
          <w:rFonts w:ascii="Cambria" w:hAnsi="Cambria"/>
          <w:bCs/>
          <w:sz w:val="20"/>
          <w:szCs w:val="20"/>
          <w:lang w:val="es-US"/>
        </w:rPr>
        <w:t xml:space="preserve"> y encontrarse en Brasil sin posibilidad de extradición</w:t>
      </w:r>
      <w:r w:rsidR="0097128F" w:rsidRPr="00BE183D">
        <w:rPr>
          <w:rStyle w:val="FootnoteReference"/>
          <w:rFonts w:ascii="Cambria" w:hAnsi="Cambria"/>
          <w:bCs/>
          <w:sz w:val="20"/>
          <w:szCs w:val="20"/>
          <w:lang w:val="es-US"/>
        </w:rPr>
        <w:footnoteReference w:id="138"/>
      </w:r>
      <w:r w:rsidR="007704D4" w:rsidRPr="00BE183D">
        <w:rPr>
          <w:rFonts w:ascii="Cambria" w:hAnsi="Cambria"/>
          <w:bCs/>
          <w:sz w:val="20"/>
          <w:szCs w:val="20"/>
          <w:lang w:val="es-US"/>
        </w:rPr>
        <w:t xml:space="preserve"> por lo que archivó el caso en el año 2002</w:t>
      </w:r>
      <w:r w:rsidR="007C6B97" w:rsidRPr="00BE183D">
        <w:rPr>
          <w:rFonts w:ascii="Cambria" w:hAnsi="Cambria"/>
          <w:bCs/>
          <w:sz w:val="20"/>
          <w:szCs w:val="20"/>
          <w:lang w:val="es-US"/>
        </w:rPr>
        <w:t xml:space="preserve">, la Comisión destaca que </w:t>
      </w:r>
      <w:r w:rsidR="00261B12" w:rsidRPr="00BE183D">
        <w:rPr>
          <w:rFonts w:ascii="Cambria" w:hAnsi="Cambria"/>
          <w:bCs/>
          <w:sz w:val="20"/>
          <w:szCs w:val="20"/>
          <w:lang w:val="es-US"/>
        </w:rPr>
        <w:t xml:space="preserve">el asesinato </w:t>
      </w:r>
      <w:r w:rsidR="007737F6" w:rsidRPr="00BE183D">
        <w:rPr>
          <w:rFonts w:ascii="Cambria" w:hAnsi="Cambria"/>
          <w:bCs/>
          <w:sz w:val="20"/>
          <w:szCs w:val="20"/>
          <w:lang w:val="es-US"/>
        </w:rPr>
        <w:t xml:space="preserve">de Santiago Leguizamón se cometió en el año 1991. En este sentido, </w:t>
      </w:r>
      <w:r w:rsidR="00DE5A40" w:rsidRPr="00BE183D">
        <w:rPr>
          <w:rFonts w:ascii="Cambria" w:hAnsi="Cambria"/>
          <w:bCs/>
          <w:sz w:val="20"/>
          <w:szCs w:val="20"/>
          <w:lang w:val="es-US"/>
        </w:rPr>
        <w:t xml:space="preserve">el Estado no logró </w:t>
      </w:r>
      <w:r w:rsidR="004E1B17" w:rsidRPr="00BE183D">
        <w:rPr>
          <w:rFonts w:ascii="Cambria" w:hAnsi="Cambria"/>
          <w:bCs/>
          <w:sz w:val="20"/>
          <w:szCs w:val="20"/>
          <w:lang w:val="es-US"/>
        </w:rPr>
        <w:t>procesar ni condenar a ningún autor del crimen</w:t>
      </w:r>
      <w:r w:rsidR="00803CE3" w:rsidRPr="00BE183D">
        <w:rPr>
          <w:rFonts w:ascii="Cambria" w:hAnsi="Cambria"/>
          <w:bCs/>
          <w:sz w:val="20"/>
          <w:szCs w:val="20"/>
          <w:lang w:val="es-US"/>
        </w:rPr>
        <w:t xml:space="preserve"> por 11 años</w:t>
      </w:r>
      <w:r w:rsidR="00BF0B6D" w:rsidRPr="00BE183D">
        <w:rPr>
          <w:rFonts w:ascii="Cambria" w:hAnsi="Cambria"/>
          <w:bCs/>
          <w:sz w:val="20"/>
          <w:szCs w:val="20"/>
          <w:lang w:val="es-US"/>
        </w:rPr>
        <w:t xml:space="preserve">. Además, si bien con el </w:t>
      </w:r>
      <w:r w:rsidR="00DC2F9A" w:rsidRPr="00BE183D">
        <w:rPr>
          <w:rFonts w:ascii="Cambria" w:hAnsi="Cambria"/>
          <w:bCs/>
          <w:sz w:val="20"/>
          <w:szCs w:val="20"/>
          <w:lang w:val="es-US"/>
        </w:rPr>
        <w:t>archivo</w:t>
      </w:r>
      <w:r w:rsidR="00BF0B6D" w:rsidRPr="00BE183D">
        <w:rPr>
          <w:rFonts w:ascii="Cambria" w:hAnsi="Cambria"/>
          <w:bCs/>
          <w:sz w:val="20"/>
          <w:szCs w:val="20"/>
          <w:lang w:val="es-US"/>
        </w:rPr>
        <w:t xml:space="preserve"> del caso se decidió </w:t>
      </w:r>
      <w:r w:rsidR="00DC2F9A" w:rsidRPr="00BE183D">
        <w:rPr>
          <w:rFonts w:ascii="Cambria" w:hAnsi="Cambria"/>
          <w:bCs/>
          <w:sz w:val="20"/>
          <w:szCs w:val="20"/>
          <w:lang w:val="es-US"/>
        </w:rPr>
        <w:t>solicit</w:t>
      </w:r>
      <w:r w:rsidR="00B047F2" w:rsidRPr="00BE183D">
        <w:rPr>
          <w:rFonts w:ascii="Cambria" w:hAnsi="Cambria"/>
          <w:bCs/>
          <w:sz w:val="20"/>
          <w:szCs w:val="20"/>
          <w:lang w:val="es-US"/>
        </w:rPr>
        <w:t>ar</w:t>
      </w:r>
      <w:r w:rsidR="00DC2F9A" w:rsidRPr="00BE183D">
        <w:rPr>
          <w:rFonts w:ascii="Cambria" w:hAnsi="Cambria"/>
          <w:bCs/>
          <w:sz w:val="20"/>
          <w:szCs w:val="20"/>
          <w:lang w:val="es-US"/>
        </w:rPr>
        <w:t xml:space="preserve"> a Brasil el proces</w:t>
      </w:r>
      <w:r w:rsidR="00E46317" w:rsidRPr="00BE183D">
        <w:rPr>
          <w:rFonts w:ascii="Cambria" w:hAnsi="Cambria"/>
          <w:bCs/>
          <w:sz w:val="20"/>
          <w:szCs w:val="20"/>
          <w:lang w:val="es-US"/>
        </w:rPr>
        <w:t xml:space="preserve">amiento y </w:t>
      </w:r>
      <w:r w:rsidR="00B047F2" w:rsidRPr="00BE183D">
        <w:rPr>
          <w:rFonts w:ascii="Cambria" w:hAnsi="Cambria"/>
          <w:bCs/>
          <w:sz w:val="20"/>
          <w:szCs w:val="20"/>
          <w:lang w:val="es-US"/>
        </w:rPr>
        <w:t xml:space="preserve">juzgamiento de los presuntos autores materiales </w:t>
      </w:r>
      <w:r w:rsidR="00C13B80" w:rsidRPr="00BE183D">
        <w:rPr>
          <w:rFonts w:ascii="Cambria" w:hAnsi="Cambria"/>
          <w:bCs/>
          <w:sz w:val="20"/>
          <w:szCs w:val="20"/>
          <w:lang w:val="es-US"/>
        </w:rPr>
        <w:t xml:space="preserve">ante la imposibilidad de la extradición, </w:t>
      </w:r>
      <w:r w:rsidR="00C93976" w:rsidRPr="00BE183D">
        <w:rPr>
          <w:rFonts w:ascii="Cambria" w:hAnsi="Cambria"/>
          <w:bCs/>
          <w:sz w:val="20"/>
          <w:szCs w:val="20"/>
          <w:lang w:val="es-US"/>
        </w:rPr>
        <w:t>la solicitud formal no fue enviada al Brasil hasta el 2006</w:t>
      </w:r>
      <w:r w:rsidR="000E6026" w:rsidRPr="00BE183D">
        <w:rPr>
          <w:rFonts w:ascii="Cambria" w:hAnsi="Cambria"/>
          <w:bCs/>
          <w:sz w:val="20"/>
          <w:szCs w:val="20"/>
          <w:lang w:val="es-US"/>
        </w:rPr>
        <w:t xml:space="preserve">. Esta fue devuelta en distintas ocasiones por falta de traducción al portugués y por el incumplimiento de </w:t>
      </w:r>
      <w:r w:rsidR="00703496" w:rsidRPr="00BE183D">
        <w:rPr>
          <w:rFonts w:ascii="Cambria" w:hAnsi="Cambria"/>
          <w:bCs/>
          <w:sz w:val="20"/>
          <w:szCs w:val="20"/>
          <w:lang w:val="es-US"/>
        </w:rPr>
        <w:t xml:space="preserve">otros requisitos. Fue nuevamente enviada en el 2014, pero devuelta por razones similares. </w:t>
      </w:r>
      <w:r w:rsidR="00EB4D73" w:rsidRPr="00BE183D">
        <w:rPr>
          <w:rFonts w:ascii="Cambria" w:hAnsi="Cambria"/>
          <w:sz w:val="20"/>
          <w:szCs w:val="20"/>
          <w:lang w:val="es-ES"/>
        </w:rPr>
        <w:t>Por lo anterior, y debido a que luego de 29 años de cometido el crimen</w:t>
      </w:r>
      <w:r w:rsidR="006E7677" w:rsidRPr="00BE183D">
        <w:rPr>
          <w:rFonts w:ascii="Cambria" w:hAnsi="Cambria"/>
          <w:sz w:val="20"/>
          <w:szCs w:val="20"/>
          <w:lang w:val="es-ES"/>
        </w:rPr>
        <w:t xml:space="preserve"> –</w:t>
      </w:r>
      <w:r w:rsidR="004727EA">
        <w:rPr>
          <w:rFonts w:ascii="Cambria" w:hAnsi="Cambria"/>
          <w:sz w:val="20"/>
          <w:szCs w:val="20"/>
          <w:lang w:val="es-ES"/>
        </w:rPr>
        <w:t xml:space="preserve">al menos </w:t>
      </w:r>
      <w:r w:rsidR="003E1900" w:rsidRPr="00BE183D">
        <w:rPr>
          <w:rFonts w:ascii="Cambria" w:hAnsi="Cambria"/>
          <w:sz w:val="20"/>
          <w:szCs w:val="20"/>
          <w:lang w:val="es-ES"/>
        </w:rPr>
        <w:t xml:space="preserve">15 años de estos </w:t>
      </w:r>
      <w:r w:rsidR="001941FD" w:rsidRPr="00BE183D">
        <w:rPr>
          <w:rFonts w:ascii="Cambria" w:hAnsi="Cambria"/>
          <w:sz w:val="20"/>
          <w:szCs w:val="20"/>
          <w:lang w:val="es-ES"/>
        </w:rPr>
        <w:t>son responsabilidad exclusiva de Paraguay–</w:t>
      </w:r>
      <w:r w:rsidR="00E83F0D" w:rsidRPr="00BE183D">
        <w:rPr>
          <w:rFonts w:ascii="Cambria" w:hAnsi="Cambria"/>
          <w:sz w:val="20"/>
          <w:szCs w:val="20"/>
          <w:lang w:val="es-ES"/>
        </w:rPr>
        <w:t xml:space="preserve"> </w:t>
      </w:r>
      <w:r w:rsidR="00EB4D73" w:rsidRPr="00BE183D">
        <w:rPr>
          <w:rFonts w:ascii="Cambria" w:hAnsi="Cambria"/>
          <w:sz w:val="20"/>
          <w:szCs w:val="20"/>
          <w:lang w:val="es-ES"/>
        </w:rPr>
        <w:t xml:space="preserve">el asesinato de Santiago Leguizamón </w:t>
      </w:r>
      <w:r w:rsidR="006E7677" w:rsidRPr="00BE183D">
        <w:rPr>
          <w:rFonts w:ascii="Cambria" w:hAnsi="Cambria"/>
          <w:sz w:val="20"/>
          <w:szCs w:val="20"/>
          <w:lang w:val="es-ES"/>
        </w:rPr>
        <w:t xml:space="preserve">aún </w:t>
      </w:r>
      <w:r w:rsidR="00EB4D73" w:rsidRPr="00BE183D">
        <w:rPr>
          <w:rFonts w:ascii="Cambria" w:hAnsi="Cambria"/>
          <w:sz w:val="20"/>
          <w:szCs w:val="20"/>
          <w:lang w:val="es-ES"/>
        </w:rPr>
        <w:t xml:space="preserve">se encuentra en total impunidad, </w:t>
      </w:r>
      <w:r w:rsidR="00BE529A" w:rsidRPr="00BE183D">
        <w:rPr>
          <w:rFonts w:ascii="Cambria" w:hAnsi="Cambria"/>
          <w:sz w:val="20"/>
          <w:szCs w:val="20"/>
          <w:lang w:val="es-ES"/>
        </w:rPr>
        <w:t xml:space="preserve">la </w:t>
      </w:r>
      <w:r w:rsidR="00726035" w:rsidRPr="00BE183D">
        <w:rPr>
          <w:rFonts w:ascii="Cambria" w:hAnsi="Cambria"/>
          <w:sz w:val="20"/>
          <w:szCs w:val="20"/>
          <w:lang w:val="es-ES"/>
        </w:rPr>
        <w:t>Comisión</w:t>
      </w:r>
      <w:r w:rsidR="00BE529A" w:rsidRPr="00BE183D">
        <w:rPr>
          <w:rFonts w:ascii="Cambria" w:hAnsi="Cambria"/>
          <w:sz w:val="20"/>
          <w:szCs w:val="20"/>
          <w:lang w:val="es-ES"/>
        </w:rPr>
        <w:t xml:space="preserve"> considera que el Estado incumplió </w:t>
      </w:r>
      <w:r w:rsidR="00342481" w:rsidRPr="00BE183D">
        <w:rPr>
          <w:rFonts w:ascii="Cambria" w:hAnsi="Cambria"/>
          <w:sz w:val="20"/>
          <w:szCs w:val="20"/>
          <w:lang w:val="es-ES"/>
        </w:rPr>
        <w:t xml:space="preserve">su obligación </w:t>
      </w:r>
      <w:r w:rsidR="00672A06" w:rsidRPr="00BE183D">
        <w:rPr>
          <w:rFonts w:ascii="Cambria" w:hAnsi="Cambria"/>
          <w:bCs/>
          <w:sz w:val="20"/>
          <w:szCs w:val="20"/>
          <w:lang w:val="es-US"/>
        </w:rPr>
        <w:t>respecto al plazo razonable</w:t>
      </w:r>
      <w:r w:rsidR="00726035" w:rsidRPr="00BE183D">
        <w:rPr>
          <w:rFonts w:ascii="Cambria" w:hAnsi="Cambria"/>
          <w:bCs/>
          <w:sz w:val="20"/>
          <w:szCs w:val="20"/>
          <w:lang w:val="es-US"/>
        </w:rPr>
        <w:t>.</w:t>
      </w:r>
    </w:p>
    <w:p w14:paraId="167FE45F" w14:textId="77777777" w:rsidR="00DF1163" w:rsidRPr="00BE183D" w:rsidRDefault="00DF1163" w:rsidP="00BE18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sz w:val="20"/>
          <w:szCs w:val="20"/>
          <w:lang w:val="es-CO"/>
        </w:rPr>
      </w:pPr>
    </w:p>
    <w:p w14:paraId="110937CB" w14:textId="3EACF12D" w:rsidR="00DC0D2D" w:rsidRPr="00601762" w:rsidRDefault="00DF1163" w:rsidP="009313A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i/>
          <w:iCs/>
          <w:spacing w:val="-2"/>
          <w:sz w:val="20"/>
          <w:szCs w:val="20"/>
          <w:lang w:val="es-ES_tradnl"/>
        </w:rPr>
      </w:pPr>
      <w:r w:rsidRPr="00BE183D">
        <w:rPr>
          <w:rFonts w:ascii="Cambria" w:hAnsi="Cambria"/>
          <w:bCs/>
          <w:sz w:val="20"/>
          <w:szCs w:val="20"/>
          <w:lang w:val="es-CO"/>
        </w:rPr>
        <w:t xml:space="preserve">Por todo lo anterior, la CIDH concluye que el Estado </w:t>
      </w:r>
      <w:r w:rsidR="000E4434" w:rsidRPr="00BE183D">
        <w:rPr>
          <w:rFonts w:ascii="Cambria" w:hAnsi="Cambria"/>
          <w:bCs/>
          <w:sz w:val="20"/>
          <w:szCs w:val="20"/>
          <w:lang w:val="es-CO"/>
        </w:rPr>
        <w:t>violó</w:t>
      </w:r>
      <w:r w:rsidRPr="00BE183D">
        <w:rPr>
          <w:rFonts w:ascii="Cambria" w:hAnsi="Cambria"/>
          <w:bCs/>
          <w:sz w:val="20"/>
          <w:szCs w:val="20"/>
          <w:lang w:val="es-CO"/>
        </w:rPr>
        <w:t xml:space="preserve"> los derechos a las garantías judiciales y a la protección judicial establecidos en los artículos 8.1 y 25.1 de la Convención Americana, en relación con </w:t>
      </w:r>
      <w:r w:rsidR="00BC4289" w:rsidRPr="00BE183D">
        <w:rPr>
          <w:rFonts w:ascii="Cambria" w:hAnsi="Cambria"/>
          <w:bCs/>
          <w:sz w:val="20"/>
          <w:szCs w:val="20"/>
          <w:lang w:val="es-CO"/>
        </w:rPr>
        <w:t>el</w:t>
      </w:r>
      <w:r w:rsidRPr="00BE183D">
        <w:rPr>
          <w:rFonts w:ascii="Cambria" w:hAnsi="Cambria"/>
          <w:bCs/>
          <w:sz w:val="20"/>
          <w:szCs w:val="20"/>
          <w:lang w:val="es-CO"/>
        </w:rPr>
        <w:t xml:space="preserve"> artículo 1.1</w:t>
      </w:r>
      <w:r w:rsidR="00B929FB" w:rsidRPr="00BE183D">
        <w:rPr>
          <w:rFonts w:ascii="Cambria" w:hAnsi="Cambria"/>
          <w:bCs/>
          <w:sz w:val="20"/>
          <w:szCs w:val="20"/>
          <w:lang w:val="es-CO"/>
        </w:rPr>
        <w:t xml:space="preserve"> del mismo instrumento</w:t>
      </w:r>
      <w:r w:rsidRPr="00BE183D">
        <w:rPr>
          <w:rFonts w:ascii="Cambria" w:hAnsi="Cambria"/>
          <w:bCs/>
          <w:sz w:val="20"/>
          <w:szCs w:val="20"/>
          <w:lang w:val="es-CO"/>
        </w:rPr>
        <w:t>,</w:t>
      </w:r>
      <w:r w:rsidRPr="00BE183D">
        <w:rPr>
          <w:rFonts w:ascii="Cambria" w:hAnsi="Cambria"/>
          <w:sz w:val="20"/>
          <w:szCs w:val="20"/>
          <w:lang w:val="es-ES"/>
        </w:rPr>
        <w:t xml:space="preserve"> </w:t>
      </w:r>
      <w:r w:rsidRPr="00BE183D">
        <w:rPr>
          <w:rFonts w:ascii="Cambria" w:hAnsi="Cambria"/>
          <w:bCs/>
          <w:sz w:val="20"/>
          <w:szCs w:val="20"/>
          <w:lang w:val="es-CO"/>
        </w:rPr>
        <w:t xml:space="preserve">en perjuicio </w:t>
      </w:r>
      <w:r w:rsidR="00B929FB" w:rsidRPr="00BE183D">
        <w:rPr>
          <w:rFonts w:ascii="Cambria" w:hAnsi="Cambria"/>
          <w:bCs/>
          <w:sz w:val="20"/>
          <w:szCs w:val="20"/>
          <w:lang w:val="es-CO"/>
        </w:rPr>
        <w:t xml:space="preserve">de </w:t>
      </w:r>
      <w:r w:rsidR="00B929FB" w:rsidRPr="00BE183D">
        <w:rPr>
          <w:rFonts w:ascii="Cambria" w:hAnsi="Cambria"/>
          <w:sz w:val="20"/>
          <w:szCs w:val="20"/>
          <w:lang w:val="es-VE"/>
        </w:rPr>
        <w:t>Ana María Margarita Morra (</w:t>
      </w:r>
      <w:r w:rsidR="00B929FB" w:rsidRPr="00BE183D">
        <w:rPr>
          <w:rFonts w:ascii="Cambria" w:hAnsi="Cambria"/>
          <w:sz w:val="20"/>
          <w:szCs w:val="20"/>
          <w:lang w:val="es-CO"/>
        </w:rPr>
        <w:t>esposa de Santiago Leguizamón</w:t>
      </w:r>
      <w:r w:rsidR="00B929FB" w:rsidRPr="00BE183D">
        <w:rPr>
          <w:rFonts w:ascii="Cambria" w:hAnsi="Cambria"/>
          <w:sz w:val="20"/>
          <w:szCs w:val="20"/>
          <w:lang w:val="es-VE"/>
        </w:rPr>
        <w:t>) y de Raquel Leguizamón Morra, Dante Leguizamón Morra, Sebastián Leguizamón Morra y Fernando Leguizamón Morra (hija e hijos).</w:t>
      </w:r>
    </w:p>
    <w:p w14:paraId="0BAD17EE" w14:textId="77777777" w:rsidR="00546ED5" w:rsidRPr="00B705B1" w:rsidRDefault="00546ED5" w:rsidP="006017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
          <w:iCs/>
          <w:spacing w:val="-2"/>
          <w:sz w:val="20"/>
          <w:szCs w:val="20"/>
          <w:lang w:val="es-ES_tradnl"/>
        </w:rPr>
      </w:pPr>
    </w:p>
    <w:p w14:paraId="132D273A" w14:textId="14875AEC" w:rsidR="00D90DC1" w:rsidRPr="00BE183D" w:rsidRDefault="00F15BDF" w:rsidP="00BE183D">
      <w:pPr>
        <w:pStyle w:val="Heading2"/>
        <w:numPr>
          <w:ilvl w:val="0"/>
          <w:numId w:val="54"/>
        </w:numPr>
        <w:spacing w:before="0" w:after="0"/>
        <w:ind w:left="0" w:firstLine="0"/>
        <w:jc w:val="both"/>
        <w:rPr>
          <w:lang w:val="es-ES"/>
        </w:rPr>
      </w:pPr>
      <w:bookmarkStart w:id="39" w:name="_Toc534905538"/>
      <w:bookmarkStart w:id="40" w:name="_Toc536024419"/>
      <w:bookmarkStart w:id="41" w:name="_Toc4417456"/>
      <w:bookmarkStart w:id="42" w:name="_Toc47965333"/>
      <w:bookmarkEnd w:id="37"/>
      <w:r w:rsidRPr="00BE183D">
        <w:t xml:space="preserve">Derecho </w:t>
      </w:r>
      <w:bookmarkEnd w:id="39"/>
      <w:bookmarkEnd w:id="40"/>
      <w:bookmarkEnd w:id="41"/>
      <w:r w:rsidR="00D90DC1" w:rsidRPr="00BE183D">
        <w:rPr>
          <w:lang w:val="es-ES"/>
        </w:rPr>
        <w:t>a la integridad personal (artículo 5.1</w:t>
      </w:r>
      <w:r w:rsidR="0060479B">
        <w:rPr>
          <w:lang w:val="es-ES"/>
        </w:rPr>
        <w:t>)</w:t>
      </w:r>
      <w:r w:rsidR="00D90DC1" w:rsidRPr="00BE183D">
        <w:rPr>
          <w:vertAlign w:val="superscript"/>
        </w:rPr>
        <w:footnoteReference w:id="139"/>
      </w:r>
      <w:r w:rsidR="00D90DC1" w:rsidRPr="00BE183D">
        <w:rPr>
          <w:lang w:val="es-ES"/>
        </w:rPr>
        <w:t xml:space="preserve"> </w:t>
      </w:r>
      <w:r w:rsidR="00D90DC1" w:rsidRPr="00BE183D">
        <w:rPr>
          <w:rFonts w:cs="Verdana"/>
          <w:lang w:val="es-CO"/>
        </w:rPr>
        <w:t>en relación con la obligación general de respetar derechos (artículo 1.1)</w:t>
      </w:r>
      <w:r w:rsidR="00D90DC1" w:rsidRPr="00BE183D">
        <w:rPr>
          <w:lang w:val="es-ES"/>
        </w:rPr>
        <w:t xml:space="preserve"> de la Convención Americana</w:t>
      </w:r>
      <w:r w:rsidR="00A15848" w:rsidRPr="00BE183D">
        <w:rPr>
          <w:lang w:val="es-ES"/>
        </w:rPr>
        <w:t xml:space="preserve"> en perjuicio de los familiares</w:t>
      </w:r>
      <w:bookmarkEnd w:id="42"/>
      <w:r w:rsidR="00A15848" w:rsidRPr="00BE183D">
        <w:rPr>
          <w:lang w:val="es-ES"/>
        </w:rPr>
        <w:t xml:space="preserve"> </w:t>
      </w:r>
    </w:p>
    <w:p w14:paraId="721D9726" w14:textId="77777777" w:rsidR="00BC4F34" w:rsidRPr="00BE183D" w:rsidRDefault="00BC4F34" w:rsidP="00BE183D">
      <w:pPr>
        <w:jc w:val="both"/>
        <w:rPr>
          <w:rFonts w:ascii="Cambria" w:hAnsi="Cambria"/>
          <w:sz w:val="20"/>
          <w:szCs w:val="20"/>
          <w:lang w:val="es-ES_tradnl"/>
        </w:rPr>
      </w:pPr>
    </w:p>
    <w:p w14:paraId="59CDFE12" w14:textId="093B57C7" w:rsidR="00D17192" w:rsidRPr="00BE183D" w:rsidRDefault="006C12CF" w:rsidP="00BE183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US"/>
        </w:rPr>
      </w:pPr>
      <w:r w:rsidRPr="00BE183D">
        <w:rPr>
          <w:rFonts w:ascii="Cambria" w:hAnsi="Cambria"/>
          <w:sz w:val="20"/>
          <w:szCs w:val="20"/>
          <w:lang w:val="es-ES_tradnl"/>
        </w:rPr>
        <w:t xml:space="preserve">La </w:t>
      </w:r>
      <w:r w:rsidR="00D17192" w:rsidRPr="00BE183D">
        <w:rPr>
          <w:rFonts w:ascii="Cambria" w:hAnsi="Cambria"/>
          <w:sz w:val="20"/>
          <w:szCs w:val="20"/>
          <w:lang w:val="es-CO"/>
        </w:rPr>
        <w:t xml:space="preserve">Corte Interamericana ha indicado de manera reiterada que los familiares de las víctimas de ciertas violaciones de derechos </w:t>
      </w:r>
      <w:r w:rsidR="00D17192" w:rsidRPr="00BE183D">
        <w:rPr>
          <w:rFonts w:ascii="Cambria" w:hAnsi="Cambria"/>
          <w:sz w:val="20"/>
          <w:szCs w:val="20"/>
          <w:lang w:val="es-ES"/>
        </w:rPr>
        <w:t>humanos</w:t>
      </w:r>
      <w:r w:rsidR="00D17192" w:rsidRPr="00BE183D">
        <w:rPr>
          <w:rFonts w:ascii="Cambria" w:hAnsi="Cambria"/>
          <w:sz w:val="20"/>
          <w:szCs w:val="20"/>
          <w:lang w:val="es-CO"/>
        </w:rPr>
        <w:t xml:space="preserve"> pueden ser, a su vez, víctimas</w:t>
      </w:r>
      <w:r w:rsidR="00D17192" w:rsidRPr="00BE183D">
        <w:rPr>
          <w:rFonts w:ascii="Cambria" w:hAnsi="Cambria"/>
          <w:sz w:val="20"/>
          <w:szCs w:val="20"/>
          <w:vertAlign w:val="superscript"/>
        </w:rPr>
        <w:footnoteReference w:id="140"/>
      </w:r>
      <w:r w:rsidR="00D17192" w:rsidRPr="00BE183D">
        <w:rPr>
          <w:rFonts w:ascii="Cambria" w:hAnsi="Cambria"/>
          <w:sz w:val="20"/>
          <w:szCs w:val="20"/>
          <w:lang w:val="es-CO"/>
        </w:rPr>
        <w:t>. Específicamente, la Corte ha indicado que los familiares de las víctimas pueden verse afectados en su integridad psíquica y moral como consecuencia de las situaciones particulares que padecieron sus seres queridos, y de las posteriores actuaciones u omisiones de las autoridades internas frente a estos hechos</w:t>
      </w:r>
      <w:r w:rsidR="00D17192" w:rsidRPr="00BE183D">
        <w:rPr>
          <w:rFonts w:ascii="Cambria" w:hAnsi="Cambria"/>
          <w:sz w:val="20"/>
          <w:szCs w:val="20"/>
          <w:vertAlign w:val="superscript"/>
        </w:rPr>
        <w:footnoteReference w:id="141"/>
      </w:r>
      <w:r w:rsidR="00D17192" w:rsidRPr="00BE183D">
        <w:rPr>
          <w:rFonts w:ascii="Cambria" w:hAnsi="Cambria"/>
          <w:sz w:val="20"/>
          <w:szCs w:val="20"/>
          <w:lang w:val="es-CO"/>
        </w:rPr>
        <w:t xml:space="preserve">. Asimismo, la Corte Interamericana ha establecido que “[l]a obligación de investigar violaciones de derechos humanos se encuentra dentro de las medidas positivas que deben adoptar los Estados para garantizar los derechos reconocidos en la Convención. </w:t>
      </w:r>
      <w:r w:rsidR="00A673AD" w:rsidRPr="00BE183D">
        <w:rPr>
          <w:rFonts w:ascii="Cambria" w:hAnsi="Cambria"/>
          <w:sz w:val="20"/>
          <w:szCs w:val="20"/>
          <w:lang w:val="es-CO"/>
        </w:rPr>
        <w:t>L</w:t>
      </w:r>
      <w:r w:rsidR="00D17192" w:rsidRPr="00BE183D">
        <w:rPr>
          <w:rFonts w:ascii="Cambria" w:hAnsi="Cambria"/>
          <w:sz w:val="20"/>
          <w:szCs w:val="20"/>
          <w:lang w:val="es-CO"/>
        </w:rPr>
        <w:t xml:space="preserve">a Corte Interamericana </w:t>
      </w:r>
      <w:r w:rsidR="00D17192" w:rsidRPr="00BE183D">
        <w:rPr>
          <w:rFonts w:ascii="Cambria" w:hAnsi="Cambria"/>
          <w:sz w:val="20"/>
          <w:szCs w:val="20"/>
          <w:lang w:val="es-CO"/>
        </w:rPr>
        <w:lastRenderedPageBreak/>
        <w:t>ha establecido que la ausencia de recursos efectivos constituye una fuente de sufrimiento y angustia adicionales para los familiares de las víctimas</w:t>
      </w:r>
      <w:r w:rsidR="00B61BAA" w:rsidRPr="00BE183D">
        <w:rPr>
          <w:rStyle w:val="FootnoteReference"/>
          <w:rFonts w:ascii="Cambria" w:hAnsi="Cambria"/>
          <w:sz w:val="20"/>
          <w:szCs w:val="20"/>
        </w:rPr>
        <w:footnoteReference w:id="142"/>
      </w:r>
      <w:r w:rsidR="00D17192" w:rsidRPr="00BE183D">
        <w:rPr>
          <w:rFonts w:ascii="Cambria" w:hAnsi="Cambria"/>
          <w:sz w:val="20"/>
          <w:szCs w:val="20"/>
          <w:lang w:val="es-CO"/>
        </w:rPr>
        <w:t>.</w:t>
      </w:r>
    </w:p>
    <w:p w14:paraId="5AF04532" w14:textId="77777777" w:rsidR="00B61BAA" w:rsidRPr="00BE183D" w:rsidRDefault="00B61BAA" w:rsidP="00BE18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S"/>
        </w:rPr>
      </w:pPr>
    </w:p>
    <w:p w14:paraId="3F582D8E" w14:textId="47F7CAA0" w:rsidR="00E20A11" w:rsidRPr="00F55004" w:rsidRDefault="00F712FB" w:rsidP="00BE183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r w:rsidRPr="00BE183D">
        <w:rPr>
          <w:rFonts w:ascii="Cambria" w:hAnsi="Cambria"/>
          <w:sz w:val="20"/>
          <w:szCs w:val="20"/>
          <w:lang w:val="es-CO"/>
        </w:rPr>
        <w:t xml:space="preserve">En </w:t>
      </w:r>
      <w:r w:rsidR="00223F92" w:rsidRPr="00BE183D">
        <w:rPr>
          <w:rFonts w:ascii="Cambria" w:hAnsi="Cambria"/>
          <w:sz w:val="20"/>
          <w:szCs w:val="20"/>
          <w:lang w:val="es-CO"/>
        </w:rPr>
        <w:t xml:space="preserve">cuanto a </w:t>
      </w:r>
      <w:r w:rsidR="00DB314A" w:rsidRPr="00BE183D">
        <w:rPr>
          <w:rFonts w:ascii="Cambria" w:hAnsi="Cambria"/>
          <w:sz w:val="20"/>
          <w:szCs w:val="20"/>
          <w:lang w:val="es-CO"/>
        </w:rPr>
        <w:t xml:space="preserve">la alegada </w:t>
      </w:r>
      <w:r w:rsidR="00223F92" w:rsidRPr="00BE183D">
        <w:rPr>
          <w:rFonts w:ascii="Cambria" w:hAnsi="Cambria"/>
          <w:sz w:val="20"/>
          <w:szCs w:val="20"/>
          <w:lang w:val="es-CO"/>
        </w:rPr>
        <w:t xml:space="preserve">violación del derecho a la integridad personal </w:t>
      </w:r>
      <w:r w:rsidR="006716A4" w:rsidRPr="00BE183D">
        <w:rPr>
          <w:rFonts w:ascii="Cambria" w:hAnsi="Cambria"/>
          <w:sz w:val="20"/>
          <w:szCs w:val="20"/>
          <w:lang w:val="es-CO"/>
        </w:rPr>
        <w:t xml:space="preserve">de </w:t>
      </w:r>
      <w:r w:rsidRPr="00BE183D">
        <w:rPr>
          <w:rFonts w:ascii="Cambria" w:hAnsi="Cambria"/>
          <w:sz w:val="20"/>
          <w:szCs w:val="20"/>
          <w:lang w:val="es-VE"/>
        </w:rPr>
        <w:t>Ana María Margarita Morra</w:t>
      </w:r>
      <w:r w:rsidR="006716A4" w:rsidRPr="00BE183D">
        <w:rPr>
          <w:rFonts w:ascii="Cambria" w:hAnsi="Cambria"/>
          <w:sz w:val="20"/>
          <w:szCs w:val="20"/>
          <w:lang w:val="es-VE"/>
        </w:rPr>
        <w:t xml:space="preserve"> (</w:t>
      </w:r>
      <w:r w:rsidR="006716A4" w:rsidRPr="00BE183D">
        <w:rPr>
          <w:rFonts w:ascii="Cambria" w:hAnsi="Cambria"/>
          <w:sz w:val="20"/>
          <w:szCs w:val="20"/>
          <w:lang w:val="es-CO"/>
        </w:rPr>
        <w:t>esposa de Santiago Leguizamón</w:t>
      </w:r>
      <w:r w:rsidR="00395FE8" w:rsidRPr="00BE183D">
        <w:rPr>
          <w:rFonts w:ascii="Cambria" w:hAnsi="Cambria"/>
          <w:sz w:val="20"/>
          <w:szCs w:val="20"/>
          <w:lang w:val="es-VE"/>
        </w:rPr>
        <w:t xml:space="preserve">) y de </w:t>
      </w:r>
      <w:r w:rsidRPr="00BE183D">
        <w:rPr>
          <w:rFonts w:ascii="Cambria" w:hAnsi="Cambria"/>
          <w:sz w:val="20"/>
          <w:szCs w:val="20"/>
          <w:lang w:val="es-VE"/>
        </w:rPr>
        <w:t>Raquel Leguizamón Morra, Dante Leguizamón Morra, Sebastián Leguizamón Morra y Fernando Leguizamón Morra</w:t>
      </w:r>
      <w:r w:rsidR="006716A4" w:rsidRPr="00BE183D">
        <w:rPr>
          <w:rFonts w:ascii="Cambria" w:hAnsi="Cambria"/>
          <w:sz w:val="20"/>
          <w:szCs w:val="20"/>
          <w:lang w:val="es-VE"/>
        </w:rPr>
        <w:t xml:space="preserve"> (hija e hijos</w:t>
      </w:r>
      <w:r w:rsidR="003705B7" w:rsidRPr="00BE183D">
        <w:rPr>
          <w:rFonts w:ascii="Cambria" w:hAnsi="Cambria"/>
          <w:sz w:val="20"/>
          <w:szCs w:val="20"/>
          <w:lang w:val="es-VE"/>
        </w:rPr>
        <w:t>)</w:t>
      </w:r>
      <w:r w:rsidR="00223F92" w:rsidRPr="00BE183D">
        <w:rPr>
          <w:rFonts w:ascii="Cambria" w:hAnsi="Cambria"/>
          <w:sz w:val="20"/>
          <w:szCs w:val="20"/>
          <w:lang w:val="es-CO"/>
        </w:rPr>
        <w:t>,</w:t>
      </w:r>
      <w:r w:rsidR="00DB314A" w:rsidRPr="00BE183D">
        <w:rPr>
          <w:rFonts w:ascii="Cambria" w:hAnsi="Cambria"/>
          <w:sz w:val="20"/>
          <w:szCs w:val="20"/>
          <w:lang w:val="es-CO"/>
        </w:rPr>
        <w:t xml:space="preserve"> </w:t>
      </w:r>
      <w:r w:rsidR="00F446E6" w:rsidRPr="00BE183D">
        <w:rPr>
          <w:rFonts w:ascii="Cambria" w:hAnsi="Cambria"/>
          <w:sz w:val="20"/>
          <w:szCs w:val="20"/>
          <w:lang w:val="es-CO"/>
        </w:rPr>
        <w:t>por las amenazas</w:t>
      </w:r>
      <w:r w:rsidR="00D3248A" w:rsidRPr="00BE183D">
        <w:rPr>
          <w:rFonts w:ascii="Cambria" w:hAnsi="Cambria"/>
          <w:sz w:val="20"/>
          <w:szCs w:val="20"/>
          <w:lang w:val="es-CO"/>
        </w:rPr>
        <w:t xml:space="preserve"> y</w:t>
      </w:r>
      <w:r w:rsidR="00433C0A" w:rsidRPr="00BE183D">
        <w:rPr>
          <w:rFonts w:ascii="Cambria" w:hAnsi="Cambria"/>
          <w:sz w:val="20"/>
          <w:szCs w:val="20"/>
          <w:lang w:val="es-CO"/>
        </w:rPr>
        <w:t xml:space="preserve"> </w:t>
      </w:r>
      <w:r w:rsidR="00F446E6" w:rsidRPr="00BE183D">
        <w:rPr>
          <w:rFonts w:ascii="Cambria" w:hAnsi="Cambria"/>
          <w:sz w:val="20"/>
          <w:szCs w:val="20"/>
          <w:lang w:val="es-CO"/>
        </w:rPr>
        <w:t xml:space="preserve">actos de hostigamiento en </w:t>
      </w:r>
      <w:r w:rsidR="00433C0A" w:rsidRPr="00BE183D">
        <w:rPr>
          <w:rFonts w:ascii="Cambria" w:hAnsi="Cambria"/>
          <w:sz w:val="20"/>
          <w:szCs w:val="20"/>
          <w:lang w:val="es-CO"/>
        </w:rPr>
        <w:t xml:space="preserve">su </w:t>
      </w:r>
      <w:r w:rsidR="00F446E6" w:rsidRPr="00BE183D">
        <w:rPr>
          <w:rFonts w:ascii="Cambria" w:hAnsi="Cambria"/>
          <w:sz w:val="20"/>
          <w:szCs w:val="20"/>
          <w:lang w:val="es-CO"/>
        </w:rPr>
        <w:t>contra</w:t>
      </w:r>
      <w:r w:rsidR="00433C0A" w:rsidRPr="00BE183D">
        <w:rPr>
          <w:rFonts w:ascii="Cambria" w:hAnsi="Cambria"/>
          <w:sz w:val="20"/>
          <w:szCs w:val="20"/>
          <w:lang w:val="es-CO"/>
        </w:rPr>
        <w:t xml:space="preserve"> </w:t>
      </w:r>
      <w:r w:rsidR="00D3248A" w:rsidRPr="00BE183D">
        <w:rPr>
          <w:rFonts w:ascii="Cambria" w:hAnsi="Cambria"/>
          <w:sz w:val="20"/>
          <w:szCs w:val="20"/>
          <w:lang w:val="es-CO"/>
        </w:rPr>
        <w:t xml:space="preserve">con </w:t>
      </w:r>
      <w:r w:rsidR="00135F83" w:rsidRPr="00BE183D">
        <w:rPr>
          <w:rFonts w:ascii="Cambria" w:hAnsi="Cambria"/>
          <w:sz w:val="20"/>
          <w:szCs w:val="20"/>
          <w:lang w:val="es-CO"/>
        </w:rPr>
        <w:t>posterioridad</w:t>
      </w:r>
      <w:r w:rsidR="00D3248A" w:rsidRPr="00BE183D">
        <w:rPr>
          <w:rFonts w:ascii="Cambria" w:hAnsi="Cambria"/>
          <w:sz w:val="20"/>
          <w:szCs w:val="20"/>
          <w:lang w:val="es-CO"/>
        </w:rPr>
        <w:t xml:space="preserve"> a la muerte de</w:t>
      </w:r>
      <w:r w:rsidR="00135F83" w:rsidRPr="00BE183D">
        <w:rPr>
          <w:rFonts w:ascii="Cambria" w:hAnsi="Cambria"/>
          <w:sz w:val="20"/>
          <w:szCs w:val="20"/>
          <w:lang w:val="es-CO"/>
        </w:rPr>
        <w:t xml:space="preserve">l periodista, </w:t>
      </w:r>
      <w:r w:rsidR="00433C0A" w:rsidRPr="00BE183D">
        <w:rPr>
          <w:rFonts w:ascii="Cambria" w:hAnsi="Cambria"/>
          <w:sz w:val="20"/>
          <w:szCs w:val="20"/>
          <w:lang w:val="es-CO"/>
        </w:rPr>
        <w:t>y falta de investigación de los mismos,</w:t>
      </w:r>
      <w:r w:rsidR="00DB314A" w:rsidRPr="00BE183D">
        <w:rPr>
          <w:rFonts w:ascii="Cambria" w:hAnsi="Cambria"/>
          <w:sz w:val="20"/>
          <w:szCs w:val="20"/>
          <w:lang w:val="es-CO"/>
        </w:rPr>
        <w:t xml:space="preserve"> </w:t>
      </w:r>
      <w:r w:rsidR="00223F92" w:rsidRPr="00BE183D">
        <w:rPr>
          <w:rFonts w:ascii="Cambria" w:hAnsi="Cambria"/>
          <w:sz w:val="20"/>
          <w:szCs w:val="20"/>
          <w:lang w:val="es-CO"/>
        </w:rPr>
        <w:t>la Comisión observa que,</w:t>
      </w:r>
      <w:r w:rsidR="00724FFB" w:rsidRPr="00BE183D">
        <w:rPr>
          <w:rFonts w:ascii="Cambria" w:hAnsi="Cambria"/>
          <w:sz w:val="20"/>
          <w:szCs w:val="20"/>
          <w:lang w:val="es-CO"/>
        </w:rPr>
        <w:t xml:space="preserve"> si bien la parte peticionaria </w:t>
      </w:r>
      <w:r w:rsidR="002D392D" w:rsidRPr="00BE183D">
        <w:rPr>
          <w:rFonts w:ascii="Cambria" w:hAnsi="Cambria"/>
          <w:sz w:val="20"/>
          <w:szCs w:val="20"/>
          <w:lang w:val="es-CO"/>
        </w:rPr>
        <w:t xml:space="preserve">alegó la existencia de una serie de amenazas en contra de la familia del periodista y la </w:t>
      </w:r>
      <w:r w:rsidR="00984C30" w:rsidRPr="00BE183D">
        <w:rPr>
          <w:rFonts w:ascii="Cambria" w:hAnsi="Cambria"/>
          <w:sz w:val="20"/>
          <w:szCs w:val="20"/>
          <w:lang w:val="es-CO"/>
        </w:rPr>
        <w:t>asignación de custodia policial por algunos meses</w:t>
      </w:r>
      <w:r w:rsidR="002D392D" w:rsidRPr="00BE183D">
        <w:rPr>
          <w:rFonts w:ascii="Cambria" w:hAnsi="Cambria"/>
          <w:sz w:val="20"/>
          <w:szCs w:val="20"/>
          <w:lang w:val="es-CO"/>
        </w:rPr>
        <w:t>,</w:t>
      </w:r>
      <w:r w:rsidR="00984C30" w:rsidRPr="00BE183D">
        <w:rPr>
          <w:rFonts w:ascii="Cambria" w:hAnsi="Cambria"/>
          <w:sz w:val="20"/>
          <w:szCs w:val="20"/>
          <w:lang w:val="es-CO"/>
        </w:rPr>
        <w:t xml:space="preserve"> </w:t>
      </w:r>
      <w:r w:rsidR="00D179D7" w:rsidRPr="00BE183D">
        <w:rPr>
          <w:rFonts w:ascii="Cambria" w:hAnsi="Cambria"/>
          <w:sz w:val="20"/>
          <w:szCs w:val="20"/>
          <w:lang w:val="es-CO"/>
        </w:rPr>
        <w:t xml:space="preserve">no </w:t>
      </w:r>
      <w:r w:rsidR="00D93B5F" w:rsidRPr="00BE183D">
        <w:rPr>
          <w:rFonts w:ascii="Cambria" w:hAnsi="Cambria"/>
          <w:sz w:val="20"/>
          <w:szCs w:val="20"/>
          <w:lang w:val="es-CO"/>
        </w:rPr>
        <w:t xml:space="preserve">puede determinarse si las mismas provinieron de agentes estatales o de </w:t>
      </w:r>
      <w:r w:rsidR="00A02172" w:rsidRPr="00BE183D">
        <w:rPr>
          <w:rFonts w:ascii="Cambria" w:hAnsi="Cambria"/>
          <w:sz w:val="20"/>
          <w:szCs w:val="20"/>
          <w:lang w:val="es-CO"/>
        </w:rPr>
        <w:t>particulares. L</w:t>
      </w:r>
      <w:r w:rsidR="00984C30" w:rsidRPr="00BE183D">
        <w:rPr>
          <w:rFonts w:ascii="Cambria" w:hAnsi="Cambria"/>
          <w:sz w:val="20"/>
          <w:szCs w:val="20"/>
          <w:lang w:val="es-CO"/>
        </w:rPr>
        <w:t xml:space="preserve">a Comisión </w:t>
      </w:r>
      <w:r w:rsidR="00A02172" w:rsidRPr="00BE183D">
        <w:rPr>
          <w:rFonts w:ascii="Cambria" w:hAnsi="Cambria"/>
          <w:sz w:val="20"/>
          <w:szCs w:val="20"/>
          <w:lang w:val="es-CO"/>
        </w:rPr>
        <w:t>tampoco</w:t>
      </w:r>
      <w:r w:rsidR="00984C30" w:rsidRPr="00BE183D">
        <w:rPr>
          <w:rFonts w:ascii="Cambria" w:hAnsi="Cambria"/>
          <w:sz w:val="20"/>
          <w:szCs w:val="20"/>
          <w:lang w:val="es-CO"/>
        </w:rPr>
        <w:t xml:space="preserve"> cuenta con sustento probatorio derivado </w:t>
      </w:r>
      <w:r w:rsidR="002D392D" w:rsidRPr="00BE183D">
        <w:rPr>
          <w:rFonts w:ascii="Cambria" w:hAnsi="Cambria"/>
          <w:sz w:val="20"/>
          <w:szCs w:val="20"/>
          <w:lang w:val="es-CO"/>
        </w:rPr>
        <w:t xml:space="preserve">del </w:t>
      </w:r>
      <w:r w:rsidR="00984C30" w:rsidRPr="00BE183D">
        <w:rPr>
          <w:rFonts w:ascii="Cambria" w:hAnsi="Cambria"/>
          <w:sz w:val="20"/>
          <w:szCs w:val="20"/>
          <w:lang w:val="es-CO"/>
        </w:rPr>
        <w:t>expediente ante ella que permita concluir</w:t>
      </w:r>
      <w:r w:rsidR="00E8461C" w:rsidRPr="00BE183D">
        <w:rPr>
          <w:rFonts w:ascii="Cambria" w:hAnsi="Cambria"/>
          <w:sz w:val="20"/>
          <w:szCs w:val="20"/>
          <w:lang w:val="es-CO"/>
        </w:rPr>
        <w:t xml:space="preserve"> que las amenazas </w:t>
      </w:r>
      <w:r w:rsidR="00590726" w:rsidRPr="00BE183D">
        <w:rPr>
          <w:rFonts w:ascii="Cambria" w:hAnsi="Cambria"/>
          <w:sz w:val="20"/>
          <w:szCs w:val="20"/>
          <w:lang w:val="es-CO"/>
        </w:rPr>
        <w:t>fueron</w:t>
      </w:r>
      <w:r w:rsidR="00984C30" w:rsidRPr="00BE183D">
        <w:rPr>
          <w:rFonts w:ascii="Cambria" w:hAnsi="Cambria"/>
          <w:sz w:val="20"/>
          <w:szCs w:val="20"/>
          <w:lang w:val="es-CO"/>
        </w:rPr>
        <w:t xml:space="preserve"> </w:t>
      </w:r>
      <w:r w:rsidR="00FE60A3" w:rsidRPr="00BE183D">
        <w:rPr>
          <w:rFonts w:ascii="Cambria" w:hAnsi="Cambria"/>
          <w:sz w:val="20"/>
          <w:szCs w:val="20"/>
          <w:lang w:val="es-CO"/>
        </w:rPr>
        <w:t>puestas</w:t>
      </w:r>
      <w:r w:rsidR="001B71D3" w:rsidRPr="00BE183D">
        <w:rPr>
          <w:rFonts w:ascii="Cambria" w:hAnsi="Cambria"/>
          <w:sz w:val="20"/>
          <w:szCs w:val="20"/>
          <w:lang w:val="es-CO"/>
        </w:rPr>
        <w:t xml:space="preserve"> en conocimiento del</w:t>
      </w:r>
      <w:r w:rsidR="001B71D3">
        <w:rPr>
          <w:rFonts w:ascii="Cambria" w:hAnsi="Cambria"/>
          <w:sz w:val="20"/>
          <w:szCs w:val="20"/>
          <w:lang w:val="es-CO"/>
        </w:rPr>
        <w:t xml:space="preserve"> Estado</w:t>
      </w:r>
      <w:r w:rsidR="000C7C3D">
        <w:rPr>
          <w:rFonts w:ascii="Cambria" w:hAnsi="Cambria"/>
          <w:sz w:val="20"/>
          <w:szCs w:val="20"/>
          <w:lang w:val="es-CO"/>
        </w:rPr>
        <w:t xml:space="preserve">, </w:t>
      </w:r>
      <w:r w:rsidR="001B71D3">
        <w:rPr>
          <w:rFonts w:ascii="Cambria" w:hAnsi="Cambria"/>
          <w:sz w:val="20"/>
          <w:szCs w:val="20"/>
          <w:lang w:val="es-CO"/>
        </w:rPr>
        <w:t>a efectos de</w:t>
      </w:r>
      <w:r w:rsidR="000722AD">
        <w:rPr>
          <w:rFonts w:ascii="Cambria" w:hAnsi="Cambria"/>
          <w:sz w:val="20"/>
          <w:szCs w:val="20"/>
          <w:lang w:val="es-CO"/>
        </w:rPr>
        <w:t xml:space="preserve"> </w:t>
      </w:r>
      <w:r w:rsidR="00FB64AA">
        <w:rPr>
          <w:rFonts w:ascii="Cambria" w:hAnsi="Cambria"/>
          <w:sz w:val="20"/>
          <w:szCs w:val="20"/>
          <w:lang w:val="es-CO"/>
        </w:rPr>
        <w:t xml:space="preserve">activar su deber de prevención con el fin de </w:t>
      </w:r>
      <w:r w:rsidR="000722AD">
        <w:rPr>
          <w:rFonts w:ascii="Cambria" w:hAnsi="Cambria"/>
          <w:sz w:val="20"/>
          <w:szCs w:val="20"/>
          <w:lang w:val="es-CO"/>
        </w:rPr>
        <w:t xml:space="preserve">que </w:t>
      </w:r>
      <w:r w:rsidR="000C7C3D">
        <w:rPr>
          <w:rFonts w:ascii="Cambria" w:hAnsi="Cambria"/>
          <w:sz w:val="20"/>
          <w:szCs w:val="20"/>
          <w:lang w:val="es-CO"/>
        </w:rPr>
        <w:t>este</w:t>
      </w:r>
      <w:r w:rsidR="001B71D3">
        <w:rPr>
          <w:rFonts w:ascii="Cambria" w:hAnsi="Cambria"/>
          <w:sz w:val="20"/>
          <w:szCs w:val="20"/>
          <w:lang w:val="es-CO"/>
        </w:rPr>
        <w:t xml:space="preserve"> adopt</w:t>
      </w:r>
      <w:r w:rsidR="00277242">
        <w:rPr>
          <w:rFonts w:ascii="Cambria" w:hAnsi="Cambria"/>
          <w:sz w:val="20"/>
          <w:szCs w:val="20"/>
          <w:lang w:val="es-CO"/>
        </w:rPr>
        <w:t>ara</w:t>
      </w:r>
      <w:r w:rsidR="001B71D3">
        <w:rPr>
          <w:rFonts w:ascii="Cambria" w:hAnsi="Cambria"/>
          <w:sz w:val="20"/>
          <w:szCs w:val="20"/>
          <w:lang w:val="es-CO"/>
        </w:rPr>
        <w:t xml:space="preserve"> las medidas de protección respectivas</w:t>
      </w:r>
      <w:r w:rsidR="000722AD">
        <w:rPr>
          <w:rFonts w:ascii="Cambria" w:hAnsi="Cambria"/>
          <w:sz w:val="20"/>
          <w:szCs w:val="20"/>
          <w:lang w:val="es-CO"/>
        </w:rPr>
        <w:t xml:space="preserve"> </w:t>
      </w:r>
      <w:r w:rsidR="003871FE">
        <w:rPr>
          <w:rFonts w:ascii="Cambria" w:hAnsi="Cambria"/>
          <w:sz w:val="20"/>
          <w:szCs w:val="20"/>
          <w:lang w:val="es-CO"/>
        </w:rPr>
        <w:t xml:space="preserve">y se </w:t>
      </w:r>
      <w:r w:rsidR="000722AD">
        <w:rPr>
          <w:rFonts w:ascii="Cambria" w:hAnsi="Cambria"/>
          <w:sz w:val="20"/>
          <w:szCs w:val="20"/>
          <w:lang w:val="es-CO"/>
        </w:rPr>
        <w:t>inici</w:t>
      </w:r>
      <w:r w:rsidR="003871FE">
        <w:rPr>
          <w:rFonts w:ascii="Cambria" w:hAnsi="Cambria"/>
          <w:sz w:val="20"/>
          <w:szCs w:val="20"/>
          <w:lang w:val="es-CO"/>
        </w:rPr>
        <w:t>aran</w:t>
      </w:r>
      <w:r w:rsidR="000722AD">
        <w:rPr>
          <w:rFonts w:ascii="Cambria" w:hAnsi="Cambria"/>
          <w:sz w:val="20"/>
          <w:szCs w:val="20"/>
          <w:lang w:val="es-CO"/>
        </w:rPr>
        <w:t xml:space="preserve"> </w:t>
      </w:r>
      <w:r w:rsidR="001B71D3">
        <w:rPr>
          <w:rFonts w:ascii="Cambria" w:hAnsi="Cambria"/>
          <w:sz w:val="20"/>
          <w:szCs w:val="20"/>
          <w:lang w:val="es-CO"/>
        </w:rPr>
        <w:t xml:space="preserve">las investigaciones correspondientes. Ante ello, la CIDH no </w:t>
      </w:r>
      <w:r w:rsidR="00343A4A">
        <w:rPr>
          <w:rFonts w:ascii="Cambria" w:hAnsi="Cambria"/>
          <w:sz w:val="20"/>
          <w:szCs w:val="20"/>
          <w:lang w:val="es-CO"/>
        </w:rPr>
        <w:t>cuenta con elementos suficientes para</w:t>
      </w:r>
      <w:r w:rsidR="001B71D3">
        <w:rPr>
          <w:rFonts w:ascii="Cambria" w:hAnsi="Cambria"/>
          <w:sz w:val="20"/>
          <w:szCs w:val="20"/>
          <w:lang w:val="es-CO"/>
        </w:rPr>
        <w:t xml:space="preserve"> concluir que </w:t>
      </w:r>
      <w:r w:rsidR="00E20A11">
        <w:rPr>
          <w:rFonts w:ascii="Cambria" w:hAnsi="Cambria"/>
          <w:sz w:val="20"/>
          <w:szCs w:val="20"/>
          <w:lang w:val="es-CO"/>
        </w:rPr>
        <w:t xml:space="preserve">el Estado es responsable </w:t>
      </w:r>
      <w:r w:rsidR="001064CD">
        <w:rPr>
          <w:rFonts w:ascii="Cambria" w:hAnsi="Cambria"/>
          <w:sz w:val="20"/>
          <w:szCs w:val="20"/>
          <w:lang w:val="es-CO"/>
        </w:rPr>
        <w:t>por la violación del derecho a la integridad personal de los familiares en cuanto a este extremo.</w:t>
      </w:r>
    </w:p>
    <w:p w14:paraId="609A4080" w14:textId="77777777" w:rsidR="001064CD" w:rsidRPr="001064CD" w:rsidRDefault="001064CD" w:rsidP="00106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266F2744" w14:textId="1FA8EE3D" w:rsidR="00AA297C" w:rsidRPr="000D7953" w:rsidRDefault="002D392D" w:rsidP="00AA297C">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r>
        <w:rPr>
          <w:rFonts w:ascii="Cambria" w:hAnsi="Cambria"/>
          <w:sz w:val="20"/>
          <w:szCs w:val="20"/>
          <w:lang w:val="es-CO"/>
        </w:rPr>
        <w:t xml:space="preserve"> </w:t>
      </w:r>
      <w:r w:rsidR="00FE1344">
        <w:rPr>
          <w:rFonts w:ascii="Cambria" w:hAnsi="Cambria"/>
          <w:sz w:val="20"/>
          <w:szCs w:val="20"/>
          <w:lang w:val="es-CO"/>
        </w:rPr>
        <w:t>Sin embargo,</w:t>
      </w:r>
      <w:r w:rsidR="00223F92" w:rsidRPr="003705B7">
        <w:rPr>
          <w:rFonts w:ascii="Cambria" w:hAnsi="Cambria"/>
          <w:sz w:val="20"/>
          <w:szCs w:val="20"/>
          <w:lang w:val="es-CO"/>
        </w:rPr>
        <w:t xml:space="preserve"> tal como ha sido expuesto, el Estado es responsable por </w:t>
      </w:r>
      <w:r w:rsidR="00645B3F">
        <w:rPr>
          <w:rFonts w:ascii="Cambria" w:hAnsi="Cambria"/>
          <w:sz w:val="20"/>
          <w:szCs w:val="20"/>
          <w:lang w:val="es-CO"/>
        </w:rPr>
        <w:t xml:space="preserve">la muerte </w:t>
      </w:r>
      <w:r w:rsidR="00DF409A">
        <w:rPr>
          <w:rFonts w:ascii="Cambria" w:hAnsi="Cambria"/>
          <w:sz w:val="20"/>
          <w:szCs w:val="20"/>
          <w:lang w:val="es-CO"/>
        </w:rPr>
        <w:t xml:space="preserve">del periodista </w:t>
      </w:r>
      <w:r w:rsidR="00D1608C">
        <w:rPr>
          <w:rFonts w:ascii="Cambria" w:hAnsi="Cambria"/>
          <w:sz w:val="20"/>
          <w:szCs w:val="20"/>
          <w:lang w:val="es-CO"/>
        </w:rPr>
        <w:t xml:space="preserve">al haber incumplido con su deber de </w:t>
      </w:r>
      <w:r w:rsidR="00343A4A">
        <w:rPr>
          <w:rFonts w:ascii="Cambria" w:hAnsi="Cambria"/>
          <w:sz w:val="20"/>
          <w:szCs w:val="20"/>
          <w:lang w:val="es-CO"/>
        </w:rPr>
        <w:t xml:space="preserve">protección y de </w:t>
      </w:r>
      <w:r w:rsidR="00D1608C">
        <w:rPr>
          <w:rFonts w:ascii="Cambria" w:hAnsi="Cambria"/>
          <w:sz w:val="20"/>
          <w:szCs w:val="20"/>
          <w:lang w:val="es-CO"/>
        </w:rPr>
        <w:t xml:space="preserve">prevención, </w:t>
      </w:r>
      <w:r w:rsidR="00343A4A">
        <w:rPr>
          <w:rFonts w:ascii="Cambria" w:hAnsi="Cambria"/>
          <w:sz w:val="20"/>
          <w:szCs w:val="20"/>
          <w:lang w:val="es-CO"/>
        </w:rPr>
        <w:t xml:space="preserve">y por no haber garantizado </w:t>
      </w:r>
      <w:r w:rsidR="00DF409A">
        <w:rPr>
          <w:rFonts w:ascii="Cambria" w:hAnsi="Cambria"/>
          <w:sz w:val="20"/>
          <w:szCs w:val="20"/>
          <w:lang w:val="es-CO"/>
        </w:rPr>
        <w:t>su derecho a la libertad de expresió</w:t>
      </w:r>
      <w:r w:rsidR="00D65A03">
        <w:rPr>
          <w:rFonts w:ascii="Cambria" w:hAnsi="Cambria"/>
          <w:sz w:val="20"/>
          <w:szCs w:val="20"/>
          <w:lang w:val="es-CO"/>
        </w:rPr>
        <w:t>n</w:t>
      </w:r>
      <w:r w:rsidR="009C1A75">
        <w:rPr>
          <w:rFonts w:ascii="Cambria" w:hAnsi="Cambria"/>
          <w:sz w:val="20"/>
          <w:szCs w:val="20"/>
          <w:lang w:val="es-CO"/>
        </w:rPr>
        <w:t>.</w:t>
      </w:r>
      <w:r w:rsidR="00343A4A">
        <w:rPr>
          <w:rFonts w:ascii="Cambria" w:hAnsi="Cambria"/>
          <w:sz w:val="20"/>
          <w:szCs w:val="20"/>
          <w:lang w:val="es-CO"/>
        </w:rPr>
        <w:t xml:space="preserve"> E</w:t>
      </w:r>
      <w:r w:rsidR="009C1A75">
        <w:rPr>
          <w:rFonts w:ascii="Cambria" w:hAnsi="Cambria"/>
          <w:sz w:val="20"/>
          <w:szCs w:val="20"/>
          <w:lang w:val="es-CO"/>
        </w:rPr>
        <w:t>l Estado tampoco investigó</w:t>
      </w:r>
      <w:r w:rsidR="00DF409A">
        <w:rPr>
          <w:rFonts w:ascii="Cambria" w:hAnsi="Cambria"/>
          <w:sz w:val="20"/>
          <w:szCs w:val="20"/>
          <w:lang w:val="es-CO"/>
        </w:rPr>
        <w:t xml:space="preserve"> </w:t>
      </w:r>
      <w:r w:rsidR="00223F92" w:rsidRPr="003705B7">
        <w:rPr>
          <w:rFonts w:ascii="Cambria" w:hAnsi="Cambria"/>
          <w:sz w:val="20"/>
          <w:szCs w:val="20"/>
          <w:lang w:val="es-CO"/>
        </w:rPr>
        <w:t xml:space="preserve">con la debida diligencia </w:t>
      </w:r>
      <w:r w:rsidR="003705B7">
        <w:rPr>
          <w:rFonts w:ascii="Cambria" w:hAnsi="Cambria"/>
          <w:sz w:val="20"/>
          <w:szCs w:val="20"/>
          <w:lang w:val="es-CO"/>
        </w:rPr>
        <w:t xml:space="preserve">y dentro de un plazo razonable </w:t>
      </w:r>
      <w:r w:rsidR="00223F92" w:rsidRPr="003705B7">
        <w:rPr>
          <w:rFonts w:ascii="Cambria" w:hAnsi="Cambria"/>
          <w:sz w:val="20"/>
          <w:szCs w:val="20"/>
          <w:lang w:val="es-CO"/>
        </w:rPr>
        <w:t>la</w:t>
      </w:r>
      <w:r w:rsidR="004446C2">
        <w:rPr>
          <w:rFonts w:ascii="Cambria" w:hAnsi="Cambria"/>
          <w:sz w:val="20"/>
          <w:szCs w:val="20"/>
          <w:lang w:val="es-CO"/>
        </w:rPr>
        <w:t xml:space="preserve"> muerte</w:t>
      </w:r>
      <w:r w:rsidR="00DE01DB">
        <w:rPr>
          <w:rFonts w:ascii="Cambria" w:hAnsi="Cambria"/>
          <w:sz w:val="20"/>
          <w:szCs w:val="20"/>
          <w:lang w:val="es-CO"/>
        </w:rPr>
        <w:t xml:space="preserve"> violenta</w:t>
      </w:r>
      <w:r w:rsidR="004446C2">
        <w:rPr>
          <w:rFonts w:ascii="Cambria" w:hAnsi="Cambria"/>
          <w:sz w:val="20"/>
          <w:szCs w:val="20"/>
          <w:lang w:val="es-CO"/>
        </w:rPr>
        <w:t xml:space="preserve"> del periodi</w:t>
      </w:r>
      <w:r w:rsidR="00223F92" w:rsidRPr="003705B7">
        <w:rPr>
          <w:rFonts w:ascii="Cambria" w:hAnsi="Cambria"/>
          <w:sz w:val="20"/>
          <w:szCs w:val="20"/>
          <w:lang w:val="es-CO"/>
        </w:rPr>
        <w:t>s</w:t>
      </w:r>
      <w:r w:rsidR="004446C2">
        <w:rPr>
          <w:rFonts w:ascii="Cambria" w:hAnsi="Cambria"/>
          <w:sz w:val="20"/>
          <w:szCs w:val="20"/>
          <w:lang w:val="es-CO"/>
        </w:rPr>
        <w:t xml:space="preserve">ta. </w:t>
      </w:r>
      <w:r w:rsidR="004446C2" w:rsidRPr="003705B7">
        <w:rPr>
          <w:rFonts w:ascii="Cambria" w:hAnsi="Cambria"/>
          <w:sz w:val="20"/>
          <w:szCs w:val="20"/>
          <w:lang w:val="es-CO"/>
        </w:rPr>
        <w:t xml:space="preserve">Al respecto, </w:t>
      </w:r>
      <w:r w:rsidR="00DE01DB">
        <w:rPr>
          <w:rFonts w:ascii="Cambria" w:hAnsi="Cambria"/>
          <w:sz w:val="20"/>
          <w:szCs w:val="20"/>
          <w:lang w:val="es-CO"/>
        </w:rPr>
        <w:t xml:space="preserve">la Comisión </w:t>
      </w:r>
      <w:r w:rsidR="004446C2" w:rsidRPr="003705B7">
        <w:rPr>
          <w:rFonts w:ascii="Cambria" w:hAnsi="Cambria"/>
          <w:sz w:val="20"/>
          <w:szCs w:val="20"/>
          <w:lang w:val="es-CO"/>
        </w:rPr>
        <w:t>estima que la</w:t>
      </w:r>
      <w:r w:rsidR="00DE01DB">
        <w:rPr>
          <w:rFonts w:ascii="Cambria" w:hAnsi="Cambria"/>
          <w:sz w:val="20"/>
          <w:szCs w:val="20"/>
          <w:lang w:val="es-CO"/>
        </w:rPr>
        <w:t xml:space="preserve"> form</w:t>
      </w:r>
      <w:r w:rsidR="000D54BE">
        <w:rPr>
          <w:rFonts w:ascii="Cambria" w:hAnsi="Cambria"/>
          <w:sz w:val="20"/>
          <w:szCs w:val="20"/>
          <w:lang w:val="es-CO"/>
        </w:rPr>
        <w:t xml:space="preserve">a y las circunstancias </w:t>
      </w:r>
      <w:r w:rsidR="0059356A">
        <w:rPr>
          <w:rFonts w:ascii="Cambria" w:hAnsi="Cambria"/>
          <w:sz w:val="20"/>
          <w:szCs w:val="20"/>
          <w:lang w:val="es-CO"/>
        </w:rPr>
        <w:t>en las que ocurrió e</w:t>
      </w:r>
      <w:r w:rsidR="00343A4A">
        <w:rPr>
          <w:rFonts w:ascii="Cambria" w:hAnsi="Cambria"/>
          <w:sz w:val="20"/>
          <w:szCs w:val="20"/>
          <w:lang w:val="es-CO"/>
        </w:rPr>
        <w:t>l asesinato</w:t>
      </w:r>
      <w:r w:rsidR="0059356A">
        <w:rPr>
          <w:rFonts w:ascii="Cambria" w:hAnsi="Cambria"/>
          <w:sz w:val="20"/>
          <w:szCs w:val="20"/>
          <w:lang w:val="es-CO"/>
        </w:rPr>
        <w:t xml:space="preserve"> de</w:t>
      </w:r>
      <w:r w:rsidR="000D54BE">
        <w:rPr>
          <w:rFonts w:ascii="Cambria" w:hAnsi="Cambria"/>
          <w:sz w:val="20"/>
          <w:szCs w:val="20"/>
          <w:lang w:val="es-CO"/>
        </w:rPr>
        <w:t xml:space="preserve"> Santiago Leguizamón, así como la </w:t>
      </w:r>
      <w:r w:rsidR="004446C2" w:rsidRPr="003705B7">
        <w:rPr>
          <w:rFonts w:ascii="Cambria" w:hAnsi="Cambria"/>
          <w:sz w:val="20"/>
          <w:szCs w:val="20"/>
          <w:lang w:val="es-CO"/>
        </w:rPr>
        <w:t>ausencia de una investigación diligente</w:t>
      </w:r>
      <w:r w:rsidR="0072457F">
        <w:rPr>
          <w:rFonts w:ascii="Cambria" w:hAnsi="Cambria"/>
          <w:sz w:val="20"/>
          <w:szCs w:val="20"/>
          <w:lang w:val="es-CO"/>
        </w:rPr>
        <w:t>,</w:t>
      </w:r>
      <w:r w:rsidR="004446C2" w:rsidRPr="003705B7">
        <w:rPr>
          <w:rFonts w:ascii="Cambria" w:hAnsi="Cambria"/>
          <w:sz w:val="20"/>
          <w:szCs w:val="20"/>
          <w:lang w:val="es-CO"/>
        </w:rPr>
        <w:t xml:space="preserve"> ha</w:t>
      </w:r>
      <w:r w:rsidR="00343A4A">
        <w:rPr>
          <w:rFonts w:ascii="Cambria" w:hAnsi="Cambria"/>
          <w:sz w:val="20"/>
          <w:szCs w:val="20"/>
          <w:lang w:val="es-CO"/>
        </w:rPr>
        <w:t>n</w:t>
      </w:r>
      <w:r w:rsidR="004446C2" w:rsidRPr="003705B7">
        <w:rPr>
          <w:rFonts w:ascii="Cambria" w:hAnsi="Cambria"/>
          <w:sz w:val="20"/>
          <w:szCs w:val="20"/>
          <w:lang w:val="es-CO"/>
        </w:rPr>
        <w:t xml:space="preserve"> afectado la integridad psíquica y moral de</w:t>
      </w:r>
      <w:r w:rsidR="000D54BE">
        <w:rPr>
          <w:rFonts w:ascii="Cambria" w:hAnsi="Cambria"/>
          <w:sz w:val="20"/>
          <w:szCs w:val="20"/>
          <w:lang w:val="es-CO"/>
        </w:rPr>
        <w:t xml:space="preserve"> sus familiares</w:t>
      </w:r>
      <w:r w:rsidR="00343A4A">
        <w:rPr>
          <w:rFonts w:ascii="Cambria" w:hAnsi="Cambria"/>
          <w:sz w:val="20"/>
          <w:szCs w:val="20"/>
          <w:lang w:val="es-CO"/>
        </w:rPr>
        <w:t>.</w:t>
      </w:r>
      <w:r w:rsidR="00012F6E">
        <w:rPr>
          <w:rFonts w:ascii="Cambria" w:hAnsi="Cambria"/>
          <w:sz w:val="20"/>
          <w:szCs w:val="20"/>
          <w:lang w:val="es-CO"/>
        </w:rPr>
        <w:t xml:space="preserve"> </w:t>
      </w:r>
      <w:r w:rsidR="00343A4A">
        <w:rPr>
          <w:rFonts w:ascii="Cambria" w:hAnsi="Cambria"/>
          <w:sz w:val="20"/>
          <w:szCs w:val="20"/>
          <w:lang w:val="es-CO"/>
        </w:rPr>
        <w:t>A</w:t>
      </w:r>
      <w:r w:rsidR="004446C2" w:rsidRPr="003705B7">
        <w:rPr>
          <w:rFonts w:ascii="Cambria" w:hAnsi="Cambria"/>
          <w:sz w:val="20"/>
          <w:szCs w:val="20"/>
          <w:lang w:val="es-CO"/>
        </w:rPr>
        <w:t>demás</w:t>
      </w:r>
      <w:r w:rsidR="00343A4A">
        <w:rPr>
          <w:rFonts w:ascii="Cambria" w:hAnsi="Cambria"/>
          <w:sz w:val="20"/>
          <w:szCs w:val="20"/>
          <w:lang w:val="es-CO"/>
        </w:rPr>
        <w:t>,</w:t>
      </w:r>
      <w:r w:rsidR="004446C2" w:rsidRPr="003705B7">
        <w:rPr>
          <w:rFonts w:ascii="Cambria" w:hAnsi="Cambria"/>
          <w:sz w:val="20"/>
          <w:szCs w:val="20"/>
          <w:lang w:val="es-CO"/>
        </w:rPr>
        <w:t xml:space="preserve"> </w:t>
      </w:r>
      <w:r w:rsidR="00343A4A" w:rsidRPr="003705B7">
        <w:rPr>
          <w:rFonts w:ascii="Cambria" w:hAnsi="Cambria"/>
          <w:sz w:val="20"/>
          <w:szCs w:val="20"/>
          <w:lang w:val="es-CO"/>
        </w:rPr>
        <w:t xml:space="preserve">el retardo </w:t>
      </w:r>
      <w:r w:rsidR="00343A4A" w:rsidRPr="00420DFB">
        <w:rPr>
          <w:rFonts w:ascii="Cambria" w:hAnsi="Cambria"/>
          <w:sz w:val="20"/>
          <w:szCs w:val="20"/>
          <w:lang w:val="es-CO"/>
        </w:rPr>
        <w:t xml:space="preserve">de más 29 años </w:t>
      </w:r>
      <w:r w:rsidR="00343A4A" w:rsidRPr="003705B7">
        <w:rPr>
          <w:rFonts w:ascii="Cambria" w:hAnsi="Cambria"/>
          <w:sz w:val="20"/>
          <w:szCs w:val="20"/>
          <w:lang w:val="es-CO"/>
        </w:rPr>
        <w:t>en la obtención de justicia</w:t>
      </w:r>
      <w:r w:rsidR="00343A4A">
        <w:rPr>
          <w:rFonts w:ascii="Cambria" w:hAnsi="Cambria"/>
          <w:sz w:val="20"/>
          <w:szCs w:val="20"/>
          <w:lang w:val="es-CO"/>
        </w:rPr>
        <w:t xml:space="preserve"> y la impunidad imperante en el caso ha causado </w:t>
      </w:r>
      <w:r w:rsidR="004446C2" w:rsidRPr="003705B7">
        <w:rPr>
          <w:rFonts w:ascii="Cambria" w:hAnsi="Cambria"/>
          <w:sz w:val="20"/>
          <w:szCs w:val="20"/>
          <w:lang w:val="es-CO"/>
        </w:rPr>
        <w:t>sufrimiento</w:t>
      </w:r>
      <w:r w:rsidR="00F41858">
        <w:rPr>
          <w:rFonts w:ascii="Cambria" w:hAnsi="Cambria"/>
          <w:sz w:val="20"/>
          <w:szCs w:val="20"/>
          <w:lang w:val="es-CO"/>
        </w:rPr>
        <w:t>,</w:t>
      </w:r>
      <w:r w:rsidR="004446C2" w:rsidRPr="003705B7">
        <w:rPr>
          <w:rFonts w:ascii="Cambria" w:hAnsi="Cambria"/>
          <w:sz w:val="20"/>
          <w:szCs w:val="20"/>
          <w:lang w:val="es-CO"/>
        </w:rPr>
        <w:t xml:space="preserve"> angustia</w:t>
      </w:r>
      <w:r w:rsidR="00F41858">
        <w:rPr>
          <w:rFonts w:ascii="Cambria" w:hAnsi="Cambria"/>
          <w:sz w:val="20"/>
          <w:szCs w:val="20"/>
          <w:lang w:val="es-CO"/>
        </w:rPr>
        <w:t xml:space="preserve"> e impotencia</w:t>
      </w:r>
      <w:r w:rsidR="004446C2" w:rsidRPr="003705B7">
        <w:rPr>
          <w:rFonts w:ascii="Cambria" w:hAnsi="Cambria"/>
          <w:sz w:val="20"/>
          <w:szCs w:val="20"/>
          <w:lang w:val="es-CO"/>
        </w:rPr>
        <w:t xml:space="preserve"> </w:t>
      </w:r>
      <w:r w:rsidR="00343A4A">
        <w:rPr>
          <w:rFonts w:ascii="Cambria" w:hAnsi="Cambria"/>
          <w:sz w:val="20"/>
          <w:szCs w:val="20"/>
          <w:lang w:val="es-CO"/>
        </w:rPr>
        <w:t>en sus familiares</w:t>
      </w:r>
      <w:r w:rsidR="004446C2" w:rsidRPr="003705B7">
        <w:rPr>
          <w:rFonts w:ascii="Cambria" w:hAnsi="Cambria"/>
          <w:sz w:val="20"/>
          <w:szCs w:val="20"/>
          <w:lang w:val="es-CO"/>
        </w:rPr>
        <w:t xml:space="preserve">. </w:t>
      </w:r>
      <w:r w:rsidR="009301CE">
        <w:rPr>
          <w:rFonts w:ascii="Cambria" w:hAnsi="Cambria"/>
          <w:sz w:val="20"/>
          <w:szCs w:val="20"/>
          <w:lang w:val="es-CO"/>
        </w:rPr>
        <w:t xml:space="preserve">La Comisión </w:t>
      </w:r>
      <w:r w:rsidR="00546ED5">
        <w:rPr>
          <w:rFonts w:ascii="Cambria" w:hAnsi="Cambria"/>
          <w:sz w:val="20"/>
          <w:szCs w:val="20"/>
          <w:lang w:val="es-CO"/>
        </w:rPr>
        <w:t>considera,</w:t>
      </w:r>
      <w:r w:rsidR="009301CE">
        <w:rPr>
          <w:rFonts w:ascii="Cambria" w:hAnsi="Cambria"/>
          <w:sz w:val="20"/>
          <w:szCs w:val="20"/>
          <w:lang w:val="es-CO"/>
        </w:rPr>
        <w:t xml:space="preserve"> además</w:t>
      </w:r>
      <w:r w:rsidR="00BE3980">
        <w:rPr>
          <w:rFonts w:ascii="Cambria" w:hAnsi="Cambria"/>
          <w:sz w:val="20"/>
          <w:szCs w:val="20"/>
          <w:lang w:val="es-CO"/>
        </w:rPr>
        <w:t>,</w:t>
      </w:r>
      <w:r w:rsidR="009301CE">
        <w:rPr>
          <w:rFonts w:ascii="Cambria" w:hAnsi="Cambria"/>
          <w:sz w:val="20"/>
          <w:szCs w:val="20"/>
          <w:lang w:val="es-CO"/>
        </w:rPr>
        <w:t xml:space="preserve"> que la muerte del </w:t>
      </w:r>
      <w:r w:rsidR="00DB0BE3">
        <w:rPr>
          <w:rFonts w:ascii="Cambria" w:hAnsi="Cambria"/>
          <w:sz w:val="20"/>
          <w:szCs w:val="20"/>
          <w:lang w:val="es-CO"/>
        </w:rPr>
        <w:t>periodista</w:t>
      </w:r>
      <w:r w:rsidR="009301CE">
        <w:rPr>
          <w:rFonts w:ascii="Cambria" w:hAnsi="Cambria"/>
          <w:sz w:val="20"/>
          <w:szCs w:val="20"/>
          <w:lang w:val="es-CO"/>
        </w:rPr>
        <w:t xml:space="preserve"> generó una serie de </w:t>
      </w:r>
      <w:r w:rsidR="002B7E6C">
        <w:rPr>
          <w:rFonts w:ascii="Cambria" w:hAnsi="Cambria"/>
          <w:sz w:val="20"/>
          <w:szCs w:val="20"/>
          <w:lang w:val="es-CO"/>
        </w:rPr>
        <w:t xml:space="preserve">afectaciones en la familia, al haber sido aquel </w:t>
      </w:r>
      <w:r w:rsidR="00DB0BE3">
        <w:rPr>
          <w:rFonts w:ascii="Cambria" w:hAnsi="Cambria"/>
          <w:sz w:val="20"/>
          <w:szCs w:val="20"/>
          <w:lang w:val="es-CO"/>
        </w:rPr>
        <w:t>el principal sustento económico del hogar.</w:t>
      </w:r>
      <w:r w:rsidR="0073624C">
        <w:rPr>
          <w:rFonts w:ascii="Cambria" w:hAnsi="Cambria"/>
          <w:sz w:val="20"/>
          <w:szCs w:val="20"/>
          <w:lang w:val="es-CO"/>
        </w:rPr>
        <w:t xml:space="preserve"> La ausencia de recursos económicos suficientes para cubrir la educación de los hijos de Ana </w:t>
      </w:r>
      <w:r w:rsidR="00906FEB">
        <w:rPr>
          <w:rFonts w:ascii="Cambria" w:hAnsi="Cambria"/>
          <w:sz w:val="20"/>
          <w:szCs w:val="20"/>
          <w:lang w:val="es-CO"/>
        </w:rPr>
        <w:t>Morra, así como</w:t>
      </w:r>
      <w:r w:rsidR="00434A12">
        <w:rPr>
          <w:rFonts w:ascii="Cambria" w:hAnsi="Cambria"/>
          <w:sz w:val="20"/>
          <w:szCs w:val="20"/>
          <w:lang w:val="es-CO"/>
        </w:rPr>
        <w:t xml:space="preserve"> necesidad de </w:t>
      </w:r>
      <w:r w:rsidR="00551986">
        <w:rPr>
          <w:rFonts w:ascii="Cambria" w:hAnsi="Cambria"/>
          <w:sz w:val="20"/>
          <w:szCs w:val="20"/>
          <w:lang w:val="es-CO"/>
        </w:rPr>
        <w:t>vender la radio y obtener empleos diversos para generar suficientes ingreso</w:t>
      </w:r>
      <w:r w:rsidR="00AA297C">
        <w:rPr>
          <w:rFonts w:ascii="Cambria" w:hAnsi="Cambria"/>
          <w:sz w:val="20"/>
          <w:szCs w:val="20"/>
          <w:lang w:val="es-CO"/>
        </w:rPr>
        <w:t>s</w:t>
      </w:r>
      <w:r w:rsidR="00551986">
        <w:rPr>
          <w:rFonts w:ascii="Cambria" w:hAnsi="Cambria"/>
          <w:sz w:val="20"/>
          <w:szCs w:val="20"/>
          <w:lang w:val="es-CO"/>
        </w:rPr>
        <w:t xml:space="preserve">, causó en los familiares de Santiago Leguizamón sentimientos adicionales de frustración </w:t>
      </w:r>
      <w:r w:rsidR="00AA297C">
        <w:rPr>
          <w:rFonts w:ascii="Cambria" w:hAnsi="Cambria"/>
          <w:sz w:val="20"/>
          <w:szCs w:val="20"/>
          <w:lang w:val="es-CO"/>
        </w:rPr>
        <w:t>y sufrimiento.</w:t>
      </w:r>
    </w:p>
    <w:p w14:paraId="50586FF3" w14:textId="77777777" w:rsidR="008F7755" w:rsidRPr="00420DFB" w:rsidRDefault="008F7755" w:rsidP="000D795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18FF7C83" w14:textId="7027F2B3" w:rsidR="004446C2" w:rsidRPr="00AA297C" w:rsidRDefault="00AA297C" w:rsidP="00AA297C">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r>
        <w:rPr>
          <w:rFonts w:ascii="Cambria" w:hAnsi="Cambria"/>
          <w:sz w:val="20"/>
          <w:szCs w:val="20"/>
          <w:lang w:val="es-CO"/>
        </w:rPr>
        <w:t>Por lo anterior,</w:t>
      </w:r>
      <w:r>
        <w:rPr>
          <w:rFonts w:ascii="Cambria" w:hAnsi="Cambria"/>
          <w:sz w:val="20"/>
          <w:szCs w:val="20"/>
          <w:lang w:val="es-ES"/>
        </w:rPr>
        <w:t xml:space="preserve"> l</w:t>
      </w:r>
      <w:r w:rsidR="004446C2" w:rsidRPr="00AA297C">
        <w:rPr>
          <w:rFonts w:ascii="Cambria" w:hAnsi="Cambria"/>
          <w:sz w:val="20"/>
          <w:szCs w:val="20"/>
          <w:lang w:val="es-CO"/>
        </w:rPr>
        <w:t xml:space="preserve">a CIDH concluye que el Estado violó </w:t>
      </w:r>
      <w:r w:rsidR="00703E55">
        <w:rPr>
          <w:rFonts w:ascii="Cambria" w:hAnsi="Cambria"/>
          <w:sz w:val="20"/>
          <w:szCs w:val="20"/>
          <w:lang w:val="es-CO"/>
        </w:rPr>
        <w:t xml:space="preserve">el </w:t>
      </w:r>
      <w:r w:rsidR="004446C2" w:rsidRPr="00AA297C">
        <w:rPr>
          <w:rFonts w:ascii="Cambria" w:hAnsi="Cambria"/>
          <w:sz w:val="20"/>
          <w:szCs w:val="20"/>
          <w:lang w:val="es-CO"/>
        </w:rPr>
        <w:t>derecho</w:t>
      </w:r>
      <w:r w:rsidR="00703E55">
        <w:rPr>
          <w:rFonts w:ascii="Cambria" w:hAnsi="Cambria"/>
          <w:sz w:val="20"/>
          <w:szCs w:val="20"/>
          <w:lang w:val="es-CO"/>
        </w:rPr>
        <w:t xml:space="preserve"> </w:t>
      </w:r>
      <w:r w:rsidR="004446C2" w:rsidRPr="00AA297C">
        <w:rPr>
          <w:rFonts w:ascii="Cambria" w:hAnsi="Cambria"/>
          <w:sz w:val="20"/>
          <w:szCs w:val="20"/>
          <w:lang w:val="es-CO"/>
        </w:rPr>
        <w:t>consagrado en el artículo 5.1 de la Convención, en relación con el artículo 1.1 de la misma, en perjuicio de</w:t>
      </w:r>
      <w:r w:rsidR="00703E55">
        <w:rPr>
          <w:rFonts w:ascii="Cambria" w:hAnsi="Cambria"/>
          <w:sz w:val="20"/>
          <w:szCs w:val="20"/>
          <w:lang w:val="es-CO"/>
        </w:rPr>
        <w:t xml:space="preserve"> </w:t>
      </w:r>
      <w:r w:rsidR="00703E55" w:rsidRPr="007A0D4C">
        <w:rPr>
          <w:rFonts w:ascii="Cambria" w:hAnsi="Cambria"/>
          <w:sz w:val="20"/>
          <w:szCs w:val="20"/>
          <w:lang w:val="es-VE"/>
        </w:rPr>
        <w:t>Ana María Margarita Morra</w:t>
      </w:r>
      <w:r w:rsidR="00703E55">
        <w:rPr>
          <w:rFonts w:ascii="Cambria" w:hAnsi="Cambria"/>
          <w:sz w:val="20"/>
          <w:szCs w:val="20"/>
          <w:lang w:val="es-VE"/>
        </w:rPr>
        <w:t xml:space="preserve"> (</w:t>
      </w:r>
      <w:r w:rsidR="00703E55">
        <w:rPr>
          <w:rFonts w:ascii="Cambria" w:hAnsi="Cambria"/>
          <w:sz w:val="20"/>
          <w:szCs w:val="20"/>
          <w:lang w:val="es-CO"/>
        </w:rPr>
        <w:t>esposa de Santiago Leguizamón</w:t>
      </w:r>
      <w:r w:rsidR="00703E55">
        <w:rPr>
          <w:rFonts w:ascii="Cambria" w:hAnsi="Cambria"/>
          <w:sz w:val="20"/>
          <w:szCs w:val="20"/>
          <w:lang w:val="es-VE"/>
        </w:rPr>
        <w:t xml:space="preserve">) y de </w:t>
      </w:r>
      <w:r w:rsidR="00703E55" w:rsidRPr="007A0D4C">
        <w:rPr>
          <w:rFonts w:ascii="Cambria" w:hAnsi="Cambria"/>
          <w:sz w:val="20"/>
          <w:szCs w:val="20"/>
          <w:lang w:val="es-VE"/>
        </w:rPr>
        <w:t>Raquel Leguizamón Morra, Dante Leguizamón Morra, Sebastián Leguizamón Morra y Fernando Leguizamón Morra</w:t>
      </w:r>
      <w:r w:rsidR="00703E55">
        <w:rPr>
          <w:rFonts w:ascii="Cambria" w:hAnsi="Cambria"/>
          <w:sz w:val="20"/>
          <w:szCs w:val="20"/>
          <w:lang w:val="es-VE"/>
        </w:rPr>
        <w:t xml:space="preserve"> (hija e hijos).</w:t>
      </w:r>
    </w:p>
    <w:p w14:paraId="01F20D35" w14:textId="77777777" w:rsidR="004F3357" w:rsidRPr="008965C4" w:rsidRDefault="004F3357" w:rsidP="008965C4">
      <w:pPr>
        <w:pStyle w:val="NoSpacing"/>
        <w:spacing w:before="0" w:after="0"/>
        <w:ind w:firstLine="0"/>
        <w:rPr>
          <w:szCs w:val="20"/>
          <w:lang w:val="es-VE"/>
        </w:rPr>
      </w:pPr>
    </w:p>
    <w:p w14:paraId="45116347" w14:textId="3A67B604" w:rsidR="00E464AC" w:rsidRPr="009B49A7" w:rsidRDefault="00E464AC" w:rsidP="009B49A7">
      <w:pPr>
        <w:pStyle w:val="Heading1"/>
        <w:rPr>
          <w:lang w:val="es-CO"/>
        </w:rPr>
      </w:pPr>
      <w:bookmarkStart w:id="43" w:name="_Toc534905542"/>
      <w:bookmarkStart w:id="44" w:name="_Toc4417464"/>
      <w:bookmarkStart w:id="45" w:name="_Toc47965334"/>
      <w:r w:rsidRPr="009B49A7">
        <w:rPr>
          <w:lang w:val="es-CO"/>
        </w:rPr>
        <w:t>CONCLUSIONES</w:t>
      </w:r>
      <w:bookmarkEnd w:id="43"/>
      <w:bookmarkEnd w:id="44"/>
      <w:bookmarkEnd w:id="45"/>
    </w:p>
    <w:p w14:paraId="37BE9079" w14:textId="77777777" w:rsidR="004F3357" w:rsidRPr="009B49A7" w:rsidRDefault="004F3357" w:rsidP="009B49A7">
      <w:pPr>
        <w:jc w:val="both"/>
        <w:rPr>
          <w:rFonts w:ascii="Cambria" w:hAnsi="Cambria"/>
          <w:sz w:val="20"/>
          <w:szCs w:val="20"/>
          <w:lang w:val="es-CO"/>
        </w:rPr>
      </w:pPr>
    </w:p>
    <w:p w14:paraId="27A9143B" w14:textId="2FEAB4F2" w:rsidR="0024056B" w:rsidRPr="009B49A7" w:rsidRDefault="00E464AC"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r w:rsidRPr="009B49A7">
        <w:rPr>
          <w:rFonts w:ascii="Cambria" w:hAnsi="Cambria"/>
          <w:sz w:val="20"/>
          <w:szCs w:val="20"/>
          <w:lang w:val="es-VE"/>
        </w:rPr>
        <w:t>Con</w:t>
      </w:r>
      <w:r w:rsidRPr="009B49A7">
        <w:rPr>
          <w:rFonts w:ascii="Cambria" w:hAnsi="Cambria"/>
          <w:sz w:val="20"/>
          <w:szCs w:val="20"/>
          <w:lang w:val="es-CL"/>
        </w:rPr>
        <w:t xml:space="preserve"> base en las consideraciones de hecho y de derecho contenidas en el presente informe, l</w:t>
      </w:r>
      <w:r w:rsidRPr="009B49A7">
        <w:rPr>
          <w:rFonts w:ascii="Cambria" w:hAnsi="Cambria"/>
          <w:sz w:val="20"/>
          <w:szCs w:val="20"/>
          <w:lang w:val="es-ES"/>
        </w:rPr>
        <w:t xml:space="preserve">a CIDH concluye que el Estado </w:t>
      </w:r>
      <w:r w:rsidR="006420F8">
        <w:rPr>
          <w:rFonts w:ascii="Cambria" w:hAnsi="Cambria"/>
          <w:sz w:val="20"/>
          <w:szCs w:val="20"/>
          <w:lang w:val="es-ES"/>
        </w:rPr>
        <w:t>p</w:t>
      </w:r>
      <w:r w:rsidR="003C7E44" w:rsidRPr="009B49A7">
        <w:rPr>
          <w:rFonts w:ascii="Cambria" w:hAnsi="Cambria"/>
          <w:sz w:val="20"/>
          <w:szCs w:val="20"/>
          <w:lang w:val="es-ES"/>
        </w:rPr>
        <w:t>araguay</w:t>
      </w:r>
      <w:r w:rsidR="006420F8">
        <w:rPr>
          <w:rFonts w:ascii="Cambria" w:hAnsi="Cambria"/>
          <w:sz w:val="20"/>
          <w:szCs w:val="20"/>
          <w:lang w:val="es-ES"/>
        </w:rPr>
        <w:t>o</w:t>
      </w:r>
      <w:r w:rsidR="003C7E44" w:rsidRPr="009B49A7">
        <w:rPr>
          <w:rFonts w:ascii="Cambria" w:hAnsi="Cambria"/>
          <w:sz w:val="20"/>
          <w:szCs w:val="20"/>
          <w:lang w:val="es-ES"/>
        </w:rPr>
        <w:t xml:space="preserve"> </w:t>
      </w:r>
      <w:r w:rsidR="0024056B" w:rsidRPr="009B49A7">
        <w:rPr>
          <w:rFonts w:ascii="Cambria" w:hAnsi="Cambria"/>
          <w:sz w:val="20"/>
          <w:szCs w:val="20"/>
          <w:lang w:val="es-ES"/>
        </w:rPr>
        <w:t>violó</w:t>
      </w:r>
      <w:r w:rsidR="005B1415" w:rsidRPr="009B49A7">
        <w:rPr>
          <w:rFonts w:ascii="Cambria" w:hAnsi="Cambria"/>
          <w:sz w:val="20"/>
          <w:szCs w:val="20"/>
          <w:lang w:val="es-ES"/>
        </w:rPr>
        <w:t xml:space="preserve"> </w:t>
      </w:r>
      <w:r w:rsidR="005B1415" w:rsidRPr="009B49A7">
        <w:rPr>
          <w:rFonts w:ascii="Cambria" w:hAnsi="Cambria" w:cs="Arial"/>
          <w:bCs/>
          <w:sz w:val="20"/>
          <w:szCs w:val="20"/>
          <w:lang w:val="es-CO"/>
        </w:rPr>
        <w:t xml:space="preserve">los derechos reconocidos en los artículos </w:t>
      </w:r>
      <w:r w:rsidR="00806344">
        <w:rPr>
          <w:rFonts w:ascii="Cambria" w:hAnsi="Cambria" w:cs="Arial"/>
          <w:bCs/>
          <w:sz w:val="20"/>
          <w:szCs w:val="20"/>
          <w:lang w:val="es-CO"/>
        </w:rPr>
        <w:t xml:space="preserve">4 (vida) </w:t>
      </w:r>
      <w:r w:rsidR="00405609">
        <w:rPr>
          <w:rFonts w:ascii="Cambria" w:hAnsi="Cambria" w:cs="Arial"/>
          <w:bCs/>
          <w:sz w:val="20"/>
          <w:szCs w:val="20"/>
          <w:lang w:val="es-CO"/>
        </w:rPr>
        <w:t xml:space="preserve">y </w:t>
      </w:r>
      <w:r w:rsidR="005B1415" w:rsidRPr="009B49A7">
        <w:rPr>
          <w:rFonts w:ascii="Cambria" w:hAnsi="Cambria" w:cs="Arial"/>
          <w:bCs/>
          <w:sz w:val="20"/>
          <w:szCs w:val="20"/>
          <w:lang w:val="es-CO"/>
        </w:rPr>
        <w:t>13 (libertad de pensamiento y expresión)</w:t>
      </w:r>
      <w:r w:rsidR="00F7726B" w:rsidRPr="009B49A7">
        <w:rPr>
          <w:rFonts w:ascii="Cambria" w:hAnsi="Cambria" w:cs="Arial"/>
          <w:bCs/>
          <w:sz w:val="20"/>
          <w:szCs w:val="20"/>
          <w:lang w:val="es-CO"/>
        </w:rPr>
        <w:t xml:space="preserve"> en relación con</w:t>
      </w:r>
      <w:r w:rsidR="005B1415" w:rsidRPr="009B49A7">
        <w:rPr>
          <w:rFonts w:ascii="Cambria" w:hAnsi="Cambria" w:cs="Arial"/>
          <w:bCs/>
          <w:sz w:val="20"/>
          <w:szCs w:val="20"/>
          <w:lang w:val="es-CO"/>
        </w:rPr>
        <w:t xml:space="preserve"> </w:t>
      </w:r>
      <w:r w:rsidR="00D662B4" w:rsidRPr="009B49A7">
        <w:rPr>
          <w:rFonts w:ascii="Cambria" w:hAnsi="Cambria" w:cs="Arial"/>
          <w:bCs/>
          <w:sz w:val="20"/>
          <w:szCs w:val="20"/>
          <w:lang w:val="es-CO"/>
        </w:rPr>
        <w:t>los artículos 1.1 (obligación de respetar los derechos)</w:t>
      </w:r>
      <w:r w:rsidR="00405609">
        <w:rPr>
          <w:rFonts w:ascii="Cambria" w:hAnsi="Cambria" w:cs="Arial"/>
          <w:bCs/>
          <w:sz w:val="20"/>
          <w:szCs w:val="20"/>
          <w:lang w:val="es-CO"/>
        </w:rPr>
        <w:t xml:space="preserve"> </w:t>
      </w:r>
      <w:r w:rsidR="00405609" w:rsidRPr="009B49A7">
        <w:rPr>
          <w:rFonts w:ascii="Cambria" w:hAnsi="Cambria" w:cs="Arial"/>
          <w:bCs/>
          <w:sz w:val="20"/>
          <w:szCs w:val="20"/>
          <w:lang w:val="es-CO"/>
        </w:rPr>
        <w:t>en perjuicio de Santiago Leguizamón Za</w:t>
      </w:r>
      <w:r w:rsidR="00D002C8">
        <w:rPr>
          <w:rFonts w:ascii="Cambria" w:hAnsi="Cambria" w:cs="Arial"/>
          <w:bCs/>
          <w:sz w:val="20"/>
          <w:szCs w:val="20"/>
          <w:lang w:val="es-CO"/>
        </w:rPr>
        <w:t>v</w:t>
      </w:r>
      <w:r w:rsidR="00405609" w:rsidRPr="009B49A7">
        <w:rPr>
          <w:rFonts w:ascii="Cambria" w:hAnsi="Cambria" w:cs="Arial"/>
          <w:bCs/>
          <w:sz w:val="20"/>
          <w:szCs w:val="20"/>
          <w:lang w:val="es-CO"/>
        </w:rPr>
        <w:t>án</w:t>
      </w:r>
      <w:r w:rsidR="00405609">
        <w:rPr>
          <w:rFonts w:ascii="Cambria" w:hAnsi="Cambria" w:cs="Arial"/>
          <w:bCs/>
          <w:sz w:val="20"/>
          <w:szCs w:val="20"/>
          <w:lang w:val="es-CO"/>
        </w:rPr>
        <w:t xml:space="preserve">. </w:t>
      </w:r>
      <w:r w:rsidR="00E34FD9" w:rsidRPr="009B49A7">
        <w:rPr>
          <w:rFonts w:ascii="Cambria" w:hAnsi="Cambria" w:cs="Arial"/>
          <w:bCs/>
          <w:sz w:val="20"/>
          <w:szCs w:val="20"/>
          <w:lang w:val="es-CO"/>
        </w:rPr>
        <w:t xml:space="preserve">Asimismo, </w:t>
      </w:r>
      <w:r w:rsidR="00E34FD9" w:rsidRPr="009B49A7">
        <w:rPr>
          <w:rFonts w:ascii="Cambria" w:hAnsi="Cambria"/>
          <w:sz w:val="20"/>
          <w:szCs w:val="20"/>
          <w:lang w:val="es-ES"/>
        </w:rPr>
        <w:t xml:space="preserve">Paraguay violó </w:t>
      </w:r>
      <w:r w:rsidR="00E34FD9" w:rsidRPr="009B49A7">
        <w:rPr>
          <w:rFonts w:ascii="Cambria" w:hAnsi="Cambria" w:cs="Arial"/>
          <w:bCs/>
          <w:sz w:val="20"/>
          <w:szCs w:val="20"/>
          <w:lang w:val="es-CO"/>
        </w:rPr>
        <w:t>los derechos reconocidos en los artículos</w:t>
      </w:r>
      <w:r w:rsidR="00925691" w:rsidRPr="009B49A7">
        <w:rPr>
          <w:rFonts w:ascii="Cambria" w:hAnsi="Cambria" w:cs="Arial"/>
          <w:bCs/>
          <w:sz w:val="20"/>
          <w:szCs w:val="20"/>
          <w:lang w:val="es-CO"/>
        </w:rPr>
        <w:t xml:space="preserve"> 5.1 (integridad personal),</w:t>
      </w:r>
      <w:r w:rsidR="00E34FD9" w:rsidRPr="009B49A7">
        <w:rPr>
          <w:rFonts w:ascii="Cambria" w:hAnsi="Cambria" w:cs="Arial"/>
          <w:bCs/>
          <w:sz w:val="20"/>
          <w:szCs w:val="20"/>
          <w:lang w:val="es-CO"/>
        </w:rPr>
        <w:t xml:space="preserve"> 8.1 (garantías judiciales) y 25.1 (protección judicial), </w:t>
      </w:r>
      <w:r w:rsidR="005B1415" w:rsidRPr="009B49A7">
        <w:rPr>
          <w:rFonts w:ascii="Cambria" w:hAnsi="Cambria" w:cs="Arial"/>
          <w:bCs/>
          <w:sz w:val="20"/>
          <w:szCs w:val="20"/>
          <w:lang w:val="es-CO"/>
        </w:rPr>
        <w:t>en relación con</w:t>
      </w:r>
      <w:r w:rsidR="00E34FD9" w:rsidRPr="009B49A7">
        <w:rPr>
          <w:rFonts w:ascii="Cambria" w:hAnsi="Cambria" w:cs="Arial"/>
          <w:bCs/>
          <w:sz w:val="20"/>
          <w:szCs w:val="20"/>
          <w:lang w:val="es-CO"/>
        </w:rPr>
        <w:t xml:space="preserve"> el artículo 1.1 (obligación de respetar los derechos)</w:t>
      </w:r>
      <w:r w:rsidR="00315CEB" w:rsidRPr="009B49A7">
        <w:rPr>
          <w:rFonts w:ascii="Cambria" w:hAnsi="Cambria" w:cs="Arial"/>
          <w:bCs/>
          <w:sz w:val="20"/>
          <w:szCs w:val="20"/>
          <w:lang w:val="es-CO"/>
        </w:rPr>
        <w:t xml:space="preserve"> de la Convención Americana, </w:t>
      </w:r>
      <w:r w:rsidR="0024056B" w:rsidRPr="009B49A7">
        <w:rPr>
          <w:rFonts w:ascii="Cambria" w:hAnsi="Cambria"/>
          <w:sz w:val="20"/>
          <w:szCs w:val="20"/>
          <w:lang w:val="es-ES"/>
        </w:rPr>
        <w:t>en perjuicio de</w:t>
      </w:r>
      <w:r w:rsidR="00E669F1">
        <w:rPr>
          <w:rFonts w:ascii="Cambria" w:hAnsi="Cambria"/>
          <w:sz w:val="20"/>
          <w:szCs w:val="20"/>
          <w:lang w:val="es-ES"/>
        </w:rPr>
        <w:t xml:space="preserve"> </w:t>
      </w:r>
      <w:r w:rsidR="00E669F1" w:rsidRPr="007A0D4C">
        <w:rPr>
          <w:rFonts w:ascii="Cambria" w:hAnsi="Cambria"/>
          <w:sz w:val="20"/>
          <w:szCs w:val="20"/>
          <w:lang w:val="es-VE"/>
        </w:rPr>
        <w:t>Ana María Margarita Morra, Raquel Leguizamón Morra, Dante Leguizamón Morra, Sebastián Leguizamón Morra y Fernando Leguizamón Morra</w:t>
      </w:r>
      <w:r w:rsidR="00E669F1">
        <w:rPr>
          <w:rFonts w:ascii="Cambria" w:hAnsi="Cambria"/>
          <w:sz w:val="20"/>
          <w:szCs w:val="20"/>
          <w:lang w:val="es-VE"/>
        </w:rPr>
        <w:t>.</w:t>
      </w:r>
    </w:p>
    <w:p w14:paraId="7019EB42" w14:textId="77777777" w:rsidR="004F3357" w:rsidRPr="009B49A7" w:rsidRDefault="004F3357" w:rsidP="009B49A7">
      <w:pPr>
        <w:pStyle w:val="NoSpacing"/>
        <w:spacing w:before="0" w:after="0"/>
        <w:ind w:firstLine="0"/>
        <w:rPr>
          <w:szCs w:val="20"/>
          <w:lang w:val="es-CO"/>
        </w:rPr>
      </w:pPr>
    </w:p>
    <w:p w14:paraId="5C1066FF" w14:textId="2D633445" w:rsidR="00E464AC" w:rsidRPr="009B49A7" w:rsidRDefault="00E464AC" w:rsidP="009B49A7">
      <w:pPr>
        <w:pStyle w:val="Heading1"/>
        <w:rPr>
          <w:lang w:val="es-CO"/>
        </w:rPr>
      </w:pPr>
      <w:bookmarkStart w:id="46" w:name="_Toc534905543"/>
      <w:bookmarkStart w:id="47" w:name="_Toc4417465"/>
      <w:bookmarkStart w:id="48" w:name="_Toc47965335"/>
      <w:r w:rsidRPr="009B49A7">
        <w:rPr>
          <w:lang w:val="es-CO"/>
        </w:rPr>
        <w:t>RECOMENDACIONES</w:t>
      </w:r>
      <w:bookmarkEnd w:id="46"/>
      <w:bookmarkEnd w:id="47"/>
      <w:bookmarkEnd w:id="48"/>
    </w:p>
    <w:p w14:paraId="24B67F01" w14:textId="77777777" w:rsidR="00337F80" w:rsidRPr="009B49A7" w:rsidRDefault="00337F80" w:rsidP="009B49A7">
      <w:pPr>
        <w:rPr>
          <w:rFonts w:ascii="Cambria" w:hAnsi="Cambria"/>
          <w:sz w:val="20"/>
          <w:szCs w:val="20"/>
          <w:lang w:val="es-CO" w:eastAsia="es-ES"/>
        </w:rPr>
      </w:pPr>
    </w:p>
    <w:p w14:paraId="08331D10" w14:textId="77777777" w:rsidR="00337F80" w:rsidRPr="009B49A7" w:rsidRDefault="00337F80" w:rsidP="00C870C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9B49A7">
        <w:rPr>
          <w:rFonts w:ascii="Cambria" w:hAnsi="Cambria"/>
          <w:sz w:val="20"/>
          <w:szCs w:val="20"/>
          <w:lang w:val="es-VE"/>
        </w:rPr>
        <w:t>Con fundamento en el análisis y las conclusiones del presente informe,</w:t>
      </w:r>
    </w:p>
    <w:p w14:paraId="2BEE9E2B" w14:textId="77777777" w:rsidR="00337F80" w:rsidRPr="007A0D4C" w:rsidRDefault="00337F80" w:rsidP="007A0D4C">
      <w:pPr>
        <w:jc w:val="both"/>
        <w:rPr>
          <w:rFonts w:ascii="Cambria" w:hAnsi="Cambria"/>
          <w:b/>
          <w:bCs/>
          <w:sz w:val="20"/>
          <w:szCs w:val="20"/>
          <w:lang w:val="es-CL"/>
        </w:rPr>
      </w:pPr>
    </w:p>
    <w:p w14:paraId="401F5C13" w14:textId="77777777" w:rsidR="00760828" w:rsidRDefault="00760828" w:rsidP="007A0D4C">
      <w:pPr>
        <w:jc w:val="both"/>
        <w:rPr>
          <w:rFonts w:ascii="Cambria" w:hAnsi="Cambria"/>
          <w:b/>
          <w:bCs/>
          <w:sz w:val="20"/>
          <w:szCs w:val="20"/>
          <w:lang w:val="es-CL"/>
        </w:rPr>
      </w:pPr>
    </w:p>
    <w:p w14:paraId="683BAC0A" w14:textId="77777777" w:rsidR="00760828" w:rsidRDefault="00760828" w:rsidP="007A0D4C">
      <w:pPr>
        <w:jc w:val="both"/>
        <w:rPr>
          <w:rFonts w:ascii="Cambria" w:hAnsi="Cambria"/>
          <w:b/>
          <w:bCs/>
          <w:sz w:val="20"/>
          <w:szCs w:val="20"/>
          <w:lang w:val="es-CL"/>
        </w:rPr>
      </w:pPr>
    </w:p>
    <w:p w14:paraId="4A138C9C" w14:textId="77777777" w:rsidR="00760828" w:rsidRDefault="00760828" w:rsidP="007A0D4C">
      <w:pPr>
        <w:jc w:val="both"/>
        <w:rPr>
          <w:rFonts w:ascii="Cambria" w:hAnsi="Cambria"/>
          <w:b/>
          <w:bCs/>
          <w:sz w:val="20"/>
          <w:szCs w:val="20"/>
          <w:lang w:val="es-CL"/>
        </w:rPr>
      </w:pPr>
    </w:p>
    <w:p w14:paraId="657D5B88" w14:textId="77777777" w:rsidR="00760828" w:rsidRDefault="00760828" w:rsidP="007A0D4C">
      <w:pPr>
        <w:jc w:val="both"/>
        <w:rPr>
          <w:rFonts w:ascii="Cambria" w:hAnsi="Cambria"/>
          <w:b/>
          <w:bCs/>
          <w:sz w:val="20"/>
          <w:szCs w:val="20"/>
          <w:lang w:val="es-CL"/>
        </w:rPr>
      </w:pPr>
    </w:p>
    <w:p w14:paraId="7C36A9AA" w14:textId="6B062319" w:rsidR="00337F80" w:rsidRPr="007A0D4C" w:rsidRDefault="00337F80" w:rsidP="007A0D4C">
      <w:pPr>
        <w:jc w:val="both"/>
        <w:rPr>
          <w:rFonts w:ascii="Cambria" w:hAnsi="Cambria"/>
          <w:b/>
          <w:bCs/>
          <w:sz w:val="20"/>
          <w:szCs w:val="20"/>
          <w:lang w:val="es-CL"/>
        </w:rPr>
      </w:pPr>
      <w:r w:rsidRPr="007A0D4C">
        <w:rPr>
          <w:rFonts w:ascii="Cambria" w:hAnsi="Cambria"/>
          <w:b/>
          <w:bCs/>
          <w:sz w:val="20"/>
          <w:szCs w:val="20"/>
          <w:lang w:val="es-CL"/>
        </w:rPr>
        <w:lastRenderedPageBreak/>
        <w:t>LA COMISIÓN INTERAMERICANA DE DERECHOS HUMANOS RECOMIENDA AL ESTADO DE</w:t>
      </w:r>
      <w:r w:rsidR="00506613" w:rsidRPr="007A0D4C">
        <w:rPr>
          <w:rFonts w:ascii="Cambria" w:hAnsi="Cambria"/>
          <w:b/>
          <w:bCs/>
          <w:sz w:val="20"/>
          <w:szCs w:val="20"/>
          <w:lang w:val="es-CL"/>
        </w:rPr>
        <w:t xml:space="preserve"> PARAGUAY</w:t>
      </w:r>
      <w:r w:rsidRPr="007A0D4C">
        <w:rPr>
          <w:rFonts w:ascii="Cambria" w:hAnsi="Cambria"/>
          <w:b/>
          <w:bCs/>
          <w:sz w:val="20"/>
          <w:szCs w:val="20"/>
          <w:lang w:val="es-CL"/>
        </w:rPr>
        <w:t>:</w:t>
      </w:r>
    </w:p>
    <w:p w14:paraId="5817DAFD" w14:textId="77777777" w:rsidR="00337F80" w:rsidRPr="007A0D4C" w:rsidRDefault="00337F80" w:rsidP="007A0D4C">
      <w:pPr>
        <w:jc w:val="both"/>
        <w:rPr>
          <w:rFonts w:ascii="Cambria" w:hAnsi="Cambria"/>
          <w:sz w:val="20"/>
          <w:szCs w:val="20"/>
          <w:lang w:val="es-ES"/>
        </w:rPr>
      </w:pPr>
    </w:p>
    <w:p w14:paraId="310E788D" w14:textId="7801E037" w:rsidR="00236DFA" w:rsidRPr="005F334D" w:rsidRDefault="00236DFA" w:rsidP="00C870C0">
      <w:pPr>
        <w:pStyle w:val="ListParagraph"/>
        <w:numPr>
          <w:ilvl w:val="0"/>
          <w:numId w:val="58"/>
        </w:numPr>
        <w:spacing w:before="0" w:after="0"/>
        <w:ind w:left="0" w:firstLine="0"/>
        <w:rPr>
          <w:sz w:val="20"/>
          <w:szCs w:val="20"/>
          <w:lang w:val="es-ES"/>
        </w:rPr>
      </w:pPr>
      <w:r w:rsidRPr="007A0D4C">
        <w:rPr>
          <w:sz w:val="20"/>
          <w:szCs w:val="20"/>
          <w:lang w:val="es-AR"/>
        </w:rPr>
        <w:t>Realizar una investigación completa, imparcial, efectiva</w:t>
      </w:r>
      <w:r w:rsidR="00DF263D">
        <w:rPr>
          <w:sz w:val="20"/>
          <w:szCs w:val="20"/>
          <w:lang w:val="es-AR"/>
        </w:rPr>
        <w:t xml:space="preserve">, de manera expedita, </w:t>
      </w:r>
      <w:r w:rsidRPr="007A0D4C">
        <w:rPr>
          <w:sz w:val="20"/>
          <w:szCs w:val="20"/>
          <w:lang w:val="es-AR"/>
        </w:rPr>
        <w:t>que permita esclarecer las circunstancias del asesinato del periodista Santiago Leguizamón Za</w:t>
      </w:r>
      <w:r w:rsidR="00D002C8">
        <w:rPr>
          <w:sz w:val="20"/>
          <w:szCs w:val="20"/>
          <w:lang w:val="es-AR"/>
        </w:rPr>
        <w:t>v</w:t>
      </w:r>
      <w:r w:rsidRPr="007A0D4C">
        <w:rPr>
          <w:sz w:val="20"/>
          <w:szCs w:val="20"/>
          <w:lang w:val="es-AR"/>
        </w:rPr>
        <w:t>án y determinar las responsabilidades correspondientes, tanto en cuanto a su autoría material como intelectual.</w:t>
      </w:r>
    </w:p>
    <w:p w14:paraId="4C7FC027" w14:textId="77777777" w:rsidR="00D002C8" w:rsidRPr="00D4401F" w:rsidRDefault="00D002C8" w:rsidP="000D7953">
      <w:pPr>
        <w:pStyle w:val="ListParagraph"/>
        <w:spacing w:before="0" w:after="0"/>
        <w:rPr>
          <w:sz w:val="20"/>
          <w:szCs w:val="20"/>
          <w:lang w:val="es-ES"/>
        </w:rPr>
      </w:pPr>
    </w:p>
    <w:p w14:paraId="68C14AE7" w14:textId="43C5127B" w:rsidR="00D002C8" w:rsidRPr="000D7953" w:rsidRDefault="00D002C8" w:rsidP="00D002C8">
      <w:pPr>
        <w:pStyle w:val="ListParagraph"/>
        <w:numPr>
          <w:ilvl w:val="0"/>
          <w:numId w:val="58"/>
        </w:numPr>
        <w:spacing w:before="0" w:after="0"/>
        <w:ind w:left="0" w:firstLine="0"/>
        <w:rPr>
          <w:sz w:val="20"/>
          <w:szCs w:val="20"/>
          <w:lang w:val="es-PE"/>
        </w:rPr>
      </w:pPr>
      <w:r w:rsidRPr="000D7953">
        <w:rPr>
          <w:sz w:val="20"/>
          <w:szCs w:val="20"/>
          <w:lang w:val="es-AR"/>
        </w:rPr>
        <w:t>Solicitar la cooperación del Estado de Brasil para que ejerza su jurisdicción respecto de los presuntos autores de ciudadanía brasileña del asesinato del periodista Santiago Leguizamón Za</w:t>
      </w:r>
      <w:r>
        <w:rPr>
          <w:sz w:val="20"/>
          <w:szCs w:val="20"/>
          <w:lang w:val="es-AR"/>
        </w:rPr>
        <w:t>v</w:t>
      </w:r>
      <w:r w:rsidRPr="000D7953">
        <w:rPr>
          <w:sz w:val="20"/>
          <w:szCs w:val="20"/>
          <w:lang w:val="es-AR"/>
        </w:rPr>
        <w:t xml:space="preserve">án que no puedan ser extraditados al Paraguay, cumpliendo los requisitos formales que pudiera solicitar el Estado de Brasil </w:t>
      </w:r>
      <w:r>
        <w:rPr>
          <w:sz w:val="20"/>
          <w:szCs w:val="20"/>
          <w:lang w:val="es-AR"/>
        </w:rPr>
        <w:t xml:space="preserve">y </w:t>
      </w:r>
      <w:r w:rsidRPr="000D7953">
        <w:rPr>
          <w:sz w:val="20"/>
          <w:szCs w:val="20"/>
          <w:lang w:val="es-AR"/>
        </w:rPr>
        <w:t>de conformidad con los acuerdos en vigor entre ambos países. </w:t>
      </w:r>
    </w:p>
    <w:p w14:paraId="7A62D7B0" w14:textId="77777777" w:rsidR="003903D5" w:rsidRPr="000D7953" w:rsidRDefault="003903D5" w:rsidP="000D7953">
      <w:pPr>
        <w:pStyle w:val="ListParagraph"/>
        <w:spacing w:before="0" w:after="0"/>
        <w:rPr>
          <w:sz w:val="20"/>
          <w:szCs w:val="20"/>
          <w:lang w:val="es-PE"/>
        </w:rPr>
      </w:pPr>
    </w:p>
    <w:p w14:paraId="34F5056B" w14:textId="68814F1E" w:rsidR="00D002C8" w:rsidRPr="000D7953" w:rsidRDefault="00D002C8" w:rsidP="000D7953">
      <w:pPr>
        <w:pStyle w:val="ListParagraph"/>
        <w:numPr>
          <w:ilvl w:val="0"/>
          <w:numId w:val="58"/>
        </w:numPr>
        <w:spacing w:before="0" w:after="0"/>
        <w:ind w:left="0" w:firstLine="0"/>
        <w:rPr>
          <w:sz w:val="20"/>
          <w:szCs w:val="20"/>
          <w:lang w:val="es-PE"/>
        </w:rPr>
      </w:pPr>
      <w:r w:rsidRPr="000D7953">
        <w:rPr>
          <w:sz w:val="20"/>
          <w:szCs w:val="20"/>
          <w:lang w:val="es-AR"/>
        </w:rPr>
        <w:t>En su caso, colaborar con el Estado de Brasil para que se realice una </w:t>
      </w:r>
      <w:r w:rsidRPr="000D7953">
        <w:rPr>
          <w:sz w:val="20"/>
          <w:szCs w:val="20"/>
          <w:lang w:val="es-PE"/>
        </w:rPr>
        <w:t>investigación completa, imparcial, efectiva y dentro de un plazo razonable que permita esclarecer las circunstancias del asesinato del periodista Santiago Leguizamón Zaván.</w:t>
      </w:r>
    </w:p>
    <w:p w14:paraId="6FE6854F" w14:textId="77777777" w:rsidR="00D002C8" w:rsidRPr="000D7953" w:rsidRDefault="00D002C8" w:rsidP="00870AB3">
      <w:pPr>
        <w:pStyle w:val="ListParagraph"/>
        <w:spacing w:before="0" w:after="0"/>
        <w:rPr>
          <w:sz w:val="20"/>
          <w:szCs w:val="20"/>
          <w:lang w:val="es-PE"/>
        </w:rPr>
      </w:pPr>
    </w:p>
    <w:p w14:paraId="58F23457" w14:textId="3FA0340F" w:rsidR="00073B60" w:rsidRPr="009313AF" w:rsidRDefault="003E0785" w:rsidP="009313AF">
      <w:pPr>
        <w:pStyle w:val="ListParagraph"/>
        <w:numPr>
          <w:ilvl w:val="0"/>
          <w:numId w:val="58"/>
        </w:numPr>
        <w:spacing w:before="0" w:after="0"/>
        <w:ind w:left="0" w:firstLine="0"/>
        <w:rPr>
          <w:sz w:val="20"/>
          <w:szCs w:val="20"/>
          <w:lang w:val="es-ES"/>
        </w:rPr>
      </w:pPr>
      <w:r w:rsidRPr="009313AF">
        <w:rPr>
          <w:sz w:val="20"/>
          <w:szCs w:val="20"/>
          <w:lang w:val="es-PE"/>
        </w:rPr>
        <w:t>Ad</w:t>
      </w:r>
      <w:r w:rsidR="00E30CE4" w:rsidRPr="009313AF">
        <w:rPr>
          <w:sz w:val="20"/>
          <w:szCs w:val="20"/>
          <w:lang w:val="es-PE"/>
        </w:rPr>
        <w:t xml:space="preserve">optar medidas de carácter legislativo, institucional y judicial orientadas a reducir la exposición al riesgo de </w:t>
      </w:r>
      <w:r w:rsidR="00870AB3" w:rsidRPr="009313AF">
        <w:rPr>
          <w:sz w:val="20"/>
          <w:szCs w:val="20"/>
          <w:lang w:val="es-PE"/>
        </w:rPr>
        <w:t xml:space="preserve">periodistas </w:t>
      </w:r>
      <w:r w:rsidR="00BB3DD9" w:rsidRPr="009313AF">
        <w:rPr>
          <w:sz w:val="20"/>
          <w:szCs w:val="20"/>
          <w:lang w:val="es-PE"/>
        </w:rPr>
        <w:t xml:space="preserve">y trabajadores de medios de comunicación </w:t>
      </w:r>
      <w:r w:rsidR="00E30CE4" w:rsidRPr="009313AF">
        <w:rPr>
          <w:sz w:val="20"/>
          <w:szCs w:val="20"/>
          <w:lang w:val="es-PE"/>
        </w:rPr>
        <w:t xml:space="preserve">que se encuentran en situación de </w:t>
      </w:r>
      <w:r w:rsidR="00B62A33" w:rsidRPr="009313AF">
        <w:rPr>
          <w:sz w:val="20"/>
          <w:szCs w:val="20"/>
          <w:lang w:val="es-PE"/>
        </w:rPr>
        <w:t>riesgo</w:t>
      </w:r>
      <w:r w:rsidR="00EA7F55" w:rsidRPr="009313AF">
        <w:rPr>
          <w:sz w:val="20"/>
          <w:szCs w:val="20"/>
          <w:lang w:val="es-PE"/>
        </w:rPr>
        <w:t xml:space="preserve"> especial</w:t>
      </w:r>
      <w:r w:rsidR="00B62A33" w:rsidRPr="009313AF">
        <w:rPr>
          <w:sz w:val="20"/>
          <w:szCs w:val="20"/>
          <w:lang w:val="es-PE"/>
        </w:rPr>
        <w:t xml:space="preserve"> por el ejercicio de su labor periodística</w:t>
      </w:r>
      <w:r w:rsidR="00E30CE4" w:rsidRPr="009313AF">
        <w:rPr>
          <w:sz w:val="20"/>
          <w:szCs w:val="20"/>
          <w:lang w:val="es-PE"/>
        </w:rPr>
        <w:t>. En ese sentido, el Estado debe</w:t>
      </w:r>
      <w:r w:rsidR="00073B60" w:rsidRPr="009313AF">
        <w:rPr>
          <w:sz w:val="20"/>
          <w:szCs w:val="20"/>
          <w:lang w:val="es-PE"/>
        </w:rPr>
        <w:t xml:space="preserve"> desarrollar </w:t>
      </w:r>
      <w:r w:rsidR="00FF230A">
        <w:rPr>
          <w:sz w:val="20"/>
          <w:szCs w:val="20"/>
          <w:lang w:val="es-PE"/>
        </w:rPr>
        <w:t>programas y</w:t>
      </w:r>
      <w:r w:rsidR="00FF230A" w:rsidRPr="009313AF">
        <w:rPr>
          <w:sz w:val="20"/>
          <w:szCs w:val="20"/>
          <w:lang w:val="es-PE"/>
        </w:rPr>
        <w:t xml:space="preserve"> </w:t>
      </w:r>
      <w:r w:rsidR="00073B60" w:rsidRPr="009313AF">
        <w:rPr>
          <w:sz w:val="20"/>
          <w:szCs w:val="20"/>
          <w:lang w:val="es-PE"/>
        </w:rPr>
        <w:t>medidas</w:t>
      </w:r>
      <w:r w:rsidR="00FF230A">
        <w:rPr>
          <w:sz w:val="20"/>
          <w:szCs w:val="20"/>
          <w:lang w:val="es-PE"/>
        </w:rPr>
        <w:t xml:space="preserve"> </w:t>
      </w:r>
      <w:r w:rsidR="00073B60" w:rsidRPr="009313AF">
        <w:rPr>
          <w:sz w:val="20"/>
          <w:szCs w:val="20"/>
          <w:lang w:val="es-PE"/>
        </w:rPr>
        <w:t>adecuadas y expeditas de respuesta institucional que permitan proteger eficazmente a periodistas y trabajadores de medios de comunicación en situaciones de riesgo</w:t>
      </w:r>
      <w:r w:rsidR="00B6405F">
        <w:rPr>
          <w:sz w:val="20"/>
          <w:szCs w:val="20"/>
          <w:lang w:val="es-PE"/>
        </w:rPr>
        <w:t xml:space="preserve"> especial por el ejercicio de su oficio</w:t>
      </w:r>
      <w:r w:rsidR="00142803" w:rsidRPr="009313AF">
        <w:rPr>
          <w:sz w:val="20"/>
          <w:szCs w:val="20"/>
          <w:lang w:val="es-PE"/>
        </w:rPr>
        <w:t xml:space="preserve">, </w:t>
      </w:r>
      <w:r w:rsidR="00073B60" w:rsidRPr="009313AF">
        <w:rPr>
          <w:sz w:val="20"/>
          <w:szCs w:val="20"/>
          <w:lang w:val="es-PE"/>
        </w:rPr>
        <w:t>y de ser el caso</w:t>
      </w:r>
      <w:r w:rsidR="005F143F">
        <w:rPr>
          <w:sz w:val="20"/>
          <w:szCs w:val="20"/>
          <w:lang w:val="es-PE"/>
        </w:rPr>
        <w:t xml:space="preserve"> a</w:t>
      </w:r>
      <w:r w:rsidR="00073B60" w:rsidRPr="009313AF">
        <w:rPr>
          <w:sz w:val="20"/>
          <w:szCs w:val="20"/>
          <w:lang w:val="es-PE"/>
        </w:rPr>
        <w:t xml:space="preserve"> sus familiares, </w:t>
      </w:r>
      <w:r w:rsidR="00142803" w:rsidRPr="00967279">
        <w:rPr>
          <w:rFonts w:cs="Calibri"/>
          <w:sz w:val="20"/>
          <w:szCs w:val="20"/>
          <w:lang w:val="es-AR"/>
        </w:rPr>
        <w:t>ya sea que las amenazas provengan de agentes del Estado o que sean originadas en particular</w:t>
      </w:r>
      <w:r w:rsidR="00142803" w:rsidRPr="00B6405F">
        <w:rPr>
          <w:rFonts w:cs="Calibri"/>
          <w:sz w:val="20"/>
          <w:szCs w:val="20"/>
          <w:lang w:val="es-AR"/>
        </w:rPr>
        <w:t xml:space="preserve">es. </w:t>
      </w:r>
      <w:r w:rsidR="003903D5">
        <w:rPr>
          <w:rFonts w:cs="Calibri"/>
          <w:sz w:val="20"/>
          <w:szCs w:val="20"/>
          <w:lang w:val="es-AR"/>
        </w:rPr>
        <w:t xml:space="preserve">En particular, </w:t>
      </w:r>
      <w:r w:rsidR="00552B03">
        <w:rPr>
          <w:rFonts w:cs="Calibri"/>
          <w:sz w:val="20"/>
          <w:szCs w:val="20"/>
          <w:lang w:val="es-AR"/>
        </w:rPr>
        <w:t xml:space="preserve">diseñar e implementar </w:t>
      </w:r>
      <w:r w:rsidR="003903D5">
        <w:rPr>
          <w:rFonts w:cs="Calibri"/>
          <w:sz w:val="20"/>
          <w:szCs w:val="20"/>
          <w:lang w:val="es-AR"/>
        </w:rPr>
        <w:t xml:space="preserve">protocolos de evaluación de riesgo adecuados y programas de protección para los periodistas y sus familiares. </w:t>
      </w:r>
    </w:p>
    <w:p w14:paraId="21D68C53" w14:textId="5ECED5D4" w:rsidR="00B76801" w:rsidRPr="009313AF" w:rsidRDefault="00B76801" w:rsidP="009313AF">
      <w:pPr>
        <w:pStyle w:val="ListParagraph"/>
        <w:spacing w:before="0" w:after="0"/>
        <w:rPr>
          <w:sz w:val="20"/>
          <w:szCs w:val="20"/>
          <w:lang w:val="es-ES"/>
        </w:rPr>
      </w:pPr>
    </w:p>
    <w:p w14:paraId="008D2AA8" w14:textId="5C2FA055" w:rsidR="0097536A" w:rsidRPr="009313AF" w:rsidRDefault="00E30CE4" w:rsidP="003E0785">
      <w:pPr>
        <w:pStyle w:val="ListParagraph"/>
        <w:numPr>
          <w:ilvl w:val="0"/>
          <w:numId w:val="58"/>
        </w:numPr>
        <w:spacing w:before="0" w:after="0"/>
        <w:ind w:left="0" w:firstLine="0"/>
        <w:rPr>
          <w:sz w:val="20"/>
          <w:szCs w:val="20"/>
          <w:lang w:val="es-ES"/>
        </w:rPr>
      </w:pPr>
      <w:r w:rsidRPr="009313AF">
        <w:rPr>
          <w:sz w:val="20"/>
          <w:szCs w:val="20"/>
          <w:lang w:val="es-PE"/>
        </w:rPr>
        <w:t xml:space="preserve"> </w:t>
      </w:r>
      <w:r w:rsidR="00F36579" w:rsidRPr="009313AF">
        <w:rPr>
          <w:sz w:val="20"/>
          <w:szCs w:val="20"/>
          <w:lang w:val="es-PE"/>
        </w:rPr>
        <w:t>F</w:t>
      </w:r>
      <w:r w:rsidRPr="009313AF">
        <w:rPr>
          <w:sz w:val="20"/>
          <w:szCs w:val="20"/>
          <w:lang w:val="es-PE"/>
        </w:rPr>
        <w:t xml:space="preserve">ortalecer la capacidad institucional para combatir el patrón de impunidad frente a casos de amenazas y muertes de </w:t>
      </w:r>
      <w:r w:rsidR="00EA7F55" w:rsidRPr="009313AF">
        <w:rPr>
          <w:sz w:val="20"/>
          <w:szCs w:val="20"/>
          <w:lang w:val="es-PE"/>
        </w:rPr>
        <w:t>periodistas y trabajadores de medios de comunicación</w:t>
      </w:r>
      <w:r w:rsidRPr="009313AF">
        <w:rPr>
          <w:sz w:val="20"/>
          <w:szCs w:val="20"/>
          <w:lang w:val="es-PE"/>
        </w:rPr>
        <w:t xml:space="preserve">, mediante la elaboración de protocolos de investigación que tengan en cuenta los riesgos inherentes a la labor </w:t>
      </w:r>
      <w:r w:rsidR="001E4E5B" w:rsidRPr="009313AF">
        <w:rPr>
          <w:sz w:val="20"/>
          <w:szCs w:val="20"/>
          <w:lang w:val="es-PE"/>
        </w:rPr>
        <w:t>que realizan</w:t>
      </w:r>
      <w:r w:rsidR="009C4D68">
        <w:rPr>
          <w:sz w:val="20"/>
          <w:szCs w:val="20"/>
          <w:lang w:val="es-PE"/>
        </w:rPr>
        <w:t xml:space="preserve"> los periodistas</w:t>
      </w:r>
      <w:r w:rsidRPr="009313AF">
        <w:rPr>
          <w:sz w:val="20"/>
          <w:szCs w:val="20"/>
          <w:lang w:val="es-PE"/>
        </w:rPr>
        <w:t>, y en particular que conduzcan a la sanción de los responsables y a una reparación adecuada a las víctimas</w:t>
      </w:r>
      <w:r w:rsidR="00F1334F" w:rsidRPr="009313AF">
        <w:rPr>
          <w:sz w:val="20"/>
          <w:szCs w:val="20"/>
          <w:lang w:val="es-PE"/>
        </w:rPr>
        <w:t xml:space="preserve">, </w:t>
      </w:r>
      <w:r w:rsidR="00967279" w:rsidRPr="009313AF">
        <w:rPr>
          <w:sz w:val="20"/>
          <w:szCs w:val="20"/>
          <w:lang w:val="es-PE"/>
        </w:rPr>
        <w:t xml:space="preserve">de conformidad con los </w:t>
      </w:r>
      <w:r w:rsidR="009C4D68">
        <w:rPr>
          <w:sz w:val="20"/>
          <w:szCs w:val="20"/>
          <w:lang w:val="es-PE"/>
        </w:rPr>
        <w:t xml:space="preserve">estándares y </w:t>
      </w:r>
      <w:r w:rsidR="00967279" w:rsidRPr="009313AF">
        <w:rPr>
          <w:sz w:val="20"/>
          <w:szCs w:val="20"/>
          <w:lang w:val="es-PE"/>
        </w:rPr>
        <w:t>criterios establecidos en el presente informe de fondo.</w:t>
      </w:r>
    </w:p>
    <w:p w14:paraId="0D36C419" w14:textId="0E160134" w:rsidR="00303886" w:rsidRPr="00967279" w:rsidRDefault="00F1334F" w:rsidP="00967279">
      <w:pPr>
        <w:pStyle w:val="ListParagraph"/>
        <w:spacing w:before="0" w:after="0"/>
        <w:rPr>
          <w:sz w:val="20"/>
          <w:szCs w:val="20"/>
          <w:lang w:val="es-ES"/>
        </w:rPr>
      </w:pPr>
      <w:r w:rsidRPr="009313AF">
        <w:rPr>
          <w:sz w:val="20"/>
          <w:szCs w:val="20"/>
          <w:lang w:val="es-PE"/>
        </w:rPr>
        <w:t xml:space="preserve"> </w:t>
      </w:r>
    </w:p>
    <w:p w14:paraId="7417BECF" w14:textId="77777777" w:rsidR="00E14500" w:rsidRPr="007A0D4C" w:rsidRDefault="00E14500" w:rsidP="00C870C0">
      <w:pPr>
        <w:pStyle w:val="ListParagraph"/>
        <w:numPr>
          <w:ilvl w:val="0"/>
          <w:numId w:val="58"/>
        </w:numPr>
        <w:spacing w:before="0" w:after="0"/>
        <w:ind w:left="0" w:firstLine="0"/>
        <w:rPr>
          <w:sz w:val="20"/>
          <w:szCs w:val="20"/>
          <w:lang w:val="es-ES"/>
        </w:rPr>
      </w:pPr>
      <w:r w:rsidRPr="007A0D4C">
        <w:rPr>
          <w:rFonts w:eastAsia="Times New Roman" w:cs="Tahoma"/>
          <w:sz w:val="20"/>
          <w:szCs w:val="20"/>
          <w:bdr w:val="none" w:sz="0" w:space="0" w:color="auto"/>
          <w:lang w:val="es-ES"/>
        </w:rPr>
        <w:t>Reparar integralmente las violaciones de derechos humanos declaradas en el presente informe tanto en el aspecto material como inmaterial. El Estado deberá adoptar las medidas de compensación económica y satisfacción.</w:t>
      </w:r>
    </w:p>
    <w:p w14:paraId="254CAB32" w14:textId="77777777" w:rsidR="00E14500" w:rsidRPr="007A0D4C" w:rsidRDefault="00E14500" w:rsidP="007A0D4C">
      <w:pPr>
        <w:pStyle w:val="ListParagraph"/>
        <w:spacing w:before="0" w:after="0"/>
        <w:rPr>
          <w:color w:val="auto"/>
          <w:sz w:val="20"/>
          <w:szCs w:val="20"/>
          <w:lang w:val="es-ES"/>
        </w:rPr>
      </w:pPr>
    </w:p>
    <w:p w14:paraId="095063AD" w14:textId="2CF0E5BC" w:rsidR="00E14500" w:rsidRPr="00552B03" w:rsidRDefault="00E14500" w:rsidP="00C870C0">
      <w:pPr>
        <w:pStyle w:val="ListParagraph"/>
        <w:numPr>
          <w:ilvl w:val="0"/>
          <w:numId w:val="58"/>
        </w:numPr>
        <w:spacing w:before="0" w:after="0"/>
        <w:ind w:left="0" w:firstLine="0"/>
        <w:rPr>
          <w:sz w:val="20"/>
          <w:szCs w:val="20"/>
          <w:lang w:val="es-PE"/>
        </w:rPr>
      </w:pPr>
      <w:bookmarkStart w:id="49" w:name="_Hlk19538831"/>
      <w:r w:rsidRPr="00552B03">
        <w:rPr>
          <w:sz w:val="20"/>
          <w:szCs w:val="20"/>
          <w:lang w:val="es-ES"/>
        </w:rPr>
        <w:t>D</w:t>
      </w:r>
      <w:r w:rsidR="00552B03" w:rsidRPr="00552B03">
        <w:rPr>
          <w:sz w:val="20"/>
          <w:szCs w:val="20"/>
          <w:lang w:val="es-ES"/>
        </w:rPr>
        <w:t xml:space="preserve">iseñar programas de formación </w:t>
      </w:r>
      <w:r w:rsidR="00552B03" w:rsidRPr="000E3A40">
        <w:rPr>
          <w:sz w:val="20"/>
          <w:szCs w:val="20"/>
          <w:lang w:val="es-ES"/>
        </w:rPr>
        <w:t xml:space="preserve">y capacitación </w:t>
      </w:r>
      <w:r w:rsidR="00552B03">
        <w:rPr>
          <w:sz w:val="20"/>
          <w:szCs w:val="20"/>
          <w:lang w:val="es-ES"/>
        </w:rPr>
        <w:t xml:space="preserve">que incluyan </w:t>
      </w:r>
      <w:r w:rsidR="00552B03" w:rsidRPr="0086366D">
        <w:rPr>
          <w:sz w:val="20"/>
          <w:szCs w:val="20"/>
          <w:lang w:val="es-ES"/>
        </w:rPr>
        <w:t>los estándares y criterios establecidos en el presente informe de fondo</w:t>
      </w:r>
      <w:r w:rsidR="00FF230A">
        <w:rPr>
          <w:sz w:val="20"/>
          <w:szCs w:val="20"/>
          <w:lang w:val="es-ES"/>
        </w:rPr>
        <w:t>, en particular</w:t>
      </w:r>
      <w:r w:rsidR="005776D7">
        <w:rPr>
          <w:sz w:val="20"/>
          <w:szCs w:val="20"/>
          <w:lang w:val="es-ES"/>
        </w:rPr>
        <w:t>,</w:t>
      </w:r>
      <w:r w:rsidR="00FF230A">
        <w:rPr>
          <w:sz w:val="20"/>
          <w:szCs w:val="20"/>
          <w:lang w:val="es-ES"/>
        </w:rPr>
        <w:t xml:space="preserve"> los referidos a la investigación de </w:t>
      </w:r>
      <w:r w:rsidR="005776D7">
        <w:rPr>
          <w:sz w:val="20"/>
          <w:szCs w:val="20"/>
          <w:lang w:val="es-ES"/>
        </w:rPr>
        <w:t>crímenes</w:t>
      </w:r>
      <w:r w:rsidR="00FF230A">
        <w:rPr>
          <w:sz w:val="20"/>
          <w:szCs w:val="20"/>
          <w:lang w:val="es-ES"/>
        </w:rPr>
        <w:t xml:space="preserve"> contra periodistas,</w:t>
      </w:r>
      <w:r w:rsidR="00552B03" w:rsidRPr="00552B03">
        <w:rPr>
          <w:sz w:val="20"/>
          <w:szCs w:val="20"/>
          <w:lang w:val="es-PE"/>
        </w:rPr>
        <w:t xml:space="preserve"> </w:t>
      </w:r>
      <w:r w:rsidR="00552B03" w:rsidRPr="000D7953">
        <w:rPr>
          <w:sz w:val="20"/>
          <w:szCs w:val="20"/>
          <w:lang w:val="es-PE"/>
        </w:rPr>
        <w:t>par</w:t>
      </w:r>
      <w:r w:rsidR="00BA65B9">
        <w:rPr>
          <w:sz w:val="20"/>
          <w:szCs w:val="20"/>
          <w:lang w:val="es-PE"/>
        </w:rPr>
        <w:t>a</w:t>
      </w:r>
      <w:r w:rsidR="00552B03" w:rsidRPr="000D7953">
        <w:rPr>
          <w:sz w:val="20"/>
          <w:szCs w:val="20"/>
          <w:lang w:val="es-PE"/>
        </w:rPr>
        <w:t xml:space="preserve"> los operadores jurídicos</w:t>
      </w:r>
      <w:r w:rsidR="005776D7">
        <w:rPr>
          <w:sz w:val="20"/>
          <w:szCs w:val="20"/>
          <w:lang w:val="es-PE"/>
        </w:rPr>
        <w:t xml:space="preserve"> d</w:t>
      </w:r>
      <w:r w:rsidR="00552B03">
        <w:rPr>
          <w:sz w:val="20"/>
          <w:szCs w:val="20"/>
          <w:lang w:val="es-PE"/>
        </w:rPr>
        <w:t xml:space="preserve">el Poder Judicial, Ministerio Público y Policía </w:t>
      </w:r>
      <w:r w:rsidR="005776D7">
        <w:rPr>
          <w:sz w:val="20"/>
          <w:szCs w:val="20"/>
          <w:lang w:val="es-PE"/>
        </w:rPr>
        <w:t>de investigación,</w:t>
      </w:r>
      <w:r w:rsidR="005776D7" w:rsidRPr="00E61650">
        <w:rPr>
          <w:sz w:val="20"/>
          <w:szCs w:val="20"/>
          <w:lang w:val="es-PE"/>
        </w:rPr>
        <w:t xml:space="preserve"> a cargo de investigar </w:t>
      </w:r>
      <w:r w:rsidR="005776D7">
        <w:rPr>
          <w:sz w:val="20"/>
          <w:szCs w:val="20"/>
          <w:lang w:val="es-PE"/>
        </w:rPr>
        <w:t>casos de violencia</w:t>
      </w:r>
      <w:r w:rsidR="005776D7" w:rsidRPr="00552B03">
        <w:rPr>
          <w:sz w:val="20"/>
          <w:szCs w:val="20"/>
          <w:lang w:val="es-PE"/>
        </w:rPr>
        <w:t xml:space="preserve"> contra periodistas</w:t>
      </w:r>
      <w:r w:rsidR="005776D7">
        <w:rPr>
          <w:sz w:val="20"/>
          <w:szCs w:val="20"/>
          <w:lang w:val="es-ES"/>
        </w:rPr>
        <w:t>.</w:t>
      </w:r>
    </w:p>
    <w:bookmarkEnd w:id="49"/>
    <w:p w14:paraId="29A12400" w14:textId="77777777" w:rsidR="00D002C8" w:rsidRPr="000D7953" w:rsidRDefault="00D002C8" w:rsidP="00D002C8">
      <w:pPr>
        <w:keepNext/>
        <w:jc w:val="both"/>
        <w:rPr>
          <w:rFonts w:ascii="Cambria" w:hAnsi="Cambria"/>
          <w:sz w:val="20"/>
          <w:szCs w:val="20"/>
          <w:lang w:val="es-PE"/>
        </w:rPr>
      </w:pPr>
    </w:p>
    <w:p w14:paraId="113BD332" w14:textId="164DDD30" w:rsidR="00AF0D46" w:rsidRDefault="00AF0D46" w:rsidP="00AF0D46">
      <w:pPr>
        <w:ind w:firstLine="360"/>
        <w:jc w:val="both"/>
        <w:rPr>
          <w:rFonts w:ascii="Cambria" w:hAnsi="Cambria"/>
          <w:spacing w:val="-2"/>
          <w:sz w:val="20"/>
          <w:szCs w:val="20"/>
          <w:lang w:val="es-CL"/>
        </w:rPr>
      </w:pPr>
      <w:r>
        <w:rPr>
          <w:rFonts w:ascii="Cambria" w:hAnsi="Cambria"/>
          <w:spacing w:val="-2"/>
          <w:sz w:val="20"/>
          <w:szCs w:val="20"/>
          <w:lang w:val="es-CL"/>
        </w:rPr>
        <w:t>Aprobado por la Comisión Interamericana de Derechos Humanos a los 10 días del mes de julio de 2020.  (Firmado):</w:t>
      </w:r>
      <w:r w:rsidRPr="00E02D8D">
        <w:rPr>
          <w:rFonts w:ascii="Cambria" w:hAnsi="Cambria"/>
          <w:spacing w:val="-2"/>
          <w:sz w:val="20"/>
          <w:szCs w:val="20"/>
          <w:lang w:val="es-CL"/>
        </w:rPr>
        <w:t xml:space="preserve"> </w:t>
      </w:r>
      <w:r>
        <w:rPr>
          <w:rFonts w:ascii="Cambria" w:hAnsi="Cambria"/>
          <w:spacing w:val="-2"/>
          <w:sz w:val="20"/>
          <w:szCs w:val="20"/>
          <w:lang w:val="es-CL"/>
        </w:rPr>
        <w:t xml:space="preserve">Joel Hernández García, Presidente; Antonia Urrejola Noguera, Primera Vicepresidenta; </w:t>
      </w:r>
      <w:r w:rsidRPr="00E02D8D">
        <w:rPr>
          <w:rFonts w:ascii="Cambria" w:hAnsi="Cambria"/>
          <w:spacing w:val="-2"/>
          <w:sz w:val="20"/>
          <w:lang w:val="es-US"/>
        </w:rPr>
        <w:t>Flávia Piovesan</w:t>
      </w:r>
      <w:r>
        <w:rPr>
          <w:rFonts w:ascii="Cambria" w:hAnsi="Cambria"/>
          <w:spacing w:val="-2"/>
          <w:sz w:val="20"/>
          <w:lang w:val="es-US"/>
        </w:rPr>
        <w:t>,</w:t>
      </w:r>
      <w:r>
        <w:rPr>
          <w:rFonts w:ascii="Cambria" w:hAnsi="Cambria"/>
          <w:spacing w:val="-2"/>
          <w:sz w:val="20"/>
          <w:szCs w:val="20"/>
          <w:lang w:val="es-CL"/>
        </w:rPr>
        <w:t xml:space="preserve"> Segunda Vicepresidenta; Margarette May Macaulay, Esmeralda Arosemena de Troitiño, </w:t>
      </w:r>
      <w:r w:rsidRPr="00E02D8D">
        <w:rPr>
          <w:rFonts w:ascii="Cambria" w:hAnsi="Cambria"/>
          <w:spacing w:val="-2"/>
          <w:sz w:val="20"/>
          <w:lang w:val="es-US"/>
        </w:rPr>
        <w:t>Julissa Mantilla Falcón</w:t>
      </w:r>
      <w:r>
        <w:rPr>
          <w:rFonts w:ascii="Cambria" w:hAnsi="Cambria"/>
          <w:spacing w:val="-2"/>
          <w:sz w:val="20"/>
          <w:lang w:val="es-US"/>
        </w:rPr>
        <w:t xml:space="preserve"> y Edgar Stuardo Ralón Orellana,</w:t>
      </w:r>
      <w:r>
        <w:rPr>
          <w:rFonts w:ascii="Cambria" w:hAnsi="Cambria"/>
          <w:spacing w:val="-2"/>
          <w:sz w:val="20"/>
          <w:szCs w:val="20"/>
          <w:lang w:val="es-CL"/>
        </w:rPr>
        <w:t xml:space="preserve"> Miembros de la Comisión.</w:t>
      </w:r>
      <w:r>
        <w:rPr>
          <w:rFonts w:ascii="Cambria" w:hAnsi="Cambria"/>
          <w:sz w:val="20"/>
          <w:szCs w:val="20"/>
          <w:lang w:val="es-CL"/>
        </w:rPr>
        <w:t xml:space="preserve"> </w:t>
      </w:r>
    </w:p>
    <w:p w14:paraId="3F21F051" w14:textId="77777777" w:rsidR="00AF0D46" w:rsidRDefault="00AF0D46" w:rsidP="00AF0D46">
      <w:pPr>
        <w:ind w:firstLine="360"/>
        <w:jc w:val="both"/>
        <w:rPr>
          <w:rFonts w:ascii="Cambria" w:hAnsi="Cambria"/>
          <w:spacing w:val="-2"/>
          <w:sz w:val="20"/>
          <w:szCs w:val="20"/>
          <w:lang w:val="es-CL"/>
        </w:rPr>
      </w:pPr>
    </w:p>
    <w:p w14:paraId="140D3463" w14:textId="77777777" w:rsidR="00AF0D46" w:rsidRDefault="00AF0D46" w:rsidP="00AF0D46">
      <w:pPr>
        <w:ind w:firstLine="360"/>
        <w:jc w:val="both"/>
        <w:rPr>
          <w:rFonts w:ascii="Cambria" w:hAnsi="Cambria"/>
          <w:sz w:val="20"/>
          <w:szCs w:val="20"/>
          <w:lang w:val="es-CL"/>
        </w:rPr>
      </w:pPr>
      <w:r>
        <w:rPr>
          <w:rFonts w:ascii="Cambria" w:hAnsi="Cambria"/>
          <w:sz w:val="20"/>
          <w:szCs w:val="20"/>
          <w:lang w:val="es-CL"/>
        </w:rPr>
        <w:t xml:space="preserve">La que suscribe, </w:t>
      </w:r>
      <w:r>
        <w:rPr>
          <w:rFonts w:ascii="Cambria" w:hAnsi="Cambria" w:cs="Arial"/>
          <w:sz w:val="20"/>
          <w:szCs w:val="20"/>
          <w:lang w:val="es-PE"/>
        </w:rPr>
        <w:t>Marisol Blanchard</w:t>
      </w:r>
      <w:r>
        <w:rPr>
          <w:rFonts w:ascii="Cambria" w:hAnsi="Cambria"/>
          <w:sz w:val="20"/>
          <w:szCs w:val="20"/>
          <w:lang w:val="es-CL"/>
        </w:rPr>
        <w:t>, Secretaria Ejecutiva Adjunta, de conformidad con el artículo 49 del Reglamento de la Comisión, certifica que es copia fiel del original depositado en los archivos de la Secretaría de la CIDH.</w:t>
      </w:r>
    </w:p>
    <w:p w14:paraId="599F6F16" w14:textId="07861268" w:rsidR="00AF0D46" w:rsidRDefault="00AF0D46" w:rsidP="00AF0D46">
      <w:pPr>
        <w:jc w:val="center"/>
        <w:rPr>
          <w:rFonts w:ascii="Cambria" w:hAnsi="Cambria"/>
          <w:sz w:val="20"/>
          <w:szCs w:val="20"/>
        </w:rPr>
      </w:pPr>
      <w:r>
        <w:rPr>
          <w:rFonts w:ascii="Cambria" w:hAnsi="Cambria"/>
          <w:sz w:val="20"/>
          <w:szCs w:val="20"/>
          <w:lang w:val="es-CL"/>
        </w:rPr>
        <w:t xml:space="preserve">     </w:t>
      </w:r>
    </w:p>
    <w:p w14:paraId="547596E0" w14:textId="77777777" w:rsidR="00AF0D46" w:rsidRPr="000426AA" w:rsidRDefault="00AF0D46" w:rsidP="00AF0D46">
      <w:pPr>
        <w:tabs>
          <w:tab w:val="left" w:pos="810"/>
        </w:tabs>
        <w:suppressAutoHyphens/>
        <w:jc w:val="center"/>
        <w:rPr>
          <w:rFonts w:ascii="Cambria" w:hAnsi="Cambria" w:cs="Calibri"/>
          <w:i/>
          <w:sz w:val="20"/>
          <w:szCs w:val="20"/>
          <w:lang w:val="pt-BR"/>
        </w:rPr>
      </w:pPr>
      <w:r w:rsidRPr="000426AA">
        <w:rPr>
          <w:rFonts w:ascii="Cambria" w:hAnsi="Cambria" w:cs="Calibri"/>
          <w:sz w:val="20"/>
          <w:szCs w:val="20"/>
          <w:lang w:val="pt-BR"/>
        </w:rPr>
        <w:t>Marisol Blanchard</w:t>
      </w:r>
    </w:p>
    <w:p w14:paraId="4CC0B860" w14:textId="0AF565F8" w:rsidR="00D002C8" w:rsidRPr="000D7953" w:rsidRDefault="00AF0D46" w:rsidP="00760828">
      <w:pPr>
        <w:tabs>
          <w:tab w:val="left" w:pos="810"/>
        </w:tabs>
        <w:suppressAutoHyphens/>
        <w:jc w:val="center"/>
        <w:rPr>
          <w:rFonts w:ascii="Cambria" w:hAnsi="Cambria"/>
          <w:sz w:val="20"/>
          <w:szCs w:val="20"/>
          <w:lang w:val="es-PE"/>
        </w:rPr>
      </w:pPr>
      <w:r w:rsidRPr="000426AA">
        <w:rPr>
          <w:rFonts w:ascii="Cambria" w:hAnsi="Cambria" w:cs="Calibri"/>
          <w:sz w:val="20"/>
          <w:szCs w:val="20"/>
          <w:lang w:val="pt-BR"/>
        </w:rPr>
        <w:t>Secretaria Ejecutiva Adjunt</w:t>
      </w:r>
      <w:bookmarkStart w:id="50" w:name="ministro"/>
      <w:bookmarkEnd w:id="50"/>
      <w:r>
        <w:rPr>
          <w:rFonts w:ascii="Cambria" w:hAnsi="Cambria" w:cs="Calibri"/>
          <w:sz w:val="20"/>
          <w:szCs w:val="20"/>
          <w:lang w:val="pt-BR"/>
        </w:rPr>
        <w:t>a</w:t>
      </w:r>
    </w:p>
    <w:sectPr w:rsidR="00D002C8" w:rsidRPr="000D7953" w:rsidSect="00125DAD">
      <w:type w:val="oddPage"/>
      <w:pgSz w:w="12240" w:h="15840"/>
      <w:pgMar w:top="1440" w:right="1440" w:bottom="126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20B6" w14:textId="77777777" w:rsidR="000A5EAC" w:rsidRDefault="000A5EAC" w:rsidP="00610A15">
      <w:r>
        <w:separator/>
      </w:r>
    </w:p>
  </w:endnote>
  <w:endnote w:type="continuationSeparator" w:id="0">
    <w:p w14:paraId="7839D09A" w14:textId="77777777" w:rsidR="000A5EAC" w:rsidRDefault="000A5EAC" w:rsidP="00610A15">
      <w:r>
        <w:continuationSeparator/>
      </w:r>
    </w:p>
  </w:endnote>
  <w:endnote w:type="continuationNotice" w:id="1">
    <w:p w14:paraId="17816750" w14:textId="77777777" w:rsidR="000A5EAC" w:rsidRDefault="000A5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35294112"/>
      <w:docPartObj>
        <w:docPartGallery w:val="Page Numbers (Bottom of Page)"/>
        <w:docPartUnique/>
      </w:docPartObj>
    </w:sdtPr>
    <w:sdtEndPr>
      <w:rPr>
        <w:noProof/>
      </w:rPr>
    </w:sdtEndPr>
    <w:sdtContent>
      <w:p w14:paraId="051B9669" w14:textId="62C0F59A" w:rsidR="000A5EAC" w:rsidRPr="00395F72" w:rsidRDefault="000A5EAC">
        <w:pPr>
          <w:pStyle w:val="Footer"/>
          <w:jc w:val="center"/>
          <w:rPr>
            <w:sz w:val="20"/>
            <w:szCs w:val="20"/>
          </w:rPr>
        </w:pPr>
        <w:r w:rsidRPr="00395F72">
          <w:rPr>
            <w:sz w:val="20"/>
            <w:szCs w:val="20"/>
          </w:rPr>
          <w:fldChar w:fldCharType="begin"/>
        </w:r>
        <w:r w:rsidRPr="00395F72">
          <w:rPr>
            <w:sz w:val="20"/>
            <w:szCs w:val="20"/>
          </w:rPr>
          <w:instrText xml:space="preserve"> PAGE   \* MERGEFORMAT </w:instrText>
        </w:r>
        <w:r w:rsidRPr="00395F72">
          <w:rPr>
            <w:sz w:val="20"/>
            <w:szCs w:val="20"/>
          </w:rPr>
          <w:fldChar w:fldCharType="separate"/>
        </w:r>
        <w:r w:rsidR="00041D70">
          <w:rPr>
            <w:noProof/>
            <w:sz w:val="20"/>
            <w:szCs w:val="20"/>
          </w:rPr>
          <w:t>10</w:t>
        </w:r>
        <w:r w:rsidRPr="00395F72">
          <w:rPr>
            <w:noProof/>
            <w:sz w:val="20"/>
            <w:szCs w:val="20"/>
          </w:rPr>
          <w:fldChar w:fldCharType="end"/>
        </w:r>
      </w:p>
    </w:sdtContent>
  </w:sdt>
  <w:p w14:paraId="0E65FFFB" w14:textId="77777777" w:rsidR="000A5EAC" w:rsidRDefault="000A5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D8ED" w14:textId="77777777" w:rsidR="000A5EAC" w:rsidRPr="00934A2C" w:rsidRDefault="000A5EAC">
    <w:pPr>
      <w:pStyle w:val="Footer"/>
      <w:jc w:val="center"/>
      <w:rPr>
        <w:sz w:val="16"/>
        <w:szCs w:val="22"/>
      </w:rPr>
    </w:pPr>
  </w:p>
  <w:p w14:paraId="35E4D989" w14:textId="77777777" w:rsidR="000A5EAC" w:rsidRDefault="000A5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FEA5" w14:textId="77777777" w:rsidR="000A5EAC" w:rsidRDefault="000A5EAC" w:rsidP="00610A15">
      <w:r>
        <w:separator/>
      </w:r>
    </w:p>
  </w:footnote>
  <w:footnote w:type="continuationSeparator" w:id="0">
    <w:p w14:paraId="19A0A29F" w14:textId="77777777" w:rsidR="000A5EAC" w:rsidRDefault="000A5EAC" w:rsidP="00610A15">
      <w:r>
        <w:continuationSeparator/>
      </w:r>
    </w:p>
  </w:footnote>
  <w:footnote w:type="continuationNotice" w:id="1">
    <w:p w14:paraId="7C0965B2" w14:textId="77777777" w:rsidR="000A5EAC" w:rsidRDefault="000A5EAC"/>
  </w:footnote>
  <w:footnote w:id="2">
    <w:p w14:paraId="4B6F9873" w14:textId="20C1A396" w:rsidR="000A5EAC" w:rsidRPr="000D7953" w:rsidRDefault="000A5EAC" w:rsidP="000D7953">
      <w:pPr>
        <w:pStyle w:val="FootnoteText"/>
        <w:tabs>
          <w:tab w:val="left" w:pos="1800"/>
        </w:tabs>
        <w:jc w:val="both"/>
        <w:rPr>
          <w:rFonts w:ascii="Cambria" w:hAnsi="Cambria"/>
          <w:color w:val="FF0000"/>
          <w:sz w:val="16"/>
          <w:szCs w:val="16"/>
          <w:lang w:val="es-UY"/>
        </w:rPr>
      </w:pPr>
      <w:r w:rsidRPr="000D7953">
        <w:rPr>
          <w:rStyle w:val="FootnoteReference"/>
          <w:rFonts w:ascii="Cambria" w:hAnsi="Cambria"/>
          <w:sz w:val="16"/>
          <w:szCs w:val="16"/>
        </w:rPr>
        <w:footnoteRef/>
      </w:r>
      <w:r w:rsidRPr="000D7953">
        <w:rPr>
          <w:rFonts w:ascii="Cambria" w:hAnsi="Cambria"/>
          <w:sz w:val="16"/>
          <w:szCs w:val="16"/>
          <w:lang w:val="es-UY"/>
        </w:rPr>
        <w:t xml:space="preserve"> En comunicación recibida el 22 de octubre de 2015, la viuda de Santiago Leguizamón, Ana María Morra, designó a Dante Ariel Leguizamón Morra como representante legal de la familia en la presente causa e informó que no contaría con la representación de la Sociedad Interamericana de Prensa (SIP). En el escrito de observaciones de fondo de 22 de noviembre de 2016 se incorporan como co-peticionarios al proceso: la Coordinadora de Derechos Humanos del Paraguay (CODEHUPY), el Sindicato de Periodistas del Paraguay, el Foro de Periodistas del Paraguay y Voces Paraguay. </w:t>
      </w:r>
    </w:p>
  </w:footnote>
  <w:footnote w:id="3">
    <w:p w14:paraId="5692F419" w14:textId="080555E8"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color w:val="auto"/>
          <w:sz w:val="16"/>
          <w:szCs w:val="16"/>
          <w:lang w:val="es-MX"/>
        </w:rPr>
        <w:t xml:space="preserve">CIDH. </w:t>
      </w:r>
      <w:r w:rsidRPr="000D7953">
        <w:rPr>
          <w:rFonts w:ascii="Cambria" w:hAnsi="Cambria"/>
          <w:color w:val="auto"/>
          <w:sz w:val="16"/>
          <w:szCs w:val="16"/>
          <w:lang w:val="es-PE"/>
        </w:rPr>
        <w:t>Informe No. 24/16</w:t>
      </w:r>
      <w:r w:rsidRPr="000D7953">
        <w:rPr>
          <w:rFonts w:ascii="Cambria" w:hAnsi="Cambria"/>
          <w:color w:val="auto"/>
          <w:sz w:val="16"/>
          <w:szCs w:val="16"/>
          <w:lang w:val="es-MX"/>
        </w:rPr>
        <w:t xml:space="preserve">. Petición 66-07. Admisibilidad. </w:t>
      </w:r>
      <w:r w:rsidRPr="000D7953">
        <w:rPr>
          <w:rFonts w:ascii="Cambria" w:hAnsi="Cambria"/>
          <w:sz w:val="16"/>
          <w:szCs w:val="16"/>
          <w:lang w:val="es-MX"/>
        </w:rPr>
        <w:t xml:space="preserve">Santiago Leguizamón Zaván y familia. Paraguay. </w:t>
      </w:r>
      <w:r w:rsidRPr="000D7953">
        <w:rPr>
          <w:rFonts w:ascii="Cambria" w:hAnsi="Cambria"/>
          <w:color w:val="auto"/>
          <w:sz w:val="16"/>
          <w:szCs w:val="16"/>
          <w:lang w:val="es-MX"/>
        </w:rPr>
        <w:t>15 de abril de 2016. La CIDH declaró admisible la petición respecto de los artículos 4, 5, 13, 8 y 25, en relación con el artículo 1.1 de la Convención Americana.</w:t>
      </w:r>
    </w:p>
  </w:footnote>
  <w:footnote w:id="4">
    <w:p w14:paraId="0CFD9B15" w14:textId="39FD720E"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Con anterioridad a la adopción del informe de admisibilidad, mediante </w:t>
      </w:r>
      <w:r w:rsidRPr="000D7953">
        <w:rPr>
          <w:rFonts w:ascii="Cambria" w:hAnsi="Cambria"/>
          <w:sz w:val="16"/>
          <w:szCs w:val="16"/>
          <w:lang w:val="es-UY"/>
        </w:rPr>
        <w:t>comunicación recibida el 22 de octubre de 2015, la viuda de Santiago Leguizamón, Ana María Morra, solicitó poner término al</w:t>
      </w:r>
      <w:r w:rsidRPr="000D7953">
        <w:rPr>
          <w:rFonts w:ascii="Cambria" w:hAnsi="Cambria"/>
          <w:sz w:val="16"/>
          <w:szCs w:val="16"/>
          <w:lang w:val="es-PE"/>
        </w:rPr>
        <w:t xml:space="preserve"> proceso de solución amistosa en curso, lo cual fue aceptado por la Comisión.</w:t>
      </w:r>
    </w:p>
  </w:footnote>
  <w:footnote w:id="5">
    <w:p w14:paraId="41E087CF" w14:textId="7F6EEAB6"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1. Sociedad Interamericana de Prensa (SIP). El caso de Santiago Leguizamón. ¿Quién me ha robado el mes de abril? Anexo a la</w:t>
      </w:r>
      <w:r w:rsidRPr="000D7953">
        <w:rPr>
          <w:rFonts w:ascii="Cambria" w:hAnsi="Cambria"/>
          <w:sz w:val="16"/>
          <w:szCs w:val="16"/>
          <w:lang w:val="es-MX"/>
        </w:rPr>
        <w:t xml:space="preserve"> petición inicial de 19 de enero de 2007, págs. 1, 4 y 5. Véase también, Escrito de petición inicial de 19 de enero de 2007, pág. 2 y escrito de observaciones de fondo de los peticionarios de 22 de noviembre de 2016, págs. 2 y 3. Esta información no fue controvertida por el Estado</w:t>
      </w:r>
      <w:r w:rsidRPr="000D7953">
        <w:rPr>
          <w:rFonts w:ascii="Cambria" w:hAnsi="Cambria"/>
          <w:sz w:val="16"/>
          <w:szCs w:val="16"/>
          <w:lang w:val="es-PE"/>
        </w:rPr>
        <w:t xml:space="preserve">. </w:t>
      </w:r>
      <w:r w:rsidRPr="000D7953">
        <w:rPr>
          <w:rFonts w:ascii="Cambria" w:hAnsi="Cambria"/>
          <w:sz w:val="16"/>
          <w:szCs w:val="16"/>
          <w:lang w:val="es-MX"/>
        </w:rPr>
        <w:t xml:space="preserve">CIDH. Relatoría Especial para la Libertad de Expresión. Informe Zonas Silenciadas: regiones de alta peligrosidad para ejercer la libertad de expresión. </w:t>
      </w:r>
      <w:r w:rsidRPr="000D7953">
        <w:rPr>
          <w:rFonts w:ascii="Cambria" w:hAnsi="Cambria"/>
          <w:sz w:val="16"/>
          <w:szCs w:val="16"/>
          <w:lang w:val="es-PE"/>
        </w:rPr>
        <w:t>OEA/Ser.L/V/IICIDH/RELE/INF.16/17, 15</w:t>
      </w:r>
      <w:r w:rsidRPr="000D7953">
        <w:rPr>
          <w:rFonts w:ascii="Cambria" w:hAnsi="Cambria"/>
          <w:sz w:val="16"/>
          <w:szCs w:val="16"/>
          <w:lang w:val="es-MX"/>
        </w:rPr>
        <w:t xml:space="preserve"> de marzo de 2017. Capítulo 1. Párr 131. Disponible en: </w:t>
      </w:r>
      <w:hyperlink r:id="rId1" w:history="1">
        <w:r w:rsidRPr="000D7953">
          <w:rPr>
            <w:rStyle w:val="Hyperlink"/>
            <w:rFonts w:ascii="Cambria" w:hAnsi="Cambria"/>
            <w:sz w:val="16"/>
            <w:szCs w:val="16"/>
            <w:lang w:val="es-PE"/>
          </w:rPr>
          <w:t>http://www.oas.org/es/cidh/expresion/docs/publicaciones/ZONAS_SILENCIADAS_ESP.pdf</w:t>
        </w:r>
      </w:hyperlink>
      <w:r w:rsidRPr="000D7953">
        <w:rPr>
          <w:rFonts w:ascii="Cambria" w:hAnsi="Cambria"/>
          <w:sz w:val="16"/>
          <w:szCs w:val="16"/>
          <w:lang w:val="es-PE"/>
        </w:rPr>
        <w:t>.</w:t>
      </w:r>
    </w:p>
  </w:footnote>
  <w:footnote w:id="6">
    <w:p w14:paraId="64D0916D" w14:textId="20351D71"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ES"/>
        </w:rPr>
        <w:t xml:space="preserve">CIDH. Informe Situación de los derechos humanos en </w:t>
      </w:r>
      <w:r w:rsidRPr="000D7953">
        <w:rPr>
          <w:rFonts w:ascii="Cambria" w:hAnsi="Cambria"/>
          <w:sz w:val="16"/>
          <w:szCs w:val="16"/>
          <w:lang w:val="es-MX"/>
        </w:rPr>
        <w:t xml:space="preserve">Paraguay. </w:t>
      </w:r>
      <w:r w:rsidRPr="000D7953">
        <w:rPr>
          <w:rFonts w:ascii="Cambria" w:hAnsi="Cambria"/>
          <w:sz w:val="16"/>
          <w:szCs w:val="16"/>
          <w:lang w:val="es-PE"/>
        </w:rPr>
        <w:t>OEA/Ser./L/VII.110. Doc. 52</w:t>
      </w:r>
      <w:r w:rsidRPr="000D7953">
        <w:rPr>
          <w:rFonts w:ascii="Cambria" w:hAnsi="Cambria"/>
          <w:sz w:val="16"/>
          <w:szCs w:val="16"/>
          <w:lang w:val="es-MX"/>
        </w:rPr>
        <w:t>, 9 de marzo de 2001. Capítulo III. Impunidad. Párr 14. Disponible en:</w:t>
      </w:r>
      <w:r w:rsidRPr="000D7953">
        <w:rPr>
          <w:rFonts w:ascii="Cambria" w:hAnsi="Cambria"/>
          <w:sz w:val="16"/>
          <w:szCs w:val="16"/>
          <w:lang w:val="es-PE"/>
        </w:rPr>
        <w:t xml:space="preserve"> </w:t>
      </w:r>
      <w:hyperlink r:id="rId2" w:history="1">
        <w:r w:rsidRPr="000D7953">
          <w:rPr>
            <w:rStyle w:val="Hyperlink"/>
            <w:rFonts w:ascii="Cambria" w:hAnsi="Cambria"/>
            <w:sz w:val="16"/>
            <w:szCs w:val="16"/>
            <w:lang w:val="es-PE"/>
          </w:rPr>
          <w:t>http://www.cidh.org/countryrep/Paraguay01sp/cap.3.htm</w:t>
        </w:r>
      </w:hyperlink>
      <w:r w:rsidRPr="000D7953">
        <w:rPr>
          <w:rFonts w:ascii="Cambria" w:hAnsi="Cambria"/>
          <w:sz w:val="16"/>
          <w:szCs w:val="16"/>
          <w:lang w:val="es-MX"/>
        </w:rPr>
        <w:t xml:space="preserve">; CIDH. Relatoría Especial para la Libertad de Expresión. Informe Zonas Silenciadas: regiones de alta peligrosidad para ejercer la libertad de expresión, </w:t>
      </w:r>
      <w:r w:rsidRPr="000D7953">
        <w:rPr>
          <w:rFonts w:ascii="Cambria" w:hAnsi="Cambria"/>
          <w:i/>
          <w:iCs/>
          <w:sz w:val="16"/>
          <w:szCs w:val="16"/>
          <w:lang w:val="es-MX"/>
        </w:rPr>
        <w:t>supra</w:t>
      </w:r>
      <w:r w:rsidRPr="000D7953">
        <w:rPr>
          <w:rFonts w:ascii="Cambria" w:hAnsi="Cambria"/>
          <w:sz w:val="16"/>
          <w:szCs w:val="16"/>
          <w:lang w:val="es-MX"/>
        </w:rPr>
        <w:t xml:space="preserve">. Capítulo 1. Párr 131. </w:t>
      </w:r>
      <w:r w:rsidRPr="000D7953">
        <w:rPr>
          <w:rFonts w:ascii="Cambria" w:hAnsi="Cambria"/>
          <w:sz w:val="16"/>
          <w:szCs w:val="16"/>
          <w:lang w:val="es-PE"/>
        </w:rPr>
        <w:t xml:space="preserve">Si bien estos informes se refieren a años posteriores a los hechos, la CIDH considera que era de notorio conocimiento que la ciudad de Pedro Juan Caballero era una zona fronteriza violenta, derivada de los propios artículos escritos por Santiago Leguizamón. </w:t>
      </w:r>
    </w:p>
  </w:footnote>
  <w:footnote w:id="7">
    <w:p w14:paraId="14A5D4E5" w14:textId="239CCBE5"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2. Notas de prensa escritas por Santiago Leguizamón y notas de prensa en referencia a los artículos del periodista. Juzgado de primera instancia en lo criminal del primer turno. Expediente Judicial: averiguación s/homicidio en esta ciudad. Tomo I, Año 1991, No. 70, folios s/n y 51 y ss. Anexo a la</w:t>
      </w:r>
      <w:r w:rsidRPr="000D7953">
        <w:rPr>
          <w:rFonts w:ascii="Cambria" w:hAnsi="Cambria"/>
          <w:sz w:val="16"/>
          <w:szCs w:val="16"/>
          <w:lang w:val="es-MX"/>
        </w:rPr>
        <w:t xml:space="preserve"> petición inicial de 19 de enero de 2007. </w:t>
      </w:r>
      <w:r w:rsidRPr="000D7953">
        <w:rPr>
          <w:rFonts w:ascii="Cambria" w:hAnsi="Cambria"/>
          <w:sz w:val="16"/>
          <w:szCs w:val="16"/>
          <w:lang w:val="es-PE"/>
        </w:rPr>
        <w:t>Véase también, Anexo 1. Sociedad Interamericana de Prensa (SIP). El caso de Santiago Leguizamón. ¿Quién me ha robado el mes de abril? Anexo a la</w:t>
      </w:r>
      <w:r w:rsidRPr="000D7953">
        <w:rPr>
          <w:rFonts w:ascii="Cambria" w:hAnsi="Cambria"/>
          <w:sz w:val="16"/>
          <w:szCs w:val="16"/>
          <w:lang w:val="es-MX"/>
        </w:rPr>
        <w:t xml:space="preserve"> petición inicial de 19 de enero de 2007, págs. 1 a 3, y escrito de observaciones de fondo de los peticionarios de 22 de noviembre de 2016, págs. 3 a 8 y 10 a 12.</w:t>
      </w:r>
    </w:p>
  </w:footnote>
  <w:footnote w:id="8">
    <w:p w14:paraId="6012F166" w14:textId="12F53FC0"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3. Notas de prensa tituladas el “Hampa en Pedro Juan” y “Sus últimas denuncias”. Juzgado de primera instancia en lo criminal del primer turno. Expediente Judicial: averiguación s/homicidio en esta ciudad. Tomo I, Año 1991, No. 70, folios s/n. Anexo a la</w:t>
      </w:r>
      <w:r w:rsidRPr="000D7953">
        <w:rPr>
          <w:rFonts w:ascii="Cambria" w:hAnsi="Cambria"/>
          <w:sz w:val="16"/>
          <w:szCs w:val="16"/>
          <w:lang w:val="es-MX"/>
        </w:rPr>
        <w:t xml:space="preserve"> petición inicial de 19 de enero de 2007. </w:t>
      </w:r>
      <w:r w:rsidRPr="000D7953">
        <w:rPr>
          <w:rFonts w:ascii="Cambria" w:hAnsi="Cambria"/>
          <w:sz w:val="16"/>
          <w:szCs w:val="16"/>
          <w:lang w:val="es-PE"/>
        </w:rPr>
        <w:t>Según los peticionarios el primer artículo, entre otros, habría sido elaborado por Santiago Leguizamón, sin embargo, llevaba la firma de otras personas debido a las advertencias recibidas para dejar de escribir sobre esos temas. Véase también, Anexo 1. Sociedad Interamericana de Prensa (SIP). El caso de Santiago Leguizamón. ¿Quién me ha robado el mes de abril? Anexo a la</w:t>
      </w:r>
      <w:r w:rsidRPr="000D7953">
        <w:rPr>
          <w:rFonts w:ascii="Cambria" w:hAnsi="Cambria"/>
          <w:sz w:val="16"/>
          <w:szCs w:val="16"/>
          <w:lang w:val="es-MX"/>
        </w:rPr>
        <w:t xml:space="preserve"> petición inicial de 19 de enero de 2007, págs. 1 a 3, y escrito de observaciones de fondo de los peticionarios de 22 de noviembre de 2016, págs. 10 a 12.</w:t>
      </w:r>
    </w:p>
  </w:footnote>
  <w:footnote w:id="9">
    <w:p w14:paraId="179BF449" w14:textId="659B5C39"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4. Certificado de matrimonio, 30 de noviembre de 1974. Expediente judicial. Anexo a la</w:t>
      </w:r>
      <w:r w:rsidRPr="000D7953">
        <w:rPr>
          <w:rFonts w:ascii="Cambria" w:hAnsi="Cambria"/>
          <w:sz w:val="16"/>
          <w:szCs w:val="16"/>
          <w:lang w:val="es-MX"/>
        </w:rPr>
        <w:t xml:space="preserve"> petición inicial de 19 de enero de 2007, folio 27.</w:t>
      </w:r>
    </w:p>
  </w:footnote>
  <w:footnote w:id="10">
    <w:p w14:paraId="3CD13963" w14:textId="412CC86A"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5. Declaración de Ana María Morra Vda. de Leguizamón ante el Juez de primera instancia en lo criminal del décimo turno de Asunción, 27 de mayo de 1992. Expediente judicial. Anexo a la</w:t>
      </w:r>
      <w:r w:rsidRPr="000D7953">
        <w:rPr>
          <w:rFonts w:ascii="Cambria" w:hAnsi="Cambria"/>
          <w:sz w:val="16"/>
          <w:szCs w:val="16"/>
          <w:lang w:val="es-MX"/>
        </w:rPr>
        <w:t xml:space="preserve"> petición inicial de 19 de enero de 2007. Véase también, escrito de observaciones de fondo de los peticionarios de 22 de noviembre de 2016, págs. 2 y 16.</w:t>
      </w:r>
    </w:p>
  </w:footnote>
  <w:footnote w:id="11">
    <w:p w14:paraId="10BF2F8D" w14:textId="6E1158BB"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6. Certificado de defunción de Santiago Leguizamón Zaván. Expediente judicial. Anexo a la</w:t>
      </w:r>
      <w:r w:rsidRPr="000D7953">
        <w:rPr>
          <w:rFonts w:ascii="Cambria" w:hAnsi="Cambria"/>
          <w:sz w:val="16"/>
          <w:szCs w:val="16"/>
          <w:lang w:val="es-MX"/>
        </w:rPr>
        <w:t xml:space="preserve"> petición inicial de 19 de enero de 2007, folio 127.</w:t>
      </w:r>
    </w:p>
  </w:footnote>
  <w:footnote w:id="12">
    <w:p w14:paraId="19ED0671" w14:textId="2A85F00D"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7. Informe Policial. Delegación de Gobierno del Amambay. Nota J.P. No. 128/91, 31 de octubre de 1991, y Parte policial. Delegación de Gobierno del Amambay. Nota J.P. No. 86/91, 2 de mayo de 1991. Expediente judicial. Anexos a la</w:t>
      </w:r>
      <w:r w:rsidRPr="000D7953">
        <w:rPr>
          <w:rFonts w:ascii="Cambria" w:hAnsi="Cambria"/>
          <w:sz w:val="16"/>
          <w:szCs w:val="16"/>
          <w:lang w:val="es-MX"/>
        </w:rPr>
        <w:t xml:space="preserve"> petición inicial de 19 de enero de 2007, folios 56 a 57 y 163 a 165.</w:t>
      </w:r>
    </w:p>
  </w:footnote>
  <w:footnote w:id="13">
    <w:p w14:paraId="4DD676E0" w14:textId="6F56EEC6"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8. Declaración de Baldomero Cabral ante el Juez de primera instancia en lo criminal y tutelar del menor del primer turno de la ciudad de Pedro Juan Caballero, 26 de abril de 1991. Expediente judicial. Anexo a la</w:t>
      </w:r>
      <w:r w:rsidRPr="000D7953">
        <w:rPr>
          <w:rFonts w:ascii="Cambria" w:hAnsi="Cambria"/>
          <w:sz w:val="16"/>
          <w:szCs w:val="16"/>
          <w:lang w:val="es-MX"/>
        </w:rPr>
        <w:t xml:space="preserve"> petición inicial de 19 de enero de 2007. Baldomero Cabral era el electricista de la radio </w:t>
      </w:r>
      <w:r w:rsidRPr="000D7953">
        <w:rPr>
          <w:rFonts w:ascii="Cambria" w:hAnsi="Cambria"/>
          <w:sz w:val="16"/>
          <w:szCs w:val="16"/>
          <w:lang w:val="es-ES"/>
        </w:rPr>
        <w:t>Mburucuyá</w:t>
      </w:r>
      <w:r w:rsidRPr="000D7953">
        <w:rPr>
          <w:rFonts w:ascii="Cambria" w:hAnsi="Cambria"/>
          <w:sz w:val="16"/>
          <w:szCs w:val="16"/>
          <w:lang w:val="es-MX"/>
        </w:rPr>
        <w:t xml:space="preserve"> y también el chofer de Santiago Leguizamón.</w:t>
      </w:r>
    </w:p>
  </w:footnote>
  <w:footnote w:id="14">
    <w:p w14:paraId="0C132C9A" w14:textId="779F59B2"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Anexos 5 y 8. Declaración de Ana María Morra Vda. de Leguizamón ante el Juez de primera instancia en lo criminal del décimo turno de Asunción, 27 de mayo de 1992, folio 101 (reverso), y declaración de Baldomero Cabral ante el Juez de primera instancia en lo criminal y tutelar del menor del primer turno de la ciudad de Pedro Juan Caballero, 26 de abril de 1991, folios 6 (reverso) y 7. Anexo 9. Declaración de Francisco Gill Serviano Coronel (Kiko Servián), 29 de abril de 1991, folios 18 (reverso) y 19 ; declaración de Marcial Benítez, 30 de abril de 1991, folios 23 (reverso) y 24; declaración de Filemón Valdez, 14 de mayo de 1991, folios 84 (reverso) y 85 (quien destacó que el 24 de abril de 1991 el periodista le comentó sobre la última amenaza recibida); declaración de Delpilar Benitez Ortiz, 22 de julio de 1991, folio 132; declaración de Miguel Cabrera Deleon, 24 de julio de 1991, folios 133 (reverso) y 134, y declaración de Cándido Troche Díaz, 25 de julio de 1991, folio136 (reverso). Todas las anteriores rendidas ante el Juez de primera instancia en lo criminal y tutelar del menor del primer turno de la ciudad de Pedro Juan Caballero. Declaración de Humberto León Rubín ante el Juez de primera instancia en lo criminal del décimo turno de Asunción, 14 de mayo de 1991, folios 97 (reverso) y 98 (quien le advirtió al periodista de que había escuchado que lo querían matar y le pidió que tomara precauciones). Expediente judicial. Anexos a la</w:t>
      </w:r>
      <w:r w:rsidRPr="000D7953">
        <w:rPr>
          <w:rFonts w:ascii="Cambria" w:hAnsi="Cambria"/>
          <w:sz w:val="16"/>
          <w:szCs w:val="16"/>
          <w:lang w:val="es-MX"/>
        </w:rPr>
        <w:t xml:space="preserve"> petición inicial de 19 de enero de 2007.</w:t>
      </w:r>
    </w:p>
    <w:p w14:paraId="0C75E3FB" w14:textId="35E43E6C" w:rsidR="000A5EAC" w:rsidRPr="000D7953" w:rsidRDefault="000A5EAC" w:rsidP="000D7953">
      <w:pPr>
        <w:pStyle w:val="FootnoteText"/>
        <w:tabs>
          <w:tab w:val="left" w:pos="1800"/>
        </w:tabs>
        <w:jc w:val="both"/>
        <w:rPr>
          <w:rFonts w:ascii="Cambria" w:hAnsi="Cambria"/>
          <w:sz w:val="16"/>
          <w:szCs w:val="16"/>
          <w:lang w:val="es-PE"/>
        </w:rPr>
      </w:pPr>
      <w:r w:rsidRPr="000D7953">
        <w:rPr>
          <w:rFonts w:ascii="Cambria" w:hAnsi="Cambria"/>
          <w:sz w:val="16"/>
          <w:szCs w:val="16"/>
          <w:lang w:val="es-PE"/>
        </w:rPr>
        <w:t>Si bien Santiago Leguizamón no identificó la fuente de las amenazas, según la declaración de Filemón Valdez ante el juez de Pedro Juan Caballero, aquel le confesó que, el señor Fernando Mendonca, una autoridad local quería matarlo por sus denuncias de corrupción en Amambay, en especial en la ciudad de Pedro Juan Caballero, pero que el periodista no lo denunció porque creía que las autoridades no investigarían ni tomarán ninguna medida, especialmente porque según el testigo, Santiago le señaló que el señor Mendonca estaría protegido por el presidente del Paraguay de ese entonces. La autoridad local declaró, a su vez, que el contenido de dicha declaración era falso y que tenía fines políticos y malintencionados. Véase, Declaración de Filemón Valdez ante el Juez de primera instancia en lo criminal y tutelar del menor del primer turno de la ciudad de Pedro Juan Caballero, 14 de mayo de 1991, folios 84 (reverso) y 85, y Anexo 10. Declaración de Fernando Enrique Mendonca Alcorta ante el Juez de primera instancia en lo criminal y tutelar del menor del primer turno de la ciudad de Pedro Juan Caballero, 31 de julio de 1991, folios 141 (reverso) y 142. Expediente judicial. Anexos a la</w:t>
      </w:r>
      <w:r w:rsidRPr="000D7953">
        <w:rPr>
          <w:rFonts w:ascii="Cambria" w:hAnsi="Cambria"/>
          <w:sz w:val="16"/>
          <w:szCs w:val="16"/>
          <w:lang w:val="es-MX"/>
        </w:rPr>
        <w:t xml:space="preserve"> petición inicial de 19 de enero de 2007.</w:t>
      </w:r>
    </w:p>
  </w:footnote>
  <w:footnote w:id="15">
    <w:p w14:paraId="780900A9" w14:textId="28B86D28"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5. Declaración de Ana María Morra Vda. de Leguizamón ante el Juez de primera instancia en lo criminal del décimo turno de Asunción, 27 de mayo de 1992, folio 101 (reverso). Anexo 9. Declaración de Francisco Gill Serviano Coronel (Kiko Servián), 29 de abril de 1991, folios 18 (reverso) y 19 ; declaración de Marcial Benítez, 30 de abril de 1991, folios 23 (reverso) y 24; declaración de Delpilar Benitez Ortiz, 22 de julio de 1991, folio 132, y declaración de Miguel Cabrera Deleon, 24 de julio de 1991, folios 133 (reverso) y 134. Todas las anteriores rendidas ante el Juez de primera instancia en lo criminal y tutelar del menor del primer turno de la ciudad de Pedro Juan Caballero. Declaración de Humberto León Rubín ante el Juez de primera instancia en lo criminal del décimo turno de Asunción, 14 de mayo de 1991, folios 97 (reverso) y 98. Expediente judicial. Anexos a la</w:t>
      </w:r>
      <w:r w:rsidRPr="000D7953">
        <w:rPr>
          <w:rFonts w:ascii="Cambria" w:hAnsi="Cambria"/>
          <w:sz w:val="16"/>
          <w:szCs w:val="16"/>
          <w:lang w:val="es-MX"/>
        </w:rPr>
        <w:t xml:space="preserve"> petición inicial de 19 de enero de 2007.</w:t>
      </w:r>
    </w:p>
  </w:footnote>
  <w:footnote w:id="16">
    <w:p w14:paraId="68BE6D4B" w14:textId="2CAF9035"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9. Declaración de Francisco Gill Serviano Coronel (Kiko Servián) ante el Juez de primera instancia en lo criminal y tutelar del menor del primer turno de la ciudad de Pedro Juan Caballero, 29 de abril de 1991. Expediente judicial. Anexo a la</w:t>
      </w:r>
      <w:r w:rsidRPr="000D7953">
        <w:rPr>
          <w:rFonts w:ascii="Cambria" w:hAnsi="Cambria"/>
          <w:sz w:val="16"/>
          <w:szCs w:val="16"/>
          <w:lang w:val="es-MX"/>
        </w:rPr>
        <w:t xml:space="preserve"> petición inicial de 19 de enero de 2007, folio 19.</w:t>
      </w:r>
    </w:p>
  </w:footnote>
  <w:footnote w:id="17">
    <w:p w14:paraId="73383372" w14:textId="663C1C4A"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9. Declaración de Humberto León Rubín ante el Juez de primera instancia en lo criminal del décimo turno de Asunción, 14 de mayo de 1991, folios 97 (reverso) y 98. Expediente judicial. Anexo a la</w:t>
      </w:r>
      <w:r w:rsidRPr="000D7953">
        <w:rPr>
          <w:rFonts w:ascii="Cambria" w:hAnsi="Cambria"/>
          <w:sz w:val="16"/>
          <w:szCs w:val="16"/>
          <w:lang w:val="es-MX"/>
        </w:rPr>
        <w:t xml:space="preserve"> petición inicial de 19 de enero de 2007.</w:t>
      </w:r>
    </w:p>
  </w:footnote>
  <w:footnote w:id="18">
    <w:p w14:paraId="73514B35" w14:textId="2B163753"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8. Declaración de Baldomero Cabral ante el Juez de primera instancia en lo criminal y tutelar del menor del primer turno de la ciudad de Pedro Juan Caballero, 26 de abril de 1991. Expediente judicial. Anexo a la</w:t>
      </w:r>
      <w:r w:rsidRPr="000D7953">
        <w:rPr>
          <w:rFonts w:ascii="Cambria" w:hAnsi="Cambria"/>
          <w:sz w:val="16"/>
          <w:szCs w:val="16"/>
          <w:lang w:val="es-MX"/>
        </w:rPr>
        <w:t xml:space="preserve"> petición inicial de 19 de enero de 2007, folios 6 (reverso) y 7.</w:t>
      </w:r>
    </w:p>
  </w:footnote>
  <w:footnote w:id="19">
    <w:p w14:paraId="5BF17126" w14:textId="0E5528F9"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9. Declaración de Cándido Troche Díaz ante el Juez de primera instancia en lo criminal y tutelar del menor del primer turno de la ciudad de Pedro Juan Caballero, 25 de julio de 1991. Expediente judicial. Anexo a la</w:t>
      </w:r>
      <w:r w:rsidRPr="000D7953">
        <w:rPr>
          <w:rFonts w:ascii="Cambria" w:hAnsi="Cambria"/>
          <w:sz w:val="16"/>
          <w:szCs w:val="16"/>
          <w:lang w:val="es-MX"/>
        </w:rPr>
        <w:t xml:space="preserve"> petición inicial de 19 de enero de 2007, </w:t>
      </w:r>
      <w:r w:rsidRPr="000D7953">
        <w:rPr>
          <w:rFonts w:ascii="Cambria" w:hAnsi="Cambria"/>
          <w:sz w:val="16"/>
          <w:szCs w:val="16"/>
          <w:lang w:val="es-PE"/>
        </w:rPr>
        <w:t>folios 136 a 137.</w:t>
      </w:r>
    </w:p>
  </w:footnote>
  <w:footnote w:id="20">
    <w:p w14:paraId="6857DD69" w14:textId="242EE3AD"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MX"/>
        </w:rPr>
        <w:t>Escrito de observaciones de fondo de los peticionarios de 22 de noviembre de 2016, párr. 38.</w:t>
      </w:r>
    </w:p>
  </w:footnote>
  <w:footnote w:id="21">
    <w:p w14:paraId="0FD6B094" w14:textId="7411864F"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9. Declaración de Cándido Troche Díaz ante el Juez de primera instancia en lo criminal y tutelar del menor del primer turno de la ciudad de Pedro Juan Caballero, 25 de julio de 1991. Expediente judicial. Anexo a la</w:t>
      </w:r>
      <w:r w:rsidRPr="000D7953">
        <w:rPr>
          <w:rFonts w:ascii="Cambria" w:hAnsi="Cambria"/>
          <w:sz w:val="16"/>
          <w:szCs w:val="16"/>
          <w:lang w:val="es-MX"/>
        </w:rPr>
        <w:t xml:space="preserve"> petición inicial de 19 de enero de 2007, </w:t>
      </w:r>
      <w:r w:rsidRPr="000D7953">
        <w:rPr>
          <w:rFonts w:ascii="Cambria" w:hAnsi="Cambria"/>
          <w:sz w:val="16"/>
          <w:szCs w:val="16"/>
          <w:lang w:val="es-PE"/>
        </w:rPr>
        <w:t>folios 136 a 137.</w:t>
      </w:r>
    </w:p>
  </w:footnote>
  <w:footnote w:id="22">
    <w:p w14:paraId="5A1FF691" w14:textId="5F5A8B32" w:rsidR="000A5EAC" w:rsidRPr="000D7953" w:rsidRDefault="000A5EAC" w:rsidP="000D7953">
      <w:pPr>
        <w:pStyle w:val="FootnoteText"/>
        <w:tabs>
          <w:tab w:val="left" w:pos="1800"/>
        </w:tabs>
        <w:jc w:val="both"/>
        <w:rPr>
          <w:rFonts w:ascii="Cambria" w:hAnsi="Cambria"/>
          <w:sz w:val="16"/>
          <w:szCs w:val="16"/>
          <w:lang w:val="es-MX"/>
        </w:rPr>
      </w:pPr>
      <w:r w:rsidRPr="000D7953">
        <w:rPr>
          <w:rStyle w:val="FootnoteReference"/>
          <w:rFonts w:ascii="Cambria" w:hAnsi="Cambria"/>
          <w:sz w:val="16"/>
          <w:szCs w:val="16"/>
        </w:rPr>
        <w:footnoteRef/>
      </w:r>
      <w:r w:rsidRPr="000D7953">
        <w:rPr>
          <w:rFonts w:ascii="Cambria" w:hAnsi="Cambria"/>
          <w:sz w:val="16"/>
          <w:szCs w:val="16"/>
          <w:lang w:val="es-PE"/>
        </w:rPr>
        <w:t xml:space="preserve"> Anexo 11. Nota de prensa titulada “Asesinos habrían venido de Río de Janeiro o San Pablo”. Diario ABC. 29 de abril de 1991; Oficios No. 982 y 1116 emitidos por el Juez de primera instancia en lo criminal y tutelar del menor del primer turno de la ciudad de Pedro Juan Caballero, 4 de noviembre de 1991 y 19 de diciembre de 1991, respectivamente, folios 162 y 169; declaración de Pablino Benítez Bareiro, 21 de enero de 1992, folios 203 y 204 en donde ratifica sus declaraciones al diario ABC, y declaración de Marcial Benítez ante el Juez de primera instancia en lo criminal y tutelar del menor del primer turno de la ciudad de Pedro Juan Caballero (en donde ratifica lo señalado por Pablino Benítez), 30 de abril de 1991, folio 24. Expediente judicial. Anexos a la</w:t>
      </w:r>
      <w:r w:rsidRPr="000D7953">
        <w:rPr>
          <w:rFonts w:ascii="Cambria" w:hAnsi="Cambria"/>
          <w:sz w:val="16"/>
          <w:szCs w:val="16"/>
          <w:lang w:val="es-MX"/>
        </w:rPr>
        <w:t xml:space="preserve"> petición inicial de 19 de enero de 2007.</w:t>
      </w:r>
    </w:p>
    <w:p w14:paraId="1742FE5B" w14:textId="399B231C" w:rsidR="000A5EAC" w:rsidRPr="000D7953" w:rsidRDefault="000A5EAC" w:rsidP="000D7953">
      <w:pPr>
        <w:pStyle w:val="FootnoteText"/>
        <w:tabs>
          <w:tab w:val="left" w:pos="1800"/>
        </w:tabs>
        <w:jc w:val="both"/>
        <w:rPr>
          <w:rFonts w:ascii="Cambria" w:hAnsi="Cambria"/>
          <w:sz w:val="16"/>
          <w:szCs w:val="16"/>
          <w:lang w:val="es-PE"/>
        </w:rPr>
      </w:pPr>
      <w:r w:rsidRPr="000D7953">
        <w:rPr>
          <w:rFonts w:ascii="Cambria" w:hAnsi="Cambria"/>
          <w:sz w:val="16"/>
          <w:szCs w:val="16"/>
          <w:lang w:val="es-MX"/>
        </w:rPr>
        <w:t>S</w:t>
      </w:r>
      <w:r w:rsidRPr="000D7953">
        <w:rPr>
          <w:rFonts w:ascii="Cambria" w:hAnsi="Cambria"/>
          <w:sz w:val="16"/>
          <w:szCs w:val="16"/>
          <w:lang w:val="es-PE"/>
        </w:rPr>
        <w:t>egún la declaración de Filemón Valdez ante el juez de Pedro Juan Caballero, Santiago Leguizamón le confesó que una autoridad local quería matarlo por sus denuncias de corrupción en Amambay, en especial en la ciudad de Pedro Juan Caballero, pero que el periodista no lo denunció porque creía que las autoridades no investigarían ni tomarán ninguna medida, especialmente porque según el testigo, Santiago le señaló que el señor Mendonca estaría protegido por el presidente del Paraguay de ese entonces. Véase, Declaración de Filemón Valdez ante el Juez de primera instancia en lo criminal y tutelar del menor del primer turno de la ciudad de Pedro Juan Caballero, 14 de mayo de 1991, folios 84 (reverso) y 85. Expediente judicial. Anexos a la</w:t>
      </w:r>
      <w:r w:rsidRPr="000D7953">
        <w:rPr>
          <w:rFonts w:ascii="Cambria" w:hAnsi="Cambria"/>
          <w:sz w:val="16"/>
          <w:szCs w:val="16"/>
          <w:lang w:val="es-MX"/>
        </w:rPr>
        <w:t xml:space="preserve"> petición inicial de 19 de enero de 2007.</w:t>
      </w:r>
    </w:p>
  </w:footnote>
  <w:footnote w:id="23">
    <w:p w14:paraId="1178FFAB" w14:textId="627C0FEE" w:rsidR="000A5EAC" w:rsidRPr="000D7953" w:rsidRDefault="000A5EAC" w:rsidP="000D7953">
      <w:pPr>
        <w:pStyle w:val="FootnoteText"/>
        <w:tabs>
          <w:tab w:val="left" w:pos="1800"/>
        </w:tabs>
        <w:jc w:val="both"/>
        <w:rPr>
          <w:rFonts w:ascii="Cambria" w:hAnsi="Cambria"/>
          <w:sz w:val="16"/>
          <w:szCs w:val="16"/>
          <w:lang w:val="es-MX"/>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MX"/>
        </w:rPr>
        <w:t xml:space="preserve">CIDH. Relatoría Especial para la Libertad de Expresión. Informe Zonas Silenciadas: regiones de alta peligrosidad para ejercer la libertad de expresión, </w:t>
      </w:r>
      <w:r w:rsidRPr="000D7953">
        <w:rPr>
          <w:rFonts w:ascii="Cambria" w:hAnsi="Cambria"/>
          <w:i/>
          <w:iCs/>
          <w:sz w:val="16"/>
          <w:szCs w:val="16"/>
          <w:lang w:val="es-MX"/>
        </w:rPr>
        <w:t>supra</w:t>
      </w:r>
      <w:r w:rsidRPr="000D7953">
        <w:rPr>
          <w:rFonts w:ascii="Cambria" w:hAnsi="Cambria"/>
          <w:sz w:val="16"/>
          <w:szCs w:val="16"/>
          <w:lang w:val="es-MX"/>
        </w:rPr>
        <w:t xml:space="preserve">. Pág. 61, y Comunicado de prensa No. R41/20. “Relatoría Especial condena asesinato del periodista Leo Veras en Paraguay y llama a adoptar acciones decididas para prevenir e investigar crímenes de periodistas en la frontera”. 17 de febrero de 2020. Disponible en: </w:t>
      </w:r>
      <w:hyperlink r:id="rId3" w:history="1">
        <w:r w:rsidRPr="000D7953">
          <w:rPr>
            <w:rStyle w:val="Hyperlink"/>
            <w:rFonts w:ascii="Cambria" w:hAnsi="Cambria"/>
            <w:sz w:val="16"/>
            <w:szCs w:val="16"/>
            <w:lang w:val="es-PE"/>
          </w:rPr>
          <w:t>http://www.oas.org/es/cidh/expresion/showarticle.asp?artID=1165&amp;lID=2</w:t>
        </w:r>
      </w:hyperlink>
      <w:r w:rsidRPr="000D7953">
        <w:rPr>
          <w:rFonts w:ascii="Cambria" w:hAnsi="Cambria"/>
          <w:sz w:val="16"/>
          <w:szCs w:val="16"/>
          <w:lang w:val="es-PE"/>
        </w:rPr>
        <w:t xml:space="preserve"> </w:t>
      </w:r>
    </w:p>
  </w:footnote>
  <w:footnote w:id="24">
    <w:p w14:paraId="54F4B87A" w14:textId="2A19DB0D"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En el caso de Paraguay el Estado informó a la Relatoría Especial que se encontraría “en estudio en el Congreso Nacional un proyecto de Ley sobre la protección de los periodistas y defensores de derechos humanos, el mismo fue presentado el 17 de noviembre de 2016, con el nombre de Proyecto de Ley “De libertad de expresión y protección a periodistas, trabajadores de prensa y defensores de derechos humanos”. La CIDH no cuenta con información actualizada sobre la adopción de esta norma o la creación de un mecanismo de protección. </w:t>
      </w:r>
      <w:r w:rsidRPr="000D7953">
        <w:rPr>
          <w:rFonts w:ascii="Cambria" w:hAnsi="Cambria"/>
          <w:sz w:val="16"/>
          <w:szCs w:val="16"/>
          <w:lang w:val="es-MX"/>
        </w:rPr>
        <w:t xml:space="preserve">CIDH. Relatoría Especial para la Libertad de Expresión. Informe Zonas Silenciadas: regiones de alta peligrosidad para ejercer la libertad de expresión, </w:t>
      </w:r>
      <w:r w:rsidRPr="000D7953">
        <w:rPr>
          <w:rFonts w:ascii="Cambria" w:hAnsi="Cambria"/>
          <w:i/>
          <w:iCs/>
          <w:sz w:val="16"/>
          <w:szCs w:val="16"/>
          <w:lang w:val="es-MX"/>
        </w:rPr>
        <w:t>supra</w:t>
      </w:r>
      <w:r w:rsidRPr="000D7953">
        <w:rPr>
          <w:rFonts w:ascii="Cambria" w:hAnsi="Cambria"/>
          <w:sz w:val="16"/>
          <w:szCs w:val="16"/>
          <w:lang w:val="es-MX"/>
        </w:rPr>
        <w:t xml:space="preserve">. Párrs. 137 y 177. De conformidad con el informe zonas silenciadas, la CIDH destaca la adopción de normativa diversa y la creación de mecanismos de protección para periodistas en la región, como por ejemplo en México, Colombia, Honduras y Brasil. Asimismo, se destaca que Guatemala habría iniciado esfuerzos en este sentido, al igual que Argentina, que además aprobó el </w:t>
      </w:r>
      <w:r w:rsidRPr="000D7953">
        <w:rPr>
          <w:rFonts w:ascii="Cambria" w:hAnsi="Cambria"/>
          <w:sz w:val="16"/>
          <w:szCs w:val="16"/>
          <w:lang w:val="es-PE"/>
        </w:rPr>
        <w:t xml:space="preserve">el Protocolo General de Actuación para la Protección de la Actividad Periodística en 2016. Véase, </w:t>
      </w:r>
      <w:r w:rsidRPr="000D7953">
        <w:rPr>
          <w:rFonts w:ascii="Cambria" w:hAnsi="Cambria"/>
          <w:sz w:val="16"/>
          <w:szCs w:val="16"/>
          <w:lang w:val="es-MX"/>
        </w:rPr>
        <w:t xml:space="preserve">CIDH. Relatoría Especial para la Libertad de Expresión. Informe Zonas Silenciadas: regiones de alta peligrosidad para ejercer la libertad de expresión, </w:t>
      </w:r>
      <w:r w:rsidRPr="000D7953">
        <w:rPr>
          <w:rFonts w:ascii="Cambria" w:hAnsi="Cambria"/>
          <w:i/>
          <w:iCs/>
          <w:sz w:val="16"/>
          <w:szCs w:val="16"/>
          <w:lang w:val="es-MX"/>
        </w:rPr>
        <w:t>supra</w:t>
      </w:r>
      <w:r w:rsidRPr="000D7953">
        <w:rPr>
          <w:rFonts w:ascii="Cambria" w:hAnsi="Cambria"/>
          <w:sz w:val="16"/>
          <w:szCs w:val="16"/>
          <w:lang w:val="es-MX"/>
        </w:rPr>
        <w:t>. Págs. 77 a 102.</w:t>
      </w:r>
    </w:p>
  </w:footnote>
  <w:footnote w:id="25">
    <w:p w14:paraId="67C298E7" w14:textId="3CF555A5"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12. Auto del Juez de primera instancia en lo criminal y tutelar del menor del primer turno de la ciudad de Pedro Juan Caballero, 26 de abril de 1991. Expediente judicial. Anexos a la</w:t>
      </w:r>
      <w:r w:rsidRPr="000D7953">
        <w:rPr>
          <w:rFonts w:ascii="Cambria" w:hAnsi="Cambria"/>
          <w:sz w:val="16"/>
          <w:szCs w:val="16"/>
          <w:lang w:val="es-MX"/>
        </w:rPr>
        <w:t xml:space="preserve"> petición inicial de 19 de enero de 2007, folio 1.</w:t>
      </w:r>
    </w:p>
  </w:footnote>
  <w:footnote w:id="26">
    <w:p w14:paraId="1FEE06B9" w14:textId="2AE35F34"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13. Acta judicial. Juzgado de primera instancia en lo criminal y tutelar del menor del primer turno de la ciudad de Pedro Juan Caballero, 26 de abril de 1991, </w:t>
      </w:r>
      <w:r w:rsidRPr="000D7953">
        <w:rPr>
          <w:rFonts w:ascii="Cambria" w:hAnsi="Cambria"/>
          <w:sz w:val="16"/>
          <w:szCs w:val="16"/>
          <w:lang w:val="es-MX"/>
        </w:rPr>
        <w:t>y Croquis del lugar de los hechos.</w:t>
      </w:r>
      <w:r w:rsidRPr="000D7953">
        <w:rPr>
          <w:rFonts w:ascii="Cambria" w:hAnsi="Cambria"/>
          <w:sz w:val="16"/>
          <w:szCs w:val="16"/>
          <w:lang w:val="es-PE"/>
        </w:rPr>
        <w:t xml:space="preserve"> Expediente judicial. Anexos a la</w:t>
      </w:r>
      <w:r w:rsidRPr="000D7953">
        <w:rPr>
          <w:rFonts w:ascii="Cambria" w:hAnsi="Cambria"/>
          <w:sz w:val="16"/>
          <w:szCs w:val="16"/>
          <w:lang w:val="es-MX"/>
        </w:rPr>
        <w:t xml:space="preserve"> petición inicial de 19 de enero de 2007, folios 2 a 4.</w:t>
      </w:r>
    </w:p>
  </w:footnote>
  <w:footnote w:id="27">
    <w:p w14:paraId="4BF2E111" w14:textId="6FC81392"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13. Acta judicial. Juzgado de primera instancia en lo criminal y tutelar del menor del primer turno de la ciudad de Pedro Juan Caballero, 26 de abril de 1991. Expediente judicial. Anexos a la</w:t>
      </w:r>
      <w:r w:rsidRPr="000D7953">
        <w:rPr>
          <w:rFonts w:ascii="Cambria" w:hAnsi="Cambria"/>
          <w:sz w:val="16"/>
          <w:szCs w:val="16"/>
          <w:lang w:val="es-MX"/>
        </w:rPr>
        <w:t xml:space="preserve"> petición inicial de 19 de enero de 2007, folios 2 a 3.</w:t>
      </w:r>
    </w:p>
  </w:footnote>
  <w:footnote w:id="28">
    <w:p w14:paraId="2E582460" w14:textId="69A3C564"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14. Fotografías del cadáver de Santiago Leguizamón. Expediente judicial. Anexos a la</w:t>
      </w:r>
      <w:r w:rsidRPr="000D7953">
        <w:rPr>
          <w:rFonts w:ascii="Cambria" w:hAnsi="Cambria"/>
          <w:sz w:val="16"/>
          <w:szCs w:val="16"/>
          <w:lang w:val="es-MX"/>
        </w:rPr>
        <w:t xml:space="preserve"> petición inicial de 19 de enero de 2007, folio 268.</w:t>
      </w:r>
    </w:p>
  </w:footnote>
  <w:footnote w:id="29">
    <w:p w14:paraId="457AAFFB" w14:textId="7013B394"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15. Certificado del médico cirujano Justo Ramón Roig, 29 de abril de 1991. Anexo 13. Acta judicial. Juzgado de primera instancia en lo criminal y tutelar del menor del primer turno de la ciudad de Pedro Juan Caballero, 26 de abril de 1991. Expediente judicial. Anexos a la</w:t>
      </w:r>
      <w:r w:rsidRPr="000D7953">
        <w:rPr>
          <w:rFonts w:ascii="Cambria" w:hAnsi="Cambria"/>
          <w:sz w:val="16"/>
          <w:szCs w:val="16"/>
          <w:lang w:val="es-MX"/>
        </w:rPr>
        <w:t xml:space="preserve"> petición inicial de 19 de enero de 2007, folios 2 a 3 y 55.</w:t>
      </w:r>
    </w:p>
  </w:footnote>
  <w:footnote w:id="30">
    <w:p w14:paraId="2C6DCB3E" w14:textId="3EDD16FF"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16. Auto interlocutorio No. 169. Juzgado de primera instancia en lo criminal y tutelar del menor del primer turno de la ciudad de Pedro Juan Caballero, 26 de abril de 1991. Expediente judicial. Anexos a la</w:t>
      </w:r>
      <w:r w:rsidRPr="000D7953">
        <w:rPr>
          <w:rFonts w:ascii="Cambria" w:hAnsi="Cambria"/>
          <w:sz w:val="16"/>
          <w:szCs w:val="16"/>
          <w:lang w:val="es-MX"/>
        </w:rPr>
        <w:t xml:space="preserve"> petición inicial de 19 de enero de 2007, folio 5.</w:t>
      </w:r>
    </w:p>
  </w:footnote>
  <w:footnote w:id="31">
    <w:p w14:paraId="3E599AB9" w14:textId="10A3A734"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17. Carta del Vicecónsul del Paraguay en Ponta Porã al Delegado Regional de la policía civil, 27 de abril de 1991. Expediente judicial. Anexos a la</w:t>
      </w:r>
      <w:r w:rsidRPr="000D7953">
        <w:rPr>
          <w:rFonts w:ascii="Cambria" w:hAnsi="Cambria"/>
          <w:sz w:val="16"/>
          <w:szCs w:val="16"/>
          <w:lang w:val="es-MX"/>
        </w:rPr>
        <w:t xml:space="preserve"> petición inicial de 19 de enero de 2007, folio 186.</w:t>
      </w:r>
    </w:p>
  </w:footnote>
  <w:footnote w:id="32">
    <w:p w14:paraId="1059F147" w14:textId="71521D3A" w:rsidR="000A5EAC" w:rsidRPr="000D7953" w:rsidRDefault="000A5EAC" w:rsidP="000D7953">
      <w:pPr>
        <w:pStyle w:val="FootnoteText"/>
        <w:tabs>
          <w:tab w:val="left" w:pos="1800"/>
        </w:tabs>
        <w:jc w:val="both"/>
        <w:rPr>
          <w:rFonts w:ascii="Cambria" w:hAnsi="Cambria"/>
          <w:color w:val="FF0000"/>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color w:val="000000" w:themeColor="text1"/>
          <w:sz w:val="16"/>
          <w:szCs w:val="16"/>
          <w:lang w:val="es-PE"/>
        </w:rPr>
        <w:t xml:space="preserve">La parte peticionaria señala que se recabaron 44 declaraciones, citando tomos del expediente judicial con los que la CIDH no cuenta. Anexo 18. Declaraciones dictadas en proceso por la muerte de Santiago Leguizamón. Expediente judicial. </w:t>
      </w:r>
      <w:r w:rsidRPr="000D7953">
        <w:rPr>
          <w:rFonts w:ascii="Cambria" w:hAnsi="Cambria"/>
          <w:sz w:val="16"/>
          <w:szCs w:val="16"/>
          <w:lang w:val="es-PE"/>
        </w:rPr>
        <w:t>Anexos a la</w:t>
      </w:r>
      <w:r w:rsidRPr="000D7953">
        <w:rPr>
          <w:rFonts w:ascii="Cambria" w:hAnsi="Cambria"/>
          <w:sz w:val="16"/>
          <w:szCs w:val="16"/>
          <w:lang w:val="es-MX"/>
        </w:rPr>
        <w:t xml:space="preserve"> petición inicial de 19 de enero de 2007.</w:t>
      </w:r>
    </w:p>
  </w:footnote>
  <w:footnote w:id="33">
    <w:p w14:paraId="66130159" w14:textId="2C077C89"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19. Declaración de Fahd Yamil ante el Juez de primera instancia en lo criminal y tutelar del menor del primer turno de la ciudad de Pedro Juan Caballero, 25 de junio de 1991. Expediente judicial. Anexos a la</w:t>
      </w:r>
      <w:r w:rsidRPr="000D7953">
        <w:rPr>
          <w:rFonts w:ascii="Cambria" w:hAnsi="Cambria"/>
          <w:sz w:val="16"/>
          <w:szCs w:val="16"/>
          <w:lang w:val="es-MX"/>
        </w:rPr>
        <w:t xml:space="preserve"> petición inicial de 19 de enero de 2007, </w:t>
      </w:r>
      <w:r w:rsidRPr="000D7953">
        <w:rPr>
          <w:rFonts w:ascii="Cambria" w:hAnsi="Cambria"/>
          <w:sz w:val="16"/>
          <w:szCs w:val="16"/>
          <w:lang w:val="es-PE"/>
        </w:rPr>
        <w:t>folios 124 a 126, y anexo 10. Declaración de Fernando Enrique Mendonca Alcorta ante el Juez de primera instancia en lo criminal y tutelar del menor del primer turno de la ciudad de Pedro Juan Caballero, 31 de julio de 1991. Expediente judicial. Anexos a la</w:t>
      </w:r>
      <w:r w:rsidRPr="000D7953">
        <w:rPr>
          <w:rFonts w:ascii="Cambria" w:hAnsi="Cambria"/>
          <w:sz w:val="16"/>
          <w:szCs w:val="16"/>
          <w:lang w:val="es-MX"/>
        </w:rPr>
        <w:t xml:space="preserve"> petición inicial de 19 de enero de 2007, </w:t>
      </w:r>
      <w:r w:rsidRPr="000D7953">
        <w:rPr>
          <w:rFonts w:ascii="Cambria" w:hAnsi="Cambria"/>
          <w:sz w:val="16"/>
          <w:szCs w:val="16"/>
          <w:lang w:val="es-PE"/>
        </w:rPr>
        <w:t>folios 141 y 142.</w:t>
      </w:r>
    </w:p>
  </w:footnote>
  <w:footnote w:id="34">
    <w:p w14:paraId="5C083975" w14:textId="4426FDF1"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20. Acta de inspección ocular de la radio Mburucuyá, 29 de abril de 1991; Exhorto 4/91, Notas No. 3381, 382 y 383, 2 de mayo de 1991; nota de prensa titulada “Libraron un exhorto a Brasil”. Diario Noticias. 30 de abril de 1991; informe sobre movimientos de aeronaves del comandante de la base aérea de Pedro Juan Caballero, 3 de mayo de 1991; informe del Superintendente y oficio No. 3/91 de archivista encargado sobre movimientos de aeronaves del aeropuerto internacional de Punta Porá, 7 de mayo de 1991; auto del Juzgado de primera instancia en lo criminal y tutelar del menor del primer turno de la ciudad de Pedro Juan Caballero, 30 de abril de 1991. Expediente judicial. Anexos a la</w:t>
      </w:r>
      <w:r w:rsidRPr="000D7953">
        <w:rPr>
          <w:rFonts w:ascii="Cambria" w:hAnsi="Cambria"/>
          <w:sz w:val="16"/>
          <w:szCs w:val="16"/>
          <w:lang w:val="es-MX"/>
        </w:rPr>
        <w:t xml:space="preserve"> petición inicial de 19 de enero de 2007, folios</w:t>
      </w:r>
      <w:r w:rsidRPr="000D7953">
        <w:rPr>
          <w:rFonts w:ascii="Cambria" w:hAnsi="Cambria"/>
          <w:sz w:val="16"/>
          <w:szCs w:val="16"/>
          <w:lang w:val="es-PE"/>
        </w:rPr>
        <w:t xml:space="preserve"> 22, 25, 39 a 42, 62 a 65 y 67 a 68. Anexo 7. Informe Policial. Delegación de Gobierno del Amambay. Nota J.P. No. 128/91, 31 de octubre de 1991, y Parte policial. Delegación de Gobierno del Amambay. Nota J.P. No. 86/91, 2 de mayo de 1991. Expediente judicial. Anexos a la</w:t>
      </w:r>
      <w:r w:rsidRPr="000D7953">
        <w:rPr>
          <w:rFonts w:ascii="Cambria" w:hAnsi="Cambria"/>
          <w:sz w:val="16"/>
          <w:szCs w:val="16"/>
          <w:lang w:val="es-MX"/>
        </w:rPr>
        <w:t xml:space="preserve"> petición inicial de 19 de enero de 2007, folios 56 a 57 y 163 a 165. </w:t>
      </w:r>
    </w:p>
  </w:footnote>
  <w:footnote w:id="35">
    <w:p w14:paraId="3396170E" w14:textId="2BCD3F33"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7. Informe Policial. Delegación de Gobierno del Amambay. Nota J.P. No. 128/91, 31 de octubre de 1991. Expediente judicial. Anexos a la</w:t>
      </w:r>
      <w:r w:rsidRPr="000D7953">
        <w:rPr>
          <w:rFonts w:ascii="Cambria" w:hAnsi="Cambria"/>
          <w:sz w:val="16"/>
          <w:szCs w:val="16"/>
          <w:lang w:val="es-MX"/>
        </w:rPr>
        <w:t xml:space="preserve"> petición inicial de 19 de enero de 2007, folios 164 y 165, y anexo 21. </w:t>
      </w:r>
      <w:r w:rsidRPr="000D7953">
        <w:rPr>
          <w:rFonts w:ascii="Cambria" w:hAnsi="Cambria"/>
          <w:sz w:val="16"/>
          <w:szCs w:val="16"/>
          <w:lang w:val="es-PE"/>
        </w:rPr>
        <w:t xml:space="preserve"> Oficio No. 261/91 del delegado de la policía de Ponta Porã, 9 de mayo de 1991, y Nota J.P. No. 94/91, 17 de mayo de 1991. Expediente judicial. Anexos a la</w:t>
      </w:r>
      <w:r w:rsidRPr="000D7953">
        <w:rPr>
          <w:rFonts w:ascii="Cambria" w:hAnsi="Cambria"/>
          <w:sz w:val="16"/>
          <w:szCs w:val="16"/>
          <w:lang w:val="es-MX"/>
        </w:rPr>
        <w:t xml:space="preserve"> petición inicial de 19 de enero de 2007, folios 86 a 87.</w:t>
      </w:r>
    </w:p>
  </w:footnote>
  <w:footnote w:id="36">
    <w:p w14:paraId="55841F2B" w14:textId="7C34F861"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7. Informe Policial. Delegación de Gobierno del Amambay. Nota J.P. No. 128/91, 31 de octubre de 1991. Expediente judicial. Anexos a la</w:t>
      </w:r>
      <w:r w:rsidRPr="000D7953">
        <w:rPr>
          <w:rFonts w:ascii="Cambria" w:hAnsi="Cambria"/>
          <w:sz w:val="16"/>
          <w:szCs w:val="16"/>
          <w:lang w:val="es-MX"/>
        </w:rPr>
        <w:t xml:space="preserve"> petición inicial de 19 de enero de 2007, folios 164 y 165</w:t>
      </w:r>
      <w:r w:rsidRPr="000D7953">
        <w:rPr>
          <w:rFonts w:ascii="Cambria" w:hAnsi="Cambria"/>
          <w:sz w:val="16"/>
          <w:szCs w:val="16"/>
          <w:lang w:val="es-PE"/>
        </w:rPr>
        <w:t>, y anexo 22. Nota de prensa s/f titulada “Hay identikit de 2 asesinos de Leguizamón”. Expediente judicial. Anexos a la</w:t>
      </w:r>
      <w:r w:rsidRPr="000D7953">
        <w:rPr>
          <w:rFonts w:ascii="Cambria" w:hAnsi="Cambria"/>
          <w:sz w:val="16"/>
          <w:szCs w:val="16"/>
          <w:lang w:val="es-MX"/>
        </w:rPr>
        <w:t xml:space="preserve"> petición inicial de 19 de enero de 2007, folio 48. </w:t>
      </w:r>
    </w:p>
  </w:footnote>
  <w:footnote w:id="37">
    <w:p w14:paraId="2CB18C42" w14:textId="1729AAA9"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23. Cartas y oficios entre autoridades policiales del Paraguay y Brasil, 9, 14, 15 y 16 de enero de 1992, e informe ampliatorio sobre investigaciones practicadas Nota J.P No. 3/92, 21 de enero de 1992. Expediente judicial. Anexos a la</w:t>
      </w:r>
      <w:r w:rsidRPr="000D7953">
        <w:rPr>
          <w:rFonts w:ascii="Cambria" w:hAnsi="Cambria"/>
          <w:sz w:val="16"/>
          <w:szCs w:val="16"/>
          <w:lang w:val="es-MX"/>
        </w:rPr>
        <w:t xml:space="preserve"> petición inicial de 19 de enero de 2007. </w:t>
      </w:r>
    </w:p>
  </w:footnote>
  <w:footnote w:id="38">
    <w:p w14:paraId="3C28C444" w14:textId="3484CDF7"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24. Auto del juez de primera instancia en lo criminal y tutelar del menor del primer turno de la ciudad de Pedro Juan Caballero, 10 de febrero de 1992; exhortos Nos. 3/92, 4/92, 5/92, 6/92, 7/92 y 8/92, 10 de febrero de 1992, y Nota No. 41 al Cónsul paraguayo en Ponta Porá, 10 de febrero de 1992. Expediente judicial. Anexos a la</w:t>
      </w:r>
      <w:r w:rsidRPr="000D7953">
        <w:rPr>
          <w:rFonts w:ascii="Cambria" w:hAnsi="Cambria"/>
          <w:sz w:val="16"/>
          <w:szCs w:val="16"/>
          <w:lang w:val="es-MX"/>
        </w:rPr>
        <w:t xml:space="preserve"> petición inicial de 19 de enero de 2007, folios 206 a 213.</w:t>
      </w:r>
    </w:p>
  </w:footnote>
  <w:footnote w:id="39">
    <w:p w14:paraId="3DB0E695" w14:textId="1E780788"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25. N.N No. 4/92 del Consulado del Paraguay en Ponta Porã “11 de 1992” y documentación referida a la respuesta de Brasil. Expediente judicial. Anexos a la</w:t>
      </w:r>
      <w:r w:rsidRPr="000D7953">
        <w:rPr>
          <w:rFonts w:ascii="Cambria" w:hAnsi="Cambria"/>
          <w:sz w:val="16"/>
          <w:szCs w:val="16"/>
          <w:lang w:val="es-MX"/>
        </w:rPr>
        <w:t xml:space="preserve"> petición inicial de 19 de enero de 2007, folios 233 a 241.</w:t>
      </w:r>
    </w:p>
  </w:footnote>
  <w:footnote w:id="40">
    <w:p w14:paraId="622F414F" w14:textId="7DC5ADBE"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26. Dictamen Fiscal No. 85, 6 de abril de 1992. Expediente judicial. Anexos a la</w:t>
      </w:r>
      <w:r w:rsidRPr="000D7953">
        <w:rPr>
          <w:rFonts w:ascii="Cambria" w:hAnsi="Cambria"/>
          <w:sz w:val="16"/>
          <w:szCs w:val="16"/>
          <w:lang w:val="es-MX"/>
        </w:rPr>
        <w:t xml:space="preserve"> petición inicial de 19 de enero de 2007, folios 244 a 245.</w:t>
      </w:r>
    </w:p>
  </w:footnote>
  <w:footnote w:id="41">
    <w:p w14:paraId="65C39FCC" w14:textId="23A73ADA"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27. </w:t>
      </w:r>
      <w:r w:rsidRPr="000D7953">
        <w:rPr>
          <w:rFonts w:ascii="Cambria" w:hAnsi="Cambria"/>
          <w:color w:val="000000" w:themeColor="text1"/>
          <w:sz w:val="16"/>
          <w:szCs w:val="16"/>
          <w:lang w:val="es-PE"/>
        </w:rPr>
        <w:t xml:space="preserve">Solicitud del Fiscal de Feria de la circunscripción del Amambay, 15 de enero de 1992, y solicitud del Fiscal del segundo turno e interino del primer turno de la circunscripción del Amambay, 13 de febrero de 1992. </w:t>
      </w:r>
      <w:r w:rsidRPr="000D7953">
        <w:rPr>
          <w:rFonts w:ascii="Cambria" w:hAnsi="Cambria"/>
          <w:sz w:val="16"/>
          <w:szCs w:val="16"/>
          <w:lang w:val="es-PE"/>
        </w:rPr>
        <w:t>Expediente judicial. Anexos a la</w:t>
      </w:r>
      <w:r w:rsidRPr="000D7953">
        <w:rPr>
          <w:rFonts w:ascii="Cambria" w:hAnsi="Cambria"/>
          <w:sz w:val="16"/>
          <w:szCs w:val="16"/>
          <w:lang w:val="es-MX"/>
        </w:rPr>
        <w:t xml:space="preserve"> petición inicial de 19 de enero de 2007, folios 181 y 214 a 215.</w:t>
      </w:r>
    </w:p>
  </w:footnote>
  <w:footnote w:id="42">
    <w:p w14:paraId="0D8F940D" w14:textId="6189752A"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28. Notas periodísticas. Expediente judicial. Anexos a la</w:t>
      </w:r>
      <w:r w:rsidRPr="000D7953">
        <w:rPr>
          <w:rFonts w:ascii="Cambria" w:hAnsi="Cambria"/>
          <w:sz w:val="16"/>
          <w:szCs w:val="16"/>
          <w:lang w:val="es-MX"/>
        </w:rPr>
        <w:t xml:space="preserve"> petición inicial de 19 de enero de 2007, folios 177 a 180, 184 a 185 y 188 y ss.</w:t>
      </w:r>
    </w:p>
  </w:footnote>
  <w:footnote w:id="43">
    <w:p w14:paraId="48549A88" w14:textId="27C1D15D"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29. Ampliación de sumario, 18 de febrero de 1992. Expediente judicial. Anexo a la</w:t>
      </w:r>
      <w:r w:rsidRPr="000D7953">
        <w:rPr>
          <w:rFonts w:ascii="Cambria" w:hAnsi="Cambria"/>
          <w:sz w:val="16"/>
          <w:szCs w:val="16"/>
          <w:lang w:val="es-MX"/>
        </w:rPr>
        <w:t xml:space="preserve"> petición inicial de 19 de enero de 2007, folio 217.</w:t>
      </w:r>
      <w:r w:rsidRPr="000D7953">
        <w:rPr>
          <w:rFonts w:ascii="Cambria" w:hAnsi="Cambria"/>
          <w:sz w:val="16"/>
          <w:szCs w:val="16"/>
          <w:lang w:val="es-PE"/>
        </w:rPr>
        <w:t xml:space="preserve"> Las personas que fueron incluidas en el sumario y cuya detención se solicitaron son: Daniel Álvarez Georges, Walter Aparecido de Lima, João Francisco R. Pires, Mauricio Marques, Francisco Giménez, Vilmar Aparecido Lima, Braz Vaz de Moura, Luis Enrique Georges, Reginaldo Naba, João Aparecido de Lima, Arístides Calonga López, José Altino Dos Santos, Milton Gonzaga y João Francisco Araulho.</w:t>
      </w:r>
    </w:p>
  </w:footnote>
  <w:footnote w:id="44">
    <w:p w14:paraId="775ED070" w14:textId="51899B33"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30. Oficios No. 84 y 85; telegramas a Ministerio del Interior y Jefatura de la policía de la capital, 18 de febrero de 1992, y Oficios No. 93 y 94, 19 de febrero de 1992. Expediente judicial. Anexo a la</w:t>
      </w:r>
      <w:r w:rsidRPr="000D7953">
        <w:rPr>
          <w:rFonts w:ascii="Cambria" w:hAnsi="Cambria"/>
          <w:sz w:val="16"/>
          <w:szCs w:val="16"/>
          <w:lang w:val="es-MX"/>
        </w:rPr>
        <w:t xml:space="preserve"> petición inicial de 19 de enero de 2007, folios 218 a 221, y 227 a 228.</w:t>
      </w:r>
    </w:p>
  </w:footnote>
  <w:footnote w:id="45">
    <w:p w14:paraId="77744EE0" w14:textId="2713D922"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31. Resolución del juez de primera instancia en lo criminal y tutelar del menor del primer turno de la ciudad de Pedro Juan Caballero, 16 de marzo de 1992. Expediente judicial. Anexo a la</w:t>
      </w:r>
      <w:r w:rsidRPr="000D7953">
        <w:rPr>
          <w:rFonts w:ascii="Cambria" w:hAnsi="Cambria"/>
          <w:sz w:val="16"/>
          <w:szCs w:val="16"/>
          <w:lang w:val="es-MX"/>
        </w:rPr>
        <w:t xml:space="preserve"> petición inicial de 19 de enero de 2007, folio </w:t>
      </w:r>
      <w:r w:rsidRPr="000D7953">
        <w:rPr>
          <w:rFonts w:ascii="Cambria" w:hAnsi="Cambria"/>
          <w:sz w:val="16"/>
          <w:szCs w:val="16"/>
          <w:lang w:val="es-PE"/>
        </w:rPr>
        <w:t xml:space="preserve">232. </w:t>
      </w:r>
    </w:p>
    <w:p w14:paraId="005A9F2C" w14:textId="4448DE45" w:rsidR="000A5EAC" w:rsidRPr="000D7953" w:rsidRDefault="000A5EAC" w:rsidP="000D7953">
      <w:pPr>
        <w:pStyle w:val="FootnoteText"/>
        <w:tabs>
          <w:tab w:val="left" w:pos="1800"/>
        </w:tabs>
        <w:jc w:val="both"/>
        <w:rPr>
          <w:rFonts w:ascii="Cambria" w:hAnsi="Cambria"/>
          <w:sz w:val="16"/>
          <w:szCs w:val="16"/>
          <w:lang w:val="es-PE"/>
        </w:rPr>
      </w:pPr>
      <w:r w:rsidRPr="000D7953">
        <w:rPr>
          <w:rFonts w:ascii="Cambria" w:hAnsi="Cambria"/>
          <w:sz w:val="16"/>
          <w:szCs w:val="16"/>
          <w:lang w:val="es-PE"/>
        </w:rPr>
        <w:t>Daniel Alvarez Georges era hijo de Fahd Yamil. Anexo 32. Declaración de Francisco Vierci Mendoza ante el juez de primera instancia en lo criminal y tutelar del menor del primer turno de la ciudad de Pedro Juan Caballero, 3 de marzo de 1992. Expediente judicial. Anexo a la</w:t>
      </w:r>
      <w:r w:rsidRPr="000D7953">
        <w:rPr>
          <w:rFonts w:ascii="Cambria" w:hAnsi="Cambria"/>
          <w:sz w:val="16"/>
          <w:szCs w:val="16"/>
          <w:lang w:val="es-MX"/>
        </w:rPr>
        <w:t xml:space="preserve"> petición inicial de 19 de enero de 2007, folios 230 y 231.</w:t>
      </w:r>
    </w:p>
  </w:footnote>
  <w:footnote w:id="46">
    <w:p w14:paraId="19DFF24A" w14:textId="3A83DF5F"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33. Oficio D-9-J. No. 1.757, 2 de marzo de 1992. Expediente judicial. Anexo a la</w:t>
      </w:r>
      <w:r w:rsidRPr="000D7953">
        <w:rPr>
          <w:rFonts w:ascii="Cambria" w:hAnsi="Cambria"/>
          <w:sz w:val="16"/>
          <w:szCs w:val="16"/>
          <w:lang w:val="es-MX"/>
        </w:rPr>
        <w:t xml:space="preserve"> petición inicial de 19 de enero de 2007, folio </w:t>
      </w:r>
      <w:r w:rsidRPr="000D7953">
        <w:rPr>
          <w:rFonts w:ascii="Cambria" w:hAnsi="Cambria"/>
          <w:sz w:val="16"/>
          <w:szCs w:val="16"/>
          <w:lang w:val="es-PE"/>
        </w:rPr>
        <w:t>242.</w:t>
      </w:r>
    </w:p>
  </w:footnote>
  <w:footnote w:id="47">
    <w:p w14:paraId="1BEBC1FF" w14:textId="292E4EAD"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34. Oficio IP/66/OF-33/92, 3 de abril de 1992, y resolución del juez de primera instancia en lo criminal y tutelar del menor del primer turno de la ciudad de Pedro Juan Caballero, 27 de mayo de 1992; Oficios No. 414, 415, 416 y 417 mediante los cuales el juzgado reitera las órdenes de captura, 30 de septiembre de 1992, y Oficio D-9-J. No. 12.785, 9 de noviembre de 1992 por medio del cual la policía comunica que se impartió las órdenes de captura solicitadas. Expediente judicial. Anexo a la</w:t>
      </w:r>
      <w:r w:rsidRPr="000D7953">
        <w:rPr>
          <w:rFonts w:ascii="Cambria" w:hAnsi="Cambria"/>
          <w:sz w:val="16"/>
          <w:szCs w:val="16"/>
          <w:lang w:val="es-MX"/>
        </w:rPr>
        <w:t xml:space="preserve"> petición inicial de 19 de enero de 2007, folios </w:t>
      </w:r>
      <w:r w:rsidRPr="000D7953">
        <w:rPr>
          <w:rFonts w:ascii="Cambria" w:hAnsi="Cambria"/>
          <w:sz w:val="16"/>
          <w:szCs w:val="16"/>
          <w:lang w:val="es-PE"/>
        </w:rPr>
        <w:t>305 a 310.</w:t>
      </w:r>
    </w:p>
  </w:footnote>
  <w:footnote w:id="48">
    <w:p w14:paraId="03867259" w14:textId="36B5BE3B"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MX"/>
        </w:rPr>
        <w:t>Escrito de observaciones de fondo de los peticionarios de 22 de noviembre de 2016, párr. 98.</w:t>
      </w:r>
    </w:p>
  </w:footnote>
  <w:footnote w:id="49">
    <w:p w14:paraId="120CEEBE" w14:textId="708D1531"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35. Resolución del juez de primera instancia en lo criminal y tutelar del menor del primer turno de la ciudad de Pedro Juan Caballero, 29 de abril de 1992. Expediente judicial. Anexo a la</w:t>
      </w:r>
      <w:r w:rsidRPr="000D7953">
        <w:rPr>
          <w:rFonts w:ascii="Cambria" w:hAnsi="Cambria"/>
          <w:sz w:val="16"/>
          <w:szCs w:val="16"/>
          <w:lang w:val="es-MX"/>
        </w:rPr>
        <w:t xml:space="preserve"> petición inicial de 19 de enero de 2007, folio </w:t>
      </w:r>
      <w:r w:rsidRPr="000D7953">
        <w:rPr>
          <w:rFonts w:ascii="Cambria" w:hAnsi="Cambria"/>
          <w:sz w:val="16"/>
          <w:szCs w:val="16"/>
          <w:lang w:val="es-PE"/>
        </w:rPr>
        <w:t>249.</w:t>
      </w:r>
    </w:p>
  </w:footnote>
  <w:footnote w:id="50">
    <w:p w14:paraId="6771F3FC" w14:textId="6F72EA8A"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36. Auto interlocutorio No. 232, 21 de septiembre de 1992. Expediente judicial. Anexo a la</w:t>
      </w:r>
      <w:r w:rsidRPr="000D7953">
        <w:rPr>
          <w:rFonts w:ascii="Cambria" w:hAnsi="Cambria"/>
          <w:sz w:val="16"/>
          <w:szCs w:val="16"/>
          <w:lang w:val="es-MX"/>
        </w:rPr>
        <w:t xml:space="preserve"> petición inicial de 19 de enero de 2007, folio </w:t>
      </w:r>
      <w:r w:rsidRPr="000D7953">
        <w:rPr>
          <w:rFonts w:ascii="Cambria" w:hAnsi="Cambria"/>
          <w:sz w:val="16"/>
          <w:szCs w:val="16"/>
          <w:lang w:val="es-PE"/>
        </w:rPr>
        <w:t>297.</w:t>
      </w:r>
    </w:p>
  </w:footnote>
  <w:footnote w:id="51">
    <w:p w14:paraId="375C239C" w14:textId="269CA626"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37. Exhortos No. 2, 3, 4, 5, 6, 7 y 8, 30 de septiembre de 1992, y Oficio No. 418, 30 de septiembre de 1992. Expediente judicial. Anexo a la</w:t>
      </w:r>
      <w:r w:rsidRPr="000D7953">
        <w:rPr>
          <w:rFonts w:ascii="Cambria" w:hAnsi="Cambria"/>
          <w:sz w:val="16"/>
          <w:szCs w:val="16"/>
          <w:lang w:val="es-MX"/>
        </w:rPr>
        <w:t xml:space="preserve"> petición inicial de 19 de enero de 2007, folios </w:t>
      </w:r>
      <w:r w:rsidRPr="000D7953">
        <w:rPr>
          <w:rFonts w:ascii="Cambria" w:hAnsi="Cambria"/>
          <w:sz w:val="16"/>
          <w:szCs w:val="16"/>
          <w:lang w:val="es-PE"/>
        </w:rPr>
        <w:t>298 a 304 y 309.</w:t>
      </w:r>
    </w:p>
  </w:footnote>
  <w:footnote w:id="52">
    <w:p w14:paraId="7D8FB334" w14:textId="6234F5FE"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MX"/>
        </w:rPr>
        <w:t>Escrito de observaciones de fondo de los peticionarios de 22 de noviembre de 2016, párr. 100.</w:t>
      </w:r>
    </w:p>
  </w:footnote>
  <w:footnote w:id="53">
    <w:p w14:paraId="24D472D5" w14:textId="1CBB0AE2"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MX"/>
        </w:rPr>
        <w:t>Escrito de observaciones de fondo de los peticionarios de 22 de noviembre de 2016, párr. 101.</w:t>
      </w:r>
    </w:p>
  </w:footnote>
  <w:footnote w:id="54">
    <w:p w14:paraId="50BE4541" w14:textId="649530F2"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MX"/>
        </w:rPr>
        <w:t>Escrito de observaciones de fondo de los peticionarios de 22 de noviembre de 2016, párr. 102, y escrito del Estado de 13 de diciembre de 2010, pág. 3. El Estado destacó que la fecha de detención fue 15 de octubre de 1994.</w:t>
      </w:r>
    </w:p>
  </w:footnote>
  <w:footnote w:id="55">
    <w:p w14:paraId="635FEC38" w14:textId="3CAB3C9A"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MX"/>
        </w:rPr>
        <w:t>Escrito de observaciones de fondo de los peticionarios de 22 de noviembre de 2016, párr. 103, y escrito del Estado de 13 de diciembre de 2010, pág. 3. El Estado destacó que se incluyó al procesado mediante ampliación del sumario por auto interlocutorio No. 317.</w:t>
      </w:r>
    </w:p>
  </w:footnote>
  <w:footnote w:id="56">
    <w:p w14:paraId="03A46337" w14:textId="03D7E063"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MX"/>
        </w:rPr>
        <w:t>Escrito de observaciones de fondo de los peticionarios de 22 de noviembre de 2016, párr. 104, y escrito del Estado de 13 de diciembre de 2010, pág. 3. El Estado destacó que la detención preventiva se levantó mediante auto interlocutorio No. 364.</w:t>
      </w:r>
    </w:p>
  </w:footnote>
  <w:footnote w:id="57">
    <w:p w14:paraId="749343A9" w14:textId="70C0C5D3"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MX"/>
        </w:rPr>
        <w:t>Escrito de observaciones de fondo de los peticionarios de 22 de noviembre de 2016, párr. 105.</w:t>
      </w:r>
    </w:p>
  </w:footnote>
  <w:footnote w:id="58">
    <w:p w14:paraId="4D99CE27" w14:textId="629EB693"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38. Dictamen Fiscal No. 127, 14 de mayo de 1992; nota de prensa titulada “Aparece testigo en el caso Leguizamón” publicada en el diario “Última Hora”; Declaración de Julia [Bogado] de González ante el Juez de primera instancia en lo criminal y correccional del menor del tercer turno de la ciudad de Pedro Juan Caballero, 29 de mayo de 1992, y declaración de Egidio Bogado López ante el Juez de primera instancia en lo criminal y correccional del menor del tercer turno de la ciudad de Pedro Juan Caballero, 18 de junio de 1992. Expediente judicial. Anexos a la</w:t>
      </w:r>
      <w:r w:rsidRPr="000D7953">
        <w:rPr>
          <w:rFonts w:ascii="Cambria" w:hAnsi="Cambria"/>
          <w:sz w:val="16"/>
          <w:szCs w:val="16"/>
          <w:lang w:val="es-MX"/>
        </w:rPr>
        <w:t xml:space="preserve"> petición inicial de 19 de enero de 2007, folios 252 a 254, 271 a 273 y 288 a 289.</w:t>
      </w:r>
    </w:p>
  </w:footnote>
  <w:footnote w:id="59">
    <w:p w14:paraId="0034977D" w14:textId="185B0C3D"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MX"/>
        </w:rPr>
        <w:t xml:space="preserve">Escrito de observaciones de fondo de los peticionarios de 22 de noviembre de 2016, párr. 106, y escrito del Estado de 13 de diciembre de 2010, págs. 3 y 4. </w:t>
      </w:r>
    </w:p>
  </w:footnote>
  <w:footnote w:id="60">
    <w:p w14:paraId="6418ABD9" w14:textId="7DCF1D22"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39. Declaración de Julia [Bogado] de González ante el Juez de primera instancia en lo criminal y correccional del menor del tercer turno de la ciudad de Pedro Juan Caballero, 29 de mayo de 1992; Auto por el cual el juez ordena la adopción de medidas de protección policial, 29 de mayo de 1992, y Nota No. 189 dirigida al Delegado de Gobierno del Amambay, ordenando se ejecute la medida de protección policial por ocho días, 29 de mayo de 1992. Expediente judicial. Anexos a la</w:t>
      </w:r>
      <w:r w:rsidRPr="000D7953">
        <w:rPr>
          <w:rFonts w:ascii="Cambria" w:hAnsi="Cambria"/>
          <w:sz w:val="16"/>
          <w:szCs w:val="16"/>
          <w:lang w:val="es-MX"/>
        </w:rPr>
        <w:t xml:space="preserve"> petición inicial de 19 de enero de 2007, folios 272 a 274. </w:t>
      </w:r>
    </w:p>
  </w:footnote>
  <w:footnote w:id="61">
    <w:p w14:paraId="045EB8E4" w14:textId="0C4EA8EC"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MX"/>
        </w:rPr>
        <w:t>Escrito de observaciones de fondo de los peticionarios de 22 de noviembre de 2016, párr. 107.</w:t>
      </w:r>
    </w:p>
  </w:footnote>
  <w:footnote w:id="62">
    <w:p w14:paraId="77D0F123" w14:textId="0D9DAB99"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40. Resolución No. 5 del Juez penal de liquidación y sentencia número uno de la circunscripción judicial del Amambay, 20 de febrero de 2002. Anexo al escrito de la parte peticionaria de 30 de junio de 2008, folios 1747 a 1748.</w:t>
      </w:r>
    </w:p>
  </w:footnote>
  <w:footnote w:id="63">
    <w:p w14:paraId="375BE74B" w14:textId="6EAE8895"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40. Resolución No. 5 del Juez penal de liquidación y sentencia número uno de la circunscripción judicial del Amambay, 20 de febrero de 2002. Anexo al escrito de la parte peticionaria de 30 de junio de 2008, folios 1747 a 1748. El artículo 5, numeral (51) de la Constitución brasileña establece que: “ningún brasileño será extraditado, salvo el naturalizado, en supuesto de delito común, practicado antes de la naturalización o de comprobada vinculación en tráfico ilícito de estupefacientes y drogas afines, en la forma de la ley”.</w:t>
      </w:r>
    </w:p>
  </w:footnote>
  <w:footnote w:id="64">
    <w:p w14:paraId="790E6415" w14:textId="38BAB870"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40. Resolución No. 5 del Juez penal de liquidación y sentencia número uno de la circunscripción judicial del Amambay, 20 de febrero de 2002. Anexo al escrito de la parte peticionaria de 30 de junio de 2008, folios 1747 a 1748.</w:t>
      </w:r>
    </w:p>
  </w:footnote>
  <w:footnote w:id="65">
    <w:p w14:paraId="11B29C5D" w14:textId="6E426159"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41. Oficio s/f del dirigido por el Juez penal de liquidación y sentencia número uno de la circunscripción judicial del Amambay a la Ministra de la Corte Suprema de Justicia. Anexo al escrito de la parte peticionaria de 30 de junio de 2008, folio 1753.</w:t>
      </w:r>
    </w:p>
  </w:footnote>
  <w:footnote w:id="66">
    <w:p w14:paraId="385062E9" w14:textId="76E33AB8"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Escrito del Estado de 13 de diciembre de 2010, pág. 5.</w:t>
      </w:r>
    </w:p>
  </w:footnote>
  <w:footnote w:id="67">
    <w:p w14:paraId="60060A24" w14:textId="49B8CFB6"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rPr>
        <w:t xml:space="preserve"> Anexo 42. DJ/50/JUST BRAS PARG. </w:t>
      </w:r>
      <w:r w:rsidRPr="000D7953">
        <w:rPr>
          <w:rFonts w:ascii="Cambria" w:hAnsi="Cambria"/>
          <w:sz w:val="16"/>
          <w:szCs w:val="16"/>
          <w:lang w:val="es-PE"/>
        </w:rPr>
        <w:t>Nota del Ministerio de Relaciones Exteriores de Brasil a la Embajada de Paraguay, 13 de julio de 2007. Nota No. 127 del presidente de la circunscripción judicial del Amambay a la presidenta de la Corte Suprema de Justicia, 13 de septiembre de 2007. Anexo al escrito de la parte peticionaria de 30 de junio de 2008, folios 1767 y 1772.</w:t>
      </w:r>
    </w:p>
  </w:footnote>
  <w:footnote w:id="68">
    <w:p w14:paraId="7F75E1D0" w14:textId="37D7716F"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Escrito del Estado de 13 de diciembre de 2010, pág. 5.</w:t>
      </w:r>
    </w:p>
  </w:footnote>
  <w:footnote w:id="69">
    <w:p w14:paraId="0C3E33E9" w14:textId="520557D3"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MX"/>
        </w:rPr>
        <w:t xml:space="preserve">Escrito de observaciones de fondo de los peticionarios de 22 de noviembre de 2016, pág. 22. </w:t>
      </w:r>
      <w:r w:rsidRPr="000D7953">
        <w:rPr>
          <w:rFonts w:ascii="Cambria" w:hAnsi="Cambria"/>
          <w:sz w:val="16"/>
          <w:szCs w:val="16"/>
          <w:lang w:val="es-PE"/>
        </w:rPr>
        <w:t>La CIDH no cuenta con el expediente completo del caso ni con los escritos de envío del expediente judicial a la justicia brasileña.</w:t>
      </w:r>
    </w:p>
  </w:footnote>
  <w:footnote w:id="70">
    <w:p w14:paraId="350A9AF2" w14:textId="32072A45"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Escrito del Estado de 1 de febrero de 2011, pág. 1. Anexo 43. Anexos al escrito del Estado de 1 de febrero de 2011.</w:t>
      </w:r>
    </w:p>
  </w:footnote>
  <w:footnote w:id="71">
    <w:p w14:paraId="793C02A6" w14:textId="4B669F91"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44. Investigación de la Sociedad Interamericana de Prensa (SIP) sobre el caso Santiago Leguizamón ante autoridades judiciales brasileñas. Anexo al escrito de la parte peticionaria de 12 de enero de 2012, folio 3.</w:t>
      </w:r>
    </w:p>
  </w:footnote>
  <w:footnote w:id="72">
    <w:p w14:paraId="3E394840" w14:textId="174CFC37"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Los ciudadanos brasileños fallecidos serían: José Aparecido de Lima, Braz Vas de Moura, José Francisco Araulho (alias “tiro certo”), Walter Aparecido de Lima, José Francisco Da Rocha Pires y Arístides Calonga López. Este último falleció en Paraguay en 2001. Escrito del Estado de 13 de diciembre de 2010, pág. 4. Anexo 45. Anexo al escrito de la parte peticionaria de 30 de junio de 2008, folios 1786 y 1787. Paraguay consultó al Brasil sobre la muerte de estas personas, sin embargo, no existe confirmación de dicha consulta en el expediente ante la Comisión.</w:t>
      </w:r>
    </w:p>
  </w:footnote>
  <w:footnote w:id="73">
    <w:p w14:paraId="0F9BB94F" w14:textId="4E179D7B"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MX"/>
        </w:rPr>
        <w:t>Escrito de observaciones de fondo de los peticionarios de 22 de noviembre de 2016, págs. 13 y 14.</w:t>
      </w:r>
    </w:p>
  </w:footnote>
  <w:footnote w:id="74">
    <w:p w14:paraId="7DC58E76" w14:textId="4C7E865F"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MX"/>
        </w:rPr>
        <w:t>Escrito de observaciones de fondo de los peticionarios de 22 de noviembre de 2016, párr. 79.</w:t>
      </w:r>
    </w:p>
  </w:footnote>
  <w:footnote w:id="75">
    <w:p w14:paraId="6B8C6A82" w14:textId="60C47987"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MX"/>
        </w:rPr>
        <w:t>Escrito de observaciones de fondo de los peticionarios de 22 de noviembre de 2016, párrs. 80 a 88.</w:t>
      </w:r>
    </w:p>
  </w:footnote>
  <w:footnote w:id="76">
    <w:p w14:paraId="6871C150" w14:textId="550F8447" w:rsidR="000A5EAC" w:rsidRPr="000D7953" w:rsidRDefault="000A5EAC" w:rsidP="000D7953">
      <w:pPr>
        <w:pStyle w:val="ListParagraph"/>
        <w:shd w:val="clear" w:color="auto" w:fill="FFFFFF"/>
        <w:tabs>
          <w:tab w:val="left" w:pos="810"/>
          <w:tab w:val="left" w:pos="1800"/>
        </w:tabs>
        <w:spacing w:before="0" w:after="0"/>
        <w:rPr>
          <w:szCs w:val="16"/>
          <w:lang w:val="es-CO"/>
        </w:rPr>
      </w:pPr>
      <w:r w:rsidRPr="000D7953">
        <w:rPr>
          <w:rStyle w:val="FootnoteReference"/>
          <w:szCs w:val="16"/>
        </w:rPr>
        <w:footnoteRef/>
      </w:r>
      <w:r w:rsidRPr="000D7953">
        <w:rPr>
          <w:szCs w:val="16"/>
          <w:lang w:val="es-CO"/>
        </w:rPr>
        <w:t xml:space="preserve"> El artículo 4.1 de la Convención determina que “</w:t>
      </w:r>
      <w:r w:rsidRPr="000D7953">
        <w:rPr>
          <w:rFonts w:cs="Tahoma"/>
          <w:szCs w:val="16"/>
          <w:lang w:val="es-CO" w:eastAsia="x-none"/>
        </w:rPr>
        <w:t xml:space="preserve">[t]oda persona tiene derecho a que se respete su vida. Este derecho estará protegido por la ley y, en general, a partir del momento de la concepción. </w:t>
      </w:r>
      <w:r w:rsidRPr="000D7953">
        <w:rPr>
          <w:rFonts w:cs="Tahoma"/>
          <w:szCs w:val="16"/>
          <w:lang w:val="es-AR"/>
        </w:rPr>
        <w:t>Nadie puede ser privado de la vida arbitrariamente. […]”</w:t>
      </w:r>
    </w:p>
  </w:footnote>
  <w:footnote w:id="77">
    <w:p w14:paraId="635B4C9D" w14:textId="77777777" w:rsidR="000A5EAC" w:rsidRPr="000D7953" w:rsidRDefault="000A5EAC" w:rsidP="000D7953">
      <w:pPr>
        <w:pStyle w:val="FootnoteText"/>
        <w:tabs>
          <w:tab w:val="left" w:pos="1800"/>
        </w:tabs>
        <w:jc w:val="both"/>
        <w:rPr>
          <w:rFonts w:ascii="Cambria" w:hAnsi="Cambria"/>
          <w:color w:val="auto"/>
          <w:sz w:val="16"/>
          <w:szCs w:val="16"/>
          <w:lang w:val="es-MX"/>
        </w:rPr>
      </w:pPr>
      <w:r w:rsidRPr="000D7953">
        <w:rPr>
          <w:rStyle w:val="FootnoteReference"/>
          <w:rFonts w:ascii="Cambria" w:hAnsi="Cambria"/>
          <w:color w:val="auto"/>
          <w:sz w:val="16"/>
          <w:szCs w:val="16"/>
        </w:rPr>
        <w:footnoteRef/>
      </w:r>
      <w:r w:rsidRPr="000D7953">
        <w:rPr>
          <w:rFonts w:ascii="Cambria" w:hAnsi="Cambria"/>
          <w:color w:val="auto"/>
          <w:sz w:val="16"/>
          <w:szCs w:val="16"/>
          <w:lang w:val="es-MX"/>
        </w:rPr>
        <w:t xml:space="preserve"> El artículo 13 de la Convención Americana dispone en lo pertinente que:</w:t>
      </w:r>
    </w:p>
    <w:p w14:paraId="40970F3B" w14:textId="1DF02FF8" w:rsidR="000A5EAC" w:rsidRPr="000D7953" w:rsidRDefault="000A5EAC" w:rsidP="000D7953">
      <w:pPr>
        <w:pStyle w:val="FootnoteText"/>
        <w:tabs>
          <w:tab w:val="left" w:pos="1800"/>
        </w:tabs>
        <w:jc w:val="both"/>
        <w:rPr>
          <w:rFonts w:ascii="Cambria" w:hAnsi="Cambria"/>
          <w:color w:val="auto"/>
          <w:sz w:val="16"/>
          <w:szCs w:val="16"/>
          <w:lang w:val="es-MX"/>
        </w:rPr>
      </w:pPr>
      <w:r w:rsidRPr="000D7953">
        <w:rPr>
          <w:rFonts w:ascii="Cambria" w:hAnsi="Cambria"/>
          <w:color w:val="auto"/>
          <w:sz w:val="16"/>
          <w:szCs w:val="16"/>
          <w:lang w:val="es-MX"/>
        </w:rPr>
        <w:t>“1.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7E302F5C" w14:textId="77777777" w:rsidR="000A5EAC" w:rsidRPr="000D7953" w:rsidRDefault="000A5EAC" w:rsidP="000D7953">
      <w:pPr>
        <w:pStyle w:val="FootnoteText"/>
        <w:tabs>
          <w:tab w:val="left" w:pos="1800"/>
        </w:tabs>
        <w:jc w:val="both"/>
        <w:rPr>
          <w:rFonts w:ascii="Cambria" w:hAnsi="Cambria"/>
          <w:color w:val="auto"/>
          <w:sz w:val="16"/>
          <w:szCs w:val="16"/>
          <w:lang w:val="es-MX"/>
        </w:rPr>
      </w:pPr>
      <w:r w:rsidRPr="000D7953">
        <w:rPr>
          <w:rFonts w:ascii="Cambria" w:hAnsi="Cambria"/>
          <w:color w:val="auto"/>
          <w:sz w:val="16"/>
          <w:szCs w:val="16"/>
          <w:lang w:val="es-MX"/>
        </w:rPr>
        <w:t>2. El ejercicio del derecho previsto en el inciso precedente no puede estar sujeto a previa censura sino a responsabilidades ulteriores, las que deben estar expresamente fijadas por la ley y ser necesarias para asegurar:</w:t>
      </w:r>
    </w:p>
    <w:p w14:paraId="1995CFF7" w14:textId="77777777" w:rsidR="000A5EAC" w:rsidRPr="000D7953" w:rsidRDefault="000A5EAC" w:rsidP="000D7953">
      <w:pPr>
        <w:pStyle w:val="FootnoteText"/>
        <w:tabs>
          <w:tab w:val="left" w:pos="1800"/>
        </w:tabs>
        <w:jc w:val="both"/>
        <w:rPr>
          <w:rFonts w:ascii="Cambria" w:hAnsi="Cambria"/>
          <w:color w:val="auto"/>
          <w:sz w:val="16"/>
          <w:szCs w:val="16"/>
          <w:lang w:val="es-MX"/>
        </w:rPr>
      </w:pPr>
      <w:r w:rsidRPr="000D7953">
        <w:rPr>
          <w:rFonts w:ascii="Cambria" w:hAnsi="Cambria"/>
          <w:color w:val="auto"/>
          <w:sz w:val="16"/>
          <w:szCs w:val="16"/>
          <w:lang w:val="es-MX"/>
        </w:rPr>
        <w:t>a. el respeto a los derechos o a la reputación de los demás, o</w:t>
      </w:r>
    </w:p>
    <w:p w14:paraId="2357EDCE" w14:textId="77777777" w:rsidR="000A5EAC" w:rsidRPr="000D7953" w:rsidRDefault="000A5EAC" w:rsidP="000D7953">
      <w:pPr>
        <w:pStyle w:val="FootnoteText"/>
        <w:tabs>
          <w:tab w:val="left" w:pos="1800"/>
        </w:tabs>
        <w:jc w:val="both"/>
        <w:rPr>
          <w:rFonts w:ascii="Cambria" w:hAnsi="Cambria"/>
          <w:color w:val="auto"/>
          <w:sz w:val="16"/>
          <w:szCs w:val="16"/>
          <w:lang w:val="es-MX"/>
        </w:rPr>
      </w:pPr>
      <w:r w:rsidRPr="000D7953">
        <w:rPr>
          <w:rFonts w:ascii="Cambria" w:hAnsi="Cambria"/>
          <w:color w:val="auto"/>
          <w:sz w:val="16"/>
          <w:szCs w:val="16"/>
          <w:lang w:val="es-MX"/>
        </w:rPr>
        <w:t>b. la protección de la seguridad nacional, el orden público o la salud o la moral públicas.</w:t>
      </w:r>
    </w:p>
    <w:p w14:paraId="71836C3C" w14:textId="7F747E80" w:rsidR="000A5EAC" w:rsidRPr="000D7953" w:rsidRDefault="000A5EAC" w:rsidP="000D7953">
      <w:pPr>
        <w:pStyle w:val="FootnoteText"/>
        <w:tabs>
          <w:tab w:val="left" w:pos="1800"/>
        </w:tabs>
        <w:jc w:val="both"/>
        <w:rPr>
          <w:rFonts w:ascii="Cambria" w:hAnsi="Cambria"/>
          <w:color w:val="auto"/>
          <w:sz w:val="16"/>
          <w:szCs w:val="16"/>
          <w:lang w:val="es-MX"/>
        </w:rPr>
      </w:pPr>
      <w:r w:rsidRPr="000D7953">
        <w:rPr>
          <w:rFonts w:ascii="Cambria" w:hAnsi="Cambria"/>
          <w:color w:val="auto"/>
          <w:sz w:val="16"/>
          <w:szCs w:val="16"/>
          <w:lang w:val="es-MX"/>
        </w:rPr>
        <w:t>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 […]”</w:t>
      </w:r>
    </w:p>
  </w:footnote>
  <w:footnote w:id="78">
    <w:p w14:paraId="118D46A6" w14:textId="77777777" w:rsidR="000A5EAC" w:rsidRPr="000D7953" w:rsidRDefault="000A5EAC" w:rsidP="000D7953">
      <w:pPr>
        <w:shd w:val="clear" w:color="auto" w:fill="FFFFFF"/>
        <w:tabs>
          <w:tab w:val="left" w:pos="810"/>
          <w:tab w:val="left" w:pos="1800"/>
        </w:tabs>
        <w:jc w:val="both"/>
        <w:rPr>
          <w:rFonts w:ascii="Cambria" w:hAnsi="Cambria"/>
          <w:sz w:val="16"/>
          <w:szCs w:val="16"/>
          <w:lang w:val="es-ES_tradnl"/>
        </w:rPr>
      </w:pPr>
      <w:r w:rsidRPr="000D7953">
        <w:rPr>
          <w:rStyle w:val="FootnoteReference"/>
          <w:rFonts w:ascii="Cambria" w:hAnsi="Cambria"/>
          <w:sz w:val="16"/>
          <w:szCs w:val="16"/>
        </w:rPr>
        <w:footnoteRef/>
      </w:r>
      <w:r w:rsidRPr="000D7953">
        <w:rPr>
          <w:rFonts w:ascii="Cambria" w:hAnsi="Cambria"/>
          <w:sz w:val="16"/>
          <w:szCs w:val="16"/>
          <w:lang w:val="es-CO"/>
        </w:rPr>
        <w:t xml:space="preserve"> </w:t>
      </w:r>
      <w:r w:rsidRPr="000D7953">
        <w:rPr>
          <w:rFonts w:ascii="Cambria" w:hAnsi="Cambria" w:cs="Arial"/>
          <w:sz w:val="16"/>
          <w:szCs w:val="16"/>
          <w:lang w:val="es-AR"/>
        </w:rPr>
        <w:t>El artículo 8.1 de la Convención Americana establece que “</w:t>
      </w:r>
      <w:r w:rsidRPr="000D7953">
        <w:rPr>
          <w:rFonts w:ascii="Cambria" w:eastAsia="Calibri" w:hAnsi="Cambria" w:cs="Arial"/>
          <w:sz w:val="16"/>
          <w:szCs w:val="16"/>
          <w:lang w:val="es-ES_tradnl"/>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79">
    <w:p w14:paraId="73DC1B2E" w14:textId="77777777" w:rsidR="000A5EAC" w:rsidRPr="000D7953" w:rsidRDefault="000A5EAC" w:rsidP="000D7953">
      <w:pPr>
        <w:pStyle w:val="FootnoteText"/>
        <w:tabs>
          <w:tab w:val="left" w:pos="1800"/>
        </w:tabs>
        <w:jc w:val="both"/>
        <w:rPr>
          <w:rFonts w:ascii="Cambria" w:hAnsi="Cambria"/>
          <w:sz w:val="16"/>
          <w:szCs w:val="16"/>
          <w:lang w:val="es-CO"/>
        </w:rPr>
      </w:pPr>
      <w:r w:rsidRPr="000D7953">
        <w:rPr>
          <w:rStyle w:val="FootnoteReference"/>
          <w:rFonts w:ascii="Cambria" w:hAnsi="Cambria"/>
          <w:sz w:val="16"/>
          <w:szCs w:val="16"/>
        </w:rPr>
        <w:footnoteRef/>
      </w:r>
      <w:r w:rsidRPr="000D7953">
        <w:rPr>
          <w:rFonts w:ascii="Cambria" w:hAnsi="Cambria"/>
          <w:sz w:val="16"/>
          <w:szCs w:val="16"/>
          <w:lang w:val="es-CO"/>
        </w:rPr>
        <w:t xml:space="preserve"> </w:t>
      </w:r>
      <w:r w:rsidRPr="000D7953">
        <w:rPr>
          <w:rFonts w:ascii="Cambria" w:hAnsi="Cambria" w:cs="Arial"/>
          <w:sz w:val="16"/>
          <w:szCs w:val="16"/>
          <w:lang w:val="es-AR"/>
        </w:rPr>
        <w:t>El artículo 25.1 de la Convención consagra que “[t]</w:t>
      </w:r>
      <w:r w:rsidRPr="000D7953">
        <w:rPr>
          <w:rFonts w:ascii="Cambria" w:hAnsi="Cambria" w:cs="Arial"/>
          <w:sz w:val="16"/>
          <w:szCs w:val="16"/>
          <w:lang w:val="es-ES_tradnl"/>
        </w:rPr>
        <w: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80">
    <w:p w14:paraId="59DC4071" w14:textId="540F3935" w:rsidR="000A5EAC" w:rsidRPr="000D7953" w:rsidRDefault="000A5EAC" w:rsidP="000D7953">
      <w:pPr>
        <w:pStyle w:val="FootnoteText"/>
        <w:tabs>
          <w:tab w:val="left" w:pos="1800"/>
        </w:tabs>
        <w:jc w:val="both"/>
        <w:rPr>
          <w:rFonts w:ascii="Cambria" w:hAnsi="Cambria"/>
          <w:color w:val="auto"/>
          <w:sz w:val="16"/>
          <w:szCs w:val="16"/>
          <w:lang w:val="es-PE"/>
        </w:rPr>
      </w:pPr>
      <w:r w:rsidRPr="000D7953">
        <w:rPr>
          <w:rStyle w:val="FootnoteReference"/>
          <w:rFonts w:ascii="Cambria" w:hAnsi="Cambria"/>
          <w:color w:val="auto"/>
          <w:sz w:val="16"/>
          <w:szCs w:val="16"/>
        </w:rPr>
        <w:footnoteRef/>
      </w:r>
      <w:r w:rsidRPr="000D7953">
        <w:rPr>
          <w:rFonts w:ascii="Cambria" w:hAnsi="Cambria"/>
          <w:color w:val="auto"/>
          <w:sz w:val="16"/>
          <w:szCs w:val="16"/>
          <w:lang w:val="es-PE"/>
        </w:rPr>
        <w:t xml:space="preserve"> El </w:t>
      </w:r>
      <w:r w:rsidRPr="000D7953">
        <w:rPr>
          <w:rFonts w:ascii="Cambria" w:hAnsi="Cambria"/>
          <w:color w:val="auto"/>
          <w:sz w:val="16"/>
          <w:szCs w:val="16"/>
          <w:bdr w:val="none" w:sz="0" w:space="0" w:color="auto" w:frame="1"/>
          <w:lang w:val="es-MX"/>
        </w:rPr>
        <w:t xml:space="preserve">artículo 1.1 </w:t>
      </w:r>
      <w:r w:rsidRPr="000D7953">
        <w:rPr>
          <w:rFonts w:ascii="Cambria" w:hAnsi="Cambria"/>
          <w:color w:val="auto"/>
          <w:sz w:val="16"/>
          <w:szCs w:val="16"/>
          <w:lang w:val="es-MX"/>
        </w:rPr>
        <w:t>de la Convención Americana dispone que</w:t>
      </w:r>
      <w:r w:rsidRPr="000D7953">
        <w:rPr>
          <w:rFonts w:ascii="Cambria" w:eastAsia="Batang" w:hAnsi="Cambria"/>
          <w:color w:val="auto"/>
          <w:sz w:val="16"/>
          <w:szCs w:val="16"/>
          <w:bdr w:val="none" w:sz="0" w:space="0" w:color="auto" w:frame="1"/>
          <w:lang w:val="es-ES_tradnl"/>
        </w:rPr>
        <w:t xml:space="preserve">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81">
    <w:p w14:paraId="39839FA4" w14:textId="4E5A2837" w:rsidR="000A5EAC" w:rsidRPr="000D7953" w:rsidRDefault="000A5EAC" w:rsidP="000D7953">
      <w:pPr>
        <w:tabs>
          <w:tab w:val="left" w:pos="1800"/>
        </w:tabs>
        <w:jc w:val="both"/>
        <w:rPr>
          <w:rFonts w:ascii="Cambria" w:hAnsi="Cambria"/>
          <w:sz w:val="16"/>
          <w:szCs w:val="16"/>
          <w:lang w:val="es-ES"/>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iCs/>
          <w:sz w:val="16"/>
          <w:szCs w:val="16"/>
          <w:lang w:val="es-ES"/>
        </w:rPr>
        <w:t>Corte IDH.</w:t>
      </w:r>
      <w:r w:rsidRPr="000D7953">
        <w:rPr>
          <w:rFonts w:ascii="Cambria" w:hAnsi="Cambria"/>
          <w:i/>
          <w:sz w:val="16"/>
          <w:szCs w:val="16"/>
          <w:lang w:val="es-ES"/>
        </w:rPr>
        <w:t xml:space="preserve"> La Colegiación Obligatoria de Periodistas (Arts. 13 y 29 de la Convención Americana sobre Derechos Humanos). </w:t>
      </w:r>
      <w:r w:rsidRPr="000D7953">
        <w:rPr>
          <w:rFonts w:ascii="Cambria" w:hAnsi="Cambria"/>
          <w:sz w:val="16"/>
          <w:szCs w:val="16"/>
          <w:lang w:val="es-ES"/>
        </w:rPr>
        <w:t>Opinión Consultiva OC-5/85 de 13 de noviembre de 1985. Serie A No. 5. Párr. 70, y</w:t>
      </w:r>
      <w:r w:rsidRPr="000D7953">
        <w:rPr>
          <w:rFonts w:ascii="Cambria" w:hAnsi="Cambria"/>
          <w:i/>
          <w:sz w:val="16"/>
          <w:szCs w:val="16"/>
          <w:lang w:val="es-ES"/>
        </w:rPr>
        <w:t xml:space="preserve"> Caso Carvajal Carvajal y otros Vs. Colombia. </w:t>
      </w:r>
      <w:r w:rsidRPr="000D7953">
        <w:rPr>
          <w:rFonts w:ascii="Cambria" w:hAnsi="Cambria"/>
          <w:sz w:val="16"/>
          <w:szCs w:val="16"/>
          <w:lang w:val="es-ES"/>
        </w:rPr>
        <w:t>Fondo, Reparaciones y Costas. Sentencia de 13 de marzo de 2018. Serie C No. 352. Párr. 174.</w:t>
      </w:r>
    </w:p>
  </w:footnote>
  <w:footnote w:id="82">
    <w:p w14:paraId="060A4121" w14:textId="21E23FFB"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Corte IDH. </w:t>
      </w:r>
      <w:r w:rsidRPr="000D7953">
        <w:rPr>
          <w:rFonts w:ascii="Cambria" w:hAnsi="Cambria"/>
          <w:i/>
          <w:sz w:val="16"/>
          <w:szCs w:val="16"/>
          <w:lang w:val="es-ES"/>
        </w:rPr>
        <w:t xml:space="preserve">Caso Ivcher Bronstein Vs. </w:t>
      </w:r>
      <w:r w:rsidRPr="000D7953">
        <w:rPr>
          <w:rFonts w:ascii="Cambria" w:hAnsi="Cambria"/>
          <w:i/>
          <w:sz w:val="16"/>
          <w:szCs w:val="16"/>
          <w:lang w:val="es-AR"/>
        </w:rPr>
        <w:t>Perú</w:t>
      </w:r>
      <w:r w:rsidRPr="000D7953">
        <w:rPr>
          <w:rFonts w:ascii="Cambria" w:hAnsi="Cambria"/>
          <w:sz w:val="16"/>
          <w:szCs w:val="16"/>
          <w:lang w:val="es-AR"/>
        </w:rPr>
        <w:t xml:space="preserve">. Fondo, Reparaciones y Costas. Sentencia de 6 de febrero de 2001. Serie C No. 74. Párr. 150, y </w:t>
      </w:r>
      <w:r w:rsidRPr="000D7953">
        <w:rPr>
          <w:rFonts w:ascii="Cambria" w:hAnsi="Cambria"/>
          <w:i/>
          <w:sz w:val="16"/>
          <w:szCs w:val="16"/>
          <w:lang w:val="es-CO"/>
        </w:rPr>
        <w:t>Caso Herrera Ulloa Vs. Costa Rica</w:t>
      </w:r>
      <w:r w:rsidRPr="000D7953">
        <w:rPr>
          <w:rFonts w:ascii="Cambria" w:hAnsi="Cambria"/>
          <w:sz w:val="16"/>
          <w:szCs w:val="16"/>
          <w:lang w:val="es-CO"/>
        </w:rPr>
        <w:t xml:space="preserve">. Excepciones Preliminares, Fondo, Reparaciones y Costas. Sentencia de 2 de julio de 2004. Serie C No. 107. Párrs. 117 a 119. </w:t>
      </w:r>
      <w:r w:rsidRPr="000D7953">
        <w:rPr>
          <w:rFonts w:ascii="Cambria" w:hAnsi="Cambria"/>
          <w:sz w:val="16"/>
          <w:szCs w:val="16"/>
          <w:lang w:val="es-PE"/>
        </w:rPr>
        <w:t xml:space="preserve">CIDH. Informe No. 150/18. Caso No. 12.954. Jineth Bedoya Lima y otra. Colombia. 7 de diciembre de 2018. Párr. 74, y </w:t>
      </w:r>
      <w:r w:rsidRPr="000D7953">
        <w:rPr>
          <w:rFonts w:ascii="Cambria" w:hAnsi="Cambria"/>
          <w:sz w:val="16"/>
          <w:szCs w:val="16"/>
          <w:lang w:val="es-MX"/>
        </w:rPr>
        <w:t xml:space="preserve">Relatoría Especial para la Libertad de Expresión. Informe Zonas Silenciadas: regiones de alta peligrosidad para ejercer la libertad de expresión, </w:t>
      </w:r>
      <w:r w:rsidRPr="000D7953">
        <w:rPr>
          <w:rFonts w:ascii="Cambria" w:hAnsi="Cambria"/>
          <w:i/>
          <w:iCs/>
          <w:sz w:val="16"/>
          <w:szCs w:val="16"/>
          <w:lang w:val="es-MX"/>
        </w:rPr>
        <w:t>supra</w:t>
      </w:r>
      <w:r w:rsidRPr="000D7953">
        <w:rPr>
          <w:rFonts w:ascii="Cambria" w:hAnsi="Cambria"/>
          <w:sz w:val="16"/>
          <w:szCs w:val="16"/>
          <w:lang w:val="es-MX"/>
        </w:rPr>
        <w:t>. Capítulo 1. Párr. 15.</w:t>
      </w:r>
    </w:p>
  </w:footnote>
  <w:footnote w:id="83">
    <w:p w14:paraId="7828D44B" w14:textId="5CDB78E5"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MX"/>
        </w:rPr>
        <w:t xml:space="preserve">CIDH. </w:t>
      </w:r>
      <w:r w:rsidRPr="000D7953">
        <w:rPr>
          <w:rFonts w:ascii="Cambria" w:hAnsi="Cambria"/>
          <w:sz w:val="16"/>
          <w:szCs w:val="16"/>
          <w:lang w:val="es-PE"/>
        </w:rPr>
        <w:t xml:space="preserve">Informe No. 130/99. Caso No. 11.740. Víctor Manuel Oropeza. México. 19 de noviembre de 1999. Párr. 46, y </w:t>
      </w:r>
      <w:r w:rsidRPr="000D7953">
        <w:rPr>
          <w:rFonts w:ascii="Cambria" w:hAnsi="Cambria"/>
          <w:sz w:val="16"/>
          <w:szCs w:val="16"/>
          <w:lang w:val="es-MX"/>
        </w:rPr>
        <w:t xml:space="preserve">Relatoría Especial para la Libertad de Expresión. Informe Zonas Silenciadas: regiones de alta peligrosidad para ejercer la libertad de expresión, </w:t>
      </w:r>
      <w:r w:rsidRPr="000D7953">
        <w:rPr>
          <w:rFonts w:ascii="Cambria" w:hAnsi="Cambria"/>
          <w:i/>
          <w:iCs/>
          <w:sz w:val="16"/>
          <w:szCs w:val="16"/>
          <w:lang w:val="es-MX"/>
        </w:rPr>
        <w:t>supra</w:t>
      </w:r>
      <w:r w:rsidRPr="000D7953">
        <w:rPr>
          <w:rFonts w:ascii="Cambria" w:hAnsi="Cambria"/>
          <w:sz w:val="16"/>
          <w:szCs w:val="16"/>
          <w:lang w:val="es-MX"/>
        </w:rPr>
        <w:t>. Capítulo 1. Párr. 15.</w:t>
      </w:r>
    </w:p>
  </w:footnote>
  <w:footnote w:id="84">
    <w:p w14:paraId="4A08E34F" w14:textId="41354C65" w:rsidR="000A5EAC" w:rsidRPr="000D7953" w:rsidRDefault="000A5EAC" w:rsidP="000D7953">
      <w:p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MX"/>
        </w:rPr>
        <w:t xml:space="preserve">CIDH. Relatoría Especial para la Libertad de Expresión. Informe Zonas Silenciadas: regiones de alta peligrosidad para ejercer la libertad de expresión, </w:t>
      </w:r>
      <w:r w:rsidRPr="000D7953">
        <w:rPr>
          <w:rFonts w:ascii="Cambria" w:hAnsi="Cambria"/>
          <w:i/>
          <w:iCs/>
          <w:sz w:val="16"/>
          <w:szCs w:val="16"/>
          <w:lang w:val="es-MX"/>
        </w:rPr>
        <w:t>supra</w:t>
      </w:r>
      <w:r w:rsidRPr="000D7953">
        <w:rPr>
          <w:rFonts w:ascii="Cambria" w:hAnsi="Cambria"/>
          <w:sz w:val="16"/>
          <w:szCs w:val="16"/>
          <w:lang w:val="es-MX"/>
        </w:rPr>
        <w:t xml:space="preserve">. Capítulo 1. Párr. 17, citando al </w:t>
      </w:r>
      <w:r w:rsidRPr="000D7953">
        <w:rPr>
          <w:rFonts w:ascii="Cambria" w:hAnsi="Cambria"/>
          <w:sz w:val="16"/>
          <w:szCs w:val="16"/>
          <w:lang w:val="es-PE"/>
        </w:rPr>
        <w:t xml:space="preserve">Consejo de Europa. Comité de Ministros. Declaración del Comité de Ministros sobre la protección a periodistas y la seguridad de periodistas y otros actores de los medios. Adoptada el 30 de abril de 2014. Disponible en: </w:t>
      </w:r>
      <w:hyperlink r:id="rId4" w:history="1">
        <w:r w:rsidRPr="000D7953">
          <w:rPr>
            <w:rStyle w:val="Hyperlink"/>
            <w:rFonts w:ascii="Cambria" w:hAnsi="Cambria"/>
            <w:sz w:val="16"/>
            <w:szCs w:val="16"/>
            <w:lang w:val="es-PE"/>
          </w:rPr>
          <w:t>https://www.coe.int/en/web/freedom-expression/news-media/-/asset_publisher/Mo0WV0OwvbhA/content/declaration-of-the-committee-of-ministers-on-the-protection-of-journalism-and-safety-of-journalists-and-other-media-actors-adopted-by-the-committee-of?inheritRedirect=false</w:t>
        </w:r>
      </w:hyperlink>
      <w:r w:rsidRPr="000D7953">
        <w:rPr>
          <w:rFonts w:ascii="Cambria" w:hAnsi="Cambria"/>
          <w:sz w:val="16"/>
          <w:szCs w:val="16"/>
          <w:lang w:val="es-PE"/>
        </w:rPr>
        <w:t xml:space="preserve"> </w:t>
      </w:r>
    </w:p>
  </w:footnote>
  <w:footnote w:id="85">
    <w:p w14:paraId="3F72AFD3" w14:textId="671279B9" w:rsidR="000A5EAC" w:rsidRPr="000D7953" w:rsidRDefault="000A5EAC" w:rsidP="000D7953">
      <w:pPr>
        <w:pStyle w:val="FootnoteText"/>
        <w:pBdr>
          <w:top w:val="none" w:sz="0" w:space="0" w:color="auto"/>
          <w:left w:val="none" w:sz="0" w:space="0" w:color="auto"/>
          <w:bottom w:val="none" w:sz="0" w:space="0" w:color="auto"/>
          <w:right w:val="none" w:sz="0" w:space="0" w:color="auto"/>
          <w:bar w:val="none" w:sz="0" w:color="auto"/>
        </w:pBdr>
        <w:tabs>
          <w:tab w:val="left" w:pos="1800"/>
        </w:tabs>
        <w:jc w:val="both"/>
        <w:rPr>
          <w:rFonts w:ascii="Cambria" w:hAnsi="Cambria"/>
          <w:sz w:val="16"/>
          <w:szCs w:val="16"/>
          <w:lang w:val="es-ES"/>
        </w:rPr>
      </w:pPr>
      <w:r w:rsidRPr="000D7953">
        <w:rPr>
          <w:rStyle w:val="FootnoteReference"/>
          <w:rFonts w:ascii="Cambria" w:hAnsi="Cambria" w:cs="Cambria"/>
          <w:sz w:val="16"/>
          <w:szCs w:val="16"/>
          <w:lang w:val="es-AR" w:eastAsia="x-none"/>
        </w:rPr>
        <w:footnoteRef/>
      </w:r>
      <w:r w:rsidRPr="000D7953">
        <w:rPr>
          <w:rFonts w:ascii="Cambria" w:hAnsi="Cambria"/>
          <w:sz w:val="16"/>
          <w:szCs w:val="16"/>
          <w:lang w:val="es-AR" w:eastAsia="x-none"/>
        </w:rPr>
        <w:t xml:space="preserve"> Corte IDH. </w:t>
      </w:r>
      <w:r w:rsidRPr="000D7953">
        <w:rPr>
          <w:rFonts w:ascii="Cambria" w:hAnsi="Cambria"/>
          <w:bCs/>
          <w:i/>
          <w:sz w:val="16"/>
          <w:szCs w:val="16"/>
          <w:lang w:val="es-AR" w:eastAsia="x-none"/>
        </w:rPr>
        <w:t>Caso Vélez Restrepo y Familiares Vs. Colombia</w:t>
      </w:r>
      <w:r w:rsidRPr="000D7953">
        <w:rPr>
          <w:rFonts w:ascii="Cambria" w:hAnsi="Cambria"/>
          <w:sz w:val="16"/>
          <w:szCs w:val="16"/>
          <w:lang w:val="es-PE"/>
        </w:rPr>
        <w:t xml:space="preserve">. </w:t>
      </w:r>
      <w:r w:rsidRPr="000D7953">
        <w:rPr>
          <w:rFonts w:ascii="Cambria" w:hAnsi="Cambria"/>
          <w:iCs/>
          <w:sz w:val="16"/>
          <w:szCs w:val="16"/>
          <w:lang w:val="es-AR" w:eastAsia="x-none"/>
        </w:rPr>
        <w:t>Excepción Preliminar, Fondo, Reparaciones y Costas.</w:t>
      </w:r>
      <w:r w:rsidRPr="000D7953">
        <w:rPr>
          <w:rFonts w:ascii="Cambria" w:hAnsi="Cambria"/>
          <w:sz w:val="16"/>
          <w:szCs w:val="16"/>
          <w:lang w:val="es-AR" w:eastAsia="x-none"/>
        </w:rPr>
        <w:t xml:space="preserve"> Sentencia de 3 de septiembre de 2012 Serie C No. 248. Párr. 209.</w:t>
      </w:r>
    </w:p>
  </w:footnote>
  <w:footnote w:id="86">
    <w:p w14:paraId="1150E0CC" w14:textId="7003D711"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CO"/>
        </w:rPr>
        <w:t xml:space="preserve">Corte IDH. </w:t>
      </w:r>
      <w:r w:rsidRPr="000D7953">
        <w:rPr>
          <w:rFonts w:ascii="Cambria" w:hAnsi="Cambria"/>
          <w:i/>
          <w:sz w:val="16"/>
          <w:szCs w:val="16"/>
          <w:lang w:val="es-ES"/>
        </w:rPr>
        <w:t>Caso Carvajal Carvajal y otros Vs. Colombia, supra</w:t>
      </w:r>
      <w:r w:rsidRPr="000D7953">
        <w:rPr>
          <w:rFonts w:ascii="Cambria" w:hAnsi="Cambria"/>
          <w:sz w:val="16"/>
          <w:szCs w:val="16"/>
          <w:lang w:val="es-ES"/>
        </w:rPr>
        <w:t xml:space="preserve">. Párr. 175. </w:t>
      </w:r>
      <w:r w:rsidRPr="000D7953">
        <w:rPr>
          <w:rFonts w:ascii="Cambria" w:hAnsi="Cambria"/>
          <w:sz w:val="16"/>
          <w:szCs w:val="16"/>
          <w:lang w:val="es-PE"/>
        </w:rPr>
        <w:t xml:space="preserve">CIDH. Informe No. 21/15. Caso No. 12.462. Nelson Carvajal Carvajal y familia. Colombia. 26 de marzo de 2015. Párr. 112, y </w:t>
      </w:r>
      <w:r w:rsidRPr="000D7953">
        <w:rPr>
          <w:rFonts w:ascii="Cambria" w:hAnsi="Cambria"/>
          <w:sz w:val="16"/>
          <w:szCs w:val="16"/>
          <w:lang w:val="es-MX"/>
        </w:rPr>
        <w:t xml:space="preserve">Relatoría Especial para la Libertad de Expresión. Informe Zonas Silenciadas: regiones de alta peligrosidad para ejercer la libertad de expresión, </w:t>
      </w:r>
      <w:r w:rsidRPr="000D7953">
        <w:rPr>
          <w:rFonts w:ascii="Cambria" w:hAnsi="Cambria"/>
          <w:i/>
          <w:iCs/>
          <w:sz w:val="16"/>
          <w:szCs w:val="16"/>
          <w:lang w:val="es-MX"/>
        </w:rPr>
        <w:t>supra</w:t>
      </w:r>
      <w:r w:rsidRPr="000D7953">
        <w:rPr>
          <w:rFonts w:ascii="Cambria" w:hAnsi="Cambria"/>
          <w:sz w:val="16"/>
          <w:szCs w:val="16"/>
          <w:lang w:val="es-MX"/>
        </w:rPr>
        <w:t>. Introducción. Párr. 2.</w:t>
      </w:r>
      <w:r w:rsidRPr="000D7953">
        <w:rPr>
          <w:rFonts w:ascii="Cambria" w:hAnsi="Cambria"/>
          <w:sz w:val="16"/>
          <w:szCs w:val="16"/>
          <w:lang w:val="es-PE"/>
        </w:rPr>
        <w:t xml:space="preserve"> </w:t>
      </w:r>
      <w:r w:rsidRPr="000D7953">
        <w:rPr>
          <w:rFonts w:ascii="Cambria" w:hAnsi="Cambria"/>
          <w:sz w:val="16"/>
          <w:szCs w:val="16"/>
          <w:lang w:val="es-CO"/>
        </w:rPr>
        <w:t xml:space="preserve">Naciones Unidas. Asamblea General. </w:t>
      </w:r>
      <w:hyperlink r:id="rId5" w:history="1">
        <w:r w:rsidRPr="000D7953">
          <w:rPr>
            <w:rStyle w:val="Hyperlink"/>
            <w:rFonts w:ascii="Cambria" w:hAnsi="Cambria"/>
            <w:sz w:val="16"/>
            <w:szCs w:val="16"/>
            <w:lang w:val="es-CO"/>
          </w:rPr>
          <w:t>Informe del Relator Especial sobre las ejecuciones extrajudiciales, sumarias o arbitrarias, Christof Heyns</w:t>
        </w:r>
      </w:hyperlink>
      <w:r w:rsidRPr="000D7953">
        <w:rPr>
          <w:rFonts w:ascii="Cambria" w:hAnsi="Cambria"/>
          <w:i/>
          <w:sz w:val="16"/>
          <w:szCs w:val="16"/>
          <w:lang w:val="es-CO"/>
        </w:rPr>
        <w:t>.</w:t>
      </w:r>
      <w:r w:rsidRPr="000D7953">
        <w:rPr>
          <w:rFonts w:ascii="Cambria" w:hAnsi="Cambria"/>
          <w:sz w:val="16"/>
          <w:szCs w:val="16"/>
          <w:lang w:val="es-CO"/>
        </w:rPr>
        <w:t xml:space="preserve"> A/HRC/20/22. 10 de abril de 2012. Párr. 21.</w:t>
      </w:r>
    </w:p>
  </w:footnote>
  <w:footnote w:id="87">
    <w:p w14:paraId="0527D812" w14:textId="539107ED" w:rsidR="000A5EAC" w:rsidRPr="000D7953" w:rsidRDefault="000A5EAC" w:rsidP="000D7953">
      <w:pPr>
        <w:pStyle w:val="FootnoteText"/>
        <w:tabs>
          <w:tab w:val="left" w:pos="1800"/>
        </w:tabs>
        <w:jc w:val="both"/>
        <w:rPr>
          <w:rFonts w:ascii="Cambria" w:hAnsi="Cambria"/>
          <w:sz w:val="16"/>
          <w:szCs w:val="16"/>
          <w:lang w:val="es-ES"/>
        </w:rPr>
      </w:pPr>
      <w:r w:rsidRPr="000D7953">
        <w:rPr>
          <w:rStyle w:val="FootnoteReference"/>
          <w:rFonts w:ascii="Cambria" w:hAnsi="Cambria"/>
          <w:sz w:val="16"/>
          <w:szCs w:val="16"/>
        </w:rPr>
        <w:footnoteRef/>
      </w:r>
      <w:r w:rsidRPr="000D7953">
        <w:rPr>
          <w:rFonts w:ascii="Cambria" w:hAnsi="Cambria"/>
          <w:sz w:val="16"/>
          <w:szCs w:val="16"/>
          <w:lang w:val="es-ES"/>
        </w:rPr>
        <w:t xml:space="preserve">  Corte IDH. </w:t>
      </w:r>
      <w:r w:rsidRPr="000D7953">
        <w:rPr>
          <w:rFonts w:ascii="Cambria" w:hAnsi="Cambria" w:cs="Verdana"/>
          <w:i/>
          <w:sz w:val="16"/>
          <w:szCs w:val="16"/>
          <w:lang w:val="es-ES"/>
        </w:rPr>
        <w:t>Caso Vélez Restrepo y familiares Vs. Colombia</w:t>
      </w:r>
      <w:r w:rsidRPr="000D7953">
        <w:rPr>
          <w:rFonts w:ascii="Cambria" w:hAnsi="Cambria"/>
          <w:sz w:val="16"/>
          <w:szCs w:val="16"/>
          <w:lang w:val="es-PE"/>
        </w:rPr>
        <w:t xml:space="preserve">, </w:t>
      </w:r>
      <w:r w:rsidRPr="000D7953">
        <w:rPr>
          <w:rFonts w:ascii="Cambria" w:hAnsi="Cambria"/>
          <w:i/>
          <w:iCs/>
          <w:sz w:val="16"/>
          <w:szCs w:val="16"/>
          <w:lang w:val="es-PE"/>
        </w:rPr>
        <w:t>supra</w:t>
      </w:r>
      <w:r w:rsidRPr="000D7953">
        <w:rPr>
          <w:rFonts w:ascii="Cambria" w:hAnsi="Cambria"/>
          <w:sz w:val="16"/>
          <w:szCs w:val="16"/>
          <w:lang w:val="es-AR" w:eastAsia="x-none"/>
        </w:rPr>
        <w:t xml:space="preserve">. </w:t>
      </w:r>
      <w:r w:rsidRPr="000D7953">
        <w:rPr>
          <w:rFonts w:ascii="Cambria" w:hAnsi="Cambria"/>
          <w:sz w:val="16"/>
          <w:szCs w:val="16"/>
          <w:lang w:val="es-PE"/>
        </w:rPr>
        <w:t xml:space="preserve"> Párr. 148, y </w:t>
      </w:r>
      <w:r w:rsidRPr="000D7953">
        <w:rPr>
          <w:rFonts w:ascii="Cambria" w:hAnsi="Cambria"/>
          <w:i/>
          <w:sz w:val="16"/>
          <w:szCs w:val="16"/>
          <w:lang w:val="es-AR" w:eastAsia="x-none"/>
        </w:rPr>
        <w:t xml:space="preserve">Caso Carvajal Carvajal y otros Vs. Colombia, supra. </w:t>
      </w:r>
      <w:r w:rsidRPr="000D7953">
        <w:rPr>
          <w:rFonts w:ascii="Cambria" w:hAnsi="Cambria"/>
          <w:sz w:val="16"/>
          <w:szCs w:val="16"/>
          <w:lang w:val="es-AR" w:eastAsia="x-none"/>
        </w:rPr>
        <w:t>Párrs.  175 y 177.</w:t>
      </w:r>
    </w:p>
  </w:footnote>
  <w:footnote w:id="88">
    <w:p w14:paraId="5C648A68" w14:textId="159064DB" w:rsidR="000A5EAC" w:rsidRPr="000D7953" w:rsidRDefault="000A5EAC" w:rsidP="000D7953">
      <w:pPr>
        <w:pStyle w:val="FootnoteText"/>
        <w:tabs>
          <w:tab w:val="left" w:pos="1800"/>
        </w:tabs>
        <w:jc w:val="both"/>
        <w:rPr>
          <w:rFonts w:ascii="Cambria" w:hAnsi="Cambria"/>
          <w:sz w:val="16"/>
          <w:szCs w:val="16"/>
          <w:lang w:val="es-CO"/>
        </w:rPr>
      </w:pPr>
      <w:r w:rsidRPr="000D7953">
        <w:rPr>
          <w:rStyle w:val="FootnoteReference"/>
          <w:rFonts w:ascii="Cambria" w:hAnsi="Cambria"/>
          <w:sz w:val="16"/>
          <w:szCs w:val="16"/>
        </w:rPr>
        <w:footnoteRef/>
      </w:r>
      <w:r w:rsidRPr="000D7953">
        <w:rPr>
          <w:rFonts w:ascii="Cambria" w:hAnsi="Cambria"/>
          <w:sz w:val="16"/>
          <w:szCs w:val="16"/>
          <w:lang w:val="es-ES"/>
        </w:rPr>
        <w:t xml:space="preserve"> Corte IDH. </w:t>
      </w:r>
      <w:r w:rsidRPr="000D7953">
        <w:rPr>
          <w:rFonts w:ascii="Cambria" w:hAnsi="Cambria"/>
          <w:i/>
          <w:sz w:val="16"/>
          <w:szCs w:val="16"/>
          <w:lang w:val="es-AR" w:eastAsia="x-none"/>
        </w:rPr>
        <w:t>Caso Carvajal Carvajal y otros Vs. Colombia, supra</w:t>
      </w:r>
      <w:r w:rsidRPr="000D7953">
        <w:rPr>
          <w:rFonts w:ascii="Cambria" w:hAnsi="Cambria"/>
          <w:sz w:val="16"/>
          <w:szCs w:val="16"/>
          <w:lang w:val="es-AR" w:eastAsia="x-none"/>
        </w:rPr>
        <w:t>. 176. CIDH.</w:t>
      </w:r>
      <w:r w:rsidRPr="000D7953">
        <w:rPr>
          <w:rFonts w:ascii="Cambria" w:hAnsi="Cambria"/>
          <w:sz w:val="16"/>
          <w:szCs w:val="16"/>
          <w:lang w:val="es-PE"/>
        </w:rPr>
        <w:t xml:space="preserve"> Informe No. 150/18. Caso No. 12.954. Jineth Bedoya Lima y otra. Colombia. 7 de diciembre de 2018. Párr. 75.</w:t>
      </w:r>
    </w:p>
  </w:footnote>
  <w:footnote w:id="89">
    <w:p w14:paraId="674D8365" w14:textId="445332A2"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CO"/>
        </w:rPr>
        <w:t xml:space="preserve">Corte IDH. </w:t>
      </w:r>
      <w:r w:rsidRPr="000D7953">
        <w:rPr>
          <w:rFonts w:ascii="Cambria" w:hAnsi="Cambria"/>
          <w:bCs/>
          <w:i/>
          <w:sz w:val="16"/>
          <w:szCs w:val="16"/>
          <w:lang w:val="es-CO"/>
        </w:rPr>
        <w:t>Caso Vélez Restrepo y Familiares Vs. Colombia</w:t>
      </w:r>
      <w:r w:rsidRPr="000D7953">
        <w:rPr>
          <w:rFonts w:ascii="Cambria" w:hAnsi="Cambria"/>
          <w:i/>
          <w:sz w:val="16"/>
          <w:szCs w:val="16"/>
          <w:lang w:val="es-CO"/>
        </w:rPr>
        <w:t>,</w:t>
      </w:r>
      <w:r w:rsidRPr="000D7953">
        <w:rPr>
          <w:rFonts w:ascii="Cambria" w:hAnsi="Cambria"/>
          <w:b/>
          <w:bCs/>
          <w:i/>
          <w:sz w:val="16"/>
          <w:szCs w:val="16"/>
          <w:lang w:val="es-CO"/>
        </w:rPr>
        <w:t xml:space="preserve"> </w:t>
      </w:r>
      <w:r w:rsidRPr="000D7953">
        <w:rPr>
          <w:rFonts w:ascii="Cambria" w:hAnsi="Cambria"/>
          <w:i/>
          <w:sz w:val="16"/>
          <w:szCs w:val="16"/>
          <w:lang w:val="es-CO"/>
        </w:rPr>
        <w:t>supra.</w:t>
      </w:r>
      <w:r w:rsidRPr="000D7953">
        <w:rPr>
          <w:rFonts w:ascii="Cambria" w:hAnsi="Cambria"/>
          <w:b/>
          <w:bCs/>
          <w:i/>
          <w:sz w:val="16"/>
          <w:szCs w:val="16"/>
          <w:lang w:val="es-CO"/>
        </w:rPr>
        <w:t xml:space="preserve"> </w:t>
      </w:r>
      <w:r w:rsidRPr="000D7953">
        <w:rPr>
          <w:rFonts w:ascii="Cambria" w:hAnsi="Cambria"/>
          <w:sz w:val="16"/>
          <w:szCs w:val="16"/>
          <w:lang w:val="es-CO"/>
        </w:rPr>
        <w:t xml:space="preserve">Párrs. 189 y 194. </w:t>
      </w:r>
      <w:r w:rsidRPr="000D7953">
        <w:rPr>
          <w:rFonts w:ascii="Cambria" w:hAnsi="Cambria"/>
          <w:sz w:val="16"/>
          <w:szCs w:val="16"/>
          <w:lang w:val="es-PE"/>
        </w:rPr>
        <w:t>CIDH. Informe No. 21/15. Caso No. 12.462. Nelson Carvajal Carvajal y familia. Colombia. 26 de marzo de 2015. Párr. 110, e Informe No. 150/18. Caso No. 12.954. Jineth Bedoya Lima y otra. Colombia. 7 de diciembre de 2018. Párr. 75.</w:t>
      </w:r>
    </w:p>
  </w:footnote>
  <w:footnote w:id="90">
    <w:p w14:paraId="71CE9107" w14:textId="7CF784ED" w:rsidR="000A5EAC" w:rsidRPr="000D7953" w:rsidRDefault="000A5EAC" w:rsidP="000D7953">
      <w:pPr>
        <w:pStyle w:val="FootnoteText"/>
        <w:tabs>
          <w:tab w:val="left" w:pos="1800"/>
        </w:tabs>
        <w:jc w:val="both"/>
        <w:rPr>
          <w:rFonts w:ascii="Cambria" w:hAnsi="Cambria"/>
          <w:sz w:val="16"/>
          <w:szCs w:val="16"/>
          <w:lang w:val="es-US"/>
        </w:rPr>
      </w:pPr>
      <w:r w:rsidRPr="000D7953">
        <w:rPr>
          <w:rStyle w:val="FootnoteReference"/>
          <w:rFonts w:ascii="Cambria" w:hAnsi="Cambria"/>
          <w:sz w:val="16"/>
          <w:szCs w:val="16"/>
        </w:rPr>
        <w:footnoteRef/>
      </w:r>
      <w:r w:rsidRPr="000D7953">
        <w:rPr>
          <w:rFonts w:ascii="Cambria" w:hAnsi="Cambria"/>
          <w:sz w:val="16"/>
          <w:szCs w:val="16"/>
          <w:lang w:val="es-US"/>
        </w:rPr>
        <w:t xml:space="preserve"> Corte IDH. </w:t>
      </w:r>
      <w:r w:rsidRPr="000D7953">
        <w:rPr>
          <w:rFonts w:ascii="Cambria" w:hAnsi="Cambria"/>
          <w:i/>
          <w:sz w:val="16"/>
          <w:szCs w:val="16"/>
          <w:lang w:val="es-US"/>
        </w:rPr>
        <w:t>Caso Masacres de El Mozote y lugares aledaños Vs. El Salvador</w:t>
      </w:r>
      <w:r w:rsidRPr="000D7953">
        <w:rPr>
          <w:rFonts w:ascii="Cambria" w:hAnsi="Cambria"/>
          <w:sz w:val="16"/>
          <w:szCs w:val="16"/>
          <w:lang w:val="es-US"/>
        </w:rPr>
        <w:t>. Fondo, Reparaciones y Costas. Sentencia de 25 de octubre de 2012. Serie C No. 252. Párr. 145.</w:t>
      </w:r>
    </w:p>
  </w:footnote>
  <w:footnote w:id="91">
    <w:p w14:paraId="1C9EB33B" w14:textId="0800BDCB" w:rsidR="000A5EAC" w:rsidRPr="000D7953" w:rsidRDefault="000A5EAC" w:rsidP="000D7953">
      <w:pPr>
        <w:pStyle w:val="FootnoteText"/>
        <w:tabs>
          <w:tab w:val="left" w:pos="1800"/>
        </w:tabs>
        <w:jc w:val="both"/>
        <w:rPr>
          <w:rFonts w:ascii="Cambria" w:hAnsi="Cambria"/>
          <w:sz w:val="16"/>
          <w:szCs w:val="16"/>
          <w:lang w:val="es-US"/>
        </w:rPr>
      </w:pPr>
      <w:r w:rsidRPr="000D7953">
        <w:rPr>
          <w:rStyle w:val="FootnoteReference"/>
          <w:rFonts w:ascii="Cambria" w:hAnsi="Cambria"/>
          <w:sz w:val="16"/>
          <w:szCs w:val="16"/>
        </w:rPr>
        <w:footnoteRef/>
      </w:r>
      <w:r w:rsidRPr="000D7953">
        <w:rPr>
          <w:rFonts w:ascii="Cambria" w:hAnsi="Cambria"/>
          <w:sz w:val="16"/>
          <w:szCs w:val="16"/>
          <w:lang w:val="es-US"/>
        </w:rPr>
        <w:t xml:space="preserve"> </w:t>
      </w:r>
      <w:r w:rsidRPr="000D7953">
        <w:rPr>
          <w:rFonts w:ascii="Cambria" w:hAnsi="Cambria"/>
          <w:sz w:val="16"/>
          <w:szCs w:val="16"/>
          <w:lang w:val="es-ES"/>
        </w:rPr>
        <w:t xml:space="preserve">Corte IDH. </w:t>
      </w:r>
      <w:r w:rsidRPr="000D7953">
        <w:rPr>
          <w:rFonts w:ascii="Cambria" w:hAnsi="Cambria"/>
          <w:i/>
          <w:sz w:val="16"/>
          <w:szCs w:val="16"/>
          <w:lang w:val="es-ES"/>
        </w:rPr>
        <w:t>Caso de las Masacres de Ituango Vs. Colombia</w:t>
      </w:r>
      <w:r w:rsidRPr="000D7953">
        <w:rPr>
          <w:rFonts w:ascii="Cambria" w:hAnsi="Cambria"/>
          <w:sz w:val="16"/>
          <w:szCs w:val="16"/>
          <w:lang w:val="es-ES"/>
        </w:rPr>
        <w:t>. Sentencia de 1 de julio de 2006. Serie C No. 148. Párr. 131.</w:t>
      </w:r>
    </w:p>
  </w:footnote>
  <w:footnote w:id="92">
    <w:p w14:paraId="603004EF" w14:textId="3EA70CBE" w:rsidR="000A5EAC" w:rsidRPr="000D7953" w:rsidRDefault="000A5EAC" w:rsidP="000D7953">
      <w:pPr>
        <w:pStyle w:val="FootnoteText"/>
        <w:tabs>
          <w:tab w:val="left" w:pos="1800"/>
        </w:tabs>
        <w:jc w:val="both"/>
        <w:rPr>
          <w:rFonts w:ascii="Cambria" w:hAnsi="Cambria"/>
          <w:sz w:val="16"/>
          <w:szCs w:val="16"/>
          <w:lang w:val="es-US"/>
        </w:rPr>
      </w:pPr>
      <w:r w:rsidRPr="000D7953">
        <w:rPr>
          <w:rStyle w:val="FootnoteReference"/>
          <w:rFonts w:ascii="Cambria" w:hAnsi="Cambria"/>
          <w:sz w:val="16"/>
          <w:szCs w:val="16"/>
        </w:rPr>
        <w:footnoteRef/>
      </w:r>
      <w:r w:rsidRPr="000D7953">
        <w:rPr>
          <w:rFonts w:ascii="Cambria" w:hAnsi="Cambria"/>
          <w:sz w:val="16"/>
          <w:szCs w:val="16"/>
          <w:lang w:val="es-US"/>
        </w:rPr>
        <w:t xml:space="preserve"> Corte IDH. </w:t>
      </w:r>
      <w:r w:rsidRPr="000D7953">
        <w:rPr>
          <w:rFonts w:ascii="Cambria" w:hAnsi="Cambria"/>
          <w:i/>
          <w:sz w:val="16"/>
          <w:szCs w:val="16"/>
          <w:lang w:val="es-US"/>
        </w:rPr>
        <w:t>Caso Luna López Vs. Honduras</w:t>
      </w:r>
      <w:r w:rsidRPr="000D7953">
        <w:rPr>
          <w:rFonts w:ascii="Cambria" w:hAnsi="Cambria"/>
          <w:sz w:val="16"/>
          <w:szCs w:val="16"/>
          <w:lang w:val="es-US"/>
        </w:rPr>
        <w:t>. Fondo, Reparaciones y Costas. Sentencia de 10 de octubre de 2013. Serie C No. 269. Párr. 120.</w:t>
      </w:r>
    </w:p>
  </w:footnote>
  <w:footnote w:id="93">
    <w:p w14:paraId="4D1705D0" w14:textId="36AA32A5" w:rsidR="000A5EAC" w:rsidRPr="000D7953" w:rsidRDefault="000A5EAC" w:rsidP="000D7953">
      <w:pPr>
        <w:pBdr>
          <w:top w:val="none" w:sz="0" w:space="0" w:color="auto"/>
          <w:left w:val="none" w:sz="0" w:space="0" w:color="auto"/>
          <w:bottom w:val="none" w:sz="0" w:space="0" w:color="auto"/>
          <w:right w:val="none" w:sz="0" w:space="0" w:color="auto"/>
          <w:bar w:val="none" w:sz="0" w:color="auto"/>
        </w:pBdr>
        <w:tabs>
          <w:tab w:val="left" w:pos="1800"/>
        </w:tabs>
        <w:jc w:val="both"/>
        <w:rPr>
          <w:rFonts w:ascii="Cambria" w:hAnsi="Cambria"/>
          <w:sz w:val="16"/>
          <w:szCs w:val="16"/>
          <w:lang w:val="es-ES"/>
        </w:rPr>
      </w:pPr>
      <w:r w:rsidRPr="000D7953">
        <w:rPr>
          <w:rStyle w:val="FootnoteReference"/>
          <w:rFonts w:ascii="Cambria" w:hAnsi="Cambria" w:cs="Cambria"/>
          <w:sz w:val="16"/>
          <w:szCs w:val="16"/>
          <w:lang w:val="es-AR"/>
        </w:rPr>
        <w:footnoteRef/>
      </w:r>
      <w:r w:rsidRPr="000D7953">
        <w:rPr>
          <w:rFonts w:ascii="Cambria" w:hAnsi="Cambria"/>
          <w:sz w:val="16"/>
          <w:szCs w:val="16"/>
          <w:lang w:val="es-ES"/>
        </w:rPr>
        <w:t xml:space="preserve"> Corte IDH. </w:t>
      </w:r>
      <w:r w:rsidRPr="000D7953">
        <w:rPr>
          <w:rFonts w:ascii="Cambria" w:hAnsi="Cambria"/>
          <w:i/>
          <w:sz w:val="16"/>
          <w:szCs w:val="16"/>
          <w:lang w:val="es-ES"/>
        </w:rPr>
        <w:t xml:space="preserve">Caso Ivcher Bronstein Vs. </w:t>
      </w:r>
      <w:r w:rsidRPr="000D7953">
        <w:rPr>
          <w:rFonts w:ascii="Cambria" w:hAnsi="Cambria"/>
          <w:i/>
          <w:sz w:val="16"/>
          <w:szCs w:val="16"/>
          <w:lang w:val="es-AR"/>
        </w:rPr>
        <w:t>Perú</w:t>
      </w:r>
      <w:r w:rsidRPr="000D7953">
        <w:rPr>
          <w:rFonts w:ascii="Cambria" w:hAnsi="Cambria"/>
          <w:sz w:val="16"/>
          <w:szCs w:val="16"/>
          <w:lang w:val="es-AR"/>
        </w:rPr>
        <w:t xml:space="preserve">, </w:t>
      </w:r>
      <w:r w:rsidRPr="000D7953">
        <w:rPr>
          <w:rFonts w:ascii="Cambria" w:hAnsi="Cambria"/>
          <w:i/>
          <w:iCs/>
          <w:sz w:val="16"/>
          <w:szCs w:val="16"/>
          <w:lang w:val="es-AR"/>
        </w:rPr>
        <w:t>supra.</w:t>
      </w:r>
      <w:r w:rsidRPr="000D7953">
        <w:rPr>
          <w:rFonts w:ascii="Cambria" w:hAnsi="Cambria"/>
          <w:sz w:val="16"/>
          <w:szCs w:val="16"/>
          <w:lang w:val="es-AR"/>
        </w:rPr>
        <w:t xml:space="preserve"> Párr. 150, y </w:t>
      </w:r>
      <w:r w:rsidRPr="000D7953">
        <w:rPr>
          <w:rFonts w:ascii="Cambria" w:hAnsi="Cambria"/>
          <w:i/>
          <w:sz w:val="16"/>
          <w:szCs w:val="16"/>
          <w:lang w:val="es-AR"/>
        </w:rPr>
        <w:t>Caso Herrera Ulloa Vs. Costa Rica</w:t>
      </w:r>
      <w:r w:rsidRPr="000D7953">
        <w:rPr>
          <w:rFonts w:ascii="Cambria" w:hAnsi="Cambria"/>
          <w:sz w:val="16"/>
          <w:szCs w:val="16"/>
          <w:lang w:val="es-AR"/>
        </w:rPr>
        <w:t xml:space="preserve">, </w:t>
      </w:r>
      <w:r w:rsidRPr="000D7953">
        <w:rPr>
          <w:rFonts w:ascii="Cambria" w:hAnsi="Cambria"/>
          <w:i/>
          <w:iCs/>
          <w:sz w:val="16"/>
          <w:szCs w:val="16"/>
          <w:lang w:val="es-AR"/>
        </w:rPr>
        <w:t>supra.</w:t>
      </w:r>
      <w:r w:rsidRPr="000D7953">
        <w:rPr>
          <w:rFonts w:ascii="Cambria" w:hAnsi="Cambria"/>
          <w:sz w:val="16"/>
          <w:szCs w:val="16"/>
          <w:lang w:val="es-AR"/>
        </w:rPr>
        <w:t xml:space="preserve"> Párr. 119.</w:t>
      </w:r>
    </w:p>
  </w:footnote>
  <w:footnote w:id="94">
    <w:p w14:paraId="0746D85A" w14:textId="06CA3D42" w:rsidR="000A5EAC" w:rsidRPr="000D7953" w:rsidRDefault="000A5EAC" w:rsidP="000D7953">
      <w:pPr>
        <w:pStyle w:val="FootnoteText"/>
        <w:pBdr>
          <w:top w:val="none" w:sz="0" w:space="0" w:color="auto"/>
          <w:left w:val="none" w:sz="0" w:space="0" w:color="auto"/>
          <w:bottom w:val="none" w:sz="0" w:space="0" w:color="auto"/>
          <w:right w:val="none" w:sz="0" w:space="0" w:color="auto"/>
          <w:bar w:val="none" w:sz="0" w:color="auto"/>
        </w:pBdr>
        <w:tabs>
          <w:tab w:val="left" w:pos="1800"/>
        </w:tabs>
        <w:jc w:val="both"/>
        <w:rPr>
          <w:rFonts w:ascii="Cambria" w:hAnsi="Cambria"/>
          <w:sz w:val="16"/>
          <w:szCs w:val="16"/>
          <w:lang w:val="es-AR"/>
        </w:rPr>
      </w:pPr>
      <w:r w:rsidRPr="000D7953">
        <w:rPr>
          <w:rStyle w:val="FootnoteReference"/>
          <w:rFonts w:ascii="Cambria" w:hAnsi="Cambria"/>
          <w:sz w:val="16"/>
          <w:szCs w:val="16"/>
          <w:lang w:val="es-AR" w:eastAsia="x-none"/>
        </w:rPr>
        <w:footnoteRef/>
      </w:r>
      <w:r w:rsidRPr="000D7953">
        <w:rPr>
          <w:rFonts w:ascii="Cambria" w:hAnsi="Cambria"/>
          <w:sz w:val="16"/>
          <w:szCs w:val="16"/>
          <w:lang w:val="es-AR" w:eastAsia="x-none"/>
        </w:rPr>
        <w:t xml:space="preserve"> </w:t>
      </w:r>
      <w:r w:rsidRPr="000D7953">
        <w:rPr>
          <w:rFonts w:ascii="Cambria" w:hAnsi="Cambria"/>
          <w:sz w:val="16"/>
          <w:szCs w:val="16"/>
          <w:lang w:val="es-CO"/>
        </w:rPr>
        <w:t xml:space="preserve">Corte IDH. </w:t>
      </w:r>
      <w:r w:rsidRPr="000D7953">
        <w:rPr>
          <w:rFonts w:ascii="Cambria" w:hAnsi="Cambria"/>
          <w:bCs/>
          <w:i/>
          <w:sz w:val="16"/>
          <w:szCs w:val="16"/>
          <w:lang w:val="es-CO"/>
        </w:rPr>
        <w:t>Caso Vélez Restrepo y Familiares Vs. Colombia</w:t>
      </w:r>
      <w:r w:rsidRPr="000D7953">
        <w:rPr>
          <w:rFonts w:ascii="Cambria" w:hAnsi="Cambria"/>
          <w:i/>
          <w:sz w:val="16"/>
          <w:szCs w:val="16"/>
          <w:lang w:val="es-CO"/>
        </w:rPr>
        <w:t>,</w:t>
      </w:r>
      <w:r w:rsidRPr="000D7953">
        <w:rPr>
          <w:rFonts w:ascii="Cambria" w:hAnsi="Cambria"/>
          <w:b/>
          <w:bCs/>
          <w:i/>
          <w:sz w:val="16"/>
          <w:szCs w:val="16"/>
          <w:lang w:val="es-CO"/>
        </w:rPr>
        <w:t xml:space="preserve"> </w:t>
      </w:r>
      <w:r w:rsidRPr="000D7953">
        <w:rPr>
          <w:rFonts w:ascii="Cambria" w:hAnsi="Cambria"/>
          <w:i/>
          <w:sz w:val="16"/>
          <w:szCs w:val="16"/>
          <w:lang w:val="es-CO"/>
        </w:rPr>
        <w:t>supra.</w:t>
      </w:r>
      <w:r w:rsidRPr="000D7953">
        <w:rPr>
          <w:rFonts w:ascii="Cambria" w:hAnsi="Cambria"/>
          <w:b/>
          <w:bCs/>
          <w:i/>
          <w:sz w:val="16"/>
          <w:szCs w:val="16"/>
          <w:lang w:val="es-CO"/>
        </w:rPr>
        <w:t xml:space="preserve"> </w:t>
      </w:r>
      <w:r w:rsidRPr="000D7953">
        <w:rPr>
          <w:rFonts w:ascii="Cambria" w:hAnsi="Cambria"/>
          <w:sz w:val="16"/>
          <w:szCs w:val="16"/>
          <w:lang w:val="es-CO"/>
        </w:rPr>
        <w:t>Párr. 194.</w:t>
      </w:r>
    </w:p>
  </w:footnote>
  <w:footnote w:id="95">
    <w:p w14:paraId="53E1D2B0" w14:textId="3A65B3D1" w:rsidR="000A5EAC" w:rsidRPr="000D7953" w:rsidRDefault="000A5EAC" w:rsidP="000D7953">
      <w:pPr>
        <w:pStyle w:val="FootnoteText"/>
        <w:tabs>
          <w:tab w:val="left" w:pos="1800"/>
        </w:tabs>
        <w:jc w:val="both"/>
        <w:rPr>
          <w:rFonts w:ascii="Cambria" w:hAnsi="Cambria"/>
          <w:sz w:val="16"/>
          <w:szCs w:val="16"/>
          <w:lang w:val="es-US"/>
        </w:rPr>
      </w:pPr>
      <w:r w:rsidRPr="000D7953">
        <w:rPr>
          <w:rStyle w:val="FootnoteReference"/>
          <w:rFonts w:ascii="Cambria" w:hAnsi="Cambria"/>
          <w:sz w:val="16"/>
          <w:szCs w:val="16"/>
        </w:rPr>
        <w:footnoteRef/>
      </w:r>
      <w:r w:rsidRPr="000D7953">
        <w:rPr>
          <w:rFonts w:ascii="Cambria" w:hAnsi="Cambria"/>
          <w:sz w:val="16"/>
          <w:szCs w:val="16"/>
          <w:lang w:val="es-US"/>
        </w:rPr>
        <w:t xml:space="preserve"> Corte IDH. </w:t>
      </w:r>
      <w:r w:rsidRPr="000D7953">
        <w:rPr>
          <w:rFonts w:ascii="Cambria" w:hAnsi="Cambria"/>
          <w:i/>
          <w:sz w:val="16"/>
          <w:szCs w:val="16"/>
          <w:lang w:val="es-US"/>
        </w:rPr>
        <w:t>Caso Luna López Vs. Honduras</w:t>
      </w:r>
      <w:r w:rsidRPr="000D7953">
        <w:rPr>
          <w:rFonts w:ascii="Cambria" w:hAnsi="Cambria"/>
          <w:sz w:val="16"/>
          <w:szCs w:val="16"/>
          <w:lang w:val="es-US"/>
        </w:rPr>
        <w:t xml:space="preserve">, </w:t>
      </w:r>
      <w:r w:rsidRPr="000D7953">
        <w:rPr>
          <w:rFonts w:ascii="Cambria" w:hAnsi="Cambria"/>
          <w:i/>
          <w:iCs/>
          <w:sz w:val="16"/>
          <w:szCs w:val="16"/>
          <w:lang w:val="es-US"/>
        </w:rPr>
        <w:t>supra</w:t>
      </w:r>
      <w:r w:rsidRPr="000D7953">
        <w:rPr>
          <w:rFonts w:ascii="Cambria" w:hAnsi="Cambria"/>
          <w:sz w:val="16"/>
          <w:szCs w:val="16"/>
          <w:lang w:val="es-US"/>
        </w:rPr>
        <w:t>. Párr. 120.</w:t>
      </w:r>
    </w:p>
  </w:footnote>
  <w:footnote w:id="96">
    <w:p w14:paraId="195C9B88" w14:textId="72507C27" w:rsidR="000A5EAC" w:rsidRPr="000D7953" w:rsidRDefault="000A5EAC" w:rsidP="000D7953">
      <w:pPr>
        <w:pStyle w:val="FootnoteText"/>
        <w:tabs>
          <w:tab w:val="left" w:pos="1800"/>
        </w:tabs>
        <w:jc w:val="both"/>
        <w:rPr>
          <w:rFonts w:ascii="Cambria" w:hAnsi="Cambria"/>
          <w:sz w:val="16"/>
          <w:szCs w:val="16"/>
          <w:lang w:val="es-US"/>
        </w:rPr>
      </w:pPr>
      <w:r w:rsidRPr="000D7953">
        <w:rPr>
          <w:rStyle w:val="FootnoteReference"/>
          <w:rFonts w:ascii="Cambria" w:hAnsi="Cambria"/>
          <w:sz w:val="16"/>
          <w:szCs w:val="16"/>
        </w:rPr>
        <w:footnoteRef/>
      </w:r>
      <w:r w:rsidRPr="000D7953">
        <w:rPr>
          <w:rFonts w:ascii="Cambria" w:hAnsi="Cambria"/>
          <w:sz w:val="16"/>
          <w:szCs w:val="16"/>
          <w:lang w:val="es-US"/>
        </w:rPr>
        <w:t xml:space="preserve"> Corte IDH. </w:t>
      </w:r>
      <w:r w:rsidRPr="000D7953">
        <w:rPr>
          <w:rFonts w:ascii="Cambria" w:hAnsi="Cambria"/>
          <w:i/>
          <w:sz w:val="16"/>
          <w:szCs w:val="16"/>
          <w:lang w:val="es-US"/>
        </w:rPr>
        <w:t>Caso de la Masacre de Pueblo Bello Vs. Colombia</w:t>
      </w:r>
      <w:r w:rsidRPr="000D7953">
        <w:rPr>
          <w:rFonts w:ascii="Cambria" w:hAnsi="Cambria"/>
          <w:sz w:val="16"/>
          <w:szCs w:val="16"/>
          <w:lang w:val="es-US"/>
        </w:rPr>
        <w:t xml:space="preserve">. Sentencia de 31 de enero de 2006. Serie C No. 140. Párr. 123; </w:t>
      </w:r>
      <w:r w:rsidRPr="000D7953">
        <w:rPr>
          <w:rFonts w:ascii="Cambria" w:hAnsi="Cambria"/>
          <w:i/>
          <w:sz w:val="16"/>
          <w:szCs w:val="16"/>
          <w:lang w:val="es-US"/>
        </w:rPr>
        <w:t>Caso González y otras (“Campo Algodonero”) Vs. México</w:t>
      </w:r>
      <w:r w:rsidRPr="000D7953">
        <w:rPr>
          <w:rFonts w:ascii="Cambria" w:hAnsi="Cambria"/>
          <w:sz w:val="16"/>
          <w:szCs w:val="16"/>
          <w:lang w:val="es-US"/>
        </w:rPr>
        <w:t xml:space="preserve">. Excepción Preliminar, Fondo, Reparaciones y Costas. Sentencia de 16 de noviembre de 2009. Serie C No. 205. Párr. 280; </w:t>
      </w:r>
      <w:r w:rsidRPr="000D7953">
        <w:rPr>
          <w:rFonts w:ascii="Cambria" w:hAnsi="Cambria"/>
          <w:i/>
          <w:sz w:val="16"/>
          <w:szCs w:val="16"/>
          <w:lang w:val="es-US"/>
        </w:rPr>
        <w:t>Caso Velásquez Paiz y otros Vs. Guatemala</w:t>
      </w:r>
      <w:r w:rsidRPr="000D7953">
        <w:rPr>
          <w:rFonts w:ascii="Cambria" w:hAnsi="Cambria"/>
          <w:sz w:val="16"/>
          <w:szCs w:val="16"/>
          <w:lang w:val="es-US"/>
        </w:rPr>
        <w:t>. Excepciones Preliminares, Fondo, Reparaciones y Costas. Sentencia de 19 de noviembre de 2015. Serie C No. 307. Párr. 109.</w:t>
      </w:r>
    </w:p>
  </w:footnote>
  <w:footnote w:id="97">
    <w:p w14:paraId="10C771F9" w14:textId="18B3CE4C" w:rsidR="000A5EAC" w:rsidRPr="000D7953" w:rsidRDefault="000A5EAC" w:rsidP="000D7953">
      <w:pPr>
        <w:pStyle w:val="FootnoteText"/>
        <w:tabs>
          <w:tab w:val="left" w:pos="1800"/>
        </w:tabs>
        <w:jc w:val="both"/>
        <w:rPr>
          <w:rFonts w:ascii="Cambria" w:hAnsi="Cambria"/>
          <w:sz w:val="16"/>
          <w:szCs w:val="16"/>
          <w:lang w:val="es-US"/>
        </w:rPr>
      </w:pPr>
      <w:r w:rsidRPr="000D7953">
        <w:rPr>
          <w:rStyle w:val="FootnoteReference"/>
          <w:rFonts w:ascii="Cambria" w:hAnsi="Cambria"/>
          <w:sz w:val="16"/>
          <w:szCs w:val="16"/>
        </w:rPr>
        <w:footnoteRef/>
      </w:r>
      <w:r w:rsidRPr="000D7953">
        <w:rPr>
          <w:rFonts w:ascii="Cambria" w:hAnsi="Cambria"/>
          <w:sz w:val="16"/>
          <w:szCs w:val="16"/>
          <w:lang w:val="es-US"/>
        </w:rPr>
        <w:t xml:space="preserve"> Corte IDH. </w:t>
      </w:r>
      <w:r w:rsidRPr="000D7953">
        <w:rPr>
          <w:rFonts w:ascii="Cambria" w:hAnsi="Cambria"/>
          <w:i/>
          <w:sz w:val="16"/>
          <w:szCs w:val="16"/>
          <w:lang w:val="es-US"/>
        </w:rPr>
        <w:t xml:space="preserve">Caso Velásquez Paiz y otros Vs. Guatemala, supra. </w:t>
      </w:r>
      <w:r w:rsidRPr="000D7953">
        <w:rPr>
          <w:rFonts w:ascii="Cambria" w:hAnsi="Cambria"/>
          <w:iCs/>
          <w:sz w:val="16"/>
          <w:szCs w:val="16"/>
          <w:lang w:val="es-US"/>
        </w:rPr>
        <w:t>P</w:t>
      </w:r>
      <w:r w:rsidRPr="000D7953">
        <w:rPr>
          <w:rFonts w:ascii="Cambria" w:hAnsi="Cambria"/>
          <w:sz w:val="16"/>
          <w:szCs w:val="16"/>
          <w:lang w:val="es-US"/>
        </w:rPr>
        <w:t xml:space="preserve">árr. </w:t>
      </w:r>
      <w:r w:rsidRPr="000D7953">
        <w:rPr>
          <w:rFonts w:ascii="Cambria" w:hAnsi="Cambria"/>
          <w:sz w:val="16"/>
          <w:szCs w:val="16"/>
          <w:lang w:val="pt-BR"/>
        </w:rPr>
        <w:t xml:space="preserve">109, y </w:t>
      </w:r>
      <w:r w:rsidRPr="000D7953">
        <w:rPr>
          <w:rFonts w:ascii="Cambria" w:hAnsi="Cambria"/>
          <w:i/>
          <w:iCs/>
          <w:sz w:val="16"/>
          <w:szCs w:val="16"/>
          <w:lang w:val="pt-BR"/>
        </w:rPr>
        <w:t>Caso López Soto y otros Vs. Venezuela</w:t>
      </w:r>
      <w:r w:rsidRPr="000D7953">
        <w:rPr>
          <w:rFonts w:ascii="Cambria" w:hAnsi="Cambria"/>
          <w:sz w:val="16"/>
          <w:szCs w:val="16"/>
          <w:lang w:val="pt-BR"/>
        </w:rPr>
        <w:t xml:space="preserve">. </w:t>
      </w:r>
      <w:r w:rsidRPr="000D7953">
        <w:rPr>
          <w:rFonts w:ascii="Cambria" w:hAnsi="Cambria"/>
          <w:sz w:val="16"/>
          <w:szCs w:val="16"/>
          <w:lang w:val="es-US"/>
        </w:rPr>
        <w:t>Fondo, Reparaciones y Costas. Sentencia de 26 de septiembre de 2018. Serie C No. 362. Párr. 140.</w:t>
      </w:r>
    </w:p>
  </w:footnote>
  <w:footnote w:id="98">
    <w:p w14:paraId="237B1625" w14:textId="1F7DC1DB" w:rsidR="000A5EAC" w:rsidRPr="000D7953" w:rsidRDefault="000A5EAC" w:rsidP="000D7953">
      <w:pPr>
        <w:pStyle w:val="FootnoteText"/>
        <w:pBdr>
          <w:top w:val="none" w:sz="0" w:space="0" w:color="auto"/>
          <w:left w:val="none" w:sz="0" w:space="0" w:color="auto"/>
          <w:bottom w:val="none" w:sz="0" w:space="0" w:color="auto"/>
          <w:right w:val="none" w:sz="0" w:space="0" w:color="auto"/>
          <w:bar w:val="none" w:sz="0" w:color="auto"/>
        </w:pBdr>
        <w:tabs>
          <w:tab w:val="left" w:pos="1800"/>
        </w:tabs>
        <w:jc w:val="both"/>
        <w:rPr>
          <w:rFonts w:ascii="Cambria" w:hAnsi="Cambria"/>
          <w:sz w:val="16"/>
          <w:szCs w:val="16"/>
          <w:lang w:val="es-AR"/>
        </w:rPr>
      </w:pPr>
      <w:r w:rsidRPr="000D7953">
        <w:rPr>
          <w:rStyle w:val="FootnoteReference"/>
          <w:rFonts w:ascii="Cambria" w:hAnsi="Cambria"/>
          <w:sz w:val="16"/>
          <w:szCs w:val="16"/>
          <w:lang w:val="es-AR" w:eastAsia="x-none"/>
        </w:rPr>
        <w:footnoteRef/>
      </w:r>
      <w:r w:rsidRPr="000D7953">
        <w:rPr>
          <w:rFonts w:ascii="Cambria" w:hAnsi="Cambria"/>
          <w:sz w:val="16"/>
          <w:szCs w:val="16"/>
          <w:lang w:val="es-AR" w:eastAsia="x-none"/>
        </w:rPr>
        <w:t xml:space="preserve"> Corte IDH. </w:t>
      </w:r>
      <w:r w:rsidRPr="000D7953">
        <w:rPr>
          <w:rFonts w:ascii="Cambria" w:hAnsi="Cambria"/>
          <w:i/>
          <w:sz w:val="16"/>
          <w:szCs w:val="16"/>
          <w:lang w:val="es-AR" w:eastAsia="x-none"/>
        </w:rPr>
        <w:t xml:space="preserve">Caso Vélez Restrepo y Familiares Vs. Colombia, supra. </w:t>
      </w:r>
      <w:r w:rsidRPr="000D7953">
        <w:rPr>
          <w:rFonts w:ascii="Cambria" w:hAnsi="Cambria"/>
          <w:sz w:val="16"/>
          <w:szCs w:val="16"/>
          <w:lang w:val="es-AR" w:eastAsia="x-none"/>
        </w:rPr>
        <w:t>Párr. 193 y 194.</w:t>
      </w:r>
    </w:p>
  </w:footnote>
  <w:footnote w:id="99">
    <w:p w14:paraId="440D5173" w14:textId="3D83F8A3" w:rsidR="000A5EAC" w:rsidRPr="000D7953" w:rsidRDefault="000A5EAC" w:rsidP="000D7953">
      <w:pPr>
        <w:pStyle w:val="FootnoteText"/>
        <w:tabs>
          <w:tab w:val="left" w:pos="1800"/>
        </w:tabs>
        <w:jc w:val="both"/>
        <w:rPr>
          <w:rFonts w:ascii="Cambria" w:hAnsi="Cambria"/>
          <w:sz w:val="16"/>
          <w:szCs w:val="16"/>
          <w:lang w:val="es-US"/>
        </w:rPr>
      </w:pPr>
      <w:r w:rsidRPr="000D7953">
        <w:rPr>
          <w:rStyle w:val="FootnoteReference"/>
          <w:rFonts w:ascii="Cambria" w:hAnsi="Cambria"/>
          <w:sz w:val="16"/>
          <w:szCs w:val="16"/>
          <w:lang w:val="es-AR" w:eastAsia="x-none"/>
        </w:rPr>
        <w:footnoteRef/>
      </w:r>
      <w:r w:rsidRPr="000D7953">
        <w:rPr>
          <w:rFonts w:ascii="Cambria" w:hAnsi="Cambria"/>
          <w:sz w:val="16"/>
          <w:szCs w:val="16"/>
          <w:lang w:val="es-AR" w:eastAsia="x-none"/>
        </w:rPr>
        <w:t xml:space="preserve"> </w:t>
      </w:r>
      <w:r w:rsidRPr="000D7953">
        <w:rPr>
          <w:rFonts w:ascii="Cambria" w:hAnsi="Cambria"/>
          <w:sz w:val="16"/>
          <w:szCs w:val="16"/>
          <w:lang w:val="es-US"/>
        </w:rPr>
        <w:t xml:space="preserve">Corte IDH. </w:t>
      </w:r>
      <w:r w:rsidRPr="000D7953">
        <w:rPr>
          <w:rFonts w:ascii="Cambria" w:hAnsi="Cambria"/>
          <w:i/>
          <w:sz w:val="16"/>
          <w:szCs w:val="16"/>
          <w:lang w:val="es-AR" w:eastAsia="x-none"/>
        </w:rPr>
        <w:t>Caso Vélez Restrepo y Familiares Vs. Colombia</w:t>
      </w:r>
      <w:r w:rsidRPr="000D7953">
        <w:rPr>
          <w:rFonts w:ascii="Cambria" w:hAnsi="Cambria"/>
          <w:sz w:val="16"/>
          <w:szCs w:val="16"/>
          <w:lang w:val="es-US"/>
        </w:rPr>
        <w:t xml:space="preserve">, </w:t>
      </w:r>
      <w:r w:rsidRPr="000D7953">
        <w:rPr>
          <w:rFonts w:ascii="Cambria" w:hAnsi="Cambria"/>
          <w:i/>
          <w:iCs/>
          <w:sz w:val="16"/>
          <w:szCs w:val="16"/>
          <w:lang w:val="es-US"/>
        </w:rPr>
        <w:t>supra.</w:t>
      </w:r>
      <w:r w:rsidRPr="000D7953">
        <w:rPr>
          <w:rFonts w:ascii="Cambria" w:hAnsi="Cambria"/>
          <w:sz w:val="16"/>
          <w:szCs w:val="16"/>
          <w:lang w:val="es-US"/>
        </w:rPr>
        <w:t xml:space="preserve"> </w:t>
      </w:r>
      <w:r w:rsidRPr="000D7953">
        <w:rPr>
          <w:rFonts w:ascii="Cambria" w:hAnsi="Cambria"/>
          <w:sz w:val="16"/>
          <w:szCs w:val="16"/>
          <w:lang w:val="es-AR" w:eastAsia="x-none"/>
        </w:rPr>
        <w:t xml:space="preserve">Párr. 201, y </w:t>
      </w:r>
      <w:r w:rsidRPr="000D7953">
        <w:rPr>
          <w:rFonts w:ascii="Cambria" w:hAnsi="Cambria"/>
          <w:i/>
          <w:sz w:val="16"/>
          <w:szCs w:val="16"/>
          <w:lang w:val="es-US"/>
        </w:rPr>
        <w:t>Caso Luna López Vs. Honduras</w:t>
      </w:r>
      <w:r w:rsidRPr="000D7953">
        <w:rPr>
          <w:rFonts w:ascii="Cambria" w:hAnsi="Cambria"/>
          <w:sz w:val="16"/>
          <w:szCs w:val="16"/>
          <w:lang w:val="es-US"/>
        </w:rPr>
        <w:t xml:space="preserve">, </w:t>
      </w:r>
      <w:r w:rsidRPr="000D7953">
        <w:rPr>
          <w:rFonts w:ascii="Cambria" w:hAnsi="Cambria"/>
          <w:i/>
          <w:iCs/>
          <w:sz w:val="16"/>
          <w:szCs w:val="16"/>
          <w:lang w:val="es-US"/>
        </w:rPr>
        <w:t>supra</w:t>
      </w:r>
      <w:r w:rsidRPr="000D7953">
        <w:rPr>
          <w:rFonts w:ascii="Cambria" w:hAnsi="Cambria"/>
          <w:sz w:val="16"/>
          <w:szCs w:val="16"/>
          <w:lang w:val="es-US"/>
        </w:rPr>
        <w:t>. Párr. 120.</w:t>
      </w:r>
    </w:p>
  </w:footnote>
  <w:footnote w:id="100">
    <w:p w14:paraId="4DFA719B" w14:textId="5E7C960D" w:rsidR="000A5EAC" w:rsidRPr="000D7953" w:rsidRDefault="000A5EAC" w:rsidP="000D7953">
      <w:pPr>
        <w:pStyle w:val="FootnoteText"/>
        <w:pBdr>
          <w:top w:val="none" w:sz="0" w:space="0" w:color="auto"/>
          <w:left w:val="none" w:sz="0" w:space="0" w:color="auto"/>
          <w:bottom w:val="none" w:sz="0" w:space="0" w:color="auto"/>
          <w:right w:val="none" w:sz="0" w:space="0" w:color="auto"/>
          <w:bar w:val="none" w:sz="0" w:color="auto"/>
        </w:pBdr>
        <w:tabs>
          <w:tab w:val="left" w:pos="1800"/>
        </w:tabs>
        <w:jc w:val="both"/>
        <w:rPr>
          <w:rFonts w:ascii="Cambria" w:hAnsi="Cambria"/>
          <w:sz w:val="16"/>
          <w:szCs w:val="16"/>
          <w:lang w:val="es-AR"/>
        </w:rPr>
      </w:pPr>
      <w:r w:rsidRPr="000D7953">
        <w:rPr>
          <w:rStyle w:val="FootnoteReference"/>
          <w:rFonts w:ascii="Cambria" w:hAnsi="Cambria" w:cs="Cambria"/>
          <w:sz w:val="16"/>
          <w:szCs w:val="16"/>
          <w:lang w:val="es-AR" w:eastAsia="x-none"/>
        </w:rPr>
        <w:footnoteRef/>
      </w:r>
      <w:r w:rsidRPr="000D7953">
        <w:rPr>
          <w:rFonts w:ascii="Cambria" w:hAnsi="Cambria"/>
          <w:sz w:val="16"/>
          <w:szCs w:val="16"/>
          <w:lang w:val="es-AR" w:eastAsia="x-none"/>
        </w:rPr>
        <w:t xml:space="preserve"> CIDH. </w:t>
      </w:r>
      <w:hyperlink r:id="rId6" w:history="1">
        <w:r w:rsidRPr="000D7953">
          <w:rPr>
            <w:rStyle w:val="Hyperlink"/>
            <w:rFonts w:ascii="Cambria" w:hAnsi="Cambria"/>
            <w:sz w:val="16"/>
            <w:szCs w:val="16"/>
            <w:lang w:val="es-AR" w:eastAsia="x-none"/>
          </w:rPr>
          <w:t>Informe Anual 2013. Informe de la Relatoría Especial para la Libertad de Expresión</w:t>
        </w:r>
      </w:hyperlink>
      <w:r w:rsidRPr="000D7953">
        <w:rPr>
          <w:rFonts w:ascii="Cambria" w:hAnsi="Cambria"/>
          <w:sz w:val="16"/>
          <w:szCs w:val="16"/>
          <w:lang w:val="es-AR" w:eastAsia="x-none"/>
        </w:rPr>
        <w:t xml:space="preserve">. Capítulo III (Violencia contra periodistas y trabajadores de medios: estándares interamericanos y prácticas nacionales sobre prevención, protección y procuración de la justicia). OEA/Ser.L/V/II.149. Doc. 50. 31 de diciembre de 2013. Párr. 72; Relator Especial de las Naciones Unidas (ONU) para la Libertad de Opinión y de Expresión, Representante para la Libertad de los Medios de Comunicación de la Organización para la Seguridad y la Cooperación en Europa (OSCE), Relatora Especial de la Organización de los Estados Americanos (OEA) para la Libertad de Expresión y Relatora Especial sobre Libertad de Expresión y Acceso a la Información de la Comisión Africana de Derechos Humanos y de los Pueblos (CADHP). 25 de junio de 2012. </w:t>
      </w:r>
      <w:hyperlink r:id="rId7" w:history="1">
        <w:r w:rsidRPr="000D7953">
          <w:rPr>
            <w:rStyle w:val="Hyperlink"/>
            <w:rFonts w:ascii="Cambria" w:hAnsi="Cambria" w:cs="Cambria"/>
            <w:i/>
            <w:sz w:val="16"/>
            <w:szCs w:val="16"/>
            <w:lang w:val="es-AR" w:eastAsia="x-none"/>
          </w:rPr>
          <w:t>Declaración Conjunta sobre Delitos contra la Libertad de Expresión</w:t>
        </w:r>
      </w:hyperlink>
      <w:r w:rsidRPr="000D7953">
        <w:rPr>
          <w:rFonts w:ascii="Cambria" w:hAnsi="Cambria"/>
          <w:sz w:val="16"/>
          <w:szCs w:val="16"/>
          <w:lang w:val="es-AR" w:eastAsia="x-none"/>
        </w:rPr>
        <w:t xml:space="preserve">. </w:t>
      </w:r>
      <w:r w:rsidRPr="000D7953">
        <w:rPr>
          <w:rFonts w:ascii="Cambria" w:hAnsi="Cambria"/>
          <w:sz w:val="16"/>
          <w:szCs w:val="16"/>
          <w:lang w:val="es-PE"/>
        </w:rPr>
        <w:t>CIDH. Informe No. 150/18. Caso No. 12.954. Jineth Bedoya Lima y otra. Colombia. 7 de diciembre de 2018. Párr. 77.</w:t>
      </w:r>
    </w:p>
  </w:footnote>
  <w:footnote w:id="101">
    <w:p w14:paraId="3D1CA4AC" w14:textId="211B3909"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Corte IDH. </w:t>
      </w:r>
      <w:r w:rsidRPr="000D7953">
        <w:rPr>
          <w:rFonts w:ascii="Cambria" w:hAnsi="Cambria"/>
          <w:i/>
          <w:iCs/>
          <w:sz w:val="16"/>
          <w:szCs w:val="16"/>
          <w:lang w:val="es-PE"/>
        </w:rPr>
        <w:t>C</w:t>
      </w:r>
      <w:r w:rsidRPr="000D7953">
        <w:rPr>
          <w:rFonts w:ascii="Cambria" w:hAnsi="Cambria"/>
          <w:i/>
          <w:sz w:val="16"/>
          <w:szCs w:val="16"/>
          <w:lang w:val="es-CO"/>
        </w:rPr>
        <w:t xml:space="preserve">aso Velásquez Rodríguez Vs. Honduras. Fondo. </w:t>
      </w:r>
      <w:r w:rsidRPr="000D7953">
        <w:rPr>
          <w:rFonts w:ascii="Cambria" w:hAnsi="Cambria"/>
          <w:sz w:val="16"/>
          <w:szCs w:val="16"/>
          <w:lang w:val="es-CO"/>
        </w:rPr>
        <w:t xml:space="preserve">Sentencia de 29 de julio de 1988. </w:t>
      </w:r>
      <w:r w:rsidRPr="000D7953">
        <w:rPr>
          <w:rFonts w:ascii="Cambria" w:hAnsi="Cambria"/>
          <w:sz w:val="16"/>
          <w:szCs w:val="16"/>
          <w:lang w:val="pt-BR"/>
        </w:rPr>
        <w:t xml:space="preserve">Serie C No. 04. </w:t>
      </w:r>
      <w:r w:rsidRPr="000D7953">
        <w:rPr>
          <w:rFonts w:ascii="Cambria" w:hAnsi="Cambria"/>
          <w:sz w:val="16"/>
          <w:szCs w:val="16"/>
          <w:lang w:val="es-PE"/>
        </w:rPr>
        <w:t xml:space="preserve">Párr. 166; </w:t>
      </w:r>
      <w:r w:rsidRPr="000D7953">
        <w:rPr>
          <w:rFonts w:ascii="Cambria" w:hAnsi="Cambria"/>
          <w:i/>
          <w:iCs/>
          <w:sz w:val="16"/>
          <w:szCs w:val="16"/>
          <w:lang w:val="es-PE"/>
        </w:rPr>
        <w:t>Caso González y otras (“Campo Algodonero”) Vs. México,</w:t>
      </w:r>
      <w:r w:rsidRPr="000D7953">
        <w:rPr>
          <w:rFonts w:ascii="Cambria" w:hAnsi="Cambria"/>
          <w:sz w:val="16"/>
          <w:szCs w:val="16"/>
          <w:lang w:val="es-PE"/>
        </w:rPr>
        <w:t xml:space="preserve"> </w:t>
      </w:r>
      <w:r w:rsidRPr="000D7953">
        <w:rPr>
          <w:rFonts w:ascii="Cambria" w:hAnsi="Cambria"/>
          <w:i/>
          <w:iCs/>
          <w:sz w:val="16"/>
          <w:szCs w:val="16"/>
          <w:lang w:val="es-PE"/>
        </w:rPr>
        <w:t>supra.</w:t>
      </w:r>
      <w:r w:rsidRPr="000D7953">
        <w:rPr>
          <w:rFonts w:ascii="Cambria" w:hAnsi="Cambria"/>
          <w:sz w:val="16"/>
          <w:szCs w:val="16"/>
          <w:lang w:val="es-PE"/>
        </w:rPr>
        <w:t xml:space="preserve"> Párr. 252, y </w:t>
      </w:r>
      <w:r w:rsidRPr="000D7953">
        <w:rPr>
          <w:rFonts w:ascii="Cambria" w:hAnsi="Cambria"/>
          <w:i/>
          <w:iCs/>
          <w:sz w:val="16"/>
          <w:szCs w:val="16"/>
          <w:lang w:val="es-ES"/>
        </w:rPr>
        <w:t>Caso Defensor de Derechos Humanos y otros Vs. Guatemala.</w:t>
      </w:r>
      <w:r w:rsidRPr="000D7953">
        <w:rPr>
          <w:rFonts w:ascii="Cambria" w:hAnsi="Cambria"/>
          <w:sz w:val="16"/>
          <w:szCs w:val="16"/>
          <w:lang w:val="es-ES"/>
        </w:rPr>
        <w:t xml:space="preserve"> Excepciones Preliminares, Fondo, Reparaciones y Costas. Sentencia de 28 de agosto de 2014. Serie C No. 283. Párr. 139.</w:t>
      </w:r>
    </w:p>
  </w:footnote>
  <w:footnote w:id="102">
    <w:p w14:paraId="1F437077" w14:textId="63EFCF91" w:rsidR="000A5EAC" w:rsidRPr="000D7953" w:rsidRDefault="000A5EAC" w:rsidP="000D7953">
      <w:pPr>
        <w:pStyle w:val="FootnoteText"/>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MX"/>
        </w:rPr>
        <w:t xml:space="preserve">CIDH. Relatoría Especial para la Libertad de Expresión. Informe Zonas Silenciadas: regiones de alta peligrosidad para ejercer la libertad de expresión, </w:t>
      </w:r>
      <w:r w:rsidRPr="000D7953">
        <w:rPr>
          <w:rFonts w:ascii="Cambria" w:hAnsi="Cambria"/>
          <w:i/>
          <w:iCs/>
          <w:sz w:val="16"/>
          <w:szCs w:val="16"/>
          <w:lang w:val="es-MX"/>
        </w:rPr>
        <w:t>supra</w:t>
      </w:r>
      <w:r w:rsidRPr="000D7953">
        <w:rPr>
          <w:rFonts w:ascii="Cambria" w:hAnsi="Cambria"/>
          <w:sz w:val="16"/>
          <w:szCs w:val="16"/>
          <w:lang w:val="es-MX"/>
        </w:rPr>
        <w:t>. Págs. 77 a 102.</w:t>
      </w:r>
    </w:p>
  </w:footnote>
  <w:footnote w:id="103">
    <w:p w14:paraId="2ECA0692" w14:textId="0A299242" w:rsidR="000A5EAC" w:rsidRPr="000D7953" w:rsidRDefault="000A5EAC" w:rsidP="000D7953">
      <w:pPr>
        <w:pStyle w:val="FootnoteText"/>
        <w:tabs>
          <w:tab w:val="left" w:pos="1800"/>
        </w:tabs>
        <w:jc w:val="both"/>
        <w:rPr>
          <w:rFonts w:ascii="Cambria" w:hAnsi="Cambria"/>
          <w:sz w:val="16"/>
          <w:szCs w:val="16"/>
          <w:lang w:val="es-ES"/>
        </w:rPr>
      </w:pPr>
      <w:r w:rsidRPr="000D7953">
        <w:rPr>
          <w:rStyle w:val="FootnoteReference"/>
          <w:rFonts w:ascii="Cambria" w:hAnsi="Cambria"/>
          <w:sz w:val="16"/>
          <w:szCs w:val="16"/>
        </w:rPr>
        <w:footnoteRef/>
      </w:r>
      <w:r w:rsidRPr="000D7953">
        <w:rPr>
          <w:rFonts w:ascii="Cambria" w:hAnsi="Cambria"/>
          <w:sz w:val="16"/>
          <w:szCs w:val="16"/>
          <w:lang w:val="es-ES"/>
        </w:rPr>
        <w:t xml:space="preserve"> Corte IDH. </w:t>
      </w:r>
      <w:r w:rsidRPr="000D7953">
        <w:rPr>
          <w:rFonts w:ascii="Cambria" w:hAnsi="Cambria"/>
          <w:i/>
          <w:iCs/>
          <w:sz w:val="16"/>
          <w:szCs w:val="16"/>
          <w:lang w:val="es-ES"/>
        </w:rPr>
        <w:t>Caso Defensor de Derechos Humanos y otros Vs. Guatemala, supra</w:t>
      </w:r>
      <w:r w:rsidRPr="000D7953">
        <w:rPr>
          <w:rFonts w:ascii="Cambria" w:hAnsi="Cambria"/>
          <w:sz w:val="16"/>
          <w:szCs w:val="16"/>
          <w:lang w:val="es-ES"/>
        </w:rPr>
        <w:t>. Párr. 199.</w:t>
      </w:r>
    </w:p>
  </w:footnote>
  <w:footnote w:id="104">
    <w:p w14:paraId="176AE330" w14:textId="568523AC" w:rsidR="000A5EAC" w:rsidRPr="000D7953" w:rsidRDefault="000A5EAC" w:rsidP="000D7953">
      <w:pPr>
        <w:pStyle w:val="FootnoteText"/>
        <w:tabs>
          <w:tab w:val="left" w:pos="1800"/>
        </w:tabs>
        <w:jc w:val="both"/>
        <w:rPr>
          <w:rFonts w:ascii="Cambria" w:hAnsi="Cambria"/>
          <w:sz w:val="16"/>
          <w:szCs w:val="16"/>
          <w:lang w:val="es-ES"/>
        </w:rPr>
      </w:pPr>
      <w:r w:rsidRPr="000D7953">
        <w:rPr>
          <w:rStyle w:val="FootnoteReference"/>
          <w:rFonts w:ascii="Cambria" w:hAnsi="Cambria"/>
          <w:sz w:val="16"/>
          <w:szCs w:val="16"/>
        </w:rPr>
        <w:footnoteRef/>
      </w:r>
      <w:r w:rsidRPr="000D7953">
        <w:rPr>
          <w:rFonts w:ascii="Cambria" w:hAnsi="Cambria"/>
          <w:sz w:val="16"/>
          <w:szCs w:val="16"/>
          <w:lang w:val="es-ES"/>
        </w:rPr>
        <w:t xml:space="preserve"> </w:t>
      </w:r>
      <w:r w:rsidRPr="000D7953">
        <w:rPr>
          <w:rStyle w:val="Strong"/>
          <w:rFonts w:ascii="Cambria" w:hAnsi="Cambria"/>
          <w:b w:val="0"/>
          <w:sz w:val="16"/>
          <w:szCs w:val="16"/>
          <w:shd w:val="clear" w:color="auto" w:fill="FFFFFF"/>
          <w:lang w:val="es-ES"/>
        </w:rPr>
        <w:t xml:space="preserve">Corte IDH. </w:t>
      </w:r>
      <w:r w:rsidRPr="000D7953">
        <w:rPr>
          <w:rStyle w:val="Strong"/>
          <w:rFonts w:ascii="Cambria" w:hAnsi="Cambria"/>
          <w:b w:val="0"/>
          <w:i/>
          <w:iCs/>
          <w:sz w:val="16"/>
          <w:szCs w:val="16"/>
          <w:shd w:val="clear" w:color="auto" w:fill="FFFFFF"/>
          <w:lang w:val="es-ES"/>
        </w:rPr>
        <w:t>Caso Espinoza Gonzáles Vs. Perú.</w:t>
      </w:r>
      <w:r w:rsidRPr="000D7953">
        <w:rPr>
          <w:rStyle w:val="Strong"/>
          <w:rFonts w:ascii="Cambria" w:hAnsi="Cambria"/>
          <w:b w:val="0"/>
          <w:sz w:val="16"/>
          <w:szCs w:val="16"/>
          <w:shd w:val="clear" w:color="auto" w:fill="FFFFFF"/>
          <w:lang w:val="es-ES"/>
        </w:rPr>
        <w:t xml:space="preserve"> Excepciones Preliminares, Fondo, Reparaciones y Costas. Sentencia de 20 de noviembre de 2014. Serie C No. 289. Párr. 237.</w:t>
      </w:r>
    </w:p>
  </w:footnote>
  <w:footnote w:id="105">
    <w:p w14:paraId="7A9A5B3C" w14:textId="5BE5D0C4" w:rsidR="000A5EAC" w:rsidRPr="000D7953" w:rsidRDefault="000A5EAC" w:rsidP="000D7953">
      <w:pPr>
        <w:pStyle w:val="FootnoteText"/>
        <w:tabs>
          <w:tab w:val="left" w:pos="1800"/>
        </w:tabs>
        <w:jc w:val="both"/>
        <w:rPr>
          <w:rFonts w:ascii="Cambria" w:hAnsi="Cambria"/>
          <w:sz w:val="16"/>
          <w:szCs w:val="16"/>
          <w:lang w:val="es-ES"/>
        </w:rPr>
      </w:pPr>
      <w:r w:rsidRPr="000D7953">
        <w:rPr>
          <w:rStyle w:val="FootnoteReference"/>
          <w:rFonts w:ascii="Cambria" w:hAnsi="Cambria"/>
          <w:sz w:val="16"/>
          <w:szCs w:val="16"/>
        </w:rPr>
        <w:footnoteRef/>
      </w:r>
      <w:r w:rsidRPr="000D7953">
        <w:rPr>
          <w:rFonts w:ascii="Cambria" w:hAnsi="Cambria"/>
          <w:sz w:val="16"/>
          <w:szCs w:val="16"/>
          <w:lang w:val="es-ES"/>
        </w:rPr>
        <w:t xml:space="preserve"> Corte IDH. </w:t>
      </w:r>
      <w:r w:rsidRPr="000D7953">
        <w:rPr>
          <w:rFonts w:ascii="Cambria" w:hAnsi="Cambria"/>
          <w:i/>
          <w:iCs/>
          <w:sz w:val="16"/>
          <w:szCs w:val="16"/>
          <w:lang w:val="es-ES"/>
        </w:rPr>
        <w:t>Caso Defensor de Derechos Humanos y otros Vs. Guatemala, supra</w:t>
      </w:r>
      <w:r w:rsidRPr="000D7953">
        <w:rPr>
          <w:rFonts w:ascii="Cambria" w:hAnsi="Cambria"/>
          <w:sz w:val="16"/>
          <w:szCs w:val="16"/>
          <w:lang w:val="es-ES"/>
        </w:rPr>
        <w:t>. Párr. 199.</w:t>
      </w:r>
    </w:p>
  </w:footnote>
  <w:footnote w:id="106">
    <w:p w14:paraId="27AB2638" w14:textId="1C77E45A" w:rsidR="000A5EAC" w:rsidRPr="000D7953" w:rsidRDefault="000A5EAC" w:rsidP="000D7953">
      <w:pPr>
        <w:pStyle w:val="FootnoteText"/>
        <w:tabs>
          <w:tab w:val="left" w:pos="1800"/>
        </w:tabs>
        <w:jc w:val="both"/>
        <w:rPr>
          <w:rFonts w:ascii="Cambria" w:hAnsi="Cambria"/>
          <w:sz w:val="16"/>
          <w:szCs w:val="16"/>
          <w:lang w:val="es-ES"/>
        </w:rPr>
      </w:pPr>
      <w:r w:rsidRPr="000D7953">
        <w:rPr>
          <w:rStyle w:val="FootnoteReference"/>
          <w:rFonts w:ascii="Cambria" w:hAnsi="Cambria"/>
          <w:sz w:val="16"/>
          <w:szCs w:val="16"/>
        </w:rPr>
        <w:footnoteRef/>
      </w:r>
      <w:r w:rsidRPr="000D7953">
        <w:rPr>
          <w:rFonts w:ascii="Cambria" w:hAnsi="Cambria"/>
          <w:sz w:val="16"/>
          <w:szCs w:val="16"/>
          <w:lang w:val="es-US"/>
        </w:rPr>
        <w:t xml:space="preserve"> </w:t>
      </w:r>
      <w:r w:rsidRPr="000D7953">
        <w:rPr>
          <w:rFonts w:ascii="Cambria" w:hAnsi="Cambria"/>
          <w:bCs/>
          <w:sz w:val="16"/>
          <w:szCs w:val="16"/>
          <w:lang w:val="es-US"/>
        </w:rPr>
        <w:t xml:space="preserve">Corte IDH. </w:t>
      </w:r>
      <w:r w:rsidRPr="000D7953">
        <w:rPr>
          <w:rFonts w:ascii="Cambria" w:hAnsi="Cambria"/>
          <w:bCs/>
          <w:i/>
          <w:sz w:val="16"/>
          <w:szCs w:val="16"/>
          <w:lang w:val="es-ES"/>
        </w:rPr>
        <w:t>Caso García Prieto y otro Vs. El Salvador</w:t>
      </w:r>
      <w:r w:rsidRPr="000D7953">
        <w:rPr>
          <w:rFonts w:ascii="Cambria" w:hAnsi="Cambria"/>
          <w:bCs/>
          <w:sz w:val="16"/>
          <w:szCs w:val="16"/>
          <w:lang w:val="es-ES"/>
        </w:rPr>
        <w:t>. Excepciones Preliminares, Fondo, Reparaciones y Costas. Sentencia de 20 de noviembre de 2007. Serie C No. 168. Párr. 101.</w:t>
      </w:r>
    </w:p>
  </w:footnote>
  <w:footnote w:id="107">
    <w:p w14:paraId="10CCF69F" w14:textId="68C4212C" w:rsidR="000A5EAC" w:rsidRPr="000D7953" w:rsidRDefault="000A5EAC" w:rsidP="000D7953">
      <w:pPr>
        <w:pStyle w:val="FootnoteText"/>
        <w:tabs>
          <w:tab w:val="left" w:pos="1800"/>
        </w:tabs>
        <w:jc w:val="both"/>
        <w:rPr>
          <w:rFonts w:ascii="Cambria" w:hAnsi="Cambria"/>
          <w:sz w:val="16"/>
          <w:szCs w:val="16"/>
          <w:lang w:val="es-ES"/>
        </w:rPr>
      </w:pPr>
      <w:r w:rsidRPr="000D7953">
        <w:rPr>
          <w:rStyle w:val="FootnoteReference"/>
          <w:rFonts w:ascii="Cambria" w:hAnsi="Cambria"/>
          <w:sz w:val="16"/>
          <w:szCs w:val="16"/>
        </w:rPr>
        <w:footnoteRef/>
      </w:r>
      <w:r w:rsidRPr="000D7953">
        <w:rPr>
          <w:rFonts w:ascii="Cambria" w:hAnsi="Cambria"/>
          <w:sz w:val="16"/>
          <w:szCs w:val="16"/>
          <w:lang w:val="es-ES"/>
        </w:rPr>
        <w:t xml:space="preserve"> </w:t>
      </w:r>
      <w:r w:rsidRPr="000D7953">
        <w:rPr>
          <w:rStyle w:val="Strong"/>
          <w:rFonts w:ascii="Cambria" w:hAnsi="Cambria"/>
          <w:b w:val="0"/>
          <w:sz w:val="16"/>
          <w:szCs w:val="16"/>
          <w:shd w:val="clear" w:color="auto" w:fill="FFFFFF"/>
          <w:lang w:val="es-ES"/>
        </w:rPr>
        <w:t xml:space="preserve">Corte IDH. </w:t>
      </w:r>
      <w:r w:rsidRPr="000D7953">
        <w:rPr>
          <w:rStyle w:val="Strong"/>
          <w:rFonts w:ascii="Cambria" w:hAnsi="Cambria"/>
          <w:b w:val="0"/>
          <w:i/>
          <w:iCs/>
          <w:sz w:val="16"/>
          <w:szCs w:val="16"/>
          <w:shd w:val="clear" w:color="auto" w:fill="FFFFFF"/>
          <w:lang w:val="es-ES"/>
        </w:rPr>
        <w:t>Caso Chitay Nech y otros Vs. Guatemala.</w:t>
      </w:r>
      <w:r w:rsidRPr="000D7953">
        <w:rPr>
          <w:rStyle w:val="Strong"/>
          <w:rFonts w:ascii="Cambria" w:hAnsi="Cambria"/>
          <w:b w:val="0"/>
          <w:sz w:val="16"/>
          <w:szCs w:val="16"/>
          <w:shd w:val="clear" w:color="auto" w:fill="FFFFFF"/>
          <w:lang w:val="es-ES"/>
        </w:rPr>
        <w:t xml:space="preserve"> Excepciones Preliminares, Fondo, Reparaciones y Costas. Sentencia de 25 de mayo de 2010. Serie C No. 212. Párr. 192.</w:t>
      </w:r>
    </w:p>
  </w:footnote>
  <w:footnote w:id="108">
    <w:p w14:paraId="6FF040F7" w14:textId="71F313B9" w:rsidR="000A5EAC" w:rsidRPr="000D7953" w:rsidRDefault="000A5EAC" w:rsidP="000D7953">
      <w:pPr>
        <w:pStyle w:val="FootnoteText"/>
        <w:tabs>
          <w:tab w:val="left" w:pos="1800"/>
        </w:tabs>
        <w:jc w:val="both"/>
        <w:rPr>
          <w:rFonts w:ascii="Cambria" w:hAnsi="Cambria"/>
          <w:sz w:val="16"/>
          <w:szCs w:val="16"/>
          <w:lang w:val="es-CO"/>
        </w:rPr>
      </w:pPr>
      <w:r w:rsidRPr="000D7953">
        <w:rPr>
          <w:rStyle w:val="FootnoteReference"/>
          <w:rFonts w:ascii="Cambria" w:hAnsi="Cambria"/>
          <w:sz w:val="16"/>
          <w:szCs w:val="16"/>
        </w:rPr>
        <w:footnoteRef/>
      </w:r>
      <w:r w:rsidRPr="000D7953">
        <w:rPr>
          <w:rFonts w:ascii="Cambria" w:hAnsi="Cambria"/>
          <w:sz w:val="16"/>
          <w:szCs w:val="16"/>
          <w:lang w:val="es-US"/>
        </w:rPr>
        <w:t xml:space="preserve"> </w:t>
      </w:r>
      <w:r w:rsidRPr="000D7953">
        <w:rPr>
          <w:rFonts w:ascii="Cambria" w:hAnsi="Cambria"/>
          <w:bCs/>
          <w:sz w:val="16"/>
          <w:szCs w:val="16"/>
          <w:lang w:val="es-US"/>
        </w:rPr>
        <w:t xml:space="preserve">Corte IDH. </w:t>
      </w:r>
      <w:r w:rsidRPr="000D7953">
        <w:rPr>
          <w:rFonts w:ascii="Cambria" w:hAnsi="Cambria"/>
          <w:bCs/>
          <w:i/>
          <w:sz w:val="16"/>
          <w:szCs w:val="16"/>
          <w:lang w:val="es-US"/>
        </w:rPr>
        <w:t>Caso Velásquez Rodríguez Vs. Honduras</w:t>
      </w:r>
      <w:r w:rsidRPr="000D7953">
        <w:rPr>
          <w:rFonts w:ascii="Cambria" w:hAnsi="Cambria"/>
          <w:bCs/>
          <w:sz w:val="16"/>
          <w:szCs w:val="16"/>
          <w:lang w:val="es-US"/>
        </w:rPr>
        <w:t xml:space="preserve">. Fondo, </w:t>
      </w:r>
      <w:r w:rsidRPr="000D7953">
        <w:rPr>
          <w:rFonts w:ascii="Cambria" w:hAnsi="Cambria"/>
          <w:bCs/>
          <w:i/>
          <w:iCs/>
          <w:sz w:val="16"/>
          <w:szCs w:val="16"/>
          <w:lang w:val="es-US"/>
        </w:rPr>
        <w:t>supra.</w:t>
      </w:r>
      <w:r w:rsidRPr="000D7953">
        <w:rPr>
          <w:rFonts w:ascii="Cambria" w:hAnsi="Cambria"/>
          <w:bCs/>
          <w:sz w:val="16"/>
          <w:szCs w:val="16"/>
          <w:lang w:val="es-US"/>
        </w:rPr>
        <w:t xml:space="preserve"> </w:t>
      </w:r>
      <w:r w:rsidRPr="000D7953">
        <w:rPr>
          <w:rFonts w:ascii="Cambria" w:hAnsi="Cambria"/>
          <w:sz w:val="16"/>
          <w:szCs w:val="16"/>
          <w:lang w:val="pt-BR"/>
        </w:rPr>
        <w:t xml:space="preserve">Párr. </w:t>
      </w:r>
      <w:r w:rsidRPr="000D7953">
        <w:rPr>
          <w:rFonts w:ascii="Cambria" w:hAnsi="Cambria"/>
          <w:sz w:val="16"/>
          <w:szCs w:val="16"/>
          <w:lang w:val="pt-BR" w:eastAsia="zh-CN"/>
        </w:rPr>
        <w:t xml:space="preserve">145, y </w:t>
      </w:r>
      <w:r w:rsidRPr="000D7953">
        <w:rPr>
          <w:rFonts w:ascii="Cambria" w:hAnsi="Cambria"/>
          <w:i/>
          <w:sz w:val="16"/>
          <w:szCs w:val="16"/>
          <w:lang w:val="pt-BR" w:eastAsia="x-none"/>
        </w:rPr>
        <w:t xml:space="preserve">Caso Kawas Fernández Vs. </w:t>
      </w:r>
      <w:r w:rsidRPr="000D7953">
        <w:rPr>
          <w:rFonts w:ascii="Cambria" w:hAnsi="Cambria"/>
          <w:i/>
          <w:sz w:val="16"/>
          <w:szCs w:val="16"/>
          <w:lang w:val="es-AR" w:eastAsia="x-none"/>
        </w:rPr>
        <w:t>Honduras</w:t>
      </w:r>
      <w:r w:rsidRPr="000D7953">
        <w:rPr>
          <w:rFonts w:ascii="Cambria" w:hAnsi="Cambria"/>
          <w:sz w:val="16"/>
          <w:szCs w:val="16"/>
          <w:lang w:val="es-AR" w:eastAsia="x-none"/>
        </w:rPr>
        <w:t xml:space="preserve">. Fondo, Reparaciones y Costas. Sentencia de 3 de abril de 2009. Serie C No. 134. Párr. </w:t>
      </w:r>
      <w:r w:rsidRPr="000D7953">
        <w:rPr>
          <w:rFonts w:ascii="Cambria" w:hAnsi="Cambria"/>
          <w:sz w:val="16"/>
          <w:szCs w:val="16"/>
          <w:lang w:val="es-CO" w:eastAsia="zh-CN"/>
        </w:rPr>
        <w:t>78.</w:t>
      </w:r>
    </w:p>
  </w:footnote>
  <w:footnote w:id="109">
    <w:p w14:paraId="085F33F6" w14:textId="1F195EB5" w:rsidR="000A5EAC" w:rsidRPr="000D7953" w:rsidRDefault="000A5EAC" w:rsidP="000D7953">
      <w:pPr>
        <w:pStyle w:val="FootnoteText"/>
        <w:pBdr>
          <w:top w:val="none" w:sz="0" w:space="0" w:color="auto"/>
          <w:left w:val="none" w:sz="0" w:space="0" w:color="auto"/>
          <w:bottom w:val="none" w:sz="0" w:space="0" w:color="auto"/>
          <w:right w:val="none" w:sz="0" w:space="0" w:color="auto"/>
          <w:bar w:val="none" w:sz="0" w:color="auto"/>
        </w:pBdr>
        <w:tabs>
          <w:tab w:val="left" w:pos="1800"/>
        </w:tabs>
        <w:jc w:val="both"/>
        <w:rPr>
          <w:rFonts w:ascii="Cambria" w:hAnsi="Cambria"/>
          <w:sz w:val="16"/>
          <w:szCs w:val="16"/>
          <w:lang w:val="es-AR"/>
        </w:rPr>
      </w:pPr>
      <w:r w:rsidRPr="000D7953">
        <w:rPr>
          <w:rStyle w:val="FootnoteReference"/>
          <w:rFonts w:ascii="Cambria" w:hAnsi="Cambria" w:cs="Cambria"/>
          <w:sz w:val="16"/>
          <w:szCs w:val="16"/>
          <w:lang w:val="es-AR" w:eastAsia="x-none"/>
        </w:rPr>
        <w:footnoteRef/>
      </w:r>
      <w:r w:rsidRPr="000D7953">
        <w:rPr>
          <w:rFonts w:ascii="Cambria" w:hAnsi="Cambria"/>
          <w:sz w:val="16"/>
          <w:szCs w:val="16"/>
          <w:lang w:val="es-AR" w:eastAsia="x-none"/>
        </w:rPr>
        <w:t xml:space="preserve"> Corte IDH. </w:t>
      </w:r>
      <w:r w:rsidRPr="000D7953">
        <w:rPr>
          <w:rFonts w:ascii="Cambria" w:hAnsi="Cambria"/>
          <w:i/>
          <w:iCs/>
          <w:sz w:val="16"/>
          <w:szCs w:val="16"/>
          <w:lang w:val="es-AR" w:eastAsia="x-none"/>
        </w:rPr>
        <w:t xml:space="preserve">Caso Vélez Restrepo y Familiares Vs. Colombia, supra. </w:t>
      </w:r>
      <w:r w:rsidRPr="000D7953">
        <w:rPr>
          <w:rFonts w:ascii="Cambria" w:hAnsi="Cambria"/>
          <w:sz w:val="16"/>
          <w:szCs w:val="16"/>
          <w:lang w:val="es-AR" w:eastAsia="x-none"/>
        </w:rPr>
        <w:t xml:space="preserve">Párr. 148, y </w:t>
      </w:r>
      <w:r w:rsidRPr="000D7953">
        <w:rPr>
          <w:rFonts w:ascii="Cambria" w:hAnsi="Cambria"/>
          <w:i/>
          <w:sz w:val="16"/>
          <w:szCs w:val="16"/>
          <w:lang w:val="es-ES"/>
        </w:rPr>
        <w:t>Caso Carvajal Carvajal y otros Vs. Colombia, supra</w:t>
      </w:r>
      <w:r w:rsidRPr="000D7953">
        <w:rPr>
          <w:rFonts w:ascii="Cambria" w:hAnsi="Cambria"/>
          <w:sz w:val="16"/>
          <w:szCs w:val="16"/>
          <w:lang w:val="es-ES"/>
        </w:rPr>
        <w:t xml:space="preserve">. Párr. 175. </w:t>
      </w:r>
      <w:r w:rsidRPr="000D7953">
        <w:rPr>
          <w:rFonts w:ascii="Cambria" w:hAnsi="Cambria"/>
          <w:sz w:val="16"/>
          <w:szCs w:val="16"/>
          <w:lang w:val="es-AR" w:eastAsia="x-none"/>
        </w:rPr>
        <w:t>CIDH. Informe No. 136/10. Caso 12.658. Luis Gonzalo “Richard” Vélez Restrepo y Familia (Colombia)</w:t>
      </w:r>
      <w:r w:rsidRPr="000D7953">
        <w:rPr>
          <w:rFonts w:ascii="Cambria" w:hAnsi="Cambria"/>
          <w:iCs/>
          <w:sz w:val="16"/>
          <w:szCs w:val="16"/>
          <w:lang w:val="es-AR" w:eastAsia="x-none"/>
        </w:rPr>
        <w:t xml:space="preserve">. 23 </w:t>
      </w:r>
      <w:r w:rsidRPr="000D7953">
        <w:rPr>
          <w:rFonts w:ascii="Cambria" w:hAnsi="Cambria"/>
          <w:sz w:val="16"/>
          <w:szCs w:val="16"/>
          <w:lang w:val="es-AR" w:eastAsia="x-none"/>
        </w:rPr>
        <w:t xml:space="preserve">de octubre de 2010. Párr. 136; CIDH. Informe No. 50/99. Caso 11.739. </w:t>
      </w:r>
      <w:r w:rsidRPr="000D7953">
        <w:rPr>
          <w:rFonts w:ascii="Cambria" w:hAnsi="Cambria"/>
          <w:iCs/>
          <w:sz w:val="16"/>
          <w:szCs w:val="16"/>
          <w:lang w:val="es-AR" w:eastAsia="x-none"/>
        </w:rPr>
        <w:t>Héctor Félix Miranda (México)</w:t>
      </w:r>
      <w:r w:rsidRPr="000D7953">
        <w:rPr>
          <w:rFonts w:ascii="Cambria" w:hAnsi="Cambria"/>
          <w:sz w:val="16"/>
          <w:szCs w:val="16"/>
          <w:lang w:val="es-AR" w:eastAsia="x-none"/>
        </w:rPr>
        <w:t xml:space="preserve">. 13 de abril de 1999. Párr. 52; CIDH. Informe No. 130/99. Caso No. 11.740. </w:t>
      </w:r>
      <w:r w:rsidRPr="000D7953">
        <w:rPr>
          <w:rFonts w:ascii="Cambria" w:hAnsi="Cambria"/>
          <w:iCs/>
          <w:sz w:val="16"/>
          <w:szCs w:val="16"/>
          <w:lang w:val="es-AR" w:eastAsia="x-none"/>
        </w:rPr>
        <w:t>Víctor Manuel Oropeza (México)</w:t>
      </w:r>
      <w:r w:rsidRPr="000D7953">
        <w:rPr>
          <w:rFonts w:ascii="Cambria" w:hAnsi="Cambria"/>
          <w:sz w:val="16"/>
          <w:szCs w:val="16"/>
          <w:lang w:val="es-AR" w:eastAsia="x-none"/>
        </w:rPr>
        <w:t>. 19 de noviembre de 1999. Párr. 58.</w:t>
      </w:r>
    </w:p>
  </w:footnote>
  <w:footnote w:id="110">
    <w:p w14:paraId="47590B1B" w14:textId="3DD0E2D3" w:rsidR="000A5EAC" w:rsidRPr="000D7953" w:rsidRDefault="000A5EAC" w:rsidP="000D7953">
      <w:pPr>
        <w:pStyle w:val="FootnoteText"/>
        <w:pBdr>
          <w:top w:val="none" w:sz="0" w:space="0" w:color="auto"/>
          <w:left w:val="none" w:sz="0" w:space="0" w:color="auto"/>
          <w:bottom w:val="none" w:sz="0" w:space="0" w:color="auto"/>
          <w:right w:val="none" w:sz="0" w:space="0" w:color="auto"/>
          <w:bar w:val="none" w:sz="0" w:color="auto"/>
        </w:pBdr>
        <w:tabs>
          <w:tab w:val="left" w:pos="1800"/>
        </w:tabs>
        <w:jc w:val="both"/>
        <w:rPr>
          <w:rFonts w:ascii="Cambria" w:hAnsi="Cambria"/>
          <w:sz w:val="16"/>
          <w:szCs w:val="16"/>
          <w:lang w:val="es-AR"/>
        </w:rPr>
      </w:pPr>
      <w:r w:rsidRPr="000D7953">
        <w:rPr>
          <w:rStyle w:val="FootnoteReference"/>
          <w:rFonts w:ascii="Cambria" w:hAnsi="Cambria" w:cs="Cambria"/>
          <w:sz w:val="16"/>
          <w:szCs w:val="16"/>
          <w:lang w:val="es-AR" w:eastAsia="x-none"/>
        </w:rPr>
        <w:footnoteRef/>
      </w:r>
      <w:r w:rsidRPr="000D7953">
        <w:rPr>
          <w:rFonts w:ascii="Cambria" w:hAnsi="Cambria"/>
          <w:sz w:val="16"/>
          <w:szCs w:val="16"/>
          <w:lang w:val="es-AR" w:eastAsia="x-none"/>
        </w:rPr>
        <w:t xml:space="preserve"> </w:t>
      </w:r>
      <w:r w:rsidRPr="000D7953">
        <w:rPr>
          <w:rFonts w:ascii="Cambria" w:hAnsi="Cambria"/>
          <w:sz w:val="16"/>
          <w:szCs w:val="16"/>
          <w:lang w:val="es-PE"/>
        </w:rPr>
        <w:t xml:space="preserve">CIDH. Informe No. 150/18. Caso No. 12.954. Jineth Bedoya Lima y otra. Colombia. 7 de diciembre de 2018. Párr. 108. </w:t>
      </w:r>
      <w:r w:rsidRPr="000D7953">
        <w:rPr>
          <w:rFonts w:ascii="Cambria" w:hAnsi="Cambria"/>
          <w:i/>
          <w:iCs/>
          <w:sz w:val="16"/>
          <w:szCs w:val="16"/>
          <w:lang w:val="es-AR" w:eastAsia="x-none"/>
        </w:rPr>
        <w:t>Ver también</w:t>
      </w:r>
      <w:r w:rsidRPr="000D7953">
        <w:rPr>
          <w:rFonts w:ascii="Cambria" w:hAnsi="Cambria"/>
          <w:sz w:val="16"/>
          <w:szCs w:val="16"/>
          <w:lang w:val="es-AR" w:eastAsia="x-none"/>
        </w:rPr>
        <w:t xml:space="preserve">, Corte IDH. </w:t>
      </w:r>
      <w:r w:rsidRPr="000D7953">
        <w:rPr>
          <w:rFonts w:ascii="Cambria" w:hAnsi="Cambria"/>
          <w:i/>
          <w:iCs/>
          <w:sz w:val="16"/>
          <w:szCs w:val="16"/>
          <w:lang w:val="es-AR" w:eastAsia="x-none"/>
        </w:rPr>
        <w:t xml:space="preserve">Caso Vélez Restrepo y Familiares Vs. Colombia, supra. </w:t>
      </w:r>
      <w:r w:rsidRPr="000D7953">
        <w:rPr>
          <w:rFonts w:ascii="Cambria" w:hAnsi="Cambria"/>
          <w:sz w:val="16"/>
          <w:szCs w:val="16"/>
          <w:lang w:val="es-AR" w:eastAsia="x-none"/>
        </w:rPr>
        <w:t>Párr. 211.</w:t>
      </w:r>
    </w:p>
  </w:footnote>
  <w:footnote w:id="111">
    <w:p w14:paraId="3E0BE120" w14:textId="20ACEB2E" w:rsidR="000A5EAC" w:rsidRPr="000D7953" w:rsidRDefault="000A5EAC" w:rsidP="000D7953">
      <w:pPr>
        <w:pBdr>
          <w:top w:val="none" w:sz="0" w:space="0" w:color="auto"/>
          <w:left w:val="none" w:sz="0" w:space="0" w:color="auto"/>
          <w:bottom w:val="none" w:sz="0" w:space="0" w:color="auto"/>
          <w:right w:val="none" w:sz="0" w:space="0" w:color="auto"/>
          <w:bar w:val="none" w:sz="0" w:color="auto"/>
        </w:pBdr>
        <w:tabs>
          <w:tab w:val="left" w:pos="1800"/>
        </w:tabs>
        <w:jc w:val="both"/>
        <w:rPr>
          <w:rFonts w:ascii="Cambria" w:hAnsi="Cambria"/>
          <w:sz w:val="16"/>
          <w:szCs w:val="16"/>
          <w:lang w:val="es-ES"/>
        </w:rPr>
      </w:pPr>
      <w:r w:rsidRPr="000D7953">
        <w:rPr>
          <w:rStyle w:val="FootnoteReference"/>
          <w:rFonts w:ascii="Cambria" w:hAnsi="Cambria" w:cs="Cambria"/>
          <w:sz w:val="16"/>
          <w:szCs w:val="16"/>
          <w:lang w:val="es-AR"/>
        </w:rPr>
        <w:footnoteRef/>
      </w:r>
      <w:r w:rsidRPr="000D7953">
        <w:rPr>
          <w:rFonts w:ascii="Cambria" w:hAnsi="Cambria"/>
          <w:sz w:val="16"/>
          <w:szCs w:val="16"/>
          <w:lang w:val="es-AR"/>
        </w:rPr>
        <w:t xml:space="preserve"> Corte IDH. </w:t>
      </w:r>
      <w:r w:rsidRPr="000D7953">
        <w:rPr>
          <w:rFonts w:ascii="Cambria" w:hAnsi="Cambria"/>
          <w:i/>
          <w:iCs/>
          <w:sz w:val="16"/>
          <w:szCs w:val="16"/>
          <w:lang w:val="es-AR"/>
        </w:rPr>
        <w:t xml:space="preserve">Caso Ivcher Bronstein Vs. Perú, supra. </w:t>
      </w:r>
      <w:r w:rsidRPr="000D7953">
        <w:rPr>
          <w:rFonts w:ascii="Cambria" w:hAnsi="Cambria"/>
          <w:sz w:val="16"/>
          <w:szCs w:val="16"/>
          <w:lang w:val="es-AR"/>
        </w:rPr>
        <w:t xml:space="preserve">Párr. 186, y </w:t>
      </w:r>
      <w:r w:rsidRPr="000D7953">
        <w:rPr>
          <w:rFonts w:ascii="Cambria" w:hAnsi="Cambria"/>
          <w:i/>
          <w:iCs/>
          <w:sz w:val="16"/>
          <w:szCs w:val="16"/>
          <w:lang w:val="es-AR"/>
        </w:rPr>
        <w:t>Caso Bámaca Velásquez Vs. Guatemala. Fondo</w:t>
      </w:r>
      <w:r w:rsidRPr="000D7953">
        <w:rPr>
          <w:rFonts w:ascii="Cambria" w:hAnsi="Cambria"/>
          <w:sz w:val="16"/>
          <w:szCs w:val="16"/>
          <w:lang w:val="es-AR"/>
        </w:rPr>
        <w:t xml:space="preserve">. Sentencia de 25 de noviembre de 2000. Serie C No. 70. Párr. 211. </w:t>
      </w:r>
      <w:r w:rsidRPr="000D7953">
        <w:rPr>
          <w:rFonts w:ascii="Cambria" w:hAnsi="Cambria"/>
          <w:sz w:val="16"/>
          <w:szCs w:val="16"/>
          <w:lang w:val="es-AR" w:eastAsia="x-none"/>
        </w:rPr>
        <w:t>CIDH.</w:t>
      </w:r>
      <w:r w:rsidRPr="000D7953">
        <w:rPr>
          <w:rFonts w:ascii="Cambria" w:hAnsi="Cambria"/>
          <w:sz w:val="16"/>
          <w:szCs w:val="16"/>
          <w:lang w:val="es-PE"/>
        </w:rPr>
        <w:t xml:space="preserve"> Informe No. 21/15. Caso No. 12.462. Nelson Carvajal Carvajal y familia. Colombia. 26 de marzo de 2015. Párr. 122, e Informe No. 150/18. Caso No. 12.954. Jineth Bedoya Lima y otra. Colombia. 7 de diciembre de 2018. Párr. 109.</w:t>
      </w:r>
    </w:p>
  </w:footnote>
  <w:footnote w:id="112">
    <w:p w14:paraId="68C86C0D" w14:textId="327EA263" w:rsidR="000A5EAC" w:rsidRPr="000D7953" w:rsidRDefault="000A5EAC" w:rsidP="000D7953">
      <w:pPr>
        <w:pStyle w:val="FootnoteText"/>
        <w:pBdr>
          <w:top w:val="none" w:sz="0" w:space="0" w:color="auto"/>
          <w:left w:val="none" w:sz="0" w:space="0" w:color="auto"/>
          <w:bottom w:val="none" w:sz="0" w:space="0" w:color="auto"/>
          <w:right w:val="none" w:sz="0" w:space="0" w:color="auto"/>
          <w:bar w:val="none" w:sz="0" w:color="auto"/>
        </w:pBdr>
        <w:tabs>
          <w:tab w:val="left" w:pos="1800"/>
        </w:tabs>
        <w:jc w:val="both"/>
        <w:rPr>
          <w:rFonts w:ascii="Cambria" w:hAnsi="Cambria"/>
          <w:color w:val="auto"/>
          <w:sz w:val="16"/>
          <w:szCs w:val="16"/>
          <w:lang w:val="es-ES"/>
        </w:rPr>
      </w:pPr>
      <w:r w:rsidRPr="000D7953">
        <w:rPr>
          <w:rStyle w:val="FootnoteReference"/>
          <w:rFonts w:ascii="Cambria" w:hAnsi="Cambria" w:cs="Cambria"/>
          <w:color w:val="auto"/>
          <w:sz w:val="16"/>
          <w:szCs w:val="16"/>
          <w:lang w:val="es-AR" w:eastAsia="x-none"/>
        </w:rPr>
        <w:footnoteRef/>
      </w:r>
      <w:r w:rsidRPr="000D7953">
        <w:rPr>
          <w:rFonts w:ascii="Cambria" w:hAnsi="Cambria"/>
          <w:color w:val="auto"/>
          <w:sz w:val="16"/>
          <w:szCs w:val="16"/>
          <w:lang w:val="es-AR" w:eastAsia="x-none"/>
        </w:rPr>
        <w:t xml:space="preserve"> CIDH. </w:t>
      </w:r>
      <w:r w:rsidRPr="000D7953">
        <w:rPr>
          <w:rFonts w:ascii="Cambria" w:hAnsi="Cambria"/>
          <w:sz w:val="16"/>
          <w:szCs w:val="16"/>
          <w:lang w:val="es-PE"/>
        </w:rPr>
        <w:t>Informe No. 150/18. Caso No. 12.954. Jineth Bedoya Lima y otra. Colombia. 7 de diciembre de 2018. Párr. 109.</w:t>
      </w:r>
    </w:p>
  </w:footnote>
  <w:footnote w:id="113">
    <w:p w14:paraId="2B22B97C" w14:textId="7ADC2714" w:rsidR="000A5EAC" w:rsidRPr="000D7953" w:rsidRDefault="000A5EAC" w:rsidP="000D7953">
      <w:pPr>
        <w:pStyle w:val="FootnoteText"/>
        <w:tabs>
          <w:tab w:val="left" w:pos="1800"/>
        </w:tabs>
        <w:jc w:val="both"/>
        <w:rPr>
          <w:rFonts w:ascii="Cambria" w:hAnsi="Cambria"/>
          <w:sz w:val="16"/>
          <w:szCs w:val="16"/>
          <w:lang w:val="es-CO"/>
        </w:rPr>
      </w:pPr>
      <w:r w:rsidRPr="000D7953">
        <w:rPr>
          <w:rStyle w:val="FootnoteReference"/>
          <w:rFonts w:ascii="Cambria" w:hAnsi="Cambria" w:cs="Cambria"/>
          <w:sz w:val="16"/>
          <w:szCs w:val="16"/>
          <w:lang w:val="es-CO"/>
        </w:rPr>
        <w:footnoteRef/>
      </w:r>
      <w:r w:rsidRPr="000D7953">
        <w:rPr>
          <w:rFonts w:ascii="Cambria" w:hAnsi="Cambria"/>
          <w:sz w:val="16"/>
          <w:szCs w:val="16"/>
          <w:lang w:val="es-CO"/>
        </w:rPr>
        <w:t xml:space="preserve"> CIDH. </w:t>
      </w:r>
      <w:r w:rsidRPr="000D7953">
        <w:rPr>
          <w:rFonts w:ascii="Cambria" w:hAnsi="Cambria"/>
          <w:sz w:val="16"/>
          <w:szCs w:val="16"/>
          <w:lang w:val="es-MX"/>
        </w:rPr>
        <w:t xml:space="preserve">Relatoría Especial para la Libertad de Expresión. Informe Zonas Silenciadas: regiones de alta peligrosidad para ejercer la libertad de expresión, </w:t>
      </w:r>
      <w:r w:rsidRPr="000D7953">
        <w:rPr>
          <w:rFonts w:ascii="Cambria" w:hAnsi="Cambria"/>
          <w:i/>
          <w:iCs/>
          <w:sz w:val="16"/>
          <w:szCs w:val="16"/>
          <w:lang w:val="es-MX"/>
        </w:rPr>
        <w:t>supra</w:t>
      </w:r>
      <w:r w:rsidRPr="000D7953">
        <w:rPr>
          <w:rFonts w:ascii="Cambria" w:hAnsi="Cambria"/>
          <w:sz w:val="16"/>
          <w:szCs w:val="16"/>
          <w:lang w:val="es-MX"/>
        </w:rPr>
        <w:t xml:space="preserve">. </w:t>
      </w:r>
      <w:r w:rsidRPr="000D7953">
        <w:rPr>
          <w:rFonts w:ascii="Cambria" w:hAnsi="Cambria"/>
          <w:sz w:val="16"/>
          <w:szCs w:val="16"/>
          <w:lang w:val="es-CO"/>
        </w:rPr>
        <w:t>Pág. 103 y ss.</w:t>
      </w:r>
    </w:p>
  </w:footnote>
  <w:footnote w:id="114">
    <w:p w14:paraId="72330DEC" w14:textId="0650F6A3"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AR" w:eastAsia="x-none"/>
        </w:rPr>
        <w:t>CIDH.</w:t>
      </w:r>
      <w:r w:rsidRPr="000D7953">
        <w:rPr>
          <w:rFonts w:ascii="Cambria" w:hAnsi="Cambria"/>
          <w:sz w:val="16"/>
          <w:szCs w:val="16"/>
          <w:lang w:val="es-PE"/>
        </w:rPr>
        <w:t xml:space="preserve"> Informe No. 21/15. Caso No. 12.462. Nelson Carvajal Carvajal y familia. Colombia. 26 de marzo de 2015. Párr. 153.</w:t>
      </w:r>
    </w:p>
  </w:footnote>
  <w:footnote w:id="115">
    <w:p w14:paraId="7C27A4F0" w14:textId="15734F36"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Corte IDH. </w:t>
      </w:r>
      <w:r w:rsidRPr="000D7953">
        <w:rPr>
          <w:rFonts w:ascii="Cambria" w:hAnsi="Cambria"/>
          <w:i/>
          <w:sz w:val="16"/>
          <w:szCs w:val="16"/>
          <w:lang w:val="es-PE"/>
        </w:rPr>
        <w:t>Caso Servellón García y otros Vs. Honduras</w:t>
      </w:r>
      <w:r w:rsidRPr="000D7953">
        <w:rPr>
          <w:rFonts w:ascii="Cambria" w:hAnsi="Cambria"/>
          <w:sz w:val="16"/>
          <w:szCs w:val="16"/>
          <w:lang w:val="es-PE"/>
        </w:rPr>
        <w:t xml:space="preserve">. Sentencia de 21 de septiembre de 2006. Serie C No. 152. Párr. 120, y </w:t>
      </w:r>
      <w:r w:rsidRPr="000D7953">
        <w:rPr>
          <w:rFonts w:ascii="Cambria" w:hAnsi="Cambria"/>
          <w:i/>
          <w:sz w:val="16"/>
          <w:szCs w:val="16"/>
          <w:lang w:val="es-PE"/>
        </w:rPr>
        <w:t xml:space="preserve">Caso Ruiz Fuentes y Otra Vs. Guatemala. Excepción Preliminar, Fondo, Reparaciones y Costas. </w:t>
      </w:r>
      <w:r w:rsidRPr="000D7953">
        <w:rPr>
          <w:rFonts w:ascii="Cambria" w:hAnsi="Cambria"/>
          <w:sz w:val="16"/>
          <w:szCs w:val="16"/>
          <w:lang w:val="es-PE"/>
        </w:rPr>
        <w:t>Sentencia de 10 de octubre de 2019. Serie C No. 384. Párr. 178.</w:t>
      </w:r>
    </w:p>
  </w:footnote>
  <w:footnote w:id="116">
    <w:p w14:paraId="17EF8E9D" w14:textId="4A63B7F4"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CO"/>
        </w:rPr>
        <w:t xml:space="preserve">Corte IDH. </w:t>
      </w:r>
      <w:r w:rsidRPr="000D7953">
        <w:rPr>
          <w:rFonts w:ascii="Cambria" w:hAnsi="Cambria"/>
          <w:i/>
          <w:sz w:val="16"/>
          <w:szCs w:val="16"/>
          <w:lang w:val="es-PE"/>
        </w:rPr>
        <w:t xml:space="preserve">Caso Servellón García y otros Vs. Honduras, supra. </w:t>
      </w:r>
      <w:r w:rsidRPr="000D7953">
        <w:rPr>
          <w:rFonts w:ascii="Cambria" w:hAnsi="Cambria"/>
          <w:sz w:val="16"/>
          <w:szCs w:val="16"/>
          <w:lang w:val="es-PE"/>
        </w:rPr>
        <w:t xml:space="preserve">Párr. 119, y </w:t>
      </w:r>
      <w:r w:rsidRPr="000D7953">
        <w:rPr>
          <w:rFonts w:ascii="Cambria" w:hAnsi="Cambria"/>
          <w:i/>
          <w:sz w:val="16"/>
          <w:szCs w:val="16"/>
          <w:lang w:val="es-PE"/>
        </w:rPr>
        <w:t>Caso Villamizar Durán y otros Vs. Colombia. Excepción Preliminar, Fondo, Reparaciones y Costas.</w:t>
      </w:r>
      <w:r w:rsidRPr="000D7953">
        <w:rPr>
          <w:rFonts w:ascii="Cambria" w:hAnsi="Cambria"/>
          <w:sz w:val="16"/>
          <w:szCs w:val="16"/>
          <w:lang w:val="es-PE"/>
        </w:rPr>
        <w:t xml:space="preserve"> Sentencia de 20 de noviembre de 2018. Serie C No. 364. Párr. 175.</w:t>
      </w:r>
    </w:p>
  </w:footnote>
  <w:footnote w:id="117">
    <w:p w14:paraId="30139674" w14:textId="1156C69F" w:rsidR="000A5EAC" w:rsidRPr="000D7953" w:rsidRDefault="000A5EAC" w:rsidP="000D7953">
      <w:pPr>
        <w:pStyle w:val="FootnoteText"/>
        <w:tabs>
          <w:tab w:val="left" w:pos="1800"/>
        </w:tabs>
        <w:jc w:val="both"/>
        <w:rPr>
          <w:rFonts w:ascii="Cambria" w:hAnsi="Cambria"/>
          <w:sz w:val="16"/>
          <w:szCs w:val="16"/>
          <w:lang w:val="es-ES"/>
        </w:rPr>
      </w:pPr>
      <w:r w:rsidRPr="000D7953">
        <w:rPr>
          <w:rStyle w:val="FootnoteReference"/>
          <w:rFonts w:ascii="Cambria" w:hAnsi="Cambria"/>
          <w:sz w:val="16"/>
          <w:szCs w:val="16"/>
        </w:rPr>
        <w:footnoteRef/>
      </w:r>
      <w:r w:rsidRPr="000D7953">
        <w:rPr>
          <w:rFonts w:ascii="Cambria" w:hAnsi="Cambria"/>
          <w:sz w:val="16"/>
          <w:szCs w:val="16"/>
          <w:lang w:val="es-ES"/>
        </w:rPr>
        <w:t xml:space="preserve"> ONU. </w:t>
      </w:r>
      <w:r w:rsidRPr="000D7953">
        <w:rPr>
          <w:rFonts w:ascii="Cambria" w:hAnsi="Cambria"/>
          <w:i/>
          <w:sz w:val="16"/>
          <w:szCs w:val="16"/>
          <w:lang w:val="es-ES"/>
        </w:rPr>
        <w:t>Protocolo de Minnesota sobre la Investigación de Muertes Potencialmente Ilícitas</w:t>
      </w:r>
      <w:r w:rsidRPr="000D7953">
        <w:rPr>
          <w:rFonts w:ascii="Cambria" w:hAnsi="Cambria"/>
          <w:sz w:val="16"/>
          <w:szCs w:val="16"/>
          <w:lang w:val="es-ES"/>
        </w:rPr>
        <w:t xml:space="preserve"> (2016), Oficina del Alto Comisionado de las Naciones Unidas para los Derechos Humanos, Nueva York y Ginebra, 2017.</w:t>
      </w:r>
    </w:p>
  </w:footnote>
  <w:footnote w:id="118">
    <w:p w14:paraId="5C3EE796" w14:textId="490E7B75"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CO"/>
        </w:rPr>
        <w:t xml:space="preserve">Corte IDH. </w:t>
      </w:r>
      <w:r w:rsidRPr="000D7953">
        <w:rPr>
          <w:rFonts w:ascii="Cambria" w:hAnsi="Cambria"/>
          <w:i/>
          <w:sz w:val="16"/>
          <w:szCs w:val="16"/>
          <w:lang w:val="es-PE"/>
        </w:rPr>
        <w:t>Caso Juan Humberto Sánchez Vs. Honduras. Excepción Preliminar, Fondo, Reparaciones y Costas</w:t>
      </w:r>
      <w:r w:rsidRPr="000D7953">
        <w:rPr>
          <w:rFonts w:ascii="Cambria" w:hAnsi="Cambria"/>
          <w:sz w:val="16"/>
          <w:szCs w:val="16"/>
          <w:lang w:val="es-PE"/>
        </w:rPr>
        <w:t xml:space="preserve">. Sentencia de 7 de junio de 2003. Serie C No. 99. Párr. 127, y </w:t>
      </w:r>
      <w:r w:rsidRPr="000D7953">
        <w:rPr>
          <w:rFonts w:ascii="Cambria" w:hAnsi="Cambria"/>
          <w:i/>
          <w:sz w:val="16"/>
          <w:szCs w:val="16"/>
          <w:lang w:val="es-PE"/>
        </w:rPr>
        <w:t>Caso Gómez Virula y otros Vs. Guatemala. Excepción Preliminar, Fondo, Reparaciones y Costas</w:t>
      </w:r>
      <w:r w:rsidRPr="000D7953">
        <w:rPr>
          <w:rFonts w:ascii="Cambria" w:hAnsi="Cambria"/>
          <w:sz w:val="16"/>
          <w:szCs w:val="16"/>
          <w:lang w:val="es-PE"/>
        </w:rPr>
        <w:t>. Sentencia de 21 de noviembre de 2019.  Serie C No. 393. Párr. 73.</w:t>
      </w:r>
    </w:p>
  </w:footnote>
  <w:footnote w:id="119">
    <w:p w14:paraId="74475B6D" w14:textId="6D5491BF"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i/>
          <w:sz w:val="16"/>
          <w:szCs w:val="16"/>
          <w:lang w:val="es-PE"/>
        </w:rPr>
        <w:t xml:space="preserve"> </w:t>
      </w:r>
      <w:r w:rsidRPr="000D7953">
        <w:rPr>
          <w:rFonts w:ascii="Cambria" w:hAnsi="Cambria"/>
          <w:sz w:val="16"/>
          <w:szCs w:val="16"/>
          <w:lang w:val="es-CO"/>
        </w:rPr>
        <w:t xml:space="preserve">Corte IDH. </w:t>
      </w:r>
      <w:r w:rsidRPr="000D7953">
        <w:rPr>
          <w:rFonts w:ascii="Cambria" w:hAnsi="Cambria"/>
          <w:i/>
          <w:sz w:val="16"/>
          <w:szCs w:val="16"/>
          <w:lang w:val="es-PE"/>
        </w:rPr>
        <w:t xml:space="preserve">Caso González y otras (“Campo Algodonero”) Vs. México, supra. </w:t>
      </w:r>
      <w:r w:rsidRPr="000D7953">
        <w:rPr>
          <w:rFonts w:ascii="Cambria" w:hAnsi="Cambria"/>
          <w:sz w:val="16"/>
          <w:szCs w:val="16"/>
          <w:lang w:val="es-PE"/>
        </w:rPr>
        <w:t xml:space="preserve">Párr. 301, y </w:t>
      </w:r>
      <w:r w:rsidRPr="000D7953">
        <w:rPr>
          <w:rFonts w:ascii="Cambria" w:hAnsi="Cambria"/>
          <w:i/>
          <w:sz w:val="16"/>
          <w:szCs w:val="16"/>
          <w:lang w:val="es-PE"/>
        </w:rPr>
        <w:t xml:space="preserve">Caso Gómez Virula y otros Vs. Guatemala, supra. </w:t>
      </w:r>
      <w:r w:rsidRPr="000D7953">
        <w:rPr>
          <w:rFonts w:ascii="Cambria" w:hAnsi="Cambria"/>
          <w:iCs/>
          <w:sz w:val="16"/>
          <w:szCs w:val="16"/>
          <w:lang w:val="es-PE"/>
        </w:rPr>
        <w:t>Párr.</w:t>
      </w:r>
      <w:r w:rsidRPr="000D7953">
        <w:rPr>
          <w:rFonts w:ascii="Cambria" w:hAnsi="Cambria"/>
          <w:i/>
          <w:sz w:val="16"/>
          <w:szCs w:val="16"/>
          <w:lang w:val="es-PE"/>
        </w:rPr>
        <w:t xml:space="preserve"> </w:t>
      </w:r>
      <w:r w:rsidRPr="000D7953">
        <w:rPr>
          <w:rFonts w:ascii="Cambria" w:hAnsi="Cambria"/>
          <w:iCs/>
          <w:sz w:val="16"/>
          <w:szCs w:val="16"/>
          <w:lang w:val="es-PE"/>
        </w:rPr>
        <w:t>74.</w:t>
      </w:r>
    </w:p>
  </w:footnote>
  <w:footnote w:id="120">
    <w:p w14:paraId="708B610D" w14:textId="4BA30C19"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CO"/>
        </w:rPr>
        <w:t xml:space="preserve">Corte IDH. </w:t>
      </w:r>
      <w:r w:rsidRPr="000D7953">
        <w:rPr>
          <w:rFonts w:ascii="Cambria" w:hAnsi="Cambria"/>
          <w:i/>
          <w:sz w:val="16"/>
          <w:szCs w:val="16"/>
          <w:lang w:val="es-PE"/>
        </w:rPr>
        <w:t>Caso Hermanos Landaeta Mejías y otros Vs. Venezuela. Excepciones Preliminares, Fondo, Reparaciones y Costas.</w:t>
      </w:r>
      <w:r w:rsidRPr="000D7953">
        <w:rPr>
          <w:rFonts w:ascii="Cambria" w:hAnsi="Cambria"/>
          <w:sz w:val="16"/>
          <w:szCs w:val="16"/>
          <w:lang w:val="es-PE"/>
        </w:rPr>
        <w:t xml:space="preserve"> Sentencia de 27 de agosto de 2014. Serie C No. 281. Párr. 254, y </w:t>
      </w:r>
      <w:r w:rsidRPr="000D7953">
        <w:rPr>
          <w:rFonts w:ascii="Cambria" w:hAnsi="Cambria"/>
          <w:i/>
          <w:sz w:val="16"/>
          <w:szCs w:val="16"/>
          <w:lang w:val="es-PE"/>
        </w:rPr>
        <w:t xml:space="preserve">Caso Gómez Virula y otros Vs. Guatemala, supra. </w:t>
      </w:r>
      <w:r w:rsidRPr="000D7953">
        <w:rPr>
          <w:rFonts w:ascii="Cambria" w:hAnsi="Cambria"/>
          <w:iCs/>
          <w:sz w:val="16"/>
          <w:szCs w:val="16"/>
          <w:lang w:val="es-PE"/>
        </w:rPr>
        <w:t>Párr. 74.</w:t>
      </w:r>
    </w:p>
  </w:footnote>
  <w:footnote w:id="121">
    <w:p w14:paraId="4871835F" w14:textId="2F2972AD" w:rsidR="000A5EAC" w:rsidRPr="000D7953" w:rsidRDefault="000A5EAC" w:rsidP="000D7953">
      <w:pPr>
        <w:pStyle w:val="FootnoteText"/>
        <w:tabs>
          <w:tab w:val="left" w:pos="1800"/>
        </w:tabs>
        <w:jc w:val="both"/>
        <w:rPr>
          <w:rFonts w:ascii="Cambria" w:hAnsi="Cambria"/>
          <w:sz w:val="16"/>
          <w:szCs w:val="16"/>
          <w:lang w:val="es-CO"/>
        </w:rPr>
      </w:pPr>
      <w:r w:rsidRPr="000D7953">
        <w:rPr>
          <w:rStyle w:val="FootnoteReference"/>
          <w:rFonts w:ascii="Cambria" w:hAnsi="Cambria"/>
          <w:sz w:val="16"/>
          <w:szCs w:val="16"/>
          <w:lang w:val="es-CO"/>
        </w:rPr>
        <w:footnoteRef/>
      </w:r>
      <w:r w:rsidRPr="000D7953">
        <w:rPr>
          <w:rFonts w:ascii="Cambria" w:hAnsi="Cambria"/>
          <w:sz w:val="16"/>
          <w:szCs w:val="16"/>
          <w:lang w:val="es-CO"/>
        </w:rPr>
        <w:t xml:space="preserve"> Corte IDH. </w:t>
      </w:r>
      <w:r w:rsidRPr="000D7953">
        <w:rPr>
          <w:rFonts w:ascii="Cambria" w:hAnsi="Cambria"/>
          <w:i/>
          <w:iCs/>
          <w:sz w:val="16"/>
          <w:szCs w:val="16"/>
          <w:lang w:val="es-CO"/>
        </w:rPr>
        <w:t xml:space="preserve">Caso Vélez Restrepo y Familiares Vs. Colombia, supra. </w:t>
      </w:r>
      <w:r w:rsidRPr="000D7953">
        <w:rPr>
          <w:rFonts w:ascii="Cambria" w:hAnsi="Cambria"/>
          <w:sz w:val="16"/>
          <w:szCs w:val="16"/>
          <w:lang w:val="es-CO"/>
        </w:rPr>
        <w:t>Párr. 211.</w:t>
      </w:r>
    </w:p>
  </w:footnote>
  <w:footnote w:id="122">
    <w:p w14:paraId="5EAF3C14" w14:textId="77777777" w:rsidR="000A5EAC" w:rsidRPr="000D7953" w:rsidRDefault="000A5EAC" w:rsidP="000D7953">
      <w:pPr>
        <w:pStyle w:val="FootnoteText"/>
        <w:pBdr>
          <w:top w:val="none" w:sz="0" w:space="0" w:color="auto"/>
          <w:left w:val="none" w:sz="0" w:space="0" w:color="auto"/>
          <w:bottom w:val="none" w:sz="0" w:space="0" w:color="auto"/>
          <w:right w:val="none" w:sz="0" w:space="0" w:color="auto"/>
          <w:bar w:val="none" w:sz="0" w:color="auto"/>
        </w:pBdr>
        <w:tabs>
          <w:tab w:val="left" w:pos="1800"/>
        </w:tabs>
        <w:jc w:val="both"/>
        <w:rPr>
          <w:rFonts w:ascii="Cambria" w:hAnsi="Cambria"/>
          <w:sz w:val="16"/>
          <w:szCs w:val="16"/>
          <w:lang w:val="es-AR"/>
        </w:rPr>
      </w:pPr>
      <w:r w:rsidRPr="000D7953">
        <w:rPr>
          <w:rStyle w:val="FootnoteReference"/>
          <w:rFonts w:ascii="Cambria" w:hAnsi="Cambria" w:cs="Cambria"/>
          <w:sz w:val="16"/>
          <w:szCs w:val="16"/>
          <w:lang w:val="es-AR" w:eastAsia="x-none"/>
        </w:rPr>
        <w:footnoteRef/>
      </w:r>
      <w:r w:rsidRPr="000D7953">
        <w:rPr>
          <w:rFonts w:ascii="Cambria" w:hAnsi="Cambria"/>
          <w:sz w:val="16"/>
          <w:szCs w:val="16"/>
          <w:lang w:val="es-AR" w:eastAsia="x-none"/>
        </w:rPr>
        <w:t xml:space="preserve"> CIDH.</w:t>
      </w:r>
      <w:r w:rsidRPr="000D7953">
        <w:rPr>
          <w:rFonts w:ascii="Cambria" w:hAnsi="Cambria"/>
          <w:sz w:val="16"/>
          <w:szCs w:val="16"/>
          <w:lang w:val="es-PE"/>
        </w:rPr>
        <w:t xml:space="preserve"> Informe No. 150/18. Caso No. 12.954. Jineth Bedoya Lima y otra. Colombia. 7 de diciembre de 2018. Párr. 110.</w:t>
      </w:r>
    </w:p>
  </w:footnote>
  <w:footnote w:id="123">
    <w:p w14:paraId="45C9C1BB" w14:textId="4913F7B1" w:rsidR="000A5EAC" w:rsidRPr="000D7953" w:rsidRDefault="000A5EAC" w:rsidP="000D7953">
      <w:pPr>
        <w:pStyle w:val="FootnoteText"/>
        <w:tabs>
          <w:tab w:val="left" w:pos="1800"/>
        </w:tabs>
        <w:jc w:val="both"/>
        <w:rPr>
          <w:rFonts w:ascii="Cambria" w:hAnsi="Cambria"/>
          <w:sz w:val="16"/>
          <w:szCs w:val="16"/>
          <w:lang w:val="es-CO"/>
        </w:rPr>
      </w:pPr>
      <w:r w:rsidRPr="000D7953">
        <w:rPr>
          <w:rStyle w:val="FootnoteReference"/>
          <w:rFonts w:ascii="Cambria" w:hAnsi="Cambria"/>
          <w:sz w:val="16"/>
          <w:szCs w:val="16"/>
          <w:lang w:val="es-CO"/>
        </w:rPr>
        <w:footnoteRef/>
      </w:r>
      <w:r w:rsidRPr="000D7953">
        <w:rPr>
          <w:rFonts w:ascii="Cambria" w:hAnsi="Cambria"/>
          <w:sz w:val="16"/>
          <w:szCs w:val="16"/>
          <w:lang w:val="es-CO"/>
        </w:rPr>
        <w:t xml:space="preserve"> Corte IDH. </w:t>
      </w:r>
      <w:r w:rsidRPr="000D7953">
        <w:rPr>
          <w:rFonts w:ascii="Cambria" w:hAnsi="Cambria"/>
          <w:i/>
          <w:iCs/>
          <w:sz w:val="16"/>
          <w:szCs w:val="16"/>
          <w:lang w:val="es-CO"/>
        </w:rPr>
        <w:t xml:space="preserve">Caso de la Masacre de La Rochela Vs. Colombia. </w:t>
      </w:r>
      <w:r w:rsidRPr="000D7953">
        <w:rPr>
          <w:rFonts w:ascii="Cambria" w:hAnsi="Cambria"/>
          <w:iCs/>
          <w:sz w:val="16"/>
          <w:szCs w:val="16"/>
          <w:lang w:val="es-CO"/>
        </w:rPr>
        <w:t>Fondo, Reparaciones y Costas</w:t>
      </w:r>
      <w:r w:rsidRPr="000D7953">
        <w:rPr>
          <w:rFonts w:ascii="Cambria" w:hAnsi="Cambria"/>
          <w:sz w:val="16"/>
          <w:szCs w:val="16"/>
          <w:lang w:val="es-CO"/>
        </w:rPr>
        <w:t xml:space="preserve">. Sentencia de 11 de mayo de 2007. Serie C No. 163. Párr. 158, y </w:t>
      </w:r>
      <w:r w:rsidRPr="000D7953">
        <w:rPr>
          <w:rFonts w:ascii="Cambria" w:hAnsi="Cambria"/>
          <w:i/>
          <w:iCs/>
          <w:sz w:val="16"/>
          <w:szCs w:val="16"/>
          <w:lang w:val="es-CO"/>
        </w:rPr>
        <w:t xml:space="preserve">Caso Manuel Cepeda Vargas Vs. Colombia. </w:t>
      </w:r>
      <w:r w:rsidRPr="000D7953">
        <w:rPr>
          <w:rFonts w:ascii="Cambria" w:hAnsi="Cambria"/>
          <w:iCs/>
          <w:sz w:val="16"/>
          <w:szCs w:val="16"/>
          <w:lang w:val="es-CO"/>
        </w:rPr>
        <w:t>Excepciones Preliminares, Fondo, Reparaciones y Costas</w:t>
      </w:r>
      <w:r w:rsidRPr="000D7953">
        <w:rPr>
          <w:rFonts w:ascii="Cambria" w:hAnsi="Cambria"/>
          <w:sz w:val="16"/>
          <w:szCs w:val="16"/>
          <w:lang w:val="es-CO"/>
        </w:rPr>
        <w:t>. Sentencia de 26 de mayo de 2010. Serie C No. 213. Párr. 106-110 y 167.</w:t>
      </w:r>
    </w:p>
  </w:footnote>
  <w:footnote w:id="124">
    <w:p w14:paraId="0FF7CB91" w14:textId="650FBC38"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AR" w:eastAsia="x-none"/>
        </w:rPr>
        <w:t>CIDH.</w:t>
      </w:r>
      <w:r w:rsidRPr="000D7953">
        <w:rPr>
          <w:rFonts w:ascii="Cambria" w:hAnsi="Cambria"/>
          <w:sz w:val="16"/>
          <w:szCs w:val="16"/>
          <w:lang w:val="es-PE"/>
        </w:rPr>
        <w:t xml:space="preserve"> Informe No. 21/15. Caso No. 12.462. Nelson Carvajal Carvajal y familia. Colombia. 26 de marzo de 2015. Párr. 156.</w:t>
      </w:r>
    </w:p>
  </w:footnote>
  <w:footnote w:id="125">
    <w:p w14:paraId="507159C3" w14:textId="3EBDC620"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Corte IDH. </w:t>
      </w:r>
      <w:r w:rsidRPr="000D7953">
        <w:rPr>
          <w:rFonts w:ascii="Cambria" w:hAnsi="Cambria"/>
          <w:i/>
          <w:iCs/>
          <w:sz w:val="16"/>
          <w:szCs w:val="16"/>
          <w:lang w:val="es-PE"/>
        </w:rPr>
        <w:t>Caso Pacheco León y otros Vs. Honduras.</w:t>
      </w:r>
      <w:r w:rsidRPr="000D7953">
        <w:rPr>
          <w:rFonts w:ascii="Cambria" w:hAnsi="Cambria"/>
          <w:sz w:val="16"/>
          <w:szCs w:val="16"/>
          <w:lang w:val="es-PE"/>
        </w:rPr>
        <w:t xml:space="preserve"> Fondo, Reparaciones y Costas. Sentencia de 15 de noviembre 2017. Serie C No. 342. Párr. 94, y </w:t>
      </w:r>
      <w:r w:rsidRPr="000D7953">
        <w:rPr>
          <w:rFonts w:ascii="Cambria" w:hAnsi="Cambria"/>
          <w:i/>
          <w:sz w:val="16"/>
          <w:szCs w:val="16"/>
          <w:lang w:val="es-PE"/>
        </w:rPr>
        <w:t xml:space="preserve">Caso Gómez Virula y otros Vs. Guatemala, supra. </w:t>
      </w:r>
      <w:r w:rsidRPr="000D7953">
        <w:rPr>
          <w:rFonts w:ascii="Cambria" w:hAnsi="Cambria"/>
          <w:iCs/>
          <w:sz w:val="16"/>
          <w:szCs w:val="16"/>
          <w:lang w:val="es-PE"/>
        </w:rPr>
        <w:t>Párr. 78.</w:t>
      </w:r>
    </w:p>
  </w:footnote>
  <w:footnote w:id="126">
    <w:p w14:paraId="1872AC7F" w14:textId="1E122EA0"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La CIDH, a través de su Relatoría Especial para la Libertad de Expresión, ha desarrollado varios de estos criterios en dos de sus informes temáticos sobre violencia contra periodistas, en los cuales se establecen criterios específicos de investigación y procuración de justicia para crímenes contra periodistas. Véase, </w:t>
      </w:r>
      <w:r w:rsidRPr="000D7953">
        <w:rPr>
          <w:rFonts w:ascii="Cambria" w:hAnsi="Cambria"/>
          <w:sz w:val="16"/>
          <w:szCs w:val="16"/>
          <w:lang w:val="es-MX"/>
        </w:rPr>
        <w:t xml:space="preserve">CIDH. Relatoría Especial para la Libertad de Expresión. Informe </w:t>
      </w:r>
      <w:r w:rsidRPr="000D7953">
        <w:rPr>
          <w:rFonts w:ascii="Cambria" w:hAnsi="Cambria"/>
          <w:sz w:val="16"/>
          <w:szCs w:val="16"/>
          <w:lang w:val="es-AR" w:eastAsia="x-none"/>
        </w:rPr>
        <w:t xml:space="preserve">Violencia contra periodistas y trabajadores de medios: estándares interamericanos y prácticas nacionales sobre prevención, protección y procuración de la justicia. OEA/Ser.L/V/II. CIDH/RELE/INF. 12/13. 31 de diciembre de 2013, disponible en: </w:t>
      </w:r>
      <w:hyperlink r:id="rId8" w:history="1">
        <w:r w:rsidRPr="000D7953">
          <w:rPr>
            <w:rStyle w:val="Hyperlink"/>
            <w:rFonts w:ascii="Cambria" w:hAnsi="Cambria"/>
            <w:sz w:val="16"/>
            <w:szCs w:val="16"/>
            <w:lang w:val="es-PE"/>
          </w:rPr>
          <w:t>http://www.oas.org/es/cidh/expresion/docs/informes/2014_04_22_Violencia_ESP_WEB.pdf</w:t>
        </w:r>
      </w:hyperlink>
      <w:r w:rsidRPr="000D7953">
        <w:rPr>
          <w:rFonts w:ascii="Cambria" w:hAnsi="Cambria"/>
          <w:sz w:val="16"/>
          <w:szCs w:val="16"/>
          <w:lang w:val="es-PE" w:eastAsia="x-none"/>
        </w:rPr>
        <w:t xml:space="preserve">. Págs. 104 y ss, </w:t>
      </w:r>
      <w:r w:rsidRPr="000D7953">
        <w:rPr>
          <w:rFonts w:ascii="Cambria" w:hAnsi="Cambria"/>
          <w:sz w:val="16"/>
          <w:szCs w:val="16"/>
          <w:lang w:val="es-MX"/>
        </w:rPr>
        <w:t xml:space="preserve">e Informe Zonas Silenciadas: regiones de alta peligrosidad para ejercer la libertad de expresión, </w:t>
      </w:r>
      <w:r w:rsidRPr="000D7953">
        <w:rPr>
          <w:rFonts w:ascii="Cambria" w:hAnsi="Cambria"/>
          <w:i/>
          <w:iCs/>
          <w:sz w:val="16"/>
          <w:szCs w:val="16"/>
          <w:lang w:val="es-MX"/>
        </w:rPr>
        <w:t>supra</w:t>
      </w:r>
      <w:r w:rsidRPr="000D7953">
        <w:rPr>
          <w:rFonts w:ascii="Cambria" w:hAnsi="Cambria"/>
          <w:sz w:val="16"/>
          <w:szCs w:val="16"/>
          <w:lang w:val="es-MX"/>
        </w:rPr>
        <w:t xml:space="preserve">. Págs. 103 y ss. Asimismo, </w:t>
      </w:r>
      <w:r w:rsidRPr="000D7953">
        <w:rPr>
          <w:rFonts w:ascii="Cambria" w:hAnsi="Cambria"/>
          <w:sz w:val="16"/>
          <w:szCs w:val="16"/>
          <w:lang w:val="es-PE"/>
        </w:rPr>
        <w:t xml:space="preserve">la Procuraduría General de la República de México, por ejemplo, adoptó un Protocolo Homologado de Investigación de delitos cometidos contra la libertad de expresión en octubre de 2018, en donde se establecen los criterios aquí señalados. El protocolo se encuentra disponible en: </w:t>
      </w:r>
      <w:hyperlink r:id="rId9" w:history="1">
        <w:r w:rsidRPr="000D7953">
          <w:rPr>
            <w:rStyle w:val="Hyperlink"/>
            <w:rFonts w:ascii="Cambria" w:hAnsi="Cambria"/>
            <w:sz w:val="16"/>
            <w:szCs w:val="16"/>
            <w:lang w:val="es-PE"/>
          </w:rPr>
          <w:t>https://www.gob.mx/cms/uploads/attachment/file/444272/Protocolo_homologado_de_investigaci_n_de_delitos_cometidos_contra_la_libertad_de_expresi_n.pdf</w:t>
        </w:r>
      </w:hyperlink>
      <w:r w:rsidRPr="000D7953">
        <w:rPr>
          <w:rFonts w:ascii="Cambria" w:hAnsi="Cambria"/>
          <w:sz w:val="16"/>
          <w:szCs w:val="16"/>
          <w:lang w:val="es-PE"/>
        </w:rPr>
        <w:t xml:space="preserve">. Véase también, </w:t>
      </w:r>
      <w:r w:rsidRPr="000D7953">
        <w:rPr>
          <w:rFonts w:ascii="Cambria" w:hAnsi="Cambria"/>
          <w:sz w:val="16"/>
          <w:szCs w:val="16"/>
          <w:lang w:val="es-VE"/>
        </w:rPr>
        <w:t xml:space="preserve">CIDH. </w:t>
      </w:r>
      <w:r w:rsidRPr="000D7953">
        <w:rPr>
          <w:rFonts w:ascii="Cambria" w:hAnsi="Cambria"/>
          <w:i/>
          <w:sz w:val="16"/>
          <w:szCs w:val="16"/>
          <w:lang w:val="es-VE"/>
        </w:rPr>
        <w:t>Segundo Informe sobre la situación de las defensoras y los defensores de derechos humanos en las Américas</w:t>
      </w:r>
      <w:r w:rsidRPr="000D7953">
        <w:rPr>
          <w:rFonts w:ascii="Cambria" w:hAnsi="Cambria"/>
          <w:sz w:val="16"/>
          <w:szCs w:val="16"/>
          <w:lang w:val="es-VE"/>
        </w:rPr>
        <w:t xml:space="preserve">. OEA/ser.L/V/II.Doc.66. 31 de diciembre de 2011. Párr. </w:t>
      </w:r>
      <w:r w:rsidRPr="000D7953">
        <w:rPr>
          <w:rFonts w:ascii="Cambria" w:hAnsi="Cambria"/>
          <w:sz w:val="16"/>
          <w:szCs w:val="16"/>
          <w:lang w:val="es-US"/>
        </w:rPr>
        <w:t xml:space="preserve">45. Disponible en: </w:t>
      </w:r>
      <w:hyperlink r:id="rId10" w:history="1">
        <w:r w:rsidRPr="000D7953">
          <w:rPr>
            <w:rStyle w:val="Hyperlink"/>
            <w:rFonts w:ascii="Cambria" w:hAnsi="Cambria"/>
            <w:sz w:val="16"/>
            <w:szCs w:val="16"/>
            <w:lang w:val="es-PE"/>
          </w:rPr>
          <w:t>https://www.oas.org/es/cidh/defensores/docs/pdf/defensores2011.pdf</w:t>
        </w:r>
      </w:hyperlink>
    </w:p>
  </w:footnote>
  <w:footnote w:id="127">
    <w:p w14:paraId="12EDE994" w14:textId="79E95805"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CIDH. </w:t>
      </w:r>
      <w:r w:rsidRPr="000D7953">
        <w:rPr>
          <w:rFonts w:ascii="Cambria" w:hAnsi="Cambria"/>
          <w:sz w:val="16"/>
          <w:szCs w:val="16"/>
          <w:lang w:val="es-MX"/>
        </w:rPr>
        <w:t xml:space="preserve">Relatoría Especial para la Libertad de Expresión. Informe Especial sobre la situación de libertad de expresión en México. Junio de 2018. Págs. 12 y 13. Disponible en: </w:t>
      </w:r>
      <w:hyperlink r:id="rId11" w:history="1">
        <w:r w:rsidRPr="000D7953">
          <w:rPr>
            <w:rStyle w:val="Hyperlink"/>
            <w:rFonts w:ascii="Cambria" w:hAnsi="Cambria"/>
            <w:sz w:val="16"/>
            <w:szCs w:val="16"/>
            <w:lang w:val="es-PE"/>
          </w:rPr>
          <w:t>https://www.oas.org/es/cidh/expresion/docs/2018_06_18%20CIDH-UN_FINAL_MX_report_SPA.PDF</w:t>
        </w:r>
      </w:hyperlink>
    </w:p>
  </w:footnote>
  <w:footnote w:id="128">
    <w:p w14:paraId="44D58AFF" w14:textId="739414E8" w:rsidR="000A5EAC" w:rsidRPr="000D7953" w:rsidRDefault="000A5EAC" w:rsidP="000D7953">
      <w:pPr>
        <w:pStyle w:val="FootnoteText"/>
        <w:tabs>
          <w:tab w:val="left" w:pos="1800"/>
        </w:tabs>
        <w:jc w:val="both"/>
        <w:rPr>
          <w:rFonts w:ascii="Cambria" w:hAnsi="Cambria"/>
          <w:sz w:val="16"/>
          <w:szCs w:val="16"/>
          <w:lang w:val="pt-BR"/>
        </w:rPr>
      </w:pPr>
      <w:r w:rsidRPr="000D7953">
        <w:rPr>
          <w:rStyle w:val="FootnoteReference"/>
          <w:rFonts w:ascii="Cambria" w:hAnsi="Cambria"/>
          <w:sz w:val="16"/>
          <w:szCs w:val="16"/>
        </w:rPr>
        <w:footnoteRef/>
      </w:r>
      <w:r w:rsidRPr="000D7953">
        <w:rPr>
          <w:rFonts w:ascii="Cambria" w:hAnsi="Cambria" w:cs="Arial"/>
          <w:sz w:val="16"/>
          <w:szCs w:val="16"/>
          <w:lang w:val="es-US"/>
        </w:rPr>
        <w:t xml:space="preserve"> </w:t>
      </w:r>
      <w:r w:rsidRPr="000D7953">
        <w:rPr>
          <w:rFonts w:ascii="Cambria" w:hAnsi="Cambria"/>
          <w:sz w:val="16"/>
          <w:szCs w:val="16"/>
          <w:lang w:val="es-US"/>
        </w:rPr>
        <w:t xml:space="preserve">Corte IDH. </w:t>
      </w:r>
      <w:r w:rsidRPr="000D7953">
        <w:rPr>
          <w:rFonts w:ascii="Cambria" w:hAnsi="Cambria"/>
          <w:i/>
          <w:sz w:val="16"/>
          <w:szCs w:val="16"/>
          <w:lang w:val="es-US"/>
        </w:rPr>
        <w:t>Caso Gómez Palomino Vs. Perú</w:t>
      </w:r>
      <w:r w:rsidRPr="000D7953">
        <w:rPr>
          <w:rFonts w:ascii="Cambria" w:hAnsi="Cambria"/>
          <w:sz w:val="16"/>
          <w:szCs w:val="16"/>
          <w:lang w:val="es-US"/>
        </w:rPr>
        <w:t xml:space="preserve">. Fondo, Reparaciones y Costas. Sentencia de 22 de noviembre de 2005. Serie C No. 136. Párr. </w:t>
      </w:r>
      <w:r w:rsidRPr="000D7953">
        <w:rPr>
          <w:rFonts w:ascii="Cambria" w:hAnsi="Cambria" w:cs="Arial"/>
          <w:sz w:val="16"/>
          <w:szCs w:val="16"/>
          <w:lang w:val="es-US"/>
        </w:rPr>
        <w:t xml:space="preserve">85; </w:t>
      </w:r>
      <w:r w:rsidRPr="000D7953">
        <w:rPr>
          <w:rFonts w:ascii="Cambria" w:hAnsi="Cambria"/>
          <w:i/>
          <w:sz w:val="16"/>
          <w:szCs w:val="16"/>
          <w:lang w:val="es-ES_tradnl"/>
        </w:rPr>
        <w:t>Caso García Asto y Ramírez Rojas Vs. Perú</w:t>
      </w:r>
      <w:r w:rsidRPr="000D7953">
        <w:rPr>
          <w:rFonts w:ascii="Cambria" w:hAnsi="Cambria"/>
          <w:sz w:val="16"/>
          <w:szCs w:val="16"/>
          <w:lang w:val="es-ES_tradnl"/>
        </w:rPr>
        <w:t xml:space="preserve">. </w:t>
      </w:r>
      <w:r w:rsidRPr="000D7953">
        <w:rPr>
          <w:rFonts w:ascii="Cambria" w:hAnsi="Cambria"/>
          <w:sz w:val="16"/>
          <w:szCs w:val="16"/>
          <w:lang w:val="es-AR"/>
        </w:rPr>
        <w:t>Fondo, Reparaciones y Costas.</w:t>
      </w:r>
      <w:r w:rsidRPr="000D7953">
        <w:rPr>
          <w:rFonts w:ascii="Cambria" w:hAnsi="Cambria"/>
          <w:sz w:val="16"/>
          <w:szCs w:val="16"/>
          <w:lang w:val="es-ES_tradnl"/>
        </w:rPr>
        <w:t xml:space="preserve"> Sentencia de 25 de noviembre de 2005. </w:t>
      </w:r>
      <w:r w:rsidRPr="000D7953">
        <w:rPr>
          <w:rFonts w:ascii="Cambria" w:hAnsi="Cambria"/>
          <w:sz w:val="16"/>
          <w:szCs w:val="16"/>
          <w:lang w:val="pt-BR"/>
        </w:rPr>
        <w:t>Serie C No. 137</w:t>
      </w:r>
      <w:r w:rsidRPr="000D7953">
        <w:rPr>
          <w:rFonts w:ascii="Cambria" w:hAnsi="Cambria" w:cs="Arial"/>
          <w:iCs/>
          <w:sz w:val="16"/>
          <w:szCs w:val="16"/>
          <w:lang w:val="pt-BR"/>
        </w:rPr>
        <w:t xml:space="preserve">, párr. 166. </w:t>
      </w:r>
    </w:p>
  </w:footnote>
  <w:footnote w:id="129">
    <w:p w14:paraId="4F4234DF" w14:textId="2B7DE9B4" w:rsidR="000A5EAC" w:rsidRPr="000D7953" w:rsidRDefault="000A5EAC" w:rsidP="000D7953">
      <w:pPr>
        <w:pStyle w:val="FootnoteText"/>
        <w:tabs>
          <w:tab w:val="left" w:pos="1800"/>
        </w:tabs>
        <w:jc w:val="both"/>
        <w:rPr>
          <w:rFonts w:ascii="Cambria" w:hAnsi="Cambria"/>
          <w:sz w:val="16"/>
          <w:szCs w:val="16"/>
          <w:lang w:val="es-ES_tradnl"/>
        </w:rPr>
      </w:pPr>
      <w:r w:rsidRPr="000D7953">
        <w:rPr>
          <w:rStyle w:val="FootnoteReference"/>
          <w:rFonts w:ascii="Cambria" w:hAnsi="Cambria"/>
          <w:sz w:val="16"/>
          <w:szCs w:val="16"/>
        </w:rPr>
        <w:footnoteRef/>
      </w:r>
      <w:r w:rsidRPr="000D7953">
        <w:rPr>
          <w:rFonts w:ascii="Cambria" w:hAnsi="Cambria"/>
          <w:sz w:val="16"/>
          <w:szCs w:val="16"/>
          <w:lang w:val="pt-BR"/>
        </w:rPr>
        <w:t xml:space="preserve"> Corte IDH. </w:t>
      </w:r>
      <w:r w:rsidRPr="000D7953">
        <w:rPr>
          <w:rFonts w:ascii="Cambria" w:hAnsi="Cambria"/>
          <w:i/>
          <w:iCs/>
          <w:sz w:val="16"/>
          <w:szCs w:val="16"/>
          <w:lang w:val="pt-BR"/>
        </w:rPr>
        <w:t>Caso Ricardo</w:t>
      </w:r>
      <w:r w:rsidRPr="000D7953">
        <w:rPr>
          <w:rFonts w:ascii="Cambria" w:hAnsi="Cambria"/>
          <w:sz w:val="16"/>
          <w:szCs w:val="16"/>
          <w:lang w:val="pt-BR"/>
        </w:rPr>
        <w:t xml:space="preserve"> </w:t>
      </w:r>
      <w:r w:rsidRPr="000D7953">
        <w:rPr>
          <w:rFonts w:ascii="Cambria" w:hAnsi="Cambria"/>
          <w:i/>
          <w:sz w:val="16"/>
          <w:szCs w:val="16"/>
          <w:lang w:val="pt-BR"/>
        </w:rPr>
        <w:t xml:space="preserve">Canese Vs. Paraguay. </w:t>
      </w:r>
      <w:r w:rsidRPr="000D7953">
        <w:rPr>
          <w:rFonts w:ascii="Cambria" w:hAnsi="Cambria"/>
          <w:sz w:val="16"/>
          <w:szCs w:val="16"/>
          <w:lang w:val="es-ES_tradnl"/>
        </w:rPr>
        <w:t>Fondo, Reparaciones y Costas. Sentencia de 31 de agosto de 2004. Serie C No. 111.</w:t>
      </w:r>
      <w:r w:rsidRPr="000D7953">
        <w:rPr>
          <w:rFonts w:ascii="Cambria" w:hAnsi="Cambria"/>
          <w:sz w:val="16"/>
          <w:szCs w:val="16"/>
          <w:lang w:val="pt-BR"/>
        </w:rPr>
        <w:t xml:space="preserve"> Párr.</w:t>
      </w:r>
      <w:r w:rsidRPr="000D7953">
        <w:rPr>
          <w:rFonts w:ascii="Cambria" w:hAnsi="Cambria" w:cs="Arial"/>
          <w:sz w:val="16"/>
          <w:szCs w:val="16"/>
          <w:lang w:val="pt-BR"/>
        </w:rPr>
        <w:t xml:space="preserve"> 142.</w:t>
      </w:r>
    </w:p>
  </w:footnote>
  <w:footnote w:id="130">
    <w:p w14:paraId="39F33FDB" w14:textId="722CB1E3" w:rsidR="000A5EAC" w:rsidRPr="000D7953" w:rsidRDefault="000A5EAC" w:rsidP="000D7953">
      <w:pPr>
        <w:pStyle w:val="FootnoteText"/>
        <w:tabs>
          <w:tab w:val="left" w:pos="1800"/>
        </w:tabs>
        <w:jc w:val="both"/>
        <w:rPr>
          <w:rFonts w:ascii="Cambria" w:hAnsi="Cambria"/>
          <w:sz w:val="16"/>
          <w:szCs w:val="16"/>
          <w:lang w:val="es-ES_tradnl"/>
        </w:rPr>
      </w:pPr>
      <w:r w:rsidRPr="000D7953">
        <w:rPr>
          <w:rStyle w:val="FootnoteReference"/>
          <w:rFonts w:ascii="Cambria" w:hAnsi="Cambria"/>
          <w:sz w:val="16"/>
          <w:szCs w:val="16"/>
        </w:rPr>
        <w:footnoteRef/>
      </w:r>
      <w:r w:rsidRPr="000D7953">
        <w:rPr>
          <w:rFonts w:ascii="Cambria" w:hAnsi="Cambria" w:cs="Arial"/>
          <w:sz w:val="16"/>
          <w:szCs w:val="16"/>
          <w:lang w:val="pt-BR"/>
        </w:rPr>
        <w:t xml:space="preserve"> </w:t>
      </w:r>
      <w:r w:rsidRPr="000D7953">
        <w:rPr>
          <w:rFonts w:ascii="Cambria" w:hAnsi="Cambria"/>
          <w:sz w:val="16"/>
          <w:szCs w:val="16"/>
          <w:lang w:val="pt-BR"/>
        </w:rPr>
        <w:t xml:space="preserve">Corte IDH. </w:t>
      </w:r>
      <w:r w:rsidRPr="000D7953">
        <w:rPr>
          <w:rFonts w:ascii="Cambria" w:hAnsi="Cambria"/>
          <w:i/>
          <w:sz w:val="16"/>
          <w:szCs w:val="16"/>
          <w:lang w:val="es-ES_tradnl"/>
        </w:rPr>
        <w:t>Caso</w:t>
      </w:r>
      <w:r w:rsidRPr="000D7953">
        <w:rPr>
          <w:rFonts w:ascii="Cambria" w:hAnsi="Cambria"/>
          <w:sz w:val="16"/>
          <w:szCs w:val="16"/>
          <w:lang w:val="es-ES_tradnl"/>
        </w:rPr>
        <w:t xml:space="preserve"> </w:t>
      </w:r>
      <w:r w:rsidRPr="000D7953">
        <w:rPr>
          <w:rFonts w:ascii="Cambria" w:hAnsi="Cambria"/>
          <w:i/>
          <w:sz w:val="16"/>
          <w:szCs w:val="16"/>
          <w:lang w:val="es-ES_tradnl"/>
        </w:rPr>
        <w:t>López Álvarez Vs. Honduras</w:t>
      </w:r>
      <w:r w:rsidRPr="000D7953">
        <w:rPr>
          <w:rFonts w:ascii="Cambria" w:hAnsi="Cambria"/>
          <w:sz w:val="16"/>
          <w:szCs w:val="16"/>
          <w:lang w:val="es-ES_tradnl"/>
        </w:rPr>
        <w:t>. Fondo, Reparaciones y Costas. Sentencia de 1 de febrero de 2006. Serie C No. 141. Párr.</w:t>
      </w:r>
      <w:r w:rsidRPr="000D7953">
        <w:rPr>
          <w:rFonts w:ascii="Cambria" w:hAnsi="Cambria" w:cs="Arial"/>
          <w:sz w:val="16"/>
          <w:szCs w:val="16"/>
          <w:lang w:val="es-ES"/>
        </w:rPr>
        <w:t xml:space="preserve"> 129;</w:t>
      </w:r>
      <w:r w:rsidRPr="000D7953">
        <w:rPr>
          <w:rFonts w:ascii="Cambria" w:hAnsi="Cambria"/>
          <w:sz w:val="16"/>
          <w:szCs w:val="16"/>
          <w:lang w:val="es-ES_tradnl"/>
        </w:rPr>
        <w:t xml:space="preserve"> </w:t>
      </w:r>
      <w:r w:rsidRPr="000D7953">
        <w:rPr>
          <w:rFonts w:ascii="Cambria" w:hAnsi="Cambria"/>
          <w:i/>
          <w:sz w:val="16"/>
          <w:szCs w:val="16"/>
          <w:lang w:val="es-ES_tradnl"/>
        </w:rPr>
        <w:t>Caso Acosta Calderón Vs. Ecuador</w:t>
      </w:r>
      <w:r w:rsidRPr="000D7953">
        <w:rPr>
          <w:rFonts w:ascii="Cambria" w:hAnsi="Cambria"/>
          <w:sz w:val="16"/>
          <w:szCs w:val="16"/>
          <w:lang w:val="es-ES_tradnl"/>
        </w:rPr>
        <w:t>. Fondo, Reparaciones y Costas. Sentencia de 24 de junio de 2005. Serie C No. 129. Párr.</w:t>
      </w:r>
      <w:r w:rsidRPr="000D7953">
        <w:rPr>
          <w:rFonts w:ascii="Cambria" w:hAnsi="Cambria" w:cs="Arial"/>
          <w:sz w:val="16"/>
          <w:szCs w:val="16"/>
          <w:lang w:val="es-ES"/>
        </w:rPr>
        <w:t xml:space="preserve"> 104, y </w:t>
      </w:r>
      <w:r w:rsidRPr="000D7953">
        <w:rPr>
          <w:rFonts w:ascii="Cambria" w:hAnsi="Cambria"/>
          <w:i/>
          <w:sz w:val="16"/>
          <w:szCs w:val="16"/>
          <w:lang w:val="es-ES_tradnl"/>
        </w:rPr>
        <w:t>Caso Tibi Vs. Ecuador</w:t>
      </w:r>
      <w:r w:rsidRPr="000D7953">
        <w:rPr>
          <w:rFonts w:ascii="Cambria" w:hAnsi="Cambria"/>
          <w:sz w:val="16"/>
          <w:szCs w:val="16"/>
          <w:lang w:val="es-ES_tradnl"/>
        </w:rPr>
        <w:t>. Excepciones Preliminares, Fondo, Reparaciones y Costas. Sentencia de 7 de septiembre de 2004. Serie C No. 114</w:t>
      </w:r>
      <w:r w:rsidRPr="000D7953">
        <w:rPr>
          <w:rFonts w:ascii="Cambria" w:hAnsi="Cambria" w:cs="Arial"/>
          <w:sz w:val="16"/>
          <w:szCs w:val="16"/>
          <w:lang w:val="es-ES_tradnl"/>
        </w:rPr>
        <w:t>. Párr. 168.</w:t>
      </w:r>
    </w:p>
  </w:footnote>
  <w:footnote w:id="131">
    <w:p w14:paraId="43E57D2A" w14:textId="1DA2BD11" w:rsidR="000A5EAC" w:rsidRPr="000D7953" w:rsidRDefault="000A5EAC" w:rsidP="000D7953">
      <w:pPr>
        <w:pStyle w:val="FootnoteText"/>
        <w:tabs>
          <w:tab w:val="left" w:pos="1800"/>
        </w:tabs>
        <w:jc w:val="both"/>
        <w:rPr>
          <w:rFonts w:ascii="Cambria" w:hAnsi="Cambria"/>
          <w:sz w:val="16"/>
          <w:szCs w:val="16"/>
          <w:lang w:val="es-ES_tradnl"/>
        </w:rPr>
      </w:pPr>
      <w:r w:rsidRPr="000D7953">
        <w:rPr>
          <w:rStyle w:val="FootnoteReference"/>
          <w:rFonts w:ascii="Cambria" w:hAnsi="Cambria"/>
          <w:sz w:val="16"/>
          <w:szCs w:val="16"/>
        </w:rPr>
        <w:footnoteRef/>
      </w:r>
      <w:r w:rsidRPr="000D7953">
        <w:rPr>
          <w:rFonts w:ascii="Cambria" w:hAnsi="Cambria" w:cs="Arial"/>
          <w:sz w:val="16"/>
          <w:szCs w:val="16"/>
          <w:lang w:val="es-ES_tradnl"/>
        </w:rPr>
        <w:t xml:space="preserve"> </w:t>
      </w:r>
      <w:r w:rsidRPr="000D7953">
        <w:rPr>
          <w:rFonts w:ascii="Cambria" w:hAnsi="Cambria"/>
          <w:sz w:val="16"/>
          <w:szCs w:val="16"/>
          <w:lang w:val="es-ES_tradnl"/>
        </w:rPr>
        <w:t xml:space="preserve">Corte IDH. Caso </w:t>
      </w:r>
      <w:r w:rsidRPr="000D7953">
        <w:rPr>
          <w:rFonts w:ascii="Cambria" w:hAnsi="Cambria"/>
          <w:i/>
          <w:sz w:val="16"/>
          <w:szCs w:val="16"/>
          <w:lang w:val="es-ES_tradnl"/>
        </w:rPr>
        <w:t>Masacre de Santo Domingo</w:t>
      </w:r>
      <w:r w:rsidRPr="000D7953">
        <w:rPr>
          <w:rFonts w:ascii="Cambria" w:hAnsi="Cambria"/>
          <w:sz w:val="16"/>
          <w:szCs w:val="16"/>
          <w:lang w:val="es-ES_tradnl"/>
        </w:rPr>
        <w:t>. Vs. Colombia. Excepciones Preliminares, Fondo, Reparaciones y Costas. Sentencia de 30 de noviembre de 2012. Serie C No. 259</w:t>
      </w:r>
      <w:r w:rsidRPr="000D7953">
        <w:rPr>
          <w:rFonts w:ascii="Cambria" w:hAnsi="Cambria" w:cs="Arial"/>
          <w:sz w:val="16"/>
          <w:szCs w:val="16"/>
          <w:lang w:val="es-ES_tradnl"/>
        </w:rPr>
        <w:t>. P</w:t>
      </w:r>
      <w:r w:rsidRPr="000D7953">
        <w:rPr>
          <w:rFonts w:ascii="Cambria" w:hAnsi="Cambria"/>
          <w:sz w:val="16"/>
          <w:szCs w:val="16"/>
          <w:lang w:val="es-ES_tradnl"/>
        </w:rPr>
        <w:t>árr.</w:t>
      </w:r>
      <w:r w:rsidRPr="000D7953">
        <w:rPr>
          <w:rFonts w:ascii="Cambria" w:hAnsi="Cambria" w:cs="Arial"/>
          <w:sz w:val="16"/>
          <w:szCs w:val="16"/>
          <w:lang w:val="es-ES_tradnl"/>
        </w:rPr>
        <w:t xml:space="preserve"> </w:t>
      </w:r>
      <w:r w:rsidRPr="000D7953">
        <w:rPr>
          <w:rFonts w:ascii="Cambria" w:hAnsi="Cambria" w:cs="Arial"/>
          <w:sz w:val="16"/>
          <w:szCs w:val="16"/>
          <w:lang w:val="es-ES"/>
        </w:rPr>
        <w:t>164.</w:t>
      </w:r>
    </w:p>
  </w:footnote>
  <w:footnote w:id="132">
    <w:p w14:paraId="3506A639" w14:textId="073C032E"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46. Nota de prensa titulada “Piden que juez interrogue a los miembros de familias influyentes”. 5 de mayo de 1991; nota de prensa titulada “Hasta Rodríguez sabe quiénes son los corruptos”. 5 de mayo de 1991, y nota de prensa titulada “Delegado y jueces respaldan a mafiosos”. Diario Hoy s/f. Expediente judicial. Anexos a la</w:t>
      </w:r>
      <w:r w:rsidRPr="000D7953">
        <w:rPr>
          <w:rFonts w:ascii="Cambria" w:hAnsi="Cambria"/>
          <w:sz w:val="16"/>
          <w:szCs w:val="16"/>
          <w:lang w:val="es-MX"/>
        </w:rPr>
        <w:t xml:space="preserve"> petición inicial de 19 de enero de 2007.</w:t>
      </w:r>
    </w:p>
  </w:footnote>
  <w:footnote w:id="133">
    <w:p w14:paraId="6E27699A" w14:textId="332C071B"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i/>
          <w:iCs/>
          <w:sz w:val="16"/>
          <w:szCs w:val="16"/>
          <w:lang w:val="es-PE"/>
        </w:rPr>
        <w:t>Mutatis mutandi</w:t>
      </w:r>
      <w:r w:rsidRPr="000D7953">
        <w:rPr>
          <w:rFonts w:ascii="Cambria" w:hAnsi="Cambria"/>
          <w:sz w:val="16"/>
          <w:szCs w:val="16"/>
          <w:lang w:val="es-PE"/>
        </w:rPr>
        <w:t xml:space="preserve">, </w:t>
      </w:r>
      <w:r w:rsidRPr="000D7953">
        <w:rPr>
          <w:rFonts w:ascii="Cambria" w:hAnsi="Cambria"/>
          <w:sz w:val="16"/>
          <w:szCs w:val="16"/>
          <w:lang w:val="es-VE"/>
        </w:rPr>
        <w:t xml:space="preserve">CIDH. </w:t>
      </w:r>
      <w:r w:rsidRPr="000D7953">
        <w:rPr>
          <w:rFonts w:ascii="Cambria" w:hAnsi="Cambria"/>
          <w:i/>
          <w:sz w:val="16"/>
          <w:szCs w:val="16"/>
          <w:lang w:val="es-VE"/>
        </w:rPr>
        <w:t>Segundo Informe sobre la situación de las defensoras y los defensores de derechos humanos en las Américas, supra</w:t>
      </w:r>
      <w:r w:rsidRPr="000D7953">
        <w:rPr>
          <w:rFonts w:ascii="Cambria" w:hAnsi="Cambria"/>
          <w:sz w:val="16"/>
          <w:szCs w:val="16"/>
          <w:lang w:val="es-VE"/>
        </w:rPr>
        <w:t xml:space="preserve">. Párr. </w:t>
      </w:r>
      <w:r w:rsidRPr="000D7953">
        <w:rPr>
          <w:rFonts w:ascii="Cambria" w:hAnsi="Cambria"/>
          <w:sz w:val="16"/>
          <w:szCs w:val="16"/>
          <w:lang w:val="es-US"/>
        </w:rPr>
        <w:t xml:space="preserve">43. </w:t>
      </w:r>
      <w:hyperlink w:history="1"/>
    </w:p>
  </w:footnote>
  <w:footnote w:id="134">
    <w:p w14:paraId="4719E44A" w14:textId="77777777"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Anexo 9. Declaración de Filemón Valdez ante el Juez de primera instancia en lo criminal y tutelar del menor del primer turno de la ciudad de Pedro Juan Caballero, 14 de mayo de 1991. Expediente judicial. Anexos a la</w:t>
      </w:r>
      <w:r w:rsidRPr="000D7953">
        <w:rPr>
          <w:rFonts w:ascii="Cambria" w:hAnsi="Cambria"/>
          <w:sz w:val="16"/>
          <w:szCs w:val="16"/>
          <w:lang w:val="es-MX"/>
        </w:rPr>
        <w:t xml:space="preserve"> petición inicial de 19 de enero de 2007, </w:t>
      </w:r>
      <w:r w:rsidRPr="000D7953">
        <w:rPr>
          <w:rFonts w:ascii="Cambria" w:hAnsi="Cambria"/>
          <w:sz w:val="16"/>
          <w:szCs w:val="16"/>
          <w:lang w:val="es-PE"/>
        </w:rPr>
        <w:t>folios 84 y 85.</w:t>
      </w:r>
    </w:p>
  </w:footnote>
  <w:footnote w:id="135">
    <w:p w14:paraId="1FD7DDC6" w14:textId="054F8812" w:rsidR="000A5EAC" w:rsidRPr="000D7953" w:rsidRDefault="000A5EAC" w:rsidP="000D7953">
      <w:pPr>
        <w:pStyle w:val="FootnoteText"/>
        <w:jc w:val="both"/>
        <w:rPr>
          <w:rFonts w:ascii="Cambria" w:hAnsi="Cambria"/>
          <w:sz w:val="16"/>
          <w:szCs w:val="16"/>
          <w:lang w:val="es-ES"/>
        </w:rPr>
      </w:pPr>
      <w:r w:rsidRPr="000D7953">
        <w:rPr>
          <w:rStyle w:val="FootnoteReference"/>
          <w:rFonts w:ascii="Cambria" w:hAnsi="Cambria"/>
          <w:sz w:val="16"/>
          <w:szCs w:val="16"/>
        </w:rPr>
        <w:footnoteRef/>
      </w:r>
      <w:r w:rsidRPr="000D7953">
        <w:rPr>
          <w:rFonts w:ascii="Cambria" w:hAnsi="Cambria" w:cs="Arial"/>
          <w:sz w:val="16"/>
          <w:szCs w:val="16"/>
          <w:lang w:val="es-ES"/>
        </w:rPr>
        <w:t xml:space="preserve"> CIDH. </w:t>
      </w:r>
      <w:r w:rsidRPr="000D7953">
        <w:rPr>
          <w:rFonts w:ascii="Cambria" w:hAnsi="Cambria" w:cs="Arial"/>
          <w:i/>
          <w:sz w:val="16"/>
          <w:szCs w:val="16"/>
          <w:lang w:val="es-ES"/>
        </w:rPr>
        <w:t xml:space="preserve">Segundo Informe sobre la Situación de las Defensoras y Defensores de Derechos Humanos en las Américas, supra. </w:t>
      </w:r>
      <w:r w:rsidRPr="000D7953">
        <w:rPr>
          <w:rFonts w:ascii="Cambria" w:hAnsi="Cambria" w:cs="Arial"/>
          <w:sz w:val="16"/>
          <w:szCs w:val="16"/>
          <w:lang w:val="es-ES"/>
        </w:rPr>
        <w:t xml:space="preserve">31 de diciembre de 2011. Párr. 505, e </w:t>
      </w:r>
      <w:r w:rsidRPr="000D7953">
        <w:rPr>
          <w:rFonts w:ascii="Cambria" w:hAnsi="Cambria"/>
          <w:sz w:val="16"/>
          <w:szCs w:val="16"/>
          <w:lang w:val="es-AR" w:eastAsia="x-none"/>
        </w:rPr>
        <w:t>CIDH.</w:t>
      </w:r>
      <w:r w:rsidRPr="000D7953">
        <w:rPr>
          <w:rFonts w:ascii="Cambria" w:hAnsi="Cambria"/>
          <w:sz w:val="16"/>
          <w:szCs w:val="16"/>
          <w:lang w:val="es-PE"/>
        </w:rPr>
        <w:t xml:space="preserve"> Informe No.35/17 (Publicación). Caso No. 12.713. José Rusbel Lara y otros. Colombia. 21 de marzo de 2017. Párr. 184.</w:t>
      </w:r>
    </w:p>
  </w:footnote>
  <w:footnote w:id="136">
    <w:p w14:paraId="2E8753CA" w14:textId="36B628FF" w:rsidR="000A5EAC" w:rsidRPr="000D7953" w:rsidRDefault="000A5EAC" w:rsidP="000D7953">
      <w:pPr>
        <w:pStyle w:val="FootnoteText"/>
        <w:tabs>
          <w:tab w:val="left" w:pos="1800"/>
        </w:tabs>
        <w:jc w:val="both"/>
        <w:rPr>
          <w:rFonts w:ascii="Cambria" w:hAnsi="Cambria"/>
          <w:sz w:val="16"/>
          <w:szCs w:val="16"/>
          <w:lang w:val="es-US"/>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AR" w:eastAsia="x-none"/>
        </w:rPr>
        <w:t>CIDH.</w:t>
      </w:r>
      <w:r w:rsidRPr="000D7953">
        <w:rPr>
          <w:rFonts w:ascii="Cambria" w:hAnsi="Cambria"/>
          <w:sz w:val="16"/>
          <w:szCs w:val="16"/>
          <w:lang w:val="es-PE"/>
        </w:rPr>
        <w:t xml:space="preserve"> Informe No.35/17 (Publicación). Caso No. 12.713. José Rusbel Lara y otros. Colombia. 21 de marzo de 2017. Párrs. 156 y ss. </w:t>
      </w:r>
      <w:r w:rsidRPr="000D7953">
        <w:rPr>
          <w:rFonts w:ascii="Cambria" w:hAnsi="Cambria"/>
          <w:sz w:val="16"/>
          <w:szCs w:val="16"/>
          <w:lang w:val="es-US"/>
        </w:rPr>
        <w:t xml:space="preserve">Corte IDH. </w:t>
      </w:r>
      <w:r w:rsidRPr="000D7953">
        <w:rPr>
          <w:rFonts w:ascii="Cambria" w:hAnsi="Cambria"/>
          <w:i/>
          <w:sz w:val="16"/>
          <w:szCs w:val="16"/>
          <w:lang w:val="es-US"/>
        </w:rPr>
        <w:t>Caso Luna López Vs. Honduras</w:t>
      </w:r>
      <w:r w:rsidRPr="000D7953">
        <w:rPr>
          <w:rFonts w:ascii="Cambria" w:hAnsi="Cambria"/>
          <w:sz w:val="16"/>
          <w:szCs w:val="16"/>
          <w:lang w:val="es-US"/>
        </w:rPr>
        <w:t xml:space="preserve">, </w:t>
      </w:r>
      <w:r w:rsidRPr="000D7953">
        <w:rPr>
          <w:rFonts w:ascii="Cambria" w:hAnsi="Cambria"/>
          <w:i/>
          <w:iCs/>
          <w:sz w:val="16"/>
          <w:szCs w:val="16"/>
          <w:lang w:val="es-US"/>
        </w:rPr>
        <w:t>supra</w:t>
      </w:r>
      <w:r w:rsidRPr="000D7953">
        <w:rPr>
          <w:rFonts w:ascii="Cambria" w:hAnsi="Cambria"/>
          <w:sz w:val="16"/>
          <w:szCs w:val="16"/>
          <w:lang w:val="es-US"/>
        </w:rPr>
        <w:t>. Párrs. 135 a 137.</w:t>
      </w:r>
    </w:p>
  </w:footnote>
  <w:footnote w:id="137">
    <w:p w14:paraId="352BDC91" w14:textId="77777777" w:rsidR="000A5EAC" w:rsidRPr="000D7953" w:rsidRDefault="000A5EAC" w:rsidP="000D7953">
      <w:pPr>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w:t>
      </w:r>
      <w:r w:rsidRPr="000D7953">
        <w:rPr>
          <w:rFonts w:ascii="Cambria" w:hAnsi="Cambria"/>
          <w:sz w:val="16"/>
          <w:szCs w:val="16"/>
          <w:lang w:val="es-MX"/>
        </w:rPr>
        <w:t xml:space="preserve">CIDH. Relatoría Especial para la Libertad de Expresión. Informe Zonas Silenciadas: regiones de alta peligrosidad para ejercer la libertad de expresión, </w:t>
      </w:r>
      <w:r w:rsidRPr="000D7953">
        <w:rPr>
          <w:rFonts w:ascii="Cambria" w:hAnsi="Cambria"/>
          <w:i/>
          <w:iCs/>
          <w:sz w:val="16"/>
          <w:szCs w:val="16"/>
          <w:lang w:val="es-MX"/>
        </w:rPr>
        <w:t>supra</w:t>
      </w:r>
      <w:r w:rsidRPr="000D7953">
        <w:rPr>
          <w:rFonts w:ascii="Cambria" w:hAnsi="Cambria"/>
          <w:sz w:val="16"/>
          <w:szCs w:val="16"/>
          <w:lang w:val="es-MX"/>
        </w:rPr>
        <w:t>. Capítulo 1. Párrs. 151, 171 y 175 y ss. En el párrafo 151 la CIDH cita el Plan de Acción de las Naciones Unidas sobre la seguridad de los periodistas y la cuestión de la impunidad. ONU.</w:t>
      </w:r>
      <w:r w:rsidRPr="000D7953">
        <w:rPr>
          <w:rFonts w:ascii="Cambria" w:hAnsi="Cambria"/>
          <w:sz w:val="16"/>
          <w:szCs w:val="16"/>
          <w:lang w:val="es-PE"/>
        </w:rPr>
        <w:t xml:space="preserve"> Organización de las Naciones Unidas para la Educación, la Ciencia y la Cultura (UNESCO). Programa Internacional para el Desarrollo de la Comunicación. Plan de Acción de las Naciones Unidas sobre la Seguridad de los Periodistas y la Cuestón de la Impunidad. Punto 1.6. Disponible en: </w:t>
      </w:r>
      <w:hyperlink r:id="rId12" w:history="1">
        <w:r w:rsidRPr="000D7953">
          <w:rPr>
            <w:rStyle w:val="Hyperlink"/>
            <w:rFonts w:ascii="Cambria" w:hAnsi="Cambria"/>
            <w:sz w:val="16"/>
            <w:szCs w:val="16"/>
            <w:lang w:val="es-PE"/>
          </w:rPr>
          <w:t>https://en.unesco.org/sites/default/files/un-plan-on-safety-journalists_es.pdf</w:t>
        </w:r>
      </w:hyperlink>
      <w:r w:rsidRPr="000D7953">
        <w:rPr>
          <w:rFonts w:ascii="Cambria" w:hAnsi="Cambria"/>
          <w:sz w:val="16"/>
          <w:szCs w:val="16"/>
          <w:lang w:val="es-PE"/>
        </w:rPr>
        <w:t xml:space="preserve">, y </w:t>
      </w:r>
      <w:hyperlink r:id="rId13" w:history="1">
        <w:r w:rsidRPr="000D7953">
          <w:rPr>
            <w:rStyle w:val="Hyperlink"/>
            <w:rFonts w:ascii="Cambria" w:hAnsi="Cambria"/>
            <w:sz w:val="16"/>
            <w:szCs w:val="16"/>
            <w:lang w:val="es-PE"/>
          </w:rPr>
          <w:t>https://en.unesco.org/un-plan-action-safety-journalists</w:t>
        </w:r>
      </w:hyperlink>
      <w:r w:rsidRPr="000D7953">
        <w:rPr>
          <w:rFonts w:ascii="Cambria" w:hAnsi="Cambria"/>
          <w:sz w:val="16"/>
          <w:szCs w:val="16"/>
          <w:lang w:val="es-PE"/>
        </w:rPr>
        <w:t xml:space="preserve"> </w:t>
      </w:r>
    </w:p>
  </w:footnote>
  <w:footnote w:id="138">
    <w:p w14:paraId="6088378A" w14:textId="2958C7E2" w:rsidR="000A5EAC" w:rsidRPr="000D7953" w:rsidRDefault="000A5EAC" w:rsidP="000D7953">
      <w:pPr>
        <w:pStyle w:val="FootnoteText"/>
        <w:tabs>
          <w:tab w:val="left" w:pos="1800"/>
        </w:tabs>
        <w:jc w:val="both"/>
        <w:rPr>
          <w:rFonts w:ascii="Cambria" w:hAnsi="Cambria"/>
          <w:sz w:val="16"/>
          <w:szCs w:val="16"/>
          <w:lang w:val="es-PE"/>
        </w:rPr>
      </w:pPr>
      <w:r w:rsidRPr="000D7953">
        <w:rPr>
          <w:rStyle w:val="FootnoteReference"/>
          <w:rFonts w:ascii="Cambria" w:hAnsi="Cambria"/>
          <w:sz w:val="16"/>
          <w:szCs w:val="16"/>
        </w:rPr>
        <w:footnoteRef/>
      </w:r>
      <w:r w:rsidRPr="000D7953">
        <w:rPr>
          <w:rFonts w:ascii="Cambria" w:hAnsi="Cambria"/>
          <w:sz w:val="16"/>
          <w:szCs w:val="16"/>
          <w:lang w:val="es-PE"/>
        </w:rPr>
        <w:t xml:space="preserve"> La Comisión no cuenta con el expediente de solicitud de extradición. Esta información es proporcionada por el Estado en la resolución judicial de archivo del expediente.</w:t>
      </w:r>
    </w:p>
  </w:footnote>
  <w:footnote w:id="139">
    <w:p w14:paraId="1C25FDB9" w14:textId="10ECAF27" w:rsidR="000A5EAC" w:rsidRPr="000D7953" w:rsidRDefault="000A5EAC" w:rsidP="000D7953">
      <w:pPr>
        <w:pStyle w:val="FootnoteText"/>
        <w:tabs>
          <w:tab w:val="left" w:pos="1800"/>
        </w:tabs>
        <w:jc w:val="both"/>
        <w:rPr>
          <w:rFonts w:ascii="Cambria" w:hAnsi="Cambria"/>
          <w:sz w:val="16"/>
          <w:szCs w:val="16"/>
          <w:lang w:val="es-CO"/>
        </w:rPr>
      </w:pPr>
      <w:r w:rsidRPr="000D7953">
        <w:rPr>
          <w:rStyle w:val="FootnoteReference"/>
          <w:rFonts w:ascii="Cambria" w:hAnsi="Cambria"/>
          <w:sz w:val="16"/>
          <w:szCs w:val="16"/>
        </w:rPr>
        <w:footnoteRef/>
      </w:r>
      <w:r w:rsidRPr="000D7953">
        <w:rPr>
          <w:rFonts w:ascii="Cambria" w:hAnsi="Cambria"/>
          <w:sz w:val="16"/>
          <w:szCs w:val="16"/>
          <w:lang w:val="es-CO"/>
        </w:rPr>
        <w:t xml:space="preserve"> El artículo 5.1 de la Convención establece que “[t]oda persona tiene derecho a que se respete su integridad física, psíquica y moral”.</w:t>
      </w:r>
    </w:p>
  </w:footnote>
  <w:footnote w:id="140">
    <w:p w14:paraId="585B5E71" w14:textId="63081D5E" w:rsidR="000A5EAC" w:rsidRPr="000D7953" w:rsidRDefault="000A5EAC" w:rsidP="000D7953">
      <w:pPr>
        <w:pStyle w:val="FootnoteText"/>
        <w:tabs>
          <w:tab w:val="left" w:pos="1800"/>
        </w:tabs>
        <w:jc w:val="both"/>
        <w:rPr>
          <w:rFonts w:ascii="Cambria" w:hAnsi="Cambria"/>
          <w:sz w:val="16"/>
          <w:szCs w:val="16"/>
          <w:lang w:val="es-CO"/>
        </w:rPr>
      </w:pPr>
      <w:r w:rsidRPr="000D7953">
        <w:rPr>
          <w:rStyle w:val="FootnoteReference"/>
          <w:rFonts w:ascii="Cambria" w:hAnsi="Cambria"/>
          <w:sz w:val="16"/>
          <w:szCs w:val="16"/>
          <w:lang w:eastAsia="x-none"/>
        </w:rPr>
        <w:footnoteRef/>
      </w:r>
      <w:r w:rsidRPr="000D7953">
        <w:rPr>
          <w:rFonts w:ascii="Cambria" w:hAnsi="Cambria"/>
          <w:sz w:val="16"/>
          <w:szCs w:val="16"/>
          <w:lang w:val="es-CO" w:eastAsia="x-none"/>
        </w:rPr>
        <w:t xml:space="preserve"> Corte IDH. </w:t>
      </w:r>
      <w:r w:rsidRPr="000D7953">
        <w:rPr>
          <w:rFonts w:ascii="Cambria" w:hAnsi="Cambria"/>
          <w:i/>
          <w:sz w:val="16"/>
          <w:szCs w:val="16"/>
          <w:lang w:val="es-CO" w:eastAsia="x-none"/>
        </w:rPr>
        <w:t>Caso Cantoral Huamaní y García Santa Cruz Vs. Perú</w:t>
      </w:r>
      <w:r w:rsidRPr="000D7953">
        <w:rPr>
          <w:rFonts w:ascii="Cambria" w:hAnsi="Cambria"/>
          <w:sz w:val="16"/>
          <w:szCs w:val="16"/>
          <w:lang w:val="es-CO" w:eastAsia="x-none"/>
        </w:rPr>
        <w:t xml:space="preserve">. Excepción Preliminar, Fondo, Reparaciones y Costas. Sentencia de 10 de julio de 2007. Serie C No. 167. Párr. 112, y </w:t>
      </w:r>
      <w:r w:rsidRPr="000D7953">
        <w:rPr>
          <w:rFonts w:ascii="Cambria" w:hAnsi="Cambria"/>
          <w:i/>
          <w:sz w:val="16"/>
          <w:szCs w:val="16"/>
          <w:lang w:val="es-CO" w:eastAsia="x-none"/>
        </w:rPr>
        <w:t>Caso Bueno Alves Vs. Argentina</w:t>
      </w:r>
      <w:r w:rsidRPr="000D7953">
        <w:rPr>
          <w:rFonts w:ascii="Cambria" w:hAnsi="Cambria"/>
          <w:sz w:val="16"/>
          <w:szCs w:val="16"/>
          <w:lang w:val="es-CO" w:eastAsia="x-none"/>
        </w:rPr>
        <w:t>. Sentencia de 11 de mayo de 2007. Serie C. No. 164. Párr. 102.</w:t>
      </w:r>
    </w:p>
  </w:footnote>
  <w:footnote w:id="141">
    <w:p w14:paraId="44430691" w14:textId="4663A6E6" w:rsidR="000A5EAC" w:rsidRPr="000D7953" w:rsidRDefault="000A5EAC" w:rsidP="000D7953">
      <w:pPr>
        <w:pStyle w:val="FootnoteText"/>
        <w:tabs>
          <w:tab w:val="left" w:pos="1800"/>
        </w:tabs>
        <w:jc w:val="both"/>
        <w:rPr>
          <w:rFonts w:ascii="Cambria" w:hAnsi="Cambria"/>
          <w:sz w:val="16"/>
          <w:szCs w:val="16"/>
          <w:lang w:val="es-CO"/>
        </w:rPr>
      </w:pPr>
      <w:r w:rsidRPr="000D7953">
        <w:rPr>
          <w:rStyle w:val="FootnoteReference"/>
          <w:rFonts w:ascii="Cambria" w:hAnsi="Cambria"/>
          <w:sz w:val="16"/>
          <w:szCs w:val="16"/>
          <w:lang w:eastAsia="x-none"/>
        </w:rPr>
        <w:footnoteRef/>
      </w:r>
      <w:r w:rsidRPr="000D7953">
        <w:rPr>
          <w:rFonts w:ascii="Cambria" w:hAnsi="Cambria"/>
          <w:sz w:val="16"/>
          <w:szCs w:val="16"/>
          <w:lang w:val="es-CO" w:eastAsia="x-none"/>
        </w:rPr>
        <w:t xml:space="preserve"> Corte IDH. </w:t>
      </w:r>
      <w:r w:rsidRPr="000D7953">
        <w:rPr>
          <w:rFonts w:ascii="Cambria" w:hAnsi="Cambria"/>
          <w:i/>
          <w:sz w:val="16"/>
          <w:szCs w:val="16"/>
          <w:lang w:val="es-CO" w:eastAsia="x-none"/>
        </w:rPr>
        <w:t>Caso Cantoral Huamaní y García Santa Cruz Vs. Perú</w:t>
      </w:r>
      <w:r w:rsidRPr="000D7953">
        <w:rPr>
          <w:rFonts w:ascii="Cambria" w:hAnsi="Cambria"/>
          <w:sz w:val="16"/>
          <w:szCs w:val="16"/>
          <w:lang w:val="es-CO" w:eastAsia="x-none"/>
        </w:rPr>
        <w:t xml:space="preserve">. Excepción Preliminar, Fondo, Reparaciones y Costas. Sentencia de 10 de julio de 2007. Serie C No. 167. Párr. 112, y </w:t>
      </w:r>
      <w:r w:rsidRPr="000D7953">
        <w:rPr>
          <w:rFonts w:ascii="Cambria" w:hAnsi="Cambria"/>
          <w:i/>
          <w:iCs/>
          <w:sz w:val="16"/>
          <w:szCs w:val="16"/>
          <w:lang w:val="es-PE"/>
        </w:rPr>
        <w:t>Caso Valencia Hinojosa y otra Vs. Ecuador.</w:t>
      </w:r>
      <w:r w:rsidRPr="000D7953">
        <w:rPr>
          <w:rFonts w:ascii="Cambria" w:hAnsi="Cambria"/>
          <w:sz w:val="16"/>
          <w:szCs w:val="16"/>
          <w:lang w:val="es-PE"/>
        </w:rPr>
        <w:t xml:space="preserve"> Excepciones Preliminares, Fondo, Reparaciones y Costas. Sentencia de 29 de noviembre de 2016. Serie C No. 327. Párr. 142.</w:t>
      </w:r>
    </w:p>
  </w:footnote>
  <w:footnote w:id="142">
    <w:p w14:paraId="2EA7D90D" w14:textId="1C64B349" w:rsidR="000A5EAC" w:rsidRPr="000D7953" w:rsidRDefault="000A5EAC" w:rsidP="000D7953">
      <w:pPr>
        <w:pStyle w:val="FootnoteText"/>
        <w:tabs>
          <w:tab w:val="left" w:pos="1800"/>
        </w:tabs>
        <w:jc w:val="both"/>
        <w:rPr>
          <w:rFonts w:ascii="Cambria" w:hAnsi="Cambria"/>
          <w:sz w:val="16"/>
          <w:szCs w:val="16"/>
          <w:lang w:val="es-ES_tradnl"/>
        </w:rPr>
      </w:pPr>
      <w:r w:rsidRPr="000D7953">
        <w:rPr>
          <w:rStyle w:val="FootnoteReference"/>
          <w:rFonts w:ascii="Cambria" w:hAnsi="Cambria"/>
          <w:sz w:val="16"/>
          <w:szCs w:val="16"/>
        </w:rPr>
        <w:footnoteRef/>
      </w:r>
      <w:r w:rsidRPr="000D7953">
        <w:rPr>
          <w:rFonts w:ascii="Cambria" w:hAnsi="Cambria"/>
          <w:sz w:val="16"/>
          <w:szCs w:val="16"/>
          <w:lang w:val="es-US"/>
        </w:rPr>
        <w:t xml:space="preserve"> </w:t>
      </w:r>
      <w:r w:rsidRPr="000D7953">
        <w:rPr>
          <w:rFonts w:ascii="Cambria" w:hAnsi="Cambria"/>
          <w:noProof/>
          <w:sz w:val="16"/>
          <w:szCs w:val="16"/>
          <w:lang w:val="es-US"/>
        </w:rPr>
        <w:t xml:space="preserve">Corte IDH. </w:t>
      </w:r>
      <w:r w:rsidRPr="000D7953">
        <w:rPr>
          <w:rFonts w:ascii="Cambria" w:hAnsi="Cambria"/>
          <w:i/>
          <w:sz w:val="16"/>
          <w:szCs w:val="16"/>
          <w:lang w:val="es-US"/>
        </w:rPr>
        <w:t>Caso Valle Jaramillo y otros Vs. Colombia</w:t>
      </w:r>
      <w:r w:rsidRPr="000D7953">
        <w:rPr>
          <w:rFonts w:ascii="Cambria" w:hAnsi="Cambria"/>
          <w:sz w:val="16"/>
          <w:szCs w:val="16"/>
          <w:lang w:val="es-US"/>
        </w:rPr>
        <w:t>. Fondo, Reparaciones y Costas. Sentencia de 27 de noviembre de 2008. Serie C No. 192. P</w:t>
      </w:r>
      <w:r w:rsidRPr="000D7953">
        <w:rPr>
          <w:rFonts w:ascii="Cambria" w:hAnsi="Cambria"/>
          <w:noProof/>
          <w:sz w:val="16"/>
          <w:szCs w:val="16"/>
          <w:lang w:val="es-ES"/>
        </w:rPr>
        <w:t>árr.</w:t>
      </w:r>
      <w:r w:rsidRPr="000D7953">
        <w:rPr>
          <w:rFonts w:ascii="Cambria" w:hAnsi="Cambria"/>
          <w:sz w:val="16"/>
          <w:szCs w:val="16"/>
          <w:lang w:val="es-ES_tradnl"/>
        </w:rPr>
        <w:t xml:space="preserve"> 102.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1492" w14:textId="77777777" w:rsidR="000A5EAC" w:rsidRDefault="000A5EAC" w:rsidP="0043034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E9CF13E" w14:textId="77777777" w:rsidR="000A5EAC" w:rsidRDefault="000A5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8070" w14:textId="77777777" w:rsidR="000A5EAC" w:rsidRDefault="000A5EAC" w:rsidP="00430348">
    <w:pPr>
      <w:pStyle w:val="Header"/>
      <w:tabs>
        <w:tab w:val="clear" w:pos="4320"/>
        <w:tab w:val="clear" w:pos="8640"/>
      </w:tabs>
      <w:jc w:val="center"/>
      <w:rPr>
        <w:sz w:val="22"/>
        <w:szCs w:val="22"/>
      </w:rPr>
    </w:pPr>
    <w:r>
      <w:rPr>
        <w:noProof/>
        <w:sz w:val="22"/>
        <w:szCs w:val="22"/>
      </w:rPr>
      <w:drawing>
        <wp:inline distT="0" distB="0" distL="0" distR="0" wp14:anchorId="5DE7F305" wp14:editId="2662E959">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D8FF916" w14:textId="77777777" w:rsidR="000A5EAC" w:rsidRPr="00EC7D62" w:rsidRDefault="00511D57" w:rsidP="00430348">
    <w:pPr>
      <w:pStyle w:val="Header"/>
      <w:tabs>
        <w:tab w:val="clear" w:pos="4320"/>
        <w:tab w:val="clear" w:pos="8640"/>
      </w:tabs>
      <w:jc w:val="center"/>
      <w:rPr>
        <w:sz w:val="22"/>
        <w:szCs w:val="22"/>
      </w:rPr>
    </w:pPr>
    <w:r>
      <w:rPr>
        <w:noProof/>
        <w:sz w:val="22"/>
        <w:szCs w:val="22"/>
      </w:rPr>
      <w:pict w14:anchorId="3B9ECFB4">
        <v:rect id="_x0000_i1025" alt="" style="width:425.2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EA000D"/>
    <w:multiLevelType w:val="hybridMultilevel"/>
    <w:tmpl w:val="7F6CBBBC"/>
    <w:lvl w:ilvl="0" w:tplc="8C844A0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795779"/>
    <w:multiLevelType w:val="singleLevel"/>
    <w:tmpl w:val="15BAE0F8"/>
    <w:lvl w:ilvl="0">
      <w:start w:val="1"/>
      <w:numFmt w:val="decimal"/>
      <w:lvlText w:val="%1."/>
      <w:lvlJc w:val="left"/>
      <w:pPr>
        <w:tabs>
          <w:tab w:val="num" w:pos="720"/>
        </w:tabs>
        <w:ind w:left="0" w:firstLine="720"/>
      </w:pPr>
      <w:rPr>
        <w:rFonts w:hint="default"/>
        <w:b w:val="0"/>
        <w:i w:val="0"/>
        <w:sz w:val="20"/>
        <w:szCs w:val="20"/>
        <w:lang w:val="es-ES"/>
      </w:rPr>
    </w:lvl>
  </w:abstractNum>
  <w:abstractNum w:abstractNumId="24" w15:restartNumberingAfterBreak="0">
    <w:nsid w:val="38392973"/>
    <w:multiLevelType w:val="hybridMultilevel"/>
    <w:tmpl w:val="2FF4FC0A"/>
    <w:lvl w:ilvl="0" w:tplc="82602046">
      <w:start w:val="1"/>
      <w:numFmt w:val="decimal"/>
      <w:lvlText w:val="%1."/>
      <w:lvlJc w:val="left"/>
      <w:pPr>
        <w:tabs>
          <w:tab w:val="num" w:pos="1260"/>
        </w:tabs>
        <w:ind w:left="1260" w:hanging="360"/>
      </w:pPr>
      <w:rPr>
        <w:b w:val="0"/>
      </w:rPr>
    </w:lvl>
    <w:lvl w:ilvl="1" w:tplc="5B509156">
      <w:start w:val="2"/>
      <w:numFmt w:val="bullet"/>
      <w:lvlText w:val="-"/>
      <w:lvlJc w:val="left"/>
      <w:pPr>
        <w:tabs>
          <w:tab w:val="num" w:pos="1440"/>
        </w:tabs>
        <w:ind w:left="1440" w:hanging="360"/>
      </w:pPr>
      <w:rPr>
        <w:rFonts w:ascii="Calibri" w:eastAsia="Times New Roman" w:hAnsi="Calibri" w:cs="Arial" w:hint="default"/>
      </w:rPr>
    </w:lvl>
    <w:lvl w:ilvl="2" w:tplc="B374DD64">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5195813"/>
    <w:multiLevelType w:val="hybridMultilevel"/>
    <w:tmpl w:val="E00CCBDA"/>
    <w:lvl w:ilvl="0" w:tplc="EA4604FE">
      <w:start w:val="1"/>
      <w:numFmt w:val="decimal"/>
      <w:lvlText w:val="%1."/>
      <w:lvlJc w:val="left"/>
      <w:pPr>
        <w:ind w:left="117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D50E99"/>
    <w:multiLevelType w:val="multilevel"/>
    <w:tmpl w:val="09EC1734"/>
    <w:lvl w:ilvl="0">
      <w:start w:val="1"/>
      <w:numFmt w:val="decimal"/>
      <w:pStyle w:val="Heading3"/>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59542BA5"/>
    <w:multiLevelType w:val="hybridMultilevel"/>
    <w:tmpl w:val="22E4DB82"/>
    <w:lvl w:ilvl="0" w:tplc="B576EF06">
      <w:start w:val="1"/>
      <w:numFmt w:val="decimal"/>
      <w:pStyle w:val="PrrafodeSentencia"/>
      <w:lvlText w:val="%1."/>
      <w:lvlJc w:val="left"/>
      <w:pPr>
        <w:ind w:left="1710" w:hanging="360"/>
      </w:pPr>
      <w:rPr>
        <w:rFonts w:ascii="Verdana" w:hAnsi="Verdana" w:hint="default"/>
        <w:b w:val="0"/>
        <w:i w:val="0"/>
        <w:strike w:val="0"/>
        <w:dstrike w:val="0"/>
        <w:color w:val="auto"/>
        <w:sz w:val="20"/>
        <w:szCs w:val="20"/>
        <w:u w:val="none"/>
        <w:effect w:val="none"/>
        <w:vertAlign w:val="baseline"/>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D7D4B9D"/>
    <w:multiLevelType w:val="hybridMultilevel"/>
    <w:tmpl w:val="6592F3EC"/>
    <w:lvl w:ilvl="0" w:tplc="2AA69C44">
      <w:start w:val="1"/>
      <w:numFmt w:val="decimal"/>
      <w:lvlText w:val="%1."/>
      <w:lvlJc w:val="left"/>
      <w:pPr>
        <w:ind w:left="360" w:hanging="360"/>
      </w:pPr>
      <w:rPr>
        <w:rFonts w:ascii="Cambria" w:hAnsi="Cambria" w:hint="default"/>
        <w:b w:val="0"/>
        <w:i w:val="0"/>
        <w:strike w:val="0"/>
        <w:color w:val="auto"/>
        <w:sz w:val="20"/>
        <w:szCs w:val="20"/>
        <w:lang w:val="es-C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38E7BBF"/>
    <w:multiLevelType w:val="hybridMultilevel"/>
    <w:tmpl w:val="C9BCA5A0"/>
    <w:lvl w:ilvl="0" w:tplc="D7709152">
      <w:start w:val="1"/>
      <w:numFmt w:val="decimal"/>
      <w:lvlText w:val="%1."/>
      <w:lvlJc w:val="left"/>
      <w:pPr>
        <w:tabs>
          <w:tab w:val="num" w:pos="1080"/>
        </w:tabs>
        <w:ind w:left="1080" w:hanging="720"/>
      </w:pPr>
      <w:rPr>
        <w:rFonts w:hint="default"/>
        <w:b w:val="0"/>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842327A"/>
    <w:lvl w:ilvl="0" w:tplc="E9DC5756">
      <w:start w:val="1"/>
      <w:numFmt w:val="upperRoman"/>
      <w:pStyle w:val="Heading1"/>
      <w:lvlText w:val="%1."/>
      <w:lvlJc w:val="left"/>
      <w:pPr>
        <w:ind w:left="720" w:hanging="360"/>
      </w:pPr>
      <w:rPr>
        <w:rFonts w:hint="default"/>
        <w:lang w:val="es-VE"/>
      </w:rPr>
    </w:lvl>
    <w:lvl w:ilvl="1" w:tplc="5D9A6BAE">
      <w:start w:val="4"/>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6A1E81"/>
    <w:multiLevelType w:val="hybridMultilevel"/>
    <w:tmpl w:val="C0704448"/>
    <w:lvl w:ilvl="0" w:tplc="1332A3B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0C2010"/>
    <w:multiLevelType w:val="hybridMultilevel"/>
    <w:tmpl w:val="E0223D7C"/>
    <w:lvl w:ilvl="0" w:tplc="0F9AC49C">
      <w:start w:val="1"/>
      <w:numFmt w:val="decimal"/>
      <w:lvlText w:val="%1."/>
      <w:lvlJc w:val="left"/>
      <w:pPr>
        <w:ind w:left="7740" w:hanging="360"/>
      </w:pPr>
      <w:rPr>
        <w:rFonts w:ascii="Cambria" w:hAnsi="Cambria" w:hint="default"/>
        <w:b w:val="0"/>
        <w:i w:val="0"/>
        <w:sz w:val="20"/>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E64D32"/>
    <w:multiLevelType w:val="hybridMultilevel"/>
    <w:tmpl w:val="1E248EDA"/>
    <w:lvl w:ilvl="0" w:tplc="C55A862A">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es-CR"/>
      </w:rPr>
    </w:lvl>
    <w:lvl w:ilvl="1" w:tplc="C7D25ABE">
      <w:start w:val="1"/>
      <w:numFmt w:val="lowerLetter"/>
      <w:lvlText w:val="%2)"/>
      <w:lvlJc w:val="left"/>
      <w:pPr>
        <w:tabs>
          <w:tab w:val="num" w:pos="1080"/>
        </w:tabs>
        <w:ind w:left="1080" w:hanging="360"/>
      </w:pPr>
      <w:rPr>
        <w:rFonts w:hint="default"/>
        <w:b w:val="0"/>
        <w:bCs w:val="0"/>
        <w:i w:val="0"/>
        <w:iCs w:val="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pStyle w:val="Heading6"/>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4"/>
  </w:num>
  <w:num w:numId="4">
    <w:abstractNumId w:val="19"/>
  </w:num>
  <w:num w:numId="5">
    <w:abstractNumId w:val="47"/>
  </w:num>
  <w:num w:numId="6">
    <w:abstractNumId w:val="26"/>
  </w:num>
  <w:num w:numId="7">
    <w:abstractNumId w:val="6"/>
  </w:num>
  <w:num w:numId="8">
    <w:abstractNumId w:val="16"/>
  </w:num>
  <w:num w:numId="9">
    <w:abstractNumId w:val="39"/>
  </w:num>
  <w:num w:numId="10">
    <w:abstractNumId w:val="0"/>
  </w:num>
  <w:num w:numId="11">
    <w:abstractNumId w:val="35"/>
  </w:num>
  <w:num w:numId="12">
    <w:abstractNumId w:val="36"/>
  </w:num>
  <w:num w:numId="13">
    <w:abstractNumId w:val="43"/>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0"/>
  </w:num>
  <w:num w:numId="28">
    <w:abstractNumId w:val="21"/>
  </w:num>
  <w:num w:numId="29">
    <w:abstractNumId w:val="22"/>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5"/>
  </w:num>
  <w:num w:numId="42">
    <w:abstractNumId w:val="48"/>
  </w:num>
  <w:num w:numId="43">
    <w:abstractNumId w:val="49"/>
  </w:num>
  <w:num w:numId="44">
    <w:abstractNumId w:val="53"/>
  </w:num>
  <w:num w:numId="45">
    <w:abstractNumId w:val="55"/>
  </w:num>
  <w:num w:numId="46">
    <w:abstractNumId w:val="56"/>
  </w:num>
  <w:num w:numId="47">
    <w:abstractNumId w:val="57"/>
  </w:num>
  <w:num w:numId="48">
    <w:abstractNumId w:val="59"/>
  </w:num>
  <w:num w:numId="49">
    <w:abstractNumId w:val="60"/>
  </w:num>
  <w:num w:numId="50">
    <w:abstractNumId w:val="50"/>
  </w:num>
  <w:num w:numId="51">
    <w:abstractNumId w:val="44"/>
  </w:num>
  <w:num w:numId="52">
    <w:abstractNumId w:val="51"/>
  </w:num>
  <w:num w:numId="53">
    <w:abstractNumId w:val="51"/>
    <w:lvlOverride w:ilvl="0">
      <w:startOverride w:val="1"/>
    </w:lvlOverride>
  </w:num>
  <w:num w:numId="54">
    <w:abstractNumId w:val="3"/>
    <w:lvlOverride w:ilvl="0">
      <w:startOverride w:val="1"/>
    </w:lvlOverride>
  </w:num>
  <w:num w:numId="55">
    <w:abstractNumId w:val="41"/>
  </w:num>
  <w:num w:numId="56">
    <w:abstractNumId w:val="41"/>
    <w:lvlOverride w:ilvl="0">
      <w:startOverride w:val="1"/>
    </w:lvlOverride>
  </w:num>
  <w:num w:numId="57">
    <w:abstractNumId w:val="58"/>
  </w:num>
  <w:num w:numId="58">
    <w:abstractNumId w:val="40"/>
  </w:num>
  <w:num w:numId="59">
    <w:abstractNumId w:val="42"/>
  </w:num>
  <w:num w:numId="60">
    <w:abstractNumId w:val="52"/>
  </w:num>
  <w:num w:numId="61">
    <w:abstractNumId w:val="46"/>
  </w:num>
  <w:num w:numId="62">
    <w:abstractNumId w:val="24"/>
  </w:num>
  <w:num w:numId="63">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229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A15"/>
    <w:rsid w:val="000009B1"/>
    <w:rsid w:val="00000A09"/>
    <w:rsid w:val="00000CC2"/>
    <w:rsid w:val="000010B3"/>
    <w:rsid w:val="000012E6"/>
    <w:rsid w:val="00001CC5"/>
    <w:rsid w:val="00001D82"/>
    <w:rsid w:val="00001E9D"/>
    <w:rsid w:val="0000232D"/>
    <w:rsid w:val="000024DE"/>
    <w:rsid w:val="000024F3"/>
    <w:rsid w:val="00002979"/>
    <w:rsid w:val="0000307D"/>
    <w:rsid w:val="00003E53"/>
    <w:rsid w:val="00003F9E"/>
    <w:rsid w:val="000053F2"/>
    <w:rsid w:val="00005B87"/>
    <w:rsid w:val="00007841"/>
    <w:rsid w:val="00007E78"/>
    <w:rsid w:val="00010A63"/>
    <w:rsid w:val="00010B5D"/>
    <w:rsid w:val="000113AE"/>
    <w:rsid w:val="00011C43"/>
    <w:rsid w:val="0001204F"/>
    <w:rsid w:val="0001241C"/>
    <w:rsid w:val="00012B59"/>
    <w:rsid w:val="00012E83"/>
    <w:rsid w:val="00012F6E"/>
    <w:rsid w:val="00012FB6"/>
    <w:rsid w:val="000130D4"/>
    <w:rsid w:val="0001328B"/>
    <w:rsid w:val="00013349"/>
    <w:rsid w:val="00013B83"/>
    <w:rsid w:val="000141DC"/>
    <w:rsid w:val="000142AE"/>
    <w:rsid w:val="000144B0"/>
    <w:rsid w:val="00014889"/>
    <w:rsid w:val="000148B8"/>
    <w:rsid w:val="00014D12"/>
    <w:rsid w:val="00015029"/>
    <w:rsid w:val="00015160"/>
    <w:rsid w:val="00015603"/>
    <w:rsid w:val="000162BA"/>
    <w:rsid w:val="000166B8"/>
    <w:rsid w:val="0001672D"/>
    <w:rsid w:val="00016ABB"/>
    <w:rsid w:val="00016C86"/>
    <w:rsid w:val="00016D2A"/>
    <w:rsid w:val="00016D9E"/>
    <w:rsid w:val="00017406"/>
    <w:rsid w:val="00017914"/>
    <w:rsid w:val="00017D6D"/>
    <w:rsid w:val="00017D85"/>
    <w:rsid w:val="00017DD6"/>
    <w:rsid w:val="0002081F"/>
    <w:rsid w:val="0002135B"/>
    <w:rsid w:val="00021471"/>
    <w:rsid w:val="000217D6"/>
    <w:rsid w:val="000219AE"/>
    <w:rsid w:val="00022056"/>
    <w:rsid w:val="000222F4"/>
    <w:rsid w:val="0002233A"/>
    <w:rsid w:val="000223F6"/>
    <w:rsid w:val="00022AA3"/>
    <w:rsid w:val="00022B16"/>
    <w:rsid w:val="000231A1"/>
    <w:rsid w:val="0002379E"/>
    <w:rsid w:val="00023B59"/>
    <w:rsid w:val="00023BB4"/>
    <w:rsid w:val="00023C14"/>
    <w:rsid w:val="0002403F"/>
    <w:rsid w:val="0002452D"/>
    <w:rsid w:val="00024EA6"/>
    <w:rsid w:val="00025915"/>
    <w:rsid w:val="00025917"/>
    <w:rsid w:val="00025B0F"/>
    <w:rsid w:val="00025BC8"/>
    <w:rsid w:val="000260E9"/>
    <w:rsid w:val="00026A10"/>
    <w:rsid w:val="00026DEE"/>
    <w:rsid w:val="00027A2D"/>
    <w:rsid w:val="00027E00"/>
    <w:rsid w:val="000303EE"/>
    <w:rsid w:val="000306A8"/>
    <w:rsid w:val="00030BFA"/>
    <w:rsid w:val="00030F34"/>
    <w:rsid w:val="00030FE8"/>
    <w:rsid w:val="000312A7"/>
    <w:rsid w:val="0003147A"/>
    <w:rsid w:val="0003152F"/>
    <w:rsid w:val="00031711"/>
    <w:rsid w:val="0003171F"/>
    <w:rsid w:val="00032355"/>
    <w:rsid w:val="00032F38"/>
    <w:rsid w:val="00032F3F"/>
    <w:rsid w:val="000332F7"/>
    <w:rsid w:val="0003332C"/>
    <w:rsid w:val="00033C86"/>
    <w:rsid w:val="00033D01"/>
    <w:rsid w:val="000346EB"/>
    <w:rsid w:val="000348A6"/>
    <w:rsid w:val="00034A5C"/>
    <w:rsid w:val="00034C84"/>
    <w:rsid w:val="0003512F"/>
    <w:rsid w:val="0003573C"/>
    <w:rsid w:val="00036EA7"/>
    <w:rsid w:val="0003703A"/>
    <w:rsid w:val="0003727E"/>
    <w:rsid w:val="000379BE"/>
    <w:rsid w:val="00037C87"/>
    <w:rsid w:val="00037EC1"/>
    <w:rsid w:val="00040277"/>
    <w:rsid w:val="000403AB"/>
    <w:rsid w:val="000403D5"/>
    <w:rsid w:val="000405C4"/>
    <w:rsid w:val="00040BB9"/>
    <w:rsid w:val="0004111F"/>
    <w:rsid w:val="00041286"/>
    <w:rsid w:val="00041547"/>
    <w:rsid w:val="00041AFD"/>
    <w:rsid w:val="00041BDC"/>
    <w:rsid w:val="00041D70"/>
    <w:rsid w:val="00041DC7"/>
    <w:rsid w:val="0004289A"/>
    <w:rsid w:val="0004386B"/>
    <w:rsid w:val="00043997"/>
    <w:rsid w:val="00043C3B"/>
    <w:rsid w:val="000445D8"/>
    <w:rsid w:val="00044648"/>
    <w:rsid w:val="00044691"/>
    <w:rsid w:val="000446EB"/>
    <w:rsid w:val="00044CEC"/>
    <w:rsid w:val="00044D5E"/>
    <w:rsid w:val="00045672"/>
    <w:rsid w:val="00045A2B"/>
    <w:rsid w:val="00045B6C"/>
    <w:rsid w:val="000464BD"/>
    <w:rsid w:val="00046714"/>
    <w:rsid w:val="0004678E"/>
    <w:rsid w:val="000468D7"/>
    <w:rsid w:val="000502BC"/>
    <w:rsid w:val="00050681"/>
    <w:rsid w:val="00050A3A"/>
    <w:rsid w:val="0005101E"/>
    <w:rsid w:val="00051300"/>
    <w:rsid w:val="00051A15"/>
    <w:rsid w:val="00051AFC"/>
    <w:rsid w:val="00051E6F"/>
    <w:rsid w:val="0005258E"/>
    <w:rsid w:val="000528DB"/>
    <w:rsid w:val="000528E2"/>
    <w:rsid w:val="00052C00"/>
    <w:rsid w:val="00052D1E"/>
    <w:rsid w:val="000534FE"/>
    <w:rsid w:val="0005367E"/>
    <w:rsid w:val="00053717"/>
    <w:rsid w:val="00054511"/>
    <w:rsid w:val="00054D9F"/>
    <w:rsid w:val="0005551A"/>
    <w:rsid w:val="00055573"/>
    <w:rsid w:val="00055963"/>
    <w:rsid w:val="00055CA8"/>
    <w:rsid w:val="00055DB2"/>
    <w:rsid w:val="000561E3"/>
    <w:rsid w:val="00056A77"/>
    <w:rsid w:val="00057709"/>
    <w:rsid w:val="000602B3"/>
    <w:rsid w:val="00060E0D"/>
    <w:rsid w:val="00060F6A"/>
    <w:rsid w:val="000622F0"/>
    <w:rsid w:val="000629E4"/>
    <w:rsid w:val="00062B4C"/>
    <w:rsid w:val="00062C4F"/>
    <w:rsid w:val="00062D3F"/>
    <w:rsid w:val="00062E07"/>
    <w:rsid w:val="00062E8A"/>
    <w:rsid w:val="00063642"/>
    <w:rsid w:val="00063738"/>
    <w:rsid w:val="000645B3"/>
    <w:rsid w:val="00064968"/>
    <w:rsid w:val="00064A01"/>
    <w:rsid w:val="00064CCB"/>
    <w:rsid w:val="000658EF"/>
    <w:rsid w:val="00065D17"/>
    <w:rsid w:val="00065E2C"/>
    <w:rsid w:val="00065E4A"/>
    <w:rsid w:val="00066471"/>
    <w:rsid w:val="000665C4"/>
    <w:rsid w:val="00066C93"/>
    <w:rsid w:val="0006708D"/>
    <w:rsid w:val="000677CF"/>
    <w:rsid w:val="000678C9"/>
    <w:rsid w:val="000678DD"/>
    <w:rsid w:val="00067C73"/>
    <w:rsid w:val="00067DC3"/>
    <w:rsid w:val="000700F5"/>
    <w:rsid w:val="00070474"/>
    <w:rsid w:val="00070737"/>
    <w:rsid w:val="00070807"/>
    <w:rsid w:val="0007095D"/>
    <w:rsid w:val="00070ABC"/>
    <w:rsid w:val="00070CFA"/>
    <w:rsid w:val="00071078"/>
    <w:rsid w:val="00071346"/>
    <w:rsid w:val="00071B38"/>
    <w:rsid w:val="000722AD"/>
    <w:rsid w:val="0007269B"/>
    <w:rsid w:val="00072A44"/>
    <w:rsid w:val="000738B7"/>
    <w:rsid w:val="00073B44"/>
    <w:rsid w:val="00073B60"/>
    <w:rsid w:val="00073CEA"/>
    <w:rsid w:val="000742AC"/>
    <w:rsid w:val="00074517"/>
    <w:rsid w:val="00074748"/>
    <w:rsid w:val="00074F54"/>
    <w:rsid w:val="000750D5"/>
    <w:rsid w:val="00075CC1"/>
    <w:rsid w:val="00075CE4"/>
    <w:rsid w:val="00075EBE"/>
    <w:rsid w:val="000766FC"/>
    <w:rsid w:val="00076930"/>
    <w:rsid w:val="00076CB5"/>
    <w:rsid w:val="000774D5"/>
    <w:rsid w:val="00077517"/>
    <w:rsid w:val="000776D1"/>
    <w:rsid w:val="00077BBE"/>
    <w:rsid w:val="0008007F"/>
    <w:rsid w:val="000800B3"/>
    <w:rsid w:val="0008037D"/>
    <w:rsid w:val="000808AB"/>
    <w:rsid w:val="00082221"/>
    <w:rsid w:val="0008246A"/>
    <w:rsid w:val="00082574"/>
    <w:rsid w:val="0008285D"/>
    <w:rsid w:val="00083704"/>
    <w:rsid w:val="00083994"/>
    <w:rsid w:val="00083A4B"/>
    <w:rsid w:val="0008400F"/>
    <w:rsid w:val="00084245"/>
    <w:rsid w:val="000846E9"/>
    <w:rsid w:val="0008595B"/>
    <w:rsid w:val="00085AC0"/>
    <w:rsid w:val="00085C63"/>
    <w:rsid w:val="00085D0C"/>
    <w:rsid w:val="00085FAD"/>
    <w:rsid w:val="000862BE"/>
    <w:rsid w:val="00086511"/>
    <w:rsid w:val="00086D6B"/>
    <w:rsid w:val="000904DE"/>
    <w:rsid w:val="000909BA"/>
    <w:rsid w:val="000909F3"/>
    <w:rsid w:val="00090BFB"/>
    <w:rsid w:val="00090E71"/>
    <w:rsid w:val="0009137A"/>
    <w:rsid w:val="00091479"/>
    <w:rsid w:val="00092171"/>
    <w:rsid w:val="000922FF"/>
    <w:rsid w:val="00092543"/>
    <w:rsid w:val="00093372"/>
    <w:rsid w:val="00093C1A"/>
    <w:rsid w:val="00093F48"/>
    <w:rsid w:val="0009455F"/>
    <w:rsid w:val="000947BD"/>
    <w:rsid w:val="0009488C"/>
    <w:rsid w:val="00094EAF"/>
    <w:rsid w:val="00095D8E"/>
    <w:rsid w:val="00096104"/>
    <w:rsid w:val="00096255"/>
    <w:rsid w:val="000965DD"/>
    <w:rsid w:val="000965F4"/>
    <w:rsid w:val="00097288"/>
    <w:rsid w:val="00097BA8"/>
    <w:rsid w:val="00097F1C"/>
    <w:rsid w:val="000A0564"/>
    <w:rsid w:val="000A066B"/>
    <w:rsid w:val="000A0BC1"/>
    <w:rsid w:val="000A123D"/>
    <w:rsid w:val="000A20D1"/>
    <w:rsid w:val="000A2453"/>
    <w:rsid w:val="000A2B16"/>
    <w:rsid w:val="000A3440"/>
    <w:rsid w:val="000A34EE"/>
    <w:rsid w:val="000A388F"/>
    <w:rsid w:val="000A3A4D"/>
    <w:rsid w:val="000A4648"/>
    <w:rsid w:val="000A52D9"/>
    <w:rsid w:val="000A5DFE"/>
    <w:rsid w:val="000A5EAC"/>
    <w:rsid w:val="000A6127"/>
    <w:rsid w:val="000A643D"/>
    <w:rsid w:val="000A64C2"/>
    <w:rsid w:val="000A6859"/>
    <w:rsid w:val="000A6BC6"/>
    <w:rsid w:val="000A6D3D"/>
    <w:rsid w:val="000A6F57"/>
    <w:rsid w:val="000A702B"/>
    <w:rsid w:val="000A7B44"/>
    <w:rsid w:val="000A7D08"/>
    <w:rsid w:val="000A7EFE"/>
    <w:rsid w:val="000B0046"/>
    <w:rsid w:val="000B07F5"/>
    <w:rsid w:val="000B0A18"/>
    <w:rsid w:val="000B0AA0"/>
    <w:rsid w:val="000B1F78"/>
    <w:rsid w:val="000B25CA"/>
    <w:rsid w:val="000B269D"/>
    <w:rsid w:val="000B2F25"/>
    <w:rsid w:val="000B36E8"/>
    <w:rsid w:val="000B3B8D"/>
    <w:rsid w:val="000B3F97"/>
    <w:rsid w:val="000B48D6"/>
    <w:rsid w:val="000B4BAA"/>
    <w:rsid w:val="000B4CDE"/>
    <w:rsid w:val="000B4DC8"/>
    <w:rsid w:val="000B51F5"/>
    <w:rsid w:val="000B5AC0"/>
    <w:rsid w:val="000B5AE8"/>
    <w:rsid w:val="000B5B30"/>
    <w:rsid w:val="000B6018"/>
    <w:rsid w:val="000B6245"/>
    <w:rsid w:val="000B6355"/>
    <w:rsid w:val="000B6632"/>
    <w:rsid w:val="000B6F3C"/>
    <w:rsid w:val="000B726B"/>
    <w:rsid w:val="000B7986"/>
    <w:rsid w:val="000B7DD2"/>
    <w:rsid w:val="000C0308"/>
    <w:rsid w:val="000C034A"/>
    <w:rsid w:val="000C0CC7"/>
    <w:rsid w:val="000C12E7"/>
    <w:rsid w:val="000C1778"/>
    <w:rsid w:val="000C1A92"/>
    <w:rsid w:val="000C1B97"/>
    <w:rsid w:val="000C1CEE"/>
    <w:rsid w:val="000C2444"/>
    <w:rsid w:val="000C2575"/>
    <w:rsid w:val="000C2FF6"/>
    <w:rsid w:val="000C35A7"/>
    <w:rsid w:val="000C3879"/>
    <w:rsid w:val="000C3FC7"/>
    <w:rsid w:val="000C437A"/>
    <w:rsid w:val="000C44C2"/>
    <w:rsid w:val="000C4600"/>
    <w:rsid w:val="000C50A5"/>
    <w:rsid w:val="000C50ED"/>
    <w:rsid w:val="000C572C"/>
    <w:rsid w:val="000C5FFD"/>
    <w:rsid w:val="000C63F5"/>
    <w:rsid w:val="000C67DE"/>
    <w:rsid w:val="000C6F36"/>
    <w:rsid w:val="000C7168"/>
    <w:rsid w:val="000C758F"/>
    <w:rsid w:val="000C7605"/>
    <w:rsid w:val="000C795A"/>
    <w:rsid w:val="000C7C3D"/>
    <w:rsid w:val="000C7EAB"/>
    <w:rsid w:val="000D0673"/>
    <w:rsid w:val="000D0CD1"/>
    <w:rsid w:val="000D0F2E"/>
    <w:rsid w:val="000D1730"/>
    <w:rsid w:val="000D1A61"/>
    <w:rsid w:val="000D232F"/>
    <w:rsid w:val="000D2755"/>
    <w:rsid w:val="000D2940"/>
    <w:rsid w:val="000D2D99"/>
    <w:rsid w:val="000D30B1"/>
    <w:rsid w:val="000D3118"/>
    <w:rsid w:val="000D369F"/>
    <w:rsid w:val="000D3B05"/>
    <w:rsid w:val="000D4274"/>
    <w:rsid w:val="000D43BE"/>
    <w:rsid w:val="000D44DD"/>
    <w:rsid w:val="000D45DD"/>
    <w:rsid w:val="000D46FD"/>
    <w:rsid w:val="000D47AD"/>
    <w:rsid w:val="000D4BA6"/>
    <w:rsid w:val="000D4BF9"/>
    <w:rsid w:val="000D50A2"/>
    <w:rsid w:val="000D5262"/>
    <w:rsid w:val="000D5408"/>
    <w:rsid w:val="000D54BE"/>
    <w:rsid w:val="000D659E"/>
    <w:rsid w:val="000D6FFE"/>
    <w:rsid w:val="000D72D0"/>
    <w:rsid w:val="000D766F"/>
    <w:rsid w:val="000D777F"/>
    <w:rsid w:val="000D7953"/>
    <w:rsid w:val="000D7CF0"/>
    <w:rsid w:val="000D7EC9"/>
    <w:rsid w:val="000E0131"/>
    <w:rsid w:val="000E0243"/>
    <w:rsid w:val="000E0877"/>
    <w:rsid w:val="000E0A78"/>
    <w:rsid w:val="000E0C1C"/>
    <w:rsid w:val="000E1077"/>
    <w:rsid w:val="000E1453"/>
    <w:rsid w:val="000E151F"/>
    <w:rsid w:val="000E1954"/>
    <w:rsid w:val="000E1F32"/>
    <w:rsid w:val="000E209F"/>
    <w:rsid w:val="000E2516"/>
    <w:rsid w:val="000E2E21"/>
    <w:rsid w:val="000E3433"/>
    <w:rsid w:val="000E3A40"/>
    <w:rsid w:val="000E3A6A"/>
    <w:rsid w:val="000E4097"/>
    <w:rsid w:val="000E40FE"/>
    <w:rsid w:val="000E4324"/>
    <w:rsid w:val="000E4434"/>
    <w:rsid w:val="000E4937"/>
    <w:rsid w:val="000E4ACA"/>
    <w:rsid w:val="000E4E66"/>
    <w:rsid w:val="000E53CC"/>
    <w:rsid w:val="000E556A"/>
    <w:rsid w:val="000E5697"/>
    <w:rsid w:val="000E5983"/>
    <w:rsid w:val="000E5AC0"/>
    <w:rsid w:val="000E5ADB"/>
    <w:rsid w:val="000E6026"/>
    <w:rsid w:val="000E6257"/>
    <w:rsid w:val="000E627A"/>
    <w:rsid w:val="000E6A9D"/>
    <w:rsid w:val="000E6ADD"/>
    <w:rsid w:val="000E6E04"/>
    <w:rsid w:val="000E753F"/>
    <w:rsid w:val="000E7965"/>
    <w:rsid w:val="000F039F"/>
    <w:rsid w:val="000F1A1A"/>
    <w:rsid w:val="000F1CCD"/>
    <w:rsid w:val="000F2029"/>
    <w:rsid w:val="000F2267"/>
    <w:rsid w:val="000F2611"/>
    <w:rsid w:val="000F2EAA"/>
    <w:rsid w:val="000F3085"/>
    <w:rsid w:val="000F3CF5"/>
    <w:rsid w:val="000F3E4F"/>
    <w:rsid w:val="000F4369"/>
    <w:rsid w:val="000F4651"/>
    <w:rsid w:val="000F4ACC"/>
    <w:rsid w:val="000F4C6B"/>
    <w:rsid w:val="000F4E4A"/>
    <w:rsid w:val="000F4F4E"/>
    <w:rsid w:val="000F525A"/>
    <w:rsid w:val="000F5649"/>
    <w:rsid w:val="000F56A8"/>
    <w:rsid w:val="000F5CC5"/>
    <w:rsid w:val="000F62D6"/>
    <w:rsid w:val="000F6AC3"/>
    <w:rsid w:val="000F6BD4"/>
    <w:rsid w:val="000F6C18"/>
    <w:rsid w:val="000F6D35"/>
    <w:rsid w:val="000F7218"/>
    <w:rsid w:val="000F7C0B"/>
    <w:rsid w:val="000F7D42"/>
    <w:rsid w:val="000F7F7D"/>
    <w:rsid w:val="00100163"/>
    <w:rsid w:val="0010030B"/>
    <w:rsid w:val="001008A4"/>
    <w:rsid w:val="00100D4B"/>
    <w:rsid w:val="00101E3D"/>
    <w:rsid w:val="0010209C"/>
    <w:rsid w:val="00102122"/>
    <w:rsid w:val="00102288"/>
    <w:rsid w:val="0010280E"/>
    <w:rsid w:val="00102C99"/>
    <w:rsid w:val="00102E4A"/>
    <w:rsid w:val="00103D07"/>
    <w:rsid w:val="00103D8E"/>
    <w:rsid w:val="00103DB0"/>
    <w:rsid w:val="00103EC5"/>
    <w:rsid w:val="001043E5"/>
    <w:rsid w:val="00105111"/>
    <w:rsid w:val="00105409"/>
    <w:rsid w:val="00105490"/>
    <w:rsid w:val="00105550"/>
    <w:rsid w:val="00105BB5"/>
    <w:rsid w:val="0010627C"/>
    <w:rsid w:val="001063BE"/>
    <w:rsid w:val="001064CD"/>
    <w:rsid w:val="00107061"/>
    <w:rsid w:val="00107E37"/>
    <w:rsid w:val="00107E45"/>
    <w:rsid w:val="001106D5"/>
    <w:rsid w:val="0011073B"/>
    <w:rsid w:val="00110BDC"/>
    <w:rsid w:val="00110CDA"/>
    <w:rsid w:val="00110EAB"/>
    <w:rsid w:val="001117C0"/>
    <w:rsid w:val="00111EB9"/>
    <w:rsid w:val="00111F81"/>
    <w:rsid w:val="0011203E"/>
    <w:rsid w:val="001123BE"/>
    <w:rsid w:val="00113043"/>
    <w:rsid w:val="00113114"/>
    <w:rsid w:val="001131F3"/>
    <w:rsid w:val="001133AC"/>
    <w:rsid w:val="00113B31"/>
    <w:rsid w:val="00113D99"/>
    <w:rsid w:val="0011410B"/>
    <w:rsid w:val="0011410C"/>
    <w:rsid w:val="00114C10"/>
    <w:rsid w:val="00114E7F"/>
    <w:rsid w:val="00115C58"/>
    <w:rsid w:val="00115DFD"/>
    <w:rsid w:val="00116266"/>
    <w:rsid w:val="00117E0E"/>
    <w:rsid w:val="00117F8D"/>
    <w:rsid w:val="00117FB3"/>
    <w:rsid w:val="001200FB"/>
    <w:rsid w:val="00120644"/>
    <w:rsid w:val="00120ECF"/>
    <w:rsid w:val="001213AF"/>
    <w:rsid w:val="00121B28"/>
    <w:rsid w:val="0012217B"/>
    <w:rsid w:val="001222C1"/>
    <w:rsid w:val="001228B3"/>
    <w:rsid w:val="00122FCD"/>
    <w:rsid w:val="0012328E"/>
    <w:rsid w:val="00123BCA"/>
    <w:rsid w:val="00123DDD"/>
    <w:rsid w:val="001243E4"/>
    <w:rsid w:val="001245C9"/>
    <w:rsid w:val="0012478B"/>
    <w:rsid w:val="001248F2"/>
    <w:rsid w:val="00124EBC"/>
    <w:rsid w:val="00124F6E"/>
    <w:rsid w:val="001253B4"/>
    <w:rsid w:val="00125D2F"/>
    <w:rsid w:val="00125D4C"/>
    <w:rsid w:val="00125DAD"/>
    <w:rsid w:val="00125F19"/>
    <w:rsid w:val="00126031"/>
    <w:rsid w:val="00126053"/>
    <w:rsid w:val="00126797"/>
    <w:rsid w:val="00126915"/>
    <w:rsid w:val="00126C65"/>
    <w:rsid w:val="00126D53"/>
    <w:rsid w:val="0012710D"/>
    <w:rsid w:val="001271A9"/>
    <w:rsid w:val="001301BA"/>
    <w:rsid w:val="0013051F"/>
    <w:rsid w:val="00130AD5"/>
    <w:rsid w:val="00131031"/>
    <w:rsid w:val="001314FF"/>
    <w:rsid w:val="00131C6D"/>
    <w:rsid w:val="00131E6D"/>
    <w:rsid w:val="00132004"/>
    <w:rsid w:val="00132771"/>
    <w:rsid w:val="00132773"/>
    <w:rsid w:val="00132A6B"/>
    <w:rsid w:val="001337D0"/>
    <w:rsid w:val="00134104"/>
    <w:rsid w:val="001344A3"/>
    <w:rsid w:val="001344D9"/>
    <w:rsid w:val="001345C0"/>
    <w:rsid w:val="00134890"/>
    <w:rsid w:val="0013541A"/>
    <w:rsid w:val="001355C2"/>
    <w:rsid w:val="00135BF8"/>
    <w:rsid w:val="00135F83"/>
    <w:rsid w:val="0013630C"/>
    <w:rsid w:val="0013642E"/>
    <w:rsid w:val="0013646C"/>
    <w:rsid w:val="00136860"/>
    <w:rsid w:val="00136C66"/>
    <w:rsid w:val="00137570"/>
    <w:rsid w:val="00137C28"/>
    <w:rsid w:val="00140A4E"/>
    <w:rsid w:val="00140B7C"/>
    <w:rsid w:val="00141024"/>
    <w:rsid w:val="00141089"/>
    <w:rsid w:val="001416C7"/>
    <w:rsid w:val="001419F4"/>
    <w:rsid w:val="00141A5A"/>
    <w:rsid w:val="0014205D"/>
    <w:rsid w:val="001427B3"/>
    <w:rsid w:val="00142803"/>
    <w:rsid w:val="00142DF1"/>
    <w:rsid w:val="001439DD"/>
    <w:rsid w:val="00143A5A"/>
    <w:rsid w:val="0014450F"/>
    <w:rsid w:val="0014457B"/>
    <w:rsid w:val="0014492F"/>
    <w:rsid w:val="00144BC0"/>
    <w:rsid w:val="00144F68"/>
    <w:rsid w:val="00145699"/>
    <w:rsid w:val="00145ADE"/>
    <w:rsid w:val="00145CB5"/>
    <w:rsid w:val="00145F3A"/>
    <w:rsid w:val="001461B0"/>
    <w:rsid w:val="00146C5D"/>
    <w:rsid w:val="001470ED"/>
    <w:rsid w:val="00147E07"/>
    <w:rsid w:val="001508A7"/>
    <w:rsid w:val="00151204"/>
    <w:rsid w:val="00151386"/>
    <w:rsid w:val="00151564"/>
    <w:rsid w:val="00151EDD"/>
    <w:rsid w:val="001521EA"/>
    <w:rsid w:val="001526D0"/>
    <w:rsid w:val="00152AE5"/>
    <w:rsid w:val="00152C5E"/>
    <w:rsid w:val="00153A58"/>
    <w:rsid w:val="00153C37"/>
    <w:rsid w:val="00153E99"/>
    <w:rsid w:val="001549CF"/>
    <w:rsid w:val="00154B26"/>
    <w:rsid w:val="00154ED3"/>
    <w:rsid w:val="00155302"/>
    <w:rsid w:val="001559B8"/>
    <w:rsid w:val="001560B0"/>
    <w:rsid w:val="001560E5"/>
    <w:rsid w:val="001564CC"/>
    <w:rsid w:val="00156624"/>
    <w:rsid w:val="00157069"/>
    <w:rsid w:val="00157B31"/>
    <w:rsid w:val="0016030A"/>
    <w:rsid w:val="00160552"/>
    <w:rsid w:val="00160E5D"/>
    <w:rsid w:val="00161544"/>
    <w:rsid w:val="001618D2"/>
    <w:rsid w:val="00161BC3"/>
    <w:rsid w:val="00161EE8"/>
    <w:rsid w:val="00162322"/>
    <w:rsid w:val="00162933"/>
    <w:rsid w:val="00162AD4"/>
    <w:rsid w:val="00162FB1"/>
    <w:rsid w:val="001630C6"/>
    <w:rsid w:val="001630CD"/>
    <w:rsid w:val="0016315D"/>
    <w:rsid w:val="00163A33"/>
    <w:rsid w:val="00164218"/>
    <w:rsid w:val="001644C3"/>
    <w:rsid w:val="001645C4"/>
    <w:rsid w:val="001645CA"/>
    <w:rsid w:val="001649AE"/>
    <w:rsid w:val="00165174"/>
    <w:rsid w:val="00166A14"/>
    <w:rsid w:val="00167182"/>
    <w:rsid w:val="0016762C"/>
    <w:rsid w:val="001703EE"/>
    <w:rsid w:val="001706FF"/>
    <w:rsid w:val="00170C97"/>
    <w:rsid w:val="00170DF2"/>
    <w:rsid w:val="0017114C"/>
    <w:rsid w:val="001713EB"/>
    <w:rsid w:val="001716BA"/>
    <w:rsid w:val="00171900"/>
    <w:rsid w:val="0017199C"/>
    <w:rsid w:val="0017199E"/>
    <w:rsid w:val="00171BA6"/>
    <w:rsid w:val="00171E0A"/>
    <w:rsid w:val="00171E73"/>
    <w:rsid w:val="0017208C"/>
    <w:rsid w:val="001721A5"/>
    <w:rsid w:val="0017276F"/>
    <w:rsid w:val="0017300F"/>
    <w:rsid w:val="001734E0"/>
    <w:rsid w:val="001736C0"/>
    <w:rsid w:val="00173CF9"/>
    <w:rsid w:val="00174171"/>
    <w:rsid w:val="00174CA8"/>
    <w:rsid w:val="00175C44"/>
    <w:rsid w:val="00175F24"/>
    <w:rsid w:val="00176469"/>
    <w:rsid w:val="00176900"/>
    <w:rsid w:val="00176B64"/>
    <w:rsid w:val="00177413"/>
    <w:rsid w:val="001776E5"/>
    <w:rsid w:val="00177E6C"/>
    <w:rsid w:val="00177FA7"/>
    <w:rsid w:val="001806C3"/>
    <w:rsid w:val="00180ECF"/>
    <w:rsid w:val="0018119F"/>
    <w:rsid w:val="00181617"/>
    <w:rsid w:val="00181755"/>
    <w:rsid w:val="00181AEA"/>
    <w:rsid w:val="00181B79"/>
    <w:rsid w:val="00182615"/>
    <w:rsid w:val="00182CBC"/>
    <w:rsid w:val="00183032"/>
    <w:rsid w:val="001835A0"/>
    <w:rsid w:val="0018370B"/>
    <w:rsid w:val="00183715"/>
    <w:rsid w:val="00183A12"/>
    <w:rsid w:val="00183B94"/>
    <w:rsid w:val="00183F68"/>
    <w:rsid w:val="00184D2E"/>
    <w:rsid w:val="001855F6"/>
    <w:rsid w:val="00185AB1"/>
    <w:rsid w:val="00185D70"/>
    <w:rsid w:val="00185F48"/>
    <w:rsid w:val="00186061"/>
    <w:rsid w:val="001860EA"/>
    <w:rsid w:val="00187294"/>
    <w:rsid w:val="0018762C"/>
    <w:rsid w:val="0018799E"/>
    <w:rsid w:val="00187B32"/>
    <w:rsid w:val="00187B9E"/>
    <w:rsid w:val="00187C8E"/>
    <w:rsid w:val="00190262"/>
    <w:rsid w:val="00190855"/>
    <w:rsid w:val="00190C02"/>
    <w:rsid w:val="001911AB"/>
    <w:rsid w:val="0019142A"/>
    <w:rsid w:val="001915DC"/>
    <w:rsid w:val="001917A4"/>
    <w:rsid w:val="001917E2"/>
    <w:rsid w:val="00191AF5"/>
    <w:rsid w:val="00191FCF"/>
    <w:rsid w:val="001922D8"/>
    <w:rsid w:val="00192C26"/>
    <w:rsid w:val="001934E8"/>
    <w:rsid w:val="001935BB"/>
    <w:rsid w:val="00193799"/>
    <w:rsid w:val="0019408B"/>
    <w:rsid w:val="001941A8"/>
    <w:rsid w:val="001941FD"/>
    <w:rsid w:val="001945CB"/>
    <w:rsid w:val="00194824"/>
    <w:rsid w:val="0019494F"/>
    <w:rsid w:val="00195108"/>
    <w:rsid w:val="00195E96"/>
    <w:rsid w:val="001962B8"/>
    <w:rsid w:val="001962E4"/>
    <w:rsid w:val="001967D0"/>
    <w:rsid w:val="00196E67"/>
    <w:rsid w:val="00197162"/>
    <w:rsid w:val="001A0717"/>
    <w:rsid w:val="001A09B6"/>
    <w:rsid w:val="001A0EDC"/>
    <w:rsid w:val="001A12A5"/>
    <w:rsid w:val="001A1502"/>
    <w:rsid w:val="001A1569"/>
    <w:rsid w:val="001A172A"/>
    <w:rsid w:val="001A17E7"/>
    <w:rsid w:val="001A187D"/>
    <w:rsid w:val="001A18C1"/>
    <w:rsid w:val="001A1AE4"/>
    <w:rsid w:val="001A1C36"/>
    <w:rsid w:val="001A2051"/>
    <w:rsid w:val="001A20F1"/>
    <w:rsid w:val="001A2154"/>
    <w:rsid w:val="001A233A"/>
    <w:rsid w:val="001A23FA"/>
    <w:rsid w:val="001A2507"/>
    <w:rsid w:val="001A2590"/>
    <w:rsid w:val="001A29AB"/>
    <w:rsid w:val="001A3060"/>
    <w:rsid w:val="001A3646"/>
    <w:rsid w:val="001A3778"/>
    <w:rsid w:val="001A3FA2"/>
    <w:rsid w:val="001A45DB"/>
    <w:rsid w:val="001A4914"/>
    <w:rsid w:val="001A4C4A"/>
    <w:rsid w:val="001A4F7A"/>
    <w:rsid w:val="001A53B8"/>
    <w:rsid w:val="001A55A7"/>
    <w:rsid w:val="001A584A"/>
    <w:rsid w:val="001A5FDB"/>
    <w:rsid w:val="001A602C"/>
    <w:rsid w:val="001A61B4"/>
    <w:rsid w:val="001A61D3"/>
    <w:rsid w:val="001A6B02"/>
    <w:rsid w:val="001A74FA"/>
    <w:rsid w:val="001A765D"/>
    <w:rsid w:val="001A78F0"/>
    <w:rsid w:val="001A7C70"/>
    <w:rsid w:val="001B046C"/>
    <w:rsid w:val="001B087B"/>
    <w:rsid w:val="001B0D6C"/>
    <w:rsid w:val="001B0EE9"/>
    <w:rsid w:val="001B100F"/>
    <w:rsid w:val="001B12CA"/>
    <w:rsid w:val="001B141B"/>
    <w:rsid w:val="001B14D4"/>
    <w:rsid w:val="001B14D6"/>
    <w:rsid w:val="001B167F"/>
    <w:rsid w:val="001B182A"/>
    <w:rsid w:val="001B1832"/>
    <w:rsid w:val="001B18A6"/>
    <w:rsid w:val="001B24A7"/>
    <w:rsid w:val="001B2830"/>
    <w:rsid w:val="001B29F1"/>
    <w:rsid w:val="001B32E7"/>
    <w:rsid w:val="001B339F"/>
    <w:rsid w:val="001B34A9"/>
    <w:rsid w:val="001B36A8"/>
    <w:rsid w:val="001B3A7A"/>
    <w:rsid w:val="001B3B0B"/>
    <w:rsid w:val="001B405E"/>
    <w:rsid w:val="001B40C6"/>
    <w:rsid w:val="001B4403"/>
    <w:rsid w:val="001B4723"/>
    <w:rsid w:val="001B4C95"/>
    <w:rsid w:val="001B4E2E"/>
    <w:rsid w:val="001B5895"/>
    <w:rsid w:val="001B675B"/>
    <w:rsid w:val="001B6B03"/>
    <w:rsid w:val="001B6F4E"/>
    <w:rsid w:val="001B71D3"/>
    <w:rsid w:val="001B744F"/>
    <w:rsid w:val="001B788C"/>
    <w:rsid w:val="001C01D3"/>
    <w:rsid w:val="001C04F3"/>
    <w:rsid w:val="001C0705"/>
    <w:rsid w:val="001C0A6C"/>
    <w:rsid w:val="001C0C26"/>
    <w:rsid w:val="001C1360"/>
    <w:rsid w:val="001C1680"/>
    <w:rsid w:val="001C1DD9"/>
    <w:rsid w:val="001C1FE5"/>
    <w:rsid w:val="001C1FF3"/>
    <w:rsid w:val="001C202E"/>
    <w:rsid w:val="001C25B8"/>
    <w:rsid w:val="001C291D"/>
    <w:rsid w:val="001C2E45"/>
    <w:rsid w:val="001C31E4"/>
    <w:rsid w:val="001C3A89"/>
    <w:rsid w:val="001C3EBD"/>
    <w:rsid w:val="001C3FFF"/>
    <w:rsid w:val="001C4DC8"/>
    <w:rsid w:val="001C57A1"/>
    <w:rsid w:val="001C5835"/>
    <w:rsid w:val="001C58B2"/>
    <w:rsid w:val="001C59A0"/>
    <w:rsid w:val="001C59CF"/>
    <w:rsid w:val="001C62C5"/>
    <w:rsid w:val="001C6533"/>
    <w:rsid w:val="001C654E"/>
    <w:rsid w:val="001C6BA4"/>
    <w:rsid w:val="001C6F4D"/>
    <w:rsid w:val="001C6FC4"/>
    <w:rsid w:val="001C7482"/>
    <w:rsid w:val="001C758C"/>
    <w:rsid w:val="001C7632"/>
    <w:rsid w:val="001C76DA"/>
    <w:rsid w:val="001C7E29"/>
    <w:rsid w:val="001D0846"/>
    <w:rsid w:val="001D085B"/>
    <w:rsid w:val="001D0ECE"/>
    <w:rsid w:val="001D115A"/>
    <w:rsid w:val="001D22DF"/>
    <w:rsid w:val="001D27CD"/>
    <w:rsid w:val="001D3487"/>
    <w:rsid w:val="001D36AC"/>
    <w:rsid w:val="001D3D74"/>
    <w:rsid w:val="001D3ECE"/>
    <w:rsid w:val="001D44D0"/>
    <w:rsid w:val="001D4550"/>
    <w:rsid w:val="001D4A21"/>
    <w:rsid w:val="001D4C5E"/>
    <w:rsid w:val="001D51FC"/>
    <w:rsid w:val="001D5F64"/>
    <w:rsid w:val="001D6161"/>
    <w:rsid w:val="001D6485"/>
    <w:rsid w:val="001D6813"/>
    <w:rsid w:val="001D68F3"/>
    <w:rsid w:val="001D710F"/>
    <w:rsid w:val="001D770D"/>
    <w:rsid w:val="001D78C1"/>
    <w:rsid w:val="001D7926"/>
    <w:rsid w:val="001D7AF6"/>
    <w:rsid w:val="001E0265"/>
    <w:rsid w:val="001E0430"/>
    <w:rsid w:val="001E0EE5"/>
    <w:rsid w:val="001E123D"/>
    <w:rsid w:val="001E15A2"/>
    <w:rsid w:val="001E17C1"/>
    <w:rsid w:val="001E188A"/>
    <w:rsid w:val="001E1B0B"/>
    <w:rsid w:val="001E1F4E"/>
    <w:rsid w:val="001E3078"/>
    <w:rsid w:val="001E352E"/>
    <w:rsid w:val="001E3559"/>
    <w:rsid w:val="001E3A1F"/>
    <w:rsid w:val="001E3D60"/>
    <w:rsid w:val="001E437F"/>
    <w:rsid w:val="001E46BE"/>
    <w:rsid w:val="001E498B"/>
    <w:rsid w:val="001E4A8B"/>
    <w:rsid w:val="001E4C88"/>
    <w:rsid w:val="001E4D8C"/>
    <w:rsid w:val="001E4E5B"/>
    <w:rsid w:val="001E65DF"/>
    <w:rsid w:val="001E689E"/>
    <w:rsid w:val="001E6D70"/>
    <w:rsid w:val="001E6FD6"/>
    <w:rsid w:val="001E708C"/>
    <w:rsid w:val="001E736D"/>
    <w:rsid w:val="001E751A"/>
    <w:rsid w:val="001E7792"/>
    <w:rsid w:val="001E7854"/>
    <w:rsid w:val="001E7AD3"/>
    <w:rsid w:val="001E7B6D"/>
    <w:rsid w:val="001E7F72"/>
    <w:rsid w:val="001F0081"/>
    <w:rsid w:val="001F053F"/>
    <w:rsid w:val="001F094D"/>
    <w:rsid w:val="001F1013"/>
    <w:rsid w:val="001F1244"/>
    <w:rsid w:val="001F1578"/>
    <w:rsid w:val="001F164F"/>
    <w:rsid w:val="001F1800"/>
    <w:rsid w:val="001F18A3"/>
    <w:rsid w:val="001F1E2C"/>
    <w:rsid w:val="001F2AF1"/>
    <w:rsid w:val="001F2D44"/>
    <w:rsid w:val="001F3289"/>
    <w:rsid w:val="001F37E8"/>
    <w:rsid w:val="001F47AE"/>
    <w:rsid w:val="001F47FE"/>
    <w:rsid w:val="001F4C9E"/>
    <w:rsid w:val="001F53D1"/>
    <w:rsid w:val="001F5529"/>
    <w:rsid w:val="001F5B47"/>
    <w:rsid w:val="001F689C"/>
    <w:rsid w:val="001F6BD4"/>
    <w:rsid w:val="001F6C65"/>
    <w:rsid w:val="001F6D98"/>
    <w:rsid w:val="001F72F2"/>
    <w:rsid w:val="001F7302"/>
    <w:rsid w:val="001F753B"/>
    <w:rsid w:val="001F7BF0"/>
    <w:rsid w:val="002001F7"/>
    <w:rsid w:val="0020086B"/>
    <w:rsid w:val="00200ED6"/>
    <w:rsid w:val="0020121F"/>
    <w:rsid w:val="00201A5E"/>
    <w:rsid w:val="00201B45"/>
    <w:rsid w:val="00201F0D"/>
    <w:rsid w:val="00201F5E"/>
    <w:rsid w:val="002024D5"/>
    <w:rsid w:val="002026FF"/>
    <w:rsid w:val="00203167"/>
    <w:rsid w:val="002032D3"/>
    <w:rsid w:val="0020364C"/>
    <w:rsid w:val="0020486C"/>
    <w:rsid w:val="00205638"/>
    <w:rsid w:val="0020582A"/>
    <w:rsid w:val="00205BE0"/>
    <w:rsid w:val="00206601"/>
    <w:rsid w:val="002067AF"/>
    <w:rsid w:val="00206BDC"/>
    <w:rsid w:val="00206F24"/>
    <w:rsid w:val="00207967"/>
    <w:rsid w:val="00207E0A"/>
    <w:rsid w:val="002101EB"/>
    <w:rsid w:val="00210810"/>
    <w:rsid w:val="00211704"/>
    <w:rsid w:val="00211AAD"/>
    <w:rsid w:val="00211D94"/>
    <w:rsid w:val="00211EA5"/>
    <w:rsid w:val="00212544"/>
    <w:rsid w:val="00212AFB"/>
    <w:rsid w:val="00212ECA"/>
    <w:rsid w:val="002137AD"/>
    <w:rsid w:val="00213855"/>
    <w:rsid w:val="00213A95"/>
    <w:rsid w:val="00214097"/>
    <w:rsid w:val="00214B9D"/>
    <w:rsid w:val="00214C40"/>
    <w:rsid w:val="00214DB0"/>
    <w:rsid w:val="00214E2C"/>
    <w:rsid w:val="00215419"/>
    <w:rsid w:val="002158CD"/>
    <w:rsid w:val="00215C55"/>
    <w:rsid w:val="002163EC"/>
    <w:rsid w:val="0021674B"/>
    <w:rsid w:val="0021687B"/>
    <w:rsid w:val="00216A7D"/>
    <w:rsid w:val="00216B73"/>
    <w:rsid w:val="00217220"/>
    <w:rsid w:val="00217221"/>
    <w:rsid w:val="00217797"/>
    <w:rsid w:val="00217FE8"/>
    <w:rsid w:val="00220028"/>
    <w:rsid w:val="00220EAA"/>
    <w:rsid w:val="002212E2"/>
    <w:rsid w:val="00221306"/>
    <w:rsid w:val="00221388"/>
    <w:rsid w:val="002217A5"/>
    <w:rsid w:val="00221A0B"/>
    <w:rsid w:val="00222388"/>
    <w:rsid w:val="002226DE"/>
    <w:rsid w:val="00222775"/>
    <w:rsid w:val="002227F5"/>
    <w:rsid w:val="00222CFC"/>
    <w:rsid w:val="0022303D"/>
    <w:rsid w:val="00223DE9"/>
    <w:rsid w:val="00223EE7"/>
    <w:rsid w:val="00223F92"/>
    <w:rsid w:val="00224294"/>
    <w:rsid w:val="00224629"/>
    <w:rsid w:val="00224998"/>
    <w:rsid w:val="0022542A"/>
    <w:rsid w:val="00225A6F"/>
    <w:rsid w:val="00225C28"/>
    <w:rsid w:val="00226367"/>
    <w:rsid w:val="00226453"/>
    <w:rsid w:val="00226E3B"/>
    <w:rsid w:val="002271F1"/>
    <w:rsid w:val="002278F5"/>
    <w:rsid w:val="00227F37"/>
    <w:rsid w:val="00230401"/>
    <w:rsid w:val="002304BB"/>
    <w:rsid w:val="0023076F"/>
    <w:rsid w:val="0023096B"/>
    <w:rsid w:val="00230A59"/>
    <w:rsid w:val="00231168"/>
    <w:rsid w:val="00231ED3"/>
    <w:rsid w:val="0023208C"/>
    <w:rsid w:val="00232199"/>
    <w:rsid w:val="002321F0"/>
    <w:rsid w:val="002321FE"/>
    <w:rsid w:val="0023271E"/>
    <w:rsid w:val="00232DAD"/>
    <w:rsid w:val="00232F61"/>
    <w:rsid w:val="00233028"/>
    <w:rsid w:val="002331F6"/>
    <w:rsid w:val="0023326F"/>
    <w:rsid w:val="00233856"/>
    <w:rsid w:val="00233B3D"/>
    <w:rsid w:val="00233DC0"/>
    <w:rsid w:val="00234004"/>
    <w:rsid w:val="0023433A"/>
    <w:rsid w:val="002343EF"/>
    <w:rsid w:val="002345EE"/>
    <w:rsid w:val="0023470E"/>
    <w:rsid w:val="0023486C"/>
    <w:rsid w:val="00234DEC"/>
    <w:rsid w:val="00235156"/>
    <w:rsid w:val="00235891"/>
    <w:rsid w:val="00235C0C"/>
    <w:rsid w:val="00235CDD"/>
    <w:rsid w:val="00235F84"/>
    <w:rsid w:val="002369F8"/>
    <w:rsid w:val="00236C0B"/>
    <w:rsid w:val="00236DFA"/>
    <w:rsid w:val="00237243"/>
    <w:rsid w:val="00237263"/>
    <w:rsid w:val="00237827"/>
    <w:rsid w:val="002401C4"/>
    <w:rsid w:val="0024056B"/>
    <w:rsid w:val="00240CA2"/>
    <w:rsid w:val="00240EF7"/>
    <w:rsid w:val="00240F3F"/>
    <w:rsid w:val="002412D1"/>
    <w:rsid w:val="002413ED"/>
    <w:rsid w:val="002414D1"/>
    <w:rsid w:val="00241982"/>
    <w:rsid w:val="00241EA6"/>
    <w:rsid w:val="0024252A"/>
    <w:rsid w:val="002425F2"/>
    <w:rsid w:val="0024264F"/>
    <w:rsid w:val="00242A9A"/>
    <w:rsid w:val="00242BDE"/>
    <w:rsid w:val="00242F2B"/>
    <w:rsid w:val="00242F79"/>
    <w:rsid w:val="00242FC9"/>
    <w:rsid w:val="002432EC"/>
    <w:rsid w:val="002434E7"/>
    <w:rsid w:val="00243588"/>
    <w:rsid w:val="00243D00"/>
    <w:rsid w:val="002452C2"/>
    <w:rsid w:val="00245CAB"/>
    <w:rsid w:val="002460F4"/>
    <w:rsid w:val="00247063"/>
    <w:rsid w:val="0024774E"/>
    <w:rsid w:val="0025017C"/>
    <w:rsid w:val="00250466"/>
    <w:rsid w:val="00250560"/>
    <w:rsid w:val="0025130A"/>
    <w:rsid w:val="002513BE"/>
    <w:rsid w:val="00251A5D"/>
    <w:rsid w:val="00251B5B"/>
    <w:rsid w:val="00251D3C"/>
    <w:rsid w:val="00252042"/>
    <w:rsid w:val="0025210B"/>
    <w:rsid w:val="00252601"/>
    <w:rsid w:val="002529D2"/>
    <w:rsid w:val="00252C31"/>
    <w:rsid w:val="002533BB"/>
    <w:rsid w:val="00253514"/>
    <w:rsid w:val="00253D82"/>
    <w:rsid w:val="00253E91"/>
    <w:rsid w:val="00254071"/>
    <w:rsid w:val="00254A3B"/>
    <w:rsid w:val="00254DE3"/>
    <w:rsid w:val="002551D5"/>
    <w:rsid w:val="00256493"/>
    <w:rsid w:val="002566D0"/>
    <w:rsid w:val="00256795"/>
    <w:rsid w:val="00256D53"/>
    <w:rsid w:val="00256FDC"/>
    <w:rsid w:val="0025719D"/>
    <w:rsid w:val="0025722D"/>
    <w:rsid w:val="00257653"/>
    <w:rsid w:val="00257719"/>
    <w:rsid w:val="00260512"/>
    <w:rsid w:val="00260537"/>
    <w:rsid w:val="00260DFE"/>
    <w:rsid w:val="0026110B"/>
    <w:rsid w:val="00261517"/>
    <w:rsid w:val="00261B12"/>
    <w:rsid w:val="00262345"/>
    <w:rsid w:val="00262665"/>
    <w:rsid w:val="00262BA4"/>
    <w:rsid w:val="0026312E"/>
    <w:rsid w:val="00263897"/>
    <w:rsid w:val="00263B13"/>
    <w:rsid w:val="00263B40"/>
    <w:rsid w:val="00263E68"/>
    <w:rsid w:val="00263F7B"/>
    <w:rsid w:val="0026406D"/>
    <w:rsid w:val="002644CB"/>
    <w:rsid w:val="0026490D"/>
    <w:rsid w:val="00264EDC"/>
    <w:rsid w:val="00265628"/>
    <w:rsid w:val="00265949"/>
    <w:rsid w:val="00265A99"/>
    <w:rsid w:val="00265B2B"/>
    <w:rsid w:val="00265D48"/>
    <w:rsid w:val="00266550"/>
    <w:rsid w:val="0026748D"/>
    <w:rsid w:val="00267649"/>
    <w:rsid w:val="00267BEA"/>
    <w:rsid w:val="00270399"/>
    <w:rsid w:val="0027039F"/>
    <w:rsid w:val="002707B5"/>
    <w:rsid w:val="00270954"/>
    <w:rsid w:val="00270B69"/>
    <w:rsid w:val="00270C0F"/>
    <w:rsid w:val="002710B7"/>
    <w:rsid w:val="0027138C"/>
    <w:rsid w:val="0027159B"/>
    <w:rsid w:val="00271888"/>
    <w:rsid w:val="00271A19"/>
    <w:rsid w:val="00271BB9"/>
    <w:rsid w:val="00271EF6"/>
    <w:rsid w:val="00271FE3"/>
    <w:rsid w:val="002720D1"/>
    <w:rsid w:val="00272234"/>
    <w:rsid w:val="002728FC"/>
    <w:rsid w:val="00272983"/>
    <w:rsid w:val="00273037"/>
    <w:rsid w:val="0027316D"/>
    <w:rsid w:val="00273E50"/>
    <w:rsid w:val="00273F61"/>
    <w:rsid w:val="002748E9"/>
    <w:rsid w:val="00274CF3"/>
    <w:rsid w:val="00275093"/>
    <w:rsid w:val="0027575A"/>
    <w:rsid w:val="00275F67"/>
    <w:rsid w:val="0027611D"/>
    <w:rsid w:val="00276787"/>
    <w:rsid w:val="00276821"/>
    <w:rsid w:val="0027683B"/>
    <w:rsid w:val="00276921"/>
    <w:rsid w:val="00276AF8"/>
    <w:rsid w:val="00277115"/>
    <w:rsid w:val="00277242"/>
    <w:rsid w:val="00277A03"/>
    <w:rsid w:val="0028034B"/>
    <w:rsid w:val="00280437"/>
    <w:rsid w:val="00280A09"/>
    <w:rsid w:val="00280EDF"/>
    <w:rsid w:val="002812FE"/>
    <w:rsid w:val="00281995"/>
    <w:rsid w:val="00281B8D"/>
    <w:rsid w:val="00281DEF"/>
    <w:rsid w:val="00282144"/>
    <w:rsid w:val="002838FF"/>
    <w:rsid w:val="00283901"/>
    <w:rsid w:val="002840F1"/>
    <w:rsid w:val="002843C1"/>
    <w:rsid w:val="0028466F"/>
    <w:rsid w:val="002847D8"/>
    <w:rsid w:val="00284920"/>
    <w:rsid w:val="00284E49"/>
    <w:rsid w:val="0028526B"/>
    <w:rsid w:val="00285A22"/>
    <w:rsid w:val="00286E6F"/>
    <w:rsid w:val="002870E7"/>
    <w:rsid w:val="00287104"/>
    <w:rsid w:val="0028720F"/>
    <w:rsid w:val="0028771D"/>
    <w:rsid w:val="002877AC"/>
    <w:rsid w:val="00290228"/>
    <w:rsid w:val="00290247"/>
    <w:rsid w:val="00290718"/>
    <w:rsid w:val="00290A2B"/>
    <w:rsid w:val="0029106D"/>
    <w:rsid w:val="00291602"/>
    <w:rsid w:val="00291B1D"/>
    <w:rsid w:val="00291E50"/>
    <w:rsid w:val="00291E76"/>
    <w:rsid w:val="0029219C"/>
    <w:rsid w:val="00292721"/>
    <w:rsid w:val="002927F1"/>
    <w:rsid w:val="002928DC"/>
    <w:rsid w:val="00293443"/>
    <w:rsid w:val="00293532"/>
    <w:rsid w:val="00293A02"/>
    <w:rsid w:val="00293B99"/>
    <w:rsid w:val="0029430D"/>
    <w:rsid w:val="0029470E"/>
    <w:rsid w:val="00294887"/>
    <w:rsid w:val="002948AA"/>
    <w:rsid w:val="002955F4"/>
    <w:rsid w:val="00295CFB"/>
    <w:rsid w:val="00296179"/>
    <w:rsid w:val="002962AF"/>
    <w:rsid w:val="0029646A"/>
    <w:rsid w:val="00296553"/>
    <w:rsid w:val="0029690C"/>
    <w:rsid w:val="0029721E"/>
    <w:rsid w:val="0029726D"/>
    <w:rsid w:val="00297347"/>
    <w:rsid w:val="0029761A"/>
    <w:rsid w:val="00297774"/>
    <w:rsid w:val="002977AF"/>
    <w:rsid w:val="0029791D"/>
    <w:rsid w:val="00297ED2"/>
    <w:rsid w:val="002A0584"/>
    <w:rsid w:val="002A0B62"/>
    <w:rsid w:val="002A0C6D"/>
    <w:rsid w:val="002A0F92"/>
    <w:rsid w:val="002A1609"/>
    <w:rsid w:val="002A1F8F"/>
    <w:rsid w:val="002A20D5"/>
    <w:rsid w:val="002A255A"/>
    <w:rsid w:val="002A27BD"/>
    <w:rsid w:val="002A29B8"/>
    <w:rsid w:val="002A2A6B"/>
    <w:rsid w:val="002A3681"/>
    <w:rsid w:val="002A38AB"/>
    <w:rsid w:val="002A478B"/>
    <w:rsid w:val="002A47F8"/>
    <w:rsid w:val="002A4854"/>
    <w:rsid w:val="002A4884"/>
    <w:rsid w:val="002A4A93"/>
    <w:rsid w:val="002A4C5E"/>
    <w:rsid w:val="002A4CE7"/>
    <w:rsid w:val="002A4FCC"/>
    <w:rsid w:val="002A5180"/>
    <w:rsid w:val="002A51C0"/>
    <w:rsid w:val="002A55CA"/>
    <w:rsid w:val="002A595A"/>
    <w:rsid w:val="002A61D3"/>
    <w:rsid w:val="002A62BA"/>
    <w:rsid w:val="002A674D"/>
    <w:rsid w:val="002A69A8"/>
    <w:rsid w:val="002A70C4"/>
    <w:rsid w:val="002A7194"/>
    <w:rsid w:val="002A78A8"/>
    <w:rsid w:val="002A7A40"/>
    <w:rsid w:val="002B04FC"/>
    <w:rsid w:val="002B05CC"/>
    <w:rsid w:val="002B1017"/>
    <w:rsid w:val="002B101D"/>
    <w:rsid w:val="002B1AB3"/>
    <w:rsid w:val="002B1D2F"/>
    <w:rsid w:val="002B27C2"/>
    <w:rsid w:val="002B2866"/>
    <w:rsid w:val="002B2B42"/>
    <w:rsid w:val="002B2E66"/>
    <w:rsid w:val="002B2EC4"/>
    <w:rsid w:val="002B2F97"/>
    <w:rsid w:val="002B34B1"/>
    <w:rsid w:val="002B36A4"/>
    <w:rsid w:val="002B386F"/>
    <w:rsid w:val="002B3A6E"/>
    <w:rsid w:val="002B41C6"/>
    <w:rsid w:val="002B443C"/>
    <w:rsid w:val="002B4891"/>
    <w:rsid w:val="002B4BE9"/>
    <w:rsid w:val="002B4D1C"/>
    <w:rsid w:val="002B4FAA"/>
    <w:rsid w:val="002B57C4"/>
    <w:rsid w:val="002B58BA"/>
    <w:rsid w:val="002B596B"/>
    <w:rsid w:val="002B5CC5"/>
    <w:rsid w:val="002B5FD2"/>
    <w:rsid w:val="002B6246"/>
    <w:rsid w:val="002B65DF"/>
    <w:rsid w:val="002B667F"/>
    <w:rsid w:val="002B68BB"/>
    <w:rsid w:val="002B6B50"/>
    <w:rsid w:val="002B7150"/>
    <w:rsid w:val="002B7E65"/>
    <w:rsid w:val="002B7E6C"/>
    <w:rsid w:val="002C019D"/>
    <w:rsid w:val="002C02DD"/>
    <w:rsid w:val="002C0928"/>
    <w:rsid w:val="002C1014"/>
    <w:rsid w:val="002C1DBB"/>
    <w:rsid w:val="002C1DFA"/>
    <w:rsid w:val="002C1E26"/>
    <w:rsid w:val="002C1E4B"/>
    <w:rsid w:val="002C208C"/>
    <w:rsid w:val="002C254B"/>
    <w:rsid w:val="002C25E2"/>
    <w:rsid w:val="002C28B4"/>
    <w:rsid w:val="002C2CAD"/>
    <w:rsid w:val="002C32DD"/>
    <w:rsid w:val="002C41EC"/>
    <w:rsid w:val="002C45D9"/>
    <w:rsid w:val="002C45FE"/>
    <w:rsid w:val="002C461D"/>
    <w:rsid w:val="002C4798"/>
    <w:rsid w:val="002C4B3E"/>
    <w:rsid w:val="002C4F19"/>
    <w:rsid w:val="002C5362"/>
    <w:rsid w:val="002C542E"/>
    <w:rsid w:val="002C56B4"/>
    <w:rsid w:val="002C5932"/>
    <w:rsid w:val="002C59D7"/>
    <w:rsid w:val="002C6D1A"/>
    <w:rsid w:val="002C6D25"/>
    <w:rsid w:val="002C6D7F"/>
    <w:rsid w:val="002C7975"/>
    <w:rsid w:val="002C79D8"/>
    <w:rsid w:val="002C7DC7"/>
    <w:rsid w:val="002C7F94"/>
    <w:rsid w:val="002D024B"/>
    <w:rsid w:val="002D0576"/>
    <w:rsid w:val="002D1440"/>
    <w:rsid w:val="002D160A"/>
    <w:rsid w:val="002D1AD2"/>
    <w:rsid w:val="002D1B4D"/>
    <w:rsid w:val="002D1E78"/>
    <w:rsid w:val="002D1E99"/>
    <w:rsid w:val="002D24A9"/>
    <w:rsid w:val="002D25E9"/>
    <w:rsid w:val="002D2BAB"/>
    <w:rsid w:val="002D2CC4"/>
    <w:rsid w:val="002D2F2F"/>
    <w:rsid w:val="002D322C"/>
    <w:rsid w:val="002D3658"/>
    <w:rsid w:val="002D392D"/>
    <w:rsid w:val="002D3D1D"/>
    <w:rsid w:val="002D5073"/>
    <w:rsid w:val="002D537C"/>
    <w:rsid w:val="002D5A43"/>
    <w:rsid w:val="002D5F48"/>
    <w:rsid w:val="002D6345"/>
    <w:rsid w:val="002D6496"/>
    <w:rsid w:val="002D65B2"/>
    <w:rsid w:val="002D65D7"/>
    <w:rsid w:val="002D7331"/>
    <w:rsid w:val="002D7595"/>
    <w:rsid w:val="002D78C1"/>
    <w:rsid w:val="002E0C23"/>
    <w:rsid w:val="002E0D62"/>
    <w:rsid w:val="002E0F2F"/>
    <w:rsid w:val="002E1159"/>
    <w:rsid w:val="002E11C8"/>
    <w:rsid w:val="002E1675"/>
    <w:rsid w:val="002E1739"/>
    <w:rsid w:val="002E1772"/>
    <w:rsid w:val="002E17A4"/>
    <w:rsid w:val="002E1A56"/>
    <w:rsid w:val="002E1D68"/>
    <w:rsid w:val="002E2438"/>
    <w:rsid w:val="002E24BC"/>
    <w:rsid w:val="002E293E"/>
    <w:rsid w:val="002E2EE3"/>
    <w:rsid w:val="002E38B4"/>
    <w:rsid w:val="002E455F"/>
    <w:rsid w:val="002E456C"/>
    <w:rsid w:val="002E461C"/>
    <w:rsid w:val="002E5E1E"/>
    <w:rsid w:val="002E5E79"/>
    <w:rsid w:val="002E6334"/>
    <w:rsid w:val="002E6955"/>
    <w:rsid w:val="002E69BE"/>
    <w:rsid w:val="002E6C13"/>
    <w:rsid w:val="002E744B"/>
    <w:rsid w:val="002E7622"/>
    <w:rsid w:val="002E793D"/>
    <w:rsid w:val="002E7CDC"/>
    <w:rsid w:val="002E7E36"/>
    <w:rsid w:val="002F03C1"/>
    <w:rsid w:val="002F0415"/>
    <w:rsid w:val="002F13DA"/>
    <w:rsid w:val="002F1846"/>
    <w:rsid w:val="002F1915"/>
    <w:rsid w:val="002F210F"/>
    <w:rsid w:val="002F2481"/>
    <w:rsid w:val="002F25AA"/>
    <w:rsid w:val="002F2950"/>
    <w:rsid w:val="002F2AF1"/>
    <w:rsid w:val="002F2E20"/>
    <w:rsid w:val="002F325F"/>
    <w:rsid w:val="002F3A20"/>
    <w:rsid w:val="002F3AE6"/>
    <w:rsid w:val="002F3B9D"/>
    <w:rsid w:val="002F3F1B"/>
    <w:rsid w:val="002F40C2"/>
    <w:rsid w:val="002F4B6E"/>
    <w:rsid w:val="002F4E11"/>
    <w:rsid w:val="002F52FF"/>
    <w:rsid w:val="002F6280"/>
    <w:rsid w:val="002F63F9"/>
    <w:rsid w:val="002F6508"/>
    <w:rsid w:val="002F683E"/>
    <w:rsid w:val="002F711B"/>
    <w:rsid w:val="002F787B"/>
    <w:rsid w:val="002F7924"/>
    <w:rsid w:val="002F79CF"/>
    <w:rsid w:val="00300268"/>
    <w:rsid w:val="00300AAD"/>
    <w:rsid w:val="0030158B"/>
    <w:rsid w:val="00301818"/>
    <w:rsid w:val="00301A61"/>
    <w:rsid w:val="00301DC1"/>
    <w:rsid w:val="00302095"/>
    <w:rsid w:val="00302C3A"/>
    <w:rsid w:val="00303884"/>
    <w:rsid w:val="00303886"/>
    <w:rsid w:val="00303C0C"/>
    <w:rsid w:val="00304FAD"/>
    <w:rsid w:val="00305464"/>
    <w:rsid w:val="003055D4"/>
    <w:rsid w:val="00305CB0"/>
    <w:rsid w:val="00306409"/>
    <w:rsid w:val="00306518"/>
    <w:rsid w:val="00306563"/>
    <w:rsid w:val="00306566"/>
    <w:rsid w:val="0030687A"/>
    <w:rsid w:val="00306D7B"/>
    <w:rsid w:val="00306F82"/>
    <w:rsid w:val="00307026"/>
    <w:rsid w:val="0030744E"/>
    <w:rsid w:val="00307571"/>
    <w:rsid w:val="00307BBD"/>
    <w:rsid w:val="00307F11"/>
    <w:rsid w:val="003100D6"/>
    <w:rsid w:val="00310709"/>
    <w:rsid w:val="003108CF"/>
    <w:rsid w:val="00310947"/>
    <w:rsid w:val="003109FD"/>
    <w:rsid w:val="00310A7A"/>
    <w:rsid w:val="00310AF7"/>
    <w:rsid w:val="00310C1A"/>
    <w:rsid w:val="003114C6"/>
    <w:rsid w:val="0031159A"/>
    <w:rsid w:val="003117FB"/>
    <w:rsid w:val="003117FD"/>
    <w:rsid w:val="00311915"/>
    <w:rsid w:val="00311930"/>
    <w:rsid w:val="0031200D"/>
    <w:rsid w:val="00312499"/>
    <w:rsid w:val="00313006"/>
    <w:rsid w:val="00313806"/>
    <w:rsid w:val="00313827"/>
    <w:rsid w:val="003138F8"/>
    <w:rsid w:val="00313BDC"/>
    <w:rsid w:val="00314B74"/>
    <w:rsid w:val="00314C32"/>
    <w:rsid w:val="00315238"/>
    <w:rsid w:val="003157E3"/>
    <w:rsid w:val="00315AC9"/>
    <w:rsid w:val="00315CEB"/>
    <w:rsid w:val="00315FFF"/>
    <w:rsid w:val="00316217"/>
    <w:rsid w:val="00316B67"/>
    <w:rsid w:val="003170A9"/>
    <w:rsid w:val="00317593"/>
    <w:rsid w:val="003201A8"/>
    <w:rsid w:val="003201EF"/>
    <w:rsid w:val="003202B3"/>
    <w:rsid w:val="00320629"/>
    <w:rsid w:val="00320A31"/>
    <w:rsid w:val="00320FF6"/>
    <w:rsid w:val="003215B3"/>
    <w:rsid w:val="00321622"/>
    <w:rsid w:val="00321F32"/>
    <w:rsid w:val="003228C5"/>
    <w:rsid w:val="00322E09"/>
    <w:rsid w:val="00323040"/>
    <w:rsid w:val="00323325"/>
    <w:rsid w:val="003233F7"/>
    <w:rsid w:val="003234F0"/>
    <w:rsid w:val="0032388C"/>
    <w:rsid w:val="003238CB"/>
    <w:rsid w:val="00323B1F"/>
    <w:rsid w:val="00323E42"/>
    <w:rsid w:val="003240CF"/>
    <w:rsid w:val="0032411F"/>
    <w:rsid w:val="003249DA"/>
    <w:rsid w:val="00324D61"/>
    <w:rsid w:val="00324EE8"/>
    <w:rsid w:val="003250D8"/>
    <w:rsid w:val="00325F5E"/>
    <w:rsid w:val="0032608A"/>
    <w:rsid w:val="00326101"/>
    <w:rsid w:val="0032667D"/>
    <w:rsid w:val="003269A4"/>
    <w:rsid w:val="00326A45"/>
    <w:rsid w:val="00326B93"/>
    <w:rsid w:val="00327014"/>
    <w:rsid w:val="00327103"/>
    <w:rsid w:val="00327BEA"/>
    <w:rsid w:val="00327EEB"/>
    <w:rsid w:val="00330FBF"/>
    <w:rsid w:val="003310DB"/>
    <w:rsid w:val="003314BC"/>
    <w:rsid w:val="00331539"/>
    <w:rsid w:val="00331610"/>
    <w:rsid w:val="00331AFD"/>
    <w:rsid w:val="00331F86"/>
    <w:rsid w:val="0033205C"/>
    <w:rsid w:val="0033275C"/>
    <w:rsid w:val="00332844"/>
    <w:rsid w:val="00332B15"/>
    <w:rsid w:val="00332B28"/>
    <w:rsid w:val="00332E16"/>
    <w:rsid w:val="00332FA9"/>
    <w:rsid w:val="00333103"/>
    <w:rsid w:val="003331CA"/>
    <w:rsid w:val="0033365D"/>
    <w:rsid w:val="0033391A"/>
    <w:rsid w:val="00333E58"/>
    <w:rsid w:val="00334986"/>
    <w:rsid w:val="00334B73"/>
    <w:rsid w:val="003357E9"/>
    <w:rsid w:val="00335FF2"/>
    <w:rsid w:val="0033600B"/>
    <w:rsid w:val="00336218"/>
    <w:rsid w:val="0033679C"/>
    <w:rsid w:val="00336EBD"/>
    <w:rsid w:val="003376D6"/>
    <w:rsid w:val="003377B8"/>
    <w:rsid w:val="0033796A"/>
    <w:rsid w:val="00337EEE"/>
    <w:rsid w:val="00337F80"/>
    <w:rsid w:val="003406DA"/>
    <w:rsid w:val="00340CF3"/>
    <w:rsid w:val="00340E84"/>
    <w:rsid w:val="00340ECD"/>
    <w:rsid w:val="003410DD"/>
    <w:rsid w:val="0034234C"/>
    <w:rsid w:val="00342481"/>
    <w:rsid w:val="003425C3"/>
    <w:rsid w:val="00342B20"/>
    <w:rsid w:val="00343A4A"/>
    <w:rsid w:val="00343B09"/>
    <w:rsid w:val="00343E7B"/>
    <w:rsid w:val="00344DDD"/>
    <w:rsid w:val="00345048"/>
    <w:rsid w:val="00345282"/>
    <w:rsid w:val="00346123"/>
    <w:rsid w:val="00346575"/>
    <w:rsid w:val="00346A2C"/>
    <w:rsid w:val="00346B51"/>
    <w:rsid w:val="003470A3"/>
    <w:rsid w:val="003471CF"/>
    <w:rsid w:val="00347D3E"/>
    <w:rsid w:val="00350D4F"/>
    <w:rsid w:val="00351505"/>
    <w:rsid w:val="003515BD"/>
    <w:rsid w:val="00351A04"/>
    <w:rsid w:val="003521A9"/>
    <w:rsid w:val="003523D8"/>
    <w:rsid w:val="003524A2"/>
    <w:rsid w:val="00352559"/>
    <w:rsid w:val="003526C3"/>
    <w:rsid w:val="00352D03"/>
    <w:rsid w:val="00353263"/>
    <w:rsid w:val="00353A2F"/>
    <w:rsid w:val="00353B89"/>
    <w:rsid w:val="00354085"/>
    <w:rsid w:val="003549A5"/>
    <w:rsid w:val="00354A31"/>
    <w:rsid w:val="00354AB9"/>
    <w:rsid w:val="003551A3"/>
    <w:rsid w:val="00355688"/>
    <w:rsid w:val="00355BF4"/>
    <w:rsid w:val="00355DE3"/>
    <w:rsid w:val="00355E94"/>
    <w:rsid w:val="00356B34"/>
    <w:rsid w:val="00357067"/>
    <w:rsid w:val="00357940"/>
    <w:rsid w:val="0035797F"/>
    <w:rsid w:val="00357A02"/>
    <w:rsid w:val="00357ACD"/>
    <w:rsid w:val="00357C6D"/>
    <w:rsid w:val="00357D4F"/>
    <w:rsid w:val="00357F6E"/>
    <w:rsid w:val="00360282"/>
    <w:rsid w:val="0036033F"/>
    <w:rsid w:val="00360539"/>
    <w:rsid w:val="00360EE7"/>
    <w:rsid w:val="00361016"/>
    <w:rsid w:val="003612C9"/>
    <w:rsid w:val="00361528"/>
    <w:rsid w:val="003617B7"/>
    <w:rsid w:val="003617DF"/>
    <w:rsid w:val="0036193C"/>
    <w:rsid w:val="00361CEF"/>
    <w:rsid w:val="00361F7C"/>
    <w:rsid w:val="003621C2"/>
    <w:rsid w:val="0036281D"/>
    <w:rsid w:val="00362901"/>
    <w:rsid w:val="00362943"/>
    <w:rsid w:val="00362EE0"/>
    <w:rsid w:val="00362FB2"/>
    <w:rsid w:val="00363308"/>
    <w:rsid w:val="003635AA"/>
    <w:rsid w:val="00363957"/>
    <w:rsid w:val="003645DF"/>
    <w:rsid w:val="00364600"/>
    <w:rsid w:val="00364652"/>
    <w:rsid w:val="003654F3"/>
    <w:rsid w:val="003657E0"/>
    <w:rsid w:val="0036592A"/>
    <w:rsid w:val="00365D32"/>
    <w:rsid w:val="003661C1"/>
    <w:rsid w:val="003663A1"/>
    <w:rsid w:val="00366616"/>
    <w:rsid w:val="003666CF"/>
    <w:rsid w:val="00366CA1"/>
    <w:rsid w:val="00366EB6"/>
    <w:rsid w:val="00366F09"/>
    <w:rsid w:val="00367265"/>
    <w:rsid w:val="003675D0"/>
    <w:rsid w:val="0036793C"/>
    <w:rsid w:val="00367F6A"/>
    <w:rsid w:val="003705B7"/>
    <w:rsid w:val="003707AB"/>
    <w:rsid w:val="00370AEB"/>
    <w:rsid w:val="00370BC7"/>
    <w:rsid w:val="00370EE8"/>
    <w:rsid w:val="003710E4"/>
    <w:rsid w:val="0037126C"/>
    <w:rsid w:val="00371733"/>
    <w:rsid w:val="003719ED"/>
    <w:rsid w:val="00371D7F"/>
    <w:rsid w:val="00371DF9"/>
    <w:rsid w:val="00371FCC"/>
    <w:rsid w:val="00372BDF"/>
    <w:rsid w:val="0037375D"/>
    <w:rsid w:val="003738C3"/>
    <w:rsid w:val="00373D40"/>
    <w:rsid w:val="00374191"/>
    <w:rsid w:val="00374A7E"/>
    <w:rsid w:val="00374BE8"/>
    <w:rsid w:val="00374CCE"/>
    <w:rsid w:val="00374CEA"/>
    <w:rsid w:val="00375019"/>
    <w:rsid w:val="003750A1"/>
    <w:rsid w:val="00375C17"/>
    <w:rsid w:val="0037643B"/>
    <w:rsid w:val="003767C5"/>
    <w:rsid w:val="00376F32"/>
    <w:rsid w:val="003778AE"/>
    <w:rsid w:val="003778FA"/>
    <w:rsid w:val="00377E97"/>
    <w:rsid w:val="00381247"/>
    <w:rsid w:val="00381918"/>
    <w:rsid w:val="00381DA3"/>
    <w:rsid w:val="00381E37"/>
    <w:rsid w:val="00381F6A"/>
    <w:rsid w:val="00382074"/>
    <w:rsid w:val="00382559"/>
    <w:rsid w:val="003828E6"/>
    <w:rsid w:val="00382A04"/>
    <w:rsid w:val="00382DF2"/>
    <w:rsid w:val="00383744"/>
    <w:rsid w:val="003837C3"/>
    <w:rsid w:val="00383AF4"/>
    <w:rsid w:val="00384677"/>
    <w:rsid w:val="003846AB"/>
    <w:rsid w:val="00384841"/>
    <w:rsid w:val="00384A21"/>
    <w:rsid w:val="00384D4D"/>
    <w:rsid w:val="00384E09"/>
    <w:rsid w:val="0038507F"/>
    <w:rsid w:val="003855AD"/>
    <w:rsid w:val="00385856"/>
    <w:rsid w:val="00385A4F"/>
    <w:rsid w:val="00385D11"/>
    <w:rsid w:val="00385EBB"/>
    <w:rsid w:val="00385F48"/>
    <w:rsid w:val="00386110"/>
    <w:rsid w:val="00386546"/>
    <w:rsid w:val="003866CD"/>
    <w:rsid w:val="0038692F"/>
    <w:rsid w:val="00386AAB"/>
    <w:rsid w:val="0038710B"/>
    <w:rsid w:val="003871FE"/>
    <w:rsid w:val="00387205"/>
    <w:rsid w:val="0038763B"/>
    <w:rsid w:val="003876F6"/>
    <w:rsid w:val="0038781E"/>
    <w:rsid w:val="00387CEF"/>
    <w:rsid w:val="00387F08"/>
    <w:rsid w:val="003903D5"/>
    <w:rsid w:val="00390653"/>
    <w:rsid w:val="00390721"/>
    <w:rsid w:val="00390A0A"/>
    <w:rsid w:val="00390C27"/>
    <w:rsid w:val="00390CD1"/>
    <w:rsid w:val="00390F88"/>
    <w:rsid w:val="0039114E"/>
    <w:rsid w:val="003912BE"/>
    <w:rsid w:val="0039213E"/>
    <w:rsid w:val="00392344"/>
    <w:rsid w:val="0039256F"/>
    <w:rsid w:val="00392DD9"/>
    <w:rsid w:val="00393794"/>
    <w:rsid w:val="0039387D"/>
    <w:rsid w:val="00393A0C"/>
    <w:rsid w:val="00393A7D"/>
    <w:rsid w:val="00393CEA"/>
    <w:rsid w:val="003941B3"/>
    <w:rsid w:val="00394350"/>
    <w:rsid w:val="00394E49"/>
    <w:rsid w:val="00395290"/>
    <w:rsid w:val="003955F6"/>
    <w:rsid w:val="00395BCE"/>
    <w:rsid w:val="00395F72"/>
    <w:rsid w:val="00395FE8"/>
    <w:rsid w:val="00396839"/>
    <w:rsid w:val="0039689D"/>
    <w:rsid w:val="00397211"/>
    <w:rsid w:val="0039769D"/>
    <w:rsid w:val="00397BA2"/>
    <w:rsid w:val="00397C26"/>
    <w:rsid w:val="003A02C0"/>
    <w:rsid w:val="003A02DF"/>
    <w:rsid w:val="003A0320"/>
    <w:rsid w:val="003A0322"/>
    <w:rsid w:val="003A0387"/>
    <w:rsid w:val="003A050A"/>
    <w:rsid w:val="003A0E5E"/>
    <w:rsid w:val="003A0F18"/>
    <w:rsid w:val="003A0F9B"/>
    <w:rsid w:val="003A1211"/>
    <w:rsid w:val="003A1624"/>
    <w:rsid w:val="003A18D6"/>
    <w:rsid w:val="003A1CD5"/>
    <w:rsid w:val="003A2069"/>
    <w:rsid w:val="003A23BE"/>
    <w:rsid w:val="003A273F"/>
    <w:rsid w:val="003A2776"/>
    <w:rsid w:val="003A2797"/>
    <w:rsid w:val="003A29A3"/>
    <w:rsid w:val="003A29DB"/>
    <w:rsid w:val="003A2AAE"/>
    <w:rsid w:val="003A3853"/>
    <w:rsid w:val="003A3A8B"/>
    <w:rsid w:val="003A3CDF"/>
    <w:rsid w:val="003A3D32"/>
    <w:rsid w:val="003A3E9A"/>
    <w:rsid w:val="003A3F07"/>
    <w:rsid w:val="003A42DD"/>
    <w:rsid w:val="003A43B3"/>
    <w:rsid w:val="003A455D"/>
    <w:rsid w:val="003A5091"/>
    <w:rsid w:val="003A51F3"/>
    <w:rsid w:val="003A57A8"/>
    <w:rsid w:val="003A58AC"/>
    <w:rsid w:val="003A5E43"/>
    <w:rsid w:val="003A5EA2"/>
    <w:rsid w:val="003A64F6"/>
    <w:rsid w:val="003A659C"/>
    <w:rsid w:val="003A67CC"/>
    <w:rsid w:val="003A6DAD"/>
    <w:rsid w:val="003A7B30"/>
    <w:rsid w:val="003A7B98"/>
    <w:rsid w:val="003A7C89"/>
    <w:rsid w:val="003A7D64"/>
    <w:rsid w:val="003B003D"/>
    <w:rsid w:val="003B0407"/>
    <w:rsid w:val="003B05BF"/>
    <w:rsid w:val="003B0D09"/>
    <w:rsid w:val="003B0DF3"/>
    <w:rsid w:val="003B1616"/>
    <w:rsid w:val="003B19D4"/>
    <w:rsid w:val="003B1C23"/>
    <w:rsid w:val="003B1E18"/>
    <w:rsid w:val="003B1EC6"/>
    <w:rsid w:val="003B2B64"/>
    <w:rsid w:val="003B2BCB"/>
    <w:rsid w:val="003B2C3B"/>
    <w:rsid w:val="003B3246"/>
    <w:rsid w:val="003B376C"/>
    <w:rsid w:val="003B3A1B"/>
    <w:rsid w:val="003B3A7B"/>
    <w:rsid w:val="003B3CE9"/>
    <w:rsid w:val="003B4614"/>
    <w:rsid w:val="003B4C4C"/>
    <w:rsid w:val="003B4EA0"/>
    <w:rsid w:val="003B5197"/>
    <w:rsid w:val="003B5761"/>
    <w:rsid w:val="003B6B74"/>
    <w:rsid w:val="003B7324"/>
    <w:rsid w:val="003B7769"/>
    <w:rsid w:val="003B77ED"/>
    <w:rsid w:val="003B79AE"/>
    <w:rsid w:val="003B7B82"/>
    <w:rsid w:val="003B7D9D"/>
    <w:rsid w:val="003C0694"/>
    <w:rsid w:val="003C070E"/>
    <w:rsid w:val="003C0738"/>
    <w:rsid w:val="003C0AF6"/>
    <w:rsid w:val="003C0E7F"/>
    <w:rsid w:val="003C11E4"/>
    <w:rsid w:val="003C16A7"/>
    <w:rsid w:val="003C1A39"/>
    <w:rsid w:val="003C1CE6"/>
    <w:rsid w:val="003C1F75"/>
    <w:rsid w:val="003C2144"/>
    <w:rsid w:val="003C22D9"/>
    <w:rsid w:val="003C2314"/>
    <w:rsid w:val="003C2B62"/>
    <w:rsid w:val="003C2E27"/>
    <w:rsid w:val="003C31A5"/>
    <w:rsid w:val="003C39E1"/>
    <w:rsid w:val="003C42FE"/>
    <w:rsid w:val="003C44D7"/>
    <w:rsid w:val="003C4CE7"/>
    <w:rsid w:val="003C519B"/>
    <w:rsid w:val="003C5299"/>
    <w:rsid w:val="003C52DB"/>
    <w:rsid w:val="003C5DB3"/>
    <w:rsid w:val="003C63C4"/>
    <w:rsid w:val="003C652C"/>
    <w:rsid w:val="003C6790"/>
    <w:rsid w:val="003C6845"/>
    <w:rsid w:val="003C6CDA"/>
    <w:rsid w:val="003C6D24"/>
    <w:rsid w:val="003C742F"/>
    <w:rsid w:val="003C7E44"/>
    <w:rsid w:val="003D085A"/>
    <w:rsid w:val="003D0CBB"/>
    <w:rsid w:val="003D1314"/>
    <w:rsid w:val="003D16AB"/>
    <w:rsid w:val="003D1730"/>
    <w:rsid w:val="003D190E"/>
    <w:rsid w:val="003D1AAA"/>
    <w:rsid w:val="003D1AC6"/>
    <w:rsid w:val="003D26AC"/>
    <w:rsid w:val="003D2A3D"/>
    <w:rsid w:val="003D2E1F"/>
    <w:rsid w:val="003D333D"/>
    <w:rsid w:val="003D33EC"/>
    <w:rsid w:val="003D34BB"/>
    <w:rsid w:val="003D3A8A"/>
    <w:rsid w:val="003D3C7B"/>
    <w:rsid w:val="003D3EED"/>
    <w:rsid w:val="003D42E5"/>
    <w:rsid w:val="003D4903"/>
    <w:rsid w:val="003D53EB"/>
    <w:rsid w:val="003D552B"/>
    <w:rsid w:val="003D59E2"/>
    <w:rsid w:val="003D5B39"/>
    <w:rsid w:val="003D5FFE"/>
    <w:rsid w:val="003D6462"/>
    <w:rsid w:val="003D66DF"/>
    <w:rsid w:val="003D7192"/>
    <w:rsid w:val="003D71A2"/>
    <w:rsid w:val="003D75E3"/>
    <w:rsid w:val="003D7811"/>
    <w:rsid w:val="003D7BED"/>
    <w:rsid w:val="003D7D98"/>
    <w:rsid w:val="003E0111"/>
    <w:rsid w:val="003E0317"/>
    <w:rsid w:val="003E0785"/>
    <w:rsid w:val="003E07D5"/>
    <w:rsid w:val="003E0CD3"/>
    <w:rsid w:val="003E117B"/>
    <w:rsid w:val="003E18CB"/>
    <w:rsid w:val="003E1900"/>
    <w:rsid w:val="003E1A5B"/>
    <w:rsid w:val="003E29BB"/>
    <w:rsid w:val="003E29C9"/>
    <w:rsid w:val="003E2DA1"/>
    <w:rsid w:val="003E2EE5"/>
    <w:rsid w:val="003E35D8"/>
    <w:rsid w:val="003E35E8"/>
    <w:rsid w:val="003E3637"/>
    <w:rsid w:val="003E38F5"/>
    <w:rsid w:val="003E3A20"/>
    <w:rsid w:val="003E3D57"/>
    <w:rsid w:val="003E3D7F"/>
    <w:rsid w:val="003E3F83"/>
    <w:rsid w:val="003E47F1"/>
    <w:rsid w:val="003E5853"/>
    <w:rsid w:val="003E5B17"/>
    <w:rsid w:val="003E5CFD"/>
    <w:rsid w:val="003E5DAC"/>
    <w:rsid w:val="003E5E82"/>
    <w:rsid w:val="003E6CE0"/>
    <w:rsid w:val="003E6E6D"/>
    <w:rsid w:val="003E7346"/>
    <w:rsid w:val="003E752C"/>
    <w:rsid w:val="003E75A0"/>
    <w:rsid w:val="003E7C65"/>
    <w:rsid w:val="003E7DCA"/>
    <w:rsid w:val="003F09A4"/>
    <w:rsid w:val="003F0A7B"/>
    <w:rsid w:val="003F0ABA"/>
    <w:rsid w:val="003F0CD3"/>
    <w:rsid w:val="003F1B4C"/>
    <w:rsid w:val="003F1C3C"/>
    <w:rsid w:val="003F1C6E"/>
    <w:rsid w:val="003F1F14"/>
    <w:rsid w:val="003F2050"/>
    <w:rsid w:val="003F216A"/>
    <w:rsid w:val="003F2388"/>
    <w:rsid w:val="003F24CF"/>
    <w:rsid w:val="003F2C93"/>
    <w:rsid w:val="003F384F"/>
    <w:rsid w:val="003F391D"/>
    <w:rsid w:val="003F3F90"/>
    <w:rsid w:val="003F4150"/>
    <w:rsid w:val="003F421D"/>
    <w:rsid w:val="003F450A"/>
    <w:rsid w:val="003F5041"/>
    <w:rsid w:val="003F517E"/>
    <w:rsid w:val="003F5B5C"/>
    <w:rsid w:val="003F6474"/>
    <w:rsid w:val="003F745C"/>
    <w:rsid w:val="003F7BE1"/>
    <w:rsid w:val="004004A9"/>
    <w:rsid w:val="0040052A"/>
    <w:rsid w:val="00400BE3"/>
    <w:rsid w:val="00402564"/>
    <w:rsid w:val="00402C53"/>
    <w:rsid w:val="00402CA4"/>
    <w:rsid w:val="00402E2F"/>
    <w:rsid w:val="00402EF9"/>
    <w:rsid w:val="004036F5"/>
    <w:rsid w:val="00403FF3"/>
    <w:rsid w:val="00404541"/>
    <w:rsid w:val="00404580"/>
    <w:rsid w:val="0040491D"/>
    <w:rsid w:val="00404A35"/>
    <w:rsid w:val="00404EDE"/>
    <w:rsid w:val="00404FC1"/>
    <w:rsid w:val="00405056"/>
    <w:rsid w:val="004055FD"/>
    <w:rsid w:val="00405609"/>
    <w:rsid w:val="004057E7"/>
    <w:rsid w:val="00405CB0"/>
    <w:rsid w:val="00406413"/>
    <w:rsid w:val="0040670F"/>
    <w:rsid w:val="0040677B"/>
    <w:rsid w:val="004069D8"/>
    <w:rsid w:val="00406A1C"/>
    <w:rsid w:val="00406B0C"/>
    <w:rsid w:val="00406DB7"/>
    <w:rsid w:val="00406E60"/>
    <w:rsid w:val="004070BC"/>
    <w:rsid w:val="004070E0"/>
    <w:rsid w:val="004071F3"/>
    <w:rsid w:val="00407250"/>
    <w:rsid w:val="004101D8"/>
    <w:rsid w:val="0041069F"/>
    <w:rsid w:val="004107A1"/>
    <w:rsid w:val="004110D5"/>
    <w:rsid w:val="0041123D"/>
    <w:rsid w:val="0041155E"/>
    <w:rsid w:val="0041172A"/>
    <w:rsid w:val="004118F7"/>
    <w:rsid w:val="00411AFE"/>
    <w:rsid w:val="00412174"/>
    <w:rsid w:val="00412ABF"/>
    <w:rsid w:val="00413615"/>
    <w:rsid w:val="00413750"/>
    <w:rsid w:val="00413AD1"/>
    <w:rsid w:val="00414B17"/>
    <w:rsid w:val="00414CF1"/>
    <w:rsid w:val="00415497"/>
    <w:rsid w:val="0041569F"/>
    <w:rsid w:val="004158B6"/>
    <w:rsid w:val="00415D66"/>
    <w:rsid w:val="00415F88"/>
    <w:rsid w:val="00415FE2"/>
    <w:rsid w:val="0041623C"/>
    <w:rsid w:val="00416CC5"/>
    <w:rsid w:val="00420194"/>
    <w:rsid w:val="00420505"/>
    <w:rsid w:val="00420CE5"/>
    <w:rsid w:val="00420D09"/>
    <w:rsid w:val="00420DDD"/>
    <w:rsid w:val="00420DFB"/>
    <w:rsid w:val="00421498"/>
    <w:rsid w:val="004216F8"/>
    <w:rsid w:val="00421E6C"/>
    <w:rsid w:val="0042236C"/>
    <w:rsid w:val="004226AA"/>
    <w:rsid w:val="00423F48"/>
    <w:rsid w:val="00423F4D"/>
    <w:rsid w:val="00424292"/>
    <w:rsid w:val="00424D80"/>
    <w:rsid w:val="00425271"/>
    <w:rsid w:val="00425E89"/>
    <w:rsid w:val="00425EC1"/>
    <w:rsid w:val="0042608E"/>
    <w:rsid w:val="0042621C"/>
    <w:rsid w:val="004262FB"/>
    <w:rsid w:val="004268E5"/>
    <w:rsid w:val="00426981"/>
    <w:rsid w:val="0042758D"/>
    <w:rsid w:val="00427999"/>
    <w:rsid w:val="00427A4D"/>
    <w:rsid w:val="00427C30"/>
    <w:rsid w:val="00430348"/>
    <w:rsid w:val="004307AB"/>
    <w:rsid w:val="004316C9"/>
    <w:rsid w:val="00431AD7"/>
    <w:rsid w:val="00431D37"/>
    <w:rsid w:val="00431D55"/>
    <w:rsid w:val="004324B4"/>
    <w:rsid w:val="00432817"/>
    <w:rsid w:val="00432924"/>
    <w:rsid w:val="00432A12"/>
    <w:rsid w:val="004331CC"/>
    <w:rsid w:val="0043370E"/>
    <w:rsid w:val="00433C0A"/>
    <w:rsid w:val="0043425F"/>
    <w:rsid w:val="004344A5"/>
    <w:rsid w:val="004347E9"/>
    <w:rsid w:val="00434A12"/>
    <w:rsid w:val="00434DDF"/>
    <w:rsid w:val="00434F40"/>
    <w:rsid w:val="004350BB"/>
    <w:rsid w:val="00435534"/>
    <w:rsid w:val="0043594F"/>
    <w:rsid w:val="004359DF"/>
    <w:rsid w:val="00435C8B"/>
    <w:rsid w:val="00435DF7"/>
    <w:rsid w:val="00435E2C"/>
    <w:rsid w:val="00435EA0"/>
    <w:rsid w:val="00436989"/>
    <w:rsid w:val="0043775E"/>
    <w:rsid w:val="00437796"/>
    <w:rsid w:val="0043798A"/>
    <w:rsid w:val="00437AE4"/>
    <w:rsid w:val="00437D17"/>
    <w:rsid w:val="004403A8"/>
    <w:rsid w:val="004407F2"/>
    <w:rsid w:val="00440F21"/>
    <w:rsid w:val="004412FE"/>
    <w:rsid w:val="00441354"/>
    <w:rsid w:val="0044174E"/>
    <w:rsid w:val="00441988"/>
    <w:rsid w:val="00441A39"/>
    <w:rsid w:val="0044204F"/>
    <w:rsid w:val="004426E7"/>
    <w:rsid w:val="00442762"/>
    <w:rsid w:val="004428E0"/>
    <w:rsid w:val="00442B93"/>
    <w:rsid w:val="00442D13"/>
    <w:rsid w:val="0044342E"/>
    <w:rsid w:val="004434AF"/>
    <w:rsid w:val="0044351D"/>
    <w:rsid w:val="00443532"/>
    <w:rsid w:val="004435B3"/>
    <w:rsid w:val="00443DA6"/>
    <w:rsid w:val="00443DCD"/>
    <w:rsid w:val="00443F8D"/>
    <w:rsid w:val="00444029"/>
    <w:rsid w:val="004446C2"/>
    <w:rsid w:val="00444859"/>
    <w:rsid w:val="00444B33"/>
    <w:rsid w:val="0044510A"/>
    <w:rsid w:val="00445336"/>
    <w:rsid w:val="00445986"/>
    <w:rsid w:val="00445D31"/>
    <w:rsid w:val="00445DC5"/>
    <w:rsid w:val="00445EBE"/>
    <w:rsid w:val="004463DB"/>
    <w:rsid w:val="00446A07"/>
    <w:rsid w:val="00446EB6"/>
    <w:rsid w:val="00447DAF"/>
    <w:rsid w:val="00447F53"/>
    <w:rsid w:val="00447F89"/>
    <w:rsid w:val="00450278"/>
    <w:rsid w:val="0045033B"/>
    <w:rsid w:val="00450709"/>
    <w:rsid w:val="00450AAF"/>
    <w:rsid w:val="00452156"/>
    <w:rsid w:val="004521A5"/>
    <w:rsid w:val="004525BE"/>
    <w:rsid w:val="00452903"/>
    <w:rsid w:val="00452FE1"/>
    <w:rsid w:val="004530E2"/>
    <w:rsid w:val="00454224"/>
    <w:rsid w:val="004542CD"/>
    <w:rsid w:val="00454983"/>
    <w:rsid w:val="00454FF5"/>
    <w:rsid w:val="00455E46"/>
    <w:rsid w:val="00455E55"/>
    <w:rsid w:val="00455E58"/>
    <w:rsid w:val="00455E6B"/>
    <w:rsid w:val="004561B9"/>
    <w:rsid w:val="0045629E"/>
    <w:rsid w:val="004564DD"/>
    <w:rsid w:val="00456B50"/>
    <w:rsid w:val="00456B8E"/>
    <w:rsid w:val="00456D94"/>
    <w:rsid w:val="00456EE0"/>
    <w:rsid w:val="0045733A"/>
    <w:rsid w:val="0045738F"/>
    <w:rsid w:val="004575CA"/>
    <w:rsid w:val="00457E7B"/>
    <w:rsid w:val="00457F4A"/>
    <w:rsid w:val="00457F8B"/>
    <w:rsid w:val="00460441"/>
    <w:rsid w:val="004604F9"/>
    <w:rsid w:val="00460D9C"/>
    <w:rsid w:val="0046103B"/>
    <w:rsid w:val="0046155E"/>
    <w:rsid w:val="00461602"/>
    <w:rsid w:val="004618A0"/>
    <w:rsid w:val="004618CD"/>
    <w:rsid w:val="00461A93"/>
    <w:rsid w:val="00461DBF"/>
    <w:rsid w:val="00462380"/>
    <w:rsid w:val="004626C4"/>
    <w:rsid w:val="00462839"/>
    <w:rsid w:val="00463004"/>
    <w:rsid w:val="004635CE"/>
    <w:rsid w:val="00463C2F"/>
    <w:rsid w:val="004642E9"/>
    <w:rsid w:val="0046522B"/>
    <w:rsid w:val="004654E5"/>
    <w:rsid w:val="0046565B"/>
    <w:rsid w:val="00465838"/>
    <w:rsid w:val="00465931"/>
    <w:rsid w:val="00465A8A"/>
    <w:rsid w:val="00466196"/>
    <w:rsid w:val="00466314"/>
    <w:rsid w:val="004664F6"/>
    <w:rsid w:val="00466871"/>
    <w:rsid w:val="00467823"/>
    <w:rsid w:val="00467834"/>
    <w:rsid w:val="004678FC"/>
    <w:rsid w:val="0046791E"/>
    <w:rsid w:val="00470405"/>
    <w:rsid w:val="00470428"/>
    <w:rsid w:val="0047048D"/>
    <w:rsid w:val="00470ED6"/>
    <w:rsid w:val="00471693"/>
    <w:rsid w:val="00471BA2"/>
    <w:rsid w:val="004721E1"/>
    <w:rsid w:val="00472587"/>
    <w:rsid w:val="004727EA"/>
    <w:rsid w:val="00472C48"/>
    <w:rsid w:val="00473197"/>
    <w:rsid w:val="0047378D"/>
    <w:rsid w:val="00473DA7"/>
    <w:rsid w:val="004740D8"/>
    <w:rsid w:val="004745DC"/>
    <w:rsid w:val="00474A5B"/>
    <w:rsid w:val="00474BFC"/>
    <w:rsid w:val="00474C7F"/>
    <w:rsid w:val="00474FDF"/>
    <w:rsid w:val="00475647"/>
    <w:rsid w:val="0047583E"/>
    <w:rsid w:val="0047585D"/>
    <w:rsid w:val="00475F79"/>
    <w:rsid w:val="00475FEF"/>
    <w:rsid w:val="00476132"/>
    <w:rsid w:val="00476417"/>
    <w:rsid w:val="0047674C"/>
    <w:rsid w:val="00476ED9"/>
    <w:rsid w:val="0047721A"/>
    <w:rsid w:val="004772ED"/>
    <w:rsid w:val="0047777D"/>
    <w:rsid w:val="00477F42"/>
    <w:rsid w:val="00477FFE"/>
    <w:rsid w:val="004809E7"/>
    <w:rsid w:val="00480C46"/>
    <w:rsid w:val="004811CC"/>
    <w:rsid w:val="00481364"/>
    <w:rsid w:val="004817E4"/>
    <w:rsid w:val="00481823"/>
    <w:rsid w:val="00481EFD"/>
    <w:rsid w:val="004828E1"/>
    <w:rsid w:val="004836FF"/>
    <w:rsid w:val="00483BA0"/>
    <w:rsid w:val="00483DC5"/>
    <w:rsid w:val="00484044"/>
    <w:rsid w:val="004841D2"/>
    <w:rsid w:val="004841E9"/>
    <w:rsid w:val="004846A4"/>
    <w:rsid w:val="00484786"/>
    <w:rsid w:val="004848FF"/>
    <w:rsid w:val="004849E7"/>
    <w:rsid w:val="00484C10"/>
    <w:rsid w:val="00484E38"/>
    <w:rsid w:val="004862C3"/>
    <w:rsid w:val="004867F9"/>
    <w:rsid w:val="00486857"/>
    <w:rsid w:val="00486871"/>
    <w:rsid w:val="004869ED"/>
    <w:rsid w:val="00486B3C"/>
    <w:rsid w:val="004900D2"/>
    <w:rsid w:val="004904DF"/>
    <w:rsid w:val="00490D05"/>
    <w:rsid w:val="00490F27"/>
    <w:rsid w:val="00491B21"/>
    <w:rsid w:val="00491D71"/>
    <w:rsid w:val="0049220C"/>
    <w:rsid w:val="004926CC"/>
    <w:rsid w:val="00492709"/>
    <w:rsid w:val="004929EB"/>
    <w:rsid w:val="00492F90"/>
    <w:rsid w:val="004930BB"/>
    <w:rsid w:val="00493155"/>
    <w:rsid w:val="0049325D"/>
    <w:rsid w:val="004937E7"/>
    <w:rsid w:val="00493CD4"/>
    <w:rsid w:val="00493F03"/>
    <w:rsid w:val="0049413A"/>
    <w:rsid w:val="004943EB"/>
    <w:rsid w:val="00494FA6"/>
    <w:rsid w:val="00495107"/>
    <w:rsid w:val="004952B4"/>
    <w:rsid w:val="004954AC"/>
    <w:rsid w:val="00495552"/>
    <w:rsid w:val="004956E3"/>
    <w:rsid w:val="00495BBF"/>
    <w:rsid w:val="00495FFC"/>
    <w:rsid w:val="00496393"/>
    <w:rsid w:val="00496500"/>
    <w:rsid w:val="00496A3E"/>
    <w:rsid w:val="00496F12"/>
    <w:rsid w:val="00497252"/>
    <w:rsid w:val="00497998"/>
    <w:rsid w:val="00497BD3"/>
    <w:rsid w:val="00497C83"/>
    <w:rsid w:val="00497EDD"/>
    <w:rsid w:val="00497FFB"/>
    <w:rsid w:val="004A0A29"/>
    <w:rsid w:val="004A0A69"/>
    <w:rsid w:val="004A0D31"/>
    <w:rsid w:val="004A116B"/>
    <w:rsid w:val="004A16B7"/>
    <w:rsid w:val="004A1889"/>
    <w:rsid w:val="004A1A31"/>
    <w:rsid w:val="004A1D32"/>
    <w:rsid w:val="004A1DE6"/>
    <w:rsid w:val="004A1EE2"/>
    <w:rsid w:val="004A2096"/>
    <w:rsid w:val="004A2424"/>
    <w:rsid w:val="004A3C90"/>
    <w:rsid w:val="004A3F45"/>
    <w:rsid w:val="004A4339"/>
    <w:rsid w:val="004A4531"/>
    <w:rsid w:val="004A4ACC"/>
    <w:rsid w:val="004A4CCA"/>
    <w:rsid w:val="004A5071"/>
    <w:rsid w:val="004A5231"/>
    <w:rsid w:val="004A5484"/>
    <w:rsid w:val="004A5B6D"/>
    <w:rsid w:val="004A60F2"/>
    <w:rsid w:val="004A637A"/>
    <w:rsid w:val="004A6910"/>
    <w:rsid w:val="004A6B8F"/>
    <w:rsid w:val="004A71DF"/>
    <w:rsid w:val="004A7DBC"/>
    <w:rsid w:val="004B0285"/>
    <w:rsid w:val="004B0411"/>
    <w:rsid w:val="004B0582"/>
    <w:rsid w:val="004B0927"/>
    <w:rsid w:val="004B1595"/>
    <w:rsid w:val="004B160A"/>
    <w:rsid w:val="004B17A6"/>
    <w:rsid w:val="004B19DF"/>
    <w:rsid w:val="004B226D"/>
    <w:rsid w:val="004B2590"/>
    <w:rsid w:val="004B2766"/>
    <w:rsid w:val="004B281F"/>
    <w:rsid w:val="004B3610"/>
    <w:rsid w:val="004B3AF6"/>
    <w:rsid w:val="004B3C1E"/>
    <w:rsid w:val="004B4257"/>
    <w:rsid w:val="004B4606"/>
    <w:rsid w:val="004B5064"/>
    <w:rsid w:val="004B570C"/>
    <w:rsid w:val="004B582F"/>
    <w:rsid w:val="004B59D5"/>
    <w:rsid w:val="004B6032"/>
    <w:rsid w:val="004B6168"/>
    <w:rsid w:val="004B635D"/>
    <w:rsid w:val="004B6653"/>
    <w:rsid w:val="004B6724"/>
    <w:rsid w:val="004B6A8F"/>
    <w:rsid w:val="004B6B3C"/>
    <w:rsid w:val="004B71C2"/>
    <w:rsid w:val="004B7569"/>
    <w:rsid w:val="004B76FB"/>
    <w:rsid w:val="004B7769"/>
    <w:rsid w:val="004B7A49"/>
    <w:rsid w:val="004B7FBF"/>
    <w:rsid w:val="004C0048"/>
    <w:rsid w:val="004C0C7D"/>
    <w:rsid w:val="004C0FC2"/>
    <w:rsid w:val="004C1102"/>
    <w:rsid w:val="004C1D39"/>
    <w:rsid w:val="004C20A8"/>
    <w:rsid w:val="004C286A"/>
    <w:rsid w:val="004C2FFE"/>
    <w:rsid w:val="004C32C9"/>
    <w:rsid w:val="004C32F8"/>
    <w:rsid w:val="004C343B"/>
    <w:rsid w:val="004C35E8"/>
    <w:rsid w:val="004C3FEC"/>
    <w:rsid w:val="004C417D"/>
    <w:rsid w:val="004C4472"/>
    <w:rsid w:val="004C461A"/>
    <w:rsid w:val="004C49AF"/>
    <w:rsid w:val="004C4BBC"/>
    <w:rsid w:val="004C506E"/>
    <w:rsid w:val="004C5CF1"/>
    <w:rsid w:val="004C614E"/>
    <w:rsid w:val="004C6D2C"/>
    <w:rsid w:val="004C70C9"/>
    <w:rsid w:val="004C7FD7"/>
    <w:rsid w:val="004D0286"/>
    <w:rsid w:val="004D03A3"/>
    <w:rsid w:val="004D081D"/>
    <w:rsid w:val="004D0BB9"/>
    <w:rsid w:val="004D0D4D"/>
    <w:rsid w:val="004D1A0E"/>
    <w:rsid w:val="004D1B9F"/>
    <w:rsid w:val="004D24EF"/>
    <w:rsid w:val="004D26C8"/>
    <w:rsid w:val="004D2AD8"/>
    <w:rsid w:val="004D2EDA"/>
    <w:rsid w:val="004D2EE4"/>
    <w:rsid w:val="004D4176"/>
    <w:rsid w:val="004D4688"/>
    <w:rsid w:val="004D50EC"/>
    <w:rsid w:val="004D527D"/>
    <w:rsid w:val="004D567F"/>
    <w:rsid w:val="004D5B56"/>
    <w:rsid w:val="004D5C84"/>
    <w:rsid w:val="004D68FA"/>
    <w:rsid w:val="004D6C3B"/>
    <w:rsid w:val="004D6F82"/>
    <w:rsid w:val="004D7684"/>
    <w:rsid w:val="004D79AF"/>
    <w:rsid w:val="004E019B"/>
    <w:rsid w:val="004E0C0D"/>
    <w:rsid w:val="004E0D5A"/>
    <w:rsid w:val="004E13DD"/>
    <w:rsid w:val="004E15FF"/>
    <w:rsid w:val="004E1B17"/>
    <w:rsid w:val="004E2655"/>
    <w:rsid w:val="004E2C91"/>
    <w:rsid w:val="004E34B2"/>
    <w:rsid w:val="004E3691"/>
    <w:rsid w:val="004E40CD"/>
    <w:rsid w:val="004E4527"/>
    <w:rsid w:val="004E4B5E"/>
    <w:rsid w:val="004E4DF5"/>
    <w:rsid w:val="004E4E36"/>
    <w:rsid w:val="004E525A"/>
    <w:rsid w:val="004E525D"/>
    <w:rsid w:val="004E5B82"/>
    <w:rsid w:val="004E5C67"/>
    <w:rsid w:val="004E6191"/>
    <w:rsid w:val="004E631C"/>
    <w:rsid w:val="004E6BBA"/>
    <w:rsid w:val="004E703B"/>
    <w:rsid w:val="004E71D3"/>
    <w:rsid w:val="004E71FB"/>
    <w:rsid w:val="004E742A"/>
    <w:rsid w:val="004E7626"/>
    <w:rsid w:val="004F07A2"/>
    <w:rsid w:val="004F08FA"/>
    <w:rsid w:val="004F093F"/>
    <w:rsid w:val="004F09A4"/>
    <w:rsid w:val="004F09E0"/>
    <w:rsid w:val="004F0E83"/>
    <w:rsid w:val="004F0F52"/>
    <w:rsid w:val="004F0FDE"/>
    <w:rsid w:val="004F11E9"/>
    <w:rsid w:val="004F1AA1"/>
    <w:rsid w:val="004F1B61"/>
    <w:rsid w:val="004F1CAF"/>
    <w:rsid w:val="004F1F57"/>
    <w:rsid w:val="004F2A05"/>
    <w:rsid w:val="004F3357"/>
    <w:rsid w:val="004F3838"/>
    <w:rsid w:val="004F38BB"/>
    <w:rsid w:val="004F3E3E"/>
    <w:rsid w:val="004F424A"/>
    <w:rsid w:val="004F4336"/>
    <w:rsid w:val="004F4599"/>
    <w:rsid w:val="004F4608"/>
    <w:rsid w:val="004F546A"/>
    <w:rsid w:val="004F55F3"/>
    <w:rsid w:val="004F5A17"/>
    <w:rsid w:val="004F5DD1"/>
    <w:rsid w:val="004F5FBD"/>
    <w:rsid w:val="004F623F"/>
    <w:rsid w:val="004F634D"/>
    <w:rsid w:val="004F6E19"/>
    <w:rsid w:val="004F737D"/>
    <w:rsid w:val="004F74CB"/>
    <w:rsid w:val="004F76F1"/>
    <w:rsid w:val="004F7E8A"/>
    <w:rsid w:val="00500339"/>
    <w:rsid w:val="00500CAC"/>
    <w:rsid w:val="005010DE"/>
    <w:rsid w:val="00501202"/>
    <w:rsid w:val="00501438"/>
    <w:rsid w:val="005016EF"/>
    <w:rsid w:val="00501746"/>
    <w:rsid w:val="005019C4"/>
    <w:rsid w:val="005020EA"/>
    <w:rsid w:val="005029CA"/>
    <w:rsid w:val="00502C7C"/>
    <w:rsid w:val="00502CD1"/>
    <w:rsid w:val="00503202"/>
    <w:rsid w:val="00503FA1"/>
    <w:rsid w:val="00503FFC"/>
    <w:rsid w:val="00504480"/>
    <w:rsid w:val="005044A2"/>
    <w:rsid w:val="00504991"/>
    <w:rsid w:val="00504ABC"/>
    <w:rsid w:val="00504B76"/>
    <w:rsid w:val="0050523F"/>
    <w:rsid w:val="005055DD"/>
    <w:rsid w:val="00505860"/>
    <w:rsid w:val="00505AE0"/>
    <w:rsid w:val="00505AE6"/>
    <w:rsid w:val="005063CB"/>
    <w:rsid w:val="00506613"/>
    <w:rsid w:val="005068CB"/>
    <w:rsid w:val="00506AF3"/>
    <w:rsid w:val="00506DF3"/>
    <w:rsid w:val="00506FF0"/>
    <w:rsid w:val="00507167"/>
    <w:rsid w:val="0050781E"/>
    <w:rsid w:val="0051022D"/>
    <w:rsid w:val="00510482"/>
    <w:rsid w:val="005106F3"/>
    <w:rsid w:val="00510EAC"/>
    <w:rsid w:val="00510F43"/>
    <w:rsid w:val="00511652"/>
    <w:rsid w:val="005117CD"/>
    <w:rsid w:val="00511C91"/>
    <w:rsid w:val="00511D57"/>
    <w:rsid w:val="00512185"/>
    <w:rsid w:val="005123EC"/>
    <w:rsid w:val="005126A1"/>
    <w:rsid w:val="0051270F"/>
    <w:rsid w:val="00512AB3"/>
    <w:rsid w:val="00512D33"/>
    <w:rsid w:val="00512E34"/>
    <w:rsid w:val="00512EDF"/>
    <w:rsid w:val="00513282"/>
    <w:rsid w:val="005136F2"/>
    <w:rsid w:val="005138AD"/>
    <w:rsid w:val="00513918"/>
    <w:rsid w:val="00513A36"/>
    <w:rsid w:val="00513C36"/>
    <w:rsid w:val="00514217"/>
    <w:rsid w:val="00514527"/>
    <w:rsid w:val="00514C36"/>
    <w:rsid w:val="00515203"/>
    <w:rsid w:val="00515306"/>
    <w:rsid w:val="0051546E"/>
    <w:rsid w:val="0051572B"/>
    <w:rsid w:val="005157B6"/>
    <w:rsid w:val="00515E9B"/>
    <w:rsid w:val="00515F85"/>
    <w:rsid w:val="005162B5"/>
    <w:rsid w:val="00516C63"/>
    <w:rsid w:val="00516CAA"/>
    <w:rsid w:val="00517ABA"/>
    <w:rsid w:val="00517DD6"/>
    <w:rsid w:val="0052013C"/>
    <w:rsid w:val="005201EC"/>
    <w:rsid w:val="0052045F"/>
    <w:rsid w:val="00520849"/>
    <w:rsid w:val="0052108B"/>
    <w:rsid w:val="005211CD"/>
    <w:rsid w:val="0052151F"/>
    <w:rsid w:val="00521B2A"/>
    <w:rsid w:val="00521B7B"/>
    <w:rsid w:val="00522516"/>
    <w:rsid w:val="00522688"/>
    <w:rsid w:val="005228B0"/>
    <w:rsid w:val="005229A9"/>
    <w:rsid w:val="00522CA6"/>
    <w:rsid w:val="00522E5E"/>
    <w:rsid w:val="005234B1"/>
    <w:rsid w:val="00523685"/>
    <w:rsid w:val="005237DD"/>
    <w:rsid w:val="005239EC"/>
    <w:rsid w:val="00523A2F"/>
    <w:rsid w:val="00523ADC"/>
    <w:rsid w:val="00523BA1"/>
    <w:rsid w:val="00524730"/>
    <w:rsid w:val="00524DB0"/>
    <w:rsid w:val="00524E57"/>
    <w:rsid w:val="00525135"/>
    <w:rsid w:val="00525470"/>
    <w:rsid w:val="00525F7F"/>
    <w:rsid w:val="005261C2"/>
    <w:rsid w:val="005267E9"/>
    <w:rsid w:val="00526DFC"/>
    <w:rsid w:val="00526F05"/>
    <w:rsid w:val="0052716E"/>
    <w:rsid w:val="00527739"/>
    <w:rsid w:val="00527B2F"/>
    <w:rsid w:val="00527CAB"/>
    <w:rsid w:val="00527CBA"/>
    <w:rsid w:val="00527DEB"/>
    <w:rsid w:val="00527F84"/>
    <w:rsid w:val="00530012"/>
    <w:rsid w:val="005300EA"/>
    <w:rsid w:val="0053065B"/>
    <w:rsid w:val="00531130"/>
    <w:rsid w:val="0053117A"/>
    <w:rsid w:val="00531582"/>
    <w:rsid w:val="0053209C"/>
    <w:rsid w:val="00532135"/>
    <w:rsid w:val="00532E0C"/>
    <w:rsid w:val="005330F0"/>
    <w:rsid w:val="00533179"/>
    <w:rsid w:val="005335F1"/>
    <w:rsid w:val="005336CC"/>
    <w:rsid w:val="00533D3D"/>
    <w:rsid w:val="00533E32"/>
    <w:rsid w:val="00534BFF"/>
    <w:rsid w:val="00534F5D"/>
    <w:rsid w:val="0053513A"/>
    <w:rsid w:val="00535C0D"/>
    <w:rsid w:val="00536094"/>
    <w:rsid w:val="00536162"/>
    <w:rsid w:val="00536377"/>
    <w:rsid w:val="00536642"/>
    <w:rsid w:val="0053671A"/>
    <w:rsid w:val="005369A4"/>
    <w:rsid w:val="00536ECC"/>
    <w:rsid w:val="00537017"/>
    <w:rsid w:val="00537445"/>
    <w:rsid w:val="0053746C"/>
    <w:rsid w:val="005375F7"/>
    <w:rsid w:val="0054000F"/>
    <w:rsid w:val="0054067E"/>
    <w:rsid w:val="00540760"/>
    <w:rsid w:val="00540D0F"/>
    <w:rsid w:val="00540E5F"/>
    <w:rsid w:val="00540E96"/>
    <w:rsid w:val="0054132A"/>
    <w:rsid w:val="005415F6"/>
    <w:rsid w:val="00541C07"/>
    <w:rsid w:val="00541E6C"/>
    <w:rsid w:val="00541FB9"/>
    <w:rsid w:val="0054241C"/>
    <w:rsid w:val="005425CC"/>
    <w:rsid w:val="0054278B"/>
    <w:rsid w:val="00543B15"/>
    <w:rsid w:val="00543FE6"/>
    <w:rsid w:val="00544BF8"/>
    <w:rsid w:val="00544D28"/>
    <w:rsid w:val="00544E8D"/>
    <w:rsid w:val="005450F5"/>
    <w:rsid w:val="0054541F"/>
    <w:rsid w:val="005454BE"/>
    <w:rsid w:val="00545638"/>
    <w:rsid w:val="00545A5C"/>
    <w:rsid w:val="00545B9D"/>
    <w:rsid w:val="005460DF"/>
    <w:rsid w:val="00546CC0"/>
    <w:rsid w:val="00546ED5"/>
    <w:rsid w:val="005471DD"/>
    <w:rsid w:val="00547293"/>
    <w:rsid w:val="0054761F"/>
    <w:rsid w:val="00547D11"/>
    <w:rsid w:val="00547DAE"/>
    <w:rsid w:val="00550034"/>
    <w:rsid w:val="00550730"/>
    <w:rsid w:val="00550969"/>
    <w:rsid w:val="00550AAC"/>
    <w:rsid w:val="00550AAE"/>
    <w:rsid w:val="00550CDE"/>
    <w:rsid w:val="00550F5C"/>
    <w:rsid w:val="005516B2"/>
    <w:rsid w:val="00551986"/>
    <w:rsid w:val="00551DF7"/>
    <w:rsid w:val="00552183"/>
    <w:rsid w:val="0055224B"/>
    <w:rsid w:val="005522E8"/>
    <w:rsid w:val="0055246C"/>
    <w:rsid w:val="00552489"/>
    <w:rsid w:val="00552946"/>
    <w:rsid w:val="00552B03"/>
    <w:rsid w:val="00552C1C"/>
    <w:rsid w:val="005535B4"/>
    <w:rsid w:val="00553CF4"/>
    <w:rsid w:val="005541DE"/>
    <w:rsid w:val="0055431F"/>
    <w:rsid w:val="00554791"/>
    <w:rsid w:val="0055486A"/>
    <w:rsid w:val="00554A23"/>
    <w:rsid w:val="00554B6F"/>
    <w:rsid w:val="005557F8"/>
    <w:rsid w:val="005564DD"/>
    <w:rsid w:val="005565B6"/>
    <w:rsid w:val="00556605"/>
    <w:rsid w:val="00556BAC"/>
    <w:rsid w:val="005573E1"/>
    <w:rsid w:val="005601CF"/>
    <w:rsid w:val="00560281"/>
    <w:rsid w:val="00560296"/>
    <w:rsid w:val="00560302"/>
    <w:rsid w:val="005607EA"/>
    <w:rsid w:val="00560AB4"/>
    <w:rsid w:val="00560D78"/>
    <w:rsid w:val="00560F24"/>
    <w:rsid w:val="00561144"/>
    <w:rsid w:val="00561ADC"/>
    <w:rsid w:val="00562223"/>
    <w:rsid w:val="00562649"/>
    <w:rsid w:val="00562BBA"/>
    <w:rsid w:val="00562F15"/>
    <w:rsid w:val="00562FE2"/>
    <w:rsid w:val="0056376C"/>
    <w:rsid w:val="00563870"/>
    <w:rsid w:val="00563951"/>
    <w:rsid w:val="00563CB5"/>
    <w:rsid w:val="00565828"/>
    <w:rsid w:val="005658CC"/>
    <w:rsid w:val="00565947"/>
    <w:rsid w:val="00565B67"/>
    <w:rsid w:val="00565EB6"/>
    <w:rsid w:val="005660B7"/>
    <w:rsid w:val="005662F6"/>
    <w:rsid w:val="00567121"/>
    <w:rsid w:val="00567149"/>
    <w:rsid w:val="00567763"/>
    <w:rsid w:val="005706FF"/>
    <w:rsid w:val="00570995"/>
    <w:rsid w:val="00570D63"/>
    <w:rsid w:val="005710BF"/>
    <w:rsid w:val="0057233D"/>
    <w:rsid w:val="005723D1"/>
    <w:rsid w:val="0057241F"/>
    <w:rsid w:val="00572F02"/>
    <w:rsid w:val="005731AB"/>
    <w:rsid w:val="005736B7"/>
    <w:rsid w:val="00573789"/>
    <w:rsid w:val="00573A70"/>
    <w:rsid w:val="00574340"/>
    <w:rsid w:val="00574378"/>
    <w:rsid w:val="00574544"/>
    <w:rsid w:val="00574B03"/>
    <w:rsid w:val="00575982"/>
    <w:rsid w:val="00576A1A"/>
    <w:rsid w:val="00576A83"/>
    <w:rsid w:val="005773D8"/>
    <w:rsid w:val="005776D7"/>
    <w:rsid w:val="00577FDF"/>
    <w:rsid w:val="0058012A"/>
    <w:rsid w:val="005806D2"/>
    <w:rsid w:val="00580A48"/>
    <w:rsid w:val="00580D2E"/>
    <w:rsid w:val="005813C5"/>
    <w:rsid w:val="00581850"/>
    <w:rsid w:val="00581BC7"/>
    <w:rsid w:val="00582407"/>
    <w:rsid w:val="00582A10"/>
    <w:rsid w:val="00582BD7"/>
    <w:rsid w:val="005834A8"/>
    <w:rsid w:val="00583810"/>
    <w:rsid w:val="00583872"/>
    <w:rsid w:val="0058395B"/>
    <w:rsid w:val="005840EE"/>
    <w:rsid w:val="00584354"/>
    <w:rsid w:val="005844A7"/>
    <w:rsid w:val="005844E0"/>
    <w:rsid w:val="00584788"/>
    <w:rsid w:val="00584A1F"/>
    <w:rsid w:val="00584BDE"/>
    <w:rsid w:val="00584C46"/>
    <w:rsid w:val="0058537D"/>
    <w:rsid w:val="005853A7"/>
    <w:rsid w:val="005854C3"/>
    <w:rsid w:val="0058583B"/>
    <w:rsid w:val="00585B20"/>
    <w:rsid w:val="00585C54"/>
    <w:rsid w:val="00585D53"/>
    <w:rsid w:val="0058617D"/>
    <w:rsid w:val="005862FC"/>
    <w:rsid w:val="00586A63"/>
    <w:rsid w:val="00586E34"/>
    <w:rsid w:val="00587431"/>
    <w:rsid w:val="00587760"/>
    <w:rsid w:val="005903C4"/>
    <w:rsid w:val="00590726"/>
    <w:rsid w:val="005909CD"/>
    <w:rsid w:val="00590ACA"/>
    <w:rsid w:val="005912CC"/>
    <w:rsid w:val="00591371"/>
    <w:rsid w:val="0059157A"/>
    <w:rsid w:val="005917AB"/>
    <w:rsid w:val="00591B01"/>
    <w:rsid w:val="00591DAE"/>
    <w:rsid w:val="005920D3"/>
    <w:rsid w:val="0059210D"/>
    <w:rsid w:val="005923D5"/>
    <w:rsid w:val="00592859"/>
    <w:rsid w:val="00592A9E"/>
    <w:rsid w:val="00592C02"/>
    <w:rsid w:val="00592C5B"/>
    <w:rsid w:val="00592E86"/>
    <w:rsid w:val="00592EE3"/>
    <w:rsid w:val="0059356A"/>
    <w:rsid w:val="0059357A"/>
    <w:rsid w:val="0059373E"/>
    <w:rsid w:val="0059383B"/>
    <w:rsid w:val="00593900"/>
    <w:rsid w:val="00593BB1"/>
    <w:rsid w:val="00593C22"/>
    <w:rsid w:val="00594065"/>
    <w:rsid w:val="005944E0"/>
    <w:rsid w:val="0059469B"/>
    <w:rsid w:val="005947B9"/>
    <w:rsid w:val="00594807"/>
    <w:rsid w:val="00594A11"/>
    <w:rsid w:val="005951D6"/>
    <w:rsid w:val="005955E8"/>
    <w:rsid w:val="005956E5"/>
    <w:rsid w:val="00595807"/>
    <w:rsid w:val="00595B15"/>
    <w:rsid w:val="00595CAB"/>
    <w:rsid w:val="0059600E"/>
    <w:rsid w:val="005960E8"/>
    <w:rsid w:val="005961DE"/>
    <w:rsid w:val="005967F9"/>
    <w:rsid w:val="005968C1"/>
    <w:rsid w:val="005968E6"/>
    <w:rsid w:val="005968F7"/>
    <w:rsid w:val="00596A63"/>
    <w:rsid w:val="00596D9B"/>
    <w:rsid w:val="005972AA"/>
    <w:rsid w:val="00597A74"/>
    <w:rsid w:val="005A0BA6"/>
    <w:rsid w:val="005A0F2A"/>
    <w:rsid w:val="005A11E5"/>
    <w:rsid w:val="005A196F"/>
    <w:rsid w:val="005A1A79"/>
    <w:rsid w:val="005A1E84"/>
    <w:rsid w:val="005A2C50"/>
    <w:rsid w:val="005A307B"/>
    <w:rsid w:val="005A3DF5"/>
    <w:rsid w:val="005A3DFA"/>
    <w:rsid w:val="005A3F6E"/>
    <w:rsid w:val="005A45F6"/>
    <w:rsid w:val="005A4879"/>
    <w:rsid w:val="005A4BBB"/>
    <w:rsid w:val="005A550E"/>
    <w:rsid w:val="005A5B99"/>
    <w:rsid w:val="005A5D31"/>
    <w:rsid w:val="005A5DE4"/>
    <w:rsid w:val="005A6084"/>
    <w:rsid w:val="005A624A"/>
    <w:rsid w:val="005A62A2"/>
    <w:rsid w:val="005A69CD"/>
    <w:rsid w:val="005A6C96"/>
    <w:rsid w:val="005A6D5C"/>
    <w:rsid w:val="005A70D6"/>
    <w:rsid w:val="005A756E"/>
    <w:rsid w:val="005A77E6"/>
    <w:rsid w:val="005A7BCC"/>
    <w:rsid w:val="005B0096"/>
    <w:rsid w:val="005B0147"/>
    <w:rsid w:val="005B022B"/>
    <w:rsid w:val="005B09FA"/>
    <w:rsid w:val="005B0FDC"/>
    <w:rsid w:val="005B109C"/>
    <w:rsid w:val="005B10E7"/>
    <w:rsid w:val="005B1415"/>
    <w:rsid w:val="005B1DF2"/>
    <w:rsid w:val="005B2251"/>
    <w:rsid w:val="005B2784"/>
    <w:rsid w:val="005B2F25"/>
    <w:rsid w:val="005B2F65"/>
    <w:rsid w:val="005B31A3"/>
    <w:rsid w:val="005B31D6"/>
    <w:rsid w:val="005B3264"/>
    <w:rsid w:val="005B3341"/>
    <w:rsid w:val="005B36DA"/>
    <w:rsid w:val="005B38F2"/>
    <w:rsid w:val="005B3A1E"/>
    <w:rsid w:val="005B3AD5"/>
    <w:rsid w:val="005B4089"/>
    <w:rsid w:val="005B44F6"/>
    <w:rsid w:val="005B4A7B"/>
    <w:rsid w:val="005B4E4A"/>
    <w:rsid w:val="005B5019"/>
    <w:rsid w:val="005B57C3"/>
    <w:rsid w:val="005B5A32"/>
    <w:rsid w:val="005B6642"/>
    <w:rsid w:val="005B7225"/>
    <w:rsid w:val="005B727C"/>
    <w:rsid w:val="005B73EF"/>
    <w:rsid w:val="005B7660"/>
    <w:rsid w:val="005B785C"/>
    <w:rsid w:val="005B7D55"/>
    <w:rsid w:val="005C013F"/>
    <w:rsid w:val="005C03AB"/>
    <w:rsid w:val="005C0C14"/>
    <w:rsid w:val="005C0ED0"/>
    <w:rsid w:val="005C119D"/>
    <w:rsid w:val="005C124B"/>
    <w:rsid w:val="005C14C3"/>
    <w:rsid w:val="005C20CB"/>
    <w:rsid w:val="005C2805"/>
    <w:rsid w:val="005C288D"/>
    <w:rsid w:val="005C29FC"/>
    <w:rsid w:val="005C2BBF"/>
    <w:rsid w:val="005C317F"/>
    <w:rsid w:val="005C3A26"/>
    <w:rsid w:val="005C3C15"/>
    <w:rsid w:val="005C3C23"/>
    <w:rsid w:val="005C3E72"/>
    <w:rsid w:val="005C40A0"/>
    <w:rsid w:val="005C43AF"/>
    <w:rsid w:val="005C4FC4"/>
    <w:rsid w:val="005C5248"/>
    <w:rsid w:val="005C549A"/>
    <w:rsid w:val="005C64CE"/>
    <w:rsid w:val="005C67C9"/>
    <w:rsid w:val="005C698A"/>
    <w:rsid w:val="005C6A2A"/>
    <w:rsid w:val="005C6BB5"/>
    <w:rsid w:val="005C705D"/>
    <w:rsid w:val="005C7461"/>
    <w:rsid w:val="005C7507"/>
    <w:rsid w:val="005C76CE"/>
    <w:rsid w:val="005C7879"/>
    <w:rsid w:val="005D05E8"/>
    <w:rsid w:val="005D0674"/>
    <w:rsid w:val="005D070C"/>
    <w:rsid w:val="005D0E60"/>
    <w:rsid w:val="005D1694"/>
    <w:rsid w:val="005D19DE"/>
    <w:rsid w:val="005D240F"/>
    <w:rsid w:val="005D26BC"/>
    <w:rsid w:val="005D2A6B"/>
    <w:rsid w:val="005D2FF9"/>
    <w:rsid w:val="005D342C"/>
    <w:rsid w:val="005D3632"/>
    <w:rsid w:val="005D3AE1"/>
    <w:rsid w:val="005D42FC"/>
    <w:rsid w:val="005D477A"/>
    <w:rsid w:val="005D48CA"/>
    <w:rsid w:val="005D5143"/>
    <w:rsid w:val="005D5C76"/>
    <w:rsid w:val="005D5D1B"/>
    <w:rsid w:val="005D626F"/>
    <w:rsid w:val="005D6736"/>
    <w:rsid w:val="005D7AA4"/>
    <w:rsid w:val="005D7C62"/>
    <w:rsid w:val="005E020B"/>
    <w:rsid w:val="005E0448"/>
    <w:rsid w:val="005E0660"/>
    <w:rsid w:val="005E09CF"/>
    <w:rsid w:val="005E0ED8"/>
    <w:rsid w:val="005E125C"/>
    <w:rsid w:val="005E14EE"/>
    <w:rsid w:val="005E1587"/>
    <w:rsid w:val="005E1B34"/>
    <w:rsid w:val="005E23EE"/>
    <w:rsid w:val="005E2616"/>
    <w:rsid w:val="005E2908"/>
    <w:rsid w:val="005E301D"/>
    <w:rsid w:val="005E331B"/>
    <w:rsid w:val="005E34AF"/>
    <w:rsid w:val="005E34B1"/>
    <w:rsid w:val="005E3AFF"/>
    <w:rsid w:val="005E3FF1"/>
    <w:rsid w:val="005E550F"/>
    <w:rsid w:val="005E5513"/>
    <w:rsid w:val="005E5648"/>
    <w:rsid w:val="005E5A69"/>
    <w:rsid w:val="005E5DED"/>
    <w:rsid w:val="005E5FFB"/>
    <w:rsid w:val="005E60CB"/>
    <w:rsid w:val="005E64C6"/>
    <w:rsid w:val="005E6538"/>
    <w:rsid w:val="005E657E"/>
    <w:rsid w:val="005E6717"/>
    <w:rsid w:val="005E681A"/>
    <w:rsid w:val="005E6EDB"/>
    <w:rsid w:val="005E78AB"/>
    <w:rsid w:val="005E7CB0"/>
    <w:rsid w:val="005F0488"/>
    <w:rsid w:val="005F0B97"/>
    <w:rsid w:val="005F0F67"/>
    <w:rsid w:val="005F143F"/>
    <w:rsid w:val="005F1923"/>
    <w:rsid w:val="005F1AB5"/>
    <w:rsid w:val="005F201C"/>
    <w:rsid w:val="005F217D"/>
    <w:rsid w:val="005F2258"/>
    <w:rsid w:val="005F2F38"/>
    <w:rsid w:val="005F3108"/>
    <w:rsid w:val="005F320C"/>
    <w:rsid w:val="005F334D"/>
    <w:rsid w:val="005F3408"/>
    <w:rsid w:val="005F3532"/>
    <w:rsid w:val="005F3BAF"/>
    <w:rsid w:val="005F3CDF"/>
    <w:rsid w:val="005F4025"/>
    <w:rsid w:val="005F41BE"/>
    <w:rsid w:val="005F43FB"/>
    <w:rsid w:val="005F4B3E"/>
    <w:rsid w:val="005F4C9A"/>
    <w:rsid w:val="005F4E37"/>
    <w:rsid w:val="005F5BE5"/>
    <w:rsid w:val="005F5C22"/>
    <w:rsid w:val="005F66E0"/>
    <w:rsid w:val="005F672E"/>
    <w:rsid w:val="005F68F7"/>
    <w:rsid w:val="005F6C57"/>
    <w:rsid w:val="005F725D"/>
    <w:rsid w:val="005F756B"/>
    <w:rsid w:val="005F7C93"/>
    <w:rsid w:val="005F7F24"/>
    <w:rsid w:val="006001ED"/>
    <w:rsid w:val="006006B3"/>
    <w:rsid w:val="0060081F"/>
    <w:rsid w:val="0060097B"/>
    <w:rsid w:val="00600AFA"/>
    <w:rsid w:val="00600E84"/>
    <w:rsid w:val="006015F4"/>
    <w:rsid w:val="00601731"/>
    <w:rsid w:val="00601738"/>
    <w:rsid w:val="00601762"/>
    <w:rsid w:val="006017E5"/>
    <w:rsid w:val="00601A72"/>
    <w:rsid w:val="00601BBA"/>
    <w:rsid w:val="00601ED6"/>
    <w:rsid w:val="00601FEF"/>
    <w:rsid w:val="00602108"/>
    <w:rsid w:val="00602EE4"/>
    <w:rsid w:val="00602FB7"/>
    <w:rsid w:val="006030DB"/>
    <w:rsid w:val="006031D5"/>
    <w:rsid w:val="00603308"/>
    <w:rsid w:val="006034A4"/>
    <w:rsid w:val="0060402D"/>
    <w:rsid w:val="0060479B"/>
    <w:rsid w:val="00604843"/>
    <w:rsid w:val="00604B7D"/>
    <w:rsid w:val="006054CC"/>
    <w:rsid w:val="00605ECE"/>
    <w:rsid w:val="0060632E"/>
    <w:rsid w:val="00606454"/>
    <w:rsid w:val="0060709C"/>
    <w:rsid w:val="00607249"/>
    <w:rsid w:val="0061040C"/>
    <w:rsid w:val="006107E3"/>
    <w:rsid w:val="006108FD"/>
    <w:rsid w:val="00610A15"/>
    <w:rsid w:val="00610ADF"/>
    <w:rsid w:val="00610C34"/>
    <w:rsid w:val="006114A3"/>
    <w:rsid w:val="00611DBD"/>
    <w:rsid w:val="00612B43"/>
    <w:rsid w:val="00612D3C"/>
    <w:rsid w:val="00612ECF"/>
    <w:rsid w:val="006130B3"/>
    <w:rsid w:val="0061347F"/>
    <w:rsid w:val="0061349B"/>
    <w:rsid w:val="00613A57"/>
    <w:rsid w:val="00613F18"/>
    <w:rsid w:val="00614131"/>
    <w:rsid w:val="0061495C"/>
    <w:rsid w:val="00615A70"/>
    <w:rsid w:val="00615B26"/>
    <w:rsid w:val="00615DF2"/>
    <w:rsid w:val="00616035"/>
    <w:rsid w:val="006163B3"/>
    <w:rsid w:val="0061695C"/>
    <w:rsid w:val="00616B34"/>
    <w:rsid w:val="00616CBD"/>
    <w:rsid w:val="00616FAB"/>
    <w:rsid w:val="006173AF"/>
    <w:rsid w:val="00617630"/>
    <w:rsid w:val="0061769A"/>
    <w:rsid w:val="00617AC3"/>
    <w:rsid w:val="00617FFD"/>
    <w:rsid w:val="00620053"/>
    <w:rsid w:val="006204DC"/>
    <w:rsid w:val="006207CE"/>
    <w:rsid w:val="00620F05"/>
    <w:rsid w:val="00620F66"/>
    <w:rsid w:val="00621048"/>
    <w:rsid w:val="00621971"/>
    <w:rsid w:val="00621A87"/>
    <w:rsid w:val="00621BB5"/>
    <w:rsid w:val="00621C39"/>
    <w:rsid w:val="00621E7B"/>
    <w:rsid w:val="00622131"/>
    <w:rsid w:val="00622E5D"/>
    <w:rsid w:val="00622F74"/>
    <w:rsid w:val="00623201"/>
    <w:rsid w:val="006232F4"/>
    <w:rsid w:val="00623AE3"/>
    <w:rsid w:val="00623E53"/>
    <w:rsid w:val="00624069"/>
    <w:rsid w:val="0062429E"/>
    <w:rsid w:val="006244E2"/>
    <w:rsid w:val="006249BA"/>
    <w:rsid w:val="006252E6"/>
    <w:rsid w:val="0062554D"/>
    <w:rsid w:val="00625E4C"/>
    <w:rsid w:val="0062677E"/>
    <w:rsid w:val="0062678E"/>
    <w:rsid w:val="006267EC"/>
    <w:rsid w:val="00626CA0"/>
    <w:rsid w:val="006270E2"/>
    <w:rsid w:val="006271A7"/>
    <w:rsid w:val="006275D0"/>
    <w:rsid w:val="00627FA8"/>
    <w:rsid w:val="006302FE"/>
    <w:rsid w:val="006303E6"/>
    <w:rsid w:val="00630DA0"/>
    <w:rsid w:val="00630DB8"/>
    <w:rsid w:val="00631C83"/>
    <w:rsid w:val="00631FF1"/>
    <w:rsid w:val="006324B1"/>
    <w:rsid w:val="00632807"/>
    <w:rsid w:val="00632B27"/>
    <w:rsid w:val="00632D74"/>
    <w:rsid w:val="00632E80"/>
    <w:rsid w:val="00633373"/>
    <w:rsid w:val="006335FC"/>
    <w:rsid w:val="00633C48"/>
    <w:rsid w:val="00634468"/>
    <w:rsid w:val="0063471B"/>
    <w:rsid w:val="006355C5"/>
    <w:rsid w:val="00635C8D"/>
    <w:rsid w:val="00636BE5"/>
    <w:rsid w:val="00636EAA"/>
    <w:rsid w:val="00637167"/>
    <w:rsid w:val="00637242"/>
    <w:rsid w:val="00637730"/>
    <w:rsid w:val="00637853"/>
    <w:rsid w:val="00637B34"/>
    <w:rsid w:val="00640078"/>
    <w:rsid w:val="00640244"/>
    <w:rsid w:val="006402C6"/>
    <w:rsid w:val="00640423"/>
    <w:rsid w:val="0064050A"/>
    <w:rsid w:val="00640548"/>
    <w:rsid w:val="00640628"/>
    <w:rsid w:val="00640791"/>
    <w:rsid w:val="0064084A"/>
    <w:rsid w:val="00640A32"/>
    <w:rsid w:val="00641506"/>
    <w:rsid w:val="0064178B"/>
    <w:rsid w:val="00641B4D"/>
    <w:rsid w:val="00641C56"/>
    <w:rsid w:val="00641EE0"/>
    <w:rsid w:val="00641FA4"/>
    <w:rsid w:val="006420F8"/>
    <w:rsid w:val="00642147"/>
    <w:rsid w:val="006421D0"/>
    <w:rsid w:val="006424E4"/>
    <w:rsid w:val="00642C09"/>
    <w:rsid w:val="00642CD0"/>
    <w:rsid w:val="00642D1B"/>
    <w:rsid w:val="00643731"/>
    <w:rsid w:val="00643779"/>
    <w:rsid w:val="00644281"/>
    <w:rsid w:val="00644389"/>
    <w:rsid w:val="0064501F"/>
    <w:rsid w:val="0064521C"/>
    <w:rsid w:val="006456AE"/>
    <w:rsid w:val="00645756"/>
    <w:rsid w:val="00645B3F"/>
    <w:rsid w:val="00645DA3"/>
    <w:rsid w:val="00646354"/>
    <w:rsid w:val="00646540"/>
    <w:rsid w:val="006468DC"/>
    <w:rsid w:val="006471EA"/>
    <w:rsid w:val="0064726C"/>
    <w:rsid w:val="0064741F"/>
    <w:rsid w:val="00647572"/>
    <w:rsid w:val="00647B9F"/>
    <w:rsid w:val="00647BCC"/>
    <w:rsid w:val="00647EC5"/>
    <w:rsid w:val="006501A9"/>
    <w:rsid w:val="0065096E"/>
    <w:rsid w:val="0065106E"/>
    <w:rsid w:val="00651BCF"/>
    <w:rsid w:val="00651DB2"/>
    <w:rsid w:val="00651E06"/>
    <w:rsid w:val="0065221B"/>
    <w:rsid w:val="00652695"/>
    <w:rsid w:val="00653271"/>
    <w:rsid w:val="006532C9"/>
    <w:rsid w:val="00653474"/>
    <w:rsid w:val="00654229"/>
    <w:rsid w:val="0065438C"/>
    <w:rsid w:val="00654612"/>
    <w:rsid w:val="00654EEA"/>
    <w:rsid w:val="00655261"/>
    <w:rsid w:val="006569F8"/>
    <w:rsid w:val="00656B94"/>
    <w:rsid w:val="00656BEA"/>
    <w:rsid w:val="00656E48"/>
    <w:rsid w:val="006571A7"/>
    <w:rsid w:val="00657332"/>
    <w:rsid w:val="00657495"/>
    <w:rsid w:val="00657AC1"/>
    <w:rsid w:val="00657ACB"/>
    <w:rsid w:val="00657E9C"/>
    <w:rsid w:val="00660407"/>
    <w:rsid w:val="006604D0"/>
    <w:rsid w:val="00661170"/>
    <w:rsid w:val="00661385"/>
    <w:rsid w:val="0066189B"/>
    <w:rsid w:val="00661A76"/>
    <w:rsid w:val="00661B5B"/>
    <w:rsid w:val="00661E47"/>
    <w:rsid w:val="00662508"/>
    <w:rsid w:val="006625F4"/>
    <w:rsid w:val="006629FC"/>
    <w:rsid w:val="006635F2"/>
    <w:rsid w:val="006638C3"/>
    <w:rsid w:val="00663D1C"/>
    <w:rsid w:val="00663D71"/>
    <w:rsid w:val="0066420D"/>
    <w:rsid w:val="006648EB"/>
    <w:rsid w:val="00664F4A"/>
    <w:rsid w:val="0066546F"/>
    <w:rsid w:val="00665600"/>
    <w:rsid w:val="00665AAA"/>
    <w:rsid w:val="00665C89"/>
    <w:rsid w:val="00666F6B"/>
    <w:rsid w:val="00667255"/>
    <w:rsid w:val="006676E9"/>
    <w:rsid w:val="0066797B"/>
    <w:rsid w:val="00667A86"/>
    <w:rsid w:val="00667B4D"/>
    <w:rsid w:val="00670136"/>
    <w:rsid w:val="0067032C"/>
    <w:rsid w:val="00670A58"/>
    <w:rsid w:val="0067143F"/>
    <w:rsid w:val="006716A4"/>
    <w:rsid w:val="00671D71"/>
    <w:rsid w:val="00672450"/>
    <w:rsid w:val="00672A06"/>
    <w:rsid w:val="00672E7C"/>
    <w:rsid w:val="0067305D"/>
    <w:rsid w:val="00673E29"/>
    <w:rsid w:val="00673E47"/>
    <w:rsid w:val="00674265"/>
    <w:rsid w:val="00674307"/>
    <w:rsid w:val="006745BF"/>
    <w:rsid w:val="0067494D"/>
    <w:rsid w:val="006749C8"/>
    <w:rsid w:val="00674E68"/>
    <w:rsid w:val="00674EF8"/>
    <w:rsid w:val="00675338"/>
    <w:rsid w:val="00675750"/>
    <w:rsid w:val="0067631A"/>
    <w:rsid w:val="006766F4"/>
    <w:rsid w:val="006766FD"/>
    <w:rsid w:val="00676B25"/>
    <w:rsid w:val="00676F63"/>
    <w:rsid w:val="00677462"/>
    <w:rsid w:val="006777D1"/>
    <w:rsid w:val="006806BA"/>
    <w:rsid w:val="00680BC5"/>
    <w:rsid w:val="00680F7B"/>
    <w:rsid w:val="00681516"/>
    <w:rsid w:val="00681A36"/>
    <w:rsid w:val="006823D4"/>
    <w:rsid w:val="006831CE"/>
    <w:rsid w:val="006841F0"/>
    <w:rsid w:val="0068477B"/>
    <w:rsid w:val="00685018"/>
    <w:rsid w:val="00685028"/>
    <w:rsid w:val="006852D7"/>
    <w:rsid w:val="00685582"/>
    <w:rsid w:val="006859B5"/>
    <w:rsid w:val="00685A5D"/>
    <w:rsid w:val="00685E9B"/>
    <w:rsid w:val="00685FEF"/>
    <w:rsid w:val="006860DE"/>
    <w:rsid w:val="0068655B"/>
    <w:rsid w:val="00686600"/>
    <w:rsid w:val="0068678C"/>
    <w:rsid w:val="00686833"/>
    <w:rsid w:val="00686CBE"/>
    <w:rsid w:val="00686D0F"/>
    <w:rsid w:val="00687AD1"/>
    <w:rsid w:val="00687C73"/>
    <w:rsid w:val="0069034F"/>
    <w:rsid w:val="006908AA"/>
    <w:rsid w:val="00690BC9"/>
    <w:rsid w:val="0069108E"/>
    <w:rsid w:val="00691232"/>
    <w:rsid w:val="00691E53"/>
    <w:rsid w:val="00691FEE"/>
    <w:rsid w:val="00692327"/>
    <w:rsid w:val="00692815"/>
    <w:rsid w:val="00692A59"/>
    <w:rsid w:val="00692BFA"/>
    <w:rsid w:val="00692C41"/>
    <w:rsid w:val="00693325"/>
    <w:rsid w:val="006935F7"/>
    <w:rsid w:val="00693BCD"/>
    <w:rsid w:val="00693FCD"/>
    <w:rsid w:val="00694149"/>
    <w:rsid w:val="00694527"/>
    <w:rsid w:val="006955CD"/>
    <w:rsid w:val="00695964"/>
    <w:rsid w:val="00695FAE"/>
    <w:rsid w:val="00696847"/>
    <w:rsid w:val="0069694E"/>
    <w:rsid w:val="00696A32"/>
    <w:rsid w:val="00696B68"/>
    <w:rsid w:val="00696E87"/>
    <w:rsid w:val="00696FA3"/>
    <w:rsid w:val="00697487"/>
    <w:rsid w:val="0069756D"/>
    <w:rsid w:val="00697726"/>
    <w:rsid w:val="00697B3E"/>
    <w:rsid w:val="00697F7D"/>
    <w:rsid w:val="006A0098"/>
    <w:rsid w:val="006A02F1"/>
    <w:rsid w:val="006A0873"/>
    <w:rsid w:val="006A09FB"/>
    <w:rsid w:val="006A1968"/>
    <w:rsid w:val="006A1D25"/>
    <w:rsid w:val="006A1F34"/>
    <w:rsid w:val="006A2053"/>
    <w:rsid w:val="006A3101"/>
    <w:rsid w:val="006A389F"/>
    <w:rsid w:val="006A394A"/>
    <w:rsid w:val="006A3955"/>
    <w:rsid w:val="006A4798"/>
    <w:rsid w:val="006A4B06"/>
    <w:rsid w:val="006A4D36"/>
    <w:rsid w:val="006A5551"/>
    <w:rsid w:val="006A58A8"/>
    <w:rsid w:val="006A5969"/>
    <w:rsid w:val="006A5E9E"/>
    <w:rsid w:val="006A6813"/>
    <w:rsid w:val="006A6918"/>
    <w:rsid w:val="006A6993"/>
    <w:rsid w:val="006A710B"/>
    <w:rsid w:val="006A710D"/>
    <w:rsid w:val="006A721F"/>
    <w:rsid w:val="006A7501"/>
    <w:rsid w:val="006A75EE"/>
    <w:rsid w:val="006A7688"/>
    <w:rsid w:val="006A76A7"/>
    <w:rsid w:val="006B0F1C"/>
    <w:rsid w:val="006B1A60"/>
    <w:rsid w:val="006B1BE6"/>
    <w:rsid w:val="006B1D66"/>
    <w:rsid w:val="006B2321"/>
    <w:rsid w:val="006B2DE0"/>
    <w:rsid w:val="006B2FDF"/>
    <w:rsid w:val="006B3447"/>
    <w:rsid w:val="006B35D2"/>
    <w:rsid w:val="006B3854"/>
    <w:rsid w:val="006B3C58"/>
    <w:rsid w:val="006B3D1D"/>
    <w:rsid w:val="006B3D25"/>
    <w:rsid w:val="006B3EC1"/>
    <w:rsid w:val="006B41CA"/>
    <w:rsid w:val="006B4221"/>
    <w:rsid w:val="006B481D"/>
    <w:rsid w:val="006B4B6C"/>
    <w:rsid w:val="006B4D36"/>
    <w:rsid w:val="006B4EDD"/>
    <w:rsid w:val="006B5189"/>
    <w:rsid w:val="006B52C9"/>
    <w:rsid w:val="006B547A"/>
    <w:rsid w:val="006B54AD"/>
    <w:rsid w:val="006B56B2"/>
    <w:rsid w:val="006B59D5"/>
    <w:rsid w:val="006B5AAA"/>
    <w:rsid w:val="006B5BC5"/>
    <w:rsid w:val="006B5D34"/>
    <w:rsid w:val="006B5D4A"/>
    <w:rsid w:val="006B6044"/>
    <w:rsid w:val="006B60C3"/>
    <w:rsid w:val="006B6C20"/>
    <w:rsid w:val="006B6E80"/>
    <w:rsid w:val="006B7AD7"/>
    <w:rsid w:val="006C0DDA"/>
    <w:rsid w:val="006C12CF"/>
    <w:rsid w:val="006C1C6E"/>
    <w:rsid w:val="006C21E8"/>
    <w:rsid w:val="006C222E"/>
    <w:rsid w:val="006C252B"/>
    <w:rsid w:val="006C2B0F"/>
    <w:rsid w:val="006C31E4"/>
    <w:rsid w:val="006C3238"/>
    <w:rsid w:val="006C34BF"/>
    <w:rsid w:val="006C4B2D"/>
    <w:rsid w:val="006C4B5C"/>
    <w:rsid w:val="006C4D85"/>
    <w:rsid w:val="006C4EA7"/>
    <w:rsid w:val="006C53FC"/>
    <w:rsid w:val="006C5BF3"/>
    <w:rsid w:val="006C5CEC"/>
    <w:rsid w:val="006C633F"/>
    <w:rsid w:val="006C6470"/>
    <w:rsid w:val="006C6BA7"/>
    <w:rsid w:val="006C79AB"/>
    <w:rsid w:val="006C7B09"/>
    <w:rsid w:val="006D014B"/>
    <w:rsid w:val="006D02DA"/>
    <w:rsid w:val="006D0C31"/>
    <w:rsid w:val="006D0C46"/>
    <w:rsid w:val="006D0E66"/>
    <w:rsid w:val="006D18E1"/>
    <w:rsid w:val="006D191F"/>
    <w:rsid w:val="006D1968"/>
    <w:rsid w:val="006D19E1"/>
    <w:rsid w:val="006D1BF5"/>
    <w:rsid w:val="006D1CD3"/>
    <w:rsid w:val="006D28B5"/>
    <w:rsid w:val="006D28E4"/>
    <w:rsid w:val="006D3135"/>
    <w:rsid w:val="006D320B"/>
    <w:rsid w:val="006D3225"/>
    <w:rsid w:val="006D369C"/>
    <w:rsid w:val="006D3B0C"/>
    <w:rsid w:val="006D3B5D"/>
    <w:rsid w:val="006D3BEE"/>
    <w:rsid w:val="006D3C01"/>
    <w:rsid w:val="006D4007"/>
    <w:rsid w:val="006D447C"/>
    <w:rsid w:val="006D4907"/>
    <w:rsid w:val="006D4AE6"/>
    <w:rsid w:val="006D53D2"/>
    <w:rsid w:val="006D5BD3"/>
    <w:rsid w:val="006D5EAA"/>
    <w:rsid w:val="006D5ECA"/>
    <w:rsid w:val="006D621A"/>
    <w:rsid w:val="006D6455"/>
    <w:rsid w:val="006D655B"/>
    <w:rsid w:val="006D692D"/>
    <w:rsid w:val="006D6A00"/>
    <w:rsid w:val="006D6FFB"/>
    <w:rsid w:val="006D7687"/>
    <w:rsid w:val="006D7782"/>
    <w:rsid w:val="006D7AF6"/>
    <w:rsid w:val="006E0DFF"/>
    <w:rsid w:val="006E1025"/>
    <w:rsid w:val="006E10B1"/>
    <w:rsid w:val="006E1278"/>
    <w:rsid w:val="006E1475"/>
    <w:rsid w:val="006E19C8"/>
    <w:rsid w:val="006E1B72"/>
    <w:rsid w:val="006E22A6"/>
    <w:rsid w:val="006E24AF"/>
    <w:rsid w:val="006E2575"/>
    <w:rsid w:val="006E2752"/>
    <w:rsid w:val="006E2E54"/>
    <w:rsid w:val="006E2EAB"/>
    <w:rsid w:val="006E30AB"/>
    <w:rsid w:val="006E3409"/>
    <w:rsid w:val="006E3673"/>
    <w:rsid w:val="006E3865"/>
    <w:rsid w:val="006E3977"/>
    <w:rsid w:val="006E3AE2"/>
    <w:rsid w:val="006E3B4D"/>
    <w:rsid w:val="006E3F50"/>
    <w:rsid w:val="006E4303"/>
    <w:rsid w:val="006E436D"/>
    <w:rsid w:val="006E4556"/>
    <w:rsid w:val="006E4ABC"/>
    <w:rsid w:val="006E4B72"/>
    <w:rsid w:val="006E5726"/>
    <w:rsid w:val="006E58F4"/>
    <w:rsid w:val="006E5A07"/>
    <w:rsid w:val="006E62BD"/>
    <w:rsid w:val="006E643C"/>
    <w:rsid w:val="006E64C4"/>
    <w:rsid w:val="006E6766"/>
    <w:rsid w:val="006E677B"/>
    <w:rsid w:val="006E753D"/>
    <w:rsid w:val="006E755C"/>
    <w:rsid w:val="006E7677"/>
    <w:rsid w:val="006E7883"/>
    <w:rsid w:val="006E7DF0"/>
    <w:rsid w:val="006F003B"/>
    <w:rsid w:val="006F0624"/>
    <w:rsid w:val="006F0677"/>
    <w:rsid w:val="006F071B"/>
    <w:rsid w:val="006F0FA6"/>
    <w:rsid w:val="006F1791"/>
    <w:rsid w:val="006F1862"/>
    <w:rsid w:val="006F1B0A"/>
    <w:rsid w:val="006F1C26"/>
    <w:rsid w:val="006F1C94"/>
    <w:rsid w:val="006F1DBC"/>
    <w:rsid w:val="006F25EC"/>
    <w:rsid w:val="006F2B84"/>
    <w:rsid w:val="006F2D90"/>
    <w:rsid w:val="006F308A"/>
    <w:rsid w:val="006F3521"/>
    <w:rsid w:val="006F36D4"/>
    <w:rsid w:val="006F380A"/>
    <w:rsid w:val="006F38A3"/>
    <w:rsid w:val="006F39EA"/>
    <w:rsid w:val="006F3AC7"/>
    <w:rsid w:val="006F3EF9"/>
    <w:rsid w:val="006F3F2E"/>
    <w:rsid w:val="006F403C"/>
    <w:rsid w:val="006F4422"/>
    <w:rsid w:val="006F46D5"/>
    <w:rsid w:val="006F4B1A"/>
    <w:rsid w:val="006F4CC1"/>
    <w:rsid w:val="006F5C06"/>
    <w:rsid w:val="006F644F"/>
    <w:rsid w:val="006F66E5"/>
    <w:rsid w:val="006F69BB"/>
    <w:rsid w:val="006F6CD9"/>
    <w:rsid w:val="006F75EF"/>
    <w:rsid w:val="006F7764"/>
    <w:rsid w:val="00700174"/>
    <w:rsid w:val="00700B83"/>
    <w:rsid w:val="007010D2"/>
    <w:rsid w:val="007011B3"/>
    <w:rsid w:val="00701641"/>
    <w:rsid w:val="00701B69"/>
    <w:rsid w:val="00701C86"/>
    <w:rsid w:val="00701D21"/>
    <w:rsid w:val="00701DAF"/>
    <w:rsid w:val="00701E40"/>
    <w:rsid w:val="00702092"/>
    <w:rsid w:val="00702855"/>
    <w:rsid w:val="00702A8E"/>
    <w:rsid w:val="00702BA6"/>
    <w:rsid w:val="00702BD9"/>
    <w:rsid w:val="00702CAB"/>
    <w:rsid w:val="00702FC6"/>
    <w:rsid w:val="007030BB"/>
    <w:rsid w:val="00703496"/>
    <w:rsid w:val="00703549"/>
    <w:rsid w:val="00703A75"/>
    <w:rsid w:val="00703E55"/>
    <w:rsid w:val="00704058"/>
    <w:rsid w:val="0070419B"/>
    <w:rsid w:val="00704248"/>
    <w:rsid w:val="00704A77"/>
    <w:rsid w:val="00704C0A"/>
    <w:rsid w:val="00704D06"/>
    <w:rsid w:val="00705872"/>
    <w:rsid w:val="0070612F"/>
    <w:rsid w:val="007064C5"/>
    <w:rsid w:val="007064EA"/>
    <w:rsid w:val="00706917"/>
    <w:rsid w:val="007069F0"/>
    <w:rsid w:val="00706B8E"/>
    <w:rsid w:val="00707171"/>
    <w:rsid w:val="0070743E"/>
    <w:rsid w:val="00707594"/>
    <w:rsid w:val="0070788C"/>
    <w:rsid w:val="00707C15"/>
    <w:rsid w:val="00710238"/>
    <w:rsid w:val="0071034D"/>
    <w:rsid w:val="007105BE"/>
    <w:rsid w:val="007105D0"/>
    <w:rsid w:val="0071072E"/>
    <w:rsid w:val="007107E3"/>
    <w:rsid w:val="007108F3"/>
    <w:rsid w:val="00710C04"/>
    <w:rsid w:val="00710FEF"/>
    <w:rsid w:val="00711C27"/>
    <w:rsid w:val="00712068"/>
    <w:rsid w:val="007120C4"/>
    <w:rsid w:val="00712431"/>
    <w:rsid w:val="007129EC"/>
    <w:rsid w:val="00712B36"/>
    <w:rsid w:val="007134DB"/>
    <w:rsid w:val="007138CB"/>
    <w:rsid w:val="00713DBE"/>
    <w:rsid w:val="00713FB7"/>
    <w:rsid w:val="00714ADB"/>
    <w:rsid w:val="00715A72"/>
    <w:rsid w:val="007164DC"/>
    <w:rsid w:val="007166CA"/>
    <w:rsid w:val="007167FA"/>
    <w:rsid w:val="00716E90"/>
    <w:rsid w:val="0071741F"/>
    <w:rsid w:val="00717468"/>
    <w:rsid w:val="00717891"/>
    <w:rsid w:val="00717C83"/>
    <w:rsid w:val="00717E74"/>
    <w:rsid w:val="00720018"/>
    <w:rsid w:val="00720F4D"/>
    <w:rsid w:val="0072144C"/>
    <w:rsid w:val="007218F1"/>
    <w:rsid w:val="00721C83"/>
    <w:rsid w:val="007220C9"/>
    <w:rsid w:val="0072252E"/>
    <w:rsid w:val="00723AE3"/>
    <w:rsid w:val="0072419E"/>
    <w:rsid w:val="0072457F"/>
    <w:rsid w:val="007248DF"/>
    <w:rsid w:val="00724F85"/>
    <w:rsid w:val="00724FFB"/>
    <w:rsid w:val="00725198"/>
    <w:rsid w:val="00725642"/>
    <w:rsid w:val="00725FB5"/>
    <w:rsid w:val="00726035"/>
    <w:rsid w:val="00726B9A"/>
    <w:rsid w:val="0072703A"/>
    <w:rsid w:val="00727564"/>
    <w:rsid w:val="00727B4A"/>
    <w:rsid w:val="00730452"/>
    <w:rsid w:val="00730B65"/>
    <w:rsid w:val="00730C79"/>
    <w:rsid w:val="00730C89"/>
    <w:rsid w:val="00730EA7"/>
    <w:rsid w:val="00732173"/>
    <w:rsid w:val="007325CB"/>
    <w:rsid w:val="00732B87"/>
    <w:rsid w:val="007336AA"/>
    <w:rsid w:val="0073382B"/>
    <w:rsid w:val="00733CB3"/>
    <w:rsid w:val="00733E48"/>
    <w:rsid w:val="00734184"/>
    <w:rsid w:val="0073456D"/>
    <w:rsid w:val="007347A1"/>
    <w:rsid w:val="00734817"/>
    <w:rsid w:val="00734F0E"/>
    <w:rsid w:val="00734F96"/>
    <w:rsid w:val="007353BD"/>
    <w:rsid w:val="00735A17"/>
    <w:rsid w:val="00735A35"/>
    <w:rsid w:val="00735FF3"/>
    <w:rsid w:val="0073624C"/>
    <w:rsid w:val="00736290"/>
    <w:rsid w:val="0073671C"/>
    <w:rsid w:val="00736E07"/>
    <w:rsid w:val="007370DB"/>
    <w:rsid w:val="0073710D"/>
    <w:rsid w:val="0073743C"/>
    <w:rsid w:val="00737A1F"/>
    <w:rsid w:val="00740230"/>
    <w:rsid w:val="007408A6"/>
    <w:rsid w:val="0074094D"/>
    <w:rsid w:val="00740B68"/>
    <w:rsid w:val="00740F94"/>
    <w:rsid w:val="00741072"/>
    <w:rsid w:val="00741647"/>
    <w:rsid w:val="0074209B"/>
    <w:rsid w:val="0074253E"/>
    <w:rsid w:val="00742CAE"/>
    <w:rsid w:val="00742D26"/>
    <w:rsid w:val="00743814"/>
    <w:rsid w:val="00743856"/>
    <w:rsid w:val="0074387D"/>
    <w:rsid w:val="007438FF"/>
    <w:rsid w:val="00743C9E"/>
    <w:rsid w:val="007440D7"/>
    <w:rsid w:val="00744339"/>
    <w:rsid w:val="007447C7"/>
    <w:rsid w:val="007448A8"/>
    <w:rsid w:val="00744AEA"/>
    <w:rsid w:val="00744DAB"/>
    <w:rsid w:val="00744F61"/>
    <w:rsid w:val="007450A8"/>
    <w:rsid w:val="00745168"/>
    <w:rsid w:val="00746119"/>
    <w:rsid w:val="007465B6"/>
    <w:rsid w:val="007465C3"/>
    <w:rsid w:val="00746632"/>
    <w:rsid w:val="00746A8B"/>
    <w:rsid w:val="00746A99"/>
    <w:rsid w:val="00746B52"/>
    <w:rsid w:val="00746CA9"/>
    <w:rsid w:val="007472E6"/>
    <w:rsid w:val="00747367"/>
    <w:rsid w:val="007474ED"/>
    <w:rsid w:val="00747576"/>
    <w:rsid w:val="00747880"/>
    <w:rsid w:val="00747FA3"/>
    <w:rsid w:val="0075083B"/>
    <w:rsid w:val="00750AEA"/>
    <w:rsid w:val="007514FA"/>
    <w:rsid w:val="007516DC"/>
    <w:rsid w:val="00751EF8"/>
    <w:rsid w:val="007523A4"/>
    <w:rsid w:val="00752471"/>
    <w:rsid w:val="007526E1"/>
    <w:rsid w:val="00752952"/>
    <w:rsid w:val="00752D4B"/>
    <w:rsid w:val="00753A2D"/>
    <w:rsid w:val="00753C00"/>
    <w:rsid w:val="007545F2"/>
    <w:rsid w:val="007547E6"/>
    <w:rsid w:val="00754BBE"/>
    <w:rsid w:val="00755994"/>
    <w:rsid w:val="007559C1"/>
    <w:rsid w:val="00755A84"/>
    <w:rsid w:val="00755ECA"/>
    <w:rsid w:val="007562E0"/>
    <w:rsid w:val="00756CED"/>
    <w:rsid w:val="00756F07"/>
    <w:rsid w:val="00756F94"/>
    <w:rsid w:val="00756FF4"/>
    <w:rsid w:val="0075745B"/>
    <w:rsid w:val="00757564"/>
    <w:rsid w:val="00757699"/>
    <w:rsid w:val="00757836"/>
    <w:rsid w:val="00757CEF"/>
    <w:rsid w:val="00757E17"/>
    <w:rsid w:val="00760472"/>
    <w:rsid w:val="0076049A"/>
    <w:rsid w:val="00760828"/>
    <w:rsid w:val="007609BE"/>
    <w:rsid w:val="00760D3D"/>
    <w:rsid w:val="00761762"/>
    <w:rsid w:val="00761A05"/>
    <w:rsid w:val="00761BC7"/>
    <w:rsid w:val="00761FF7"/>
    <w:rsid w:val="00762F38"/>
    <w:rsid w:val="00763010"/>
    <w:rsid w:val="0076382A"/>
    <w:rsid w:val="007639DA"/>
    <w:rsid w:val="00763DA2"/>
    <w:rsid w:val="00763EC7"/>
    <w:rsid w:val="00764135"/>
    <w:rsid w:val="00764223"/>
    <w:rsid w:val="0076436E"/>
    <w:rsid w:val="00764AE0"/>
    <w:rsid w:val="00764C58"/>
    <w:rsid w:val="00764F22"/>
    <w:rsid w:val="00765216"/>
    <w:rsid w:val="00765259"/>
    <w:rsid w:val="0076598D"/>
    <w:rsid w:val="00765AA3"/>
    <w:rsid w:val="00765C6C"/>
    <w:rsid w:val="0076644C"/>
    <w:rsid w:val="00766454"/>
    <w:rsid w:val="00766920"/>
    <w:rsid w:val="0076788D"/>
    <w:rsid w:val="007679E4"/>
    <w:rsid w:val="00767A9E"/>
    <w:rsid w:val="00767C38"/>
    <w:rsid w:val="00770355"/>
    <w:rsid w:val="007704D4"/>
    <w:rsid w:val="00770645"/>
    <w:rsid w:val="00770938"/>
    <w:rsid w:val="00770A45"/>
    <w:rsid w:val="007712F4"/>
    <w:rsid w:val="00771452"/>
    <w:rsid w:val="00771F9A"/>
    <w:rsid w:val="00771FA3"/>
    <w:rsid w:val="00772132"/>
    <w:rsid w:val="00772723"/>
    <w:rsid w:val="007729B9"/>
    <w:rsid w:val="00772C04"/>
    <w:rsid w:val="007737F6"/>
    <w:rsid w:val="007738FE"/>
    <w:rsid w:val="0077413A"/>
    <w:rsid w:val="0077493A"/>
    <w:rsid w:val="00774CDD"/>
    <w:rsid w:val="00774F7C"/>
    <w:rsid w:val="0077565F"/>
    <w:rsid w:val="00775834"/>
    <w:rsid w:val="007761BE"/>
    <w:rsid w:val="007768AF"/>
    <w:rsid w:val="00776960"/>
    <w:rsid w:val="007773D2"/>
    <w:rsid w:val="0077799B"/>
    <w:rsid w:val="00777B02"/>
    <w:rsid w:val="00777CB6"/>
    <w:rsid w:val="00777ECD"/>
    <w:rsid w:val="007807E9"/>
    <w:rsid w:val="00780D45"/>
    <w:rsid w:val="00781146"/>
    <w:rsid w:val="00781A85"/>
    <w:rsid w:val="00781CE1"/>
    <w:rsid w:val="00781EC2"/>
    <w:rsid w:val="00782410"/>
    <w:rsid w:val="00782B79"/>
    <w:rsid w:val="00783570"/>
    <w:rsid w:val="00783DCB"/>
    <w:rsid w:val="00784266"/>
    <w:rsid w:val="00784270"/>
    <w:rsid w:val="00784A62"/>
    <w:rsid w:val="007852A4"/>
    <w:rsid w:val="00785DD5"/>
    <w:rsid w:val="007863C7"/>
    <w:rsid w:val="007864A5"/>
    <w:rsid w:val="00786606"/>
    <w:rsid w:val="00786EE4"/>
    <w:rsid w:val="00787606"/>
    <w:rsid w:val="0078763A"/>
    <w:rsid w:val="00787643"/>
    <w:rsid w:val="007877A8"/>
    <w:rsid w:val="00787BCD"/>
    <w:rsid w:val="00787D6B"/>
    <w:rsid w:val="00787E34"/>
    <w:rsid w:val="00790D80"/>
    <w:rsid w:val="0079111C"/>
    <w:rsid w:val="007917B3"/>
    <w:rsid w:val="00791A98"/>
    <w:rsid w:val="00791B01"/>
    <w:rsid w:val="007921D5"/>
    <w:rsid w:val="00792A43"/>
    <w:rsid w:val="00792F78"/>
    <w:rsid w:val="007935FA"/>
    <w:rsid w:val="00793711"/>
    <w:rsid w:val="00793B9B"/>
    <w:rsid w:val="00794373"/>
    <w:rsid w:val="0079452C"/>
    <w:rsid w:val="00794C1F"/>
    <w:rsid w:val="00794CF8"/>
    <w:rsid w:val="007950FB"/>
    <w:rsid w:val="0079526D"/>
    <w:rsid w:val="0079557A"/>
    <w:rsid w:val="00795585"/>
    <w:rsid w:val="0079572E"/>
    <w:rsid w:val="00796615"/>
    <w:rsid w:val="00796BAB"/>
    <w:rsid w:val="00796E34"/>
    <w:rsid w:val="00796F6F"/>
    <w:rsid w:val="0079704B"/>
    <w:rsid w:val="00797866"/>
    <w:rsid w:val="007978A7"/>
    <w:rsid w:val="0079792F"/>
    <w:rsid w:val="00797A2B"/>
    <w:rsid w:val="00797E6D"/>
    <w:rsid w:val="007A0047"/>
    <w:rsid w:val="007A024C"/>
    <w:rsid w:val="007A0D4C"/>
    <w:rsid w:val="007A1194"/>
    <w:rsid w:val="007A1B8A"/>
    <w:rsid w:val="007A20DB"/>
    <w:rsid w:val="007A2161"/>
    <w:rsid w:val="007A23CF"/>
    <w:rsid w:val="007A2B3A"/>
    <w:rsid w:val="007A2FDA"/>
    <w:rsid w:val="007A319C"/>
    <w:rsid w:val="007A352F"/>
    <w:rsid w:val="007A36F4"/>
    <w:rsid w:val="007A37ED"/>
    <w:rsid w:val="007A3871"/>
    <w:rsid w:val="007A38D5"/>
    <w:rsid w:val="007A3F94"/>
    <w:rsid w:val="007A3FEF"/>
    <w:rsid w:val="007A4023"/>
    <w:rsid w:val="007A43BA"/>
    <w:rsid w:val="007A43DA"/>
    <w:rsid w:val="007A4F81"/>
    <w:rsid w:val="007A5AF8"/>
    <w:rsid w:val="007A5CF1"/>
    <w:rsid w:val="007A6210"/>
    <w:rsid w:val="007A6BCC"/>
    <w:rsid w:val="007A7018"/>
    <w:rsid w:val="007A737A"/>
    <w:rsid w:val="007A7DB5"/>
    <w:rsid w:val="007B0137"/>
    <w:rsid w:val="007B05B4"/>
    <w:rsid w:val="007B0A61"/>
    <w:rsid w:val="007B0D2D"/>
    <w:rsid w:val="007B0F80"/>
    <w:rsid w:val="007B1229"/>
    <w:rsid w:val="007B1873"/>
    <w:rsid w:val="007B19EB"/>
    <w:rsid w:val="007B1BD0"/>
    <w:rsid w:val="007B1F63"/>
    <w:rsid w:val="007B225A"/>
    <w:rsid w:val="007B3072"/>
    <w:rsid w:val="007B35D4"/>
    <w:rsid w:val="007B3792"/>
    <w:rsid w:val="007B3C0C"/>
    <w:rsid w:val="007B45AE"/>
    <w:rsid w:val="007B4A6C"/>
    <w:rsid w:val="007B534E"/>
    <w:rsid w:val="007B5671"/>
    <w:rsid w:val="007B571D"/>
    <w:rsid w:val="007B5781"/>
    <w:rsid w:val="007B5BCE"/>
    <w:rsid w:val="007B62C4"/>
    <w:rsid w:val="007B6784"/>
    <w:rsid w:val="007B695D"/>
    <w:rsid w:val="007B6A8E"/>
    <w:rsid w:val="007B721E"/>
    <w:rsid w:val="007B72AD"/>
    <w:rsid w:val="007B7C3D"/>
    <w:rsid w:val="007B7DCB"/>
    <w:rsid w:val="007B7DFF"/>
    <w:rsid w:val="007C0CEB"/>
    <w:rsid w:val="007C1371"/>
    <w:rsid w:val="007C1DA6"/>
    <w:rsid w:val="007C200F"/>
    <w:rsid w:val="007C2712"/>
    <w:rsid w:val="007C2AF2"/>
    <w:rsid w:val="007C2EE3"/>
    <w:rsid w:val="007C35EA"/>
    <w:rsid w:val="007C3784"/>
    <w:rsid w:val="007C3D00"/>
    <w:rsid w:val="007C445B"/>
    <w:rsid w:val="007C4A01"/>
    <w:rsid w:val="007C4A2B"/>
    <w:rsid w:val="007C4E81"/>
    <w:rsid w:val="007C51A3"/>
    <w:rsid w:val="007C58F1"/>
    <w:rsid w:val="007C5B50"/>
    <w:rsid w:val="007C5C96"/>
    <w:rsid w:val="007C61C8"/>
    <w:rsid w:val="007C6416"/>
    <w:rsid w:val="007C68AD"/>
    <w:rsid w:val="007C6B97"/>
    <w:rsid w:val="007C6C64"/>
    <w:rsid w:val="007C6CDA"/>
    <w:rsid w:val="007C6EA5"/>
    <w:rsid w:val="007C6F88"/>
    <w:rsid w:val="007C710D"/>
    <w:rsid w:val="007C748C"/>
    <w:rsid w:val="007C7978"/>
    <w:rsid w:val="007C7B23"/>
    <w:rsid w:val="007C7F60"/>
    <w:rsid w:val="007D0191"/>
    <w:rsid w:val="007D0C72"/>
    <w:rsid w:val="007D0ED8"/>
    <w:rsid w:val="007D12BE"/>
    <w:rsid w:val="007D174D"/>
    <w:rsid w:val="007D1802"/>
    <w:rsid w:val="007D19EF"/>
    <w:rsid w:val="007D1EC6"/>
    <w:rsid w:val="007D250B"/>
    <w:rsid w:val="007D27D2"/>
    <w:rsid w:val="007D28EF"/>
    <w:rsid w:val="007D330A"/>
    <w:rsid w:val="007D351D"/>
    <w:rsid w:val="007D35BD"/>
    <w:rsid w:val="007D378B"/>
    <w:rsid w:val="007D3980"/>
    <w:rsid w:val="007D3AAD"/>
    <w:rsid w:val="007D3ABC"/>
    <w:rsid w:val="007D3C0B"/>
    <w:rsid w:val="007D55B4"/>
    <w:rsid w:val="007D591E"/>
    <w:rsid w:val="007D5B25"/>
    <w:rsid w:val="007D5F7F"/>
    <w:rsid w:val="007D6283"/>
    <w:rsid w:val="007D64EF"/>
    <w:rsid w:val="007D6C54"/>
    <w:rsid w:val="007D7209"/>
    <w:rsid w:val="007D7305"/>
    <w:rsid w:val="007D747C"/>
    <w:rsid w:val="007D7596"/>
    <w:rsid w:val="007D7A1F"/>
    <w:rsid w:val="007D7AF0"/>
    <w:rsid w:val="007D7AF4"/>
    <w:rsid w:val="007D7C58"/>
    <w:rsid w:val="007E0D56"/>
    <w:rsid w:val="007E1200"/>
    <w:rsid w:val="007E1643"/>
    <w:rsid w:val="007E1928"/>
    <w:rsid w:val="007E1CEC"/>
    <w:rsid w:val="007E1DF2"/>
    <w:rsid w:val="007E267F"/>
    <w:rsid w:val="007E2932"/>
    <w:rsid w:val="007E2BA7"/>
    <w:rsid w:val="007E2E32"/>
    <w:rsid w:val="007E3371"/>
    <w:rsid w:val="007E3C15"/>
    <w:rsid w:val="007E485C"/>
    <w:rsid w:val="007E4A19"/>
    <w:rsid w:val="007E4D03"/>
    <w:rsid w:val="007E53E6"/>
    <w:rsid w:val="007E5AF0"/>
    <w:rsid w:val="007E5E19"/>
    <w:rsid w:val="007E60E4"/>
    <w:rsid w:val="007E61E5"/>
    <w:rsid w:val="007E63D7"/>
    <w:rsid w:val="007E6E0A"/>
    <w:rsid w:val="007E76BF"/>
    <w:rsid w:val="007E779B"/>
    <w:rsid w:val="007F09B3"/>
    <w:rsid w:val="007F157A"/>
    <w:rsid w:val="007F1C2F"/>
    <w:rsid w:val="007F203C"/>
    <w:rsid w:val="007F20EE"/>
    <w:rsid w:val="007F2242"/>
    <w:rsid w:val="007F2326"/>
    <w:rsid w:val="007F2341"/>
    <w:rsid w:val="007F2583"/>
    <w:rsid w:val="007F28F2"/>
    <w:rsid w:val="007F3050"/>
    <w:rsid w:val="007F4207"/>
    <w:rsid w:val="007F4230"/>
    <w:rsid w:val="007F4318"/>
    <w:rsid w:val="007F437D"/>
    <w:rsid w:val="007F4B11"/>
    <w:rsid w:val="007F4E51"/>
    <w:rsid w:val="007F51D1"/>
    <w:rsid w:val="007F5708"/>
    <w:rsid w:val="007F5764"/>
    <w:rsid w:val="007F5CF8"/>
    <w:rsid w:val="007F5D3C"/>
    <w:rsid w:val="007F61D6"/>
    <w:rsid w:val="007F628A"/>
    <w:rsid w:val="007F632F"/>
    <w:rsid w:val="007F63C6"/>
    <w:rsid w:val="007F67AA"/>
    <w:rsid w:val="007F685E"/>
    <w:rsid w:val="007F6982"/>
    <w:rsid w:val="007F6C62"/>
    <w:rsid w:val="007F6C76"/>
    <w:rsid w:val="007F6CD6"/>
    <w:rsid w:val="007F6FD5"/>
    <w:rsid w:val="007F70C7"/>
    <w:rsid w:val="007F77F3"/>
    <w:rsid w:val="007F783E"/>
    <w:rsid w:val="007F78D0"/>
    <w:rsid w:val="007F794C"/>
    <w:rsid w:val="007F7BC8"/>
    <w:rsid w:val="008002FE"/>
    <w:rsid w:val="0080065B"/>
    <w:rsid w:val="00800660"/>
    <w:rsid w:val="008009F7"/>
    <w:rsid w:val="00800E85"/>
    <w:rsid w:val="008011C5"/>
    <w:rsid w:val="0080121F"/>
    <w:rsid w:val="0080122B"/>
    <w:rsid w:val="00801394"/>
    <w:rsid w:val="0080182C"/>
    <w:rsid w:val="00801C60"/>
    <w:rsid w:val="008020D2"/>
    <w:rsid w:val="00802172"/>
    <w:rsid w:val="00802221"/>
    <w:rsid w:val="008022C1"/>
    <w:rsid w:val="008025C7"/>
    <w:rsid w:val="00802BC6"/>
    <w:rsid w:val="00803777"/>
    <w:rsid w:val="008037EA"/>
    <w:rsid w:val="00803B0D"/>
    <w:rsid w:val="00803B13"/>
    <w:rsid w:val="00803CE3"/>
    <w:rsid w:val="00803F90"/>
    <w:rsid w:val="008042E5"/>
    <w:rsid w:val="00805083"/>
    <w:rsid w:val="00805447"/>
    <w:rsid w:val="008057B3"/>
    <w:rsid w:val="00805A6A"/>
    <w:rsid w:val="00805C72"/>
    <w:rsid w:val="00806189"/>
    <w:rsid w:val="00806344"/>
    <w:rsid w:val="00806896"/>
    <w:rsid w:val="00806C98"/>
    <w:rsid w:val="00806D93"/>
    <w:rsid w:val="00806DB6"/>
    <w:rsid w:val="008072F1"/>
    <w:rsid w:val="008073B7"/>
    <w:rsid w:val="00807B29"/>
    <w:rsid w:val="00807C76"/>
    <w:rsid w:val="00807F8D"/>
    <w:rsid w:val="00810015"/>
    <w:rsid w:val="0081003E"/>
    <w:rsid w:val="00810211"/>
    <w:rsid w:val="008102EB"/>
    <w:rsid w:val="00810D9B"/>
    <w:rsid w:val="008111B6"/>
    <w:rsid w:val="00811460"/>
    <w:rsid w:val="008116AC"/>
    <w:rsid w:val="008119CD"/>
    <w:rsid w:val="00811AE2"/>
    <w:rsid w:val="00811F42"/>
    <w:rsid w:val="0081213C"/>
    <w:rsid w:val="008130E6"/>
    <w:rsid w:val="00813990"/>
    <w:rsid w:val="008140E4"/>
    <w:rsid w:val="00814213"/>
    <w:rsid w:val="008147FA"/>
    <w:rsid w:val="00814859"/>
    <w:rsid w:val="00814954"/>
    <w:rsid w:val="00814E60"/>
    <w:rsid w:val="00815111"/>
    <w:rsid w:val="008156E5"/>
    <w:rsid w:val="00815F52"/>
    <w:rsid w:val="008164DD"/>
    <w:rsid w:val="00817559"/>
    <w:rsid w:val="00817825"/>
    <w:rsid w:val="008209A9"/>
    <w:rsid w:val="00821056"/>
    <w:rsid w:val="008218F6"/>
    <w:rsid w:val="00821BE5"/>
    <w:rsid w:val="00821E9B"/>
    <w:rsid w:val="0082214B"/>
    <w:rsid w:val="00822324"/>
    <w:rsid w:val="0082234E"/>
    <w:rsid w:val="0082295C"/>
    <w:rsid w:val="00822DDA"/>
    <w:rsid w:val="00822FBA"/>
    <w:rsid w:val="00823426"/>
    <w:rsid w:val="00823689"/>
    <w:rsid w:val="00823966"/>
    <w:rsid w:val="00823D5E"/>
    <w:rsid w:val="00823E4C"/>
    <w:rsid w:val="00823F3B"/>
    <w:rsid w:val="008242DA"/>
    <w:rsid w:val="00824381"/>
    <w:rsid w:val="008253D1"/>
    <w:rsid w:val="008255B9"/>
    <w:rsid w:val="00825847"/>
    <w:rsid w:val="00825A99"/>
    <w:rsid w:val="00825B4F"/>
    <w:rsid w:val="008263DE"/>
    <w:rsid w:val="00826A59"/>
    <w:rsid w:val="00826B16"/>
    <w:rsid w:val="00827166"/>
    <w:rsid w:val="00827806"/>
    <w:rsid w:val="00830987"/>
    <w:rsid w:val="00830D1F"/>
    <w:rsid w:val="00830E6C"/>
    <w:rsid w:val="0083124F"/>
    <w:rsid w:val="00832D69"/>
    <w:rsid w:val="00832D91"/>
    <w:rsid w:val="0083391B"/>
    <w:rsid w:val="00833966"/>
    <w:rsid w:val="00833C7C"/>
    <w:rsid w:val="00833DCF"/>
    <w:rsid w:val="008342A0"/>
    <w:rsid w:val="008345A4"/>
    <w:rsid w:val="0083492E"/>
    <w:rsid w:val="00834FC6"/>
    <w:rsid w:val="008350C7"/>
    <w:rsid w:val="00835371"/>
    <w:rsid w:val="0083586F"/>
    <w:rsid w:val="0083588D"/>
    <w:rsid w:val="00835A04"/>
    <w:rsid w:val="00835ED1"/>
    <w:rsid w:val="00835F94"/>
    <w:rsid w:val="0083602F"/>
    <w:rsid w:val="00836259"/>
    <w:rsid w:val="00836274"/>
    <w:rsid w:val="00836B23"/>
    <w:rsid w:val="00836B32"/>
    <w:rsid w:val="00836E21"/>
    <w:rsid w:val="00836E2A"/>
    <w:rsid w:val="008371DC"/>
    <w:rsid w:val="0083737B"/>
    <w:rsid w:val="00837802"/>
    <w:rsid w:val="00837913"/>
    <w:rsid w:val="00837934"/>
    <w:rsid w:val="00837FC9"/>
    <w:rsid w:val="00840251"/>
    <w:rsid w:val="008403FF"/>
    <w:rsid w:val="00840944"/>
    <w:rsid w:val="00840AA5"/>
    <w:rsid w:val="00840D00"/>
    <w:rsid w:val="00840D41"/>
    <w:rsid w:val="00841073"/>
    <w:rsid w:val="00841A9C"/>
    <w:rsid w:val="00841BC8"/>
    <w:rsid w:val="00841DDD"/>
    <w:rsid w:val="00841E53"/>
    <w:rsid w:val="00842594"/>
    <w:rsid w:val="00842E4A"/>
    <w:rsid w:val="0084319B"/>
    <w:rsid w:val="008432F3"/>
    <w:rsid w:val="00843679"/>
    <w:rsid w:val="008438AA"/>
    <w:rsid w:val="00843A79"/>
    <w:rsid w:val="00843FCD"/>
    <w:rsid w:val="008448FC"/>
    <w:rsid w:val="00844CEA"/>
    <w:rsid w:val="008459EB"/>
    <w:rsid w:val="00846291"/>
    <w:rsid w:val="0084637E"/>
    <w:rsid w:val="0084676B"/>
    <w:rsid w:val="00847893"/>
    <w:rsid w:val="00847B48"/>
    <w:rsid w:val="00847B7E"/>
    <w:rsid w:val="00847C08"/>
    <w:rsid w:val="00847FDB"/>
    <w:rsid w:val="008504AB"/>
    <w:rsid w:val="00850B9A"/>
    <w:rsid w:val="00850D4E"/>
    <w:rsid w:val="008510C4"/>
    <w:rsid w:val="0085135B"/>
    <w:rsid w:val="00851814"/>
    <w:rsid w:val="00851A5C"/>
    <w:rsid w:val="00851F08"/>
    <w:rsid w:val="00851F26"/>
    <w:rsid w:val="00851F9F"/>
    <w:rsid w:val="0085203E"/>
    <w:rsid w:val="0085315D"/>
    <w:rsid w:val="008531E9"/>
    <w:rsid w:val="0085365D"/>
    <w:rsid w:val="00853886"/>
    <w:rsid w:val="00853F39"/>
    <w:rsid w:val="0085463C"/>
    <w:rsid w:val="00854A67"/>
    <w:rsid w:val="008552F3"/>
    <w:rsid w:val="0085619D"/>
    <w:rsid w:val="0085636E"/>
    <w:rsid w:val="008566A8"/>
    <w:rsid w:val="00856728"/>
    <w:rsid w:val="00856925"/>
    <w:rsid w:val="00856AC1"/>
    <w:rsid w:val="00856B34"/>
    <w:rsid w:val="00857863"/>
    <w:rsid w:val="00857FE2"/>
    <w:rsid w:val="00860400"/>
    <w:rsid w:val="008605FB"/>
    <w:rsid w:val="00860860"/>
    <w:rsid w:val="008613A0"/>
    <w:rsid w:val="0086170A"/>
    <w:rsid w:val="00861B09"/>
    <w:rsid w:val="008626F2"/>
    <w:rsid w:val="00862A23"/>
    <w:rsid w:val="00862CB3"/>
    <w:rsid w:val="00863062"/>
    <w:rsid w:val="0086320B"/>
    <w:rsid w:val="00863D9E"/>
    <w:rsid w:val="00863F94"/>
    <w:rsid w:val="00865C72"/>
    <w:rsid w:val="00866072"/>
    <w:rsid w:val="008660BC"/>
    <w:rsid w:val="00866298"/>
    <w:rsid w:val="00866331"/>
    <w:rsid w:val="00866832"/>
    <w:rsid w:val="00866F16"/>
    <w:rsid w:val="0086703F"/>
    <w:rsid w:val="00867285"/>
    <w:rsid w:val="0086761E"/>
    <w:rsid w:val="008678FF"/>
    <w:rsid w:val="00867A75"/>
    <w:rsid w:val="00867E09"/>
    <w:rsid w:val="008705A2"/>
    <w:rsid w:val="00870AB3"/>
    <w:rsid w:val="0087124A"/>
    <w:rsid w:val="00871495"/>
    <w:rsid w:val="008715CB"/>
    <w:rsid w:val="0087173E"/>
    <w:rsid w:val="00871B0E"/>
    <w:rsid w:val="008720D9"/>
    <w:rsid w:val="00872546"/>
    <w:rsid w:val="008725A7"/>
    <w:rsid w:val="008725B0"/>
    <w:rsid w:val="008728F5"/>
    <w:rsid w:val="00872AEB"/>
    <w:rsid w:val="00872B69"/>
    <w:rsid w:val="008730B0"/>
    <w:rsid w:val="00873226"/>
    <w:rsid w:val="00873501"/>
    <w:rsid w:val="00873CBB"/>
    <w:rsid w:val="00873F99"/>
    <w:rsid w:val="00873FA7"/>
    <w:rsid w:val="0087433B"/>
    <w:rsid w:val="00874460"/>
    <w:rsid w:val="0087519F"/>
    <w:rsid w:val="00875809"/>
    <w:rsid w:val="00875865"/>
    <w:rsid w:val="00875BDC"/>
    <w:rsid w:val="00875D85"/>
    <w:rsid w:val="00875DE0"/>
    <w:rsid w:val="00876A72"/>
    <w:rsid w:val="0087778D"/>
    <w:rsid w:val="00877A1F"/>
    <w:rsid w:val="00877E51"/>
    <w:rsid w:val="008800D0"/>
    <w:rsid w:val="0088044E"/>
    <w:rsid w:val="00880B1E"/>
    <w:rsid w:val="00880B95"/>
    <w:rsid w:val="00880C82"/>
    <w:rsid w:val="00881279"/>
    <w:rsid w:val="0088162C"/>
    <w:rsid w:val="008818B7"/>
    <w:rsid w:val="00881CC7"/>
    <w:rsid w:val="00881CF2"/>
    <w:rsid w:val="00882134"/>
    <w:rsid w:val="0088302B"/>
    <w:rsid w:val="008835A9"/>
    <w:rsid w:val="00883D91"/>
    <w:rsid w:val="008841CB"/>
    <w:rsid w:val="008844BB"/>
    <w:rsid w:val="00884512"/>
    <w:rsid w:val="0088493A"/>
    <w:rsid w:val="008852AF"/>
    <w:rsid w:val="00885355"/>
    <w:rsid w:val="008853A0"/>
    <w:rsid w:val="0088553A"/>
    <w:rsid w:val="008859BD"/>
    <w:rsid w:val="00885BD7"/>
    <w:rsid w:val="00885C46"/>
    <w:rsid w:val="00885C4F"/>
    <w:rsid w:val="00885CD0"/>
    <w:rsid w:val="00886DB2"/>
    <w:rsid w:val="00886DCF"/>
    <w:rsid w:val="00886F10"/>
    <w:rsid w:val="00887066"/>
    <w:rsid w:val="00887097"/>
    <w:rsid w:val="00887343"/>
    <w:rsid w:val="00887642"/>
    <w:rsid w:val="00890415"/>
    <w:rsid w:val="00890457"/>
    <w:rsid w:val="0089076A"/>
    <w:rsid w:val="00890836"/>
    <w:rsid w:val="00890C9C"/>
    <w:rsid w:val="00890F34"/>
    <w:rsid w:val="00891028"/>
    <w:rsid w:val="008913E4"/>
    <w:rsid w:val="0089219E"/>
    <w:rsid w:val="00892227"/>
    <w:rsid w:val="008923FB"/>
    <w:rsid w:val="0089269E"/>
    <w:rsid w:val="008926B0"/>
    <w:rsid w:val="008926BC"/>
    <w:rsid w:val="008927B9"/>
    <w:rsid w:val="00892CD1"/>
    <w:rsid w:val="00892D6E"/>
    <w:rsid w:val="00892DFC"/>
    <w:rsid w:val="00892F5C"/>
    <w:rsid w:val="00893146"/>
    <w:rsid w:val="00893247"/>
    <w:rsid w:val="00893280"/>
    <w:rsid w:val="008935E2"/>
    <w:rsid w:val="00893E6E"/>
    <w:rsid w:val="0089400E"/>
    <w:rsid w:val="00894278"/>
    <w:rsid w:val="008944F5"/>
    <w:rsid w:val="008947F6"/>
    <w:rsid w:val="00894A41"/>
    <w:rsid w:val="00895A60"/>
    <w:rsid w:val="008963D6"/>
    <w:rsid w:val="008965C4"/>
    <w:rsid w:val="00896980"/>
    <w:rsid w:val="00896AC8"/>
    <w:rsid w:val="00896AE1"/>
    <w:rsid w:val="00897138"/>
    <w:rsid w:val="00897667"/>
    <w:rsid w:val="008A041C"/>
    <w:rsid w:val="008A04BD"/>
    <w:rsid w:val="008A0657"/>
    <w:rsid w:val="008A0C71"/>
    <w:rsid w:val="008A0E64"/>
    <w:rsid w:val="008A0F72"/>
    <w:rsid w:val="008A1BA2"/>
    <w:rsid w:val="008A23A6"/>
    <w:rsid w:val="008A2A13"/>
    <w:rsid w:val="008A36A8"/>
    <w:rsid w:val="008A3B72"/>
    <w:rsid w:val="008A574E"/>
    <w:rsid w:val="008A5779"/>
    <w:rsid w:val="008A5A9F"/>
    <w:rsid w:val="008A6040"/>
    <w:rsid w:val="008A6BBE"/>
    <w:rsid w:val="008A6C44"/>
    <w:rsid w:val="008A7B55"/>
    <w:rsid w:val="008A7F4A"/>
    <w:rsid w:val="008B0266"/>
    <w:rsid w:val="008B03C0"/>
    <w:rsid w:val="008B043B"/>
    <w:rsid w:val="008B09E8"/>
    <w:rsid w:val="008B152E"/>
    <w:rsid w:val="008B201D"/>
    <w:rsid w:val="008B2106"/>
    <w:rsid w:val="008B2228"/>
    <w:rsid w:val="008B2281"/>
    <w:rsid w:val="008B28F4"/>
    <w:rsid w:val="008B29C5"/>
    <w:rsid w:val="008B2BBB"/>
    <w:rsid w:val="008B2EEE"/>
    <w:rsid w:val="008B2F6E"/>
    <w:rsid w:val="008B36DE"/>
    <w:rsid w:val="008B40B6"/>
    <w:rsid w:val="008B4336"/>
    <w:rsid w:val="008B4628"/>
    <w:rsid w:val="008B475A"/>
    <w:rsid w:val="008B476D"/>
    <w:rsid w:val="008B4CE8"/>
    <w:rsid w:val="008B5CE7"/>
    <w:rsid w:val="008B6BCC"/>
    <w:rsid w:val="008B6D28"/>
    <w:rsid w:val="008B78AD"/>
    <w:rsid w:val="008B797D"/>
    <w:rsid w:val="008B7B4C"/>
    <w:rsid w:val="008B7CC1"/>
    <w:rsid w:val="008B7CFC"/>
    <w:rsid w:val="008B7E20"/>
    <w:rsid w:val="008C0773"/>
    <w:rsid w:val="008C0C90"/>
    <w:rsid w:val="008C1166"/>
    <w:rsid w:val="008C14DE"/>
    <w:rsid w:val="008C1951"/>
    <w:rsid w:val="008C1ABE"/>
    <w:rsid w:val="008C1DA8"/>
    <w:rsid w:val="008C2670"/>
    <w:rsid w:val="008C3277"/>
    <w:rsid w:val="008C3291"/>
    <w:rsid w:val="008C3A48"/>
    <w:rsid w:val="008C5587"/>
    <w:rsid w:val="008C564B"/>
    <w:rsid w:val="008C594A"/>
    <w:rsid w:val="008C6071"/>
    <w:rsid w:val="008C618B"/>
    <w:rsid w:val="008C6CC1"/>
    <w:rsid w:val="008C710E"/>
    <w:rsid w:val="008C7168"/>
    <w:rsid w:val="008C7706"/>
    <w:rsid w:val="008C79F2"/>
    <w:rsid w:val="008C7F7D"/>
    <w:rsid w:val="008D0509"/>
    <w:rsid w:val="008D06DE"/>
    <w:rsid w:val="008D0F4E"/>
    <w:rsid w:val="008D11EF"/>
    <w:rsid w:val="008D129A"/>
    <w:rsid w:val="008D165A"/>
    <w:rsid w:val="008D182D"/>
    <w:rsid w:val="008D2550"/>
    <w:rsid w:val="008D2E5C"/>
    <w:rsid w:val="008D34F3"/>
    <w:rsid w:val="008D43B1"/>
    <w:rsid w:val="008D4B87"/>
    <w:rsid w:val="008D4B98"/>
    <w:rsid w:val="008D4CC6"/>
    <w:rsid w:val="008D4DC9"/>
    <w:rsid w:val="008D50FC"/>
    <w:rsid w:val="008D527F"/>
    <w:rsid w:val="008D56C0"/>
    <w:rsid w:val="008D69BE"/>
    <w:rsid w:val="008D6CFD"/>
    <w:rsid w:val="008D75F0"/>
    <w:rsid w:val="008D75FB"/>
    <w:rsid w:val="008D7721"/>
    <w:rsid w:val="008D79BC"/>
    <w:rsid w:val="008E0058"/>
    <w:rsid w:val="008E02CE"/>
    <w:rsid w:val="008E064C"/>
    <w:rsid w:val="008E0B70"/>
    <w:rsid w:val="008E0CA1"/>
    <w:rsid w:val="008E0D7F"/>
    <w:rsid w:val="008E15B5"/>
    <w:rsid w:val="008E1F30"/>
    <w:rsid w:val="008E1F4B"/>
    <w:rsid w:val="008E2027"/>
    <w:rsid w:val="008E2564"/>
    <w:rsid w:val="008E28A4"/>
    <w:rsid w:val="008E31AE"/>
    <w:rsid w:val="008E34CB"/>
    <w:rsid w:val="008E3544"/>
    <w:rsid w:val="008E39A0"/>
    <w:rsid w:val="008E4CB4"/>
    <w:rsid w:val="008E51B2"/>
    <w:rsid w:val="008E58D3"/>
    <w:rsid w:val="008E5C3D"/>
    <w:rsid w:val="008E61CE"/>
    <w:rsid w:val="008E687B"/>
    <w:rsid w:val="008E6D97"/>
    <w:rsid w:val="008E6EBF"/>
    <w:rsid w:val="008E78CC"/>
    <w:rsid w:val="008E7B56"/>
    <w:rsid w:val="008E7D7D"/>
    <w:rsid w:val="008F011C"/>
    <w:rsid w:val="008F01BE"/>
    <w:rsid w:val="008F01F0"/>
    <w:rsid w:val="008F0A73"/>
    <w:rsid w:val="008F0E9F"/>
    <w:rsid w:val="008F0FA1"/>
    <w:rsid w:val="008F18BF"/>
    <w:rsid w:val="008F1D19"/>
    <w:rsid w:val="008F1DC8"/>
    <w:rsid w:val="008F1EF4"/>
    <w:rsid w:val="008F1FE8"/>
    <w:rsid w:val="008F208A"/>
    <w:rsid w:val="008F2483"/>
    <w:rsid w:val="008F2495"/>
    <w:rsid w:val="008F2924"/>
    <w:rsid w:val="008F2BBE"/>
    <w:rsid w:val="008F3190"/>
    <w:rsid w:val="008F32E2"/>
    <w:rsid w:val="008F3D3D"/>
    <w:rsid w:val="008F4653"/>
    <w:rsid w:val="008F4B8D"/>
    <w:rsid w:val="008F5A48"/>
    <w:rsid w:val="008F5D93"/>
    <w:rsid w:val="008F623A"/>
    <w:rsid w:val="008F7312"/>
    <w:rsid w:val="008F7456"/>
    <w:rsid w:val="008F7493"/>
    <w:rsid w:val="008F74F3"/>
    <w:rsid w:val="008F7755"/>
    <w:rsid w:val="008F784E"/>
    <w:rsid w:val="008F79E9"/>
    <w:rsid w:val="00900457"/>
    <w:rsid w:val="009007E3"/>
    <w:rsid w:val="00900A29"/>
    <w:rsid w:val="00900C8E"/>
    <w:rsid w:val="00900CF7"/>
    <w:rsid w:val="00900EBA"/>
    <w:rsid w:val="00901050"/>
    <w:rsid w:val="0090155E"/>
    <w:rsid w:val="009018B9"/>
    <w:rsid w:val="0090197D"/>
    <w:rsid w:val="00902438"/>
    <w:rsid w:val="00902508"/>
    <w:rsid w:val="00903485"/>
    <w:rsid w:val="009036BA"/>
    <w:rsid w:val="009037C7"/>
    <w:rsid w:val="00904A36"/>
    <w:rsid w:val="00905238"/>
    <w:rsid w:val="00905725"/>
    <w:rsid w:val="00905E88"/>
    <w:rsid w:val="009063F2"/>
    <w:rsid w:val="00906BD0"/>
    <w:rsid w:val="00906D90"/>
    <w:rsid w:val="00906FEB"/>
    <w:rsid w:val="00907074"/>
    <w:rsid w:val="009071FB"/>
    <w:rsid w:val="00907410"/>
    <w:rsid w:val="00907915"/>
    <w:rsid w:val="00910051"/>
    <w:rsid w:val="009110C1"/>
    <w:rsid w:val="0091122C"/>
    <w:rsid w:val="00911514"/>
    <w:rsid w:val="0091154A"/>
    <w:rsid w:val="009117C6"/>
    <w:rsid w:val="00911D78"/>
    <w:rsid w:val="00911F8E"/>
    <w:rsid w:val="0091216D"/>
    <w:rsid w:val="0091275D"/>
    <w:rsid w:val="00912961"/>
    <w:rsid w:val="00912B5D"/>
    <w:rsid w:val="00913C09"/>
    <w:rsid w:val="00914227"/>
    <w:rsid w:val="00914321"/>
    <w:rsid w:val="00914841"/>
    <w:rsid w:val="009148CE"/>
    <w:rsid w:val="009151A3"/>
    <w:rsid w:val="0091561C"/>
    <w:rsid w:val="00915846"/>
    <w:rsid w:val="00915874"/>
    <w:rsid w:val="009158B7"/>
    <w:rsid w:val="0091599C"/>
    <w:rsid w:val="00915CE3"/>
    <w:rsid w:val="0091635C"/>
    <w:rsid w:val="009164CE"/>
    <w:rsid w:val="00916655"/>
    <w:rsid w:val="00916751"/>
    <w:rsid w:val="0091706F"/>
    <w:rsid w:val="0091727A"/>
    <w:rsid w:val="0091733B"/>
    <w:rsid w:val="00917775"/>
    <w:rsid w:val="00917959"/>
    <w:rsid w:val="009200E4"/>
    <w:rsid w:val="00920126"/>
    <w:rsid w:val="00920DC7"/>
    <w:rsid w:val="009217FA"/>
    <w:rsid w:val="00921B55"/>
    <w:rsid w:val="0092264C"/>
    <w:rsid w:val="00922961"/>
    <w:rsid w:val="00922C2E"/>
    <w:rsid w:val="00923078"/>
    <w:rsid w:val="00923989"/>
    <w:rsid w:val="00923CBB"/>
    <w:rsid w:val="00924231"/>
    <w:rsid w:val="009243F5"/>
    <w:rsid w:val="00924733"/>
    <w:rsid w:val="00924852"/>
    <w:rsid w:val="0092559C"/>
    <w:rsid w:val="00925691"/>
    <w:rsid w:val="00925B7E"/>
    <w:rsid w:val="009262AE"/>
    <w:rsid w:val="009266C7"/>
    <w:rsid w:val="00926ACF"/>
    <w:rsid w:val="00926B9C"/>
    <w:rsid w:val="00926BA7"/>
    <w:rsid w:val="00926EAD"/>
    <w:rsid w:val="0092779C"/>
    <w:rsid w:val="00927BBF"/>
    <w:rsid w:val="00927C9D"/>
    <w:rsid w:val="00930026"/>
    <w:rsid w:val="009301CE"/>
    <w:rsid w:val="009303E1"/>
    <w:rsid w:val="00930E2B"/>
    <w:rsid w:val="009313AF"/>
    <w:rsid w:val="00931D3E"/>
    <w:rsid w:val="00931EE6"/>
    <w:rsid w:val="00931F8A"/>
    <w:rsid w:val="0093220E"/>
    <w:rsid w:val="00932F24"/>
    <w:rsid w:val="00933235"/>
    <w:rsid w:val="0093327C"/>
    <w:rsid w:val="009332EF"/>
    <w:rsid w:val="00933424"/>
    <w:rsid w:val="00933991"/>
    <w:rsid w:val="00934799"/>
    <w:rsid w:val="00934B23"/>
    <w:rsid w:val="009351D5"/>
    <w:rsid w:val="00935C07"/>
    <w:rsid w:val="00935FA6"/>
    <w:rsid w:val="009366CC"/>
    <w:rsid w:val="0093696C"/>
    <w:rsid w:val="00936A5C"/>
    <w:rsid w:val="009371CD"/>
    <w:rsid w:val="00937B03"/>
    <w:rsid w:val="00937B73"/>
    <w:rsid w:val="00937F98"/>
    <w:rsid w:val="009401AC"/>
    <w:rsid w:val="00940694"/>
    <w:rsid w:val="00940749"/>
    <w:rsid w:val="0094098B"/>
    <w:rsid w:val="00941068"/>
    <w:rsid w:val="00941630"/>
    <w:rsid w:val="00941C53"/>
    <w:rsid w:val="00941D58"/>
    <w:rsid w:val="009425F0"/>
    <w:rsid w:val="00942646"/>
    <w:rsid w:val="0094299F"/>
    <w:rsid w:val="00943453"/>
    <w:rsid w:val="0094382C"/>
    <w:rsid w:val="00943A07"/>
    <w:rsid w:val="009442B3"/>
    <w:rsid w:val="00944420"/>
    <w:rsid w:val="009448F3"/>
    <w:rsid w:val="00944A9F"/>
    <w:rsid w:val="00944E8E"/>
    <w:rsid w:val="00944F2A"/>
    <w:rsid w:val="00945090"/>
    <w:rsid w:val="00945189"/>
    <w:rsid w:val="00945288"/>
    <w:rsid w:val="0094576A"/>
    <w:rsid w:val="00945B40"/>
    <w:rsid w:val="00945EF2"/>
    <w:rsid w:val="009469D5"/>
    <w:rsid w:val="00946D5E"/>
    <w:rsid w:val="009470EE"/>
    <w:rsid w:val="009472BB"/>
    <w:rsid w:val="009475B7"/>
    <w:rsid w:val="00947DC9"/>
    <w:rsid w:val="0095000B"/>
    <w:rsid w:val="0095003E"/>
    <w:rsid w:val="0095039A"/>
    <w:rsid w:val="009503D9"/>
    <w:rsid w:val="00950B3A"/>
    <w:rsid w:val="00950F0D"/>
    <w:rsid w:val="00951348"/>
    <w:rsid w:val="00951A53"/>
    <w:rsid w:val="00951F01"/>
    <w:rsid w:val="00951FE6"/>
    <w:rsid w:val="009522CE"/>
    <w:rsid w:val="00953422"/>
    <w:rsid w:val="00953778"/>
    <w:rsid w:val="00953882"/>
    <w:rsid w:val="00953B11"/>
    <w:rsid w:val="00953DF2"/>
    <w:rsid w:val="00953FEC"/>
    <w:rsid w:val="0095401A"/>
    <w:rsid w:val="009540F1"/>
    <w:rsid w:val="00954AAE"/>
    <w:rsid w:val="00954E52"/>
    <w:rsid w:val="0095508E"/>
    <w:rsid w:val="0095557E"/>
    <w:rsid w:val="00955687"/>
    <w:rsid w:val="00955FA5"/>
    <w:rsid w:val="0095608A"/>
    <w:rsid w:val="009560FB"/>
    <w:rsid w:val="009563B9"/>
    <w:rsid w:val="00956841"/>
    <w:rsid w:val="009568BB"/>
    <w:rsid w:val="009569FA"/>
    <w:rsid w:val="00956A77"/>
    <w:rsid w:val="00956BD1"/>
    <w:rsid w:val="009570CA"/>
    <w:rsid w:val="00957783"/>
    <w:rsid w:val="00957E1D"/>
    <w:rsid w:val="00957EB5"/>
    <w:rsid w:val="0096011A"/>
    <w:rsid w:val="00960464"/>
    <w:rsid w:val="009604BF"/>
    <w:rsid w:val="00960662"/>
    <w:rsid w:val="009613F8"/>
    <w:rsid w:val="009616DC"/>
    <w:rsid w:val="00961BAE"/>
    <w:rsid w:val="00962407"/>
    <w:rsid w:val="00962836"/>
    <w:rsid w:val="009628B9"/>
    <w:rsid w:val="00962DF5"/>
    <w:rsid w:val="00964157"/>
    <w:rsid w:val="00964187"/>
    <w:rsid w:val="0096449B"/>
    <w:rsid w:val="00964D0C"/>
    <w:rsid w:val="00964EE0"/>
    <w:rsid w:val="00965A52"/>
    <w:rsid w:val="00965DE5"/>
    <w:rsid w:val="009663DF"/>
    <w:rsid w:val="00966CC7"/>
    <w:rsid w:val="00966F36"/>
    <w:rsid w:val="00966F7F"/>
    <w:rsid w:val="00967279"/>
    <w:rsid w:val="00967672"/>
    <w:rsid w:val="00967996"/>
    <w:rsid w:val="00967B28"/>
    <w:rsid w:val="00967EAB"/>
    <w:rsid w:val="0097028A"/>
    <w:rsid w:val="00970447"/>
    <w:rsid w:val="00970890"/>
    <w:rsid w:val="009708DD"/>
    <w:rsid w:val="00970953"/>
    <w:rsid w:val="00970C27"/>
    <w:rsid w:val="00970D76"/>
    <w:rsid w:val="0097128F"/>
    <w:rsid w:val="0097308B"/>
    <w:rsid w:val="0097325C"/>
    <w:rsid w:val="00973432"/>
    <w:rsid w:val="009735ED"/>
    <w:rsid w:val="0097369F"/>
    <w:rsid w:val="00973C1B"/>
    <w:rsid w:val="00973D70"/>
    <w:rsid w:val="00973F1D"/>
    <w:rsid w:val="00974403"/>
    <w:rsid w:val="00974435"/>
    <w:rsid w:val="00974DB8"/>
    <w:rsid w:val="00974F3F"/>
    <w:rsid w:val="0097507E"/>
    <w:rsid w:val="0097533C"/>
    <w:rsid w:val="0097536A"/>
    <w:rsid w:val="00975541"/>
    <w:rsid w:val="0097586E"/>
    <w:rsid w:val="00975B86"/>
    <w:rsid w:val="009763F3"/>
    <w:rsid w:val="009768D8"/>
    <w:rsid w:val="00976D91"/>
    <w:rsid w:val="00976E6D"/>
    <w:rsid w:val="0097725A"/>
    <w:rsid w:val="009772D9"/>
    <w:rsid w:val="00977869"/>
    <w:rsid w:val="009778CE"/>
    <w:rsid w:val="00977E16"/>
    <w:rsid w:val="00980140"/>
    <w:rsid w:val="009801A3"/>
    <w:rsid w:val="009802BC"/>
    <w:rsid w:val="009804A9"/>
    <w:rsid w:val="0098067C"/>
    <w:rsid w:val="009806E8"/>
    <w:rsid w:val="00980BE4"/>
    <w:rsid w:val="009816EE"/>
    <w:rsid w:val="00981E73"/>
    <w:rsid w:val="0098207E"/>
    <w:rsid w:val="009821E3"/>
    <w:rsid w:val="00982569"/>
    <w:rsid w:val="00982D9C"/>
    <w:rsid w:val="0098300E"/>
    <w:rsid w:val="009835BD"/>
    <w:rsid w:val="00983A0D"/>
    <w:rsid w:val="00983E9A"/>
    <w:rsid w:val="00983EE2"/>
    <w:rsid w:val="00984228"/>
    <w:rsid w:val="00984558"/>
    <w:rsid w:val="0098493C"/>
    <w:rsid w:val="00984C30"/>
    <w:rsid w:val="00984E97"/>
    <w:rsid w:val="0098524D"/>
    <w:rsid w:val="00985565"/>
    <w:rsid w:val="00985892"/>
    <w:rsid w:val="00985C3E"/>
    <w:rsid w:val="00985EC9"/>
    <w:rsid w:val="0098612E"/>
    <w:rsid w:val="009861F3"/>
    <w:rsid w:val="009869A4"/>
    <w:rsid w:val="00986B53"/>
    <w:rsid w:val="00986BAB"/>
    <w:rsid w:val="00987190"/>
    <w:rsid w:val="009873B7"/>
    <w:rsid w:val="00987706"/>
    <w:rsid w:val="00987932"/>
    <w:rsid w:val="0098793C"/>
    <w:rsid w:val="00987999"/>
    <w:rsid w:val="00987B2B"/>
    <w:rsid w:val="00987C43"/>
    <w:rsid w:val="00987DA0"/>
    <w:rsid w:val="009909BE"/>
    <w:rsid w:val="00990A71"/>
    <w:rsid w:val="00990ACC"/>
    <w:rsid w:val="009912CD"/>
    <w:rsid w:val="0099166E"/>
    <w:rsid w:val="009920F2"/>
    <w:rsid w:val="00992B58"/>
    <w:rsid w:val="009933FB"/>
    <w:rsid w:val="00993DFF"/>
    <w:rsid w:val="009941C8"/>
    <w:rsid w:val="00994313"/>
    <w:rsid w:val="0099477E"/>
    <w:rsid w:val="00994B99"/>
    <w:rsid w:val="0099508A"/>
    <w:rsid w:val="00995668"/>
    <w:rsid w:val="00995837"/>
    <w:rsid w:val="00995DF1"/>
    <w:rsid w:val="0099604D"/>
    <w:rsid w:val="0099620B"/>
    <w:rsid w:val="00996C00"/>
    <w:rsid w:val="00996F49"/>
    <w:rsid w:val="0099771E"/>
    <w:rsid w:val="00997B0E"/>
    <w:rsid w:val="00997FB0"/>
    <w:rsid w:val="009A0BF8"/>
    <w:rsid w:val="009A10DE"/>
    <w:rsid w:val="009A1411"/>
    <w:rsid w:val="009A1594"/>
    <w:rsid w:val="009A15C5"/>
    <w:rsid w:val="009A1C2F"/>
    <w:rsid w:val="009A1EF1"/>
    <w:rsid w:val="009A2A70"/>
    <w:rsid w:val="009A2ACB"/>
    <w:rsid w:val="009A33A0"/>
    <w:rsid w:val="009A370A"/>
    <w:rsid w:val="009A3DAC"/>
    <w:rsid w:val="009A3F6B"/>
    <w:rsid w:val="009A4E9C"/>
    <w:rsid w:val="009A4EFE"/>
    <w:rsid w:val="009A51FC"/>
    <w:rsid w:val="009A548D"/>
    <w:rsid w:val="009A62FC"/>
    <w:rsid w:val="009A63B9"/>
    <w:rsid w:val="009A6752"/>
    <w:rsid w:val="009A67D4"/>
    <w:rsid w:val="009A6C17"/>
    <w:rsid w:val="009A6CFF"/>
    <w:rsid w:val="009A70DA"/>
    <w:rsid w:val="009A7203"/>
    <w:rsid w:val="009A778C"/>
    <w:rsid w:val="009A7E18"/>
    <w:rsid w:val="009B01AA"/>
    <w:rsid w:val="009B05DD"/>
    <w:rsid w:val="009B0A33"/>
    <w:rsid w:val="009B0E22"/>
    <w:rsid w:val="009B107E"/>
    <w:rsid w:val="009B108B"/>
    <w:rsid w:val="009B11CC"/>
    <w:rsid w:val="009B12D6"/>
    <w:rsid w:val="009B1ABD"/>
    <w:rsid w:val="009B1AEF"/>
    <w:rsid w:val="009B1F03"/>
    <w:rsid w:val="009B28A8"/>
    <w:rsid w:val="009B3377"/>
    <w:rsid w:val="009B35D3"/>
    <w:rsid w:val="009B3A03"/>
    <w:rsid w:val="009B3DD0"/>
    <w:rsid w:val="009B4034"/>
    <w:rsid w:val="009B49A5"/>
    <w:rsid w:val="009B49A7"/>
    <w:rsid w:val="009B4A06"/>
    <w:rsid w:val="009B562A"/>
    <w:rsid w:val="009B5A4B"/>
    <w:rsid w:val="009B5B14"/>
    <w:rsid w:val="009B5E14"/>
    <w:rsid w:val="009B6FA2"/>
    <w:rsid w:val="009B726F"/>
    <w:rsid w:val="009B7603"/>
    <w:rsid w:val="009B7A61"/>
    <w:rsid w:val="009B7B99"/>
    <w:rsid w:val="009B7C97"/>
    <w:rsid w:val="009C014E"/>
    <w:rsid w:val="009C0375"/>
    <w:rsid w:val="009C0524"/>
    <w:rsid w:val="009C088C"/>
    <w:rsid w:val="009C0AE8"/>
    <w:rsid w:val="009C0FF9"/>
    <w:rsid w:val="009C154A"/>
    <w:rsid w:val="009C15AB"/>
    <w:rsid w:val="009C1A75"/>
    <w:rsid w:val="009C1C0C"/>
    <w:rsid w:val="009C1CC1"/>
    <w:rsid w:val="009C1ED7"/>
    <w:rsid w:val="009C2173"/>
    <w:rsid w:val="009C22B9"/>
    <w:rsid w:val="009C251D"/>
    <w:rsid w:val="009C255D"/>
    <w:rsid w:val="009C297C"/>
    <w:rsid w:val="009C2A1F"/>
    <w:rsid w:val="009C3186"/>
    <w:rsid w:val="009C3BEF"/>
    <w:rsid w:val="009C3DA6"/>
    <w:rsid w:val="009C4694"/>
    <w:rsid w:val="009C4BD9"/>
    <w:rsid w:val="009C4CCC"/>
    <w:rsid w:val="009C4D68"/>
    <w:rsid w:val="009C526C"/>
    <w:rsid w:val="009C5C19"/>
    <w:rsid w:val="009C5FD9"/>
    <w:rsid w:val="009C60C3"/>
    <w:rsid w:val="009C650E"/>
    <w:rsid w:val="009C6B8F"/>
    <w:rsid w:val="009C7044"/>
    <w:rsid w:val="009C7584"/>
    <w:rsid w:val="009C7992"/>
    <w:rsid w:val="009C7EE5"/>
    <w:rsid w:val="009D0017"/>
    <w:rsid w:val="009D017B"/>
    <w:rsid w:val="009D0234"/>
    <w:rsid w:val="009D0832"/>
    <w:rsid w:val="009D0B2F"/>
    <w:rsid w:val="009D0C0C"/>
    <w:rsid w:val="009D17D6"/>
    <w:rsid w:val="009D18C7"/>
    <w:rsid w:val="009D1A8C"/>
    <w:rsid w:val="009D1C8E"/>
    <w:rsid w:val="009D1E46"/>
    <w:rsid w:val="009D2407"/>
    <w:rsid w:val="009D26D3"/>
    <w:rsid w:val="009D2EB6"/>
    <w:rsid w:val="009D2ED9"/>
    <w:rsid w:val="009D32BD"/>
    <w:rsid w:val="009D366C"/>
    <w:rsid w:val="009D36AE"/>
    <w:rsid w:val="009D3D4F"/>
    <w:rsid w:val="009D4192"/>
    <w:rsid w:val="009D4795"/>
    <w:rsid w:val="009D486B"/>
    <w:rsid w:val="009D4F5C"/>
    <w:rsid w:val="009D529F"/>
    <w:rsid w:val="009D53A1"/>
    <w:rsid w:val="009D598E"/>
    <w:rsid w:val="009D5FAA"/>
    <w:rsid w:val="009D6449"/>
    <w:rsid w:val="009D64E4"/>
    <w:rsid w:val="009D681E"/>
    <w:rsid w:val="009D6DB0"/>
    <w:rsid w:val="009D6ED2"/>
    <w:rsid w:val="009D70A3"/>
    <w:rsid w:val="009D7104"/>
    <w:rsid w:val="009D7677"/>
    <w:rsid w:val="009D799B"/>
    <w:rsid w:val="009E01F0"/>
    <w:rsid w:val="009E09EF"/>
    <w:rsid w:val="009E09F5"/>
    <w:rsid w:val="009E0C2D"/>
    <w:rsid w:val="009E0FA9"/>
    <w:rsid w:val="009E12CD"/>
    <w:rsid w:val="009E145E"/>
    <w:rsid w:val="009E14D0"/>
    <w:rsid w:val="009E1596"/>
    <w:rsid w:val="009E1864"/>
    <w:rsid w:val="009E19B5"/>
    <w:rsid w:val="009E1AFB"/>
    <w:rsid w:val="009E1CE9"/>
    <w:rsid w:val="009E1EC4"/>
    <w:rsid w:val="009E1F96"/>
    <w:rsid w:val="009E2259"/>
    <w:rsid w:val="009E274B"/>
    <w:rsid w:val="009E2A71"/>
    <w:rsid w:val="009E2B0F"/>
    <w:rsid w:val="009E2C27"/>
    <w:rsid w:val="009E2FF0"/>
    <w:rsid w:val="009E3103"/>
    <w:rsid w:val="009E3902"/>
    <w:rsid w:val="009E3B07"/>
    <w:rsid w:val="009E3BAE"/>
    <w:rsid w:val="009E4190"/>
    <w:rsid w:val="009E4248"/>
    <w:rsid w:val="009E450C"/>
    <w:rsid w:val="009E48A5"/>
    <w:rsid w:val="009E4B0B"/>
    <w:rsid w:val="009E530B"/>
    <w:rsid w:val="009E54A9"/>
    <w:rsid w:val="009E581B"/>
    <w:rsid w:val="009E5953"/>
    <w:rsid w:val="009E5B45"/>
    <w:rsid w:val="009E5E19"/>
    <w:rsid w:val="009E60B7"/>
    <w:rsid w:val="009E611E"/>
    <w:rsid w:val="009E6627"/>
    <w:rsid w:val="009E69B5"/>
    <w:rsid w:val="009E7552"/>
    <w:rsid w:val="009E7874"/>
    <w:rsid w:val="009E7A47"/>
    <w:rsid w:val="009E7EA9"/>
    <w:rsid w:val="009E7FFD"/>
    <w:rsid w:val="009F0092"/>
    <w:rsid w:val="009F0204"/>
    <w:rsid w:val="009F02C3"/>
    <w:rsid w:val="009F0934"/>
    <w:rsid w:val="009F0EEB"/>
    <w:rsid w:val="009F1686"/>
    <w:rsid w:val="009F1D54"/>
    <w:rsid w:val="009F21FC"/>
    <w:rsid w:val="009F2985"/>
    <w:rsid w:val="009F29FF"/>
    <w:rsid w:val="009F2E22"/>
    <w:rsid w:val="009F2F5E"/>
    <w:rsid w:val="009F3182"/>
    <w:rsid w:val="009F331D"/>
    <w:rsid w:val="009F3520"/>
    <w:rsid w:val="009F3586"/>
    <w:rsid w:val="009F358D"/>
    <w:rsid w:val="009F3A0E"/>
    <w:rsid w:val="009F3E2A"/>
    <w:rsid w:val="009F3ED1"/>
    <w:rsid w:val="009F3EF2"/>
    <w:rsid w:val="009F498C"/>
    <w:rsid w:val="009F4B1A"/>
    <w:rsid w:val="009F4DEA"/>
    <w:rsid w:val="009F4DF1"/>
    <w:rsid w:val="009F4FEC"/>
    <w:rsid w:val="009F5038"/>
    <w:rsid w:val="009F5413"/>
    <w:rsid w:val="009F5F2F"/>
    <w:rsid w:val="009F5FA0"/>
    <w:rsid w:val="009F7629"/>
    <w:rsid w:val="009F78E4"/>
    <w:rsid w:val="009F7C1D"/>
    <w:rsid w:val="009F7C96"/>
    <w:rsid w:val="00A00344"/>
    <w:rsid w:val="00A003C9"/>
    <w:rsid w:val="00A007F3"/>
    <w:rsid w:val="00A00DB4"/>
    <w:rsid w:val="00A00EB1"/>
    <w:rsid w:val="00A017F7"/>
    <w:rsid w:val="00A02172"/>
    <w:rsid w:val="00A0296F"/>
    <w:rsid w:val="00A02B19"/>
    <w:rsid w:val="00A0337B"/>
    <w:rsid w:val="00A0337F"/>
    <w:rsid w:val="00A03637"/>
    <w:rsid w:val="00A036E5"/>
    <w:rsid w:val="00A045DC"/>
    <w:rsid w:val="00A045E9"/>
    <w:rsid w:val="00A052F6"/>
    <w:rsid w:val="00A05318"/>
    <w:rsid w:val="00A054B2"/>
    <w:rsid w:val="00A054E2"/>
    <w:rsid w:val="00A057E0"/>
    <w:rsid w:val="00A05AF3"/>
    <w:rsid w:val="00A05E80"/>
    <w:rsid w:val="00A05FD5"/>
    <w:rsid w:val="00A063A2"/>
    <w:rsid w:val="00A068A6"/>
    <w:rsid w:val="00A07543"/>
    <w:rsid w:val="00A103B7"/>
    <w:rsid w:val="00A10555"/>
    <w:rsid w:val="00A105B1"/>
    <w:rsid w:val="00A109F3"/>
    <w:rsid w:val="00A10C6B"/>
    <w:rsid w:val="00A11243"/>
    <w:rsid w:val="00A1181D"/>
    <w:rsid w:val="00A1191D"/>
    <w:rsid w:val="00A11B7B"/>
    <w:rsid w:val="00A1280E"/>
    <w:rsid w:val="00A1471C"/>
    <w:rsid w:val="00A15848"/>
    <w:rsid w:val="00A15C4F"/>
    <w:rsid w:val="00A16E82"/>
    <w:rsid w:val="00A172A8"/>
    <w:rsid w:val="00A17499"/>
    <w:rsid w:val="00A17729"/>
    <w:rsid w:val="00A17BF4"/>
    <w:rsid w:val="00A17C5D"/>
    <w:rsid w:val="00A2021B"/>
    <w:rsid w:val="00A204E9"/>
    <w:rsid w:val="00A21B41"/>
    <w:rsid w:val="00A21BA9"/>
    <w:rsid w:val="00A21ED9"/>
    <w:rsid w:val="00A21F00"/>
    <w:rsid w:val="00A220EA"/>
    <w:rsid w:val="00A2227B"/>
    <w:rsid w:val="00A225EF"/>
    <w:rsid w:val="00A228EF"/>
    <w:rsid w:val="00A22B95"/>
    <w:rsid w:val="00A2357A"/>
    <w:rsid w:val="00A235FB"/>
    <w:rsid w:val="00A23616"/>
    <w:rsid w:val="00A23A2B"/>
    <w:rsid w:val="00A24159"/>
    <w:rsid w:val="00A241A0"/>
    <w:rsid w:val="00A242A1"/>
    <w:rsid w:val="00A24BF8"/>
    <w:rsid w:val="00A24CCD"/>
    <w:rsid w:val="00A2506A"/>
    <w:rsid w:val="00A251B7"/>
    <w:rsid w:val="00A25DDA"/>
    <w:rsid w:val="00A25EF7"/>
    <w:rsid w:val="00A26660"/>
    <w:rsid w:val="00A26F14"/>
    <w:rsid w:val="00A27016"/>
    <w:rsid w:val="00A27126"/>
    <w:rsid w:val="00A272E7"/>
    <w:rsid w:val="00A272FC"/>
    <w:rsid w:val="00A27C5C"/>
    <w:rsid w:val="00A27CCD"/>
    <w:rsid w:val="00A27FF9"/>
    <w:rsid w:val="00A302AE"/>
    <w:rsid w:val="00A302D0"/>
    <w:rsid w:val="00A3079A"/>
    <w:rsid w:val="00A30DB3"/>
    <w:rsid w:val="00A30EDC"/>
    <w:rsid w:val="00A311F3"/>
    <w:rsid w:val="00A3141C"/>
    <w:rsid w:val="00A31B1D"/>
    <w:rsid w:val="00A31B71"/>
    <w:rsid w:val="00A31DDB"/>
    <w:rsid w:val="00A31E05"/>
    <w:rsid w:val="00A31E66"/>
    <w:rsid w:val="00A321F6"/>
    <w:rsid w:val="00A322C8"/>
    <w:rsid w:val="00A3240C"/>
    <w:rsid w:val="00A327A5"/>
    <w:rsid w:val="00A33D9E"/>
    <w:rsid w:val="00A34169"/>
    <w:rsid w:val="00A34287"/>
    <w:rsid w:val="00A3474A"/>
    <w:rsid w:val="00A34C7E"/>
    <w:rsid w:val="00A3518E"/>
    <w:rsid w:val="00A352A8"/>
    <w:rsid w:val="00A35A88"/>
    <w:rsid w:val="00A35A8B"/>
    <w:rsid w:val="00A361AB"/>
    <w:rsid w:val="00A36316"/>
    <w:rsid w:val="00A363AC"/>
    <w:rsid w:val="00A364E8"/>
    <w:rsid w:val="00A37115"/>
    <w:rsid w:val="00A375D7"/>
    <w:rsid w:val="00A37611"/>
    <w:rsid w:val="00A37D15"/>
    <w:rsid w:val="00A40124"/>
    <w:rsid w:val="00A402C5"/>
    <w:rsid w:val="00A403FD"/>
    <w:rsid w:val="00A406CD"/>
    <w:rsid w:val="00A406ED"/>
    <w:rsid w:val="00A4087B"/>
    <w:rsid w:val="00A40947"/>
    <w:rsid w:val="00A40B23"/>
    <w:rsid w:val="00A4174E"/>
    <w:rsid w:val="00A42081"/>
    <w:rsid w:val="00A4239F"/>
    <w:rsid w:val="00A425E3"/>
    <w:rsid w:val="00A42C3B"/>
    <w:rsid w:val="00A42D5E"/>
    <w:rsid w:val="00A435B6"/>
    <w:rsid w:val="00A43A0F"/>
    <w:rsid w:val="00A43A4C"/>
    <w:rsid w:val="00A43C9F"/>
    <w:rsid w:val="00A43CF3"/>
    <w:rsid w:val="00A441AF"/>
    <w:rsid w:val="00A445AF"/>
    <w:rsid w:val="00A44914"/>
    <w:rsid w:val="00A4578F"/>
    <w:rsid w:val="00A45AAF"/>
    <w:rsid w:val="00A45C11"/>
    <w:rsid w:val="00A45D97"/>
    <w:rsid w:val="00A45E2A"/>
    <w:rsid w:val="00A4645E"/>
    <w:rsid w:val="00A464A9"/>
    <w:rsid w:val="00A46C43"/>
    <w:rsid w:val="00A46DC1"/>
    <w:rsid w:val="00A46E42"/>
    <w:rsid w:val="00A46FED"/>
    <w:rsid w:val="00A47000"/>
    <w:rsid w:val="00A4716A"/>
    <w:rsid w:val="00A471B1"/>
    <w:rsid w:val="00A47804"/>
    <w:rsid w:val="00A47989"/>
    <w:rsid w:val="00A47BD0"/>
    <w:rsid w:val="00A47C1D"/>
    <w:rsid w:val="00A5021B"/>
    <w:rsid w:val="00A5065A"/>
    <w:rsid w:val="00A50675"/>
    <w:rsid w:val="00A512AB"/>
    <w:rsid w:val="00A513A9"/>
    <w:rsid w:val="00A5142D"/>
    <w:rsid w:val="00A51571"/>
    <w:rsid w:val="00A5167A"/>
    <w:rsid w:val="00A523CF"/>
    <w:rsid w:val="00A52BC2"/>
    <w:rsid w:val="00A52CAA"/>
    <w:rsid w:val="00A532C8"/>
    <w:rsid w:val="00A53D05"/>
    <w:rsid w:val="00A54550"/>
    <w:rsid w:val="00A54552"/>
    <w:rsid w:val="00A54BBC"/>
    <w:rsid w:val="00A5504C"/>
    <w:rsid w:val="00A556D6"/>
    <w:rsid w:val="00A55FF0"/>
    <w:rsid w:val="00A56264"/>
    <w:rsid w:val="00A5647B"/>
    <w:rsid w:val="00A5677A"/>
    <w:rsid w:val="00A568C5"/>
    <w:rsid w:val="00A57639"/>
    <w:rsid w:val="00A578D8"/>
    <w:rsid w:val="00A57A6D"/>
    <w:rsid w:val="00A57C5F"/>
    <w:rsid w:val="00A57C7E"/>
    <w:rsid w:val="00A60352"/>
    <w:rsid w:val="00A607BF"/>
    <w:rsid w:val="00A60869"/>
    <w:rsid w:val="00A609A9"/>
    <w:rsid w:val="00A60E64"/>
    <w:rsid w:val="00A60EBB"/>
    <w:rsid w:val="00A610DA"/>
    <w:rsid w:val="00A61215"/>
    <w:rsid w:val="00A615DC"/>
    <w:rsid w:val="00A6264F"/>
    <w:rsid w:val="00A629D7"/>
    <w:rsid w:val="00A62BBA"/>
    <w:rsid w:val="00A62D47"/>
    <w:rsid w:val="00A643B7"/>
    <w:rsid w:val="00A645FF"/>
    <w:rsid w:val="00A6490A"/>
    <w:rsid w:val="00A64BCC"/>
    <w:rsid w:val="00A64BDC"/>
    <w:rsid w:val="00A64EB4"/>
    <w:rsid w:val="00A64EE7"/>
    <w:rsid w:val="00A65263"/>
    <w:rsid w:val="00A654FF"/>
    <w:rsid w:val="00A65560"/>
    <w:rsid w:val="00A65812"/>
    <w:rsid w:val="00A667AE"/>
    <w:rsid w:val="00A66BE5"/>
    <w:rsid w:val="00A6717B"/>
    <w:rsid w:val="00A673AD"/>
    <w:rsid w:val="00A67626"/>
    <w:rsid w:val="00A67B42"/>
    <w:rsid w:val="00A67BFB"/>
    <w:rsid w:val="00A70252"/>
    <w:rsid w:val="00A705C2"/>
    <w:rsid w:val="00A7068E"/>
    <w:rsid w:val="00A71D6B"/>
    <w:rsid w:val="00A71EBF"/>
    <w:rsid w:val="00A71EF3"/>
    <w:rsid w:val="00A72357"/>
    <w:rsid w:val="00A72AA9"/>
    <w:rsid w:val="00A73625"/>
    <w:rsid w:val="00A73FD4"/>
    <w:rsid w:val="00A74001"/>
    <w:rsid w:val="00A7435D"/>
    <w:rsid w:val="00A74516"/>
    <w:rsid w:val="00A7467E"/>
    <w:rsid w:val="00A74C27"/>
    <w:rsid w:val="00A753D6"/>
    <w:rsid w:val="00A758C1"/>
    <w:rsid w:val="00A75F49"/>
    <w:rsid w:val="00A76192"/>
    <w:rsid w:val="00A7659D"/>
    <w:rsid w:val="00A76A18"/>
    <w:rsid w:val="00A76AA4"/>
    <w:rsid w:val="00A76C1A"/>
    <w:rsid w:val="00A76F6E"/>
    <w:rsid w:val="00A777B1"/>
    <w:rsid w:val="00A77971"/>
    <w:rsid w:val="00A77FAF"/>
    <w:rsid w:val="00A800F9"/>
    <w:rsid w:val="00A8079E"/>
    <w:rsid w:val="00A80B03"/>
    <w:rsid w:val="00A80DEC"/>
    <w:rsid w:val="00A81A7E"/>
    <w:rsid w:val="00A81EE5"/>
    <w:rsid w:val="00A82133"/>
    <w:rsid w:val="00A823A9"/>
    <w:rsid w:val="00A83008"/>
    <w:rsid w:val="00A832F3"/>
    <w:rsid w:val="00A8336E"/>
    <w:rsid w:val="00A835CF"/>
    <w:rsid w:val="00A835FB"/>
    <w:rsid w:val="00A83DDB"/>
    <w:rsid w:val="00A849AB"/>
    <w:rsid w:val="00A85097"/>
    <w:rsid w:val="00A850AE"/>
    <w:rsid w:val="00A8535C"/>
    <w:rsid w:val="00A85543"/>
    <w:rsid w:val="00A856DE"/>
    <w:rsid w:val="00A8627D"/>
    <w:rsid w:val="00A869C4"/>
    <w:rsid w:val="00A86ABB"/>
    <w:rsid w:val="00A90612"/>
    <w:rsid w:val="00A90644"/>
    <w:rsid w:val="00A907EC"/>
    <w:rsid w:val="00A90B96"/>
    <w:rsid w:val="00A90CA9"/>
    <w:rsid w:val="00A910B8"/>
    <w:rsid w:val="00A91F8F"/>
    <w:rsid w:val="00A91FA9"/>
    <w:rsid w:val="00A9254D"/>
    <w:rsid w:val="00A92D3C"/>
    <w:rsid w:val="00A92E4A"/>
    <w:rsid w:val="00A932A0"/>
    <w:rsid w:val="00A939E4"/>
    <w:rsid w:val="00A94454"/>
    <w:rsid w:val="00A94551"/>
    <w:rsid w:val="00A94667"/>
    <w:rsid w:val="00A947A5"/>
    <w:rsid w:val="00A94875"/>
    <w:rsid w:val="00A94C66"/>
    <w:rsid w:val="00A94D27"/>
    <w:rsid w:val="00A94D3B"/>
    <w:rsid w:val="00A94D3E"/>
    <w:rsid w:val="00A957DE"/>
    <w:rsid w:val="00A9602C"/>
    <w:rsid w:val="00A9692C"/>
    <w:rsid w:val="00A969FB"/>
    <w:rsid w:val="00A97587"/>
    <w:rsid w:val="00A97BC1"/>
    <w:rsid w:val="00A97BF0"/>
    <w:rsid w:val="00AA0184"/>
    <w:rsid w:val="00AA04BA"/>
    <w:rsid w:val="00AA051B"/>
    <w:rsid w:val="00AA1133"/>
    <w:rsid w:val="00AA12E4"/>
    <w:rsid w:val="00AA1432"/>
    <w:rsid w:val="00AA1435"/>
    <w:rsid w:val="00AA1699"/>
    <w:rsid w:val="00AA17FE"/>
    <w:rsid w:val="00AA2087"/>
    <w:rsid w:val="00AA247A"/>
    <w:rsid w:val="00AA2640"/>
    <w:rsid w:val="00AA271B"/>
    <w:rsid w:val="00AA297C"/>
    <w:rsid w:val="00AA2CA9"/>
    <w:rsid w:val="00AA305C"/>
    <w:rsid w:val="00AA3942"/>
    <w:rsid w:val="00AA3A0C"/>
    <w:rsid w:val="00AA3CCB"/>
    <w:rsid w:val="00AA3DBA"/>
    <w:rsid w:val="00AA4B83"/>
    <w:rsid w:val="00AA571E"/>
    <w:rsid w:val="00AA596A"/>
    <w:rsid w:val="00AA5DBB"/>
    <w:rsid w:val="00AA67DF"/>
    <w:rsid w:val="00AA6BE8"/>
    <w:rsid w:val="00AA6E2C"/>
    <w:rsid w:val="00AA6F85"/>
    <w:rsid w:val="00AA6F8E"/>
    <w:rsid w:val="00AA6FC2"/>
    <w:rsid w:val="00AA7043"/>
    <w:rsid w:val="00AA71EF"/>
    <w:rsid w:val="00AA7703"/>
    <w:rsid w:val="00AA774A"/>
    <w:rsid w:val="00AA7A2A"/>
    <w:rsid w:val="00AB0C09"/>
    <w:rsid w:val="00AB12B9"/>
    <w:rsid w:val="00AB22DE"/>
    <w:rsid w:val="00AB28F3"/>
    <w:rsid w:val="00AB2E5F"/>
    <w:rsid w:val="00AB32BC"/>
    <w:rsid w:val="00AB331B"/>
    <w:rsid w:val="00AB418E"/>
    <w:rsid w:val="00AB4536"/>
    <w:rsid w:val="00AB4596"/>
    <w:rsid w:val="00AB473D"/>
    <w:rsid w:val="00AB4846"/>
    <w:rsid w:val="00AB4A63"/>
    <w:rsid w:val="00AB4C1B"/>
    <w:rsid w:val="00AB4D53"/>
    <w:rsid w:val="00AB5D70"/>
    <w:rsid w:val="00AB63F4"/>
    <w:rsid w:val="00AB6698"/>
    <w:rsid w:val="00AB75AB"/>
    <w:rsid w:val="00AB7969"/>
    <w:rsid w:val="00AB7F1F"/>
    <w:rsid w:val="00AC0196"/>
    <w:rsid w:val="00AC0485"/>
    <w:rsid w:val="00AC0524"/>
    <w:rsid w:val="00AC0A72"/>
    <w:rsid w:val="00AC0CAA"/>
    <w:rsid w:val="00AC1260"/>
    <w:rsid w:val="00AC147D"/>
    <w:rsid w:val="00AC272E"/>
    <w:rsid w:val="00AC2AAA"/>
    <w:rsid w:val="00AC2CAF"/>
    <w:rsid w:val="00AC2EDB"/>
    <w:rsid w:val="00AC3041"/>
    <w:rsid w:val="00AC3441"/>
    <w:rsid w:val="00AC3D4E"/>
    <w:rsid w:val="00AC42E5"/>
    <w:rsid w:val="00AC4559"/>
    <w:rsid w:val="00AC4CD7"/>
    <w:rsid w:val="00AC4D9B"/>
    <w:rsid w:val="00AC4F3E"/>
    <w:rsid w:val="00AC52E2"/>
    <w:rsid w:val="00AC57D4"/>
    <w:rsid w:val="00AC5A74"/>
    <w:rsid w:val="00AC5AC4"/>
    <w:rsid w:val="00AC6507"/>
    <w:rsid w:val="00AC6B7B"/>
    <w:rsid w:val="00AC73D5"/>
    <w:rsid w:val="00AC7D22"/>
    <w:rsid w:val="00AC7DF4"/>
    <w:rsid w:val="00AC7FE7"/>
    <w:rsid w:val="00AD0306"/>
    <w:rsid w:val="00AD06A1"/>
    <w:rsid w:val="00AD0F07"/>
    <w:rsid w:val="00AD112F"/>
    <w:rsid w:val="00AD17AE"/>
    <w:rsid w:val="00AD199E"/>
    <w:rsid w:val="00AD217F"/>
    <w:rsid w:val="00AD28A3"/>
    <w:rsid w:val="00AD29FD"/>
    <w:rsid w:val="00AD2D2B"/>
    <w:rsid w:val="00AD377F"/>
    <w:rsid w:val="00AD380E"/>
    <w:rsid w:val="00AD3BDC"/>
    <w:rsid w:val="00AD4559"/>
    <w:rsid w:val="00AD527E"/>
    <w:rsid w:val="00AD5980"/>
    <w:rsid w:val="00AD5AF3"/>
    <w:rsid w:val="00AD5FC1"/>
    <w:rsid w:val="00AD5FE6"/>
    <w:rsid w:val="00AD65E1"/>
    <w:rsid w:val="00AD67F5"/>
    <w:rsid w:val="00AD6B32"/>
    <w:rsid w:val="00AD72FB"/>
    <w:rsid w:val="00AD737C"/>
    <w:rsid w:val="00AD7758"/>
    <w:rsid w:val="00AD77E2"/>
    <w:rsid w:val="00AD7BB8"/>
    <w:rsid w:val="00AE0348"/>
    <w:rsid w:val="00AE0413"/>
    <w:rsid w:val="00AE04BB"/>
    <w:rsid w:val="00AE051C"/>
    <w:rsid w:val="00AE0BAD"/>
    <w:rsid w:val="00AE10F8"/>
    <w:rsid w:val="00AE194B"/>
    <w:rsid w:val="00AE2094"/>
    <w:rsid w:val="00AE25F3"/>
    <w:rsid w:val="00AE2893"/>
    <w:rsid w:val="00AE2B3E"/>
    <w:rsid w:val="00AE2DC5"/>
    <w:rsid w:val="00AE374B"/>
    <w:rsid w:val="00AE38CA"/>
    <w:rsid w:val="00AE3EBA"/>
    <w:rsid w:val="00AE4663"/>
    <w:rsid w:val="00AE4690"/>
    <w:rsid w:val="00AE552E"/>
    <w:rsid w:val="00AE557B"/>
    <w:rsid w:val="00AE5843"/>
    <w:rsid w:val="00AE5859"/>
    <w:rsid w:val="00AE5F52"/>
    <w:rsid w:val="00AE5F79"/>
    <w:rsid w:val="00AE60E5"/>
    <w:rsid w:val="00AE6173"/>
    <w:rsid w:val="00AE6650"/>
    <w:rsid w:val="00AE6A6A"/>
    <w:rsid w:val="00AE6CD8"/>
    <w:rsid w:val="00AE7058"/>
    <w:rsid w:val="00AE73A9"/>
    <w:rsid w:val="00AE761F"/>
    <w:rsid w:val="00AE7BD8"/>
    <w:rsid w:val="00AF0104"/>
    <w:rsid w:val="00AF0D46"/>
    <w:rsid w:val="00AF1ED3"/>
    <w:rsid w:val="00AF1FE7"/>
    <w:rsid w:val="00AF2268"/>
    <w:rsid w:val="00AF2454"/>
    <w:rsid w:val="00AF27D6"/>
    <w:rsid w:val="00AF2BFD"/>
    <w:rsid w:val="00AF2D3A"/>
    <w:rsid w:val="00AF3373"/>
    <w:rsid w:val="00AF3656"/>
    <w:rsid w:val="00AF37AC"/>
    <w:rsid w:val="00AF4080"/>
    <w:rsid w:val="00AF40C0"/>
    <w:rsid w:val="00AF40D7"/>
    <w:rsid w:val="00AF43A8"/>
    <w:rsid w:val="00AF49BB"/>
    <w:rsid w:val="00AF50EE"/>
    <w:rsid w:val="00AF50F7"/>
    <w:rsid w:val="00AF51B4"/>
    <w:rsid w:val="00AF630E"/>
    <w:rsid w:val="00AF64C0"/>
    <w:rsid w:val="00AF6AC2"/>
    <w:rsid w:val="00AF7579"/>
    <w:rsid w:val="00B008EF"/>
    <w:rsid w:val="00B009F8"/>
    <w:rsid w:val="00B00C0F"/>
    <w:rsid w:val="00B010E9"/>
    <w:rsid w:val="00B011D2"/>
    <w:rsid w:val="00B01664"/>
    <w:rsid w:val="00B01733"/>
    <w:rsid w:val="00B01A7A"/>
    <w:rsid w:val="00B025C9"/>
    <w:rsid w:val="00B02C4A"/>
    <w:rsid w:val="00B02C5A"/>
    <w:rsid w:val="00B02ECC"/>
    <w:rsid w:val="00B03021"/>
    <w:rsid w:val="00B03635"/>
    <w:rsid w:val="00B0416F"/>
    <w:rsid w:val="00B0423F"/>
    <w:rsid w:val="00B047B4"/>
    <w:rsid w:val="00B047F2"/>
    <w:rsid w:val="00B04ED8"/>
    <w:rsid w:val="00B050BB"/>
    <w:rsid w:val="00B05D40"/>
    <w:rsid w:val="00B05D86"/>
    <w:rsid w:val="00B0643F"/>
    <w:rsid w:val="00B066DD"/>
    <w:rsid w:val="00B06A13"/>
    <w:rsid w:val="00B06A36"/>
    <w:rsid w:val="00B06C31"/>
    <w:rsid w:val="00B06DE4"/>
    <w:rsid w:val="00B06FFB"/>
    <w:rsid w:val="00B07010"/>
    <w:rsid w:val="00B0722E"/>
    <w:rsid w:val="00B07244"/>
    <w:rsid w:val="00B07838"/>
    <w:rsid w:val="00B10383"/>
    <w:rsid w:val="00B10F05"/>
    <w:rsid w:val="00B111C4"/>
    <w:rsid w:val="00B113AC"/>
    <w:rsid w:val="00B11530"/>
    <w:rsid w:val="00B11C27"/>
    <w:rsid w:val="00B11E42"/>
    <w:rsid w:val="00B12211"/>
    <w:rsid w:val="00B12413"/>
    <w:rsid w:val="00B1256A"/>
    <w:rsid w:val="00B12CAC"/>
    <w:rsid w:val="00B12EFA"/>
    <w:rsid w:val="00B12F4B"/>
    <w:rsid w:val="00B1382F"/>
    <w:rsid w:val="00B13950"/>
    <w:rsid w:val="00B13A6C"/>
    <w:rsid w:val="00B13BB3"/>
    <w:rsid w:val="00B13EEE"/>
    <w:rsid w:val="00B1460D"/>
    <w:rsid w:val="00B146D7"/>
    <w:rsid w:val="00B14703"/>
    <w:rsid w:val="00B14766"/>
    <w:rsid w:val="00B14934"/>
    <w:rsid w:val="00B14E62"/>
    <w:rsid w:val="00B15CF2"/>
    <w:rsid w:val="00B15DCA"/>
    <w:rsid w:val="00B15E43"/>
    <w:rsid w:val="00B1614D"/>
    <w:rsid w:val="00B1614F"/>
    <w:rsid w:val="00B16402"/>
    <w:rsid w:val="00B1650D"/>
    <w:rsid w:val="00B16F2E"/>
    <w:rsid w:val="00B17046"/>
    <w:rsid w:val="00B17B12"/>
    <w:rsid w:val="00B203B8"/>
    <w:rsid w:val="00B20599"/>
    <w:rsid w:val="00B20904"/>
    <w:rsid w:val="00B20BAA"/>
    <w:rsid w:val="00B20CE3"/>
    <w:rsid w:val="00B20D95"/>
    <w:rsid w:val="00B20F52"/>
    <w:rsid w:val="00B21380"/>
    <w:rsid w:val="00B21667"/>
    <w:rsid w:val="00B21C2C"/>
    <w:rsid w:val="00B21E43"/>
    <w:rsid w:val="00B220EF"/>
    <w:rsid w:val="00B22507"/>
    <w:rsid w:val="00B229EF"/>
    <w:rsid w:val="00B22F4D"/>
    <w:rsid w:val="00B235BE"/>
    <w:rsid w:val="00B23600"/>
    <w:rsid w:val="00B2385D"/>
    <w:rsid w:val="00B23B17"/>
    <w:rsid w:val="00B23C02"/>
    <w:rsid w:val="00B23F06"/>
    <w:rsid w:val="00B23FE9"/>
    <w:rsid w:val="00B24C26"/>
    <w:rsid w:val="00B251EC"/>
    <w:rsid w:val="00B25950"/>
    <w:rsid w:val="00B25CDB"/>
    <w:rsid w:val="00B25E1A"/>
    <w:rsid w:val="00B25ED6"/>
    <w:rsid w:val="00B25FEB"/>
    <w:rsid w:val="00B2638E"/>
    <w:rsid w:val="00B26A93"/>
    <w:rsid w:val="00B26F07"/>
    <w:rsid w:val="00B27169"/>
    <w:rsid w:val="00B27774"/>
    <w:rsid w:val="00B278D0"/>
    <w:rsid w:val="00B27978"/>
    <w:rsid w:val="00B30166"/>
    <w:rsid w:val="00B305CC"/>
    <w:rsid w:val="00B306BE"/>
    <w:rsid w:val="00B3089C"/>
    <w:rsid w:val="00B30961"/>
    <w:rsid w:val="00B30A67"/>
    <w:rsid w:val="00B30F48"/>
    <w:rsid w:val="00B3106C"/>
    <w:rsid w:val="00B31224"/>
    <w:rsid w:val="00B31701"/>
    <w:rsid w:val="00B31820"/>
    <w:rsid w:val="00B31B3A"/>
    <w:rsid w:val="00B31E9E"/>
    <w:rsid w:val="00B3238F"/>
    <w:rsid w:val="00B325B4"/>
    <w:rsid w:val="00B32E6A"/>
    <w:rsid w:val="00B3303F"/>
    <w:rsid w:val="00B33695"/>
    <w:rsid w:val="00B337BB"/>
    <w:rsid w:val="00B34414"/>
    <w:rsid w:val="00B349D2"/>
    <w:rsid w:val="00B34B33"/>
    <w:rsid w:val="00B34DF1"/>
    <w:rsid w:val="00B35552"/>
    <w:rsid w:val="00B3584D"/>
    <w:rsid w:val="00B36707"/>
    <w:rsid w:val="00B36728"/>
    <w:rsid w:val="00B372F0"/>
    <w:rsid w:val="00B40181"/>
    <w:rsid w:val="00B401F7"/>
    <w:rsid w:val="00B404C5"/>
    <w:rsid w:val="00B40EDE"/>
    <w:rsid w:val="00B40F64"/>
    <w:rsid w:val="00B41402"/>
    <w:rsid w:val="00B41FF4"/>
    <w:rsid w:val="00B42113"/>
    <w:rsid w:val="00B422DD"/>
    <w:rsid w:val="00B4268D"/>
    <w:rsid w:val="00B4285A"/>
    <w:rsid w:val="00B43D57"/>
    <w:rsid w:val="00B43E1A"/>
    <w:rsid w:val="00B444AF"/>
    <w:rsid w:val="00B44863"/>
    <w:rsid w:val="00B4562E"/>
    <w:rsid w:val="00B458DA"/>
    <w:rsid w:val="00B46262"/>
    <w:rsid w:val="00B46385"/>
    <w:rsid w:val="00B46430"/>
    <w:rsid w:val="00B467A0"/>
    <w:rsid w:val="00B46939"/>
    <w:rsid w:val="00B469E6"/>
    <w:rsid w:val="00B47124"/>
    <w:rsid w:val="00B476E8"/>
    <w:rsid w:val="00B47C45"/>
    <w:rsid w:val="00B508A0"/>
    <w:rsid w:val="00B50D3E"/>
    <w:rsid w:val="00B50DEA"/>
    <w:rsid w:val="00B51CAE"/>
    <w:rsid w:val="00B51F6F"/>
    <w:rsid w:val="00B52298"/>
    <w:rsid w:val="00B525BB"/>
    <w:rsid w:val="00B5314F"/>
    <w:rsid w:val="00B538DD"/>
    <w:rsid w:val="00B53945"/>
    <w:rsid w:val="00B53F00"/>
    <w:rsid w:val="00B54E4A"/>
    <w:rsid w:val="00B54EEE"/>
    <w:rsid w:val="00B54FBC"/>
    <w:rsid w:val="00B55465"/>
    <w:rsid w:val="00B55480"/>
    <w:rsid w:val="00B5616B"/>
    <w:rsid w:val="00B566E7"/>
    <w:rsid w:val="00B5688D"/>
    <w:rsid w:val="00B578ED"/>
    <w:rsid w:val="00B57A48"/>
    <w:rsid w:val="00B60153"/>
    <w:rsid w:val="00B601C4"/>
    <w:rsid w:val="00B60269"/>
    <w:rsid w:val="00B6072C"/>
    <w:rsid w:val="00B611E9"/>
    <w:rsid w:val="00B61A9A"/>
    <w:rsid w:val="00B61BAA"/>
    <w:rsid w:val="00B61EA3"/>
    <w:rsid w:val="00B62242"/>
    <w:rsid w:val="00B6260B"/>
    <w:rsid w:val="00B62A33"/>
    <w:rsid w:val="00B62BE5"/>
    <w:rsid w:val="00B62C15"/>
    <w:rsid w:val="00B63505"/>
    <w:rsid w:val="00B6353A"/>
    <w:rsid w:val="00B6386E"/>
    <w:rsid w:val="00B63B9B"/>
    <w:rsid w:val="00B63D18"/>
    <w:rsid w:val="00B64048"/>
    <w:rsid w:val="00B6405F"/>
    <w:rsid w:val="00B640E2"/>
    <w:rsid w:val="00B64434"/>
    <w:rsid w:val="00B645DC"/>
    <w:rsid w:val="00B64A43"/>
    <w:rsid w:val="00B64AC4"/>
    <w:rsid w:val="00B64AD9"/>
    <w:rsid w:val="00B64C57"/>
    <w:rsid w:val="00B64EB0"/>
    <w:rsid w:val="00B6518A"/>
    <w:rsid w:val="00B6530C"/>
    <w:rsid w:val="00B65370"/>
    <w:rsid w:val="00B6537C"/>
    <w:rsid w:val="00B653E7"/>
    <w:rsid w:val="00B65718"/>
    <w:rsid w:val="00B65C40"/>
    <w:rsid w:val="00B66622"/>
    <w:rsid w:val="00B66B20"/>
    <w:rsid w:val="00B66E4C"/>
    <w:rsid w:val="00B67095"/>
    <w:rsid w:val="00B67652"/>
    <w:rsid w:val="00B6771B"/>
    <w:rsid w:val="00B67892"/>
    <w:rsid w:val="00B705B1"/>
    <w:rsid w:val="00B7141F"/>
    <w:rsid w:val="00B71894"/>
    <w:rsid w:val="00B71CE7"/>
    <w:rsid w:val="00B71E3A"/>
    <w:rsid w:val="00B72275"/>
    <w:rsid w:val="00B7228F"/>
    <w:rsid w:val="00B722C0"/>
    <w:rsid w:val="00B7232A"/>
    <w:rsid w:val="00B726C9"/>
    <w:rsid w:val="00B72B71"/>
    <w:rsid w:val="00B72D9D"/>
    <w:rsid w:val="00B72ECB"/>
    <w:rsid w:val="00B73EC1"/>
    <w:rsid w:val="00B73FC6"/>
    <w:rsid w:val="00B74177"/>
    <w:rsid w:val="00B7421E"/>
    <w:rsid w:val="00B74F8E"/>
    <w:rsid w:val="00B76133"/>
    <w:rsid w:val="00B76801"/>
    <w:rsid w:val="00B76C69"/>
    <w:rsid w:val="00B76F2B"/>
    <w:rsid w:val="00B77187"/>
    <w:rsid w:val="00B77A7C"/>
    <w:rsid w:val="00B77BD4"/>
    <w:rsid w:val="00B800E8"/>
    <w:rsid w:val="00B8048C"/>
    <w:rsid w:val="00B80CDC"/>
    <w:rsid w:val="00B80DDF"/>
    <w:rsid w:val="00B8157A"/>
    <w:rsid w:val="00B816B2"/>
    <w:rsid w:val="00B818F9"/>
    <w:rsid w:val="00B81A14"/>
    <w:rsid w:val="00B820C3"/>
    <w:rsid w:val="00B82381"/>
    <w:rsid w:val="00B82CF8"/>
    <w:rsid w:val="00B82E06"/>
    <w:rsid w:val="00B82EFE"/>
    <w:rsid w:val="00B833D1"/>
    <w:rsid w:val="00B83422"/>
    <w:rsid w:val="00B8348D"/>
    <w:rsid w:val="00B83AD3"/>
    <w:rsid w:val="00B83DE6"/>
    <w:rsid w:val="00B84399"/>
    <w:rsid w:val="00B843BC"/>
    <w:rsid w:val="00B84771"/>
    <w:rsid w:val="00B84D22"/>
    <w:rsid w:val="00B853A2"/>
    <w:rsid w:val="00B85425"/>
    <w:rsid w:val="00B85D18"/>
    <w:rsid w:val="00B85FBD"/>
    <w:rsid w:val="00B86636"/>
    <w:rsid w:val="00B86A35"/>
    <w:rsid w:val="00B86AAB"/>
    <w:rsid w:val="00B86EDC"/>
    <w:rsid w:val="00B86F15"/>
    <w:rsid w:val="00B86FD4"/>
    <w:rsid w:val="00B87BD8"/>
    <w:rsid w:val="00B87D74"/>
    <w:rsid w:val="00B900B2"/>
    <w:rsid w:val="00B90F03"/>
    <w:rsid w:val="00B91117"/>
    <w:rsid w:val="00B91989"/>
    <w:rsid w:val="00B919E8"/>
    <w:rsid w:val="00B91CEF"/>
    <w:rsid w:val="00B91E56"/>
    <w:rsid w:val="00B91FF5"/>
    <w:rsid w:val="00B92057"/>
    <w:rsid w:val="00B92280"/>
    <w:rsid w:val="00B9237F"/>
    <w:rsid w:val="00B929FB"/>
    <w:rsid w:val="00B92A36"/>
    <w:rsid w:val="00B9310C"/>
    <w:rsid w:val="00B9315F"/>
    <w:rsid w:val="00B93592"/>
    <w:rsid w:val="00B93658"/>
    <w:rsid w:val="00B93857"/>
    <w:rsid w:val="00B93C6E"/>
    <w:rsid w:val="00B93E23"/>
    <w:rsid w:val="00B9417B"/>
    <w:rsid w:val="00B941F4"/>
    <w:rsid w:val="00B947C6"/>
    <w:rsid w:val="00B94BF1"/>
    <w:rsid w:val="00B951B9"/>
    <w:rsid w:val="00B958AF"/>
    <w:rsid w:val="00B95C34"/>
    <w:rsid w:val="00B9617B"/>
    <w:rsid w:val="00B968D2"/>
    <w:rsid w:val="00B97179"/>
    <w:rsid w:val="00B9773D"/>
    <w:rsid w:val="00B979C0"/>
    <w:rsid w:val="00B97E47"/>
    <w:rsid w:val="00BA0BBC"/>
    <w:rsid w:val="00BA0DAB"/>
    <w:rsid w:val="00BA0F91"/>
    <w:rsid w:val="00BA2029"/>
    <w:rsid w:val="00BA2034"/>
    <w:rsid w:val="00BA21AB"/>
    <w:rsid w:val="00BA2280"/>
    <w:rsid w:val="00BA25BF"/>
    <w:rsid w:val="00BA261B"/>
    <w:rsid w:val="00BA30C5"/>
    <w:rsid w:val="00BA36E9"/>
    <w:rsid w:val="00BA3929"/>
    <w:rsid w:val="00BA3CEA"/>
    <w:rsid w:val="00BA409C"/>
    <w:rsid w:val="00BA4262"/>
    <w:rsid w:val="00BA44BB"/>
    <w:rsid w:val="00BA4503"/>
    <w:rsid w:val="00BA49C1"/>
    <w:rsid w:val="00BA4B2A"/>
    <w:rsid w:val="00BA5173"/>
    <w:rsid w:val="00BA52BB"/>
    <w:rsid w:val="00BA5B11"/>
    <w:rsid w:val="00BA5F24"/>
    <w:rsid w:val="00BA612D"/>
    <w:rsid w:val="00BA65B9"/>
    <w:rsid w:val="00BA6828"/>
    <w:rsid w:val="00BA685A"/>
    <w:rsid w:val="00BA7332"/>
    <w:rsid w:val="00BA7561"/>
    <w:rsid w:val="00BA7668"/>
    <w:rsid w:val="00BB0323"/>
    <w:rsid w:val="00BB07BD"/>
    <w:rsid w:val="00BB07ED"/>
    <w:rsid w:val="00BB0A54"/>
    <w:rsid w:val="00BB0B1D"/>
    <w:rsid w:val="00BB0E1E"/>
    <w:rsid w:val="00BB1566"/>
    <w:rsid w:val="00BB1BF5"/>
    <w:rsid w:val="00BB1EBD"/>
    <w:rsid w:val="00BB2183"/>
    <w:rsid w:val="00BB2289"/>
    <w:rsid w:val="00BB2697"/>
    <w:rsid w:val="00BB2728"/>
    <w:rsid w:val="00BB2DC4"/>
    <w:rsid w:val="00BB37D9"/>
    <w:rsid w:val="00BB3893"/>
    <w:rsid w:val="00BB39E0"/>
    <w:rsid w:val="00BB3AAE"/>
    <w:rsid w:val="00BB3DD9"/>
    <w:rsid w:val="00BB3EB2"/>
    <w:rsid w:val="00BB4646"/>
    <w:rsid w:val="00BB4950"/>
    <w:rsid w:val="00BB572A"/>
    <w:rsid w:val="00BB59FB"/>
    <w:rsid w:val="00BB5ACC"/>
    <w:rsid w:val="00BB5FDE"/>
    <w:rsid w:val="00BB60D0"/>
    <w:rsid w:val="00BB6A64"/>
    <w:rsid w:val="00BB6FF9"/>
    <w:rsid w:val="00BB7368"/>
    <w:rsid w:val="00BB767D"/>
    <w:rsid w:val="00BB7F2E"/>
    <w:rsid w:val="00BB7FD3"/>
    <w:rsid w:val="00BC03BA"/>
    <w:rsid w:val="00BC0445"/>
    <w:rsid w:val="00BC0A9C"/>
    <w:rsid w:val="00BC0F2E"/>
    <w:rsid w:val="00BC2215"/>
    <w:rsid w:val="00BC28A7"/>
    <w:rsid w:val="00BC2E36"/>
    <w:rsid w:val="00BC2FF8"/>
    <w:rsid w:val="00BC33A4"/>
    <w:rsid w:val="00BC3A5C"/>
    <w:rsid w:val="00BC4174"/>
    <w:rsid w:val="00BC4289"/>
    <w:rsid w:val="00BC47A3"/>
    <w:rsid w:val="00BC4A81"/>
    <w:rsid w:val="00BC4B35"/>
    <w:rsid w:val="00BC4F34"/>
    <w:rsid w:val="00BC508C"/>
    <w:rsid w:val="00BC528F"/>
    <w:rsid w:val="00BC5CDD"/>
    <w:rsid w:val="00BC5E20"/>
    <w:rsid w:val="00BC601C"/>
    <w:rsid w:val="00BC638A"/>
    <w:rsid w:val="00BC64C3"/>
    <w:rsid w:val="00BC6CF0"/>
    <w:rsid w:val="00BC6CFB"/>
    <w:rsid w:val="00BC70FB"/>
    <w:rsid w:val="00BC71D0"/>
    <w:rsid w:val="00BC7679"/>
    <w:rsid w:val="00BC7862"/>
    <w:rsid w:val="00BC79B6"/>
    <w:rsid w:val="00BC7E4F"/>
    <w:rsid w:val="00BD00AE"/>
    <w:rsid w:val="00BD038C"/>
    <w:rsid w:val="00BD0476"/>
    <w:rsid w:val="00BD05EA"/>
    <w:rsid w:val="00BD0935"/>
    <w:rsid w:val="00BD1349"/>
    <w:rsid w:val="00BD1451"/>
    <w:rsid w:val="00BD14AA"/>
    <w:rsid w:val="00BD18BB"/>
    <w:rsid w:val="00BD1C5E"/>
    <w:rsid w:val="00BD1E5F"/>
    <w:rsid w:val="00BD231F"/>
    <w:rsid w:val="00BD2DD4"/>
    <w:rsid w:val="00BD361A"/>
    <w:rsid w:val="00BD3893"/>
    <w:rsid w:val="00BD3D48"/>
    <w:rsid w:val="00BD416C"/>
    <w:rsid w:val="00BD4456"/>
    <w:rsid w:val="00BD45A6"/>
    <w:rsid w:val="00BD4714"/>
    <w:rsid w:val="00BD5901"/>
    <w:rsid w:val="00BD5A85"/>
    <w:rsid w:val="00BD60CC"/>
    <w:rsid w:val="00BD61BB"/>
    <w:rsid w:val="00BD6676"/>
    <w:rsid w:val="00BD6A01"/>
    <w:rsid w:val="00BD7B14"/>
    <w:rsid w:val="00BD7B50"/>
    <w:rsid w:val="00BD7DAB"/>
    <w:rsid w:val="00BE06B8"/>
    <w:rsid w:val="00BE183D"/>
    <w:rsid w:val="00BE198A"/>
    <w:rsid w:val="00BE1D1E"/>
    <w:rsid w:val="00BE228A"/>
    <w:rsid w:val="00BE2702"/>
    <w:rsid w:val="00BE29B3"/>
    <w:rsid w:val="00BE2A2C"/>
    <w:rsid w:val="00BE2AFD"/>
    <w:rsid w:val="00BE2C89"/>
    <w:rsid w:val="00BE32D8"/>
    <w:rsid w:val="00BE33F8"/>
    <w:rsid w:val="00BE36A2"/>
    <w:rsid w:val="00BE3980"/>
    <w:rsid w:val="00BE3A11"/>
    <w:rsid w:val="00BE3E8D"/>
    <w:rsid w:val="00BE404A"/>
    <w:rsid w:val="00BE4127"/>
    <w:rsid w:val="00BE4168"/>
    <w:rsid w:val="00BE41D3"/>
    <w:rsid w:val="00BE43F9"/>
    <w:rsid w:val="00BE4473"/>
    <w:rsid w:val="00BE4899"/>
    <w:rsid w:val="00BE529A"/>
    <w:rsid w:val="00BE551B"/>
    <w:rsid w:val="00BE585C"/>
    <w:rsid w:val="00BE6014"/>
    <w:rsid w:val="00BE639C"/>
    <w:rsid w:val="00BE6D8F"/>
    <w:rsid w:val="00BE7076"/>
    <w:rsid w:val="00BE74A8"/>
    <w:rsid w:val="00BE7687"/>
    <w:rsid w:val="00BE771A"/>
    <w:rsid w:val="00BE794B"/>
    <w:rsid w:val="00BF052B"/>
    <w:rsid w:val="00BF076F"/>
    <w:rsid w:val="00BF0AD6"/>
    <w:rsid w:val="00BF0AEE"/>
    <w:rsid w:val="00BF0B6D"/>
    <w:rsid w:val="00BF184C"/>
    <w:rsid w:val="00BF1A89"/>
    <w:rsid w:val="00BF1D8A"/>
    <w:rsid w:val="00BF1EF3"/>
    <w:rsid w:val="00BF268E"/>
    <w:rsid w:val="00BF27F6"/>
    <w:rsid w:val="00BF300E"/>
    <w:rsid w:val="00BF318B"/>
    <w:rsid w:val="00BF3223"/>
    <w:rsid w:val="00BF3537"/>
    <w:rsid w:val="00BF361A"/>
    <w:rsid w:val="00BF376E"/>
    <w:rsid w:val="00BF3A3F"/>
    <w:rsid w:val="00BF3F68"/>
    <w:rsid w:val="00BF44F2"/>
    <w:rsid w:val="00BF48DF"/>
    <w:rsid w:val="00BF4ED0"/>
    <w:rsid w:val="00BF51B2"/>
    <w:rsid w:val="00BF5301"/>
    <w:rsid w:val="00BF5317"/>
    <w:rsid w:val="00BF66CC"/>
    <w:rsid w:val="00BF66D6"/>
    <w:rsid w:val="00BF7BDF"/>
    <w:rsid w:val="00BF7E2A"/>
    <w:rsid w:val="00C00184"/>
    <w:rsid w:val="00C006D1"/>
    <w:rsid w:val="00C00712"/>
    <w:rsid w:val="00C00B38"/>
    <w:rsid w:val="00C00D16"/>
    <w:rsid w:val="00C00D8D"/>
    <w:rsid w:val="00C013DD"/>
    <w:rsid w:val="00C0204A"/>
    <w:rsid w:val="00C02346"/>
    <w:rsid w:val="00C023A3"/>
    <w:rsid w:val="00C024AD"/>
    <w:rsid w:val="00C028AF"/>
    <w:rsid w:val="00C02BBD"/>
    <w:rsid w:val="00C02C3D"/>
    <w:rsid w:val="00C02CA9"/>
    <w:rsid w:val="00C02F43"/>
    <w:rsid w:val="00C0321A"/>
    <w:rsid w:val="00C03A07"/>
    <w:rsid w:val="00C03D80"/>
    <w:rsid w:val="00C04083"/>
    <w:rsid w:val="00C04673"/>
    <w:rsid w:val="00C04D97"/>
    <w:rsid w:val="00C04F8F"/>
    <w:rsid w:val="00C05013"/>
    <w:rsid w:val="00C0552E"/>
    <w:rsid w:val="00C059B1"/>
    <w:rsid w:val="00C06134"/>
    <w:rsid w:val="00C0628C"/>
    <w:rsid w:val="00C06305"/>
    <w:rsid w:val="00C068E7"/>
    <w:rsid w:val="00C069FE"/>
    <w:rsid w:val="00C06E08"/>
    <w:rsid w:val="00C070E0"/>
    <w:rsid w:val="00C07155"/>
    <w:rsid w:val="00C071C2"/>
    <w:rsid w:val="00C07458"/>
    <w:rsid w:val="00C07607"/>
    <w:rsid w:val="00C0770C"/>
    <w:rsid w:val="00C07A9D"/>
    <w:rsid w:val="00C10093"/>
    <w:rsid w:val="00C10905"/>
    <w:rsid w:val="00C10B3E"/>
    <w:rsid w:val="00C110FE"/>
    <w:rsid w:val="00C1115A"/>
    <w:rsid w:val="00C119E4"/>
    <w:rsid w:val="00C11AFB"/>
    <w:rsid w:val="00C11D4B"/>
    <w:rsid w:val="00C11F21"/>
    <w:rsid w:val="00C122DB"/>
    <w:rsid w:val="00C12356"/>
    <w:rsid w:val="00C12807"/>
    <w:rsid w:val="00C131AB"/>
    <w:rsid w:val="00C13672"/>
    <w:rsid w:val="00C136BD"/>
    <w:rsid w:val="00C13B80"/>
    <w:rsid w:val="00C145B0"/>
    <w:rsid w:val="00C147B9"/>
    <w:rsid w:val="00C149B8"/>
    <w:rsid w:val="00C14CF2"/>
    <w:rsid w:val="00C14CF8"/>
    <w:rsid w:val="00C154C6"/>
    <w:rsid w:val="00C15A44"/>
    <w:rsid w:val="00C15DA4"/>
    <w:rsid w:val="00C1609A"/>
    <w:rsid w:val="00C1672E"/>
    <w:rsid w:val="00C16B20"/>
    <w:rsid w:val="00C16E89"/>
    <w:rsid w:val="00C172D2"/>
    <w:rsid w:val="00C175E4"/>
    <w:rsid w:val="00C178E6"/>
    <w:rsid w:val="00C20182"/>
    <w:rsid w:val="00C20522"/>
    <w:rsid w:val="00C213BF"/>
    <w:rsid w:val="00C21701"/>
    <w:rsid w:val="00C21840"/>
    <w:rsid w:val="00C21E42"/>
    <w:rsid w:val="00C2212F"/>
    <w:rsid w:val="00C22245"/>
    <w:rsid w:val="00C22E55"/>
    <w:rsid w:val="00C22E94"/>
    <w:rsid w:val="00C22EA9"/>
    <w:rsid w:val="00C23379"/>
    <w:rsid w:val="00C238C4"/>
    <w:rsid w:val="00C23D82"/>
    <w:rsid w:val="00C23E92"/>
    <w:rsid w:val="00C2411C"/>
    <w:rsid w:val="00C24462"/>
    <w:rsid w:val="00C244AF"/>
    <w:rsid w:val="00C249E0"/>
    <w:rsid w:val="00C2505D"/>
    <w:rsid w:val="00C25103"/>
    <w:rsid w:val="00C252A2"/>
    <w:rsid w:val="00C25E2B"/>
    <w:rsid w:val="00C27082"/>
    <w:rsid w:val="00C27743"/>
    <w:rsid w:val="00C277E9"/>
    <w:rsid w:val="00C27961"/>
    <w:rsid w:val="00C27BB5"/>
    <w:rsid w:val="00C27E93"/>
    <w:rsid w:val="00C27FE8"/>
    <w:rsid w:val="00C3008B"/>
    <w:rsid w:val="00C305DC"/>
    <w:rsid w:val="00C30FBA"/>
    <w:rsid w:val="00C310DB"/>
    <w:rsid w:val="00C31180"/>
    <w:rsid w:val="00C3125C"/>
    <w:rsid w:val="00C3172C"/>
    <w:rsid w:val="00C317D0"/>
    <w:rsid w:val="00C31CC9"/>
    <w:rsid w:val="00C328A6"/>
    <w:rsid w:val="00C3340E"/>
    <w:rsid w:val="00C33423"/>
    <w:rsid w:val="00C33786"/>
    <w:rsid w:val="00C33D42"/>
    <w:rsid w:val="00C340E8"/>
    <w:rsid w:val="00C34235"/>
    <w:rsid w:val="00C3448F"/>
    <w:rsid w:val="00C344CA"/>
    <w:rsid w:val="00C3452F"/>
    <w:rsid w:val="00C34970"/>
    <w:rsid w:val="00C34B6C"/>
    <w:rsid w:val="00C36668"/>
    <w:rsid w:val="00C36669"/>
    <w:rsid w:val="00C366F0"/>
    <w:rsid w:val="00C36E74"/>
    <w:rsid w:val="00C3719E"/>
    <w:rsid w:val="00C37666"/>
    <w:rsid w:val="00C4039B"/>
    <w:rsid w:val="00C40E93"/>
    <w:rsid w:val="00C40EDA"/>
    <w:rsid w:val="00C411FC"/>
    <w:rsid w:val="00C41E0A"/>
    <w:rsid w:val="00C42121"/>
    <w:rsid w:val="00C4214C"/>
    <w:rsid w:val="00C4229C"/>
    <w:rsid w:val="00C4283B"/>
    <w:rsid w:val="00C42AC3"/>
    <w:rsid w:val="00C430B2"/>
    <w:rsid w:val="00C43917"/>
    <w:rsid w:val="00C45158"/>
    <w:rsid w:val="00C45543"/>
    <w:rsid w:val="00C457F3"/>
    <w:rsid w:val="00C462AC"/>
    <w:rsid w:val="00C46376"/>
    <w:rsid w:val="00C47184"/>
    <w:rsid w:val="00C471CD"/>
    <w:rsid w:val="00C47399"/>
    <w:rsid w:val="00C47544"/>
    <w:rsid w:val="00C47592"/>
    <w:rsid w:val="00C5019B"/>
    <w:rsid w:val="00C502DB"/>
    <w:rsid w:val="00C504D4"/>
    <w:rsid w:val="00C5061E"/>
    <w:rsid w:val="00C50AE1"/>
    <w:rsid w:val="00C50B98"/>
    <w:rsid w:val="00C50D77"/>
    <w:rsid w:val="00C514E0"/>
    <w:rsid w:val="00C51F67"/>
    <w:rsid w:val="00C521D1"/>
    <w:rsid w:val="00C5226B"/>
    <w:rsid w:val="00C52365"/>
    <w:rsid w:val="00C5251C"/>
    <w:rsid w:val="00C52698"/>
    <w:rsid w:val="00C52C14"/>
    <w:rsid w:val="00C52D86"/>
    <w:rsid w:val="00C537CC"/>
    <w:rsid w:val="00C53911"/>
    <w:rsid w:val="00C53974"/>
    <w:rsid w:val="00C54198"/>
    <w:rsid w:val="00C542CA"/>
    <w:rsid w:val="00C54444"/>
    <w:rsid w:val="00C54954"/>
    <w:rsid w:val="00C54C47"/>
    <w:rsid w:val="00C553EA"/>
    <w:rsid w:val="00C55924"/>
    <w:rsid w:val="00C55F91"/>
    <w:rsid w:val="00C562B7"/>
    <w:rsid w:val="00C56947"/>
    <w:rsid w:val="00C56EE4"/>
    <w:rsid w:val="00C57010"/>
    <w:rsid w:val="00C571A8"/>
    <w:rsid w:val="00C57343"/>
    <w:rsid w:val="00C57D74"/>
    <w:rsid w:val="00C57E9D"/>
    <w:rsid w:val="00C57FB3"/>
    <w:rsid w:val="00C60085"/>
    <w:rsid w:val="00C6013B"/>
    <w:rsid w:val="00C60199"/>
    <w:rsid w:val="00C6096D"/>
    <w:rsid w:val="00C61107"/>
    <w:rsid w:val="00C61705"/>
    <w:rsid w:val="00C61829"/>
    <w:rsid w:val="00C622AF"/>
    <w:rsid w:val="00C625F7"/>
    <w:rsid w:val="00C62A6A"/>
    <w:rsid w:val="00C62EE9"/>
    <w:rsid w:val="00C63068"/>
    <w:rsid w:val="00C635CF"/>
    <w:rsid w:val="00C6397F"/>
    <w:rsid w:val="00C63A34"/>
    <w:rsid w:val="00C63BE1"/>
    <w:rsid w:val="00C63E13"/>
    <w:rsid w:val="00C63F48"/>
    <w:rsid w:val="00C64194"/>
    <w:rsid w:val="00C64E12"/>
    <w:rsid w:val="00C64E55"/>
    <w:rsid w:val="00C65496"/>
    <w:rsid w:val="00C657DD"/>
    <w:rsid w:val="00C65AC0"/>
    <w:rsid w:val="00C65BCC"/>
    <w:rsid w:val="00C65F98"/>
    <w:rsid w:val="00C66110"/>
    <w:rsid w:val="00C6633E"/>
    <w:rsid w:val="00C66A37"/>
    <w:rsid w:val="00C66B1D"/>
    <w:rsid w:val="00C66BF8"/>
    <w:rsid w:val="00C66E9D"/>
    <w:rsid w:val="00C66F0F"/>
    <w:rsid w:val="00C67527"/>
    <w:rsid w:val="00C701A7"/>
    <w:rsid w:val="00C70392"/>
    <w:rsid w:val="00C708BF"/>
    <w:rsid w:val="00C70BB1"/>
    <w:rsid w:val="00C70FB4"/>
    <w:rsid w:val="00C7197A"/>
    <w:rsid w:val="00C72E15"/>
    <w:rsid w:val="00C732BA"/>
    <w:rsid w:val="00C7339D"/>
    <w:rsid w:val="00C73408"/>
    <w:rsid w:val="00C73665"/>
    <w:rsid w:val="00C73686"/>
    <w:rsid w:val="00C738F8"/>
    <w:rsid w:val="00C73E47"/>
    <w:rsid w:val="00C73F42"/>
    <w:rsid w:val="00C74556"/>
    <w:rsid w:val="00C74A08"/>
    <w:rsid w:val="00C74D18"/>
    <w:rsid w:val="00C751E4"/>
    <w:rsid w:val="00C757B6"/>
    <w:rsid w:val="00C759E6"/>
    <w:rsid w:val="00C75D29"/>
    <w:rsid w:val="00C76168"/>
    <w:rsid w:val="00C761D2"/>
    <w:rsid w:val="00C76713"/>
    <w:rsid w:val="00C77514"/>
    <w:rsid w:val="00C7771E"/>
    <w:rsid w:val="00C77806"/>
    <w:rsid w:val="00C77967"/>
    <w:rsid w:val="00C8030C"/>
    <w:rsid w:val="00C807B7"/>
    <w:rsid w:val="00C80917"/>
    <w:rsid w:val="00C80DBB"/>
    <w:rsid w:val="00C80E8E"/>
    <w:rsid w:val="00C81201"/>
    <w:rsid w:val="00C819C6"/>
    <w:rsid w:val="00C81AFC"/>
    <w:rsid w:val="00C82533"/>
    <w:rsid w:val="00C828D6"/>
    <w:rsid w:val="00C82E3D"/>
    <w:rsid w:val="00C82FA5"/>
    <w:rsid w:val="00C8348C"/>
    <w:rsid w:val="00C83BC5"/>
    <w:rsid w:val="00C83D0C"/>
    <w:rsid w:val="00C83ED7"/>
    <w:rsid w:val="00C8469C"/>
    <w:rsid w:val="00C84B7C"/>
    <w:rsid w:val="00C84B8E"/>
    <w:rsid w:val="00C857A0"/>
    <w:rsid w:val="00C85ABA"/>
    <w:rsid w:val="00C85C08"/>
    <w:rsid w:val="00C85DBF"/>
    <w:rsid w:val="00C85DC3"/>
    <w:rsid w:val="00C8602B"/>
    <w:rsid w:val="00C862C5"/>
    <w:rsid w:val="00C86478"/>
    <w:rsid w:val="00C86509"/>
    <w:rsid w:val="00C86808"/>
    <w:rsid w:val="00C870C0"/>
    <w:rsid w:val="00C87148"/>
    <w:rsid w:val="00C87161"/>
    <w:rsid w:val="00C87204"/>
    <w:rsid w:val="00C87B0D"/>
    <w:rsid w:val="00C902B3"/>
    <w:rsid w:val="00C90344"/>
    <w:rsid w:val="00C90E06"/>
    <w:rsid w:val="00C912B2"/>
    <w:rsid w:val="00C912E1"/>
    <w:rsid w:val="00C91474"/>
    <w:rsid w:val="00C91721"/>
    <w:rsid w:val="00C918CD"/>
    <w:rsid w:val="00C91D12"/>
    <w:rsid w:val="00C91F21"/>
    <w:rsid w:val="00C91F66"/>
    <w:rsid w:val="00C921AC"/>
    <w:rsid w:val="00C92B99"/>
    <w:rsid w:val="00C93141"/>
    <w:rsid w:val="00C93976"/>
    <w:rsid w:val="00C94300"/>
    <w:rsid w:val="00C944E1"/>
    <w:rsid w:val="00C944F1"/>
    <w:rsid w:val="00C954CE"/>
    <w:rsid w:val="00C9562F"/>
    <w:rsid w:val="00C970BE"/>
    <w:rsid w:val="00C9785B"/>
    <w:rsid w:val="00CA0201"/>
    <w:rsid w:val="00CA029F"/>
    <w:rsid w:val="00CA06E3"/>
    <w:rsid w:val="00CA08AB"/>
    <w:rsid w:val="00CA108A"/>
    <w:rsid w:val="00CA1738"/>
    <w:rsid w:val="00CA1992"/>
    <w:rsid w:val="00CA1A90"/>
    <w:rsid w:val="00CA1B83"/>
    <w:rsid w:val="00CA1F8B"/>
    <w:rsid w:val="00CA229E"/>
    <w:rsid w:val="00CA238E"/>
    <w:rsid w:val="00CA243E"/>
    <w:rsid w:val="00CA2470"/>
    <w:rsid w:val="00CA2D9C"/>
    <w:rsid w:val="00CA2FD8"/>
    <w:rsid w:val="00CA3198"/>
    <w:rsid w:val="00CA31CB"/>
    <w:rsid w:val="00CA3236"/>
    <w:rsid w:val="00CA397F"/>
    <w:rsid w:val="00CA3B3A"/>
    <w:rsid w:val="00CA3F3B"/>
    <w:rsid w:val="00CA3F8D"/>
    <w:rsid w:val="00CA4089"/>
    <w:rsid w:val="00CA41DF"/>
    <w:rsid w:val="00CA4BAF"/>
    <w:rsid w:val="00CA4DB3"/>
    <w:rsid w:val="00CA536F"/>
    <w:rsid w:val="00CA56F9"/>
    <w:rsid w:val="00CA5A2F"/>
    <w:rsid w:val="00CA5D0D"/>
    <w:rsid w:val="00CA6499"/>
    <w:rsid w:val="00CA6706"/>
    <w:rsid w:val="00CA6B48"/>
    <w:rsid w:val="00CA6D31"/>
    <w:rsid w:val="00CA6F24"/>
    <w:rsid w:val="00CA7315"/>
    <w:rsid w:val="00CA78A5"/>
    <w:rsid w:val="00CA7A52"/>
    <w:rsid w:val="00CA7E6C"/>
    <w:rsid w:val="00CB01BC"/>
    <w:rsid w:val="00CB0221"/>
    <w:rsid w:val="00CB02A8"/>
    <w:rsid w:val="00CB0CCB"/>
    <w:rsid w:val="00CB10E3"/>
    <w:rsid w:val="00CB135B"/>
    <w:rsid w:val="00CB1470"/>
    <w:rsid w:val="00CB1683"/>
    <w:rsid w:val="00CB1B6D"/>
    <w:rsid w:val="00CB1EE5"/>
    <w:rsid w:val="00CB20E7"/>
    <w:rsid w:val="00CB2C33"/>
    <w:rsid w:val="00CB32ED"/>
    <w:rsid w:val="00CB34B5"/>
    <w:rsid w:val="00CB37D9"/>
    <w:rsid w:val="00CB38C3"/>
    <w:rsid w:val="00CB395A"/>
    <w:rsid w:val="00CB3AE5"/>
    <w:rsid w:val="00CB3F41"/>
    <w:rsid w:val="00CB431F"/>
    <w:rsid w:val="00CB4707"/>
    <w:rsid w:val="00CB4909"/>
    <w:rsid w:val="00CB4BA4"/>
    <w:rsid w:val="00CB4D9B"/>
    <w:rsid w:val="00CB4F05"/>
    <w:rsid w:val="00CB5FF8"/>
    <w:rsid w:val="00CB6355"/>
    <w:rsid w:val="00CB67BC"/>
    <w:rsid w:val="00CB71E8"/>
    <w:rsid w:val="00CB7475"/>
    <w:rsid w:val="00CB7661"/>
    <w:rsid w:val="00CB7B69"/>
    <w:rsid w:val="00CC0184"/>
    <w:rsid w:val="00CC055C"/>
    <w:rsid w:val="00CC0B3C"/>
    <w:rsid w:val="00CC0CBD"/>
    <w:rsid w:val="00CC0E08"/>
    <w:rsid w:val="00CC0FC1"/>
    <w:rsid w:val="00CC16EF"/>
    <w:rsid w:val="00CC1769"/>
    <w:rsid w:val="00CC19FE"/>
    <w:rsid w:val="00CC1FA0"/>
    <w:rsid w:val="00CC249C"/>
    <w:rsid w:val="00CC2504"/>
    <w:rsid w:val="00CC250A"/>
    <w:rsid w:val="00CC269F"/>
    <w:rsid w:val="00CC290C"/>
    <w:rsid w:val="00CC2ADC"/>
    <w:rsid w:val="00CC2CCC"/>
    <w:rsid w:val="00CC2D56"/>
    <w:rsid w:val="00CC2F6B"/>
    <w:rsid w:val="00CC2F8C"/>
    <w:rsid w:val="00CC34B2"/>
    <w:rsid w:val="00CC3824"/>
    <w:rsid w:val="00CC4580"/>
    <w:rsid w:val="00CC4BD1"/>
    <w:rsid w:val="00CC52BA"/>
    <w:rsid w:val="00CC5732"/>
    <w:rsid w:val="00CC5777"/>
    <w:rsid w:val="00CC5797"/>
    <w:rsid w:val="00CC57DB"/>
    <w:rsid w:val="00CC648B"/>
    <w:rsid w:val="00CC66C7"/>
    <w:rsid w:val="00CC677D"/>
    <w:rsid w:val="00CC6A86"/>
    <w:rsid w:val="00CC6DC0"/>
    <w:rsid w:val="00CC71C9"/>
    <w:rsid w:val="00CC75CF"/>
    <w:rsid w:val="00CC7D76"/>
    <w:rsid w:val="00CD0278"/>
    <w:rsid w:val="00CD0828"/>
    <w:rsid w:val="00CD0AA4"/>
    <w:rsid w:val="00CD0DCE"/>
    <w:rsid w:val="00CD0E5A"/>
    <w:rsid w:val="00CD0F31"/>
    <w:rsid w:val="00CD14B3"/>
    <w:rsid w:val="00CD1515"/>
    <w:rsid w:val="00CD1DAE"/>
    <w:rsid w:val="00CD1DDC"/>
    <w:rsid w:val="00CD1E13"/>
    <w:rsid w:val="00CD20F4"/>
    <w:rsid w:val="00CD217A"/>
    <w:rsid w:val="00CD2619"/>
    <w:rsid w:val="00CD2AB6"/>
    <w:rsid w:val="00CD2FF4"/>
    <w:rsid w:val="00CD3045"/>
    <w:rsid w:val="00CD315D"/>
    <w:rsid w:val="00CD3395"/>
    <w:rsid w:val="00CD39BA"/>
    <w:rsid w:val="00CD4088"/>
    <w:rsid w:val="00CD4089"/>
    <w:rsid w:val="00CD418E"/>
    <w:rsid w:val="00CD4616"/>
    <w:rsid w:val="00CD4A25"/>
    <w:rsid w:val="00CD4BCF"/>
    <w:rsid w:val="00CD4D7F"/>
    <w:rsid w:val="00CD5726"/>
    <w:rsid w:val="00CD577D"/>
    <w:rsid w:val="00CD5C68"/>
    <w:rsid w:val="00CD5F4E"/>
    <w:rsid w:val="00CD624B"/>
    <w:rsid w:val="00CD6509"/>
    <w:rsid w:val="00CD654C"/>
    <w:rsid w:val="00CD657E"/>
    <w:rsid w:val="00CD698C"/>
    <w:rsid w:val="00CD6F79"/>
    <w:rsid w:val="00CD7143"/>
    <w:rsid w:val="00CD7916"/>
    <w:rsid w:val="00CD7A2C"/>
    <w:rsid w:val="00CE035A"/>
    <w:rsid w:val="00CE06AB"/>
    <w:rsid w:val="00CE0AF6"/>
    <w:rsid w:val="00CE11B8"/>
    <w:rsid w:val="00CE137D"/>
    <w:rsid w:val="00CE13AA"/>
    <w:rsid w:val="00CE142A"/>
    <w:rsid w:val="00CE15A1"/>
    <w:rsid w:val="00CE184C"/>
    <w:rsid w:val="00CE1D73"/>
    <w:rsid w:val="00CE1EB2"/>
    <w:rsid w:val="00CE1EEB"/>
    <w:rsid w:val="00CE2329"/>
    <w:rsid w:val="00CE2D37"/>
    <w:rsid w:val="00CE322A"/>
    <w:rsid w:val="00CE3857"/>
    <w:rsid w:val="00CE3D94"/>
    <w:rsid w:val="00CE4053"/>
    <w:rsid w:val="00CE4A1B"/>
    <w:rsid w:val="00CE4B38"/>
    <w:rsid w:val="00CE4E1F"/>
    <w:rsid w:val="00CE51A4"/>
    <w:rsid w:val="00CE51B0"/>
    <w:rsid w:val="00CE521A"/>
    <w:rsid w:val="00CE534B"/>
    <w:rsid w:val="00CE53F1"/>
    <w:rsid w:val="00CE566E"/>
    <w:rsid w:val="00CE57A1"/>
    <w:rsid w:val="00CE59AA"/>
    <w:rsid w:val="00CE63E9"/>
    <w:rsid w:val="00CE6575"/>
    <w:rsid w:val="00CE6A4A"/>
    <w:rsid w:val="00CE73B9"/>
    <w:rsid w:val="00CE7702"/>
    <w:rsid w:val="00CE7956"/>
    <w:rsid w:val="00CF0010"/>
    <w:rsid w:val="00CF02F4"/>
    <w:rsid w:val="00CF16A9"/>
    <w:rsid w:val="00CF16C1"/>
    <w:rsid w:val="00CF2B76"/>
    <w:rsid w:val="00CF2CE8"/>
    <w:rsid w:val="00CF36CC"/>
    <w:rsid w:val="00CF373B"/>
    <w:rsid w:val="00CF38DB"/>
    <w:rsid w:val="00CF3959"/>
    <w:rsid w:val="00CF3A0B"/>
    <w:rsid w:val="00CF3F97"/>
    <w:rsid w:val="00CF436D"/>
    <w:rsid w:val="00CF508A"/>
    <w:rsid w:val="00CF5144"/>
    <w:rsid w:val="00CF5364"/>
    <w:rsid w:val="00CF561A"/>
    <w:rsid w:val="00CF583D"/>
    <w:rsid w:val="00CF5E65"/>
    <w:rsid w:val="00CF695B"/>
    <w:rsid w:val="00CF6F05"/>
    <w:rsid w:val="00CF7077"/>
    <w:rsid w:val="00CF728D"/>
    <w:rsid w:val="00CF75A3"/>
    <w:rsid w:val="00CF7AD6"/>
    <w:rsid w:val="00CF7FD6"/>
    <w:rsid w:val="00D002C8"/>
    <w:rsid w:val="00D00C50"/>
    <w:rsid w:val="00D00D45"/>
    <w:rsid w:val="00D011F5"/>
    <w:rsid w:val="00D013A9"/>
    <w:rsid w:val="00D014CB"/>
    <w:rsid w:val="00D01844"/>
    <w:rsid w:val="00D01CAF"/>
    <w:rsid w:val="00D01D2D"/>
    <w:rsid w:val="00D01FC0"/>
    <w:rsid w:val="00D02335"/>
    <w:rsid w:val="00D02933"/>
    <w:rsid w:val="00D02DD7"/>
    <w:rsid w:val="00D02E7C"/>
    <w:rsid w:val="00D03253"/>
    <w:rsid w:val="00D03458"/>
    <w:rsid w:val="00D0349D"/>
    <w:rsid w:val="00D036D3"/>
    <w:rsid w:val="00D03BB0"/>
    <w:rsid w:val="00D03DF7"/>
    <w:rsid w:val="00D03E23"/>
    <w:rsid w:val="00D042E7"/>
    <w:rsid w:val="00D04E0F"/>
    <w:rsid w:val="00D05379"/>
    <w:rsid w:val="00D0542D"/>
    <w:rsid w:val="00D05690"/>
    <w:rsid w:val="00D0574E"/>
    <w:rsid w:val="00D05B38"/>
    <w:rsid w:val="00D060FB"/>
    <w:rsid w:val="00D06426"/>
    <w:rsid w:val="00D064D9"/>
    <w:rsid w:val="00D068E8"/>
    <w:rsid w:val="00D06F13"/>
    <w:rsid w:val="00D0756E"/>
    <w:rsid w:val="00D0780A"/>
    <w:rsid w:val="00D07819"/>
    <w:rsid w:val="00D07A6C"/>
    <w:rsid w:val="00D07B42"/>
    <w:rsid w:val="00D07CDA"/>
    <w:rsid w:val="00D1044E"/>
    <w:rsid w:val="00D10524"/>
    <w:rsid w:val="00D10DC7"/>
    <w:rsid w:val="00D10EA8"/>
    <w:rsid w:val="00D1142D"/>
    <w:rsid w:val="00D11434"/>
    <w:rsid w:val="00D1179C"/>
    <w:rsid w:val="00D1189C"/>
    <w:rsid w:val="00D11C24"/>
    <w:rsid w:val="00D11CEC"/>
    <w:rsid w:val="00D11FCE"/>
    <w:rsid w:val="00D129F8"/>
    <w:rsid w:val="00D1332C"/>
    <w:rsid w:val="00D13D39"/>
    <w:rsid w:val="00D144BF"/>
    <w:rsid w:val="00D149D9"/>
    <w:rsid w:val="00D14D3B"/>
    <w:rsid w:val="00D14E4F"/>
    <w:rsid w:val="00D1536E"/>
    <w:rsid w:val="00D153CE"/>
    <w:rsid w:val="00D1582B"/>
    <w:rsid w:val="00D15DA5"/>
    <w:rsid w:val="00D15ED0"/>
    <w:rsid w:val="00D1608C"/>
    <w:rsid w:val="00D160B0"/>
    <w:rsid w:val="00D163B6"/>
    <w:rsid w:val="00D166C2"/>
    <w:rsid w:val="00D1684F"/>
    <w:rsid w:val="00D17192"/>
    <w:rsid w:val="00D171B9"/>
    <w:rsid w:val="00D179D7"/>
    <w:rsid w:val="00D17C97"/>
    <w:rsid w:val="00D17EEE"/>
    <w:rsid w:val="00D202F1"/>
    <w:rsid w:val="00D208F8"/>
    <w:rsid w:val="00D21457"/>
    <w:rsid w:val="00D2155A"/>
    <w:rsid w:val="00D2158A"/>
    <w:rsid w:val="00D2189F"/>
    <w:rsid w:val="00D219A3"/>
    <w:rsid w:val="00D21A27"/>
    <w:rsid w:val="00D21D04"/>
    <w:rsid w:val="00D21DCE"/>
    <w:rsid w:val="00D21F08"/>
    <w:rsid w:val="00D22589"/>
    <w:rsid w:val="00D22BAB"/>
    <w:rsid w:val="00D22F41"/>
    <w:rsid w:val="00D232D7"/>
    <w:rsid w:val="00D2330C"/>
    <w:rsid w:val="00D23977"/>
    <w:rsid w:val="00D2435C"/>
    <w:rsid w:val="00D245E8"/>
    <w:rsid w:val="00D254D9"/>
    <w:rsid w:val="00D255F8"/>
    <w:rsid w:val="00D26B2C"/>
    <w:rsid w:val="00D26B46"/>
    <w:rsid w:val="00D278B4"/>
    <w:rsid w:val="00D30179"/>
    <w:rsid w:val="00D303E8"/>
    <w:rsid w:val="00D3041B"/>
    <w:rsid w:val="00D3058D"/>
    <w:rsid w:val="00D3083D"/>
    <w:rsid w:val="00D30C50"/>
    <w:rsid w:val="00D31837"/>
    <w:rsid w:val="00D318C1"/>
    <w:rsid w:val="00D319DF"/>
    <w:rsid w:val="00D3219A"/>
    <w:rsid w:val="00D321CC"/>
    <w:rsid w:val="00D322AA"/>
    <w:rsid w:val="00D322C3"/>
    <w:rsid w:val="00D3248A"/>
    <w:rsid w:val="00D329E9"/>
    <w:rsid w:val="00D32E78"/>
    <w:rsid w:val="00D330C6"/>
    <w:rsid w:val="00D33513"/>
    <w:rsid w:val="00D33594"/>
    <w:rsid w:val="00D336EE"/>
    <w:rsid w:val="00D337C5"/>
    <w:rsid w:val="00D338FD"/>
    <w:rsid w:val="00D349F4"/>
    <w:rsid w:val="00D34A0A"/>
    <w:rsid w:val="00D35306"/>
    <w:rsid w:val="00D359D4"/>
    <w:rsid w:val="00D35BAC"/>
    <w:rsid w:val="00D35DA1"/>
    <w:rsid w:val="00D36060"/>
    <w:rsid w:val="00D36474"/>
    <w:rsid w:val="00D36A0E"/>
    <w:rsid w:val="00D36CAA"/>
    <w:rsid w:val="00D37207"/>
    <w:rsid w:val="00D37BDD"/>
    <w:rsid w:val="00D40162"/>
    <w:rsid w:val="00D4051C"/>
    <w:rsid w:val="00D4053C"/>
    <w:rsid w:val="00D4098F"/>
    <w:rsid w:val="00D40F89"/>
    <w:rsid w:val="00D40F9B"/>
    <w:rsid w:val="00D41142"/>
    <w:rsid w:val="00D41797"/>
    <w:rsid w:val="00D41A95"/>
    <w:rsid w:val="00D41B4B"/>
    <w:rsid w:val="00D41DCC"/>
    <w:rsid w:val="00D4240C"/>
    <w:rsid w:val="00D42C74"/>
    <w:rsid w:val="00D43691"/>
    <w:rsid w:val="00D43A66"/>
    <w:rsid w:val="00D43A8B"/>
    <w:rsid w:val="00D4401F"/>
    <w:rsid w:val="00D4468F"/>
    <w:rsid w:val="00D44BDA"/>
    <w:rsid w:val="00D45187"/>
    <w:rsid w:val="00D46057"/>
    <w:rsid w:val="00D465CF"/>
    <w:rsid w:val="00D46FDB"/>
    <w:rsid w:val="00D4760B"/>
    <w:rsid w:val="00D50032"/>
    <w:rsid w:val="00D50386"/>
    <w:rsid w:val="00D50399"/>
    <w:rsid w:val="00D5081E"/>
    <w:rsid w:val="00D50BBD"/>
    <w:rsid w:val="00D50BD6"/>
    <w:rsid w:val="00D50D43"/>
    <w:rsid w:val="00D51469"/>
    <w:rsid w:val="00D514D4"/>
    <w:rsid w:val="00D52472"/>
    <w:rsid w:val="00D52CFD"/>
    <w:rsid w:val="00D52DF2"/>
    <w:rsid w:val="00D52EDF"/>
    <w:rsid w:val="00D53421"/>
    <w:rsid w:val="00D540A5"/>
    <w:rsid w:val="00D542F0"/>
    <w:rsid w:val="00D550AD"/>
    <w:rsid w:val="00D552A0"/>
    <w:rsid w:val="00D5572F"/>
    <w:rsid w:val="00D55A71"/>
    <w:rsid w:val="00D55C04"/>
    <w:rsid w:val="00D565EC"/>
    <w:rsid w:val="00D56FD5"/>
    <w:rsid w:val="00D575C9"/>
    <w:rsid w:val="00D57A35"/>
    <w:rsid w:val="00D57E8E"/>
    <w:rsid w:val="00D60144"/>
    <w:rsid w:val="00D6039E"/>
    <w:rsid w:val="00D60C2B"/>
    <w:rsid w:val="00D60C8C"/>
    <w:rsid w:val="00D6103E"/>
    <w:rsid w:val="00D612DF"/>
    <w:rsid w:val="00D61EF7"/>
    <w:rsid w:val="00D62041"/>
    <w:rsid w:val="00D6277E"/>
    <w:rsid w:val="00D63580"/>
    <w:rsid w:val="00D637D6"/>
    <w:rsid w:val="00D6381D"/>
    <w:rsid w:val="00D63A81"/>
    <w:rsid w:val="00D63D16"/>
    <w:rsid w:val="00D63DE0"/>
    <w:rsid w:val="00D63E35"/>
    <w:rsid w:val="00D64C64"/>
    <w:rsid w:val="00D64C70"/>
    <w:rsid w:val="00D65400"/>
    <w:rsid w:val="00D65A03"/>
    <w:rsid w:val="00D65B30"/>
    <w:rsid w:val="00D65C7F"/>
    <w:rsid w:val="00D662B4"/>
    <w:rsid w:val="00D66B1F"/>
    <w:rsid w:val="00D6745F"/>
    <w:rsid w:val="00D7025F"/>
    <w:rsid w:val="00D70B58"/>
    <w:rsid w:val="00D712C5"/>
    <w:rsid w:val="00D7172B"/>
    <w:rsid w:val="00D7187D"/>
    <w:rsid w:val="00D71A00"/>
    <w:rsid w:val="00D7219C"/>
    <w:rsid w:val="00D72429"/>
    <w:rsid w:val="00D7251F"/>
    <w:rsid w:val="00D72867"/>
    <w:rsid w:val="00D72D39"/>
    <w:rsid w:val="00D72D44"/>
    <w:rsid w:val="00D72DE6"/>
    <w:rsid w:val="00D73112"/>
    <w:rsid w:val="00D73215"/>
    <w:rsid w:val="00D7334A"/>
    <w:rsid w:val="00D73429"/>
    <w:rsid w:val="00D73839"/>
    <w:rsid w:val="00D73A7D"/>
    <w:rsid w:val="00D742C4"/>
    <w:rsid w:val="00D74DD2"/>
    <w:rsid w:val="00D74F3A"/>
    <w:rsid w:val="00D752CF"/>
    <w:rsid w:val="00D752E9"/>
    <w:rsid w:val="00D75315"/>
    <w:rsid w:val="00D75466"/>
    <w:rsid w:val="00D75A05"/>
    <w:rsid w:val="00D75ABC"/>
    <w:rsid w:val="00D75C6D"/>
    <w:rsid w:val="00D76C51"/>
    <w:rsid w:val="00D774EE"/>
    <w:rsid w:val="00D77DA6"/>
    <w:rsid w:val="00D804CF"/>
    <w:rsid w:val="00D805C6"/>
    <w:rsid w:val="00D805EA"/>
    <w:rsid w:val="00D80650"/>
    <w:rsid w:val="00D807F3"/>
    <w:rsid w:val="00D80857"/>
    <w:rsid w:val="00D809A0"/>
    <w:rsid w:val="00D80C31"/>
    <w:rsid w:val="00D8131B"/>
    <w:rsid w:val="00D813FB"/>
    <w:rsid w:val="00D81B36"/>
    <w:rsid w:val="00D81B6C"/>
    <w:rsid w:val="00D81F4B"/>
    <w:rsid w:val="00D823C1"/>
    <w:rsid w:val="00D825C6"/>
    <w:rsid w:val="00D82A32"/>
    <w:rsid w:val="00D83119"/>
    <w:rsid w:val="00D8318E"/>
    <w:rsid w:val="00D847D7"/>
    <w:rsid w:val="00D85CBD"/>
    <w:rsid w:val="00D85EBD"/>
    <w:rsid w:val="00D863F1"/>
    <w:rsid w:val="00D86B15"/>
    <w:rsid w:val="00D86C8B"/>
    <w:rsid w:val="00D86EF1"/>
    <w:rsid w:val="00D8716C"/>
    <w:rsid w:val="00D8778C"/>
    <w:rsid w:val="00D8792B"/>
    <w:rsid w:val="00D90026"/>
    <w:rsid w:val="00D901DA"/>
    <w:rsid w:val="00D90262"/>
    <w:rsid w:val="00D90DC1"/>
    <w:rsid w:val="00D911EB"/>
    <w:rsid w:val="00D91A21"/>
    <w:rsid w:val="00D91B82"/>
    <w:rsid w:val="00D91E9E"/>
    <w:rsid w:val="00D91F14"/>
    <w:rsid w:val="00D92166"/>
    <w:rsid w:val="00D923DB"/>
    <w:rsid w:val="00D9251F"/>
    <w:rsid w:val="00D92E06"/>
    <w:rsid w:val="00D92F47"/>
    <w:rsid w:val="00D9302B"/>
    <w:rsid w:val="00D932F0"/>
    <w:rsid w:val="00D93B5F"/>
    <w:rsid w:val="00D93D55"/>
    <w:rsid w:val="00D944D5"/>
    <w:rsid w:val="00D94D5E"/>
    <w:rsid w:val="00D9503E"/>
    <w:rsid w:val="00D95380"/>
    <w:rsid w:val="00D95528"/>
    <w:rsid w:val="00D95CBF"/>
    <w:rsid w:val="00D95E0A"/>
    <w:rsid w:val="00D95E4D"/>
    <w:rsid w:val="00D95E6F"/>
    <w:rsid w:val="00D97159"/>
    <w:rsid w:val="00D97500"/>
    <w:rsid w:val="00DA027B"/>
    <w:rsid w:val="00DA0379"/>
    <w:rsid w:val="00DA04E7"/>
    <w:rsid w:val="00DA052A"/>
    <w:rsid w:val="00DA0A5F"/>
    <w:rsid w:val="00DA1187"/>
    <w:rsid w:val="00DA12DA"/>
    <w:rsid w:val="00DA133A"/>
    <w:rsid w:val="00DA1627"/>
    <w:rsid w:val="00DA1E83"/>
    <w:rsid w:val="00DA2008"/>
    <w:rsid w:val="00DA235C"/>
    <w:rsid w:val="00DA260F"/>
    <w:rsid w:val="00DA2620"/>
    <w:rsid w:val="00DA26C5"/>
    <w:rsid w:val="00DA2B1E"/>
    <w:rsid w:val="00DA30E9"/>
    <w:rsid w:val="00DA3514"/>
    <w:rsid w:val="00DA394C"/>
    <w:rsid w:val="00DA398A"/>
    <w:rsid w:val="00DA3E78"/>
    <w:rsid w:val="00DA41F9"/>
    <w:rsid w:val="00DA4D81"/>
    <w:rsid w:val="00DA4EF2"/>
    <w:rsid w:val="00DA507C"/>
    <w:rsid w:val="00DA52E4"/>
    <w:rsid w:val="00DA53D5"/>
    <w:rsid w:val="00DA53F6"/>
    <w:rsid w:val="00DA54FA"/>
    <w:rsid w:val="00DA5641"/>
    <w:rsid w:val="00DA59CA"/>
    <w:rsid w:val="00DA5D82"/>
    <w:rsid w:val="00DA66B8"/>
    <w:rsid w:val="00DA6704"/>
    <w:rsid w:val="00DA6946"/>
    <w:rsid w:val="00DA7654"/>
    <w:rsid w:val="00DA7B4E"/>
    <w:rsid w:val="00DA7E31"/>
    <w:rsid w:val="00DB00B2"/>
    <w:rsid w:val="00DB0602"/>
    <w:rsid w:val="00DB0731"/>
    <w:rsid w:val="00DB0884"/>
    <w:rsid w:val="00DB0BDD"/>
    <w:rsid w:val="00DB0BE3"/>
    <w:rsid w:val="00DB0BFB"/>
    <w:rsid w:val="00DB0CAB"/>
    <w:rsid w:val="00DB0CF7"/>
    <w:rsid w:val="00DB13F1"/>
    <w:rsid w:val="00DB1605"/>
    <w:rsid w:val="00DB1E46"/>
    <w:rsid w:val="00DB2111"/>
    <w:rsid w:val="00DB229E"/>
    <w:rsid w:val="00DB2338"/>
    <w:rsid w:val="00DB2797"/>
    <w:rsid w:val="00DB27A8"/>
    <w:rsid w:val="00DB2850"/>
    <w:rsid w:val="00DB2919"/>
    <w:rsid w:val="00DB2E07"/>
    <w:rsid w:val="00DB314A"/>
    <w:rsid w:val="00DB35CD"/>
    <w:rsid w:val="00DB39CC"/>
    <w:rsid w:val="00DB3D5F"/>
    <w:rsid w:val="00DB3E97"/>
    <w:rsid w:val="00DB3EFC"/>
    <w:rsid w:val="00DB40ED"/>
    <w:rsid w:val="00DB412C"/>
    <w:rsid w:val="00DB43C0"/>
    <w:rsid w:val="00DB4D3C"/>
    <w:rsid w:val="00DB589A"/>
    <w:rsid w:val="00DB5E33"/>
    <w:rsid w:val="00DB62D0"/>
    <w:rsid w:val="00DB65A4"/>
    <w:rsid w:val="00DB7B53"/>
    <w:rsid w:val="00DC097B"/>
    <w:rsid w:val="00DC09A3"/>
    <w:rsid w:val="00DC0D2D"/>
    <w:rsid w:val="00DC1450"/>
    <w:rsid w:val="00DC1786"/>
    <w:rsid w:val="00DC1F32"/>
    <w:rsid w:val="00DC2432"/>
    <w:rsid w:val="00DC262E"/>
    <w:rsid w:val="00DC26AF"/>
    <w:rsid w:val="00DC26DD"/>
    <w:rsid w:val="00DC2F9A"/>
    <w:rsid w:val="00DC354A"/>
    <w:rsid w:val="00DC3754"/>
    <w:rsid w:val="00DC3854"/>
    <w:rsid w:val="00DC3902"/>
    <w:rsid w:val="00DC3C97"/>
    <w:rsid w:val="00DC3D78"/>
    <w:rsid w:val="00DC400C"/>
    <w:rsid w:val="00DC40FA"/>
    <w:rsid w:val="00DC417E"/>
    <w:rsid w:val="00DC4419"/>
    <w:rsid w:val="00DC480D"/>
    <w:rsid w:val="00DC48AB"/>
    <w:rsid w:val="00DC4D3A"/>
    <w:rsid w:val="00DC59A3"/>
    <w:rsid w:val="00DC644E"/>
    <w:rsid w:val="00DC6903"/>
    <w:rsid w:val="00DC7188"/>
    <w:rsid w:val="00DC7443"/>
    <w:rsid w:val="00DC784F"/>
    <w:rsid w:val="00DC79D1"/>
    <w:rsid w:val="00DC7A11"/>
    <w:rsid w:val="00DC7DB1"/>
    <w:rsid w:val="00DC7ED4"/>
    <w:rsid w:val="00DD04F1"/>
    <w:rsid w:val="00DD06AB"/>
    <w:rsid w:val="00DD0E88"/>
    <w:rsid w:val="00DD0F24"/>
    <w:rsid w:val="00DD1145"/>
    <w:rsid w:val="00DD114C"/>
    <w:rsid w:val="00DD14F9"/>
    <w:rsid w:val="00DD1E0D"/>
    <w:rsid w:val="00DD1EAF"/>
    <w:rsid w:val="00DD2752"/>
    <w:rsid w:val="00DD28D4"/>
    <w:rsid w:val="00DD2905"/>
    <w:rsid w:val="00DD2B00"/>
    <w:rsid w:val="00DD2ECF"/>
    <w:rsid w:val="00DD2EE3"/>
    <w:rsid w:val="00DD3015"/>
    <w:rsid w:val="00DD316A"/>
    <w:rsid w:val="00DD3C36"/>
    <w:rsid w:val="00DD3EBE"/>
    <w:rsid w:val="00DD4233"/>
    <w:rsid w:val="00DD45B7"/>
    <w:rsid w:val="00DD4953"/>
    <w:rsid w:val="00DD4AA8"/>
    <w:rsid w:val="00DD4C4E"/>
    <w:rsid w:val="00DD4C75"/>
    <w:rsid w:val="00DD5036"/>
    <w:rsid w:val="00DD54FF"/>
    <w:rsid w:val="00DD55B3"/>
    <w:rsid w:val="00DD5B0E"/>
    <w:rsid w:val="00DD5DEE"/>
    <w:rsid w:val="00DD62EF"/>
    <w:rsid w:val="00DD72B9"/>
    <w:rsid w:val="00DD761B"/>
    <w:rsid w:val="00DD764F"/>
    <w:rsid w:val="00DD7AE0"/>
    <w:rsid w:val="00DE0061"/>
    <w:rsid w:val="00DE01DB"/>
    <w:rsid w:val="00DE0AC8"/>
    <w:rsid w:val="00DE0D75"/>
    <w:rsid w:val="00DE1567"/>
    <w:rsid w:val="00DE38F3"/>
    <w:rsid w:val="00DE47EE"/>
    <w:rsid w:val="00DE497F"/>
    <w:rsid w:val="00DE4C63"/>
    <w:rsid w:val="00DE4E27"/>
    <w:rsid w:val="00DE5314"/>
    <w:rsid w:val="00DE5758"/>
    <w:rsid w:val="00DE5A40"/>
    <w:rsid w:val="00DE5E76"/>
    <w:rsid w:val="00DE60F0"/>
    <w:rsid w:val="00DE7703"/>
    <w:rsid w:val="00DE7AAF"/>
    <w:rsid w:val="00DE7C6D"/>
    <w:rsid w:val="00DF0015"/>
    <w:rsid w:val="00DF0186"/>
    <w:rsid w:val="00DF0318"/>
    <w:rsid w:val="00DF04EC"/>
    <w:rsid w:val="00DF099B"/>
    <w:rsid w:val="00DF0BB5"/>
    <w:rsid w:val="00DF10D7"/>
    <w:rsid w:val="00DF10EF"/>
    <w:rsid w:val="00DF1163"/>
    <w:rsid w:val="00DF203A"/>
    <w:rsid w:val="00DF20CE"/>
    <w:rsid w:val="00DF24D5"/>
    <w:rsid w:val="00DF263D"/>
    <w:rsid w:val="00DF314D"/>
    <w:rsid w:val="00DF32E7"/>
    <w:rsid w:val="00DF3324"/>
    <w:rsid w:val="00DF3385"/>
    <w:rsid w:val="00DF3393"/>
    <w:rsid w:val="00DF3AC2"/>
    <w:rsid w:val="00DF409A"/>
    <w:rsid w:val="00DF541C"/>
    <w:rsid w:val="00DF5456"/>
    <w:rsid w:val="00DF5A25"/>
    <w:rsid w:val="00DF5C39"/>
    <w:rsid w:val="00DF6543"/>
    <w:rsid w:val="00DF7C17"/>
    <w:rsid w:val="00E00461"/>
    <w:rsid w:val="00E00491"/>
    <w:rsid w:val="00E00A98"/>
    <w:rsid w:val="00E00B0E"/>
    <w:rsid w:val="00E01345"/>
    <w:rsid w:val="00E019AE"/>
    <w:rsid w:val="00E01A9D"/>
    <w:rsid w:val="00E01B5C"/>
    <w:rsid w:val="00E01B8C"/>
    <w:rsid w:val="00E01CFF"/>
    <w:rsid w:val="00E02B7A"/>
    <w:rsid w:val="00E03325"/>
    <w:rsid w:val="00E03590"/>
    <w:rsid w:val="00E0359A"/>
    <w:rsid w:val="00E03856"/>
    <w:rsid w:val="00E03B1A"/>
    <w:rsid w:val="00E03DC7"/>
    <w:rsid w:val="00E0435A"/>
    <w:rsid w:val="00E044CD"/>
    <w:rsid w:val="00E04A6B"/>
    <w:rsid w:val="00E04A81"/>
    <w:rsid w:val="00E04C62"/>
    <w:rsid w:val="00E05792"/>
    <w:rsid w:val="00E0631E"/>
    <w:rsid w:val="00E066C8"/>
    <w:rsid w:val="00E066DA"/>
    <w:rsid w:val="00E06B4A"/>
    <w:rsid w:val="00E06C8D"/>
    <w:rsid w:val="00E06D3C"/>
    <w:rsid w:val="00E06D96"/>
    <w:rsid w:val="00E07005"/>
    <w:rsid w:val="00E0790F"/>
    <w:rsid w:val="00E07E53"/>
    <w:rsid w:val="00E1002C"/>
    <w:rsid w:val="00E10650"/>
    <w:rsid w:val="00E11E0D"/>
    <w:rsid w:val="00E11FC7"/>
    <w:rsid w:val="00E12885"/>
    <w:rsid w:val="00E12D2F"/>
    <w:rsid w:val="00E12F0F"/>
    <w:rsid w:val="00E1320A"/>
    <w:rsid w:val="00E13964"/>
    <w:rsid w:val="00E13B49"/>
    <w:rsid w:val="00E13CAA"/>
    <w:rsid w:val="00E1449A"/>
    <w:rsid w:val="00E14500"/>
    <w:rsid w:val="00E1480C"/>
    <w:rsid w:val="00E14B10"/>
    <w:rsid w:val="00E14D7F"/>
    <w:rsid w:val="00E156CC"/>
    <w:rsid w:val="00E15B81"/>
    <w:rsid w:val="00E15F47"/>
    <w:rsid w:val="00E16016"/>
    <w:rsid w:val="00E16BE3"/>
    <w:rsid w:val="00E16EAF"/>
    <w:rsid w:val="00E1703D"/>
    <w:rsid w:val="00E20A11"/>
    <w:rsid w:val="00E21A39"/>
    <w:rsid w:val="00E21C87"/>
    <w:rsid w:val="00E21D0A"/>
    <w:rsid w:val="00E21F76"/>
    <w:rsid w:val="00E223AD"/>
    <w:rsid w:val="00E225A5"/>
    <w:rsid w:val="00E22D16"/>
    <w:rsid w:val="00E22EA0"/>
    <w:rsid w:val="00E232DC"/>
    <w:rsid w:val="00E23403"/>
    <w:rsid w:val="00E2388D"/>
    <w:rsid w:val="00E239D8"/>
    <w:rsid w:val="00E2401D"/>
    <w:rsid w:val="00E2406F"/>
    <w:rsid w:val="00E240E4"/>
    <w:rsid w:val="00E24279"/>
    <w:rsid w:val="00E246CF"/>
    <w:rsid w:val="00E24BBB"/>
    <w:rsid w:val="00E24F4E"/>
    <w:rsid w:val="00E250E9"/>
    <w:rsid w:val="00E253A8"/>
    <w:rsid w:val="00E25553"/>
    <w:rsid w:val="00E25A1B"/>
    <w:rsid w:val="00E2653A"/>
    <w:rsid w:val="00E267DD"/>
    <w:rsid w:val="00E268F5"/>
    <w:rsid w:val="00E26DFD"/>
    <w:rsid w:val="00E2718D"/>
    <w:rsid w:val="00E27500"/>
    <w:rsid w:val="00E27E05"/>
    <w:rsid w:val="00E27E1A"/>
    <w:rsid w:val="00E27E6F"/>
    <w:rsid w:val="00E30092"/>
    <w:rsid w:val="00E30707"/>
    <w:rsid w:val="00E3089A"/>
    <w:rsid w:val="00E30CE4"/>
    <w:rsid w:val="00E30D61"/>
    <w:rsid w:val="00E31731"/>
    <w:rsid w:val="00E31761"/>
    <w:rsid w:val="00E31CE3"/>
    <w:rsid w:val="00E32289"/>
    <w:rsid w:val="00E32810"/>
    <w:rsid w:val="00E32E0C"/>
    <w:rsid w:val="00E330C7"/>
    <w:rsid w:val="00E332F7"/>
    <w:rsid w:val="00E33B22"/>
    <w:rsid w:val="00E34372"/>
    <w:rsid w:val="00E344E8"/>
    <w:rsid w:val="00E3490C"/>
    <w:rsid w:val="00E34FCC"/>
    <w:rsid w:val="00E34FD9"/>
    <w:rsid w:val="00E35057"/>
    <w:rsid w:val="00E350E1"/>
    <w:rsid w:val="00E35367"/>
    <w:rsid w:val="00E35501"/>
    <w:rsid w:val="00E35768"/>
    <w:rsid w:val="00E369B9"/>
    <w:rsid w:val="00E369FA"/>
    <w:rsid w:val="00E36AA1"/>
    <w:rsid w:val="00E37A98"/>
    <w:rsid w:val="00E40009"/>
    <w:rsid w:val="00E400BF"/>
    <w:rsid w:val="00E40469"/>
    <w:rsid w:val="00E40915"/>
    <w:rsid w:val="00E40B3C"/>
    <w:rsid w:val="00E416A1"/>
    <w:rsid w:val="00E41A4F"/>
    <w:rsid w:val="00E41BC9"/>
    <w:rsid w:val="00E41FD0"/>
    <w:rsid w:val="00E42002"/>
    <w:rsid w:val="00E4266A"/>
    <w:rsid w:val="00E43350"/>
    <w:rsid w:val="00E4383F"/>
    <w:rsid w:val="00E43BBB"/>
    <w:rsid w:val="00E43F32"/>
    <w:rsid w:val="00E44137"/>
    <w:rsid w:val="00E4419A"/>
    <w:rsid w:val="00E44225"/>
    <w:rsid w:val="00E447D7"/>
    <w:rsid w:val="00E454FC"/>
    <w:rsid w:val="00E455BF"/>
    <w:rsid w:val="00E45D28"/>
    <w:rsid w:val="00E45E52"/>
    <w:rsid w:val="00E45EC7"/>
    <w:rsid w:val="00E46317"/>
    <w:rsid w:val="00E464AC"/>
    <w:rsid w:val="00E46801"/>
    <w:rsid w:val="00E46963"/>
    <w:rsid w:val="00E469CC"/>
    <w:rsid w:val="00E46B37"/>
    <w:rsid w:val="00E47350"/>
    <w:rsid w:val="00E474C9"/>
    <w:rsid w:val="00E47941"/>
    <w:rsid w:val="00E4799E"/>
    <w:rsid w:val="00E47C8F"/>
    <w:rsid w:val="00E47F49"/>
    <w:rsid w:val="00E50DE7"/>
    <w:rsid w:val="00E510C0"/>
    <w:rsid w:val="00E51871"/>
    <w:rsid w:val="00E51FCD"/>
    <w:rsid w:val="00E52097"/>
    <w:rsid w:val="00E525C7"/>
    <w:rsid w:val="00E5341E"/>
    <w:rsid w:val="00E534A6"/>
    <w:rsid w:val="00E53530"/>
    <w:rsid w:val="00E5353B"/>
    <w:rsid w:val="00E5365A"/>
    <w:rsid w:val="00E5378E"/>
    <w:rsid w:val="00E53A2E"/>
    <w:rsid w:val="00E54040"/>
    <w:rsid w:val="00E541AF"/>
    <w:rsid w:val="00E54403"/>
    <w:rsid w:val="00E544A0"/>
    <w:rsid w:val="00E54AAA"/>
    <w:rsid w:val="00E56780"/>
    <w:rsid w:val="00E56832"/>
    <w:rsid w:val="00E56C2A"/>
    <w:rsid w:val="00E56EC0"/>
    <w:rsid w:val="00E5781F"/>
    <w:rsid w:val="00E57ABF"/>
    <w:rsid w:val="00E57B06"/>
    <w:rsid w:val="00E57E9C"/>
    <w:rsid w:val="00E57EB8"/>
    <w:rsid w:val="00E607D9"/>
    <w:rsid w:val="00E60924"/>
    <w:rsid w:val="00E60F33"/>
    <w:rsid w:val="00E6160F"/>
    <w:rsid w:val="00E61875"/>
    <w:rsid w:val="00E6274C"/>
    <w:rsid w:val="00E62834"/>
    <w:rsid w:val="00E62878"/>
    <w:rsid w:val="00E62B03"/>
    <w:rsid w:val="00E62C3B"/>
    <w:rsid w:val="00E62CB5"/>
    <w:rsid w:val="00E63558"/>
    <w:rsid w:val="00E636D7"/>
    <w:rsid w:val="00E6384A"/>
    <w:rsid w:val="00E63AFE"/>
    <w:rsid w:val="00E6403B"/>
    <w:rsid w:val="00E64143"/>
    <w:rsid w:val="00E644AA"/>
    <w:rsid w:val="00E645C7"/>
    <w:rsid w:val="00E645FF"/>
    <w:rsid w:val="00E64C7E"/>
    <w:rsid w:val="00E64FB1"/>
    <w:rsid w:val="00E6533E"/>
    <w:rsid w:val="00E656CF"/>
    <w:rsid w:val="00E65707"/>
    <w:rsid w:val="00E669F1"/>
    <w:rsid w:val="00E66AAA"/>
    <w:rsid w:val="00E67012"/>
    <w:rsid w:val="00E670BC"/>
    <w:rsid w:val="00E6745D"/>
    <w:rsid w:val="00E6749B"/>
    <w:rsid w:val="00E6786C"/>
    <w:rsid w:val="00E679AA"/>
    <w:rsid w:val="00E67F98"/>
    <w:rsid w:val="00E70121"/>
    <w:rsid w:val="00E70A84"/>
    <w:rsid w:val="00E70C8D"/>
    <w:rsid w:val="00E70D74"/>
    <w:rsid w:val="00E70DBD"/>
    <w:rsid w:val="00E70E1F"/>
    <w:rsid w:val="00E714DD"/>
    <w:rsid w:val="00E7152A"/>
    <w:rsid w:val="00E71A86"/>
    <w:rsid w:val="00E71AB6"/>
    <w:rsid w:val="00E724D3"/>
    <w:rsid w:val="00E729B2"/>
    <w:rsid w:val="00E72B79"/>
    <w:rsid w:val="00E72C14"/>
    <w:rsid w:val="00E72EB0"/>
    <w:rsid w:val="00E72FDF"/>
    <w:rsid w:val="00E73077"/>
    <w:rsid w:val="00E731BB"/>
    <w:rsid w:val="00E73466"/>
    <w:rsid w:val="00E73564"/>
    <w:rsid w:val="00E735DA"/>
    <w:rsid w:val="00E74134"/>
    <w:rsid w:val="00E74174"/>
    <w:rsid w:val="00E74957"/>
    <w:rsid w:val="00E74BB0"/>
    <w:rsid w:val="00E7504B"/>
    <w:rsid w:val="00E75143"/>
    <w:rsid w:val="00E75301"/>
    <w:rsid w:val="00E753D5"/>
    <w:rsid w:val="00E756FE"/>
    <w:rsid w:val="00E75794"/>
    <w:rsid w:val="00E758DE"/>
    <w:rsid w:val="00E75C92"/>
    <w:rsid w:val="00E76363"/>
    <w:rsid w:val="00E76468"/>
    <w:rsid w:val="00E76D04"/>
    <w:rsid w:val="00E76FC1"/>
    <w:rsid w:val="00E77021"/>
    <w:rsid w:val="00E771AE"/>
    <w:rsid w:val="00E77CCC"/>
    <w:rsid w:val="00E77EDF"/>
    <w:rsid w:val="00E8068F"/>
    <w:rsid w:val="00E80E43"/>
    <w:rsid w:val="00E80FD7"/>
    <w:rsid w:val="00E81F65"/>
    <w:rsid w:val="00E82031"/>
    <w:rsid w:val="00E822E1"/>
    <w:rsid w:val="00E82EF4"/>
    <w:rsid w:val="00E831C7"/>
    <w:rsid w:val="00E832EB"/>
    <w:rsid w:val="00E83304"/>
    <w:rsid w:val="00E8353C"/>
    <w:rsid w:val="00E83D1A"/>
    <w:rsid w:val="00E83E88"/>
    <w:rsid w:val="00E83F0D"/>
    <w:rsid w:val="00E84389"/>
    <w:rsid w:val="00E84410"/>
    <w:rsid w:val="00E8461C"/>
    <w:rsid w:val="00E84E4F"/>
    <w:rsid w:val="00E8534D"/>
    <w:rsid w:val="00E86963"/>
    <w:rsid w:val="00E86E5A"/>
    <w:rsid w:val="00E872C2"/>
    <w:rsid w:val="00E87465"/>
    <w:rsid w:val="00E8790D"/>
    <w:rsid w:val="00E87B0D"/>
    <w:rsid w:val="00E903AF"/>
    <w:rsid w:val="00E90717"/>
    <w:rsid w:val="00E91B54"/>
    <w:rsid w:val="00E926A7"/>
    <w:rsid w:val="00E92D03"/>
    <w:rsid w:val="00E932B0"/>
    <w:rsid w:val="00E9330E"/>
    <w:rsid w:val="00E9365E"/>
    <w:rsid w:val="00E93795"/>
    <w:rsid w:val="00E938C9"/>
    <w:rsid w:val="00E944CE"/>
    <w:rsid w:val="00E94AB7"/>
    <w:rsid w:val="00E94B2A"/>
    <w:rsid w:val="00E9500E"/>
    <w:rsid w:val="00E951DA"/>
    <w:rsid w:val="00E95483"/>
    <w:rsid w:val="00E95823"/>
    <w:rsid w:val="00E95936"/>
    <w:rsid w:val="00E95A66"/>
    <w:rsid w:val="00E96381"/>
    <w:rsid w:val="00E963F2"/>
    <w:rsid w:val="00E966D9"/>
    <w:rsid w:val="00E96B62"/>
    <w:rsid w:val="00E97144"/>
    <w:rsid w:val="00E972A7"/>
    <w:rsid w:val="00EA02A0"/>
    <w:rsid w:val="00EA073D"/>
    <w:rsid w:val="00EA09E9"/>
    <w:rsid w:val="00EA0A86"/>
    <w:rsid w:val="00EA1496"/>
    <w:rsid w:val="00EA192A"/>
    <w:rsid w:val="00EA1E2D"/>
    <w:rsid w:val="00EA2411"/>
    <w:rsid w:val="00EA259B"/>
    <w:rsid w:val="00EA2763"/>
    <w:rsid w:val="00EA2FAE"/>
    <w:rsid w:val="00EA3223"/>
    <w:rsid w:val="00EA4CF1"/>
    <w:rsid w:val="00EA5614"/>
    <w:rsid w:val="00EA5859"/>
    <w:rsid w:val="00EA598C"/>
    <w:rsid w:val="00EA5A38"/>
    <w:rsid w:val="00EA68D6"/>
    <w:rsid w:val="00EA6D22"/>
    <w:rsid w:val="00EA7204"/>
    <w:rsid w:val="00EA7420"/>
    <w:rsid w:val="00EA7F55"/>
    <w:rsid w:val="00EB0406"/>
    <w:rsid w:val="00EB04BB"/>
    <w:rsid w:val="00EB057E"/>
    <w:rsid w:val="00EB0842"/>
    <w:rsid w:val="00EB0932"/>
    <w:rsid w:val="00EB0951"/>
    <w:rsid w:val="00EB09D7"/>
    <w:rsid w:val="00EB1A60"/>
    <w:rsid w:val="00EB1ACF"/>
    <w:rsid w:val="00EB24D0"/>
    <w:rsid w:val="00EB25CD"/>
    <w:rsid w:val="00EB2A50"/>
    <w:rsid w:val="00EB2B06"/>
    <w:rsid w:val="00EB2CE6"/>
    <w:rsid w:val="00EB3038"/>
    <w:rsid w:val="00EB3083"/>
    <w:rsid w:val="00EB31A7"/>
    <w:rsid w:val="00EB3AD1"/>
    <w:rsid w:val="00EB3EED"/>
    <w:rsid w:val="00EB4621"/>
    <w:rsid w:val="00EB4A80"/>
    <w:rsid w:val="00EB4D3B"/>
    <w:rsid w:val="00EB4D73"/>
    <w:rsid w:val="00EB54E4"/>
    <w:rsid w:val="00EB5533"/>
    <w:rsid w:val="00EB5610"/>
    <w:rsid w:val="00EB5AE7"/>
    <w:rsid w:val="00EB5F0F"/>
    <w:rsid w:val="00EB682A"/>
    <w:rsid w:val="00EB6E88"/>
    <w:rsid w:val="00EB7736"/>
    <w:rsid w:val="00EB7C6D"/>
    <w:rsid w:val="00EB7E60"/>
    <w:rsid w:val="00EC0EA7"/>
    <w:rsid w:val="00EC18D4"/>
    <w:rsid w:val="00EC214E"/>
    <w:rsid w:val="00EC2545"/>
    <w:rsid w:val="00EC27C9"/>
    <w:rsid w:val="00EC2A26"/>
    <w:rsid w:val="00EC34DE"/>
    <w:rsid w:val="00EC3A39"/>
    <w:rsid w:val="00EC4895"/>
    <w:rsid w:val="00EC4EAB"/>
    <w:rsid w:val="00EC4F01"/>
    <w:rsid w:val="00EC5179"/>
    <w:rsid w:val="00EC540C"/>
    <w:rsid w:val="00EC5573"/>
    <w:rsid w:val="00EC5588"/>
    <w:rsid w:val="00EC56D7"/>
    <w:rsid w:val="00EC5918"/>
    <w:rsid w:val="00EC664E"/>
    <w:rsid w:val="00EC6701"/>
    <w:rsid w:val="00EC6D08"/>
    <w:rsid w:val="00EC7180"/>
    <w:rsid w:val="00EC71BC"/>
    <w:rsid w:val="00ED01C5"/>
    <w:rsid w:val="00ED04E1"/>
    <w:rsid w:val="00ED052B"/>
    <w:rsid w:val="00ED0F1D"/>
    <w:rsid w:val="00ED0FF3"/>
    <w:rsid w:val="00ED104C"/>
    <w:rsid w:val="00ED1400"/>
    <w:rsid w:val="00ED1E30"/>
    <w:rsid w:val="00ED202E"/>
    <w:rsid w:val="00ED207D"/>
    <w:rsid w:val="00ED23CE"/>
    <w:rsid w:val="00ED2524"/>
    <w:rsid w:val="00ED254B"/>
    <w:rsid w:val="00ED2A8B"/>
    <w:rsid w:val="00ED32DF"/>
    <w:rsid w:val="00ED32E0"/>
    <w:rsid w:val="00ED42AD"/>
    <w:rsid w:val="00ED44B7"/>
    <w:rsid w:val="00ED4679"/>
    <w:rsid w:val="00ED47E1"/>
    <w:rsid w:val="00ED4E1D"/>
    <w:rsid w:val="00ED55E3"/>
    <w:rsid w:val="00ED561A"/>
    <w:rsid w:val="00ED564C"/>
    <w:rsid w:val="00ED604A"/>
    <w:rsid w:val="00ED60A6"/>
    <w:rsid w:val="00ED6212"/>
    <w:rsid w:val="00ED6389"/>
    <w:rsid w:val="00ED6F2C"/>
    <w:rsid w:val="00ED7363"/>
    <w:rsid w:val="00ED73E7"/>
    <w:rsid w:val="00ED74F2"/>
    <w:rsid w:val="00ED791F"/>
    <w:rsid w:val="00ED79EC"/>
    <w:rsid w:val="00ED7B7E"/>
    <w:rsid w:val="00ED7EF4"/>
    <w:rsid w:val="00EE0211"/>
    <w:rsid w:val="00EE0C66"/>
    <w:rsid w:val="00EE0D8A"/>
    <w:rsid w:val="00EE1AFE"/>
    <w:rsid w:val="00EE1E8F"/>
    <w:rsid w:val="00EE1FB8"/>
    <w:rsid w:val="00EE235D"/>
    <w:rsid w:val="00EE2AE6"/>
    <w:rsid w:val="00EE2DEB"/>
    <w:rsid w:val="00EE3011"/>
    <w:rsid w:val="00EE3C41"/>
    <w:rsid w:val="00EE3F54"/>
    <w:rsid w:val="00EE40FB"/>
    <w:rsid w:val="00EE424C"/>
    <w:rsid w:val="00EE470D"/>
    <w:rsid w:val="00EE56CD"/>
    <w:rsid w:val="00EE57F7"/>
    <w:rsid w:val="00EE6431"/>
    <w:rsid w:val="00EE645F"/>
    <w:rsid w:val="00EE6B95"/>
    <w:rsid w:val="00EE6BEE"/>
    <w:rsid w:val="00EE6E0B"/>
    <w:rsid w:val="00EE77CF"/>
    <w:rsid w:val="00EE7D35"/>
    <w:rsid w:val="00EF07A2"/>
    <w:rsid w:val="00EF08BC"/>
    <w:rsid w:val="00EF0E3F"/>
    <w:rsid w:val="00EF126B"/>
    <w:rsid w:val="00EF17E0"/>
    <w:rsid w:val="00EF1AA6"/>
    <w:rsid w:val="00EF1C2B"/>
    <w:rsid w:val="00EF1D76"/>
    <w:rsid w:val="00EF1EF0"/>
    <w:rsid w:val="00EF297F"/>
    <w:rsid w:val="00EF2B11"/>
    <w:rsid w:val="00EF2D8D"/>
    <w:rsid w:val="00EF33D5"/>
    <w:rsid w:val="00EF3503"/>
    <w:rsid w:val="00EF3662"/>
    <w:rsid w:val="00EF3C22"/>
    <w:rsid w:val="00EF4304"/>
    <w:rsid w:val="00EF47B4"/>
    <w:rsid w:val="00EF4A77"/>
    <w:rsid w:val="00EF4D9E"/>
    <w:rsid w:val="00EF4F38"/>
    <w:rsid w:val="00EF4F76"/>
    <w:rsid w:val="00EF5081"/>
    <w:rsid w:val="00EF5685"/>
    <w:rsid w:val="00EF5734"/>
    <w:rsid w:val="00EF5A28"/>
    <w:rsid w:val="00EF608C"/>
    <w:rsid w:val="00EF65A1"/>
    <w:rsid w:val="00EF698D"/>
    <w:rsid w:val="00EF6A8C"/>
    <w:rsid w:val="00EF6D96"/>
    <w:rsid w:val="00EF7238"/>
    <w:rsid w:val="00EF73C6"/>
    <w:rsid w:val="00EF7A6D"/>
    <w:rsid w:val="00EF7D82"/>
    <w:rsid w:val="00EF7FB5"/>
    <w:rsid w:val="00F000A4"/>
    <w:rsid w:val="00F00463"/>
    <w:rsid w:val="00F00808"/>
    <w:rsid w:val="00F009A7"/>
    <w:rsid w:val="00F00EBF"/>
    <w:rsid w:val="00F00FF2"/>
    <w:rsid w:val="00F014FC"/>
    <w:rsid w:val="00F0169B"/>
    <w:rsid w:val="00F0220E"/>
    <w:rsid w:val="00F02254"/>
    <w:rsid w:val="00F0228E"/>
    <w:rsid w:val="00F0255A"/>
    <w:rsid w:val="00F028E0"/>
    <w:rsid w:val="00F03F79"/>
    <w:rsid w:val="00F042BD"/>
    <w:rsid w:val="00F04969"/>
    <w:rsid w:val="00F055CA"/>
    <w:rsid w:val="00F05856"/>
    <w:rsid w:val="00F05A02"/>
    <w:rsid w:val="00F06031"/>
    <w:rsid w:val="00F062CA"/>
    <w:rsid w:val="00F06779"/>
    <w:rsid w:val="00F067C9"/>
    <w:rsid w:val="00F067F5"/>
    <w:rsid w:val="00F06A83"/>
    <w:rsid w:val="00F0748A"/>
    <w:rsid w:val="00F075CD"/>
    <w:rsid w:val="00F075FC"/>
    <w:rsid w:val="00F07709"/>
    <w:rsid w:val="00F07C75"/>
    <w:rsid w:val="00F10093"/>
    <w:rsid w:val="00F10733"/>
    <w:rsid w:val="00F10A10"/>
    <w:rsid w:val="00F10B67"/>
    <w:rsid w:val="00F10BFD"/>
    <w:rsid w:val="00F1184E"/>
    <w:rsid w:val="00F119F4"/>
    <w:rsid w:val="00F11D1B"/>
    <w:rsid w:val="00F120D1"/>
    <w:rsid w:val="00F1222D"/>
    <w:rsid w:val="00F129D5"/>
    <w:rsid w:val="00F12C56"/>
    <w:rsid w:val="00F13151"/>
    <w:rsid w:val="00F1334F"/>
    <w:rsid w:val="00F1364E"/>
    <w:rsid w:val="00F13DCA"/>
    <w:rsid w:val="00F1414F"/>
    <w:rsid w:val="00F142F8"/>
    <w:rsid w:val="00F1481D"/>
    <w:rsid w:val="00F14C25"/>
    <w:rsid w:val="00F14D3E"/>
    <w:rsid w:val="00F14D56"/>
    <w:rsid w:val="00F14DCC"/>
    <w:rsid w:val="00F1506F"/>
    <w:rsid w:val="00F159FF"/>
    <w:rsid w:val="00F15BCE"/>
    <w:rsid w:val="00F15BDF"/>
    <w:rsid w:val="00F16421"/>
    <w:rsid w:val="00F16677"/>
    <w:rsid w:val="00F16FBB"/>
    <w:rsid w:val="00F17150"/>
    <w:rsid w:val="00F17192"/>
    <w:rsid w:val="00F173B9"/>
    <w:rsid w:val="00F17478"/>
    <w:rsid w:val="00F17674"/>
    <w:rsid w:val="00F177D7"/>
    <w:rsid w:val="00F177E1"/>
    <w:rsid w:val="00F178D4"/>
    <w:rsid w:val="00F17F2C"/>
    <w:rsid w:val="00F17FC4"/>
    <w:rsid w:val="00F2029C"/>
    <w:rsid w:val="00F20A11"/>
    <w:rsid w:val="00F20EB9"/>
    <w:rsid w:val="00F21273"/>
    <w:rsid w:val="00F21517"/>
    <w:rsid w:val="00F21552"/>
    <w:rsid w:val="00F21A4F"/>
    <w:rsid w:val="00F22B08"/>
    <w:rsid w:val="00F22DD3"/>
    <w:rsid w:val="00F22DF0"/>
    <w:rsid w:val="00F22FC6"/>
    <w:rsid w:val="00F232F6"/>
    <w:rsid w:val="00F23A99"/>
    <w:rsid w:val="00F23DA7"/>
    <w:rsid w:val="00F2403C"/>
    <w:rsid w:val="00F24167"/>
    <w:rsid w:val="00F242CD"/>
    <w:rsid w:val="00F2580F"/>
    <w:rsid w:val="00F26254"/>
    <w:rsid w:val="00F268FB"/>
    <w:rsid w:val="00F26D88"/>
    <w:rsid w:val="00F26E5E"/>
    <w:rsid w:val="00F275F1"/>
    <w:rsid w:val="00F27740"/>
    <w:rsid w:val="00F27D7C"/>
    <w:rsid w:val="00F304A5"/>
    <w:rsid w:val="00F30A89"/>
    <w:rsid w:val="00F30DDB"/>
    <w:rsid w:val="00F313CE"/>
    <w:rsid w:val="00F31641"/>
    <w:rsid w:val="00F319C6"/>
    <w:rsid w:val="00F31E30"/>
    <w:rsid w:val="00F320B9"/>
    <w:rsid w:val="00F322F7"/>
    <w:rsid w:val="00F325D7"/>
    <w:rsid w:val="00F32F61"/>
    <w:rsid w:val="00F33206"/>
    <w:rsid w:val="00F33402"/>
    <w:rsid w:val="00F334CF"/>
    <w:rsid w:val="00F340D0"/>
    <w:rsid w:val="00F34B6A"/>
    <w:rsid w:val="00F3500D"/>
    <w:rsid w:val="00F3582A"/>
    <w:rsid w:val="00F3600D"/>
    <w:rsid w:val="00F363FE"/>
    <w:rsid w:val="00F36579"/>
    <w:rsid w:val="00F3749C"/>
    <w:rsid w:val="00F3762F"/>
    <w:rsid w:val="00F3789A"/>
    <w:rsid w:val="00F37DDA"/>
    <w:rsid w:val="00F37E45"/>
    <w:rsid w:val="00F40218"/>
    <w:rsid w:val="00F40524"/>
    <w:rsid w:val="00F4078C"/>
    <w:rsid w:val="00F41020"/>
    <w:rsid w:val="00F41384"/>
    <w:rsid w:val="00F41858"/>
    <w:rsid w:val="00F41BA3"/>
    <w:rsid w:val="00F424B4"/>
    <w:rsid w:val="00F42E2C"/>
    <w:rsid w:val="00F43758"/>
    <w:rsid w:val="00F43C2C"/>
    <w:rsid w:val="00F445CF"/>
    <w:rsid w:val="00F446E6"/>
    <w:rsid w:val="00F44B06"/>
    <w:rsid w:val="00F44B7E"/>
    <w:rsid w:val="00F44EA9"/>
    <w:rsid w:val="00F450EA"/>
    <w:rsid w:val="00F458FA"/>
    <w:rsid w:val="00F45A72"/>
    <w:rsid w:val="00F45A9D"/>
    <w:rsid w:val="00F465EE"/>
    <w:rsid w:val="00F468E7"/>
    <w:rsid w:val="00F46C11"/>
    <w:rsid w:val="00F4706E"/>
    <w:rsid w:val="00F477CA"/>
    <w:rsid w:val="00F479FD"/>
    <w:rsid w:val="00F47BE0"/>
    <w:rsid w:val="00F47D63"/>
    <w:rsid w:val="00F504AD"/>
    <w:rsid w:val="00F50A99"/>
    <w:rsid w:val="00F50AAD"/>
    <w:rsid w:val="00F50DD1"/>
    <w:rsid w:val="00F51068"/>
    <w:rsid w:val="00F5168B"/>
    <w:rsid w:val="00F51868"/>
    <w:rsid w:val="00F51B82"/>
    <w:rsid w:val="00F52002"/>
    <w:rsid w:val="00F5243B"/>
    <w:rsid w:val="00F52AB0"/>
    <w:rsid w:val="00F52F9D"/>
    <w:rsid w:val="00F5301F"/>
    <w:rsid w:val="00F535D2"/>
    <w:rsid w:val="00F536C1"/>
    <w:rsid w:val="00F53A7A"/>
    <w:rsid w:val="00F540A4"/>
    <w:rsid w:val="00F54DD1"/>
    <w:rsid w:val="00F54FC9"/>
    <w:rsid w:val="00F55004"/>
    <w:rsid w:val="00F552C5"/>
    <w:rsid w:val="00F55390"/>
    <w:rsid w:val="00F55879"/>
    <w:rsid w:val="00F55AC4"/>
    <w:rsid w:val="00F55D39"/>
    <w:rsid w:val="00F5644C"/>
    <w:rsid w:val="00F569FB"/>
    <w:rsid w:val="00F56D2E"/>
    <w:rsid w:val="00F5751E"/>
    <w:rsid w:val="00F57622"/>
    <w:rsid w:val="00F57888"/>
    <w:rsid w:val="00F57CC3"/>
    <w:rsid w:val="00F57FA9"/>
    <w:rsid w:val="00F600A7"/>
    <w:rsid w:val="00F60BDC"/>
    <w:rsid w:val="00F6100E"/>
    <w:rsid w:val="00F613D9"/>
    <w:rsid w:val="00F61896"/>
    <w:rsid w:val="00F6189C"/>
    <w:rsid w:val="00F6198B"/>
    <w:rsid w:val="00F6230A"/>
    <w:rsid w:val="00F6293C"/>
    <w:rsid w:val="00F63070"/>
    <w:rsid w:val="00F636C0"/>
    <w:rsid w:val="00F64EA2"/>
    <w:rsid w:val="00F64FDF"/>
    <w:rsid w:val="00F65174"/>
    <w:rsid w:val="00F657AD"/>
    <w:rsid w:val="00F65829"/>
    <w:rsid w:val="00F65B04"/>
    <w:rsid w:val="00F65DEF"/>
    <w:rsid w:val="00F66934"/>
    <w:rsid w:val="00F66C93"/>
    <w:rsid w:val="00F67AFF"/>
    <w:rsid w:val="00F67DDC"/>
    <w:rsid w:val="00F70236"/>
    <w:rsid w:val="00F705B1"/>
    <w:rsid w:val="00F70679"/>
    <w:rsid w:val="00F7128A"/>
    <w:rsid w:val="00F712A4"/>
    <w:rsid w:val="00F712FB"/>
    <w:rsid w:val="00F71685"/>
    <w:rsid w:val="00F717A3"/>
    <w:rsid w:val="00F71B09"/>
    <w:rsid w:val="00F722A2"/>
    <w:rsid w:val="00F72B4D"/>
    <w:rsid w:val="00F72F51"/>
    <w:rsid w:val="00F72FDE"/>
    <w:rsid w:val="00F73268"/>
    <w:rsid w:val="00F73497"/>
    <w:rsid w:val="00F73BB2"/>
    <w:rsid w:val="00F744E1"/>
    <w:rsid w:val="00F744ED"/>
    <w:rsid w:val="00F745E5"/>
    <w:rsid w:val="00F74B82"/>
    <w:rsid w:val="00F74BA6"/>
    <w:rsid w:val="00F750B5"/>
    <w:rsid w:val="00F75855"/>
    <w:rsid w:val="00F75CAC"/>
    <w:rsid w:val="00F75EBE"/>
    <w:rsid w:val="00F763E7"/>
    <w:rsid w:val="00F7666B"/>
    <w:rsid w:val="00F766F5"/>
    <w:rsid w:val="00F7726B"/>
    <w:rsid w:val="00F773FE"/>
    <w:rsid w:val="00F805E7"/>
    <w:rsid w:val="00F80D6B"/>
    <w:rsid w:val="00F80DF0"/>
    <w:rsid w:val="00F810B4"/>
    <w:rsid w:val="00F814F0"/>
    <w:rsid w:val="00F817C3"/>
    <w:rsid w:val="00F81909"/>
    <w:rsid w:val="00F8208C"/>
    <w:rsid w:val="00F82332"/>
    <w:rsid w:val="00F8237A"/>
    <w:rsid w:val="00F82580"/>
    <w:rsid w:val="00F82C37"/>
    <w:rsid w:val="00F83276"/>
    <w:rsid w:val="00F835B3"/>
    <w:rsid w:val="00F83751"/>
    <w:rsid w:val="00F83871"/>
    <w:rsid w:val="00F83A9B"/>
    <w:rsid w:val="00F83EAA"/>
    <w:rsid w:val="00F84343"/>
    <w:rsid w:val="00F84EE6"/>
    <w:rsid w:val="00F84FAD"/>
    <w:rsid w:val="00F857EE"/>
    <w:rsid w:val="00F85DB2"/>
    <w:rsid w:val="00F85E8E"/>
    <w:rsid w:val="00F863D3"/>
    <w:rsid w:val="00F869D5"/>
    <w:rsid w:val="00F870C2"/>
    <w:rsid w:val="00F87377"/>
    <w:rsid w:val="00F87775"/>
    <w:rsid w:val="00F87B53"/>
    <w:rsid w:val="00F87D45"/>
    <w:rsid w:val="00F9030E"/>
    <w:rsid w:val="00F90A2F"/>
    <w:rsid w:val="00F90C2E"/>
    <w:rsid w:val="00F90F87"/>
    <w:rsid w:val="00F910BA"/>
    <w:rsid w:val="00F910C7"/>
    <w:rsid w:val="00F913F4"/>
    <w:rsid w:val="00F922B9"/>
    <w:rsid w:val="00F929FC"/>
    <w:rsid w:val="00F92D11"/>
    <w:rsid w:val="00F92FA5"/>
    <w:rsid w:val="00F93065"/>
    <w:rsid w:val="00F93268"/>
    <w:rsid w:val="00F9359C"/>
    <w:rsid w:val="00F93D01"/>
    <w:rsid w:val="00F941E4"/>
    <w:rsid w:val="00F94464"/>
    <w:rsid w:val="00F94667"/>
    <w:rsid w:val="00F94CAC"/>
    <w:rsid w:val="00F951A2"/>
    <w:rsid w:val="00F95419"/>
    <w:rsid w:val="00F95D78"/>
    <w:rsid w:val="00F95FCA"/>
    <w:rsid w:val="00F96620"/>
    <w:rsid w:val="00F966F3"/>
    <w:rsid w:val="00F96A5C"/>
    <w:rsid w:val="00F96AAB"/>
    <w:rsid w:val="00F96FAA"/>
    <w:rsid w:val="00F975DA"/>
    <w:rsid w:val="00F97881"/>
    <w:rsid w:val="00F97911"/>
    <w:rsid w:val="00F97B7C"/>
    <w:rsid w:val="00FA04BC"/>
    <w:rsid w:val="00FA06FE"/>
    <w:rsid w:val="00FA166B"/>
    <w:rsid w:val="00FA1A4F"/>
    <w:rsid w:val="00FA2469"/>
    <w:rsid w:val="00FA2DC4"/>
    <w:rsid w:val="00FA344A"/>
    <w:rsid w:val="00FA373D"/>
    <w:rsid w:val="00FA3777"/>
    <w:rsid w:val="00FA3A7D"/>
    <w:rsid w:val="00FA3C3E"/>
    <w:rsid w:val="00FA4281"/>
    <w:rsid w:val="00FA4AB1"/>
    <w:rsid w:val="00FA4E93"/>
    <w:rsid w:val="00FA5211"/>
    <w:rsid w:val="00FA58D4"/>
    <w:rsid w:val="00FA5BCF"/>
    <w:rsid w:val="00FA5C9E"/>
    <w:rsid w:val="00FA64BC"/>
    <w:rsid w:val="00FA674F"/>
    <w:rsid w:val="00FA6889"/>
    <w:rsid w:val="00FA6F93"/>
    <w:rsid w:val="00FA7394"/>
    <w:rsid w:val="00FA7DFD"/>
    <w:rsid w:val="00FB0249"/>
    <w:rsid w:val="00FB0443"/>
    <w:rsid w:val="00FB0991"/>
    <w:rsid w:val="00FB0D99"/>
    <w:rsid w:val="00FB10E1"/>
    <w:rsid w:val="00FB113F"/>
    <w:rsid w:val="00FB1475"/>
    <w:rsid w:val="00FB19FF"/>
    <w:rsid w:val="00FB1A8E"/>
    <w:rsid w:val="00FB226A"/>
    <w:rsid w:val="00FB28DE"/>
    <w:rsid w:val="00FB2A6A"/>
    <w:rsid w:val="00FB2B11"/>
    <w:rsid w:val="00FB3949"/>
    <w:rsid w:val="00FB3FF7"/>
    <w:rsid w:val="00FB4174"/>
    <w:rsid w:val="00FB45BB"/>
    <w:rsid w:val="00FB473A"/>
    <w:rsid w:val="00FB564A"/>
    <w:rsid w:val="00FB5DC9"/>
    <w:rsid w:val="00FB629F"/>
    <w:rsid w:val="00FB6394"/>
    <w:rsid w:val="00FB64AA"/>
    <w:rsid w:val="00FB6A4E"/>
    <w:rsid w:val="00FB6DB3"/>
    <w:rsid w:val="00FB6FF1"/>
    <w:rsid w:val="00FB757A"/>
    <w:rsid w:val="00FB7609"/>
    <w:rsid w:val="00FB7705"/>
    <w:rsid w:val="00FB7AEF"/>
    <w:rsid w:val="00FC019B"/>
    <w:rsid w:val="00FC0396"/>
    <w:rsid w:val="00FC0754"/>
    <w:rsid w:val="00FC091B"/>
    <w:rsid w:val="00FC0AE2"/>
    <w:rsid w:val="00FC0BB2"/>
    <w:rsid w:val="00FC0DF7"/>
    <w:rsid w:val="00FC1BE1"/>
    <w:rsid w:val="00FC1C73"/>
    <w:rsid w:val="00FC2272"/>
    <w:rsid w:val="00FC24CE"/>
    <w:rsid w:val="00FC2527"/>
    <w:rsid w:val="00FC2BB9"/>
    <w:rsid w:val="00FC3082"/>
    <w:rsid w:val="00FC37BC"/>
    <w:rsid w:val="00FC37DA"/>
    <w:rsid w:val="00FC3A0C"/>
    <w:rsid w:val="00FC45DA"/>
    <w:rsid w:val="00FC4634"/>
    <w:rsid w:val="00FC4822"/>
    <w:rsid w:val="00FC5A50"/>
    <w:rsid w:val="00FC5B20"/>
    <w:rsid w:val="00FC67A5"/>
    <w:rsid w:val="00FC69DB"/>
    <w:rsid w:val="00FC6A2A"/>
    <w:rsid w:val="00FC7199"/>
    <w:rsid w:val="00FC7D6A"/>
    <w:rsid w:val="00FC7DCE"/>
    <w:rsid w:val="00FC7DD6"/>
    <w:rsid w:val="00FC7E2B"/>
    <w:rsid w:val="00FD0E61"/>
    <w:rsid w:val="00FD1208"/>
    <w:rsid w:val="00FD1DC9"/>
    <w:rsid w:val="00FD22E5"/>
    <w:rsid w:val="00FD2328"/>
    <w:rsid w:val="00FD2CAF"/>
    <w:rsid w:val="00FD2E69"/>
    <w:rsid w:val="00FD2FAE"/>
    <w:rsid w:val="00FD35C6"/>
    <w:rsid w:val="00FD36DB"/>
    <w:rsid w:val="00FD384D"/>
    <w:rsid w:val="00FD39B7"/>
    <w:rsid w:val="00FD3A76"/>
    <w:rsid w:val="00FD3E55"/>
    <w:rsid w:val="00FD3E5C"/>
    <w:rsid w:val="00FD43CC"/>
    <w:rsid w:val="00FD504D"/>
    <w:rsid w:val="00FD5AB7"/>
    <w:rsid w:val="00FD5AF7"/>
    <w:rsid w:val="00FD65ED"/>
    <w:rsid w:val="00FD787C"/>
    <w:rsid w:val="00FD7F3E"/>
    <w:rsid w:val="00FD7F50"/>
    <w:rsid w:val="00FE0423"/>
    <w:rsid w:val="00FE0466"/>
    <w:rsid w:val="00FE09CF"/>
    <w:rsid w:val="00FE0A4C"/>
    <w:rsid w:val="00FE0DE9"/>
    <w:rsid w:val="00FE1261"/>
    <w:rsid w:val="00FE1344"/>
    <w:rsid w:val="00FE1599"/>
    <w:rsid w:val="00FE1D7D"/>
    <w:rsid w:val="00FE2675"/>
    <w:rsid w:val="00FE3214"/>
    <w:rsid w:val="00FE4168"/>
    <w:rsid w:val="00FE4639"/>
    <w:rsid w:val="00FE48E4"/>
    <w:rsid w:val="00FE5236"/>
    <w:rsid w:val="00FE532A"/>
    <w:rsid w:val="00FE5CF1"/>
    <w:rsid w:val="00FE5EC4"/>
    <w:rsid w:val="00FE60A3"/>
    <w:rsid w:val="00FE60E8"/>
    <w:rsid w:val="00FE6458"/>
    <w:rsid w:val="00FE72C4"/>
    <w:rsid w:val="00FE78C5"/>
    <w:rsid w:val="00FF0138"/>
    <w:rsid w:val="00FF027A"/>
    <w:rsid w:val="00FF0AC4"/>
    <w:rsid w:val="00FF0F3D"/>
    <w:rsid w:val="00FF0F42"/>
    <w:rsid w:val="00FF13EF"/>
    <w:rsid w:val="00FF1516"/>
    <w:rsid w:val="00FF230A"/>
    <w:rsid w:val="00FF27F0"/>
    <w:rsid w:val="00FF2D83"/>
    <w:rsid w:val="00FF2F03"/>
    <w:rsid w:val="00FF3369"/>
    <w:rsid w:val="00FF33C7"/>
    <w:rsid w:val="00FF368D"/>
    <w:rsid w:val="00FF3731"/>
    <w:rsid w:val="00FF375A"/>
    <w:rsid w:val="00FF3949"/>
    <w:rsid w:val="00FF3C5D"/>
    <w:rsid w:val="00FF3C74"/>
    <w:rsid w:val="00FF426E"/>
    <w:rsid w:val="00FF481B"/>
    <w:rsid w:val="00FF4918"/>
    <w:rsid w:val="00FF49C6"/>
    <w:rsid w:val="00FF4B7E"/>
    <w:rsid w:val="00FF4CF2"/>
    <w:rsid w:val="00FF5444"/>
    <w:rsid w:val="00FF54A3"/>
    <w:rsid w:val="00FF54AB"/>
    <w:rsid w:val="00FF5F4F"/>
    <w:rsid w:val="00FF75C0"/>
    <w:rsid w:val="00FF76F7"/>
    <w:rsid w:val="00FF79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40FDD86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1400"/>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E1480C"/>
    <w:pPr>
      <w:numPr>
        <w:numId w:val="50"/>
      </w:numPr>
      <w:suppressAutoHyphens/>
      <w:ind w:left="0" w:firstLine="0"/>
      <w:jc w:val="both"/>
      <w:outlineLvl w:val="0"/>
    </w:pPr>
    <w:rPr>
      <w:rFonts w:ascii="Cambria" w:eastAsiaTheme="majorEastAsia" w:hAnsi="Cambria" w:cstheme="majorBidi"/>
      <w:b/>
      <w:bCs/>
      <w:sz w:val="20"/>
      <w:szCs w:val="20"/>
    </w:rPr>
  </w:style>
  <w:style w:type="paragraph" w:styleId="Heading2">
    <w:name w:val="heading 2"/>
    <w:basedOn w:val="Normal"/>
    <w:next w:val="Normal"/>
    <w:link w:val="Heading2Char"/>
    <w:qFormat/>
    <w:rsid w:val="002977AF"/>
    <w:pPr>
      <w:widowControl w:val="0"/>
      <w:numPr>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hanging="720"/>
      <w:outlineLvl w:val="1"/>
    </w:pPr>
    <w:rPr>
      <w:rFonts w:ascii="Cambria" w:eastAsia="Times New Roman" w:hAnsi="Cambria" w:cs="Arial"/>
      <w:b/>
      <w:bCs/>
      <w:iCs/>
      <w:sz w:val="20"/>
      <w:szCs w:val="20"/>
      <w:bdr w:val="none" w:sz="0" w:space="0" w:color="auto"/>
      <w:lang w:val="es-ES_tradnl"/>
    </w:rPr>
  </w:style>
  <w:style w:type="paragraph" w:styleId="Heading3">
    <w:name w:val="heading 3"/>
    <w:basedOn w:val="Normal"/>
    <w:next w:val="Normal"/>
    <w:link w:val="Heading3Char"/>
    <w:qFormat/>
    <w:rsid w:val="006635F2"/>
    <w:pPr>
      <w:numPr>
        <w:numId w:val="55"/>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outlineLvl w:val="2"/>
    </w:pPr>
    <w:rPr>
      <w:rFonts w:ascii="Cambria" w:eastAsia="Batang" w:hAnsi="Cambria" w:cs="Arial"/>
      <w:b/>
      <w:bCs/>
      <w:sz w:val="20"/>
      <w:szCs w:val="20"/>
      <w:bdr w:val="none" w:sz="0" w:space="0" w:color="auto"/>
      <w:lang w:val="es-PE"/>
    </w:rPr>
  </w:style>
  <w:style w:type="paragraph" w:styleId="Heading4">
    <w:name w:val="heading 4"/>
    <w:basedOn w:val="Normal"/>
    <w:next w:val="Normal"/>
    <w:link w:val="Heading4Char"/>
    <w:uiPriority w:val="9"/>
    <w:unhideWhenUsed/>
    <w:qFormat/>
    <w:rsid w:val="00866072"/>
    <w:pPr>
      <w:numPr>
        <w:ilvl w:val="1"/>
      </w:numPr>
      <w:tabs>
        <w:tab w:val="left" w:pos="284"/>
        <w:tab w:val="left" w:pos="709"/>
      </w:tabs>
      <w:ind w:left="1156" w:firstLine="284"/>
      <w:jc w:val="both"/>
      <w:outlineLvl w:val="3"/>
    </w:pPr>
    <w:rPr>
      <w:rFonts w:ascii="Cambria" w:eastAsiaTheme="majorEastAsia" w:hAnsi="Cambria" w:cstheme="majorBidi"/>
      <w:b/>
      <w:bCs/>
      <w:i/>
      <w:iCs/>
      <w:sz w:val="20"/>
      <w:lang w:val="es-PE"/>
    </w:rPr>
  </w:style>
  <w:style w:type="paragraph" w:styleId="Heading5">
    <w:name w:val="heading 5"/>
    <w:basedOn w:val="Normal"/>
    <w:next w:val="Normal"/>
    <w:link w:val="Heading5Char"/>
    <w:uiPriority w:val="9"/>
    <w:qFormat/>
    <w:rsid w:val="001A2154"/>
    <w:pPr>
      <w:tabs>
        <w:tab w:val="left" w:pos="709"/>
      </w:tabs>
      <w:jc w:val="both"/>
      <w:outlineLvl w:val="4"/>
    </w:pPr>
    <w:rPr>
      <w:rFonts w:ascii="Cambria" w:eastAsia="Times New Roman" w:hAnsi="Cambria"/>
      <w:b/>
      <w:bCs/>
      <w:i/>
      <w:iCs/>
      <w:sz w:val="20"/>
      <w:szCs w:val="26"/>
      <w:bdr w:val="none" w:sz="0" w:space="0" w:color="auto"/>
      <w:lang w:val="es-MX"/>
    </w:rPr>
  </w:style>
  <w:style w:type="paragraph" w:styleId="Heading6">
    <w:name w:val="heading 6"/>
    <w:basedOn w:val="Heading5"/>
    <w:next w:val="Normal"/>
    <w:link w:val="Heading6Char"/>
    <w:uiPriority w:val="9"/>
    <w:qFormat/>
    <w:rsid w:val="00D550AD"/>
    <w:pPr>
      <w:numPr>
        <w:ilvl w:val="4"/>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s>
      <w:outlineLvl w:val="5"/>
    </w:pPr>
    <w:rPr>
      <w:rFonts w:ascii="Verdana" w:hAnsi="Verdana"/>
      <w:b w:val="0"/>
      <w:bCs w:val="0"/>
      <w:i w:val="0"/>
      <w:iCs w:val="0"/>
      <w:spacing w:val="-2"/>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80C"/>
    <w:rPr>
      <w:rFonts w:ascii="Cambria" w:eastAsiaTheme="majorEastAsia" w:hAnsi="Cambria" w:cstheme="majorBidi"/>
      <w:b/>
      <w:bCs/>
      <w:sz w:val="20"/>
      <w:szCs w:val="20"/>
      <w:bdr w:val="nil"/>
    </w:rPr>
  </w:style>
  <w:style w:type="character" w:customStyle="1" w:styleId="Heading2Char">
    <w:name w:val="Heading 2 Char"/>
    <w:basedOn w:val="DefaultParagraphFont"/>
    <w:link w:val="Heading2"/>
    <w:rsid w:val="002977AF"/>
    <w:rPr>
      <w:rFonts w:ascii="Cambria" w:eastAsia="Times New Roman" w:hAnsi="Cambria" w:cs="Arial"/>
      <w:b/>
      <w:bCs/>
      <w:iCs/>
      <w:sz w:val="20"/>
      <w:szCs w:val="20"/>
      <w:lang w:val="es-ES_tradnl"/>
    </w:rPr>
  </w:style>
  <w:style w:type="character" w:customStyle="1" w:styleId="Heading3Char">
    <w:name w:val="Heading 3 Char"/>
    <w:basedOn w:val="DefaultParagraphFont"/>
    <w:link w:val="Heading3"/>
    <w:rsid w:val="006635F2"/>
    <w:rPr>
      <w:rFonts w:ascii="Cambria" w:eastAsia="Batang" w:hAnsi="Cambria" w:cs="Arial"/>
      <w:b/>
      <w:bCs/>
      <w:sz w:val="20"/>
      <w:szCs w:val="20"/>
      <w:lang w:val="es-PE"/>
    </w:rPr>
  </w:style>
  <w:style w:type="character" w:styleId="Hyperlink">
    <w:name w:val="Hyperlink"/>
    <w:uiPriority w:val="99"/>
    <w:rsid w:val="00610A15"/>
    <w:rPr>
      <w:u w:val="single"/>
    </w:rPr>
  </w:style>
  <w:style w:type="paragraph" w:customStyle="1" w:styleId="Cabeceraypie">
    <w:name w:val="Cabecera y pie"/>
    <w:rsid w:val="00610A15"/>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610A15"/>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610A15"/>
    <w:rPr>
      <w:rFonts w:ascii="Cambria" w:eastAsia="Cambria" w:hAnsi="Cambria" w:cs="Cambria"/>
      <w:color w:val="000000"/>
      <w:u w:color="000000"/>
      <w:bdr w:val="nil"/>
      <w:lang w:eastAsia="es-ES"/>
    </w:rPr>
  </w:style>
  <w:style w:type="paragraph" w:customStyle="1" w:styleId="Cuerpo">
    <w:name w:val="Cuerpo"/>
    <w:rsid w:val="00610A15"/>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610A15"/>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610A15"/>
    <w:rPr>
      <w:rFonts w:ascii="Times New Roman" w:eastAsia="Times New Roman" w:hAnsi="Times New Roman" w:cs="Times New Roman"/>
      <w:color w:val="000000"/>
      <w:u w:color="000000"/>
      <w:bdr w:val="nil"/>
      <w:lang w:val="es-ES_tradnl" w:eastAsia="es-ES"/>
    </w:rPr>
  </w:style>
  <w:style w:type="paragraph" w:styleId="ListParagraph">
    <w:name w:val="List Paragraph"/>
    <w:aliases w:val="Párrafo de lista1,List Paragraph1,List Paragraph11,List Paragraph2,Lista vistosa - Énfasis 11"/>
    <w:link w:val="ListParagraphChar"/>
    <w:uiPriority w:val="72"/>
    <w:qFormat/>
    <w:rsid w:val="00517ABA"/>
    <w:pPr>
      <w:pBdr>
        <w:top w:val="nil"/>
        <w:left w:val="nil"/>
        <w:bottom w:val="nil"/>
        <w:right w:val="nil"/>
        <w:between w:val="nil"/>
        <w:bar w:val="nil"/>
      </w:pBdr>
      <w:spacing w:before="120" w:after="120"/>
      <w:jc w:val="both"/>
    </w:pPr>
    <w:rPr>
      <w:rFonts w:ascii="Cambria" w:eastAsia="Cambria" w:hAnsi="Cambria" w:cs="Cambria"/>
      <w:color w:val="000000"/>
      <w:sz w:val="16"/>
      <w:u w:color="000000"/>
      <w:bdr w:val="nil"/>
      <w:lang w:eastAsia="es-ES"/>
    </w:rPr>
  </w:style>
  <w:style w:type="numbering" w:customStyle="1" w:styleId="List0">
    <w:name w:val="List 0"/>
    <w:basedOn w:val="Estiloimportado1"/>
    <w:rsid w:val="00610A15"/>
    <w:pPr>
      <w:numPr>
        <w:numId w:val="31"/>
      </w:numPr>
    </w:pPr>
  </w:style>
  <w:style w:type="numbering" w:customStyle="1" w:styleId="Estiloimportado1">
    <w:name w:val="Estilo importado 1"/>
    <w:rsid w:val="00610A15"/>
  </w:style>
  <w:style w:type="numbering" w:customStyle="1" w:styleId="List1">
    <w:name w:val="List 1"/>
    <w:basedOn w:val="Estiloimportado2"/>
    <w:rsid w:val="00610A15"/>
    <w:pPr>
      <w:numPr>
        <w:numId w:val="1"/>
      </w:numPr>
    </w:pPr>
  </w:style>
  <w:style w:type="numbering" w:customStyle="1" w:styleId="Estiloimportado2">
    <w:name w:val="Estilo importado 2"/>
    <w:rsid w:val="00610A15"/>
  </w:style>
  <w:style w:type="numbering" w:customStyle="1" w:styleId="List21">
    <w:name w:val="List 21"/>
    <w:basedOn w:val="Estiloimportado3"/>
    <w:rsid w:val="00610A15"/>
    <w:pPr>
      <w:numPr>
        <w:numId w:val="38"/>
      </w:numPr>
    </w:pPr>
  </w:style>
  <w:style w:type="numbering" w:customStyle="1" w:styleId="Estiloimportado3">
    <w:name w:val="Estilo importado 3"/>
    <w:rsid w:val="00610A15"/>
  </w:style>
  <w:style w:type="numbering" w:customStyle="1" w:styleId="List31">
    <w:name w:val="List 31"/>
    <w:basedOn w:val="Estiloimportado4"/>
    <w:rsid w:val="00610A15"/>
    <w:pPr>
      <w:numPr>
        <w:numId w:val="44"/>
      </w:numPr>
    </w:pPr>
  </w:style>
  <w:style w:type="numbering" w:customStyle="1" w:styleId="Estiloimportado4">
    <w:name w:val="Estilo importado 4"/>
    <w:rsid w:val="00610A15"/>
  </w:style>
  <w:style w:type="numbering" w:customStyle="1" w:styleId="List41">
    <w:name w:val="List 41"/>
    <w:basedOn w:val="Estiloimportado5"/>
    <w:rsid w:val="00610A15"/>
    <w:pPr>
      <w:numPr>
        <w:numId w:val="2"/>
      </w:numPr>
    </w:pPr>
  </w:style>
  <w:style w:type="numbering" w:customStyle="1" w:styleId="Estiloimportado5">
    <w:name w:val="Estilo importado 5"/>
    <w:rsid w:val="00610A15"/>
  </w:style>
  <w:style w:type="numbering" w:customStyle="1" w:styleId="List51">
    <w:name w:val="List 51"/>
    <w:basedOn w:val="Estiloimportado6"/>
    <w:rsid w:val="00610A15"/>
    <w:pPr>
      <w:numPr>
        <w:numId w:val="33"/>
      </w:numPr>
    </w:pPr>
  </w:style>
  <w:style w:type="numbering" w:customStyle="1" w:styleId="Estiloimportado6">
    <w:name w:val="Estilo importado 6"/>
    <w:rsid w:val="00610A15"/>
  </w:style>
  <w:style w:type="numbering" w:customStyle="1" w:styleId="List6">
    <w:name w:val="List 6"/>
    <w:basedOn w:val="Estiloimportado7"/>
    <w:rsid w:val="00610A15"/>
    <w:pPr>
      <w:numPr>
        <w:numId w:val="3"/>
      </w:numPr>
    </w:pPr>
  </w:style>
  <w:style w:type="numbering" w:customStyle="1" w:styleId="Estiloimportado7">
    <w:name w:val="Estilo importado 7"/>
    <w:rsid w:val="00610A15"/>
  </w:style>
  <w:style w:type="numbering" w:customStyle="1" w:styleId="List7">
    <w:name w:val="List 7"/>
    <w:basedOn w:val="Estiloimportado8"/>
    <w:rsid w:val="00610A15"/>
    <w:pPr>
      <w:numPr>
        <w:numId w:val="4"/>
      </w:numPr>
    </w:pPr>
  </w:style>
  <w:style w:type="numbering" w:customStyle="1" w:styleId="Estiloimportado8">
    <w:name w:val="Estilo importado 8"/>
    <w:rsid w:val="00610A15"/>
  </w:style>
  <w:style w:type="numbering" w:customStyle="1" w:styleId="List8">
    <w:name w:val="List 8"/>
    <w:basedOn w:val="Estiloimportado9"/>
    <w:rsid w:val="00610A15"/>
    <w:pPr>
      <w:numPr>
        <w:numId w:val="5"/>
      </w:numPr>
    </w:pPr>
  </w:style>
  <w:style w:type="numbering" w:customStyle="1" w:styleId="Estiloimportado9">
    <w:name w:val="Estilo importado 9"/>
    <w:rsid w:val="00610A15"/>
  </w:style>
  <w:style w:type="numbering" w:customStyle="1" w:styleId="List9">
    <w:name w:val="List 9"/>
    <w:basedOn w:val="Estiloimportado10"/>
    <w:rsid w:val="00610A15"/>
    <w:pPr>
      <w:numPr>
        <w:numId w:val="22"/>
      </w:numPr>
    </w:pPr>
  </w:style>
  <w:style w:type="numbering" w:customStyle="1" w:styleId="Estiloimportado10">
    <w:name w:val="Estilo importado 10"/>
    <w:rsid w:val="00610A15"/>
  </w:style>
  <w:style w:type="numbering" w:customStyle="1" w:styleId="List10">
    <w:name w:val="List 10"/>
    <w:basedOn w:val="Estiloimportado11"/>
    <w:rsid w:val="00610A15"/>
    <w:pPr>
      <w:numPr>
        <w:numId w:val="6"/>
      </w:numPr>
    </w:pPr>
  </w:style>
  <w:style w:type="numbering" w:customStyle="1" w:styleId="Estiloimportado11">
    <w:name w:val="Estilo importado 11"/>
    <w:rsid w:val="00610A15"/>
  </w:style>
  <w:style w:type="numbering" w:customStyle="1" w:styleId="List11">
    <w:name w:val="List 11"/>
    <w:basedOn w:val="Estiloimportado12"/>
    <w:rsid w:val="00610A15"/>
    <w:pPr>
      <w:numPr>
        <w:numId w:val="7"/>
      </w:numPr>
    </w:pPr>
  </w:style>
  <w:style w:type="numbering" w:customStyle="1" w:styleId="Estiloimportado12">
    <w:name w:val="Estilo importado 12"/>
    <w:rsid w:val="00610A15"/>
  </w:style>
  <w:style w:type="numbering" w:customStyle="1" w:styleId="List12">
    <w:name w:val="List 12"/>
    <w:basedOn w:val="Estiloimportado13"/>
    <w:rsid w:val="00610A15"/>
    <w:pPr>
      <w:numPr>
        <w:numId w:val="36"/>
      </w:numPr>
    </w:pPr>
  </w:style>
  <w:style w:type="numbering" w:customStyle="1" w:styleId="Estiloimportado13">
    <w:name w:val="Estilo importado 13"/>
    <w:rsid w:val="00610A15"/>
  </w:style>
  <w:style w:type="numbering" w:customStyle="1" w:styleId="List13">
    <w:name w:val="List 13"/>
    <w:basedOn w:val="Estiloimportado14"/>
    <w:rsid w:val="00610A15"/>
    <w:pPr>
      <w:numPr>
        <w:numId w:val="42"/>
      </w:numPr>
    </w:pPr>
  </w:style>
  <w:style w:type="numbering" w:customStyle="1" w:styleId="Estiloimportado14">
    <w:name w:val="Estilo importado 14"/>
    <w:rsid w:val="00610A15"/>
  </w:style>
  <w:style w:type="numbering" w:customStyle="1" w:styleId="List14">
    <w:name w:val="List 14"/>
    <w:basedOn w:val="Estiloimportado15"/>
    <w:rsid w:val="00610A15"/>
    <w:pPr>
      <w:numPr>
        <w:numId w:val="17"/>
      </w:numPr>
    </w:pPr>
  </w:style>
  <w:style w:type="numbering" w:customStyle="1" w:styleId="Estiloimportado15">
    <w:name w:val="Estilo importado 15"/>
    <w:rsid w:val="00610A15"/>
  </w:style>
  <w:style w:type="numbering" w:customStyle="1" w:styleId="List15">
    <w:name w:val="List 15"/>
    <w:basedOn w:val="Estiloimportado16"/>
    <w:rsid w:val="00610A15"/>
    <w:pPr>
      <w:numPr>
        <w:numId w:val="16"/>
      </w:numPr>
    </w:pPr>
  </w:style>
  <w:style w:type="numbering" w:customStyle="1" w:styleId="Estiloimportado16">
    <w:name w:val="Estilo importado 16"/>
    <w:rsid w:val="00610A15"/>
  </w:style>
  <w:style w:type="numbering" w:customStyle="1" w:styleId="List16">
    <w:name w:val="List 16"/>
    <w:basedOn w:val="Estiloimportado16"/>
    <w:rsid w:val="00610A15"/>
    <w:pPr>
      <w:numPr>
        <w:numId w:val="10"/>
      </w:numPr>
    </w:pPr>
  </w:style>
  <w:style w:type="numbering" w:customStyle="1" w:styleId="List17">
    <w:name w:val="List 17"/>
    <w:basedOn w:val="Estiloimportado17"/>
    <w:rsid w:val="00610A15"/>
    <w:pPr>
      <w:numPr>
        <w:numId w:val="25"/>
      </w:numPr>
    </w:pPr>
  </w:style>
  <w:style w:type="numbering" w:customStyle="1" w:styleId="Estiloimportado17">
    <w:name w:val="Estilo importado 17"/>
    <w:rsid w:val="00610A15"/>
  </w:style>
  <w:style w:type="numbering" w:customStyle="1" w:styleId="List18">
    <w:name w:val="List 18"/>
    <w:basedOn w:val="Estiloimportado18"/>
    <w:rsid w:val="00610A15"/>
    <w:pPr>
      <w:numPr>
        <w:numId w:val="27"/>
      </w:numPr>
    </w:pPr>
  </w:style>
  <w:style w:type="numbering" w:customStyle="1" w:styleId="Estiloimportado18">
    <w:name w:val="Estilo importado 18"/>
    <w:rsid w:val="00610A15"/>
  </w:style>
  <w:style w:type="numbering" w:customStyle="1" w:styleId="List19">
    <w:name w:val="List 19"/>
    <w:basedOn w:val="Estiloimportado10"/>
    <w:rsid w:val="00610A15"/>
    <w:pPr>
      <w:numPr>
        <w:numId w:val="19"/>
      </w:numPr>
    </w:pPr>
  </w:style>
  <w:style w:type="numbering" w:customStyle="1" w:styleId="List20">
    <w:name w:val="List 20"/>
    <w:basedOn w:val="Estiloimportado12"/>
    <w:rsid w:val="00610A15"/>
    <w:pPr>
      <w:numPr>
        <w:numId w:val="43"/>
      </w:numPr>
    </w:pPr>
  </w:style>
  <w:style w:type="numbering" w:customStyle="1" w:styleId="Estiloimportado19">
    <w:name w:val="Estilo importado 19"/>
    <w:rsid w:val="00610A15"/>
  </w:style>
  <w:style w:type="numbering" w:customStyle="1" w:styleId="List22">
    <w:name w:val="List 22"/>
    <w:basedOn w:val="Estiloimportado19"/>
    <w:rsid w:val="00610A15"/>
    <w:pPr>
      <w:numPr>
        <w:numId w:val="28"/>
      </w:numPr>
    </w:pPr>
  </w:style>
  <w:style w:type="numbering" w:customStyle="1" w:styleId="List23">
    <w:name w:val="List 23"/>
    <w:basedOn w:val="Estiloimportado19"/>
    <w:rsid w:val="00610A15"/>
    <w:pPr>
      <w:numPr>
        <w:numId w:val="18"/>
      </w:numPr>
    </w:pPr>
  </w:style>
  <w:style w:type="numbering" w:customStyle="1" w:styleId="List24">
    <w:name w:val="List 24"/>
    <w:basedOn w:val="Estiloimportado20"/>
    <w:rsid w:val="00610A15"/>
    <w:pPr>
      <w:numPr>
        <w:numId w:val="13"/>
      </w:numPr>
    </w:pPr>
  </w:style>
  <w:style w:type="numbering" w:customStyle="1" w:styleId="Estiloimportado20">
    <w:name w:val="Estilo importado 20"/>
    <w:rsid w:val="00610A15"/>
  </w:style>
  <w:style w:type="numbering" w:customStyle="1" w:styleId="List25">
    <w:name w:val="List 25"/>
    <w:basedOn w:val="Estiloimportado21"/>
    <w:rsid w:val="00610A15"/>
    <w:pPr>
      <w:numPr>
        <w:numId w:val="15"/>
      </w:numPr>
    </w:pPr>
  </w:style>
  <w:style w:type="numbering" w:customStyle="1" w:styleId="Estiloimportado21">
    <w:name w:val="Estilo importado 21"/>
    <w:rsid w:val="00610A15"/>
  </w:style>
  <w:style w:type="numbering" w:customStyle="1" w:styleId="List26">
    <w:name w:val="List 26"/>
    <w:basedOn w:val="Estiloimportado22"/>
    <w:rsid w:val="00610A15"/>
    <w:pPr>
      <w:numPr>
        <w:numId w:val="48"/>
      </w:numPr>
    </w:pPr>
  </w:style>
  <w:style w:type="numbering" w:customStyle="1" w:styleId="Estiloimportado22">
    <w:name w:val="Estilo importado 22"/>
    <w:rsid w:val="00610A15"/>
  </w:style>
  <w:style w:type="numbering" w:customStyle="1" w:styleId="List27">
    <w:name w:val="List 27"/>
    <w:basedOn w:val="Estiloimportado23"/>
    <w:rsid w:val="00610A15"/>
    <w:pPr>
      <w:numPr>
        <w:numId w:val="41"/>
      </w:numPr>
    </w:pPr>
  </w:style>
  <w:style w:type="numbering" w:customStyle="1" w:styleId="Estiloimportado23">
    <w:name w:val="Estilo importado 23"/>
    <w:rsid w:val="00610A15"/>
  </w:style>
  <w:style w:type="numbering" w:customStyle="1" w:styleId="List28">
    <w:name w:val="List 28"/>
    <w:basedOn w:val="Estiloimportado24"/>
    <w:rsid w:val="00610A15"/>
    <w:pPr>
      <w:numPr>
        <w:numId w:val="30"/>
      </w:numPr>
    </w:pPr>
  </w:style>
  <w:style w:type="numbering" w:customStyle="1" w:styleId="Estiloimportado24">
    <w:name w:val="Estilo importado 24"/>
    <w:rsid w:val="00610A15"/>
  </w:style>
  <w:style w:type="numbering" w:customStyle="1" w:styleId="List29">
    <w:name w:val="List 29"/>
    <w:basedOn w:val="Estiloimportado25"/>
    <w:rsid w:val="00610A15"/>
    <w:pPr>
      <w:numPr>
        <w:numId w:val="34"/>
      </w:numPr>
    </w:pPr>
  </w:style>
  <w:style w:type="numbering" w:customStyle="1" w:styleId="Estiloimportado25">
    <w:name w:val="Estilo importado 25"/>
    <w:rsid w:val="00610A15"/>
  </w:style>
  <w:style w:type="numbering" w:customStyle="1" w:styleId="List30">
    <w:name w:val="List 30"/>
    <w:basedOn w:val="Estiloimportado26"/>
    <w:rsid w:val="00610A15"/>
    <w:pPr>
      <w:numPr>
        <w:numId w:val="32"/>
      </w:numPr>
    </w:pPr>
  </w:style>
  <w:style w:type="numbering" w:customStyle="1" w:styleId="Estiloimportado26">
    <w:name w:val="Estilo importado 26"/>
    <w:rsid w:val="00610A15"/>
  </w:style>
  <w:style w:type="numbering" w:customStyle="1" w:styleId="Estiloimportado27">
    <w:name w:val="Estilo importado 27"/>
    <w:rsid w:val="00610A15"/>
  </w:style>
  <w:style w:type="numbering" w:customStyle="1" w:styleId="List32">
    <w:name w:val="List 32"/>
    <w:basedOn w:val="Estiloimportado28"/>
    <w:rsid w:val="00610A15"/>
    <w:pPr>
      <w:numPr>
        <w:numId w:val="47"/>
      </w:numPr>
    </w:pPr>
  </w:style>
  <w:style w:type="numbering" w:customStyle="1" w:styleId="Estiloimportado28">
    <w:name w:val="Estilo importado 28"/>
    <w:rsid w:val="00610A15"/>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610A15"/>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qFormat/>
    <w:rsid w:val="00610A15"/>
    <w:rPr>
      <w:rFonts w:ascii="Calibri" w:eastAsia="Calibri" w:hAnsi="Calibri" w:cs="Calibri"/>
      <w:color w:val="000000"/>
      <w:sz w:val="20"/>
      <w:szCs w:val="20"/>
      <w:u w:color="000000"/>
      <w:bdr w:val="nil"/>
      <w:lang w:eastAsia="es-ES"/>
    </w:rPr>
  </w:style>
  <w:style w:type="numbering" w:customStyle="1" w:styleId="List33">
    <w:name w:val="List 33"/>
    <w:basedOn w:val="Estiloimportado29"/>
    <w:rsid w:val="00610A15"/>
    <w:pPr>
      <w:numPr>
        <w:numId w:val="26"/>
      </w:numPr>
    </w:pPr>
  </w:style>
  <w:style w:type="numbering" w:customStyle="1" w:styleId="Estiloimportado29">
    <w:name w:val="Estilo importado 29"/>
    <w:rsid w:val="00610A15"/>
  </w:style>
  <w:style w:type="numbering" w:customStyle="1" w:styleId="List34">
    <w:name w:val="List 34"/>
    <w:basedOn w:val="Estiloimportado30"/>
    <w:rsid w:val="00610A15"/>
    <w:pPr>
      <w:numPr>
        <w:numId w:val="11"/>
      </w:numPr>
    </w:pPr>
  </w:style>
  <w:style w:type="numbering" w:customStyle="1" w:styleId="Estiloimportado30">
    <w:name w:val="Estilo importado 30"/>
    <w:rsid w:val="00610A15"/>
  </w:style>
  <w:style w:type="numbering" w:customStyle="1" w:styleId="List35">
    <w:name w:val="List 35"/>
    <w:basedOn w:val="Estiloimportado31"/>
    <w:rsid w:val="00610A15"/>
    <w:pPr>
      <w:numPr>
        <w:numId w:val="8"/>
      </w:numPr>
    </w:pPr>
  </w:style>
  <w:style w:type="numbering" w:customStyle="1" w:styleId="Estiloimportado31">
    <w:name w:val="Estilo importado 31"/>
    <w:rsid w:val="00610A15"/>
  </w:style>
  <w:style w:type="numbering" w:customStyle="1" w:styleId="List36">
    <w:name w:val="List 36"/>
    <w:basedOn w:val="Estiloimportado32"/>
    <w:rsid w:val="00610A15"/>
    <w:pPr>
      <w:numPr>
        <w:numId w:val="14"/>
      </w:numPr>
    </w:pPr>
  </w:style>
  <w:style w:type="numbering" w:customStyle="1" w:styleId="Estiloimportado32">
    <w:name w:val="Estilo importado 32"/>
    <w:rsid w:val="00610A15"/>
  </w:style>
  <w:style w:type="numbering" w:customStyle="1" w:styleId="List37">
    <w:name w:val="List 37"/>
    <w:basedOn w:val="Estiloimportado33"/>
    <w:rsid w:val="00610A15"/>
    <w:pPr>
      <w:numPr>
        <w:numId w:val="46"/>
      </w:numPr>
    </w:pPr>
  </w:style>
  <w:style w:type="numbering" w:customStyle="1" w:styleId="Estiloimportado33">
    <w:name w:val="Estilo importado 33"/>
    <w:rsid w:val="00610A15"/>
  </w:style>
  <w:style w:type="numbering" w:customStyle="1" w:styleId="List38">
    <w:name w:val="List 38"/>
    <w:basedOn w:val="Estiloimportado34"/>
    <w:rsid w:val="00610A15"/>
    <w:pPr>
      <w:numPr>
        <w:numId w:val="35"/>
      </w:numPr>
    </w:pPr>
  </w:style>
  <w:style w:type="numbering" w:customStyle="1" w:styleId="Estiloimportado34">
    <w:name w:val="Estilo importado 34"/>
    <w:rsid w:val="00610A15"/>
  </w:style>
  <w:style w:type="numbering" w:customStyle="1" w:styleId="List39">
    <w:name w:val="List 39"/>
    <w:basedOn w:val="Estiloimportado35"/>
    <w:rsid w:val="00610A15"/>
    <w:pPr>
      <w:numPr>
        <w:numId w:val="45"/>
      </w:numPr>
    </w:pPr>
  </w:style>
  <w:style w:type="numbering" w:customStyle="1" w:styleId="Estiloimportado35">
    <w:name w:val="Estilo importado 35"/>
    <w:rsid w:val="00610A15"/>
  </w:style>
  <w:style w:type="numbering" w:customStyle="1" w:styleId="List40">
    <w:name w:val="List 40"/>
    <w:basedOn w:val="Estiloimportado36"/>
    <w:rsid w:val="00610A15"/>
    <w:pPr>
      <w:numPr>
        <w:numId w:val="21"/>
      </w:numPr>
    </w:pPr>
  </w:style>
  <w:style w:type="numbering" w:customStyle="1" w:styleId="Estiloimportado36">
    <w:name w:val="Estilo importado 36"/>
    <w:rsid w:val="00610A15"/>
  </w:style>
  <w:style w:type="numbering" w:customStyle="1" w:styleId="Estiloimportado37">
    <w:name w:val="Estilo importado 37"/>
    <w:rsid w:val="00610A15"/>
  </w:style>
  <w:style w:type="numbering" w:customStyle="1" w:styleId="List42">
    <w:name w:val="List 42"/>
    <w:basedOn w:val="Estiloimportado12"/>
    <w:rsid w:val="00610A15"/>
    <w:pPr>
      <w:numPr>
        <w:numId w:val="12"/>
      </w:numPr>
    </w:pPr>
  </w:style>
  <w:style w:type="numbering" w:customStyle="1" w:styleId="List43">
    <w:name w:val="List 43"/>
    <w:basedOn w:val="Estiloimportado38"/>
    <w:rsid w:val="00610A15"/>
    <w:pPr>
      <w:numPr>
        <w:numId w:val="23"/>
      </w:numPr>
    </w:pPr>
  </w:style>
  <w:style w:type="numbering" w:customStyle="1" w:styleId="Estiloimportado38">
    <w:name w:val="Estilo importado 38"/>
    <w:rsid w:val="00610A15"/>
  </w:style>
  <w:style w:type="numbering" w:customStyle="1" w:styleId="List44">
    <w:name w:val="List 44"/>
    <w:basedOn w:val="Estiloimportado39"/>
    <w:rsid w:val="00610A15"/>
    <w:pPr>
      <w:numPr>
        <w:numId w:val="40"/>
      </w:numPr>
    </w:pPr>
  </w:style>
  <w:style w:type="numbering" w:customStyle="1" w:styleId="Estiloimportado39">
    <w:name w:val="Estilo importado 39"/>
    <w:rsid w:val="00610A15"/>
  </w:style>
  <w:style w:type="numbering" w:customStyle="1" w:styleId="List45">
    <w:name w:val="List 45"/>
    <w:basedOn w:val="Estiloimportado40"/>
    <w:rsid w:val="00610A15"/>
    <w:pPr>
      <w:numPr>
        <w:numId w:val="20"/>
      </w:numPr>
    </w:pPr>
  </w:style>
  <w:style w:type="numbering" w:customStyle="1" w:styleId="Estiloimportado40">
    <w:name w:val="Estilo importado 40"/>
    <w:rsid w:val="00610A15"/>
  </w:style>
  <w:style w:type="numbering" w:customStyle="1" w:styleId="List46">
    <w:name w:val="List 46"/>
    <w:basedOn w:val="Estiloimportado41"/>
    <w:rsid w:val="00610A15"/>
    <w:pPr>
      <w:numPr>
        <w:numId w:val="24"/>
      </w:numPr>
    </w:pPr>
  </w:style>
  <w:style w:type="numbering" w:customStyle="1" w:styleId="Estiloimportado41">
    <w:name w:val="Estilo importado 41"/>
    <w:rsid w:val="00610A15"/>
  </w:style>
  <w:style w:type="numbering" w:customStyle="1" w:styleId="List47">
    <w:name w:val="List 47"/>
    <w:basedOn w:val="Estiloimportado42"/>
    <w:rsid w:val="00610A15"/>
    <w:pPr>
      <w:numPr>
        <w:numId w:val="29"/>
      </w:numPr>
    </w:pPr>
  </w:style>
  <w:style w:type="numbering" w:customStyle="1" w:styleId="Estiloimportado42">
    <w:name w:val="Estilo importado 42"/>
    <w:rsid w:val="00610A15"/>
  </w:style>
  <w:style w:type="numbering" w:customStyle="1" w:styleId="List48">
    <w:name w:val="List 48"/>
    <w:basedOn w:val="Estiloimportado43"/>
    <w:rsid w:val="00610A15"/>
    <w:pPr>
      <w:numPr>
        <w:numId w:val="49"/>
      </w:numPr>
    </w:pPr>
  </w:style>
  <w:style w:type="numbering" w:customStyle="1" w:styleId="Estiloimportado43">
    <w:name w:val="Estilo importado 43"/>
    <w:rsid w:val="00610A15"/>
  </w:style>
  <w:style w:type="numbering" w:customStyle="1" w:styleId="List49">
    <w:name w:val="List 49"/>
    <w:basedOn w:val="Estiloimportado44"/>
    <w:rsid w:val="00610A15"/>
    <w:pPr>
      <w:numPr>
        <w:numId w:val="39"/>
      </w:numPr>
    </w:pPr>
  </w:style>
  <w:style w:type="numbering" w:customStyle="1" w:styleId="Estiloimportado44">
    <w:name w:val="Estilo importado 44"/>
    <w:rsid w:val="00610A15"/>
  </w:style>
  <w:style w:type="numbering" w:customStyle="1" w:styleId="List50">
    <w:name w:val="List 50"/>
    <w:basedOn w:val="Estiloimportado45"/>
    <w:rsid w:val="00610A15"/>
    <w:pPr>
      <w:numPr>
        <w:numId w:val="37"/>
      </w:numPr>
    </w:pPr>
  </w:style>
  <w:style w:type="numbering" w:customStyle="1" w:styleId="Estiloimportado45">
    <w:name w:val="Estilo importado 45"/>
    <w:rsid w:val="00610A15"/>
  </w:style>
  <w:style w:type="numbering" w:customStyle="1" w:styleId="Estiloimportado46">
    <w:name w:val="Estilo importado 46"/>
    <w:rsid w:val="00610A15"/>
  </w:style>
  <w:style w:type="numbering" w:customStyle="1" w:styleId="List52">
    <w:name w:val="List 52"/>
    <w:basedOn w:val="Estiloimportado1"/>
    <w:rsid w:val="00610A15"/>
    <w:pPr>
      <w:numPr>
        <w:numId w:val="9"/>
      </w:numPr>
    </w:pPr>
  </w:style>
  <w:style w:type="paragraph" w:styleId="BalloonText">
    <w:name w:val="Balloon Text"/>
    <w:basedOn w:val="Normal"/>
    <w:link w:val="BalloonTextChar"/>
    <w:uiPriority w:val="99"/>
    <w:semiHidden/>
    <w:unhideWhenUsed/>
    <w:rsid w:val="00610A15"/>
    <w:rPr>
      <w:rFonts w:ascii="Tahoma" w:hAnsi="Tahoma" w:cs="Tahoma"/>
      <w:sz w:val="16"/>
      <w:szCs w:val="16"/>
    </w:rPr>
  </w:style>
  <w:style w:type="character" w:customStyle="1" w:styleId="BalloonTextChar">
    <w:name w:val="Balloon Text Char"/>
    <w:basedOn w:val="DefaultParagraphFont"/>
    <w:link w:val="BalloonText"/>
    <w:uiPriority w:val="99"/>
    <w:semiHidden/>
    <w:rsid w:val="00610A15"/>
    <w:rPr>
      <w:rFonts w:ascii="Tahoma" w:eastAsia="Arial Unicode MS" w:hAnsi="Tahoma" w:cs="Tahoma"/>
      <w:sz w:val="16"/>
      <w:szCs w:val="16"/>
      <w:bdr w:val="nil"/>
    </w:rPr>
  </w:style>
  <w:style w:type="paragraph" w:styleId="Header">
    <w:name w:val="header"/>
    <w:aliases w:val="encabezado"/>
    <w:basedOn w:val="Normal"/>
    <w:link w:val="HeaderChar"/>
    <w:rsid w:val="00610A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610A15"/>
    <w:rPr>
      <w:rFonts w:ascii="Univers" w:eastAsia="Times New Roman" w:hAnsi="Univers" w:cs="Univers"/>
    </w:rPr>
  </w:style>
  <w:style w:type="table" w:styleId="MediumShading1-Accent1">
    <w:name w:val="Medium Shading 1 Accent 1"/>
    <w:basedOn w:val="TableNormal"/>
    <w:uiPriority w:val="63"/>
    <w:rsid w:val="00610A15"/>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B6518A"/>
    <w:pPr>
      <w:tabs>
        <w:tab w:val="left" w:pos="1440"/>
        <w:tab w:val="right" w:leader="dot" w:pos="9350"/>
      </w:tabs>
      <w:spacing w:after="100"/>
      <w:ind w:left="1440" w:hanging="720"/>
      <w:jc w:val="both"/>
    </w:pPr>
    <w:rPr>
      <w:rFonts w:ascii="Cambria" w:eastAsia="Cambria" w:hAnsi="Cambria"/>
      <w:noProof/>
      <w:sz w:val="20"/>
      <w:szCs w:val="20"/>
      <w:u w:color="000000"/>
      <w:lang w:val="es-ES_tradnl" w:eastAsia="es-ES"/>
    </w:rPr>
  </w:style>
  <w:style w:type="paragraph" w:styleId="TOC1">
    <w:name w:val="toc 1"/>
    <w:basedOn w:val="Normal"/>
    <w:next w:val="Normal"/>
    <w:autoRedefine/>
    <w:uiPriority w:val="39"/>
    <w:unhideWhenUsed/>
    <w:rsid w:val="00761A05"/>
    <w:pPr>
      <w:tabs>
        <w:tab w:val="left" w:pos="1440"/>
        <w:tab w:val="right" w:leader="dot" w:pos="9350"/>
      </w:tabs>
      <w:spacing w:after="100"/>
    </w:pPr>
    <w:rPr>
      <w:rFonts w:ascii="Cambria" w:eastAsia="Yu Gothic Light" w:hAnsi="Cambria"/>
      <w:b/>
      <w:bCs/>
      <w:noProof/>
      <w:sz w:val="20"/>
      <w:szCs w:val="20"/>
      <w:lang w:val="es-VE"/>
    </w:rPr>
  </w:style>
  <w:style w:type="paragraph" w:styleId="TOC3">
    <w:name w:val="toc 3"/>
    <w:basedOn w:val="Normal"/>
    <w:next w:val="Normal"/>
    <w:autoRedefine/>
    <w:uiPriority w:val="39"/>
    <w:unhideWhenUsed/>
    <w:rsid w:val="00610A1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610A15"/>
    <w:pPr>
      <w:spacing w:after="100"/>
      <w:ind w:left="720"/>
    </w:pPr>
  </w:style>
  <w:style w:type="character" w:styleId="PageNumber">
    <w:name w:val="page number"/>
    <w:basedOn w:val="DefaultParagraphFont"/>
    <w:rsid w:val="00610A15"/>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basedOn w:val="DefaultParagraphFont"/>
    <w:link w:val="1"/>
    <w:unhideWhenUsed/>
    <w:qFormat/>
    <w:rsid w:val="00610A15"/>
    <w:rPr>
      <w:vertAlign w:val="superscript"/>
    </w:rPr>
  </w:style>
  <w:style w:type="paragraph" w:styleId="BodyTextIndent2">
    <w:name w:val="Body Text Indent 2"/>
    <w:basedOn w:val="Normal"/>
    <w:link w:val="BodyTextIndent2Char"/>
    <w:uiPriority w:val="99"/>
    <w:semiHidden/>
    <w:unhideWhenUsed/>
    <w:rsid w:val="00610A15"/>
    <w:pPr>
      <w:spacing w:after="120" w:line="480" w:lineRule="auto"/>
      <w:ind w:left="360"/>
    </w:pPr>
  </w:style>
  <w:style w:type="character" w:customStyle="1" w:styleId="BodyTextIndent2Char">
    <w:name w:val="Body Text Indent 2 Char"/>
    <w:basedOn w:val="DefaultParagraphFont"/>
    <w:link w:val="BodyTextIndent2"/>
    <w:uiPriority w:val="99"/>
    <w:semiHidden/>
    <w:rsid w:val="00610A15"/>
    <w:rPr>
      <w:rFonts w:ascii="Times New Roman" w:eastAsia="Arial Unicode MS" w:hAnsi="Times New Roman" w:cs="Times New Roman"/>
      <w:bdr w:val="nil"/>
    </w:rPr>
  </w:style>
  <w:style w:type="paragraph" w:styleId="BodyText">
    <w:name w:val="Body Text"/>
    <w:basedOn w:val="Normal"/>
    <w:link w:val="BodyTextChar"/>
    <w:uiPriority w:val="99"/>
    <w:semiHidden/>
    <w:unhideWhenUsed/>
    <w:rsid w:val="00610A15"/>
    <w:pPr>
      <w:spacing w:after="120"/>
    </w:pPr>
  </w:style>
  <w:style w:type="character" w:customStyle="1" w:styleId="BodyTextChar">
    <w:name w:val="Body Text Char"/>
    <w:basedOn w:val="DefaultParagraphFont"/>
    <w:link w:val="BodyText"/>
    <w:uiPriority w:val="99"/>
    <w:semiHidden/>
    <w:rsid w:val="00610A15"/>
    <w:rPr>
      <w:rFonts w:ascii="Times New Roman" w:eastAsia="Arial Unicode MS" w:hAnsi="Times New Roman" w:cs="Times New Roman"/>
      <w:bdr w:val="nil"/>
    </w:rPr>
  </w:style>
  <w:style w:type="paragraph" w:customStyle="1" w:styleId="Default">
    <w:name w:val="Default"/>
    <w:link w:val="DefaultChar"/>
    <w:rsid w:val="00610A15"/>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uiPriority w:val="99"/>
    <w:rsid w:val="00610A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uiPriority w:val="99"/>
    <w:rsid w:val="00610A15"/>
    <w:rPr>
      <w:rFonts w:ascii="Times New Roman" w:eastAsia="Times New Roman" w:hAnsi="Times New Roman" w:cs="Times New Roman"/>
    </w:rPr>
  </w:style>
  <w:style w:type="character" w:customStyle="1" w:styleId="DefaultChar">
    <w:name w:val="Default Char"/>
    <w:link w:val="Default"/>
    <w:rsid w:val="00610A15"/>
    <w:rPr>
      <w:rFonts w:ascii="Times New Roman" w:eastAsia="Times New Roman" w:hAnsi="Times New Roman" w:cs="Times New Roman"/>
      <w:color w:val="000000"/>
    </w:rPr>
  </w:style>
  <w:style w:type="paragraph" w:styleId="TOCHeading">
    <w:name w:val="TOC Heading"/>
    <w:basedOn w:val="Heading1"/>
    <w:next w:val="Normal"/>
    <w:uiPriority w:val="39"/>
    <w:unhideWhenUsed/>
    <w:qFormat/>
    <w:rsid w:val="00610A15"/>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customStyle="1" w:styleId="ListParagraphChar">
    <w:name w:val="List Paragraph Char"/>
    <w:aliases w:val="Párrafo de lista1 Char,List Paragraph1 Char,List Paragraph11 Char,List Paragraph2 Char,Lista vistosa - Énfasis 11 Char"/>
    <w:link w:val="ListParagraph"/>
    <w:uiPriority w:val="72"/>
    <w:locked/>
    <w:rsid w:val="00517ABA"/>
    <w:rPr>
      <w:rFonts w:ascii="Cambria" w:eastAsia="Cambria" w:hAnsi="Cambria" w:cs="Cambria"/>
      <w:color w:val="000000"/>
      <w:sz w:val="16"/>
      <w:u w:color="000000"/>
      <w:bdr w:val="nil"/>
      <w:lang w:eastAsia="es-ES"/>
    </w:rPr>
  </w:style>
  <w:style w:type="character" w:styleId="Strong">
    <w:name w:val="Strong"/>
    <w:uiPriority w:val="22"/>
    <w:qFormat/>
    <w:rsid w:val="00610A15"/>
    <w:rPr>
      <w:b/>
      <w:bCs/>
    </w:rPr>
  </w:style>
  <w:style w:type="paragraph" w:customStyle="1" w:styleId="ColorfulList-Accent11">
    <w:name w:val="Colorful List - Accent 11"/>
    <w:link w:val="ColorfulList-Accent1Char"/>
    <w:uiPriority w:val="34"/>
    <w:qFormat/>
    <w:rsid w:val="00610A15"/>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ColorfulList-Accent1Char">
    <w:name w:val="Colorful List - Accent 1 Char"/>
    <w:link w:val="ColorfulList-Accent11"/>
    <w:uiPriority w:val="34"/>
    <w:locked/>
    <w:rsid w:val="00610A15"/>
    <w:rPr>
      <w:rFonts w:ascii="Cambria" w:eastAsia="Cambria" w:hAnsi="Cambria" w:cs="Cambria"/>
      <w:color w:val="000000"/>
      <w:u w:color="000000"/>
      <w:bdr w:val="nil"/>
      <w:lang w:eastAsia="es-ES"/>
    </w:rPr>
  </w:style>
  <w:style w:type="character" w:customStyle="1" w:styleId="apple-style-span">
    <w:name w:val="apple-style-span"/>
    <w:rsid w:val="00610A15"/>
  </w:style>
  <w:style w:type="paragraph" w:customStyle="1" w:styleId="1">
    <w:name w:val="1"/>
    <w:basedOn w:val="Normal"/>
    <w:link w:val="FootnoteReference"/>
    <w:uiPriority w:val="99"/>
    <w:rsid w:val="00610A1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customStyle="1" w:styleId="apple-converted-space">
    <w:name w:val="apple-converted-space"/>
    <w:basedOn w:val="DefaultParagraphFont"/>
    <w:rsid w:val="00610A15"/>
  </w:style>
  <w:style w:type="character" w:styleId="CommentReference">
    <w:name w:val="annotation reference"/>
    <w:basedOn w:val="DefaultParagraphFont"/>
    <w:uiPriority w:val="99"/>
    <w:semiHidden/>
    <w:unhideWhenUsed/>
    <w:rsid w:val="009D70A3"/>
    <w:rPr>
      <w:sz w:val="16"/>
      <w:szCs w:val="16"/>
    </w:rPr>
  </w:style>
  <w:style w:type="paragraph" w:styleId="CommentText">
    <w:name w:val="annotation text"/>
    <w:basedOn w:val="Normal"/>
    <w:link w:val="CommentTextChar"/>
    <w:uiPriority w:val="99"/>
    <w:semiHidden/>
    <w:unhideWhenUsed/>
    <w:rsid w:val="009D70A3"/>
    <w:rPr>
      <w:sz w:val="20"/>
      <w:szCs w:val="20"/>
    </w:rPr>
  </w:style>
  <w:style w:type="character" w:customStyle="1" w:styleId="CommentTextChar">
    <w:name w:val="Comment Text Char"/>
    <w:basedOn w:val="DefaultParagraphFont"/>
    <w:link w:val="CommentText"/>
    <w:uiPriority w:val="99"/>
    <w:semiHidden/>
    <w:rsid w:val="009D70A3"/>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9D70A3"/>
    <w:rPr>
      <w:b/>
      <w:bCs/>
    </w:rPr>
  </w:style>
  <w:style w:type="character" w:customStyle="1" w:styleId="CommentSubjectChar">
    <w:name w:val="Comment Subject Char"/>
    <w:basedOn w:val="CommentTextChar"/>
    <w:link w:val="CommentSubject"/>
    <w:uiPriority w:val="99"/>
    <w:semiHidden/>
    <w:rsid w:val="009D70A3"/>
    <w:rPr>
      <w:rFonts w:ascii="Times New Roman" w:eastAsia="Arial Unicode MS" w:hAnsi="Times New Roman" w:cs="Times New Roman"/>
      <w:b/>
      <w:bCs/>
      <w:sz w:val="20"/>
      <w:szCs w:val="20"/>
      <w:bdr w:val="nil"/>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A5859"/>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NormalWeb">
    <w:name w:val="Normal (Web)"/>
    <w:basedOn w:val="Normal"/>
    <w:uiPriority w:val="99"/>
    <w:unhideWhenUsed/>
    <w:rsid w:val="00BF44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sz w:val="20"/>
      <w:szCs w:val="20"/>
      <w:bdr w:val="none" w:sz="0" w:space="0" w:color="auto"/>
    </w:rPr>
  </w:style>
  <w:style w:type="paragraph" w:styleId="NoSpacing">
    <w:name w:val="No Spacing"/>
    <w:qFormat/>
    <w:rsid w:val="00DF10EF"/>
    <w:pPr>
      <w:widowControl w:val="0"/>
      <w:spacing w:before="120" w:after="120"/>
      <w:ind w:firstLine="720"/>
      <w:jc w:val="both"/>
    </w:pPr>
    <w:rPr>
      <w:rFonts w:ascii="Cambria" w:eastAsia="Calibri" w:hAnsi="Cambria" w:cs="Times New Roman"/>
      <w:sz w:val="20"/>
      <w:szCs w:val="22"/>
    </w:rPr>
  </w:style>
  <w:style w:type="paragraph" w:styleId="BodyTextIndent3">
    <w:name w:val="Body Text Indent 3"/>
    <w:basedOn w:val="Normal"/>
    <w:link w:val="BodyTextIndent3Char"/>
    <w:uiPriority w:val="99"/>
    <w:unhideWhenUsed/>
    <w:rsid w:val="002B1017"/>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MS Mincho"/>
      <w:sz w:val="16"/>
      <w:szCs w:val="16"/>
      <w:bdr w:val="none" w:sz="0" w:space="0" w:color="auto"/>
    </w:rPr>
  </w:style>
  <w:style w:type="character" w:customStyle="1" w:styleId="BodyTextIndent3Char">
    <w:name w:val="Body Text Indent 3 Char"/>
    <w:basedOn w:val="DefaultParagraphFont"/>
    <w:link w:val="BodyTextIndent3"/>
    <w:uiPriority w:val="99"/>
    <w:rsid w:val="002B1017"/>
    <w:rPr>
      <w:rFonts w:ascii="Times New Roman" w:eastAsia="MS Mincho" w:hAnsi="Times New Roman" w:cs="Times New Roman"/>
      <w:sz w:val="16"/>
      <w:szCs w:val="16"/>
    </w:rPr>
  </w:style>
  <w:style w:type="character" w:customStyle="1" w:styleId="ListParagraphChar1">
    <w:name w:val="List Paragraph Char1"/>
    <w:aliases w:val="Párrafo de lista1 Char1"/>
    <w:uiPriority w:val="34"/>
    <w:locked/>
    <w:rsid w:val="00F7666B"/>
    <w:rPr>
      <w:sz w:val="24"/>
      <w:szCs w:val="24"/>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7B45A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 w:type="character" w:styleId="FollowedHyperlink">
    <w:name w:val="FollowedHyperlink"/>
    <w:basedOn w:val="DefaultParagraphFont"/>
    <w:uiPriority w:val="99"/>
    <w:semiHidden/>
    <w:unhideWhenUsed/>
    <w:rsid w:val="001D78C1"/>
    <w:rPr>
      <w:color w:val="954F72" w:themeColor="followedHyperlink"/>
      <w:u w:val="single"/>
    </w:rPr>
  </w:style>
  <w:style w:type="paragraph" w:styleId="BodyText3">
    <w:name w:val="Body Text 3"/>
    <w:basedOn w:val="Normal"/>
    <w:link w:val="BodyText3Char"/>
    <w:uiPriority w:val="99"/>
    <w:unhideWhenUsed/>
    <w:rsid w:val="0098300E"/>
    <w:pPr>
      <w:spacing w:after="120"/>
    </w:pPr>
    <w:rPr>
      <w:sz w:val="16"/>
      <w:szCs w:val="16"/>
    </w:rPr>
  </w:style>
  <w:style w:type="character" w:customStyle="1" w:styleId="BodyText3Char">
    <w:name w:val="Body Text 3 Char"/>
    <w:basedOn w:val="DefaultParagraphFont"/>
    <w:link w:val="BodyText3"/>
    <w:uiPriority w:val="99"/>
    <w:rsid w:val="0098300E"/>
    <w:rPr>
      <w:rFonts w:ascii="Times New Roman" w:eastAsia="Arial Unicode MS" w:hAnsi="Times New Roman" w:cs="Times New Roman"/>
      <w:sz w:val="16"/>
      <w:szCs w:val="16"/>
      <w:bdr w:val="nil"/>
    </w:rPr>
  </w:style>
  <w:style w:type="paragraph" w:styleId="HTMLPreformatted">
    <w:name w:val="HTML Preformatted"/>
    <w:basedOn w:val="Normal"/>
    <w:link w:val="HTMLPreformattedChar"/>
    <w:uiPriority w:val="99"/>
    <w:semiHidden/>
    <w:unhideWhenUsed/>
    <w:rsid w:val="004A209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4A2096"/>
    <w:rPr>
      <w:rFonts w:ascii="Courier New" w:eastAsia="Times New Roman" w:hAnsi="Courier New" w:cs="Courier New"/>
      <w:sz w:val="20"/>
      <w:szCs w:val="20"/>
    </w:rPr>
  </w:style>
  <w:style w:type="character" w:customStyle="1" w:styleId="MediumShading1-Accent1Char">
    <w:name w:val="Medium Shading 1 - Accent 1 Char"/>
    <w:rsid w:val="003E6CE0"/>
    <w:rPr>
      <w:rFonts w:ascii="Cambria" w:hAnsi="Cambria"/>
      <w:sz w:val="16"/>
      <w:szCs w:val="22"/>
      <w:lang w:eastAsia="en-US"/>
    </w:rPr>
  </w:style>
  <w:style w:type="character" w:styleId="EndnoteReference">
    <w:name w:val="endnote reference"/>
    <w:uiPriority w:val="99"/>
    <w:semiHidden/>
    <w:unhideWhenUsed/>
    <w:rsid w:val="003E6CE0"/>
    <w:rPr>
      <w:vertAlign w:val="superscript"/>
    </w:rPr>
  </w:style>
  <w:style w:type="character" w:customStyle="1" w:styleId="Heading4Char">
    <w:name w:val="Heading 4 Char"/>
    <w:basedOn w:val="DefaultParagraphFont"/>
    <w:link w:val="Heading4"/>
    <w:uiPriority w:val="9"/>
    <w:rsid w:val="00866072"/>
    <w:rPr>
      <w:rFonts w:ascii="Cambria" w:eastAsiaTheme="majorEastAsia" w:hAnsi="Cambria" w:cstheme="majorBidi"/>
      <w:b/>
      <w:bCs/>
      <w:i/>
      <w:iCs/>
      <w:sz w:val="20"/>
      <w:bdr w:val="nil"/>
      <w:lang w:val="es-PE"/>
    </w:rPr>
  </w:style>
  <w:style w:type="character" w:customStyle="1" w:styleId="Heading5Char">
    <w:name w:val="Heading 5 Char"/>
    <w:basedOn w:val="DefaultParagraphFont"/>
    <w:link w:val="Heading5"/>
    <w:uiPriority w:val="9"/>
    <w:rsid w:val="001A2154"/>
    <w:rPr>
      <w:rFonts w:ascii="Cambria" w:eastAsia="Times New Roman" w:hAnsi="Cambria" w:cs="Times New Roman"/>
      <w:b/>
      <w:bCs/>
      <w:i/>
      <w:iCs/>
      <w:sz w:val="20"/>
      <w:szCs w:val="26"/>
      <w:lang w:val="es-MX"/>
    </w:rPr>
  </w:style>
  <w:style w:type="paragraph" w:customStyle="1" w:styleId="f1">
    <w:name w:val="f1"/>
    <w:basedOn w:val="Normal"/>
    <w:rsid w:val="00E464AC"/>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eastAsia="Calibri" w:hAnsi="Calibri"/>
      <w:sz w:val="20"/>
      <w:szCs w:val="20"/>
      <w:bdr w:val="none" w:sz="0" w:space="0" w:color="auto"/>
      <w:vertAlign w:val="superscript"/>
      <w:lang w:val="es-MX" w:eastAsia="es-MX"/>
    </w:rPr>
  </w:style>
  <w:style w:type="character" w:customStyle="1" w:styleId="WW-FootnoteCharacters">
    <w:name w:val="WW-Footnote Characters"/>
    <w:rsid w:val="00E464AC"/>
    <w:rPr>
      <w:vertAlign w:val="superscript"/>
    </w:rPr>
  </w:style>
  <w:style w:type="character" w:customStyle="1" w:styleId="ju-005fpara-002cleft-002cfirst-0020line-003a-0020-00200-0020cm--char">
    <w:name w:val="ju-005fpara-002cleft-002cfirst-0020line-003a-0020-00200-0020cm--char"/>
    <w:rsid w:val="00E464AC"/>
  </w:style>
  <w:style w:type="paragraph" w:customStyle="1" w:styleId="tex12">
    <w:name w:val="tex12"/>
    <w:basedOn w:val="Normal"/>
    <w:rsid w:val="00E464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textosbold">
    <w:name w:val="textosbold"/>
    <w:rsid w:val="00E464AC"/>
  </w:style>
  <w:style w:type="character" w:customStyle="1" w:styleId="CharacterStyle2">
    <w:name w:val="Character Style 2"/>
    <w:uiPriority w:val="99"/>
    <w:rsid w:val="00E464AC"/>
    <w:rPr>
      <w:sz w:val="20"/>
      <w:szCs w:val="20"/>
    </w:rPr>
  </w:style>
  <w:style w:type="character" w:customStyle="1" w:styleId="CharacterStyle23">
    <w:name w:val="Character Style 23"/>
    <w:uiPriority w:val="99"/>
    <w:rsid w:val="00E464AC"/>
    <w:rPr>
      <w:sz w:val="24"/>
      <w:szCs w:val="24"/>
    </w:rPr>
  </w:style>
  <w:style w:type="character" w:customStyle="1" w:styleId="CharacterStyle1">
    <w:name w:val="Character Style 1"/>
    <w:uiPriority w:val="99"/>
    <w:rsid w:val="00E464AC"/>
    <w:rPr>
      <w:rFonts w:ascii="Bookman Old Style" w:hAnsi="Bookman Old Style" w:cs="Bookman Old Style"/>
      <w:sz w:val="22"/>
      <w:szCs w:val="22"/>
    </w:rPr>
  </w:style>
  <w:style w:type="paragraph" w:customStyle="1" w:styleId="Encabezadodetabladecontenido1">
    <w:name w:val="Encabezado de tabla de contenido1"/>
    <w:basedOn w:val="Heading1"/>
    <w:next w:val="Normal"/>
    <w:uiPriority w:val="39"/>
    <w:semiHidden/>
    <w:unhideWhenUsed/>
    <w:qFormat/>
    <w:rsid w:val="00E464AC"/>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eastAsia="MS Gothic" w:cs="Times New Roman"/>
      <w:color w:val="365F91"/>
      <w:bdr w:val="none" w:sz="0" w:space="0" w:color="auto"/>
      <w:lang w:eastAsia="ja-JP"/>
    </w:rPr>
  </w:style>
  <w:style w:type="paragraph" w:customStyle="1" w:styleId="Standard">
    <w:name w:val="Standard"/>
    <w:rsid w:val="00E464AC"/>
    <w:pPr>
      <w:suppressAutoHyphens/>
      <w:autoSpaceDN w:val="0"/>
      <w:textAlignment w:val="baseline"/>
    </w:pPr>
    <w:rPr>
      <w:rFonts w:ascii="Liberation Serif" w:eastAsia="SimSun" w:hAnsi="Liberation Serif" w:cs="Lucida Sans"/>
      <w:kern w:val="3"/>
      <w:lang w:val="es-PY" w:eastAsia="zh-CN" w:bidi="hi-IN"/>
    </w:rPr>
  </w:style>
  <w:style w:type="paragraph" w:customStyle="1" w:styleId="Style2">
    <w:name w:val="Style 2"/>
    <w:basedOn w:val="Normal"/>
    <w:uiPriority w:val="99"/>
    <w:rsid w:val="00E464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24" w:line="283" w:lineRule="auto"/>
      <w:jc w:val="both"/>
    </w:pPr>
    <w:rPr>
      <w:rFonts w:eastAsia="Times New Roman"/>
      <w:sz w:val="23"/>
      <w:szCs w:val="23"/>
      <w:bdr w:val="none" w:sz="0" w:space="0" w:color="auto"/>
      <w:lang w:eastAsia="es-MX"/>
    </w:rPr>
  </w:style>
  <w:style w:type="paragraph" w:customStyle="1" w:styleId="Style1">
    <w:name w:val="Style 1"/>
    <w:basedOn w:val="Normal"/>
    <w:uiPriority w:val="99"/>
    <w:rsid w:val="00E464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eastAsia="es-MX"/>
    </w:rPr>
  </w:style>
  <w:style w:type="paragraph" w:customStyle="1" w:styleId="Style22">
    <w:name w:val="Style 22"/>
    <w:basedOn w:val="Normal"/>
    <w:uiPriority w:val="99"/>
    <w:rsid w:val="00E464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0" w:lineRule="auto"/>
      <w:ind w:left="792" w:hanging="360"/>
    </w:pPr>
    <w:rPr>
      <w:rFonts w:eastAsia="Times New Roman"/>
      <w:sz w:val="23"/>
      <w:szCs w:val="23"/>
      <w:bdr w:val="none" w:sz="0" w:space="0" w:color="auto"/>
      <w:lang w:eastAsia="es-MX"/>
    </w:rPr>
  </w:style>
  <w:style w:type="paragraph" w:customStyle="1" w:styleId="Style3">
    <w:name w:val="Style 3"/>
    <w:basedOn w:val="Normal"/>
    <w:uiPriority w:val="99"/>
    <w:rsid w:val="00E464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8"/>
      <w:ind w:right="576"/>
      <w:jc w:val="both"/>
    </w:pPr>
    <w:rPr>
      <w:rFonts w:ascii="Bookman Old Style" w:eastAsia="Times New Roman" w:hAnsi="Bookman Old Style" w:cs="Bookman Old Style"/>
      <w:sz w:val="22"/>
      <w:szCs w:val="22"/>
      <w:bdr w:val="none" w:sz="0" w:space="0" w:color="auto"/>
      <w:lang w:eastAsia="es-MX"/>
    </w:rPr>
  </w:style>
  <w:style w:type="character" w:styleId="Emphasis">
    <w:name w:val="Emphasis"/>
    <w:uiPriority w:val="20"/>
    <w:qFormat/>
    <w:rsid w:val="00E464AC"/>
    <w:rPr>
      <w:i/>
      <w:iCs/>
    </w:rPr>
  </w:style>
  <w:style w:type="character" w:customStyle="1" w:styleId="l1">
    <w:name w:val="l1"/>
    <w:basedOn w:val="DefaultParagraphFont"/>
    <w:rsid w:val="003F2388"/>
  </w:style>
  <w:style w:type="character" w:customStyle="1" w:styleId="l2">
    <w:name w:val="l2"/>
    <w:basedOn w:val="DefaultParagraphFont"/>
    <w:rsid w:val="003F2388"/>
  </w:style>
  <w:style w:type="character" w:customStyle="1" w:styleId="CharacterStyle14">
    <w:name w:val="Character Style 14"/>
    <w:uiPriority w:val="99"/>
    <w:rsid w:val="007A7DB5"/>
    <w:rPr>
      <w:rFonts w:ascii="Bookman Old Style" w:hAnsi="Bookman Old Style" w:cs="Bookman Old Style"/>
      <w:sz w:val="23"/>
      <w:szCs w:val="23"/>
    </w:rPr>
  </w:style>
  <w:style w:type="character" w:customStyle="1" w:styleId="CharacterStyle11">
    <w:name w:val="Character Style 11"/>
    <w:uiPriority w:val="99"/>
    <w:rsid w:val="00E04C62"/>
    <w:rPr>
      <w:i/>
      <w:iCs/>
      <w:sz w:val="23"/>
      <w:szCs w:val="23"/>
    </w:rPr>
  </w:style>
  <w:style w:type="paragraph" w:customStyle="1" w:styleId="Style28">
    <w:name w:val="Style 28"/>
    <w:basedOn w:val="Normal"/>
    <w:uiPriority w:val="99"/>
    <w:rsid w:val="00BB03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heme="minorEastAsia"/>
      <w:sz w:val="22"/>
      <w:szCs w:val="22"/>
      <w:bdr w:val="none" w:sz="0" w:space="0" w:color="auto"/>
    </w:rPr>
  </w:style>
  <w:style w:type="paragraph" w:customStyle="1" w:styleId="Style29">
    <w:name w:val="Style 29"/>
    <w:basedOn w:val="Normal"/>
    <w:uiPriority w:val="99"/>
    <w:rsid w:val="00BB03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heme="minorEastAsia"/>
      <w:i/>
      <w:iCs/>
      <w:sz w:val="23"/>
      <w:szCs w:val="23"/>
      <w:bdr w:val="none" w:sz="0" w:space="0" w:color="auto"/>
    </w:rPr>
  </w:style>
  <w:style w:type="paragraph" w:customStyle="1" w:styleId="Style32">
    <w:name w:val="Style 32"/>
    <w:basedOn w:val="Normal"/>
    <w:uiPriority w:val="99"/>
    <w:rsid w:val="00BB03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heme="minorEastAsia"/>
      <w:i/>
      <w:iCs/>
      <w:sz w:val="22"/>
      <w:szCs w:val="22"/>
      <w:bdr w:val="none" w:sz="0" w:space="0" w:color="auto"/>
    </w:rPr>
  </w:style>
  <w:style w:type="paragraph" w:customStyle="1" w:styleId="Style33">
    <w:name w:val="Style 33"/>
    <w:basedOn w:val="Normal"/>
    <w:uiPriority w:val="99"/>
    <w:rsid w:val="00BB03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6" w:line="156" w:lineRule="exact"/>
      <w:ind w:right="72"/>
      <w:jc w:val="right"/>
    </w:pPr>
    <w:rPr>
      <w:rFonts w:eastAsiaTheme="minorEastAsia"/>
      <w:sz w:val="21"/>
      <w:szCs w:val="21"/>
      <w:bdr w:val="none" w:sz="0" w:space="0" w:color="auto"/>
    </w:rPr>
  </w:style>
  <w:style w:type="character" w:customStyle="1" w:styleId="CharacterStyle10">
    <w:name w:val="Character Style 10"/>
    <w:uiPriority w:val="99"/>
    <w:rsid w:val="00BB0323"/>
    <w:rPr>
      <w:sz w:val="22"/>
      <w:szCs w:val="22"/>
    </w:rPr>
  </w:style>
  <w:style w:type="character" w:customStyle="1" w:styleId="CharacterStyle12">
    <w:name w:val="Character Style 12"/>
    <w:uiPriority w:val="99"/>
    <w:rsid w:val="00BB0323"/>
    <w:rPr>
      <w:i/>
      <w:iCs/>
      <w:sz w:val="22"/>
      <w:szCs w:val="22"/>
    </w:rPr>
  </w:style>
  <w:style w:type="character" w:customStyle="1" w:styleId="CharacterStyle13">
    <w:name w:val="Character Style 13"/>
    <w:uiPriority w:val="99"/>
    <w:rsid w:val="00BB0323"/>
    <w:rPr>
      <w:sz w:val="21"/>
      <w:szCs w:val="21"/>
    </w:rPr>
  </w:style>
  <w:style w:type="numbering" w:customStyle="1" w:styleId="List481">
    <w:name w:val="List 481"/>
    <w:basedOn w:val="Estiloimportado43"/>
    <w:rsid w:val="00E1480C"/>
  </w:style>
  <w:style w:type="paragraph" w:customStyle="1" w:styleId="footnote">
    <w:name w:val="footnote"/>
    <w:basedOn w:val="NormalWeb"/>
    <w:autoRedefine/>
    <w:rsid w:val="005F4025"/>
    <w:pPr>
      <w:spacing w:before="0" w:beforeAutospacing="0" w:after="40" w:afterAutospacing="0"/>
      <w:jc w:val="both"/>
    </w:pPr>
    <w:rPr>
      <w:rFonts w:ascii="Calibri" w:eastAsia="Times New Roman" w:hAnsi="Calibri" w:cs="Univers"/>
      <w:sz w:val="16"/>
      <w:szCs w:val="16"/>
      <w:lang w:val="es-MX" w:eastAsia="zh-CN"/>
    </w:rPr>
  </w:style>
  <w:style w:type="character" w:customStyle="1" w:styleId="Heading6Char">
    <w:name w:val="Heading 6 Char"/>
    <w:basedOn w:val="DefaultParagraphFont"/>
    <w:link w:val="Heading6"/>
    <w:uiPriority w:val="9"/>
    <w:rsid w:val="00D550AD"/>
    <w:rPr>
      <w:rFonts w:ascii="Verdana" w:eastAsia="Times New Roman" w:hAnsi="Verdana" w:cs="Times New Roman"/>
      <w:spacing w:val="-2"/>
      <w:sz w:val="20"/>
      <w:szCs w:val="20"/>
      <w:lang w:val="es-ES_tradnl" w:eastAsia="x-none"/>
    </w:rPr>
  </w:style>
  <w:style w:type="character" w:customStyle="1" w:styleId="spelle">
    <w:name w:val="spelle"/>
    <w:basedOn w:val="DefaultParagraphFont"/>
    <w:rsid w:val="008345A4"/>
  </w:style>
  <w:style w:type="paragraph" w:styleId="Revision">
    <w:name w:val="Revision"/>
    <w:hidden/>
    <w:uiPriority w:val="99"/>
    <w:semiHidden/>
    <w:rsid w:val="00B66E4C"/>
    <w:rPr>
      <w:rFonts w:ascii="Times New Roman" w:eastAsia="Arial Unicode MS" w:hAnsi="Times New Roman" w:cs="Times New Roman"/>
      <w:bdr w:val="nil"/>
    </w:rPr>
  </w:style>
  <w:style w:type="paragraph" w:customStyle="1" w:styleId="parrafos">
    <w:name w:val="parrafos"/>
    <w:basedOn w:val="Normal"/>
    <w:qFormat/>
    <w:rsid w:val="00620F6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rPr>
      <w:rFonts w:asciiTheme="majorHAnsi" w:hAnsiTheme="majorHAnsi"/>
      <w:color w:val="000000" w:themeColor="text1"/>
      <w:sz w:val="20"/>
      <w:szCs w:val="20"/>
      <w:lang w:val="es-VE"/>
    </w:rPr>
  </w:style>
  <w:style w:type="character" w:customStyle="1" w:styleId="UnresolvedMention1">
    <w:name w:val="Unresolved Mention1"/>
    <w:basedOn w:val="DefaultParagraphFont"/>
    <w:uiPriority w:val="99"/>
    <w:semiHidden/>
    <w:unhideWhenUsed/>
    <w:rsid w:val="00234DEC"/>
    <w:rPr>
      <w:color w:val="605E5C"/>
      <w:shd w:val="clear" w:color="auto" w:fill="E1DFDD"/>
    </w:rPr>
  </w:style>
  <w:style w:type="paragraph" w:styleId="Quote">
    <w:name w:val="Quote"/>
    <w:basedOn w:val="Normal"/>
    <w:next w:val="Normal"/>
    <w:link w:val="QuoteChar"/>
    <w:uiPriority w:val="29"/>
    <w:qFormat/>
    <w:rsid w:val="00CC648B"/>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pPr>
    <w:rPr>
      <w:rFonts w:ascii="Cambria" w:eastAsia="Times New Roman" w:hAnsi="Cambria"/>
      <w:iCs/>
      <w:sz w:val="18"/>
      <w:bdr w:val="none" w:sz="0" w:space="0" w:color="auto"/>
    </w:rPr>
  </w:style>
  <w:style w:type="character" w:customStyle="1" w:styleId="QuoteChar">
    <w:name w:val="Quote Char"/>
    <w:basedOn w:val="DefaultParagraphFont"/>
    <w:link w:val="Quote"/>
    <w:uiPriority w:val="29"/>
    <w:rsid w:val="00CC648B"/>
    <w:rPr>
      <w:rFonts w:ascii="Cambria" w:eastAsia="Times New Roman" w:hAnsi="Cambria" w:cs="Times New Roman"/>
      <w:iCs/>
      <w:sz w:val="18"/>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uiPriority w:val="99"/>
    <w:rsid w:val="009801A3"/>
    <w:rPr>
      <w:rFonts w:ascii="Verdana" w:eastAsia="Batang" w:hAnsi="Verdana" w:cs="Times"/>
      <w:noProof/>
      <w:sz w:val="16"/>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9801A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sz w:val="22"/>
      <w:szCs w:val="20"/>
      <w:bdr w:val="none" w:sz="0" w:space="0" w:color="auto"/>
      <w:vertAlign w:val="superscript"/>
      <w:lang w:val="es-ES"/>
    </w:rPr>
  </w:style>
  <w:style w:type="paragraph" w:customStyle="1" w:styleId="Prrafodelista2">
    <w:name w:val="Párrafo de lista2"/>
    <w:basedOn w:val="Normal"/>
    <w:uiPriority w:val="99"/>
    <w:rsid w:val="00FF79A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Verdana" w:eastAsia="MS Mincho" w:hAnsi="Verdana"/>
      <w:sz w:val="20"/>
      <w:szCs w:val="20"/>
      <w:bdr w:val="none" w:sz="0" w:space="0" w:color="auto"/>
      <w:lang w:val="es-ES_tradnl"/>
    </w:rPr>
  </w:style>
  <w:style w:type="paragraph" w:customStyle="1" w:styleId="PrrafodeSentencia">
    <w:name w:val="*. Párrafo de Sentencia"/>
    <w:basedOn w:val="Normal"/>
    <w:next w:val="Normal"/>
    <w:link w:val="PrrafodeSentenciaChar"/>
    <w:qFormat/>
    <w:rsid w:val="00FE0DE9"/>
    <w:pPr>
      <w:numPr>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20" w:after="120"/>
      <w:ind w:left="0" w:firstLine="0"/>
      <w:jc w:val="both"/>
    </w:pPr>
    <w:rPr>
      <w:rFonts w:ascii="Verdana" w:eastAsia="Batang" w:hAnsi="Verdana" w:cstheme="minorBidi"/>
      <w:color w:val="000000"/>
      <w:spacing w:val="-4"/>
      <w:sz w:val="20"/>
      <w:szCs w:val="20"/>
      <w:bdr w:val="none" w:sz="0" w:space="0" w:color="auto"/>
      <w:lang w:val="es-ES" w:eastAsia="es-CR"/>
    </w:rPr>
  </w:style>
  <w:style w:type="character" w:customStyle="1" w:styleId="PrrafodeSentenciaChar">
    <w:name w:val="*. Párrafo de Sentencia Char"/>
    <w:link w:val="PrrafodeSentencia"/>
    <w:locked/>
    <w:rsid w:val="00FE0DE9"/>
    <w:rPr>
      <w:rFonts w:ascii="Verdana" w:eastAsia="Batang" w:hAnsi="Verdana"/>
      <w:color w:val="000000"/>
      <w:spacing w:val="-4"/>
      <w:sz w:val="20"/>
      <w:szCs w:val="20"/>
      <w:lang w:val="es-ES" w:eastAsia="es-CR"/>
    </w:rPr>
  </w:style>
  <w:style w:type="character" w:customStyle="1" w:styleId="UnresolvedMention2">
    <w:name w:val="Unresolved Mention2"/>
    <w:basedOn w:val="DefaultParagraphFont"/>
    <w:uiPriority w:val="99"/>
    <w:semiHidden/>
    <w:unhideWhenUsed/>
    <w:rsid w:val="00604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2736">
      <w:bodyDiv w:val="1"/>
      <w:marLeft w:val="0"/>
      <w:marRight w:val="0"/>
      <w:marTop w:val="0"/>
      <w:marBottom w:val="0"/>
      <w:divBdr>
        <w:top w:val="none" w:sz="0" w:space="0" w:color="auto"/>
        <w:left w:val="none" w:sz="0" w:space="0" w:color="auto"/>
        <w:bottom w:val="none" w:sz="0" w:space="0" w:color="auto"/>
        <w:right w:val="none" w:sz="0" w:space="0" w:color="auto"/>
      </w:divBdr>
    </w:div>
    <w:div w:id="392199140">
      <w:bodyDiv w:val="1"/>
      <w:marLeft w:val="0"/>
      <w:marRight w:val="0"/>
      <w:marTop w:val="0"/>
      <w:marBottom w:val="0"/>
      <w:divBdr>
        <w:top w:val="none" w:sz="0" w:space="0" w:color="auto"/>
        <w:left w:val="none" w:sz="0" w:space="0" w:color="auto"/>
        <w:bottom w:val="none" w:sz="0" w:space="0" w:color="auto"/>
        <w:right w:val="none" w:sz="0" w:space="0" w:color="auto"/>
      </w:divBdr>
    </w:div>
    <w:div w:id="612520948">
      <w:bodyDiv w:val="1"/>
      <w:marLeft w:val="0"/>
      <w:marRight w:val="0"/>
      <w:marTop w:val="0"/>
      <w:marBottom w:val="0"/>
      <w:divBdr>
        <w:top w:val="none" w:sz="0" w:space="0" w:color="auto"/>
        <w:left w:val="none" w:sz="0" w:space="0" w:color="auto"/>
        <w:bottom w:val="none" w:sz="0" w:space="0" w:color="auto"/>
        <w:right w:val="none" w:sz="0" w:space="0" w:color="auto"/>
      </w:divBdr>
    </w:div>
    <w:div w:id="622229182">
      <w:bodyDiv w:val="1"/>
      <w:marLeft w:val="0"/>
      <w:marRight w:val="0"/>
      <w:marTop w:val="0"/>
      <w:marBottom w:val="0"/>
      <w:divBdr>
        <w:top w:val="none" w:sz="0" w:space="0" w:color="auto"/>
        <w:left w:val="none" w:sz="0" w:space="0" w:color="auto"/>
        <w:bottom w:val="none" w:sz="0" w:space="0" w:color="auto"/>
        <w:right w:val="none" w:sz="0" w:space="0" w:color="auto"/>
      </w:divBdr>
    </w:div>
    <w:div w:id="636839617">
      <w:bodyDiv w:val="1"/>
      <w:marLeft w:val="0"/>
      <w:marRight w:val="0"/>
      <w:marTop w:val="0"/>
      <w:marBottom w:val="0"/>
      <w:divBdr>
        <w:top w:val="none" w:sz="0" w:space="0" w:color="auto"/>
        <w:left w:val="none" w:sz="0" w:space="0" w:color="auto"/>
        <w:bottom w:val="none" w:sz="0" w:space="0" w:color="auto"/>
        <w:right w:val="none" w:sz="0" w:space="0" w:color="auto"/>
      </w:divBdr>
    </w:div>
    <w:div w:id="771054077">
      <w:bodyDiv w:val="1"/>
      <w:marLeft w:val="0"/>
      <w:marRight w:val="0"/>
      <w:marTop w:val="0"/>
      <w:marBottom w:val="0"/>
      <w:divBdr>
        <w:top w:val="none" w:sz="0" w:space="0" w:color="auto"/>
        <w:left w:val="none" w:sz="0" w:space="0" w:color="auto"/>
        <w:bottom w:val="none" w:sz="0" w:space="0" w:color="auto"/>
        <w:right w:val="none" w:sz="0" w:space="0" w:color="auto"/>
      </w:divBdr>
    </w:div>
    <w:div w:id="845218297">
      <w:bodyDiv w:val="1"/>
      <w:marLeft w:val="0"/>
      <w:marRight w:val="0"/>
      <w:marTop w:val="0"/>
      <w:marBottom w:val="0"/>
      <w:divBdr>
        <w:top w:val="none" w:sz="0" w:space="0" w:color="auto"/>
        <w:left w:val="none" w:sz="0" w:space="0" w:color="auto"/>
        <w:bottom w:val="none" w:sz="0" w:space="0" w:color="auto"/>
        <w:right w:val="none" w:sz="0" w:space="0" w:color="auto"/>
      </w:divBdr>
    </w:div>
    <w:div w:id="893931800">
      <w:bodyDiv w:val="1"/>
      <w:marLeft w:val="0"/>
      <w:marRight w:val="0"/>
      <w:marTop w:val="0"/>
      <w:marBottom w:val="0"/>
      <w:divBdr>
        <w:top w:val="none" w:sz="0" w:space="0" w:color="auto"/>
        <w:left w:val="none" w:sz="0" w:space="0" w:color="auto"/>
        <w:bottom w:val="none" w:sz="0" w:space="0" w:color="auto"/>
        <w:right w:val="none" w:sz="0" w:space="0" w:color="auto"/>
      </w:divBdr>
    </w:div>
    <w:div w:id="997002763">
      <w:bodyDiv w:val="1"/>
      <w:marLeft w:val="0"/>
      <w:marRight w:val="0"/>
      <w:marTop w:val="0"/>
      <w:marBottom w:val="0"/>
      <w:divBdr>
        <w:top w:val="none" w:sz="0" w:space="0" w:color="auto"/>
        <w:left w:val="none" w:sz="0" w:space="0" w:color="auto"/>
        <w:bottom w:val="none" w:sz="0" w:space="0" w:color="auto"/>
        <w:right w:val="none" w:sz="0" w:space="0" w:color="auto"/>
      </w:divBdr>
    </w:div>
    <w:div w:id="1206259288">
      <w:bodyDiv w:val="1"/>
      <w:marLeft w:val="0"/>
      <w:marRight w:val="0"/>
      <w:marTop w:val="0"/>
      <w:marBottom w:val="0"/>
      <w:divBdr>
        <w:top w:val="none" w:sz="0" w:space="0" w:color="auto"/>
        <w:left w:val="none" w:sz="0" w:space="0" w:color="auto"/>
        <w:bottom w:val="none" w:sz="0" w:space="0" w:color="auto"/>
        <w:right w:val="none" w:sz="0" w:space="0" w:color="auto"/>
      </w:divBdr>
    </w:div>
    <w:div w:id="1245651063">
      <w:bodyDiv w:val="1"/>
      <w:marLeft w:val="0"/>
      <w:marRight w:val="0"/>
      <w:marTop w:val="0"/>
      <w:marBottom w:val="0"/>
      <w:divBdr>
        <w:top w:val="none" w:sz="0" w:space="0" w:color="auto"/>
        <w:left w:val="none" w:sz="0" w:space="0" w:color="auto"/>
        <w:bottom w:val="none" w:sz="0" w:space="0" w:color="auto"/>
        <w:right w:val="none" w:sz="0" w:space="0" w:color="auto"/>
      </w:divBdr>
    </w:div>
    <w:div w:id="1580869344">
      <w:bodyDiv w:val="1"/>
      <w:marLeft w:val="0"/>
      <w:marRight w:val="0"/>
      <w:marTop w:val="0"/>
      <w:marBottom w:val="0"/>
      <w:divBdr>
        <w:top w:val="none" w:sz="0" w:space="0" w:color="auto"/>
        <w:left w:val="none" w:sz="0" w:space="0" w:color="auto"/>
        <w:bottom w:val="none" w:sz="0" w:space="0" w:color="auto"/>
        <w:right w:val="none" w:sz="0" w:space="0" w:color="auto"/>
      </w:divBdr>
    </w:div>
    <w:div w:id="1734548890">
      <w:bodyDiv w:val="1"/>
      <w:marLeft w:val="0"/>
      <w:marRight w:val="0"/>
      <w:marTop w:val="0"/>
      <w:marBottom w:val="0"/>
      <w:divBdr>
        <w:top w:val="none" w:sz="0" w:space="0" w:color="auto"/>
        <w:left w:val="none" w:sz="0" w:space="0" w:color="auto"/>
        <w:bottom w:val="none" w:sz="0" w:space="0" w:color="auto"/>
        <w:right w:val="none" w:sz="0" w:space="0" w:color="auto"/>
      </w:divBdr>
    </w:div>
    <w:div w:id="1828132956">
      <w:bodyDiv w:val="1"/>
      <w:marLeft w:val="0"/>
      <w:marRight w:val="0"/>
      <w:marTop w:val="0"/>
      <w:marBottom w:val="0"/>
      <w:divBdr>
        <w:top w:val="none" w:sz="0" w:space="0" w:color="auto"/>
        <w:left w:val="none" w:sz="0" w:space="0" w:color="auto"/>
        <w:bottom w:val="none" w:sz="0" w:space="0" w:color="auto"/>
        <w:right w:val="none" w:sz="0" w:space="0" w:color="auto"/>
      </w:divBdr>
    </w:div>
    <w:div w:id="2130665919">
      <w:bodyDiv w:val="1"/>
      <w:marLeft w:val="0"/>
      <w:marRight w:val="0"/>
      <w:marTop w:val="0"/>
      <w:marBottom w:val="0"/>
      <w:divBdr>
        <w:top w:val="none" w:sz="0" w:space="0" w:color="auto"/>
        <w:left w:val="none" w:sz="0" w:space="0" w:color="auto"/>
        <w:bottom w:val="none" w:sz="0" w:space="0" w:color="auto"/>
        <w:right w:val="none" w:sz="0" w:space="0" w:color="auto"/>
      </w:divBdr>
      <w:divsChild>
        <w:div w:id="1396006738">
          <w:marLeft w:val="0"/>
          <w:marRight w:val="0"/>
          <w:marTop w:val="0"/>
          <w:marBottom w:val="0"/>
          <w:divBdr>
            <w:top w:val="none" w:sz="0" w:space="0" w:color="auto"/>
            <w:left w:val="none" w:sz="0" w:space="0" w:color="auto"/>
            <w:bottom w:val="none" w:sz="0" w:space="0" w:color="auto"/>
            <w:right w:val="none" w:sz="0" w:space="0" w:color="auto"/>
          </w:divBdr>
          <w:divsChild>
            <w:div w:id="446319273">
              <w:marLeft w:val="0"/>
              <w:marRight w:val="0"/>
              <w:marTop w:val="0"/>
              <w:marBottom w:val="0"/>
              <w:divBdr>
                <w:top w:val="none" w:sz="0" w:space="0" w:color="auto"/>
                <w:left w:val="none" w:sz="0" w:space="0" w:color="auto"/>
                <w:bottom w:val="none" w:sz="0" w:space="0" w:color="auto"/>
                <w:right w:val="none" w:sz="0" w:space="0" w:color="auto"/>
              </w:divBdr>
              <w:divsChild>
                <w:div w:id="2139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expresion/docs/informes/2014_04_22_Violencia_ESP_WEB.pdf" TargetMode="External"/><Relationship Id="rId13" Type="http://schemas.openxmlformats.org/officeDocument/2006/relationships/hyperlink" Target="https://en.unesco.org/un-plan-action-safety-journalists" TargetMode="External"/><Relationship Id="rId3" Type="http://schemas.openxmlformats.org/officeDocument/2006/relationships/hyperlink" Target="http://www.oas.org/es/cidh/expresion/showarticle.asp?artID=1165&amp;lID=2" TargetMode="External"/><Relationship Id="rId7" Type="http://schemas.openxmlformats.org/officeDocument/2006/relationships/hyperlink" Target="http://www.oas.org/es/cidh/expresion/showarticle.asp?artID=905&amp;lID=2" TargetMode="External"/><Relationship Id="rId12" Type="http://schemas.openxmlformats.org/officeDocument/2006/relationships/hyperlink" Target="https://en.unesco.org/sites/default/files/un-plan-on-safety-journalists_es.pdf" TargetMode="External"/><Relationship Id="rId2" Type="http://schemas.openxmlformats.org/officeDocument/2006/relationships/hyperlink" Target="http://www.cidh.org/countryrep/Paraguay01sp/cap.3.htm" TargetMode="External"/><Relationship Id="rId1" Type="http://schemas.openxmlformats.org/officeDocument/2006/relationships/hyperlink" Target="http://www.oas.org/es/cidh/expresion/docs/publicaciones/ZONAS_SILENCIADAS_ESP.pdf" TargetMode="External"/><Relationship Id="rId6" Type="http://schemas.openxmlformats.org/officeDocument/2006/relationships/hyperlink" Target="http://www.oas.org/es/cidh/expresion/docs/informes/anuales/2014_04_22_IA_2013_ESP_FINAL_WEB.pdf" TargetMode="External"/><Relationship Id="rId11" Type="http://schemas.openxmlformats.org/officeDocument/2006/relationships/hyperlink" Target="https://www.oas.org/es/cidh/expresion/docs/2018_06_18%20CIDH-UN_FINAL_MX_report_SPA.PDF" TargetMode="External"/><Relationship Id="rId5" Type="http://schemas.openxmlformats.org/officeDocument/2006/relationships/hyperlink" Target="http://www.ohchr.org/Documents/HRBodies/HRCouncil/RegularSession/Session20/A.HRC.20.22.SPA.pdf" TargetMode="External"/><Relationship Id="rId10" Type="http://schemas.openxmlformats.org/officeDocument/2006/relationships/hyperlink" Target="https://www.oas.org/es/cidh/defensores/docs/pdf/defensores2011.pdf" TargetMode="External"/><Relationship Id="rId4" Type="http://schemas.openxmlformats.org/officeDocument/2006/relationships/hyperlink" Target="https://www.coe.int/en/web/freedom-expression/news-media/-/asset_publisher/Mo0WV0OwvbhA/content/declaration-of-the-committee-of-ministers-on-the-protection-of-journalism-and-safety-of-journalists-and-other-media-actors-adopted-by-the-committee-of?inheritRedirect=false" TargetMode="External"/><Relationship Id="rId9" Type="http://schemas.openxmlformats.org/officeDocument/2006/relationships/hyperlink" Target="https://www.gob.mx/cms/uploads/attachment/file/444272/Protocolo_homologado_de_investigaci_n_de_delitos_cometidos_contra_la_libertad_de_expresi_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9D911-DA5D-4AA6-96E9-5ACA5F75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15084</Words>
  <Characters>85981</Characters>
  <Application>Microsoft Office Word</Application>
  <DocSecurity>0</DocSecurity>
  <Lines>716</Lines>
  <Paragraphs>201</Paragraphs>
  <ScaleCrop>false</ScaleCrop>
  <Company/>
  <LinksUpToDate>false</LinksUpToDate>
  <CharactersWithSpaces>100864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2021-04-30T14:45:00Z</dcterms:created>
  <dcterms:modified xsi:type="dcterms:W3CDTF">2021-04-30T14:46:00Z</dcterms:modified>
</cp:coreProperties>
</file>