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E6DFE" w14:textId="77777777" w:rsidR="005474CC" w:rsidRPr="006D319F" w:rsidRDefault="005474CC" w:rsidP="00B21903">
      <w:pPr>
        <w:pStyle w:val="NoSpacing"/>
        <w:jc w:val="center"/>
        <w:rPr>
          <w:rFonts w:ascii="Cambria" w:hAnsi="Cambria"/>
          <w:b/>
          <w:color w:val="000000"/>
          <w:sz w:val="20"/>
          <w:szCs w:val="20"/>
          <w:lang w:val="pt-BR"/>
        </w:rPr>
      </w:pPr>
    </w:p>
    <w:p w14:paraId="1ABE6CF0" w14:textId="77777777" w:rsidR="00B21903" w:rsidRPr="006D319F" w:rsidRDefault="00B21903" w:rsidP="00B21903">
      <w:pPr>
        <w:pStyle w:val="NoSpacing"/>
        <w:jc w:val="center"/>
        <w:rPr>
          <w:rFonts w:ascii="Cambria" w:hAnsi="Cambria"/>
          <w:b/>
          <w:color w:val="000000"/>
          <w:sz w:val="20"/>
          <w:szCs w:val="20"/>
          <w:lang w:val="pt-BR"/>
        </w:rPr>
      </w:pPr>
      <w:r w:rsidRPr="006D319F">
        <w:rPr>
          <w:rFonts w:ascii="Cambria" w:hAnsi="Cambria"/>
          <w:b/>
          <w:color w:val="000000"/>
          <w:sz w:val="20"/>
          <w:szCs w:val="20"/>
          <w:lang w:val="pt-BR"/>
        </w:rPr>
        <w:t>FICHA DE SEGUIMIENTO DEL INFORME Nº 37/10</w:t>
      </w:r>
    </w:p>
    <w:p w14:paraId="1665E77E" w14:textId="77777777" w:rsidR="00B21903" w:rsidRPr="006D319F" w:rsidRDefault="00B21903" w:rsidP="00B21903">
      <w:pPr>
        <w:pStyle w:val="NoSpacing"/>
        <w:jc w:val="center"/>
        <w:rPr>
          <w:rFonts w:ascii="Cambria" w:hAnsi="Cambria"/>
          <w:b/>
          <w:color w:val="000000"/>
          <w:sz w:val="20"/>
          <w:szCs w:val="20"/>
          <w:lang w:val="pt-BR"/>
        </w:rPr>
      </w:pPr>
      <w:r w:rsidRPr="006D319F">
        <w:rPr>
          <w:rFonts w:ascii="Cambria" w:hAnsi="Cambria"/>
          <w:b/>
          <w:color w:val="000000"/>
          <w:sz w:val="20"/>
          <w:szCs w:val="20"/>
          <w:lang w:val="pt-BR"/>
        </w:rPr>
        <w:t>CASO 12.308</w:t>
      </w:r>
    </w:p>
    <w:p w14:paraId="5E6E7801" w14:textId="77777777" w:rsidR="00B21903" w:rsidRPr="006D319F" w:rsidRDefault="00B21903" w:rsidP="00B21903">
      <w:pPr>
        <w:pStyle w:val="NoSpacing"/>
        <w:jc w:val="center"/>
        <w:rPr>
          <w:rFonts w:ascii="Cambria" w:hAnsi="Cambria"/>
          <w:b/>
          <w:color w:val="000000"/>
          <w:sz w:val="20"/>
          <w:szCs w:val="20"/>
          <w:lang w:val="pt-BR"/>
        </w:rPr>
      </w:pPr>
      <w:r w:rsidRPr="006D319F">
        <w:rPr>
          <w:rFonts w:ascii="Cambria" w:hAnsi="Cambria"/>
          <w:b/>
          <w:color w:val="000000"/>
          <w:sz w:val="20"/>
          <w:szCs w:val="20"/>
          <w:lang w:val="pt-BR"/>
        </w:rPr>
        <w:t>MANOEL LEAL DE OLIVEIRA</w:t>
      </w:r>
    </w:p>
    <w:p w14:paraId="4EFEB726" w14:textId="77777777" w:rsidR="00B21903" w:rsidRPr="006D319F" w:rsidRDefault="00B21903" w:rsidP="00B21903">
      <w:pPr>
        <w:pStyle w:val="NoSpacing"/>
        <w:jc w:val="center"/>
        <w:rPr>
          <w:rFonts w:ascii="Cambria" w:hAnsi="Cambria"/>
          <w:b/>
          <w:color w:val="000000"/>
          <w:sz w:val="20"/>
          <w:szCs w:val="20"/>
          <w:lang w:val="pt-BR"/>
        </w:rPr>
      </w:pPr>
      <w:r w:rsidRPr="006D319F">
        <w:rPr>
          <w:rFonts w:ascii="Cambria" w:hAnsi="Cambria"/>
          <w:b/>
          <w:color w:val="000000"/>
          <w:sz w:val="20"/>
          <w:szCs w:val="20"/>
          <w:lang w:val="pt-BR"/>
        </w:rPr>
        <w:t>(Brasil)</w:t>
      </w:r>
    </w:p>
    <w:p w14:paraId="1CC4FF27" w14:textId="77777777" w:rsidR="00B21903" w:rsidRPr="006D319F" w:rsidRDefault="00B21903" w:rsidP="00B21903">
      <w:pPr>
        <w:spacing w:after="0" w:line="240" w:lineRule="auto"/>
        <w:ind w:left="-360" w:right="-270"/>
        <w:jc w:val="center"/>
        <w:rPr>
          <w:rFonts w:ascii="Cambria" w:hAnsi="Cambria"/>
          <w:b/>
          <w:color w:val="000000"/>
          <w:sz w:val="20"/>
          <w:szCs w:val="20"/>
          <w:lang w:val="pt-BR"/>
        </w:rPr>
      </w:pPr>
    </w:p>
    <w:p w14:paraId="4C7D468C" w14:textId="77777777" w:rsidR="00B21903" w:rsidRPr="006D319F" w:rsidRDefault="00B21903" w:rsidP="00F81DA3">
      <w:pPr>
        <w:numPr>
          <w:ilvl w:val="0"/>
          <w:numId w:val="1"/>
        </w:numPr>
        <w:spacing w:after="0" w:line="240" w:lineRule="auto"/>
        <w:ind w:left="1440"/>
        <w:rPr>
          <w:rFonts w:ascii="Cambria" w:hAnsi="Cambria" w:cs="Calibri Light"/>
          <w:b/>
          <w:color w:val="000000"/>
          <w:sz w:val="20"/>
          <w:szCs w:val="20"/>
          <w:lang w:val="es-US"/>
        </w:rPr>
      </w:pPr>
      <w:r w:rsidRPr="006D319F">
        <w:rPr>
          <w:rFonts w:ascii="Cambria" w:hAnsi="Cambria" w:cs="Calibri Light"/>
          <w:b/>
          <w:color w:val="000000"/>
          <w:sz w:val="20"/>
          <w:szCs w:val="20"/>
          <w:lang w:val="es-US"/>
        </w:rPr>
        <w:t xml:space="preserve">Resumen del caso </w:t>
      </w:r>
    </w:p>
    <w:p w14:paraId="7D08385B" w14:textId="77777777" w:rsidR="00B21903" w:rsidRPr="006D319F" w:rsidRDefault="00B21903" w:rsidP="00B21903">
      <w:pPr>
        <w:spacing w:after="0" w:line="240" w:lineRule="auto"/>
        <w:ind w:left="1080"/>
        <w:rPr>
          <w:rFonts w:ascii="Cambria" w:hAnsi="Cambria" w:cs="Calibri Light"/>
          <w:b/>
          <w:color w:val="000000"/>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B21903" w:rsidRPr="006D319F" w14:paraId="7B06F177" w14:textId="77777777" w:rsidTr="00892130">
        <w:trPr>
          <w:jc w:val="center"/>
        </w:trPr>
        <w:tc>
          <w:tcPr>
            <w:tcW w:w="9576" w:type="dxa"/>
            <w:shd w:val="clear" w:color="auto" w:fill="F2F2F2"/>
          </w:tcPr>
          <w:p w14:paraId="3F66F08C" w14:textId="77777777" w:rsidR="00B21903" w:rsidRPr="006D319F" w:rsidRDefault="00B21903" w:rsidP="00B21903">
            <w:pPr>
              <w:pStyle w:val="NoSpacing"/>
              <w:spacing w:before="120"/>
              <w:jc w:val="both"/>
              <w:rPr>
                <w:rFonts w:ascii="Cambria" w:eastAsia="Calibri" w:hAnsi="Cambria" w:cs="Times New Roman"/>
                <w:color w:val="000000"/>
                <w:sz w:val="20"/>
                <w:szCs w:val="20"/>
                <w:lang w:val="es-ES" w:eastAsia="en-US"/>
              </w:rPr>
            </w:pPr>
            <w:r w:rsidRPr="006D319F">
              <w:rPr>
                <w:rFonts w:ascii="Cambria" w:eastAsia="Calibri" w:hAnsi="Cambria" w:cs="Times New Roman"/>
                <w:b/>
                <w:color w:val="000000"/>
                <w:sz w:val="20"/>
                <w:szCs w:val="20"/>
                <w:lang w:val="es-ES" w:eastAsia="en-US"/>
              </w:rPr>
              <w:t xml:space="preserve">Víctima (s): </w:t>
            </w:r>
            <w:r w:rsidRPr="006D319F">
              <w:rPr>
                <w:rFonts w:ascii="Cambria" w:eastAsia="Calibri" w:hAnsi="Cambria" w:cs="Times New Roman"/>
                <w:color w:val="000000"/>
                <w:sz w:val="20"/>
                <w:szCs w:val="20"/>
                <w:lang w:val="es-ES" w:eastAsia="en-US"/>
              </w:rPr>
              <w:t>Manoel Leal de Oliveira</w:t>
            </w:r>
          </w:p>
          <w:p w14:paraId="6B26FD81" w14:textId="77777777" w:rsidR="00B21903" w:rsidRPr="006D319F" w:rsidRDefault="0073354B" w:rsidP="00892130">
            <w:pPr>
              <w:pStyle w:val="NoSpacing"/>
              <w:jc w:val="both"/>
              <w:rPr>
                <w:rFonts w:ascii="Cambria" w:eastAsia="Calibri" w:hAnsi="Cambria" w:cs="Times New Roman"/>
                <w:b/>
                <w:color w:val="000000"/>
                <w:sz w:val="20"/>
                <w:szCs w:val="20"/>
                <w:lang w:val="es-VE" w:eastAsia="en-US"/>
              </w:rPr>
            </w:pPr>
            <w:r w:rsidRPr="006D319F">
              <w:rPr>
                <w:rFonts w:ascii="Cambria" w:eastAsia="Calibri" w:hAnsi="Cambria" w:cs="Times New Roman"/>
                <w:b/>
                <w:color w:val="000000"/>
                <w:sz w:val="20"/>
                <w:szCs w:val="20"/>
                <w:lang w:val="es-VE" w:eastAsia="en-US"/>
              </w:rPr>
              <w:t>Peticionario</w:t>
            </w:r>
            <w:r w:rsidR="00B21903" w:rsidRPr="006D319F">
              <w:rPr>
                <w:rFonts w:ascii="Cambria" w:eastAsia="Calibri" w:hAnsi="Cambria" w:cs="Times New Roman"/>
                <w:b/>
                <w:color w:val="000000"/>
                <w:sz w:val="20"/>
                <w:szCs w:val="20"/>
                <w:lang w:val="es-VE" w:eastAsia="en-US"/>
              </w:rPr>
              <w:t xml:space="preserve"> (s): </w:t>
            </w:r>
            <w:r w:rsidR="00B21903" w:rsidRPr="006D319F">
              <w:rPr>
                <w:rFonts w:ascii="Cambria" w:eastAsia="Calibri" w:hAnsi="Cambria" w:cs="Times New Roman"/>
                <w:color w:val="000000"/>
                <w:sz w:val="20"/>
                <w:szCs w:val="20"/>
                <w:lang w:val="es-VE" w:eastAsia="en-US"/>
              </w:rPr>
              <w:t>Sociedad Interamericana de Prensa (SIP)</w:t>
            </w:r>
          </w:p>
          <w:p w14:paraId="51D8251D" w14:textId="77777777" w:rsidR="00B21903" w:rsidRPr="006D319F" w:rsidRDefault="00B21903" w:rsidP="00892130">
            <w:pPr>
              <w:pStyle w:val="NoSpacing"/>
              <w:jc w:val="both"/>
              <w:rPr>
                <w:rFonts w:ascii="Cambria" w:eastAsia="Calibri" w:hAnsi="Cambria" w:cs="Times New Roman"/>
                <w:b/>
                <w:color w:val="000000"/>
                <w:sz w:val="20"/>
                <w:szCs w:val="20"/>
                <w:lang w:val="es-VE" w:eastAsia="en-US"/>
              </w:rPr>
            </w:pPr>
            <w:r w:rsidRPr="006D319F">
              <w:rPr>
                <w:rFonts w:ascii="Cambria" w:eastAsia="Calibri" w:hAnsi="Cambria" w:cs="Times New Roman"/>
                <w:b/>
                <w:color w:val="000000"/>
                <w:sz w:val="20"/>
                <w:szCs w:val="20"/>
                <w:lang w:val="es-VE" w:eastAsia="en-US"/>
              </w:rPr>
              <w:t xml:space="preserve">Estado: </w:t>
            </w:r>
            <w:r w:rsidRPr="006D319F">
              <w:rPr>
                <w:rFonts w:ascii="Cambria" w:eastAsia="Calibri" w:hAnsi="Cambria" w:cs="Times New Roman"/>
                <w:color w:val="000000"/>
                <w:sz w:val="20"/>
                <w:szCs w:val="20"/>
                <w:lang w:val="es-VE" w:eastAsia="en-US"/>
              </w:rPr>
              <w:t>Brasil</w:t>
            </w:r>
          </w:p>
          <w:p w14:paraId="6C14AF10" w14:textId="77777777" w:rsidR="00B21903" w:rsidRPr="006D319F" w:rsidRDefault="00B21903" w:rsidP="00892130">
            <w:pPr>
              <w:pStyle w:val="NoSpacing"/>
              <w:jc w:val="both"/>
              <w:rPr>
                <w:rFonts w:ascii="Cambria" w:eastAsia="Calibri" w:hAnsi="Cambria" w:cs="Times New Roman"/>
                <w:b/>
                <w:color w:val="000000"/>
                <w:sz w:val="20"/>
                <w:szCs w:val="20"/>
                <w:lang w:val="es-VE" w:eastAsia="en-US"/>
              </w:rPr>
            </w:pPr>
            <w:r w:rsidRPr="006D319F">
              <w:rPr>
                <w:rFonts w:ascii="Cambria" w:eastAsia="Calibri" w:hAnsi="Cambria" w:cs="Times New Roman"/>
                <w:b/>
                <w:color w:val="000000"/>
                <w:sz w:val="20"/>
                <w:szCs w:val="20"/>
                <w:lang w:val="es-VE" w:eastAsia="en-US"/>
              </w:rPr>
              <w:t>Informe de Fondo Nº</w:t>
            </w:r>
            <w:r w:rsidR="0073354B" w:rsidRPr="006D319F">
              <w:rPr>
                <w:rFonts w:ascii="Cambria" w:eastAsia="Calibri" w:hAnsi="Cambria" w:cs="Times New Roman"/>
                <w:b/>
                <w:color w:val="000000"/>
                <w:sz w:val="20"/>
                <w:szCs w:val="20"/>
                <w:lang w:val="es-VE" w:eastAsia="en-US"/>
              </w:rPr>
              <w:t>:</w:t>
            </w:r>
            <w:r w:rsidRPr="006D319F">
              <w:rPr>
                <w:rFonts w:ascii="Cambria" w:eastAsia="Calibri" w:hAnsi="Cambria" w:cs="Times New Roman"/>
                <w:color w:val="000000"/>
                <w:sz w:val="20"/>
                <w:szCs w:val="20"/>
                <w:lang w:val="es-VE" w:eastAsia="en-US"/>
              </w:rPr>
              <w:t xml:space="preserve"> </w:t>
            </w:r>
            <w:r w:rsidRPr="006D319F">
              <w:rPr>
                <w:rFonts w:ascii="Cambria" w:eastAsia="Calibri" w:hAnsi="Cambria" w:cs="Times New Roman"/>
                <w:color w:val="000000"/>
                <w:sz w:val="20"/>
                <w:szCs w:val="20"/>
                <w:lang w:val="es-VE" w:eastAsia="en-US"/>
              </w:rPr>
              <w:fldChar w:fldCharType="begin"/>
            </w:r>
            <w:r w:rsidRPr="006D319F">
              <w:rPr>
                <w:rFonts w:ascii="Cambria" w:eastAsia="Calibri" w:hAnsi="Cambria" w:cs="Times New Roman"/>
                <w:color w:val="000000"/>
                <w:sz w:val="20"/>
                <w:szCs w:val="20"/>
                <w:lang w:val="es-VE" w:eastAsia="en-US"/>
              </w:rPr>
              <w:instrText xml:space="preserve"> HYPERLINK "http://www.cidh.org/annualrep/2010sp/BRPU12308ES.doc" </w:instrText>
            </w:r>
            <w:r w:rsidRPr="006D319F">
              <w:rPr>
                <w:rFonts w:ascii="Cambria" w:eastAsia="Calibri" w:hAnsi="Cambria" w:cs="Times New Roman"/>
                <w:color w:val="000000"/>
                <w:sz w:val="20"/>
                <w:szCs w:val="20"/>
                <w:lang w:val="es-VE" w:eastAsia="en-US"/>
              </w:rPr>
            </w:r>
            <w:r w:rsidRPr="006D319F">
              <w:rPr>
                <w:rFonts w:ascii="Cambria" w:eastAsia="Calibri" w:hAnsi="Cambria" w:cs="Times New Roman"/>
                <w:color w:val="000000"/>
                <w:sz w:val="20"/>
                <w:szCs w:val="20"/>
                <w:lang w:val="es-VE" w:eastAsia="en-US"/>
              </w:rPr>
              <w:fldChar w:fldCharType="separate"/>
            </w:r>
            <w:r w:rsidRPr="006D319F">
              <w:rPr>
                <w:rFonts w:ascii="Cambria" w:eastAsia="Calibri" w:hAnsi="Cambria" w:cs="Times New Roman"/>
                <w:color w:val="000000"/>
                <w:sz w:val="20"/>
                <w:szCs w:val="20"/>
                <w:lang w:val="es-VE" w:eastAsia="en-US"/>
              </w:rPr>
              <w:t>3</w:t>
            </w:r>
            <w:r w:rsidRPr="006D319F">
              <w:rPr>
                <w:rFonts w:ascii="Cambria" w:eastAsia="Calibri" w:hAnsi="Cambria" w:cs="Times New Roman"/>
                <w:color w:val="000000"/>
                <w:sz w:val="20"/>
                <w:szCs w:val="20"/>
                <w:lang w:val="es-VE" w:eastAsia="en-US"/>
              </w:rPr>
              <w:t>7</w:t>
            </w:r>
            <w:r w:rsidRPr="006D319F">
              <w:rPr>
                <w:rFonts w:ascii="Cambria" w:eastAsia="Calibri" w:hAnsi="Cambria" w:cs="Times New Roman"/>
                <w:color w:val="000000"/>
                <w:sz w:val="20"/>
                <w:szCs w:val="20"/>
                <w:lang w:val="es-VE" w:eastAsia="en-US"/>
              </w:rPr>
              <w:t>/</w:t>
            </w:r>
            <w:r w:rsidRPr="006D319F">
              <w:rPr>
                <w:rFonts w:ascii="Cambria" w:eastAsia="Calibri" w:hAnsi="Cambria" w:cs="Times New Roman"/>
                <w:color w:val="000000"/>
                <w:sz w:val="20"/>
                <w:szCs w:val="20"/>
                <w:lang w:val="es-VE" w:eastAsia="en-US"/>
              </w:rPr>
              <w:t>10</w:t>
            </w:r>
            <w:r w:rsidRPr="006D319F">
              <w:rPr>
                <w:rFonts w:ascii="Cambria" w:eastAsia="Calibri" w:hAnsi="Cambria" w:cs="Times New Roman"/>
                <w:color w:val="000000"/>
                <w:sz w:val="20"/>
                <w:szCs w:val="20"/>
                <w:lang w:val="es-VE" w:eastAsia="en-US"/>
              </w:rPr>
              <w:fldChar w:fldCharType="end"/>
            </w:r>
            <w:r w:rsidRPr="006D319F">
              <w:rPr>
                <w:rFonts w:ascii="Cambria" w:eastAsia="Calibri" w:hAnsi="Cambria" w:cs="Times New Roman"/>
                <w:color w:val="000000"/>
                <w:sz w:val="20"/>
                <w:szCs w:val="20"/>
                <w:lang w:val="es-VE" w:eastAsia="en-US"/>
              </w:rPr>
              <w:t>, publicado el 17 de marzo de 2010</w:t>
            </w:r>
            <w:r w:rsidRPr="006D319F">
              <w:rPr>
                <w:rFonts w:ascii="Cambria" w:eastAsia="Calibri" w:hAnsi="Cambria" w:cs="Times New Roman"/>
                <w:b/>
                <w:color w:val="000000"/>
                <w:sz w:val="20"/>
                <w:szCs w:val="20"/>
                <w:lang w:val="es-VE" w:eastAsia="en-US"/>
              </w:rPr>
              <w:t xml:space="preserve"> </w:t>
            </w:r>
          </w:p>
          <w:p w14:paraId="708CD75F" w14:textId="77777777" w:rsidR="00B21903" w:rsidRPr="006D319F" w:rsidRDefault="00B21903" w:rsidP="00892130">
            <w:pPr>
              <w:pStyle w:val="NoSpacing"/>
              <w:jc w:val="both"/>
              <w:rPr>
                <w:rFonts w:ascii="Cambria" w:eastAsia="Calibri" w:hAnsi="Cambria" w:cs="Times New Roman"/>
                <w:b/>
                <w:color w:val="000000"/>
                <w:sz w:val="20"/>
                <w:szCs w:val="20"/>
                <w:lang w:val="es-VE" w:eastAsia="en-US"/>
              </w:rPr>
            </w:pPr>
            <w:r w:rsidRPr="006D319F">
              <w:rPr>
                <w:rFonts w:ascii="Cambria" w:eastAsia="Calibri" w:hAnsi="Cambria" w:cs="Times New Roman"/>
                <w:b/>
                <w:color w:val="000000"/>
                <w:sz w:val="20"/>
                <w:szCs w:val="20"/>
                <w:lang w:val="es-VE" w:eastAsia="en-US"/>
              </w:rPr>
              <w:t xml:space="preserve">Informe de Admisibilidad: </w:t>
            </w:r>
            <w:r w:rsidRPr="006D319F">
              <w:rPr>
                <w:rFonts w:ascii="Cambria" w:eastAsia="Calibri" w:hAnsi="Cambria" w:cs="Times New Roman"/>
                <w:color w:val="000000"/>
                <w:sz w:val="20"/>
                <w:szCs w:val="20"/>
                <w:lang w:val="es-VE" w:eastAsia="en-US"/>
              </w:rPr>
              <w:t>Analizado junto con el Informe de Fondo Nº 37/10</w:t>
            </w:r>
          </w:p>
          <w:p w14:paraId="662F3A57" w14:textId="77777777" w:rsidR="00AA03DA" w:rsidRPr="006D319F" w:rsidRDefault="00B21903" w:rsidP="00D8590A">
            <w:pPr>
              <w:pStyle w:val="NoSpacing"/>
              <w:contextualSpacing/>
              <w:jc w:val="both"/>
              <w:rPr>
                <w:rFonts w:ascii="Cambria" w:eastAsia="Calibri" w:hAnsi="Cambria" w:cs="Times New Roman"/>
                <w:color w:val="000000"/>
                <w:sz w:val="20"/>
                <w:szCs w:val="20"/>
                <w:lang w:val="es-VE" w:eastAsia="en-US"/>
              </w:rPr>
            </w:pPr>
            <w:r w:rsidRPr="006D319F">
              <w:rPr>
                <w:rFonts w:ascii="Cambria" w:eastAsia="Calibri" w:hAnsi="Cambria" w:cs="Times New Roman"/>
                <w:b/>
                <w:color w:val="000000"/>
                <w:sz w:val="20"/>
                <w:szCs w:val="20"/>
                <w:lang w:val="es-VE" w:eastAsia="en-US"/>
              </w:rPr>
              <w:t xml:space="preserve">Temas: </w:t>
            </w:r>
            <w:r w:rsidR="00F10FEA" w:rsidRPr="006D319F">
              <w:rPr>
                <w:rFonts w:ascii="Cambria" w:eastAsia="Calibri" w:hAnsi="Cambria" w:cs="Times New Roman"/>
                <w:color w:val="000000"/>
                <w:sz w:val="20"/>
                <w:szCs w:val="20"/>
                <w:lang w:val="es-VE" w:eastAsia="en-US"/>
              </w:rPr>
              <w:t>Derecho a la Vida /</w:t>
            </w:r>
            <w:r w:rsidR="00F10FEA" w:rsidRPr="006D319F">
              <w:rPr>
                <w:rFonts w:ascii="Cambria" w:eastAsia="Calibri" w:hAnsi="Cambria" w:cs="Times New Roman"/>
                <w:b/>
                <w:color w:val="000000"/>
                <w:sz w:val="20"/>
                <w:szCs w:val="20"/>
                <w:lang w:val="es-VE" w:eastAsia="en-US"/>
              </w:rPr>
              <w:t xml:space="preserve"> </w:t>
            </w:r>
            <w:r w:rsidR="00D8590A" w:rsidRPr="006D319F">
              <w:rPr>
                <w:rFonts w:ascii="Cambria" w:eastAsia="Times New Roman" w:hAnsi="Cambria"/>
                <w:color w:val="000000"/>
                <w:sz w:val="20"/>
                <w:szCs w:val="20"/>
                <w:lang w:val="es-MX" w:eastAsia="es-MX"/>
              </w:rPr>
              <w:t>Garantías Judiciales / Protección Judicial / Libertad de Pensamiento y de Expresión / Investigación y Debida Diligencia</w:t>
            </w:r>
          </w:p>
          <w:p w14:paraId="3CDE0BEC" w14:textId="77777777" w:rsidR="00AA03DA" w:rsidRPr="006D319F" w:rsidRDefault="00AA03DA" w:rsidP="00AA03DA">
            <w:pPr>
              <w:pStyle w:val="NoSpacing"/>
              <w:contextualSpacing/>
              <w:jc w:val="both"/>
              <w:rPr>
                <w:rFonts w:ascii="Cambria" w:eastAsia="Calibri" w:hAnsi="Cambria" w:cs="Times New Roman"/>
                <w:color w:val="000000"/>
                <w:sz w:val="20"/>
                <w:szCs w:val="20"/>
                <w:lang w:val="es-VE" w:eastAsia="en-US"/>
              </w:rPr>
            </w:pPr>
          </w:p>
          <w:p w14:paraId="2D7C414A" w14:textId="77777777" w:rsidR="00B21903" w:rsidRPr="006D319F" w:rsidRDefault="00B21903" w:rsidP="00AA03DA">
            <w:pPr>
              <w:pStyle w:val="NoSpacing"/>
              <w:contextualSpacing/>
              <w:jc w:val="both"/>
              <w:rPr>
                <w:rFonts w:ascii="Cambria" w:eastAsia="Calibri" w:hAnsi="Cambria" w:cs="Times New Roman"/>
                <w:color w:val="000000"/>
                <w:sz w:val="20"/>
                <w:szCs w:val="20"/>
                <w:lang w:val="es-VE" w:eastAsia="en-US"/>
              </w:rPr>
            </w:pPr>
            <w:r w:rsidRPr="006D319F">
              <w:rPr>
                <w:rFonts w:ascii="Cambria" w:eastAsia="Calibri" w:hAnsi="Cambria" w:cs="Times New Roman"/>
                <w:b/>
                <w:color w:val="000000"/>
                <w:sz w:val="20"/>
                <w:szCs w:val="20"/>
                <w:lang w:val="es-VE" w:eastAsia="en-US"/>
              </w:rPr>
              <w:t xml:space="preserve">Hechos: </w:t>
            </w:r>
            <w:r w:rsidRPr="006D319F">
              <w:rPr>
                <w:rFonts w:ascii="Cambria" w:eastAsia="Calibri" w:hAnsi="Cambria" w:cs="Times New Roman"/>
                <w:color w:val="000000"/>
                <w:sz w:val="20"/>
                <w:szCs w:val="20"/>
                <w:lang w:val="es-VE" w:eastAsia="en-US"/>
              </w:rPr>
              <w:t>El 14 de enero de 1998, Manoel Leal de Oliveira fue ejecutado en la ciudad de Itabuna, estado de Bahía, por pistoleros de la región. El hecho habría ocurrido tras la publicación de diversas denuncias en el periódico “A Região”, del que Manoel de Oliveira era editor, sobre la corrupción e irregularidades presuntamente cometidas</w:t>
            </w:r>
            <w:r w:rsidRPr="006D319F">
              <w:rPr>
                <w:rFonts w:ascii="Cambria" w:eastAsia="Calibri" w:hAnsi="Cambria" w:cs="Times New Roman"/>
                <w:color w:val="000000"/>
                <w:sz w:val="20"/>
                <w:szCs w:val="20"/>
                <w:lang w:val="es-ES" w:eastAsia="en-US"/>
              </w:rPr>
              <w:t xml:space="preserve"> por funcionarios del gobierno municipal y autoridades policiales. </w:t>
            </w:r>
            <w:proofErr w:type="spellStart"/>
            <w:r w:rsidRPr="006D319F">
              <w:rPr>
                <w:rFonts w:ascii="Cambria" w:eastAsia="Calibri" w:hAnsi="Cambria" w:cs="Times New Roman"/>
                <w:color w:val="000000"/>
                <w:sz w:val="20"/>
                <w:szCs w:val="20"/>
                <w:lang w:val="es-ES" w:eastAsia="en-US"/>
              </w:rPr>
              <w:t>Manoel</w:t>
            </w:r>
            <w:proofErr w:type="spellEnd"/>
            <w:r w:rsidRPr="006D319F">
              <w:rPr>
                <w:rFonts w:ascii="Cambria" w:eastAsia="Calibri" w:hAnsi="Cambria" w:cs="Times New Roman"/>
                <w:color w:val="000000"/>
                <w:sz w:val="20"/>
                <w:szCs w:val="20"/>
                <w:lang w:val="es-ES" w:eastAsia="en-US"/>
              </w:rPr>
              <w:t xml:space="preserve"> Leal de Oliveira era conocido en su ciudad por su inveterado activismo, llegando a responder a varios procesos judiciales por denunciar actos de corrupción que involucraban a políticos locales. </w:t>
            </w:r>
          </w:p>
          <w:p w14:paraId="12E18495" w14:textId="77777777" w:rsidR="00AA03DA" w:rsidRPr="006D319F" w:rsidRDefault="00AA03DA" w:rsidP="00AA03DA">
            <w:pPr>
              <w:pStyle w:val="NoSpacing"/>
              <w:contextualSpacing/>
              <w:jc w:val="both"/>
              <w:rPr>
                <w:rFonts w:ascii="Cambria" w:eastAsia="Calibri" w:hAnsi="Cambria" w:cs="Times New Roman"/>
                <w:b/>
                <w:color w:val="000000"/>
                <w:sz w:val="20"/>
                <w:szCs w:val="20"/>
                <w:lang w:val="es-ES" w:eastAsia="en-US"/>
              </w:rPr>
            </w:pPr>
          </w:p>
          <w:p w14:paraId="70A813A7" w14:textId="77777777" w:rsidR="00B21903" w:rsidRPr="006D319F" w:rsidRDefault="00B21903" w:rsidP="00AA03DA">
            <w:pPr>
              <w:pStyle w:val="NoSpacing"/>
              <w:spacing w:after="120"/>
              <w:contextualSpacing/>
              <w:jc w:val="both"/>
              <w:rPr>
                <w:rFonts w:ascii="Cambria" w:hAnsi="Cambria"/>
                <w:color w:val="000000"/>
                <w:sz w:val="20"/>
                <w:szCs w:val="20"/>
                <w:lang w:val="es-PY"/>
              </w:rPr>
            </w:pPr>
            <w:r w:rsidRPr="006D319F">
              <w:rPr>
                <w:rFonts w:ascii="Cambria" w:eastAsia="Calibri" w:hAnsi="Cambria" w:cs="Times New Roman"/>
                <w:b/>
                <w:color w:val="000000"/>
                <w:sz w:val="20"/>
                <w:szCs w:val="20"/>
                <w:lang w:val="es-ES" w:eastAsia="en-US"/>
              </w:rPr>
              <w:t>Derechos violados:</w:t>
            </w:r>
            <w:r w:rsidR="00F10FEA" w:rsidRPr="006D319F">
              <w:rPr>
                <w:rFonts w:ascii="Cambria" w:eastAsia="Calibri" w:hAnsi="Cambria" w:cs="Times New Roman"/>
                <w:color w:val="000000"/>
                <w:sz w:val="20"/>
                <w:szCs w:val="20"/>
                <w:lang w:val="es-ES" w:eastAsia="en-US"/>
              </w:rPr>
              <w:t xml:space="preserve"> La Comisión</w:t>
            </w:r>
            <w:r w:rsidRPr="006D319F">
              <w:rPr>
                <w:rFonts w:ascii="Cambria" w:eastAsia="Calibri" w:hAnsi="Cambria" w:cs="Times New Roman"/>
                <w:color w:val="000000"/>
                <w:sz w:val="20"/>
                <w:szCs w:val="20"/>
                <w:lang w:val="es-ES" w:eastAsia="en-US"/>
              </w:rPr>
              <w:t xml:space="preserve"> concluyó que el Estado brasileño es responsable de la violación de los derechos a la vida, a la libertad de expresión, a las garantías judiciales y a la protección judicial, consagrados, respectivamente, en los artículos 4, 13, 8 y 25 de la Convención Americana, en relación con el artículo 1(1) del mismo tratado, en perjuicio de </w:t>
            </w:r>
            <w:proofErr w:type="spellStart"/>
            <w:r w:rsidRPr="006D319F">
              <w:rPr>
                <w:rFonts w:ascii="Cambria" w:eastAsia="Calibri" w:hAnsi="Cambria" w:cs="Times New Roman"/>
                <w:color w:val="000000"/>
                <w:sz w:val="20"/>
                <w:szCs w:val="20"/>
                <w:lang w:val="es-ES" w:eastAsia="en-US"/>
              </w:rPr>
              <w:t>Manoel</w:t>
            </w:r>
            <w:proofErr w:type="spellEnd"/>
            <w:r w:rsidRPr="006D319F">
              <w:rPr>
                <w:rFonts w:ascii="Cambria" w:eastAsia="Calibri" w:hAnsi="Cambria" w:cs="Times New Roman"/>
                <w:color w:val="000000"/>
                <w:sz w:val="20"/>
                <w:szCs w:val="20"/>
                <w:lang w:val="es-ES" w:eastAsia="en-US"/>
              </w:rPr>
              <w:t xml:space="preserve"> Leal de Oliveira y sus familiares.</w:t>
            </w:r>
          </w:p>
        </w:tc>
      </w:tr>
    </w:tbl>
    <w:p w14:paraId="546A4F8D" w14:textId="77777777" w:rsidR="00B21903" w:rsidRPr="006D319F" w:rsidRDefault="00B21903" w:rsidP="00B21903">
      <w:pPr>
        <w:spacing w:after="0" w:line="240" w:lineRule="auto"/>
        <w:ind w:left="180"/>
        <w:rPr>
          <w:rFonts w:ascii="Cambria" w:hAnsi="Cambria"/>
          <w:color w:val="000000"/>
          <w:sz w:val="20"/>
          <w:szCs w:val="20"/>
          <w:lang w:val="es-ES"/>
        </w:rPr>
      </w:pPr>
    </w:p>
    <w:p w14:paraId="0D7AAEAA" w14:textId="77777777" w:rsidR="00B21903" w:rsidRPr="006D319F" w:rsidRDefault="00B21903" w:rsidP="0073354B">
      <w:pPr>
        <w:numPr>
          <w:ilvl w:val="0"/>
          <w:numId w:val="1"/>
        </w:numPr>
        <w:spacing w:after="0" w:line="240" w:lineRule="auto"/>
        <w:ind w:left="1440"/>
        <w:jc w:val="both"/>
        <w:rPr>
          <w:rFonts w:ascii="Cambria" w:hAnsi="Cambria" w:cs="Calibri Light"/>
          <w:b/>
          <w:color w:val="000000"/>
          <w:sz w:val="20"/>
          <w:szCs w:val="20"/>
          <w:lang w:val="es-US"/>
        </w:rPr>
      </w:pPr>
      <w:r w:rsidRPr="006D319F">
        <w:rPr>
          <w:rFonts w:ascii="Cambria" w:hAnsi="Cambria" w:cs="Calibri Light"/>
          <w:b/>
          <w:color w:val="000000"/>
          <w:sz w:val="20"/>
          <w:szCs w:val="20"/>
          <w:lang w:val="es-US"/>
        </w:rPr>
        <w:t xml:space="preserve">Recomendaciones </w:t>
      </w:r>
    </w:p>
    <w:p w14:paraId="368B6C73" w14:textId="77777777" w:rsidR="00B21903" w:rsidRPr="006D319F" w:rsidRDefault="00B21903" w:rsidP="00B21903">
      <w:pPr>
        <w:spacing w:after="0" w:line="240" w:lineRule="auto"/>
        <w:ind w:left="1080"/>
        <w:jc w:val="both"/>
        <w:rPr>
          <w:rFonts w:ascii="Cambria" w:hAnsi="Cambria" w:cs="Calibri Light"/>
          <w:color w:val="000000"/>
          <w:sz w:val="20"/>
          <w:szCs w:val="20"/>
          <w:lang w:val="es-U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0"/>
        <w:gridCol w:w="2268"/>
      </w:tblGrid>
      <w:tr w:rsidR="00B21903" w:rsidRPr="006D319F" w14:paraId="7C8B94B5" w14:textId="77777777" w:rsidTr="00147BE1">
        <w:tc>
          <w:tcPr>
            <w:tcW w:w="7290" w:type="dxa"/>
            <w:shd w:val="clear" w:color="auto" w:fill="auto"/>
            <w:vAlign w:val="center"/>
          </w:tcPr>
          <w:p w14:paraId="1DCC5690" w14:textId="77777777" w:rsidR="00B21903" w:rsidRPr="006D319F" w:rsidRDefault="00B21903" w:rsidP="00147BE1">
            <w:pPr>
              <w:spacing w:after="0" w:line="240" w:lineRule="auto"/>
              <w:jc w:val="center"/>
              <w:rPr>
                <w:rFonts w:ascii="Cambria" w:hAnsi="Cambria" w:cs="Calibri Light"/>
                <w:b/>
                <w:color w:val="000000"/>
                <w:sz w:val="18"/>
                <w:szCs w:val="18"/>
                <w:lang w:val="es-US"/>
              </w:rPr>
            </w:pPr>
            <w:r w:rsidRPr="006D319F">
              <w:rPr>
                <w:rFonts w:ascii="Cambria" w:hAnsi="Cambria" w:cs="Calibri Light"/>
                <w:b/>
                <w:color w:val="000000"/>
                <w:sz w:val="18"/>
                <w:szCs w:val="18"/>
                <w:lang w:val="es-US"/>
              </w:rPr>
              <w:t>Recomendaciones</w:t>
            </w:r>
          </w:p>
        </w:tc>
        <w:tc>
          <w:tcPr>
            <w:tcW w:w="2268" w:type="dxa"/>
            <w:shd w:val="clear" w:color="auto" w:fill="auto"/>
            <w:vAlign w:val="center"/>
          </w:tcPr>
          <w:p w14:paraId="4321A389" w14:textId="77777777" w:rsidR="00B21903" w:rsidRPr="006D319F" w:rsidRDefault="00B21903" w:rsidP="00147BE1">
            <w:pPr>
              <w:spacing w:after="0" w:line="240" w:lineRule="auto"/>
              <w:jc w:val="center"/>
              <w:rPr>
                <w:rFonts w:ascii="Cambria" w:hAnsi="Cambria" w:cs="Calibri Light"/>
                <w:b/>
                <w:color w:val="000000"/>
                <w:sz w:val="18"/>
                <w:szCs w:val="18"/>
                <w:lang w:val="es-US"/>
              </w:rPr>
            </w:pPr>
            <w:r w:rsidRPr="006D319F">
              <w:rPr>
                <w:rFonts w:ascii="Cambria" w:hAnsi="Cambria" w:cs="Calibri Light"/>
                <w:b/>
                <w:color w:val="000000"/>
                <w:sz w:val="18"/>
                <w:szCs w:val="18"/>
                <w:lang w:val="es-US"/>
              </w:rPr>
              <w:t>E</w:t>
            </w:r>
            <w:r w:rsidR="00702543" w:rsidRPr="006D319F">
              <w:rPr>
                <w:rFonts w:ascii="Cambria" w:hAnsi="Cambria" w:cs="Calibri Light"/>
                <w:b/>
                <w:color w:val="000000"/>
                <w:sz w:val="18"/>
                <w:szCs w:val="18"/>
                <w:lang w:val="es-US"/>
              </w:rPr>
              <w:t>stado de cumplimiento en el 20</w:t>
            </w:r>
            <w:r w:rsidR="005B385C" w:rsidRPr="006D319F">
              <w:rPr>
                <w:rFonts w:ascii="Cambria" w:hAnsi="Cambria" w:cs="Calibri Light"/>
                <w:b/>
                <w:color w:val="000000"/>
                <w:sz w:val="18"/>
                <w:szCs w:val="18"/>
                <w:lang w:val="es-US"/>
              </w:rPr>
              <w:t>21</w:t>
            </w:r>
          </w:p>
        </w:tc>
      </w:tr>
      <w:tr w:rsidR="00B21903" w:rsidRPr="006D319F" w14:paraId="413A8BD8" w14:textId="77777777" w:rsidTr="00147BE1">
        <w:trPr>
          <w:trHeight w:val="422"/>
        </w:trPr>
        <w:tc>
          <w:tcPr>
            <w:tcW w:w="7290" w:type="dxa"/>
            <w:shd w:val="clear" w:color="auto" w:fill="auto"/>
          </w:tcPr>
          <w:p w14:paraId="11D4F112" w14:textId="77777777" w:rsidR="00B21903" w:rsidRPr="006D319F" w:rsidRDefault="00B21903" w:rsidP="00147BE1">
            <w:pPr>
              <w:spacing w:after="0" w:line="240" w:lineRule="auto"/>
              <w:jc w:val="both"/>
              <w:rPr>
                <w:rFonts w:ascii="Cambria" w:hAnsi="Cambria" w:cs="Calibri Light"/>
                <w:color w:val="000000"/>
                <w:sz w:val="18"/>
                <w:szCs w:val="18"/>
                <w:lang w:val="es-US"/>
              </w:rPr>
            </w:pPr>
            <w:r w:rsidRPr="006D319F">
              <w:rPr>
                <w:rFonts w:ascii="Cambria" w:hAnsi="Cambria" w:cs="Calibri Light"/>
                <w:color w:val="000000"/>
                <w:sz w:val="18"/>
                <w:szCs w:val="18"/>
                <w:lang w:val="es-ES"/>
              </w:rPr>
              <w:t xml:space="preserve">1. </w:t>
            </w:r>
            <w:r w:rsidRPr="006D319F">
              <w:rPr>
                <w:rFonts w:ascii="Cambria" w:hAnsi="Cambria" w:cs="Calibri Light"/>
                <w:color w:val="000000"/>
                <w:sz w:val="18"/>
                <w:szCs w:val="18"/>
                <w:lang w:val="es-US"/>
              </w:rPr>
              <w:t>Reconozca públicamente su responsabilidad internacional por las violaciones de los derechos humanos determinadas por la CIDH en este informe.</w:t>
            </w:r>
          </w:p>
        </w:tc>
        <w:tc>
          <w:tcPr>
            <w:tcW w:w="2268" w:type="dxa"/>
            <w:shd w:val="clear" w:color="auto" w:fill="auto"/>
            <w:vAlign w:val="center"/>
          </w:tcPr>
          <w:p w14:paraId="31310932" w14:textId="77777777" w:rsidR="00B21903" w:rsidRPr="006D319F" w:rsidRDefault="00B21903" w:rsidP="005A3287">
            <w:pPr>
              <w:spacing w:after="0" w:line="240" w:lineRule="auto"/>
              <w:jc w:val="center"/>
              <w:rPr>
                <w:rFonts w:ascii="Cambria" w:hAnsi="Cambria"/>
                <w:color w:val="000000"/>
                <w:sz w:val="18"/>
                <w:szCs w:val="18"/>
              </w:rPr>
            </w:pPr>
            <w:proofErr w:type="spellStart"/>
            <w:r w:rsidRPr="006D319F">
              <w:rPr>
                <w:rFonts w:ascii="Cambria" w:hAnsi="Cambria"/>
                <w:color w:val="000000"/>
                <w:sz w:val="18"/>
                <w:szCs w:val="18"/>
              </w:rPr>
              <w:t>Cumplimiento</w:t>
            </w:r>
            <w:proofErr w:type="spellEnd"/>
            <w:r w:rsidRPr="006D319F">
              <w:rPr>
                <w:rFonts w:ascii="Cambria" w:hAnsi="Cambria"/>
                <w:color w:val="000000"/>
                <w:sz w:val="18"/>
                <w:szCs w:val="18"/>
              </w:rPr>
              <w:t xml:space="preserve"> total</w:t>
            </w:r>
            <w:r w:rsidRPr="006D319F">
              <w:rPr>
                <w:rStyle w:val="FootnoteReference"/>
                <w:rFonts w:ascii="Cambria" w:hAnsi="Cambria"/>
                <w:color w:val="000000"/>
                <w:sz w:val="18"/>
                <w:szCs w:val="18"/>
              </w:rPr>
              <w:footnoteReference w:id="1"/>
            </w:r>
          </w:p>
        </w:tc>
      </w:tr>
      <w:tr w:rsidR="00B21903" w:rsidRPr="006D319F" w14:paraId="678A562F" w14:textId="77777777" w:rsidTr="00147BE1">
        <w:trPr>
          <w:trHeight w:val="611"/>
        </w:trPr>
        <w:tc>
          <w:tcPr>
            <w:tcW w:w="7290" w:type="dxa"/>
            <w:shd w:val="clear" w:color="auto" w:fill="auto"/>
          </w:tcPr>
          <w:p w14:paraId="7E13BEA6" w14:textId="77777777" w:rsidR="00B21903" w:rsidRPr="006D319F" w:rsidRDefault="00B21903" w:rsidP="00147BE1">
            <w:pPr>
              <w:spacing w:after="0" w:line="240" w:lineRule="auto"/>
              <w:jc w:val="both"/>
              <w:rPr>
                <w:rFonts w:ascii="Cambria" w:hAnsi="Cambria"/>
                <w:color w:val="000000"/>
                <w:sz w:val="18"/>
                <w:szCs w:val="18"/>
                <w:lang w:val="es-US"/>
              </w:rPr>
            </w:pPr>
            <w:r w:rsidRPr="006D319F">
              <w:rPr>
                <w:rFonts w:ascii="Cambria" w:hAnsi="Cambria" w:cs="Arial"/>
                <w:color w:val="000000"/>
                <w:sz w:val="18"/>
                <w:szCs w:val="18"/>
                <w:lang w:val="es-PY"/>
              </w:rPr>
              <w:t>2. Realice una investigación completa, imparcial y efectiva de los hechos, de forma de determinar y sancionar a todos los autores materiales e intelectuales del asesinato de Manoel Leal de Oliveira.</w:t>
            </w:r>
          </w:p>
        </w:tc>
        <w:tc>
          <w:tcPr>
            <w:tcW w:w="2268" w:type="dxa"/>
            <w:shd w:val="clear" w:color="auto" w:fill="auto"/>
            <w:vAlign w:val="center"/>
          </w:tcPr>
          <w:p w14:paraId="5685D6B2" w14:textId="77777777" w:rsidR="00B21903" w:rsidRPr="006D319F" w:rsidRDefault="007510EA" w:rsidP="00147BE1">
            <w:pPr>
              <w:spacing w:after="0" w:line="240" w:lineRule="auto"/>
              <w:jc w:val="center"/>
              <w:rPr>
                <w:rFonts w:ascii="Cambria" w:hAnsi="Cambria"/>
                <w:color w:val="000000"/>
                <w:sz w:val="18"/>
                <w:szCs w:val="18"/>
                <w:lang w:val="es-US"/>
              </w:rPr>
            </w:pPr>
            <w:proofErr w:type="spellStart"/>
            <w:r w:rsidRPr="006D319F">
              <w:rPr>
                <w:rFonts w:ascii="Cambria" w:hAnsi="Cambria"/>
                <w:color w:val="000000"/>
                <w:sz w:val="18"/>
                <w:szCs w:val="18"/>
              </w:rPr>
              <w:t>Cumplimiento</w:t>
            </w:r>
            <w:proofErr w:type="spellEnd"/>
            <w:r w:rsidRPr="006D319F">
              <w:rPr>
                <w:rFonts w:ascii="Cambria" w:hAnsi="Cambria"/>
                <w:color w:val="000000"/>
                <w:sz w:val="18"/>
                <w:szCs w:val="18"/>
              </w:rPr>
              <w:t xml:space="preserve"> </w:t>
            </w:r>
            <w:proofErr w:type="spellStart"/>
            <w:r w:rsidRPr="006D319F">
              <w:rPr>
                <w:rFonts w:ascii="Cambria" w:hAnsi="Cambria"/>
                <w:color w:val="000000"/>
                <w:sz w:val="18"/>
                <w:szCs w:val="18"/>
              </w:rPr>
              <w:t>parcial</w:t>
            </w:r>
            <w:proofErr w:type="spellEnd"/>
          </w:p>
        </w:tc>
      </w:tr>
      <w:tr w:rsidR="00B21903" w:rsidRPr="006D319F" w14:paraId="6E1249F8" w14:textId="77777777" w:rsidTr="00784105">
        <w:trPr>
          <w:trHeight w:val="683"/>
        </w:trPr>
        <w:tc>
          <w:tcPr>
            <w:tcW w:w="7290" w:type="dxa"/>
            <w:shd w:val="clear" w:color="auto" w:fill="auto"/>
          </w:tcPr>
          <w:p w14:paraId="41193C04" w14:textId="77777777" w:rsidR="00B21903" w:rsidRPr="006D319F" w:rsidRDefault="00B21903" w:rsidP="00147BE1">
            <w:pPr>
              <w:spacing w:after="0" w:line="240" w:lineRule="auto"/>
              <w:jc w:val="both"/>
              <w:rPr>
                <w:rFonts w:ascii="Cambria" w:hAnsi="Cambria" w:cs="Arial"/>
                <w:color w:val="000000"/>
                <w:sz w:val="18"/>
                <w:szCs w:val="18"/>
                <w:lang w:val="es-PY"/>
              </w:rPr>
            </w:pPr>
            <w:r w:rsidRPr="006D319F">
              <w:rPr>
                <w:rFonts w:ascii="Cambria" w:hAnsi="Cambria" w:cs="Arial"/>
                <w:color w:val="000000"/>
                <w:sz w:val="18"/>
                <w:szCs w:val="18"/>
                <w:lang w:val="es-ES"/>
              </w:rPr>
              <w:t xml:space="preserve">3. </w:t>
            </w:r>
            <w:r w:rsidRPr="006D319F">
              <w:rPr>
                <w:rFonts w:ascii="Cambria" w:hAnsi="Cambria" w:cs="Arial"/>
                <w:color w:val="000000"/>
                <w:sz w:val="18"/>
                <w:szCs w:val="18"/>
                <w:lang w:val="es-PY"/>
              </w:rPr>
              <w:t>Realice una investigación completa, imparcial y efectiva de las irregularidades ocurridas a lo largo de la investigación policial del homicidio de Manoel Leal de Oliveira, incluidos los actos que procuraron dificultar la identificación de sus autores materiales e intelectuales.</w:t>
            </w:r>
          </w:p>
        </w:tc>
        <w:tc>
          <w:tcPr>
            <w:tcW w:w="2268" w:type="dxa"/>
            <w:shd w:val="clear" w:color="auto" w:fill="auto"/>
            <w:vAlign w:val="center"/>
          </w:tcPr>
          <w:p w14:paraId="0020315C" w14:textId="77777777" w:rsidR="00B21903" w:rsidRPr="006D319F" w:rsidRDefault="00FE0D74" w:rsidP="00147BE1">
            <w:pPr>
              <w:spacing w:after="0" w:line="240" w:lineRule="auto"/>
              <w:jc w:val="center"/>
              <w:rPr>
                <w:rFonts w:ascii="Cambria" w:hAnsi="Cambria"/>
                <w:color w:val="000000"/>
                <w:sz w:val="18"/>
                <w:szCs w:val="18"/>
                <w:lang w:val="es-US"/>
              </w:rPr>
            </w:pPr>
            <w:proofErr w:type="spellStart"/>
            <w:r w:rsidRPr="006D319F">
              <w:rPr>
                <w:rFonts w:ascii="Cambria" w:hAnsi="Cambria"/>
                <w:color w:val="000000"/>
                <w:sz w:val="18"/>
                <w:szCs w:val="18"/>
              </w:rPr>
              <w:t>Cumplimiento</w:t>
            </w:r>
            <w:proofErr w:type="spellEnd"/>
            <w:r w:rsidRPr="006D319F">
              <w:rPr>
                <w:rFonts w:ascii="Cambria" w:hAnsi="Cambria"/>
                <w:color w:val="000000"/>
                <w:sz w:val="18"/>
                <w:szCs w:val="18"/>
              </w:rPr>
              <w:t xml:space="preserve"> </w:t>
            </w:r>
            <w:proofErr w:type="spellStart"/>
            <w:r w:rsidRPr="006D319F">
              <w:rPr>
                <w:rFonts w:ascii="Cambria" w:hAnsi="Cambria"/>
                <w:color w:val="000000"/>
                <w:sz w:val="18"/>
                <w:szCs w:val="18"/>
              </w:rPr>
              <w:t>parcial</w:t>
            </w:r>
            <w:proofErr w:type="spellEnd"/>
          </w:p>
        </w:tc>
      </w:tr>
      <w:tr w:rsidR="00B21903" w:rsidRPr="006D319F" w14:paraId="7C4D7455" w14:textId="77777777" w:rsidTr="00147BE1">
        <w:tc>
          <w:tcPr>
            <w:tcW w:w="7290" w:type="dxa"/>
            <w:shd w:val="clear" w:color="auto" w:fill="auto"/>
          </w:tcPr>
          <w:p w14:paraId="4EACAE19" w14:textId="77777777" w:rsidR="00B21903" w:rsidRPr="006D319F" w:rsidRDefault="00B21903" w:rsidP="00147BE1">
            <w:pPr>
              <w:spacing w:after="0" w:line="240" w:lineRule="auto"/>
              <w:jc w:val="both"/>
              <w:rPr>
                <w:rFonts w:ascii="Cambria" w:hAnsi="Cambria" w:cs="Arial"/>
                <w:color w:val="000000"/>
                <w:sz w:val="18"/>
                <w:szCs w:val="18"/>
                <w:lang w:val="es-PY"/>
              </w:rPr>
            </w:pPr>
            <w:r w:rsidRPr="006D319F">
              <w:rPr>
                <w:rFonts w:ascii="Cambria" w:hAnsi="Cambria" w:cs="Arial"/>
                <w:color w:val="000000"/>
                <w:sz w:val="18"/>
                <w:szCs w:val="18"/>
                <w:lang w:val="es-PY"/>
              </w:rPr>
              <w:t>4. Indemnice a la familia de Manoel Leal de Oliveira por los daños sufridos. Dicha indemnización debe ser calculada conforme a los parámetros internacionales y debe ser por un monto suficiente para resarcir, tanto los daños materiales, como los daños morales sufridos por los familiares de la víctima.</w:t>
            </w:r>
          </w:p>
        </w:tc>
        <w:tc>
          <w:tcPr>
            <w:tcW w:w="2268" w:type="dxa"/>
            <w:shd w:val="clear" w:color="auto" w:fill="auto"/>
            <w:vAlign w:val="center"/>
          </w:tcPr>
          <w:p w14:paraId="519FD8D0" w14:textId="77777777" w:rsidR="00B21903" w:rsidRPr="006D319F" w:rsidRDefault="00B21903" w:rsidP="005A3287">
            <w:pPr>
              <w:spacing w:after="0" w:line="240" w:lineRule="auto"/>
              <w:jc w:val="center"/>
              <w:rPr>
                <w:rFonts w:ascii="Cambria" w:hAnsi="Cambria"/>
                <w:color w:val="000000"/>
                <w:sz w:val="18"/>
                <w:szCs w:val="18"/>
              </w:rPr>
            </w:pPr>
            <w:proofErr w:type="spellStart"/>
            <w:r w:rsidRPr="006D319F">
              <w:rPr>
                <w:rFonts w:ascii="Cambria" w:hAnsi="Cambria"/>
                <w:color w:val="000000"/>
                <w:sz w:val="18"/>
                <w:szCs w:val="18"/>
              </w:rPr>
              <w:t>Cumplimiento</w:t>
            </w:r>
            <w:proofErr w:type="spellEnd"/>
            <w:r w:rsidRPr="006D319F">
              <w:rPr>
                <w:rFonts w:ascii="Cambria" w:hAnsi="Cambria"/>
                <w:color w:val="000000"/>
                <w:sz w:val="18"/>
                <w:szCs w:val="18"/>
              </w:rPr>
              <w:t xml:space="preserve"> total</w:t>
            </w:r>
            <w:r w:rsidRPr="006D319F">
              <w:rPr>
                <w:rStyle w:val="FootnoteReference"/>
                <w:rFonts w:ascii="Cambria" w:hAnsi="Cambria"/>
                <w:color w:val="000000"/>
                <w:sz w:val="18"/>
                <w:szCs w:val="18"/>
              </w:rPr>
              <w:footnoteReference w:id="2"/>
            </w:r>
          </w:p>
        </w:tc>
      </w:tr>
      <w:tr w:rsidR="00B21903" w:rsidRPr="006D319F" w14:paraId="6E7F1DF2" w14:textId="77777777" w:rsidTr="00147BE1">
        <w:tc>
          <w:tcPr>
            <w:tcW w:w="7290" w:type="dxa"/>
            <w:shd w:val="clear" w:color="auto" w:fill="auto"/>
          </w:tcPr>
          <w:p w14:paraId="4274D9BD" w14:textId="77777777" w:rsidR="00B21903" w:rsidRPr="006D319F" w:rsidRDefault="00B21903" w:rsidP="00147BE1">
            <w:pPr>
              <w:spacing w:after="0" w:line="240" w:lineRule="auto"/>
              <w:jc w:val="both"/>
              <w:rPr>
                <w:rFonts w:ascii="Cambria" w:hAnsi="Cambria" w:cs="Arial"/>
                <w:color w:val="000000"/>
                <w:sz w:val="18"/>
                <w:szCs w:val="18"/>
                <w:lang w:val="es-PY"/>
              </w:rPr>
            </w:pPr>
            <w:r w:rsidRPr="006D319F">
              <w:rPr>
                <w:rFonts w:ascii="Cambria" w:hAnsi="Cambria" w:cs="Arial"/>
                <w:color w:val="000000"/>
                <w:sz w:val="18"/>
                <w:szCs w:val="18"/>
                <w:lang w:val="es-ES"/>
              </w:rPr>
              <w:t xml:space="preserve">5. </w:t>
            </w:r>
            <w:r w:rsidRPr="006D319F">
              <w:rPr>
                <w:rFonts w:ascii="Cambria" w:hAnsi="Cambria" w:cs="Arial"/>
                <w:color w:val="000000"/>
                <w:sz w:val="18"/>
                <w:szCs w:val="18"/>
                <w:lang w:val="es-PY"/>
              </w:rPr>
              <w:t xml:space="preserve">Realice actos con la finalidad de recuperar la memoria histórica de Manoel Leal de Oliveira y de los demás periodistas asesinados en el estado de Bahia durante la década de 1990, </w:t>
            </w:r>
            <w:r w:rsidRPr="006D319F">
              <w:rPr>
                <w:rFonts w:ascii="Cambria" w:hAnsi="Cambria" w:cs="Arial"/>
                <w:color w:val="000000"/>
                <w:sz w:val="18"/>
                <w:szCs w:val="18"/>
                <w:lang w:val="es-PY"/>
              </w:rPr>
              <w:lastRenderedPageBreak/>
              <w:t xml:space="preserve">conforme a lo mencionado </w:t>
            </w:r>
            <w:r w:rsidRPr="006D319F">
              <w:rPr>
                <w:rFonts w:ascii="Cambria" w:hAnsi="Cambria" w:cs="Arial"/>
                <w:i/>
                <w:color w:val="000000"/>
                <w:sz w:val="18"/>
                <w:szCs w:val="18"/>
                <w:lang w:val="es-PY"/>
              </w:rPr>
              <w:t>supra</w:t>
            </w:r>
            <w:r w:rsidRPr="006D319F">
              <w:rPr>
                <w:rFonts w:ascii="Cambria" w:hAnsi="Cambria" w:cs="Arial"/>
                <w:color w:val="000000"/>
                <w:sz w:val="18"/>
                <w:szCs w:val="18"/>
                <w:lang w:val="es-PY"/>
              </w:rPr>
              <w:t xml:space="preserve"> en el párrafo 46, y a las conclusiones sobre la responsabilidad internacional del Estado de Brasil determinada en el presente informe.</w:t>
            </w:r>
          </w:p>
        </w:tc>
        <w:tc>
          <w:tcPr>
            <w:tcW w:w="2268" w:type="dxa"/>
            <w:shd w:val="clear" w:color="auto" w:fill="auto"/>
            <w:vAlign w:val="center"/>
          </w:tcPr>
          <w:p w14:paraId="17D2010D" w14:textId="77777777" w:rsidR="00B21903" w:rsidRPr="006D319F" w:rsidRDefault="00B21903" w:rsidP="005A3287">
            <w:pPr>
              <w:spacing w:after="0" w:line="240" w:lineRule="auto"/>
              <w:jc w:val="center"/>
              <w:rPr>
                <w:rFonts w:ascii="Cambria" w:hAnsi="Cambria"/>
                <w:color w:val="000000"/>
                <w:sz w:val="18"/>
                <w:szCs w:val="18"/>
              </w:rPr>
            </w:pPr>
            <w:proofErr w:type="spellStart"/>
            <w:r w:rsidRPr="006D319F">
              <w:rPr>
                <w:rFonts w:ascii="Cambria" w:eastAsia="MS Mincho" w:hAnsi="Cambria"/>
                <w:bCs/>
                <w:color w:val="000000"/>
                <w:sz w:val="18"/>
                <w:szCs w:val="18"/>
                <w:lang w:eastAsia="es-ES_tradnl"/>
              </w:rPr>
              <w:lastRenderedPageBreak/>
              <w:t>Cumplimiento</w:t>
            </w:r>
            <w:proofErr w:type="spellEnd"/>
            <w:r w:rsidRPr="006D319F">
              <w:rPr>
                <w:rFonts w:ascii="Cambria" w:eastAsia="MS Mincho" w:hAnsi="Cambria"/>
                <w:bCs/>
                <w:color w:val="000000"/>
                <w:sz w:val="18"/>
                <w:szCs w:val="18"/>
                <w:lang w:eastAsia="es-ES_tradnl"/>
              </w:rPr>
              <w:t xml:space="preserve"> total</w:t>
            </w:r>
            <w:r w:rsidRPr="006D319F">
              <w:rPr>
                <w:rStyle w:val="FootnoteReference"/>
                <w:rFonts w:ascii="Cambria" w:hAnsi="Cambria"/>
                <w:color w:val="000000"/>
                <w:sz w:val="18"/>
                <w:szCs w:val="18"/>
              </w:rPr>
              <w:footnoteReference w:id="3"/>
            </w:r>
          </w:p>
        </w:tc>
      </w:tr>
      <w:tr w:rsidR="00B21903" w:rsidRPr="006D319F" w14:paraId="599FDBDA" w14:textId="77777777" w:rsidTr="00147BE1">
        <w:tc>
          <w:tcPr>
            <w:tcW w:w="7290" w:type="dxa"/>
            <w:shd w:val="clear" w:color="auto" w:fill="auto"/>
          </w:tcPr>
          <w:p w14:paraId="1DACBF08" w14:textId="77777777" w:rsidR="00B21903" w:rsidRPr="006D319F" w:rsidRDefault="00B21903" w:rsidP="00147BE1">
            <w:pPr>
              <w:spacing w:after="0" w:line="240" w:lineRule="auto"/>
              <w:jc w:val="both"/>
              <w:rPr>
                <w:rFonts w:ascii="Cambria" w:hAnsi="Cambria"/>
                <w:color w:val="000000"/>
                <w:sz w:val="18"/>
                <w:szCs w:val="18"/>
                <w:lang w:val="es-PY"/>
              </w:rPr>
            </w:pPr>
            <w:r w:rsidRPr="006D319F">
              <w:rPr>
                <w:rFonts w:ascii="Cambria" w:hAnsi="Cambria"/>
                <w:color w:val="000000"/>
                <w:sz w:val="18"/>
                <w:szCs w:val="18"/>
                <w:lang w:val="es-US"/>
              </w:rPr>
              <w:t xml:space="preserve">6. </w:t>
            </w:r>
            <w:r w:rsidRPr="006D319F">
              <w:rPr>
                <w:rFonts w:ascii="Cambria" w:hAnsi="Cambria"/>
                <w:color w:val="000000"/>
                <w:sz w:val="18"/>
                <w:szCs w:val="18"/>
                <w:lang w:val="es-PY"/>
              </w:rPr>
              <w:t>Adopte, de forma prioritaria, una política global de protección del trabajo de los periodistas y centralice, como política pública, el combate a la impunidad en relación con el asesinato, la agresión y la amenaza a periodistas, a través de investigaciones exhaustivas e independientes de tales hechos, y sancione a sus autores materiales e intelectuales.</w:t>
            </w:r>
          </w:p>
        </w:tc>
        <w:tc>
          <w:tcPr>
            <w:tcW w:w="2268" w:type="dxa"/>
            <w:shd w:val="clear" w:color="auto" w:fill="auto"/>
            <w:vAlign w:val="center"/>
          </w:tcPr>
          <w:p w14:paraId="072961F6" w14:textId="77777777" w:rsidR="00B21903" w:rsidRPr="006D319F" w:rsidRDefault="00B21903" w:rsidP="00147BE1">
            <w:pPr>
              <w:spacing w:after="0" w:line="240" w:lineRule="auto"/>
              <w:jc w:val="center"/>
              <w:rPr>
                <w:rFonts w:ascii="Cambria" w:hAnsi="Cambria"/>
                <w:color w:val="000000"/>
                <w:sz w:val="18"/>
                <w:szCs w:val="18"/>
                <w:lang w:val="es-US"/>
              </w:rPr>
            </w:pPr>
            <w:proofErr w:type="spellStart"/>
            <w:r w:rsidRPr="006D319F">
              <w:rPr>
                <w:rFonts w:ascii="Cambria" w:hAnsi="Cambria"/>
                <w:color w:val="000000"/>
                <w:sz w:val="18"/>
                <w:szCs w:val="18"/>
              </w:rPr>
              <w:t>Cumplimiento</w:t>
            </w:r>
            <w:proofErr w:type="spellEnd"/>
            <w:r w:rsidRPr="006D319F">
              <w:rPr>
                <w:rFonts w:ascii="Cambria" w:hAnsi="Cambria"/>
                <w:color w:val="000000"/>
                <w:sz w:val="18"/>
                <w:szCs w:val="18"/>
              </w:rPr>
              <w:t xml:space="preserve"> </w:t>
            </w:r>
            <w:proofErr w:type="spellStart"/>
            <w:r w:rsidRPr="006D319F">
              <w:rPr>
                <w:rFonts w:ascii="Cambria" w:hAnsi="Cambria"/>
                <w:color w:val="000000"/>
                <w:sz w:val="18"/>
                <w:szCs w:val="18"/>
              </w:rPr>
              <w:t>parcial</w:t>
            </w:r>
            <w:proofErr w:type="spellEnd"/>
            <w:r w:rsidR="00441866" w:rsidRPr="006D319F">
              <w:rPr>
                <w:rFonts w:ascii="Cambria" w:hAnsi="Cambria"/>
                <w:color w:val="000000"/>
                <w:sz w:val="18"/>
                <w:szCs w:val="18"/>
              </w:rPr>
              <w:t xml:space="preserve"> </w:t>
            </w:r>
            <w:proofErr w:type="spellStart"/>
            <w:r w:rsidR="00441866" w:rsidRPr="006D319F">
              <w:rPr>
                <w:rFonts w:ascii="Cambria" w:hAnsi="Cambria"/>
                <w:color w:val="000000"/>
                <w:sz w:val="18"/>
                <w:szCs w:val="18"/>
              </w:rPr>
              <w:t>sustancial</w:t>
            </w:r>
            <w:proofErr w:type="spellEnd"/>
          </w:p>
        </w:tc>
      </w:tr>
    </w:tbl>
    <w:p w14:paraId="64C230F4" w14:textId="77777777" w:rsidR="00B21903" w:rsidRPr="006D319F" w:rsidRDefault="00B21903" w:rsidP="00B21903">
      <w:pPr>
        <w:spacing w:after="0" w:line="240" w:lineRule="auto"/>
        <w:jc w:val="both"/>
        <w:rPr>
          <w:rFonts w:ascii="Cambria" w:hAnsi="Cambria" w:cs="Calibri Light"/>
          <w:b/>
          <w:color w:val="000000"/>
          <w:sz w:val="20"/>
          <w:szCs w:val="20"/>
          <w:lang w:val="es-US"/>
        </w:rPr>
      </w:pPr>
    </w:p>
    <w:p w14:paraId="08DCFD06" w14:textId="77777777" w:rsidR="00B21903" w:rsidRPr="006D319F" w:rsidRDefault="00B21903" w:rsidP="00147BE1">
      <w:pPr>
        <w:pStyle w:val="ListParagraph"/>
        <w:numPr>
          <w:ilvl w:val="0"/>
          <w:numId w:val="1"/>
        </w:numPr>
        <w:spacing w:after="0" w:line="240" w:lineRule="auto"/>
        <w:ind w:left="1440"/>
        <w:jc w:val="both"/>
        <w:rPr>
          <w:rFonts w:ascii="Cambria" w:hAnsi="Cambria" w:cs="Calibri Light"/>
          <w:b/>
          <w:color w:val="000000"/>
          <w:sz w:val="20"/>
          <w:szCs w:val="20"/>
        </w:rPr>
      </w:pPr>
      <w:proofErr w:type="spellStart"/>
      <w:r w:rsidRPr="006D319F">
        <w:rPr>
          <w:rFonts w:ascii="Cambria" w:hAnsi="Cambria"/>
          <w:b/>
          <w:color w:val="000000"/>
          <w:sz w:val="20"/>
          <w:szCs w:val="20"/>
        </w:rPr>
        <w:t>Actividad</w:t>
      </w:r>
      <w:proofErr w:type="spellEnd"/>
      <w:r w:rsidRPr="006D319F">
        <w:rPr>
          <w:rFonts w:ascii="Cambria" w:hAnsi="Cambria"/>
          <w:b/>
          <w:color w:val="000000"/>
          <w:sz w:val="20"/>
          <w:szCs w:val="20"/>
        </w:rPr>
        <w:t xml:space="preserve"> </w:t>
      </w:r>
      <w:proofErr w:type="spellStart"/>
      <w:r w:rsidRPr="006D319F">
        <w:rPr>
          <w:rFonts w:ascii="Cambria" w:hAnsi="Cambria"/>
          <w:b/>
          <w:color w:val="000000"/>
          <w:sz w:val="20"/>
          <w:szCs w:val="20"/>
        </w:rPr>
        <w:t>Procesal</w:t>
      </w:r>
      <w:proofErr w:type="spellEnd"/>
    </w:p>
    <w:p w14:paraId="20E396BD" w14:textId="77777777" w:rsidR="00B21903" w:rsidRPr="006D319F" w:rsidRDefault="00B21903" w:rsidP="00B21903">
      <w:pPr>
        <w:pStyle w:val="ListParagraph"/>
        <w:spacing w:after="0" w:line="240" w:lineRule="auto"/>
        <w:jc w:val="both"/>
        <w:rPr>
          <w:rFonts w:ascii="Cambria" w:hAnsi="Cambria"/>
          <w:b/>
          <w:color w:val="000000"/>
          <w:sz w:val="20"/>
          <w:szCs w:val="20"/>
        </w:rPr>
      </w:pPr>
    </w:p>
    <w:p w14:paraId="561A960B" w14:textId="77777777" w:rsidR="00702543" w:rsidRPr="006D319F" w:rsidRDefault="00702543" w:rsidP="00A946F0">
      <w:pPr>
        <w:pStyle w:val="NoSpacing"/>
        <w:numPr>
          <w:ilvl w:val="0"/>
          <w:numId w:val="16"/>
        </w:numPr>
        <w:ind w:firstLine="720"/>
        <w:jc w:val="both"/>
        <w:rPr>
          <w:rFonts w:ascii="Cambria" w:hAnsi="Cambria"/>
          <w:color w:val="000000"/>
          <w:sz w:val="20"/>
          <w:szCs w:val="20"/>
          <w:lang w:val="es-ES"/>
        </w:rPr>
      </w:pPr>
      <w:r w:rsidRPr="006D319F">
        <w:rPr>
          <w:rFonts w:ascii="Cambria" w:hAnsi="Cambria"/>
          <w:color w:val="000000"/>
          <w:sz w:val="20"/>
          <w:szCs w:val="20"/>
          <w:lang w:val="es-ES"/>
        </w:rPr>
        <w:t>El 7 de marzo de 2020, en el marco de 175 Periodo de Sesiones de esta Comisión, las partes sostuvieron una reunión de trabajo con el objetivo de abordar diversos temas relacion</w:t>
      </w:r>
      <w:r w:rsidR="000114EC" w:rsidRPr="006D319F">
        <w:rPr>
          <w:rFonts w:ascii="Cambria" w:hAnsi="Cambria"/>
          <w:color w:val="000000"/>
          <w:sz w:val="20"/>
          <w:szCs w:val="20"/>
          <w:lang w:val="es-ES"/>
        </w:rPr>
        <w:t>a</w:t>
      </w:r>
      <w:r w:rsidRPr="006D319F">
        <w:rPr>
          <w:rFonts w:ascii="Cambria" w:hAnsi="Cambria"/>
          <w:color w:val="000000"/>
          <w:sz w:val="20"/>
          <w:szCs w:val="20"/>
          <w:lang w:val="es-ES"/>
        </w:rPr>
        <w:t>dos con el cumplimiento de las recomendaciones contenidas en el Informe Nº 37/10.</w:t>
      </w:r>
    </w:p>
    <w:p w14:paraId="54FB057A" w14:textId="77777777" w:rsidR="00702543" w:rsidRPr="006D319F" w:rsidRDefault="00702543" w:rsidP="00702543">
      <w:pPr>
        <w:pStyle w:val="NoSpacing"/>
        <w:ind w:left="720"/>
        <w:jc w:val="both"/>
        <w:rPr>
          <w:rFonts w:ascii="Cambria" w:hAnsi="Cambria"/>
          <w:color w:val="000000"/>
          <w:sz w:val="20"/>
          <w:szCs w:val="20"/>
          <w:lang w:val="es-ES"/>
        </w:rPr>
      </w:pPr>
    </w:p>
    <w:p w14:paraId="3D0DFF39" w14:textId="77777777" w:rsidR="00A946F0" w:rsidRPr="006D319F" w:rsidRDefault="00702543" w:rsidP="00A946F0">
      <w:pPr>
        <w:pStyle w:val="NoSpacing"/>
        <w:numPr>
          <w:ilvl w:val="0"/>
          <w:numId w:val="16"/>
        </w:numPr>
        <w:ind w:firstLine="720"/>
        <w:jc w:val="both"/>
        <w:rPr>
          <w:rFonts w:ascii="Cambria" w:hAnsi="Cambria"/>
          <w:color w:val="000000"/>
          <w:sz w:val="20"/>
          <w:szCs w:val="20"/>
          <w:lang w:val="es-ES"/>
        </w:rPr>
      </w:pPr>
      <w:r w:rsidRPr="006D319F">
        <w:rPr>
          <w:rFonts w:ascii="Cambria" w:hAnsi="Cambria"/>
          <w:color w:val="000000"/>
          <w:sz w:val="20"/>
          <w:szCs w:val="20"/>
          <w:lang w:val="es-ES" w:eastAsia="pt-BR"/>
        </w:rPr>
        <w:t>En 202</w:t>
      </w:r>
      <w:r w:rsidR="005B385C" w:rsidRPr="006D319F">
        <w:rPr>
          <w:rFonts w:ascii="Cambria" w:hAnsi="Cambria"/>
          <w:color w:val="000000"/>
          <w:sz w:val="20"/>
          <w:szCs w:val="20"/>
          <w:lang w:val="es-ES" w:eastAsia="pt-BR"/>
        </w:rPr>
        <w:t>1</w:t>
      </w:r>
      <w:r w:rsidR="00D22A08" w:rsidRPr="006D319F">
        <w:rPr>
          <w:rFonts w:ascii="Cambria" w:hAnsi="Cambria"/>
          <w:color w:val="000000"/>
          <w:sz w:val="20"/>
          <w:szCs w:val="20"/>
          <w:lang w:val="es-ES" w:eastAsia="pt-BR"/>
        </w:rPr>
        <w:t xml:space="preserve">, la CIDH solicitó </w:t>
      </w:r>
      <w:r w:rsidR="00D24BE4" w:rsidRPr="006D319F">
        <w:rPr>
          <w:rFonts w:ascii="Cambria" w:hAnsi="Cambria"/>
          <w:color w:val="000000"/>
          <w:sz w:val="20"/>
          <w:szCs w:val="20"/>
          <w:lang w:val="es-ES" w:eastAsia="pt-BR"/>
        </w:rPr>
        <w:t xml:space="preserve">al Estado </w:t>
      </w:r>
      <w:r w:rsidRPr="006D319F">
        <w:rPr>
          <w:rFonts w:ascii="Cambria" w:hAnsi="Cambria"/>
          <w:color w:val="000000"/>
          <w:sz w:val="20"/>
          <w:szCs w:val="20"/>
          <w:lang w:val="es-ES" w:eastAsia="pt-BR"/>
        </w:rPr>
        <w:t xml:space="preserve">información actualizada el </w:t>
      </w:r>
      <w:r w:rsidR="005B385C" w:rsidRPr="006D319F">
        <w:rPr>
          <w:rFonts w:ascii="Cambria" w:hAnsi="Cambria"/>
          <w:color w:val="000000"/>
          <w:sz w:val="20"/>
          <w:szCs w:val="20"/>
          <w:lang w:val="es-ES" w:eastAsia="pt-BR"/>
        </w:rPr>
        <w:t>19</w:t>
      </w:r>
      <w:r w:rsidR="00D22A08" w:rsidRPr="006D319F">
        <w:rPr>
          <w:rFonts w:ascii="Cambria" w:hAnsi="Cambria"/>
          <w:color w:val="000000"/>
          <w:sz w:val="20"/>
          <w:szCs w:val="20"/>
          <w:lang w:val="es-ES" w:eastAsia="pt-BR"/>
        </w:rPr>
        <w:t xml:space="preserve"> de </w:t>
      </w:r>
      <w:r w:rsidRPr="006D319F">
        <w:rPr>
          <w:rFonts w:ascii="Cambria" w:hAnsi="Cambria"/>
          <w:color w:val="000000"/>
          <w:sz w:val="20"/>
          <w:szCs w:val="20"/>
          <w:lang w:val="es-ES" w:eastAsia="pt-BR"/>
        </w:rPr>
        <w:t>agosto</w:t>
      </w:r>
      <w:r w:rsidR="00D24BE4" w:rsidRPr="006D319F">
        <w:rPr>
          <w:rFonts w:ascii="Cambria" w:hAnsi="Cambria"/>
          <w:color w:val="000000"/>
          <w:sz w:val="20"/>
          <w:szCs w:val="20"/>
          <w:lang w:val="es-ES" w:eastAsia="pt-BR"/>
        </w:rPr>
        <w:t>.</w:t>
      </w:r>
      <w:r w:rsidR="00D22A08" w:rsidRPr="006D319F">
        <w:rPr>
          <w:rFonts w:ascii="Cambria" w:hAnsi="Cambria"/>
          <w:color w:val="000000"/>
          <w:sz w:val="20"/>
          <w:szCs w:val="20"/>
          <w:lang w:val="es-ES" w:eastAsia="pt-BR"/>
        </w:rPr>
        <w:t xml:space="preserve"> E</w:t>
      </w:r>
      <w:r w:rsidRPr="006D319F">
        <w:rPr>
          <w:rFonts w:ascii="Cambria" w:hAnsi="Cambria"/>
          <w:color w:val="000000"/>
          <w:sz w:val="20"/>
          <w:szCs w:val="20"/>
          <w:lang w:val="es-ES" w:eastAsia="pt-BR"/>
        </w:rPr>
        <w:t>l Estado solicitó</w:t>
      </w:r>
      <w:r w:rsidR="005B385C" w:rsidRPr="006D319F">
        <w:rPr>
          <w:rFonts w:ascii="Cambria" w:hAnsi="Cambria"/>
          <w:color w:val="000000"/>
          <w:sz w:val="20"/>
          <w:szCs w:val="20"/>
          <w:lang w:val="es-ES" w:eastAsia="pt-BR"/>
        </w:rPr>
        <w:t xml:space="preserve"> una</w:t>
      </w:r>
      <w:r w:rsidRPr="006D319F">
        <w:rPr>
          <w:rFonts w:ascii="Cambria" w:hAnsi="Cambria"/>
          <w:color w:val="000000"/>
          <w:sz w:val="20"/>
          <w:szCs w:val="20"/>
          <w:lang w:val="es-ES" w:eastAsia="pt-BR"/>
        </w:rPr>
        <w:t xml:space="preserve"> prórroga el</w:t>
      </w:r>
      <w:r w:rsidR="005B385C" w:rsidRPr="006D319F">
        <w:rPr>
          <w:rFonts w:ascii="Cambria" w:hAnsi="Cambria"/>
          <w:color w:val="000000"/>
          <w:sz w:val="20"/>
          <w:szCs w:val="20"/>
          <w:lang w:val="es-ES" w:eastAsia="pt-BR"/>
        </w:rPr>
        <w:t xml:space="preserve"> 21</w:t>
      </w:r>
      <w:r w:rsidR="00D22A08" w:rsidRPr="006D319F">
        <w:rPr>
          <w:rFonts w:ascii="Cambria" w:hAnsi="Cambria"/>
          <w:color w:val="000000"/>
          <w:sz w:val="20"/>
          <w:szCs w:val="20"/>
          <w:lang w:val="es-ES" w:eastAsia="pt-BR"/>
        </w:rPr>
        <w:t xml:space="preserve"> de </w:t>
      </w:r>
      <w:r w:rsidRPr="006D319F">
        <w:rPr>
          <w:rFonts w:ascii="Cambria" w:hAnsi="Cambria"/>
          <w:color w:val="000000"/>
          <w:sz w:val="20"/>
          <w:szCs w:val="20"/>
          <w:lang w:val="es-ES" w:eastAsia="pt-BR"/>
        </w:rPr>
        <w:t>septiembre</w:t>
      </w:r>
      <w:r w:rsidR="00D22A08" w:rsidRPr="006D319F">
        <w:rPr>
          <w:rFonts w:ascii="Cambria" w:hAnsi="Cambria"/>
          <w:color w:val="000000"/>
          <w:sz w:val="20"/>
          <w:szCs w:val="20"/>
          <w:lang w:val="es-ES" w:eastAsia="pt-BR"/>
        </w:rPr>
        <w:t xml:space="preserve"> y </w:t>
      </w:r>
      <w:r w:rsidR="005B385C" w:rsidRPr="006D319F">
        <w:rPr>
          <w:rFonts w:ascii="Cambria" w:hAnsi="Cambria"/>
          <w:color w:val="000000"/>
          <w:sz w:val="20"/>
          <w:szCs w:val="20"/>
          <w:lang w:val="es-ES" w:eastAsia="pt-BR"/>
        </w:rPr>
        <w:t xml:space="preserve">proporcionó esta información </w:t>
      </w:r>
      <w:r w:rsidR="00D22A08" w:rsidRPr="006D319F">
        <w:rPr>
          <w:rFonts w:ascii="Cambria" w:hAnsi="Cambria"/>
          <w:color w:val="000000"/>
          <w:sz w:val="20"/>
          <w:szCs w:val="20"/>
          <w:lang w:val="es-ES" w:eastAsia="pt-BR"/>
        </w:rPr>
        <w:t xml:space="preserve">el </w:t>
      </w:r>
      <w:r w:rsidRPr="006D319F">
        <w:rPr>
          <w:rFonts w:ascii="Cambria" w:hAnsi="Cambria"/>
          <w:color w:val="000000"/>
          <w:sz w:val="20"/>
          <w:szCs w:val="20"/>
          <w:lang w:val="es-ES" w:eastAsia="pt-BR"/>
        </w:rPr>
        <w:t>1</w:t>
      </w:r>
      <w:r w:rsidR="005B385C" w:rsidRPr="006D319F">
        <w:rPr>
          <w:rFonts w:ascii="Cambria" w:hAnsi="Cambria"/>
          <w:color w:val="000000"/>
          <w:sz w:val="20"/>
          <w:szCs w:val="20"/>
          <w:lang w:val="es-ES" w:eastAsia="pt-BR"/>
        </w:rPr>
        <w:t>5</w:t>
      </w:r>
      <w:r w:rsidR="00D22A08" w:rsidRPr="006D319F">
        <w:rPr>
          <w:rFonts w:ascii="Cambria" w:hAnsi="Cambria"/>
          <w:color w:val="000000"/>
          <w:sz w:val="20"/>
          <w:szCs w:val="20"/>
          <w:lang w:val="es-ES" w:eastAsia="pt-BR"/>
        </w:rPr>
        <w:t xml:space="preserve"> de octubre</w:t>
      </w:r>
      <w:r w:rsidR="00D24BE4" w:rsidRPr="006D319F">
        <w:rPr>
          <w:rFonts w:ascii="Cambria" w:hAnsi="Cambria"/>
          <w:color w:val="000000"/>
          <w:sz w:val="20"/>
          <w:szCs w:val="20"/>
          <w:lang w:val="es-ES"/>
        </w:rPr>
        <w:t xml:space="preserve">. </w:t>
      </w:r>
    </w:p>
    <w:p w14:paraId="5D0508BE" w14:textId="77777777" w:rsidR="00A946F0" w:rsidRPr="006D319F" w:rsidRDefault="00A946F0" w:rsidP="00A946F0">
      <w:pPr>
        <w:pStyle w:val="NoSpacing"/>
        <w:ind w:left="720"/>
        <w:jc w:val="both"/>
        <w:rPr>
          <w:rFonts w:ascii="Cambria" w:hAnsi="Cambria"/>
          <w:color w:val="000000"/>
          <w:sz w:val="20"/>
          <w:szCs w:val="20"/>
          <w:lang w:val="es-ES"/>
        </w:rPr>
      </w:pPr>
    </w:p>
    <w:p w14:paraId="252D5577" w14:textId="77777777" w:rsidR="00702543" w:rsidRPr="006D319F" w:rsidRDefault="005B385C" w:rsidP="00702543">
      <w:pPr>
        <w:pStyle w:val="NoSpacing"/>
        <w:numPr>
          <w:ilvl w:val="0"/>
          <w:numId w:val="16"/>
        </w:numPr>
        <w:ind w:firstLine="720"/>
        <w:jc w:val="both"/>
        <w:rPr>
          <w:rFonts w:ascii="Cambria" w:hAnsi="Cambria"/>
          <w:color w:val="000000"/>
          <w:sz w:val="20"/>
          <w:szCs w:val="20"/>
          <w:lang w:val="es-ES"/>
        </w:rPr>
      </w:pPr>
      <w:r w:rsidRPr="006D319F">
        <w:rPr>
          <w:rFonts w:ascii="Cambria" w:hAnsi="Cambria"/>
          <w:color w:val="000000"/>
          <w:sz w:val="20"/>
          <w:szCs w:val="20"/>
          <w:lang w:val="es-ES" w:eastAsia="pt-BR"/>
        </w:rPr>
        <w:t>L</w:t>
      </w:r>
      <w:r w:rsidR="00D24BE4" w:rsidRPr="006D319F">
        <w:rPr>
          <w:rFonts w:ascii="Cambria" w:hAnsi="Cambria"/>
          <w:color w:val="000000"/>
          <w:sz w:val="20"/>
          <w:szCs w:val="20"/>
          <w:lang w:val="es-ES" w:eastAsia="pt-BR"/>
        </w:rPr>
        <w:t xml:space="preserve">a CIDH solicitó a los peticionarios información actualizada sobre el cumplimiento </w:t>
      </w:r>
      <w:r w:rsidR="00443400" w:rsidRPr="006D319F">
        <w:rPr>
          <w:rFonts w:ascii="Cambria" w:hAnsi="Cambria"/>
          <w:color w:val="000000"/>
          <w:sz w:val="20"/>
          <w:szCs w:val="20"/>
          <w:lang w:val="es-ES" w:eastAsia="pt-BR"/>
        </w:rPr>
        <w:t xml:space="preserve">el </w:t>
      </w:r>
      <w:r w:rsidRPr="006D319F">
        <w:rPr>
          <w:rFonts w:ascii="Cambria" w:hAnsi="Cambria"/>
          <w:color w:val="000000"/>
          <w:sz w:val="20"/>
          <w:szCs w:val="20"/>
          <w:lang w:val="es-ES" w:eastAsia="pt-BR"/>
        </w:rPr>
        <w:t>19</w:t>
      </w:r>
      <w:r w:rsidR="00443400" w:rsidRPr="006D319F">
        <w:rPr>
          <w:rFonts w:ascii="Cambria" w:hAnsi="Cambria"/>
          <w:color w:val="000000"/>
          <w:sz w:val="20"/>
          <w:szCs w:val="20"/>
          <w:lang w:val="es-ES" w:eastAsia="pt-BR"/>
        </w:rPr>
        <w:t xml:space="preserve"> de </w:t>
      </w:r>
      <w:r w:rsidR="00702543" w:rsidRPr="006D319F">
        <w:rPr>
          <w:rFonts w:ascii="Cambria" w:hAnsi="Cambria"/>
          <w:color w:val="000000"/>
          <w:sz w:val="20"/>
          <w:szCs w:val="20"/>
          <w:lang w:val="es-ES" w:eastAsia="pt-BR"/>
        </w:rPr>
        <w:t>agosto</w:t>
      </w:r>
      <w:r w:rsidRPr="006D319F">
        <w:rPr>
          <w:rFonts w:ascii="Cambria" w:hAnsi="Cambria"/>
          <w:color w:val="000000"/>
          <w:sz w:val="20"/>
          <w:szCs w:val="20"/>
          <w:lang w:val="es-ES" w:eastAsia="pt-BR"/>
        </w:rPr>
        <w:t xml:space="preserve"> de 2021</w:t>
      </w:r>
      <w:r w:rsidR="00D24BE4" w:rsidRPr="006D319F">
        <w:rPr>
          <w:rFonts w:ascii="Cambria" w:hAnsi="Cambria"/>
          <w:color w:val="000000"/>
          <w:sz w:val="20"/>
          <w:szCs w:val="20"/>
          <w:lang w:val="es-US" w:eastAsia="pt-BR"/>
        </w:rPr>
        <w:t>.</w:t>
      </w:r>
      <w:r w:rsidR="00443400" w:rsidRPr="006D319F">
        <w:rPr>
          <w:rFonts w:ascii="Cambria" w:hAnsi="Cambria"/>
          <w:color w:val="000000"/>
          <w:sz w:val="20"/>
          <w:szCs w:val="20"/>
          <w:lang w:val="es-US" w:eastAsia="pt-BR"/>
        </w:rPr>
        <w:t xml:space="preserve"> </w:t>
      </w:r>
      <w:r w:rsidRPr="006D319F">
        <w:rPr>
          <w:rFonts w:ascii="Cambria" w:eastAsia="Cambria" w:hAnsi="Cambria" w:cs="Cambria"/>
          <w:color w:val="000000"/>
          <w:sz w:val="20"/>
          <w:szCs w:val="20"/>
          <w:lang w:val="es-CO"/>
        </w:rPr>
        <w:t>A la fecha de cierre del presente informe, la parte peticionaria no había proporcionado la información solicitada.</w:t>
      </w:r>
    </w:p>
    <w:p w14:paraId="5734740C" w14:textId="77777777" w:rsidR="00D24BE4" w:rsidRPr="006D319F" w:rsidRDefault="00D24BE4" w:rsidP="00702543">
      <w:pPr>
        <w:pStyle w:val="NoSpacing"/>
        <w:ind w:left="1440"/>
        <w:jc w:val="both"/>
        <w:rPr>
          <w:rFonts w:ascii="Cambria" w:hAnsi="Cambria"/>
          <w:color w:val="000000"/>
          <w:sz w:val="20"/>
          <w:szCs w:val="20"/>
          <w:lang w:val="es-ES"/>
        </w:rPr>
      </w:pPr>
    </w:p>
    <w:p w14:paraId="1254C495" w14:textId="77777777" w:rsidR="00D22A08" w:rsidRPr="006D319F" w:rsidRDefault="00D22A08" w:rsidP="00D22A08">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6D319F">
        <w:rPr>
          <w:rFonts w:ascii="Cambria" w:hAnsi="Cambria"/>
          <w:b/>
          <w:color w:val="000000"/>
          <w:sz w:val="20"/>
          <w:szCs w:val="20"/>
          <w:lang w:val="es-MX"/>
        </w:rPr>
        <w:t>Análisis relativo a la información proporcionada</w:t>
      </w:r>
    </w:p>
    <w:p w14:paraId="590641E6" w14:textId="77777777" w:rsidR="00A946F0" w:rsidRPr="006D319F" w:rsidRDefault="00A946F0" w:rsidP="00A946F0">
      <w:pPr>
        <w:pStyle w:val="NoSpacing"/>
        <w:ind w:left="720"/>
        <w:jc w:val="both"/>
        <w:rPr>
          <w:rFonts w:ascii="Cambria" w:hAnsi="Cambria"/>
          <w:color w:val="000000"/>
          <w:sz w:val="20"/>
          <w:szCs w:val="20"/>
          <w:lang w:val="es-ES"/>
        </w:rPr>
      </w:pPr>
    </w:p>
    <w:p w14:paraId="601AF01E" w14:textId="77777777" w:rsidR="00A946F0" w:rsidRPr="006D319F" w:rsidRDefault="00A946F0" w:rsidP="00A946F0">
      <w:pPr>
        <w:pStyle w:val="NoSpacing"/>
        <w:numPr>
          <w:ilvl w:val="0"/>
          <w:numId w:val="16"/>
        </w:numPr>
        <w:ind w:firstLine="720"/>
        <w:jc w:val="both"/>
        <w:rPr>
          <w:rFonts w:ascii="Cambria" w:hAnsi="Cambria"/>
          <w:color w:val="000000"/>
          <w:sz w:val="20"/>
          <w:szCs w:val="20"/>
          <w:lang w:val="es-ES"/>
        </w:rPr>
      </w:pPr>
      <w:r w:rsidRPr="006D319F">
        <w:rPr>
          <w:rFonts w:ascii="Cambria" w:hAnsi="Cambria"/>
          <w:color w:val="000000"/>
          <w:sz w:val="20"/>
          <w:szCs w:val="20"/>
          <w:lang w:val="es-ES" w:eastAsia="pt-BR"/>
        </w:rPr>
        <w:t xml:space="preserve"> La Comisión considera que la información aportada por </w:t>
      </w:r>
      <w:r w:rsidR="005B385C" w:rsidRPr="006D319F">
        <w:rPr>
          <w:rFonts w:ascii="Cambria" w:hAnsi="Cambria"/>
          <w:color w:val="000000"/>
          <w:sz w:val="20"/>
          <w:szCs w:val="20"/>
          <w:lang w:val="es-ES" w:eastAsia="pt-BR"/>
        </w:rPr>
        <w:t>el Estado en 2021</w:t>
      </w:r>
      <w:r w:rsidRPr="006D319F">
        <w:rPr>
          <w:rFonts w:ascii="Cambria" w:hAnsi="Cambria"/>
          <w:color w:val="000000"/>
          <w:sz w:val="20"/>
          <w:szCs w:val="20"/>
          <w:lang w:val="es-ES" w:eastAsia="pt-BR"/>
        </w:rPr>
        <w:t xml:space="preserve"> es relevante respecto al cumplimiento de al menos una de las recomendaciones contenidas en el informe </w:t>
      </w:r>
      <w:r w:rsidR="00702543" w:rsidRPr="006D319F">
        <w:rPr>
          <w:rFonts w:ascii="Cambria" w:hAnsi="Cambria"/>
          <w:color w:val="000000"/>
          <w:sz w:val="20"/>
          <w:szCs w:val="20"/>
          <w:lang w:val="es-ES" w:eastAsia="pt-BR"/>
        </w:rPr>
        <w:t>N</w:t>
      </w:r>
      <w:r w:rsidR="00290A43" w:rsidRPr="006D319F">
        <w:rPr>
          <w:rFonts w:ascii="Cambria" w:hAnsi="Cambria"/>
          <w:color w:val="000000"/>
          <w:sz w:val="20"/>
          <w:szCs w:val="20"/>
          <w:lang w:val="es-ES" w:eastAsia="pt-BR"/>
        </w:rPr>
        <w:t>o.</w:t>
      </w:r>
      <w:r w:rsidR="00702543" w:rsidRPr="006D319F">
        <w:rPr>
          <w:rFonts w:ascii="Cambria" w:hAnsi="Cambria"/>
          <w:color w:val="000000"/>
          <w:sz w:val="20"/>
          <w:szCs w:val="20"/>
          <w:lang w:val="es-ES" w:eastAsia="pt-BR"/>
        </w:rPr>
        <w:t xml:space="preserve"> </w:t>
      </w:r>
      <w:r w:rsidRPr="006D319F">
        <w:rPr>
          <w:rFonts w:ascii="Cambria" w:hAnsi="Cambria"/>
          <w:color w:val="000000"/>
          <w:sz w:val="20"/>
          <w:szCs w:val="20"/>
          <w:lang w:val="es-ES" w:eastAsia="pt-BR"/>
        </w:rPr>
        <w:t>37/10.</w:t>
      </w:r>
    </w:p>
    <w:p w14:paraId="047A8765" w14:textId="77777777" w:rsidR="00B21903" w:rsidRPr="006D319F" w:rsidRDefault="00B21903" w:rsidP="00B21903">
      <w:pPr>
        <w:spacing w:after="0" w:line="240" w:lineRule="auto"/>
        <w:jc w:val="both"/>
        <w:rPr>
          <w:rFonts w:ascii="Cambria" w:hAnsi="Cambria" w:cs="Calibri Light"/>
          <w:b/>
          <w:color w:val="000000"/>
          <w:sz w:val="20"/>
          <w:szCs w:val="20"/>
          <w:lang w:val="es-ES_tradnl"/>
        </w:rPr>
      </w:pPr>
    </w:p>
    <w:p w14:paraId="6BA8CEA8" w14:textId="77777777" w:rsidR="00B21903" w:rsidRPr="006D319F" w:rsidRDefault="00B21903" w:rsidP="00F81DA3">
      <w:pPr>
        <w:pStyle w:val="ListParagraph"/>
        <w:numPr>
          <w:ilvl w:val="0"/>
          <w:numId w:val="1"/>
        </w:numPr>
        <w:spacing w:after="0" w:line="240" w:lineRule="auto"/>
        <w:ind w:left="1440"/>
        <w:jc w:val="both"/>
        <w:rPr>
          <w:rFonts w:ascii="Cambria" w:hAnsi="Cambria" w:cs="Calibri Light"/>
          <w:b/>
          <w:color w:val="000000"/>
          <w:sz w:val="20"/>
          <w:szCs w:val="20"/>
          <w:lang w:val="es-ES_tradnl"/>
        </w:rPr>
      </w:pPr>
      <w:r w:rsidRPr="006D319F">
        <w:rPr>
          <w:rFonts w:ascii="Cambria" w:hAnsi="Cambria" w:cs="Calibri Light"/>
          <w:b/>
          <w:color w:val="000000"/>
          <w:sz w:val="20"/>
          <w:szCs w:val="20"/>
          <w:lang w:val="es-US"/>
        </w:rPr>
        <w:t>Análisis del cumplimiento de las recomendaciones</w:t>
      </w:r>
    </w:p>
    <w:p w14:paraId="460D003D" w14:textId="77777777" w:rsidR="00B21903" w:rsidRPr="006D319F" w:rsidRDefault="00B21903" w:rsidP="00B21903">
      <w:pPr>
        <w:spacing w:after="0" w:line="240" w:lineRule="auto"/>
        <w:jc w:val="both"/>
        <w:rPr>
          <w:rFonts w:ascii="Cambria" w:hAnsi="Cambria" w:cs="Calibri Light"/>
          <w:color w:val="000000"/>
          <w:sz w:val="20"/>
          <w:szCs w:val="20"/>
          <w:lang w:val="es-US"/>
        </w:rPr>
      </w:pPr>
    </w:p>
    <w:p w14:paraId="7BCEEBB7" w14:textId="77777777" w:rsidR="00A946F0" w:rsidRPr="006D319F" w:rsidRDefault="00B21903" w:rsidP="000114EC">
      <w:pPr>
        <w:pStyle w:val="ListParagraph"/>
        <w:numPr>
          <w:ilvl w:val="0"/>
          <w:numId w:val="16"/>
        </w:numPr>
        <w:spacing w:after="0" w:line="240" w:lineRule="auto"/>
        <w:ind w:left="0" w:firstLine="810"/>
        <w:jc w:val="both"/>
        <w:rPr>
          <w:rFonts w:ascii="Cambria" w:hAnsi="Cambria" w:cs="Calibri Light"/>
          <w:color w:val="000000"/>
          <w:sz w:val="20"/>
          <w:szCs w:val="20"/>
          <w:lang w:val="es-US"/>
        </w:rPr>
      </w:pPr>
      <w:r w:rsidRPr="006D319F">
        <w:rPr>
          <w:rFonts w:ascii="Cambria" w:hAnsi="Cambria" w:cs="Calibri Light"/>
          <w:b/>
          <w:color w:val="000000"/>
          <w:sz w:val="20"/>
          <w:szCs w:val="20"/>
          <w:lang w:val="es-US"/>
        </w:rPr>
        <w:t xml:space="preserve">En relación con la segunda recomendación, </w:t>
      </w:r>
      <w:r w:rsidRPr="006D319F">
        <w:rPr>
          <w:rFonts w:ascii="Cambria" w:hAnsi="Cambria" w:cs="Calibri Light"/>
          <w:color w:val="000000"/>
          <w:sz w:val="20"/>
          <w:szCs w:val="20"/>
          <w:lang w:val="es-US"/>
        </w:rPr>
        <w:t xml:space="preserve">en 2018, el Estado informó que el acusado, </w:t>
      </w:r>
      <w:proofErr w:type="spellStart"/>
      <w:r w:rsidRPr="006D319F">
        <w:rPr>
          <w:rFonts w:ascii="Cambria" w:hAnsi="Cambria" w:cs="Calibri Light"/>
          <w:color w:val="000000"/>
          <w:sz w:val="20"/>
          <w:szCs w:val="20"/>
          <w:lang w:val="es-US"/>
        </w:rPr>
        <w:t>Marcone</w:t>
      </w:r>
      <w:proofErr w:type="spellEnd"/>
      <w:r w:rsidRPr="006D319F">
        <w:rPr>
          <w:rFonts w:ascii="Cambria" w:hAnsi="Cambria" w:cs="Calibri Light"/>
          <w:color w:val="000000"/>
          <w:sz w:val="20"/>
          <w:szCs w:val="20"/>
          <w:lang w:val="es-US"/>
        </w:rPr>
        <w:t xml:space="preserve"> </w:t>
      </w:r>
      <w:proofErr w:type="spellStart"/>
      <w:r w:rsidRPr="006D319F">
        <w:rPr>
          <w:rFonts w:ascii="Cambria" w:hAnsi="Cambria" w:cs="Calibri Light"/>
          <w:color w:val="000000"/>
          <w:sz w:val="20"/>
          <w:szCs w:val="20"/>
          <w:lang w:val="es-US"/>
        </w:rPr>
        <w:t>Sarmento</w:t>
      </w:r>
      <w:proofErr w:type="spellEnd"/>
      <w:r w:rsidRPr="006D319F">
        <w:rPr>
          <w:rFonts w:ascii="Cambria" w:hAnsi="Cambria" w:cs="Calibri Light"/>
          <w:color w:val="000000"/>
          <w:sz w:val="20"/>
          <w:szCs w:val="20"/>
          <w:lang w:val="es-US"/>
        </w:rPr>
        <w:t xml:space="preserve"> </w:t>
      </w:r>
      <w:r w:rsidRPr="006D319F">
        <w:rPr>
          <w:rFonts w:ascii="Cambria" w:eastAsia="Times New Roman" w:hAnsi="Cambria" w:cs="Courier New"/>
          <w:color w:val="000000"/>
          <w:sz w:val="20"/>
          <w:szCs w:val="20"/>
          <w:lang w:val="es-ES"/>
        </w:rPr>
        <w:t xml:space="preserve">fue llevado a juicio ante el Tribunal de Jurado de la Comarca de </w:t>
      </w:r>
      <w:proofErr w:type="spellStart"/>
      <w:r w:rsidRPr="006D319F">
        <w:rPr>
          <w:rFonts w:ascii="Cambria" w:eastAsia="Times New Roman" w:hAnsi="Cambria" w:cs="Courier New"/>
          <w:color w:val="000000"/>
          <w:sz w:val="20"/>
          <w:szCs w:val="20"/>
          <w:lang w:val="es-ES"/>
        </w:rPr>
        <w:t>Itabuna</w:t>
      </w:r>
      <w:proofErr w:type="spellEnd"/>
      <w:r w:rsidRPr="006D319F">
        <w:rPr>
          <w:rFonts w:ascii="Cambria" w:eastAsia="Times New Roman" w:hAnsi="Cambria" w:cs="Courier New"/>
          <w:color w:val="000000"/>
          <w:sz w:val="20"/>
          <w:szCs w:val="20"/>
          <w:lang w:val="es-ES"/>
        </w:rPr>
        <w:t xml:space="preserve">/BA y el 6 de diciembre de 2005 fue absuelto. Este acto procesal fue anulado por la Primera Cámara Criminal del Tribunal de Justicia del Estado de Bahía, previa provisión unánime de recurso del Ministerio Público. En consecuencia, el acusado </w:t>
      </w:r>
      <w:proofErr w:type="spellStart"/>
      <w:r w:rsidRPr="006D319F">
        <w:rPr>
          <w:rFonts w:ascii="Cambria" w:eastAsia="Times New Roman" w:hAnsi="Cambria" w:cs="Courier New"/>
          <w:color w:val="000000"/>
          <w:sz w:val="20"/>
          <w:szCs w:val="20"/>
          <w:lang w:val="es-ES"/>
        </w:rPr>
        <w:t>Marcone</w:t>
      </w:r>
      <w:proofErr w:type="spellEnd"/>
      <w:r w:rsidRPr="006D319F">
        <w:rPr>
          <w:rFonts w:ascii="Cambria" w:eastAsia="Times New Roman" w:hAnsi="Cambria" w:cs="Courier New"/>
          <w:color w:val="000000"/>
          <w:sz w:val="20"/>
          <w:szCs w:val="20"/>
          <w:lang w:val="es-ES"/>
        </w:rPr>
        <w:t xml:space="preserve"> </w:t>
      </w:r>
      <w:proofErr w:type="spellStart"/>
      <w:r w:rsidRPr="006D319F">
        <w:rPr>
          <w:rFonts w:ascii="Cambria" w:eastAsia="Times New Roman" w:hAnsi="Cambria" w:cs="Courier New"/>
          <w:color w:val="000000"/>
          <w:sz w:val="20"/>
          <w:szCs w:val="20"/>
          <w:lang w:val="es-ES"/>
        </w:rPr>
        <w:t>Sarmento</w:t>
      </w:r>
      <w:proofErr w:type="spellEnd"/>
      <w:r w:rsidRPr="006D319F">
        <w:rPr>
          <w:rFonts w:ascii="Cambria" w:eastAsia="Times New Roman" w:hAnsi="Cambria" w:cs="Courier New"/>
          <w:color w:val="000000"/>
          <w:sz w:val="20"/>
          <w:szCs w:val="20"/>
          <w:lang w:val="es-ES"/>
        </w:rPr>
        <w:t xml:space="preserve"> será sometido a un nuevo juici</w:t>
      </w:r>
      <w:r w:rsidR="00E144E2" w:rsidRPr="006D319F">
        <w:rPr>
          <w:rFonts w:ascii="Cambria" w:eastAsia="Times New Roman" w:hAnsi="Cambria" w:cs="Courier New"/>
          <w:color w:val="000000"/>
          <w:sz w:val="20"/>
          <w:szCs w:val="20"/>
          <w:lang w:val="es-ES"/>
        </w:rPr>
        <w:t>o. Al respecto, el Estado indic</w:t>
      </w:r>
      <w:r w:rsidRPr="006D319F">
        <w:rPr>
          <w:rFonts w:ascii="Cambria" w:eastAsia="Times New Roman" w:hAnsi="Cambria" w:cs="Courier New"/>
          <w:color w:val="000000"/>
          <w:sz w:val="20"/>
          <w:szCs w:val="20"/>
          <w:lang w:val="es-ES"/>
        </w:rPr>
        <w:t xml:space="preserve">ó que el Ministerio Público </w:t>
      </w:r>
      <w:r w:rsidR="00E144E2" w:rsidRPr="006D319F">
        <w:rPr>
          <w:rFonts w:ascii="Cambria" w:eastAsia="Times New Roman" w:hAnsi="Cambria" w:cs="Courier New"/>
          <w:color w:val="000000"/>
          <w:sz w:val="20"/>
          <w:szCs w:val="20"/>
          <w:lang w:val="es-ES"/>
        </w:rPr>
        <w:t xml:space="preserve">del estado de Bahía </w:t>
      </w:r>
      <w:r w:rsidRPr="006D319F">
        <w:rPr>
          <w:rFonts w:ascii="Cambria" w:eastAsia="Times New Roman" w:hAnsi="Cambria" w:cs="Courier New"/>
          <w:color w:val="000000"/>
          <w:sz w:val="20"/>
          <w:szCs w:val="20"/>
          <w:lang w:val="es-ES"/>
        </w:rPr>
        <w:t xml:space="preserve">formuló </w:t>
      </w:r>
      <w:r w:rsidR="00E144E2" w:rsidRPr="006D319F">
        <w:rPr>
          <w:rFonts w:ascii="Cambria" w:eastAsia="Times New Roman" w:hAnsi="Cambria" w:cs="Courier New"/>
          <w:i/>
          <w:color w:val="000000"/>
          <w:sz w:val="20"/>
          <w:szCs w:val="20"/>
          <w:lang w:val="es-ES"/>
        </w:rPr>
        <w:t xml:space="preserve">pedido de </w:t>
      </w:r>
      <w:proofErr w:type="spellStart"/>
      <w:r w:rsidR="00E144E2" w:rsidRPr="006D319F">
        <w:rPr>
          <w:rFonts w:ascii="Cambria" w:eastAsia="Times New Roman" w:hAnsi="Cambria" w:cs="Courier New"/>
          <w:i/>
          <w:color w:val="000000"/>
          <w:sz w:val="20"/>
          <w:szCs w:val="20"/>
          <w:lang w:val="es-ES"/>
        </w:rPr>
        <w:t>desaforamento</w:t>
      </w:r>
      <w:proofErr w:type="spellEnd"/>
      <w:r w:rsidRPr="006D319F">
        <w:rPr>
          <w:rFonts w:ascii="Cambria" w:eastAsia="Times New Roman" w:hAnsi="Cambria" w:cs="Courier New"/>
          <w:color w:val="000000"/>
          <w:sz w:val="20"/>
          <w:szCs w:val="20"/>
          <w:lang w:val="es-ES"/>
        </w:rPr>
        <w:t>, considerando la fuerte conmoción generada en la sociedad local por la ocurrencia del crimen</w:t>
      </w:r>
      <w:r w:rsidR="00E144E2" w:rsidRPr="006D319F">
        <w:rPr>
          <w:rFonts w:ascii="Cambria" w:eastAsia="Times New Roman" w:hAnsi="Cambria" w:cs="Courier New"/>
          <w:color w:val="000000"/>
          <w:sz w:val="20"/>
          <w:szCs w:val="20"/>
          <w:lang w:val="es-ES"/>
        </w:rPr>
        <w:t xml:space="preserve"> a fin de que el juicio no pudiera</w:t>
      </w:r>
      <w:r w:rsidRPr="006D319F">
        <w:rPr>
          <w:rFonts w:ascii="Cambria" w:eastAsia="Times New Roman" w:hAnsi="Cambria" w:cs="Courier New"/>
          <w:color w:val="000000"/>
          <w:sz w:val="20"/>
          <w:szCs w:val="20"/>
          <w:lang w:val="es-ES"/>
        </w:rPr>
        <w:t xml:space="preserve"> ser re</w:t>
      </w:r>
      <w:r w:rsidR="00E144E2" w:rsidRPr="006D319F">
        <w:rPr>
          <w:rFonts w:ascii="Cambria" w:eastAsia="Times New Roman" w:hAnsi="Cambria" w:cs="Courier New"/>
          <w:color w:val="000000"/>
          <w:sz w:val="20"/>
          <w:szCs w:val="20"/>
          <w:lang w:val="es-ES"/>
        </w:rPr>
        <w:t xml:space="preserve">visado </w:t>
      </w:r>
      <w:r w:rsidRPr="006D319F">
        <w:rPr>
          <w:rFonts w:ascii="Cambria" w:eastAsia="Times New Roman" w:hAnsi="Cambria" w:cs="Courier New"/>
          <w:color w:val="000000"/>
          <w:sz w:val="20"/>
          <w:szCs w:val="20"/>
          <w:lang w:val="es-ES"/>
        </w:rPr>
        <w:t xml:space="preserve">por el Tribunal del Jurado </w:t>
      </w:r>
      <w:r w:rsidR="00E144E2" w:rsidRPr="006D319F">
        <w:rPr>
          <w:rFonts w:ascii="Cambria" w:eastAsia="Times New Roman" w:hAnsi="Cambria" w:cs="Courier New"/>
          <w:color w:val="000000"/>
          <w:sz w:val="20"/>
          <w:szCs w:val="20"/>
          <w:lang w:val="es-ES"/>
        </w:rPr>
        <w:t xml:space="preserve">de la Comarca de </w:t>
      </w:r>
      <w:proofErr w:type="spellStart"/>
      <w:r w:rsidR="00E144E2" w:rsidRPr="006D319F">
        <w:rPr>
          <w:rFonts w:ascii="Cambria" w:eastAsia="Times New Roman" w:hAnsi="Cambria" w:cs="Courier New"/>
          <w:color w:val="000000"/>
          <w:sz w:val="20"/>
          <w:szCs w:val="20"/>
          <w:lang w:val="es-ES"/>
        </w:rPr>
        <w:t>Itabuna</w:t>
      </w:r>
      <w:proofErr w:type="spellEnd"/>
      <w:r w:rsidR="00E144E2" w:rsidRPr="006D319F">
        <w:rPr>
          <w:rFonts w:ascii="Cambria" w:eastAsia="Times New Roman" w:hAnsi="Cambria" w:cs="Courier New"/>
          <w:color w:val="000000"/>
          <w:sz w:val="20"/>
          <w:szCs w:val="20"/>
          <w:lang w:val="es-ES"/>
        </w:rPr>
        <w:t xml:space="preserve"> ya que</w:t>
      </w:r>
      <w:r w:rsidRPr="006D319F">
        <w:rPr>
          <w:rFonts w:ascii="Cambria" w:eastAsia="Times New Roman" w:hAnsi="Cambria" w:cs="Courier New"/>
          <w:color w:val="000000"/>
          <w:sz w:val="20"/>
          <w:szCs w:val="20"/>
          <w:lang w:val="es-ES"/>
        </w:rPr>
        <w:t xml:space="preserve"> el acusado poseía fuerte vinculación con autoridades locales, lo que podría generar dud</w:t>
      </w:r>
      <w:r w:rsidR="00E144E2" w:rsidRPr="006D319F">
        <w:rPr>
          <w:rFonts w:ascii="Cambria" w:eastAsia="Times New Roman" w:hAnsi="Cambria" w:cs="Courier New"/>
          <w:color w:val="000000"/>
          <w:sz w:val="20"/>
          <w:szCs w:val="20"/>
          <w:lang w:val="es-ES"/>
        </w:rPr>
        <w:t>as sobre la imparcialidad de los</w:t>
      </w:r>
      <w:r w:rsidRPr="006D319F">
        <w:rPr>
          <w:rFonts w:ascii="Cambria" w:eastAsia="Times New Roman" w:hAnsi="Cambria" w:cs="Courier New"/>
          <w:color w:val="000000"/>
          <w:sz w:val="20"/>
          <w:szCs w:val="20"/>
          <w:lang w:val="es-ES"/>
        </w:rPr>
        <w:t xml:space="preserve"> jurados. </w:t>
      </w:r>
      <w:r w:rsidR="00E144E2" w:rsidRPr="006D319F">
        <w:rPr>
          <w:rFonts w:ascii="Cambria" w:eastAsia="Times New Roman" w:hAnsi="Cambria" w:cs="Courier New"/>
          <w:color w:val="000000"/>
          <w:sz w:val="20"/>
          <w:szCs w:val="20"/>
          <w:lang w:val="es-ES"/>
        </w:rPr>
        <w:t>En este sentido, el Ministerio Público</w:t>
      </w:r>
      <w:r w:rsidR="007845D0" w:rsidRPr="006D319F">
        <w:rPr>
          <w:rFonts w:ascii="Cambria" w:eastAsia="Times New Roman" w:hAnsi="Cambria" w:cs="Courier New"/>
          <w:color w:val="000000"/>
          <w:sz w:val="20"/>
          <w:szCs w:val="20"/>
          <w:lang w:val="es-ES"/>
        </w:rPr>
        <w:t xml:space="preserve"> del estado de Bahía</w:t>
      </w:r>
      <w:r w:rsidR="00E144E2" w:rsidRPr="006D319F">
        <w:rPr>
          <w:rFonts w:ascii="Cambria" w:eastAsia="Times New Roman" w:hAnsi="Cambria" w:cs="Courier New"/>
          <w:color w:val="000000"/>
          <w:sz w:val="20"/>
          <w:szCs w:val="20"/>
          <w:lang w:val="es-ES"/>
        </w:rPr>
        <w:t xml:space="preserve"> </w:t>
      </w:r>
      <w:r w:rsidRPr="006D319F">
        <w:rPr>
          <w:rFonts w:ascii="Cambria" w:eastAsia="Times New Roman" w:hAnsi="Cambria" w:cs="Courier New"/>
          <w:color w:val="000000"/>
          <w:sz w:val="20"/>
          <w:szCs w:val="20"/>
          <w:lang w:val="es-ES"/>
        </w:rPr>
        <w:t>soli</w:t>
      </w:r>
      <w:r w:rsidR="00E144E2" w:rsidRPr="006D319F">
        <w:rPr>
          <w:rFonts w:ascii="Cambria" w:eastAsia="Times New Roman" w:hAnsi="Cambria" w:cs="Courier New"/>
          <w:color w:val="000000"/>
          <w:sz w:val="20"/>
          <w:szCs w:val="20"/>
          <w:lang w:val="es-ES"/>
        </w:rPr>
        <w:t xml:space="preserve">citó que el Tribunal acogiera el </w:t>
      </w:r>
      <w:r w:rsidR="00E144E2" w:rsidRPr="006D319F">
        <w:rPr>
          <w:rFonts w:ascii="Cambria" w:eastAsia="Times New Roman" w:hAnsi="Cambria" w:cs="Courier New"/>
          <w:i/>
          <w:color w:val="000000"/>
          <w:sz w:val="20"/>
          <w:szCs w:val="20"/>
          <w:lang w:val="es-ES"/>
        </w:rPr>
        <w:t xml:space="preserve">pedido de </w:t>
      </w:r>
      <w:proofErr w:type="spellStart"/>
      <w:r w:rsidR="00E144E2" w:rsidRPr="006D319F">
        <w:rPr>
          <w:rFonts w:ascii="Cambria" w:eastAsia="Times New Roman" w:hAnsi="Cambria" w:cs="Courier New"/>
          <w:i/>
          <w:color w:val="000000"/>
          <w:sz w:val="20"/>
          <w:szCs w:val="20"/>
          <w:lang w:val="es-ES"/>
        </w:rPr>
        <w:t>desaforamento</w:t>
      </w:r>
      <w:proofErr w:type="spellEnd"/>
      <w:r w:rsidRPr="006D319F">
        <w:rPr>
          <w:rFonts w:ascii="Cambria" w:eastAsia="Times New Roman" w:hAnsi="Cambria" w:cs="Courier New"/>
          <w:color w:val="000000"/>
          <w:sz w:val="20"/>
          <w:szCs w:val="20"/>
          <w:lang w:val="es-ES"/>
        </w:rPr>
        <w:t xml:space="preserve"> a fin de que el juicio del acusado </w:t>
      </w:r>
      <w:proofErr w:type="spellStart"/>
      <w:r w:rsidRPr="006D319F">
        <w:rPr>
          <w:rFonts w:ascii="Cambria" w:eastAsia="Times New Roman" w:hAnsi="Cambria" w:cs="Courier New"/>
          <w:color w:val="000000"/>
          <w:sz w:val="20"/>
          <w:szCs w:val="20"/>
          <w:lang w:val="es-ES"/>
        </w:rPr>
        <w:t>Marcone</w:t>
      </w:r>
      <w:proofErr w:type="spellEnd"/>
      <w:r w:rsidRPr="006D319F">
        <w:rPr>
          <w:rFonts w:ascii="Cambria" w:eastAsia="Times New Roman" w:hAnsi="Cambria" w:cs="Courier New"/>
          <w:color w:val="000000"/>
          <w:sz w:val="20"/>
          <w:szCs w:val="20"/>
          <w:lang w:val="es-ES"/>
        </w:rPr>
        <w:t xml:space="preserve"> </w:t>
      </w:r>
      <w:proofErr w:type="spellStart"/>
      <w:r w:rsidRPr="006D319F">
        <w:rPr>
          <w:rFonts w:ascii="Cambria" w:eastAsia="Times New Roman" w:hAnsi="Cambria" w:cs="Courier New"/>
          <w:color w:val="000000"/>
          <w:sz w:val="20"/>
          <w:szCs w:val="20"/>
          <w:lang w:val="es-ES"/>
        </w:rPr>
        <w:t>Sarmento</w:t>
      </w:r>
      <w:proofErr w:type="spellEnd"/>
      <w:r w:rsidRPr="006D319F">
        <w:rPr>
          <w:rFonts w:ascii="Cambria" w:eastAsia="Times New Roman" w:hAnsi="Cambria" w:cs="Courier New"/>
          <w:color w:val="000000"/>
          <w:sz w:val="20"/>
          <w:szCs w:val="20"/>
          <w:lang w:val="es-ES"/>
        </w:rPr>
        <w:t xml:space="preserve"> fuera transferido a la Comarca de Salvador, capital del estado de Bahía, donde la influencia de los p</w:t>
      </w:r>
      <w:r w:rsidR="00E144E2" w:rsidRPr="006D319F">
        <w:rPr>
          <w:rFonts w:ascii="Cambria" w:eastAsia="Times New Roman" w:hAnsi="Cambria" w:cs="Courier New"/>
          <w:color w:val="000000"/>
          <w:sz w:val="20"/>
          <w:szCs w:val="20"/>
          <w:lang w:val="es-ES"/>
        </w:rPr>
        <w:t>olíticos locales sería menor. Finalmente,</w:t>
      </w:r>
      <w:r w:rsidRPr="006D319F">
        <w:rPr>
          <w:rFonts w:ascii="Cambria" w:hAnsi="Cambria" w:cs="Calibri Light"/>
          <w:color w:val="000000"/>
          <w:sz w:val="20"/>
          <w:szCs w:val="20"/>
          <w:lang w:val="es-US"/>
        </w:rPr>
        <w:t xml:space="preserve"> el 19 de junio de 2018, los autos del caso fueron transferidos </w:t>
      </w:r>
      <w:r w:rsidR="00E144E2" w:rsidRPr="006D319F">
        <w:rPr>
          <w:rFonts w:ascii="Cambria" w:eastAsia="Times New Roman" w:hAnsi="Cambria" w:cs="Courier New"/>
          <w:color w:val="000000"/>
          <w:sz w:val="20"/>
          <w:szCs w:val="20"/>
          <w:lang w:val="es-ES"/>
        </w:rPr>
        <w:t xml:space="preserve">al </w:t>
      </w:r>
      <w:proofErr w:type="spellStart"/>
      <w:r w:rsidR="00E144E2" w:rsidRPr="006D319F">
        <w:rPr>
          <w:rFonts w:ascii="Cambria" w:eastAsia="Times New Roman" w:hAnsi="Cambria" w:cs="Courier New"/>
          <w:i/>
          <w:color w:val="000000"/>
          <w:sz w:val="20"/>
          <w:szCs w:val="20"/>
          <w:lang w:val="es-ES"/>
        </w:rPr>
        <w:t>Juizo</w:t>
      </w:r>
      <w:proofErr w:type="spellEnd"/>
      <w:r w:rsidR="00E144E2" w:rsidRPr="006D319F">
        <w:rPr>
          <w:rFonts w:ascii="Cambria" w:eastAsia="Times New Roman" w:hAnsi="Cambria" w:cs="Courier New"/>
          <w:i/>
          <w:color w:val="000000"/>
          <w:sz w:val="20"/>
          <w:szCs w:val="20"/>
          <w:lang w:val="es-ES"/>
        </w:rPr>
        <w:t xml:space="preserve"> da 1ª Vara </w:t>
      </w:r>
      <w:r w:rsidR="00E144E2" w:rsidRPr="006D319F">
        <w:rPr>
          <w:rFonts w:ascii="Cambria" w:eastAsia="Times New Roman" w:hAnsi="Cambria" w:cs="Courier New"/>
          <w:color w:val="000000"/>
          <w:sz w:val="20"/>
          <w:szCs w:val="20"/>
          <w:lang w:val="es-ES"/>
        </w:rPr>
        <w:t xml:space="preserve">del Tribunal de la Comarca de Salvador, capital del estado de Bahía, </w:t>
      </w:r>
      <w:r w:rsidRPr="006D319F">
        <w:rPr>
          <w:rFonts w:ascii="Cambria" w:hAnsi="Cambria" w:cs="Calibri Light"/>
          <w:color w:val="000000"/>
          <w:sz w:val="20"/>
          <w:szCs w:val="20"/>
          <w:lang w:val="es-US"/>
        </w:rPr>
        <w:t>a fin de garantizar mayor seguridad para los jurados y testigos.</w:t>
      </w:r>
    </w:p>
    <w:p w14:paraId="4C35B73A" w14:textId="77777777" w:rsidR="00A946F0" w:rsidRPr="006D319F" w:rsidRDefault="00A946F0" w:rsidP="00A946F0">
      <w:pPr>
        <w:pStyle w:val="ListParagraph"/>
        <w:spacing w:after="0" w:line="240" w:lineRule="auto"/>
        <w:ind w:left="0" w:firstLine="720"/>
        <w:jc w:val="both"/>
        <w:rPr>
          <w:rFonts w:ascii="Cambria" w:hAnsi="Cambria" w:cs="Calibri Light"/>
          <w:color w:val="000000"/>
          <w:sz w:val="20"/>
          <w:szCs w:val="20"/>
          <w:lang w:val="es-US"/>
        </w:rPr>
      </w:pPr>
    </w:p>
    <w:p w14:paraId="43C30DB4" w14:textId="77777777" w:rsidR="00B54F82" w:rsidRPr="006D319F" w:rsidRDefault="006907BE" w:rsidP="00B54F82">
      <w:pPr>
        <w:pStyle w:val="ListParagraph"/>
        <w:numPr>
          <w:ilvl w:val="0"/>
          <w:numId w:val="16"/>
        </w:numPr>
        <w:spacing w:after="0" w:line="240" w:lineRule="auto"/>
        <w:ind w:left="0" w:firstLine="630"/>
        <w:jc w:val="both"/>
        <w:rPr>
          <w:rFonts w:ascii="Cambria" w:hAnsi="Cambria" w:cs="Calibri Light"/>
          <w:color w:val="000000"/>
          <w:sz w:val="20"/>
          <w:szCs w:val="20"/>
          <w:lang w:val="es-US"/>
        </w:rPr>
      </w:pPr>
      <w:r w:rsidRPr="006D319F">
        <w:rPr>
          <w:rFonts w:ascii="Cambria" w:hAnsi="Cambria" w:cs="Calibri Light"/>
          <w:color w:val="000000"/>
          <w:sz w:val="20"/>
          <w:szCs w:val="20"/>
          <w:lang w:val="es-US"/>
        </w:rPr>
        <w:t xml:space="preserve">Durante el 2019, el Estado informó que mediante decisión de jurado popular de fecha 22 de mayo de 2019, en la capital del estado se condenó al acusado </w:t>
      </w:r>
      <w:proofErr w:type="spellStart"/>
      <w:r w:rsidRPr="006D319F">
        <w:rPr>
          <w:rFonts w:ascii="Cambria" w:hAnsi="Cambria" w:cs="Calibri Light"/>
          <w:color w:val="000000"/>
          <w:sz w:val="20"/>
          <w:szCs w:val="20"/>
          <w:lang w:val="es-US"/>
        </w:rPr>
        <w:t>Marcone</w:t>
      </w:r>
      <w:proofErr w:type="spellEnd"/>
      <w:r w:rsidRPr="006D319F">
        <w:rPr>
          <w:rFonts w:ascii="Cambria" w:hAnsi="Cambria" w:cs="Calibri Light"/>
          <w:color w:val="000000"/>
          <w:sz w:val="20"/>
          <w:szCs w:val="20"/>
          <w:lang w:val="es-US"/>
        </w:rPr>
        <w:t xml:space="preserve"> Rodrigues </w:t>
      </w:r>
      <w:proofErr w:type="spellStart"/>
      <w:r w:rsidRPr="006D319F">
        <w:rPr>
          <w:rFonts w:ascii="Cambria" w:hAnsi="Cambria" w:cs="Calibri Light"/>
          <w:color w:val="000000"/>
          <w:sz w:val="20"/>
          <w:szCs w:val="20"/>
          <w:lang w:val="es-US"/>
        </w:rPr>
        <w:t>Sarmen</w:t>
      </w:r>
      <w:r w:rsidR="00B97ECB" w:rsidRPr="006D319F">
        <w:rPr>
          <w:rFonts w:ascii="Cambria" w:hAnsi="Cambria" w:cs="Calibri Light"/>
          <w:color w:val="000000"/>
          <w:sz w:val="20"/>
          <w:szCs w:val="20"/>
          <w:lang w:val="es-US"/>
        </w:rPr>
        <w:t>to</w:t>
      </w:r>
      <w:proofErr w:type="spellEnd"/>
      <w:r w:rsidR="00B97ECB" w:rsidRPr="006D319F">
        <w:rPr>
          <w:rFonts w:ascii="Cambria" w:hAnsi="Cambria" w:cs="Calibri Light"/>
          <w:color w:val="000000"/>
          <w:sz w:val="20"/>
          <w:szCs w:val="20"/>
          <w:lang w:val="es-US"/>
        </w:rPr>
        <w:t xml:space="preserve"> a seis años de prisión. Dicha</w:t>
      </w:r>
      <w:r w:rsidRPr="006D319F">
        <w:rPr>
          <w:rFonts w:ascii="Cambria" w:hAnsi="Cambria" w:cs="Calibri Light"/>
          <w:color w:val="000000"/>
          <w:sz w:val="20"/>
          <w:szCs w:val="20"/>
          <w:lang w:val="es-US"/>
        </w:rPr>
        <w:t xml:space="preserve"> decisión fue apelada por el Ministerio Público quien solicitó una condena más larga por considerar que debió haber sido sancionado sobre la base del crimen de asesinato calificado y no de asesinato simple. El Estado informó que la defensa del acusado </w:t>
      </w:r>
      <w:proofErr w:type="spellStart"/>
      <w:r w:rsidRPr="006D319F">
        <w:rPr>
          <w:rFonts w:ascii="Cambria" w:hAnsi="Cambria" w:cs="Calibri Light"/>
          <w:color w:val="000000"/>
          <w:sz w:val="20"/>
          <w:szCs w:val="20"/>
          <w:lang w:val="es-US"/>
        </w:rPr>
        <w:t>Marcone</w:t>
      </w:r>
      <w:proofErr w:type="spellEnd"/>
      <w:r w:rsidRPr="006D319F">
        <w:rPr>
          <w:rFonts w:ascii="Cambria" w:hAnsi="Cambria" w:cs="Calibri Light"/>
          <w:color w:val="000000"/>
          <w:sz w:val="20"/>
          <w:szCs w:val="20"/>
          <w:lang w:val="es-US"/>
        </w:rPr>
        <w:t xml:space="preserve"> Rodrigues </w:t>
      </w:r>
      <w:proofErr w:type="spellStart"/>
      <w:r w:rsidRPr="006D319F">
        <w:rPr>
          <w:rFonts w:ascii="Cambria" w:hAnsi="Cambria" w:cs="Calibri Light"/>
          <w:color w:val="000000"/>
          <w:sz w:val="20"/>
          <w:szCs w:val="20"/>
          <w:lang w:val="es-US"/>
        </w:rPr>
        <w:t>Sarmento</w:t>
      </w:r>
      <w:proofErr w:type="spellEnd"/>
      <w:r w:rsidRPr="006D319F">
        <w:rPr>
          <w:rFonts w:ascii="Cambria" w:hAnsi="Cambria" w:cs="Calibri Light"/>
          <w:color w:val="000000"/>
          <w:sz w:val="20"/>
          <w:szCs w:val="20"/>
          <w:lang w:val="es-US"/>
        </w:rPr>
        <w:t xml:space="preserve"> espera el agotamiento de las instancias de apelación. Respecto del acusado </w:t>
      </w:r>
      <w:proofErr w:type="spellStart"/>
      <w:r w:rsidRPr="006D319F">
        <w:rPr>
          <w:rFonts w:ascii="Cambria" w:hAnsi="Cambria" w:cs="Calibri Light"/>
          <w:color w:val="000000"/>
          <w:sz w:val="20"/>
          <w:szCs w:val="20"/>
          <w:lang w:val="es-US"/>
        </w:rPr>
        <w:t>Monzar</w:t>
      </w:r>
      <w:proofErr w:type="spellEnd"/>
      <w:r w:rsidRPr="006D319F">
        <w:rPr>
          <w:rFonts w:ascii="Cambria" w:hAnsi="Cambria" w:cs="Calibri Light"/>
          <w:color w:val="000000"/>
          <w:sz w:val="20"/>
          <w:szCs w:val="20"/>
          <w:lang w:val="es-US"/>
        </w:rPr>
        <w:t xml:space="preserve"> Castro Brasil, el Estado </w:t>
      </w:r>
      <w:proofErr w:type="gramStart"/>
      <w:r w:rsidRPr="006D319F">
        <w:rPr>
          <w:rFonts w:ascii="Cambria" w:hAnsi="Cambria" w:cs="Calibri Light"/>
          <w:color w:val="000000"/>
          <w:sz w:val="20"/>
          <w:szCs w:val="20"/>
          <w:lang w:val="es-US"/>
        </w:rPr>
        <w:t>hizo mención de</w:t>
      </w:r>
      <w:proofErr w:type="gramEnd"/>
      <w:r w:rsidRPr="006D319F">
        <w:rPr>
          <w:rFonts w:ascii="Cambria" w:hAnsi="Cambria" w:cs="Calibri Light"/>
          <w:color w:val="000000"/>
          <w:sz w:val="20"/>
          <w:szCs w:val="20"/>
          <w:lang w:val="es-US"/>
        </w:rPr>
        <w:t xml:space="preserve"> una condena por jurado popular de 18 años, sin aportar mayor información al respecto. </w:t>
      </w:r>
      <w:r w:rsidR="00A86738" w:rsidRPr="006D319F">
        <w:rPr>
          <w:rFonts w:ascii="Cambria" w:hAnsi="Cambria" w:cs="Calibri Light"/>
          <w:color w:val="000000"/>
          <w:sz w:val="20"/>
          <w:szCs w:val="20"/>
          <w:lang w:val="es-US"/>
        </w:rPr>
        <w:t>En lo que corresponde al</w:t>
      </w:r>
      <w:r w:rsidRPr="006D319F">
        <w:rPr>
          <w:rFonts w:ascii="Cambria" w:hAnsi="Cambria" w:cs="Calibri Light"/>
          <w:color w:val="000000"/>
          <w:sz w:val="20"/>
          <w:szCs w:val="20"/>
          <w:lang w:val="es-US"/>
        </w:rPr>
        <w:t xml:space="preserve"> tercer acusado, Roque Cardoso Souza, el Estado informó que fue absuelto por falta de pruebas.</w:t>
      </w:r>
    </w:p>
    <w:p w14:paraId="2CF17FDE" w14:textId="77777777" w:rsidR="00B54F82" w:rsidRPr="006D319F" w:rsidRDefault="00B54F82" w:rsidP="00B54F82">
      <w:pPr>
        <w:pStyle w:val="ListParagraph"/>
        <w:rPr>
          <w:rFonts w:ascii="Cambria" w:hAnsi="Cambria" w:cs="Calibri Light"/>
          <w:color w:val="000000"/>
          <w:sz w:val="20"/>
          <w:szCs w:val="20"/>
          <w:lang w:val="es-US"/>
        </w:rPr>
      </w:pPr>
    </w:p>
    <w:p w14:paraId="47C33A72" w14:textId="77777777" w:rsidR="00A946F0" w:rsidRPr="006D319F" w:rsidRDefault="005C1CBB" w:rsidP="0064210E">
      <w:pPr>
        <w:pStyle w:val="ListParagraph"/>
        <w:numPr>
          <w:ilvl w:val="0"/>
          <w:numId w:val="16"/>
        </w:numPr>
        <w:spacing w:after="0" w:line="240" w:lineRule="auto"/>
        <w:ind w:left="0" w:firstLine="630"/>
        <w:jc w:val="both"/>
        <w:rPr>
          <w:rFonts w:ascii="Cambria" w:hAnsi="Cambria" w:cs="Calibri Light"/>
          <w:color w:val="000000"/>
          <w:sz w:val="20"/>
          <w:szCs w:val="20"/>
          <w:lang w:val="es-US"/>
        </w:rPr>
      </w:pPr>
      <w:r w:rsidRPr="006D319F">
        <w:rPr>
          <w:rFonts w:ascii="Cambria" w:hAnsi="Cambria" w:cs="Calibri Light"/>
          <w:color w:val="000000"/>
          <w:sz w:val="20"/>
          <w:szCs w:val="20"/>
          <w:lang w:val="es-US"/>
        </w:rPr>
        <w:t>En 2021, el Estad</w:t>
      </w:r>
      <w:r w:rsidR="003E3957" w:rsidRPr="006D319F">
        <w:rPr>
          <w:rFonts w:ascii="Cambria" w:hAnsi="Cambria" w:cs="Calibri Light"/>
          <w:color w:val="000000"/>
          <w:sz w:val="20"/>
          <w:szCs w:val="20"/>
          <w:lang w:val="es-US"/>
        </w:rPr>
        <w:t xml:space="preserve">o informó que no </w:t>
      </w:r>
      <w:r w:rsidR="00C47CAE" w:rsidRPr="006D319F">
        <w:rPr>
          <w:rFonts w:ascii="Cambria" w:hAnsi="Cambria" w:cs="Calibri Light"/>
          <w:color w:val="000000"/>
          <w:sz w:val="20"/>
          <w:szCs w:val="20"/>
          <w:lang w:val="es-US"/>
        </w:rPr>
        <w:t>tiene</w:t>
      </w:r>
      <w:r w:rsidR="003E3957" w:rsidRPr="006D319F">
        <w:rPr>
          <w:rFonts w:ascii="Cambria" w:hAnsi="Cambria" w:cs="Calibri Light"/>
          <w:color w:val="000000"/>
          <w:sz w:val="20"/>
          <w:szCs w:val="20"/>
          <w:lang w:val="es-US"/>
        </w:rPr>
        <w:t xml:space="preserve"> datos sobre la situación actual de los acusados </w:t>
      </w:r>
      <w:proofErr w:type="spellStart"/>
      <w:r w:rsidR="003E3957" w:rsidRPr="006D319F">
        <w:rPr>
          <w:rFonts w:ascii="Cambria" w:hAnsi="Cambria" w:cs="Calibri Light"/>
          <w:color w:val="000000"/>
          <w:sz w:val="20"/>
          <w:szCs w:val="20"/>
          <w:lang w:val="es-US"/>
        </w:rPr>
        <w:t>Marcone</w:t>
      </w:r>
      <w:proofErr w:type="spellEnd"/>
      <w:r w:rsidR="003E3957" w:rsidRPr="006D319F">
        <w:rPr>
          <w:rFonts w:ascii="Cambria" w:hAnsi="Cambria" w:cs="Calibri Light"/>
          <w:color w:val="000000"/>
          <w:sz w:val="20"/>
          <w:szCs w:val="20"/>
          <w:lang w:val="es-US"/>
        </w:rPr>
        <w:t xml:space="preserve"> </w:t>
      </w:r>
      <w:proofErr w:type="spellStart"/>
      <w:r w:rsidR="003E3957" w:rsidRPr="006D319F">
        <w:rPr>
          <w:rFonts w:ascii="Cambria" w:hAnsi="Cambria" w:cs="Calibri Light"/>
          <w:color w:val="000000"/>
          <w:sz w:val="20"/>
          <w:szCs w:val="20"/>
          <w:lang w:val="es-US"/>
        </w:rPr>
        <w:t>Rodrigues</w:t>
      </w:r>
      <w:proofErr w:type="spellEnd"/>
      <w:r w:rsidR="003E3957" w:rsidRPr="006D319F">
        <w:rPr>
          <w:rFonts w:ascii="Cambria" w:hAnsi="Cambria" w:cs="Calibri Light"/>
          <w:color w:val="000000"/>
          <w:sz w:val="20"/>
          <w:szCs w:val="20"/>
          <w:lang w:val="es-US"/>
        </w:rPr>
        <w:t xml:space="preserve"> </w:t>
      </w:r>
      <w:proofErr w:type="spellStart"/>
      <w:r w:rsidR="003E3957" w:rsidRPr="006D319F">
        <w:rPr>
          <w:rFonts w:ascii="Cambria" w:hAnsi="Cambria" w:cs="Calibri Light"/>
          <w:color w:val="000000"/>
          <w:sz w:val="20"/>
          <w:szCs w:val="20"/>
          <w:lang w:val="es-US"/>
        </w:rPr>
        <w:t>Sarmento</w:t>
      </w:r>
      <w:proofErr w:type="spellEnd"/>
      <w:r w:rsidR="003E3957" w:rsidRPr="006D319F">
        <w:rPr>
          <w:rFonts w:ascii="Cambria" w:hAnsi="Cambria" w:cs="Calibri Light"/>
          <w:color w:val="000000"/>
          <w:sz w:val="20"/>
          <w:szCs w:val="20"/>
          <w:lang w:val="es-US"/>
        </w:rPr>
        <w:t xml:space="preserve"> y del Sr. </w:t>
      </w:r>
      <w:proofErr w:type="spellStart"/>
      <w:r w:rsidR="003E3957" w:rsidRPr="006D319F">
        <w:rPr>
          <w:rFonts w:ascii="Cambria" w:hAnsi="Cambria" w:cs="Calibri Light"/>
          <w:color w:val="000000"/>
          <w:sz w:val="20"/>
          <w:szCs w:val="20"/>
          <w:lang w:val="es-US"/>
        </w:rPr>
        <w:t>Monzar</w:t>
      </w:r>
      <w:proofErr w:type="spellEnd"/>
      <w:r w:rsidR="003E3957" w:rsidRPr="006D319F">
        <w:rPr>
          <w:rFonts w:ascii="Cambria" w:hAnsi="Cambria" w:cs="Calibri Light"/>
          <w:color w:val="000000"/>
          <w:sz w:val="20"/>
          <w:szCs w:val="20"/>
          <w:lang w:val="es-US"/>
        </w:rPr>
        <w:t xml:space="preserve"> Castro Brasil</w:t>
      </w:r>
      <w:r w:rsidR="00C47CAE" w:rsidRPr="006D319F">
        <w:rPr>
          <w:rFonts w:ascii="Cambria" w:hAnsi="Cambria" w:cs="Calibri Light"/>
          <w:color w:val="000000"/>
          <w:sz w:val="20"/>
          <w:szCs w:val="20"/>
          <w:lang w:val="es-US"/>
        </w:rPr>
        <w:t xml:space="preserve"> y </w:t>
      </w:r>
      <w:r w:rsidR="003E3957" w:rsidRPr="006D319F">
        <w:rPr>
          <w:rFonts w:ascii="Cambria" w:hAnsi="Cambria" w:cs="Calibri Light"/>
          <w:color w:val="000000"/>
          <w:sz w:val="20"/>
          <w:szCs w:val="20"/>
          <w:lang w:val="es-US"/>
        </w:rPr>
        <w:t>señaló que</w:t>
      </w:r>
      <w:r w:rsidR="00C47CAE" w:rsidRPr="006D319F">
        <w:rPr>
          <w:rFonts w:ascii="Cambria" w:hAnsi="Cambria" w:cs="Calibri Light"/>
          <w:color w:val="000000"/>
          <w:sz w:val="20"/>
          <w:szCs w:val="20"/>
          <w:lang w:val="es-US"/>
        </w:rPr>
        <w:t xml:space="preserve"> remitirá esta información</w:t>
      </w:r>
      <w:r w:rsidR="003E3957" w:rsidRPr="006D319F">
        <w:rPr>
          <w:rFonts w:ascii="Cambria" w:hAnsi="Cambria" w:cs="Calibri Light"/>
          <w:color w:val="000000"/>
          <w:sz w:val="20"/>
          <w:szCs w:val="20"/>
          <w:lang w:val="es-US"/>
        </w:rPr>
        <w:t xml:space="preserve"> cuando </w:t>
      </w:r>
      <w:r w:rsidR="00C47CAE" w:rsidRPr="006D319F">
        <w:rPr>
          <w:rFonts w:ascii="Cambria" w:hAnsi="Cambria" w:cs="Calibri Light"/>
          <w:color w:val="000000"/>
          <w:sz w:val="20"/>
          <w:szCs w:val="20"/>
          <w:lang w:val="es-US"/>
        </w:rPr>
        <w:t>la tenga</w:t>
      </w:r>
      <w:r w:rsidR="003E3957" w:rsidRPr="006D319F">
        <w:rPr>
          <w:rFonts w:ascii="Cambria" w:hAnsi="Cambria" w:cs="Calibri Light"/>
          <w:color w:val="000000"/>
          <w:sz w:val="20"/>
          <w:szCs w:val="20"/>
          <w:lang w:val="es-US"/>
        </w:rPr>
        <w:t xml:space="preserve">. </w:t>
      </w:r>
      <w:r w:rsidR="00B54F82" w:rsidRPr="006D319F">
        <w:rPr>
          <w:rFonts w:ascii="Cambria" w:hAnsi="Cambria" w:cs="Calibri Light"/>
          <w:color w:val="000000"/>
          <w:sz w:val="20"/>
          <w:szCs w:val="20"/>
          <w:lang w:val="es-US"/>
        </w:rPr>
        <w:t xml:space="preserve">Lo último reportado respecto </w:t>
      </w:r>
      <w:r w:rsidR="003553F3" w:rsidRPr="006D319F">
        <w:rPr>
          <w:rFonts w:ascii="Cambria" w:hAnsi="Cambria" w:cs="Calibri Light"/>
          <w:color w:val="000000"/>
          <w:sz w:val="20"/>
          <w:szCs w:val="20"/>
          <w:lang w:val="es-US"/>
        </w:rPr>
        <w:t xml:space="preserve">a </w:t>
      </w:r>
      <w:proofErr w:type="spellStart"/>
      <w:r w:rsidR="003553F3" w:rsidRPr="006D319F">
        <w:rPr>
          <w:rFonts w:ascii="Cambria" w:hAnsi="Cambria" w:cs="Calibri Light"/>
          <w:color w:val="000000"/>
          <w:sz w:val="20"/>
          <w:szCs w:val="20"/>
          <w:lang w:val="es-US"/>
        </w:rPr>
        <w:t>Marcone</w:t>
      </w:r>
      <w:proofErr w:type="spellEnd"/>
      <w:r w:rsidR="003553F3" w:rsidRPr="006D319F">
        <w:rPr>
          <w:rFonts w:ascii="Cambria" w:hAnsi="Cambria" w:cs="Calibri Light"/>
          <w:color w:val="000000"/>
          <w:sz w:val="20"/>
          <w:szCs w:val="20"/>
          <w:lang w:val="es-US"/>
        </w:rPr>
        <w:t xml:space="preserve"> </w:t>
      </w:r>
      <w:proofErr w:type="spellStart"/>
      <w:r w:rsidR="003553F3" w:rsidRPr="006D319F">
        <w:rPr>
          <w:rFonts w:ascii="Cambria" w:hAnsi="Cambria" w:cs="Calibri Light"/>
          <w:color w:val="000000"/>
          <w:sz w:val="20"/>
          <w:szCs w:val="20"/>
          <w:lang w:val="es-US"/>
        </w:rPr>
        <w:t>Rodrigues</w:t>
      </w:r>
      <w:proofErr w:type="spellEnd"/>
      <w:r w:rsidR="003553F3" w:rsidRPr="006D319F">
        <w:rPr>
          <w:rFonts w:ascii="Cambria" w:hAnsi="Cambria" w:cs="Calibri Light"/>
          <w:color w:val="000000"/>
          <w:sz w:val="20"/>
          <w:szCs w:val="20"/>
          <w:lang w:val="es-US"/>
        </w:rPr>
        <w:t xml:space="preserve"> </w:t>
      </w:r>
      <w:proofErr w:type="spellStart"/>
      <w:r w:rsidR="003553F3" w:rsidRPr="006D319F">
        <w:rPr>
          <w:rFonts w:ascii="Cambria" w:hAnsi="Cambria" w:cs="Calibri Light"/>
          <w:color w:val="000000"/>
          <w:sz w:val="20"/>
          <w:szCs w:val="20"/>
          <w:lang w:val="es-US"/>
        </w:rPr>
        <w:t>Sarmento</w:t>
      </w:r>
      <w:proofErr w:type="spellEnd"/>
      <w:r w:rsidR="003553F3" w:rsidRPr="006D319F">
        <w:rPr>
          <w:rFonts w:ascii="Cambria" w:hAnsi="Cambria" w:cs="Calibri Light"/>
          <w:color w:val="000000"/>
          <w:sz w:val="20"/>
          <w:szCs w:val="20"/>
          <w:lang w:val="es-US"/>
        </w:rPr>
        <w:t xml:space="preserve"> </w:t>
      </w:r>
      <w:r w:rsidR="00B54F82" w:rsidRPr="006D319F">
        <w:rPr>
          <w:rFonts w:ascii="Cambria" w:hAnsi="Cambria" w:cs="Calibri Light"/>
          <w:color w:val="000000"/>
          <w:sz w:val="20"/>
          <w:szCs w:val="20"/>
          <w:lang w:val="es-US"/>
        </w:rPr>
        <w:t>es que</w:t>
      </w:r>
      <w:r w:rsidR="0067399C" w:rsidRPr="006D319F">
        <w:rPr>
          <w:rFonts w:ascii="Cambria" w:hAnsi="Cambria" w:cs="Calibri Light"/>
          <w:color w:val="000000"/>
          <w:sz w:val="20"/>
          <w:szCs w:val="20"/>
          <w:lang w:val="es-US"/>
        </w:rPr>
        <w:t>,</w:t>
      </w:r>
      <w:r w:rsidR="00B54F82" w:rsidRPr="006D319F">
        <w:rPr>
          <w:rFonts w:ascii="Cambria" w:hAnsi="Cambria" w:cs="Calibri Light"/>
          <w:color w:val="000000"/>
          <w:sz w:val="20"/>
          <w:szCs w:val="20"/>
          <w:lang w:val="es-US"/>
        </w:rPr>
        <w:t xml:space="preserve"> </w:t>
      </w:r>
      <w:r w:rsidR="0064210E" w:rsidRPr="006D319F">
        <w:rPr>
          <w:rFonts w:ascii="Cambria" w:hAnsi="Cambria" w:cs="Calibri Light"/>
          <w:color w:val="000000"/>
          <w:sz w:val="20"/>
          <w:szCs w:val="20"/>
          <w:lang w:val="es-US"/>
        </w:rPr>
        <w:t xml:space="preserve">el 2 de febrero de 2020, el Tribunal </w:t>
      </w:r>
      <w:r w:rsidR="0064210E" w:rsidRPr="006D319F">
        <w:rPr>
          <w:rFonts w:ascii="Cambria" w:hAnsi="Cambria" w:cs="Calibri Light"/>
          <w:color w:val="000000"/>
          <w:sz w:val="20"/>
          <w:szCs w:val="20"/>
          <w:lang w:val="es-US"/>
        </w:rPr>
        <w:lastRenderedPageBreak/>
        <w:t xml:space="preserve">de Justicia del Estado de Bahía (TJBA) aumentó a </w:t>
      </w:r>
      <w:r w:rsidR="00C47CAE" w:rsidRPr="006D319F">
        <w:rPr>
          <w:rFonts w:ascii="Cambria" w:hAnsi="Cambria" w:cs="Calibri Light"/>
          <w:color w:val="000000"/>
          <w:sz w:val="20"/>
          <w:szCs w:val="20"/>
          <w:lang w:val="es-US"/>
        </w:rPr>
        <w:t>13</w:t>
      </w:r>
      <w:r w:rsidR="0064210E" w:rsidRPr="006D319F">
        <w:rPr>
          <w:rFonts w:ascii="Cambria" w:hAnsi="Cambria" w:cs="Calibri Light"/>
          <w:color w:val="000000"/>
          <w:sz w:val="20"/>
          <w:szCs w:val="20"/>
          <w:lang w:val="es-US"/>
        </w:rPr>
        <w:t xml:space="preserve"> años </w:t>
      </w:r>
      <w:r w:rsidR="003553F3" w:rsidRPr="006D319F">
        <w:rPr>
          <w:rFonts w:ascii="Cambria" w:hAnsi="Cambria" w:cs="Calibri Light"/>
          <w:color w:val="000000"/>
          <w:sz w:val="20"/>
          <w:szCs w:val="20"/>
          <w:lang w:val="es-US"/>
        </w:rPr>
        <w:t>su pena</w:t>
      </w:r>
      <w:r w:rsidR="00A61212" w:rsidRPr="006D319F">
        <w:rPr>
          <w:rFonts w:ascii="Cambria" w:hAnsi="Cambria" w:cs="Calibri Light"/>
          <w:color w:val="000000"/>
          <w:sz w:val="20"/>
          <w:szCs w:val="20"/>
          <w:lang w:val="es-US"/>
        </w:rPr>
        <w:t xml:space="preserve"> de prisión</w:t>
      </w:r>
      <w:r w:rsidR="0064210E" w:rsidRPr="006D319F">
        <w:rPr>
          <w:rFonts w:ascii="Cambria" w:hAnsi="Cambria" w:cs="Calibri Light"/>
          <w:color w:val="000000"/>
          <w:sz w:val="20"/>
          <w:szCs w:val="20"/>
          <w:lang w:val="es-US"/>
        </w:rPr>
        <w:t xml:space="preserve">, en régimen inicial cerrado, </w:t>
      </w:r>
      <w:r w:rsidR="00C47CAE" w:rsidRPr="006D319F">
        <w:rPr>
          <w:rFonts w:ascii="Cambria" w:hAnsi="Cambria" w:cs="Calibri Light"/>
          <w:color w:val="000000"/>
          <w:sz w:val="20"/>
          <w:szCs w:val="20"/>
          <w:lang w:val="es-US"/>
        </w:rPr>
        <w:t>a partir</w:t>
      </w:r>
      <w:r w:rsidR="0064210E" w:rsidRPr="006D319F">
        <w:rPr>
          <w:rFonts w:ascii="Cambria" w:hAnsi="Cambria" w:cs="Calibri Light"/>
          <w:color w:val="000000"/>
          <w:sz w:val="20"/>
          <w:szCs w:val="20"/>
          <w:lang w:val="es-US"/>
        </w:rPr>
        <w:t xml:space="preserve"> </w:t>
      </w:r>
      <w:r w:rsidR="00C47CAE" w:rsidRPr="006D319F">
        <w:rPr>
          <w:rFonts w:ascii="Cambria" w:hAnsi="Cambria" w:cs="Calibri Light"/>
          <w:color w:val="000000"/>
          <w:sz w:val="20"/>
          <w:szCs w:val="20"/>
          <w:lang w:val="es-US"/>
        </w:rPr>
        <w:t>d</w:t>
      </w:r>
      <w:r w:rsidR="0064210E" w:rsidRPr="006D319F">
        <w:rPr>
          <w:rFonts w:ascii="Cambria" w:hAnsi="Cambria" w:cs="Calibri Light"/>
          <w:color w:val="000000"/>
          <w:sz w:val="20"/>
          <w:szCs w:val="20"/>
          <w:lang w:val="es-US"/>
        </w:rPr>
        <w:t xml:space="preserve">el recurso interpuesto por </w:t>
      </w:r>
      <w:r w:rsidR="00B54F82" w:rsidRPr="006D319F">
        <w:rPr>
          <w:rFonts w:ascii="Cambria" w:hAnsi="Cambria" w:cs="Calibri Light"/>
          <w:color w:val="000000"/>
          <w:sz w:val="20"/>
          <w:szCs w:val="20"/>
          <w:lang w:val="es-US"/>
        </w:rPr>
        <w:t xml:space="preserve">el Ministerio Público del </w:t>
      </w:r>
      <w:r w:rsidR="0064210E" w:rsidRPr="006D319F">
        <w:rPr>
          <w:rFonts w:ascii="Cambria" w:hAnsi="Cambria" w:cs="Calibri Light"/>
          <w:color w:val="000000"/>
          <w:sz w:val="20"/>
          <w:szCs w:val="20"/>
          <w:lang w:val="es-US"/>
        </w:rPr>
        <w:t>e</w:t>
      </w:r>
      <w:r w:rsidR="00B54F82" w:rsidRPr="006D319F">
        <w:rPr>
          <w:rFonts w:ascii="Cambria" w:hAnsi="Cambria" w:cs="Calibri Light"/>
          <w:color w:val="000000"/>
          <w:sz w:val="20"/>
          <w:szCs w:val="20"/>
          <w:lang w:val="es-US"/>
        </w:rPr>
        <w:t xml:space="preserve">stado de Bahía. </w:t>
      </w:r>
      <w:r w:rsidR="0064210E" w:rsidRPr="006D319F">
        <w:rPr>
          <w:rFonts w:ascii="Cambria" w:hAnsi="Cambria" w:cs="Calibri Light"/>
          <w:color w:val="000000"/>
          <w:sz w:val="20"/>
          <w:szCs w:val="20"/>
          <w:lang w:val="es-US"/>
        </w:rPr>
        <w:t>Al respecto, informó que</w:t>
      </w:r>
      <w:r w:rsidR="00D42E55" w:rsidRPr="006D319F">
        <w:rPr>
          <w:rFonts w:ascii="Cambria" w:hAnsi="Cambria" w:cs="Calibri Light"/>
          <w:color w:val="000000"/>
          <w:sz w:val="20"/>
          <w:szCs w:val="20"/>
          <w:lang w:val="es-US"/>
        </w:rPr>
        <w:t xml:space="preserve"> el 10 de noviembre de 2020 fue negada</w:t>
      </w:r>
      <w:r w:rsidR="00B54F82" w:rsidRPr="006D319F">
        <w:rPr>
          <w:rFonts w:ascii="Cambria" w:hAnsi="Cambria" w:cs="Calibri Light"/>
          <w:color w:val="000000"/>
          <w:sz w:val="20"/>
          <w:szCs w:val="20"/>
          <w:lang w:val="es-US"/>
        </w:rPr>
        <w:t xml:space="preserve"> </w:t>
      </w:r>
      <w:r w:rsidR="00C47CAE" w:rsidRPr="006D319F">
        <w:rPr>
          <w:rFonts w:ascii="Cambria" w:hAnsi="Cambria" w:cs="Calibri Light"/>
          <w:color w:val="000000"/>
          <w:sz w:val="20"/>
          <w:szCs w:val="20"/>
          <w:lang w:val="es-US"/>
        </w:rPr>
        <w:t>la</w:t>
      </w:r>
      <w:r w:rsidR="00B54F82" w:rsidRPr="006D319F">
        <w:rPr>
          <w:rFonts w:ascii="Cambria" w:hAnsi="Cambria" w:cs="Calibri Light"/>
          <w:color w:val="000000"/>
          <w:sz w:val="20"/>
          <w:szCs w:val="20"/>
          <w:lang w:val="es-US"/>
        </w:rPr>
        <w:t xml:space="preserve"> moción de aclaración</w:t>
      </w:r>
      <w:r w:rsidR="0064210E" w:rsidRPr="006D319F">
        <w:rPr>
          <w:rFonts w:ascii="Cambria" w:hAnsi="Cambria" w:cs="Calibri Light"/>
          <w:color w:val="000000"/>
          <w:sz w:val="20"/>
          <w:szCs w:val="20"/>
          <w:lang w:val="es-US"/>
        </w:rPr>
        <w:t xml:space="preserve"> </w:t>
      </w:r>
      <w:r w:rsidR="00C47CAE" w:rsidRPr="006D319F">
        <w:rPr>
          <w:rFonts w:ascii="Cambria" w:hAnsi="Cambria" w:cs="Calibri Light"/>
          <w:color w:val="000000"/>
          <w:sz w:val="20"/>
          <w:szCs w:val="20"/>
          <w:lang w:val="es-US"/>
        </w:rPr>
        <w:t>solicitada por la defensa</w:t>
      </w:r>
      <w:r w:rsidR="0064210E" w:rsidRPr="006D319F">
        <w:rPr>
          <w:rFonts w:ascii="Cambria" w:hAnsi="Cambria" w:cs="Calibri Light"/>
          <w:color w:val="000000"/>
          <w:sz w:val="20"/>
          <w:szCs w:val="20"/>
          <w:lang w:val="es-US"/>
        </w:rPr>
        <w:t>. Posteriormente, el 16 de agosto de 2021, la defensa presentó un recurso especial</w:t>
      </w:r>
      <w:r w:rsidR="00C47CAE" w:rsidRPr="006D319F">
        <w:rPr>
          <w:rFonts w:ascii="Cambria" w:hAnsi="Cambria" w:cs="Calibri Light"/>
          <w:color w:val="000000"/>
          <w:sz w:val="20"/>
          <w:szCs w:val="20"/>
          <w:lang w:val="es-US"/>
        </w:rPr>
        <w:t xml:space="preserve"> que </w:t>
      </w:r>
      <w:r w:rsidR="0064210E" w:rsidRPr="006D319F">
        <w:rPr>
          <w:rFonts w:ascii="Cambria" w:hAnsi="Cambria" w:cs="Calibri Light"/>
          <w:color w:val="000000"/>
          <w:sz w:val="20"/>
          <w:szCs w:val="20"/>
          <w:lang w:val="es-US"/>
        </w:rPr>
        <w:t>continúa en</w:t>
      </w:r>
      <w:r w:rsidR="00C47CAE" w:rsidRPr="006D319F">
        <w:rPr>
          <w:rFonts w:ascii="Cambria" w:hAnsi="Cambria" w:cs="Calibri Light"/>
          <w:color w:val="000000"/>
          <w:sz w:val="20"/>
          <w:szCs w:val="20"/>
          <w:lang w:val="es-US"/>
        </w:rPr>
        <w:t xml:space="preserve"> trámite</w:t>
      </w:r>
      <w:r w:rsidR="0064210E" w:rsidRPr="006D319F">
        <w:rPr>
          <w:rFonts w:ascii="Cambria" w:hAnsi="Cambria" w:cs="Calibri Light"/>
          <w:color w:val="000000"/>
          <w:sz w:val="20"/>
          <w:szCs w:val="20"/>
          <w:lang w:val="es-US"/>
        </w:rPr>
        <w:t>.</w:t>
      </w:r>
      <w:r w:rsidR="003553F3" w:rsidRPr="006D319F">
        <w:rPr>
          <w:rFonts w:ascii="Cambria" w:hAnsi="Cambria" w:cs="Calibri Light"/>
          <w:color w:val="000000"/>
          <w:sz w:val="20"/>
          <w:szCs w:val="20"/>
          <w:lang w:val="es-US"/>
        </w:rPr>
        <w:t xml:space="preserve"> Por su parte, respecto a la posibilidad de federalizar la persecución penal de los responsables de estos hechos, el Estado informó que la Procuraduría General de la República archivó recientemente la solicitud sobre el Incidente sobre la Transferencia de la Jurisdicción (</w:t>
      </w:r>
      <w:r w:rsidR="003553F3" w:rsidRPr="006D319F">
        <w:rPr>
          <w:rFonts w:ascii="Cambria" w:hAnsi="Cambria" w:cs="Calibri Light"/>
          <w:i/>
          <w:iCs/>
          <w:color w:val="000000"/>
          <w:sz w:val="20"/>
          <w:szCs w:val="20"/>
          <w:lang w:val="es-US"/>
        </w:rPr>
        <w:t xml:space="preserve">Incidente de </w:t>
      </w:r>
      <w:proofErr w:type="spellStart"/>
      <w:r w:rsidR="003553F3" w:rsidRPr="006D319F">
        <w:rPr>
          <w:rFonts w:ascii="Cambria" w:hAnsi="Cambria" w:cs="Calibri Light"/>
          <w:i/>
          <w:iCs/>
          <w:color w:val="000000"/>
          <w:sz w:val="20"/>
          <w:szCs w:val="20"/>
          <w:lang w:val="es-US"/>
        </w:rPr>
        <w:t>Deslocamento</w:t>
      </w:r>
      <w:proofErr w:type="spellEnd"/>
      <w:r w:rsidR="003553F3" w:rsidRPr="006D319F">
        <w:rPr>
          <w:rFonts w:ascii="Cambria" w:hAnsi="Cambria" w:cs="Calibri Light"/>
          <w:i/>
          <w:iCs/>
          <w:color w:val="000000"/>
          <w:sz w:val="20"/>
          <w:szCs w:val="20"/>
          <w:lang w:val="es-US"/>
        </w:rPr>
        <w:t xml:space="preserve"> de </w:t>
      </w:r>
      <w:proofErr w:type="spellStart"/>
      <w:r w:rsidR="003553F3" w:rsidRPr="006D319F">
        <w:rPr>
          <w:rFonts w:ascii="Cambria" w:hAnsi="Cambria"/>
          <w:i/>
          <w:iCs/>
          <w:color w:val="000000"/>
          <w:sz w:val="20"/>
          <w:szCs w:val="20"/>
          <w:lang w:val="es-CO"/>
        </w:rPr>
        <w:t>Competência</w:t>
      </w:r>
      <w:proofErr w:type="spellEnd"/>
      <w:r w:rsidR="003553F3" w:rsidRPr="006D319F">
        <w:rPr>
          <w:rFonts w:ascii="Cambria" w:hAnsi="Cambria"/>
          <w:i/>
          <w:iCs/>
          <w:color w:val="000000"/>
          <w:sz w:val="20"/>
          <w:szCs w:val="20"/>
          <w:lang w:val="es-CO"/>
        </w:rPr>
        <w:t xml:space="preserve"> - IDC</w:t>
      </w:r>
      <w:r w:rsidR="003553F3" w:rsidRPr="006D319F">
        <w:rPr>
          <w:rFonts w:ascii="Cambria" w:hAnsi="Cambria" w:cs="Calibri Light"/>
          <w:color w:val="000000"/>
          <w:sz w:val="20"/>
          <w:szCs w:val="20"/>
          <w:lang w:val="es-US"/>
        </w:rPr>
        <w:t xml:space="preserve">) </w:t>
      </w:r>
      <w:r w:rsidR="00C47CAE" w:rsidRPr="006D319F">
        <w:rPr>
          <w:rFonts w:ascii="Cambria" w:hAnsi="Cambria" w:cs="Calibri Light"/>
          <w:color w:val="000000"/>
          <w:sz w:val="20"/>
          <w:szCs w:val="20"/>
          <w:lang w:val="es-US"/>
        </w:rPr>
        <w:t>por considerar</w:t>
      </w:r>
      <w:r w:rsidR="003553F3" w:rsidRPr="006D319F">
        <w:rPr>
          <w:rFonts w:ascii="Cambria" w:hAnsi="Cambria" w:cs="Calibri Light"/>
          <w:color w:val="000000"/>
          <w:sz w:val="20"/>
          <w:szCs w:val="20"/>
          <w:lang w:val="es-US"/>
        </w:rPr>
        <w:t xml:space="preserve"> que no se cumplen con los requisitos mínimos para esta transferencia.</w:t>
      </w:r>
    </w:p>
    <w:p w14:paraId="27A5F63E" w14:textId="77777777" w:rsidR="0064210E" w:rsidRPr="006D319F" w:rsidRDefault="0064210E" w:rsidP="0064210E">
      <w:pPr>
        <w:pStyle w:val="ListParagraph"/>
        <w:spacing w:after="0" w:line="240" w:lineRule="auto"/>
        <w:ind w:left="0"/>
        <w:jc w:val="both"/>
        <w:rPr>
          <w:rFonts w:ascii="Cambria" w:hAnsi="Cambria" w:cs="Calibri Light"/>
          <w:color w:val="000000"/>
          <w:sz w:val="20"/>
          <w:szCs w:val="20"/>
          <w:lang w:val="es-US"/>
        </w:rPr>
      </w:pPr>
    </w:p>
    <w:p w14:paraId="24E45F4C" w14:textId="77777777" w:rsidR="0017795C" w:rsidRPr="006D319F" w:rsidRDefault="00A86738" w:rsidP="0017795C">
      <w:pPr>
        <w:pStyle w:val="ListParagraph"/>
        <w:numPr>
          <w:ilvl w:val="0"/>
          <w:numId w:val="16"/>
        </w:numPr>
        <w:spacing w:after="0" w:line="240" w:lineRule="auto"/>
        <w:ind w:left="0" w:firstLine="720"/>
        <w:jc w:val="both"/>
        <w:rPr>
          <w:rFonts w:ascii="Cambria" w:hAnsi="Cambria" w:cs="Calibri Light"/>
          <w:color w:val="000000"/>
          <w:sz w:val="20"/>
          <w:szCs w:val="20"/>
          <w:lang w:val="es-US"/>
        </w:rPr>
      </w:pPr>
      <w:r w:rsidRPr="006D319F">
        <w:rPr>
          <w:rFonts w:ascii="Cambria" w:hAnsi="Cambria" w:cs="Calibri Light"/>
          <w:color w:val="000000"/>
          <w:sz w:val="20"/>
          <w:szCs w:val="20"/>
          <w:lang w:val="es-US"/>
        </w:rPr>
        <w:t>En 2020</w:t>
      </w:r>
      <w:r w:rsidR="00B21903" w:rsidRPr="006D319F">
        <w:rPr>
          <w:rFonts w:ascii="Cambria" w:hAnsi="Cambria" w:cs="Calibri Light"/>
          <w:color w:val="000000"/>
          <w:sz w:val="20"/>
          <w:szCs w:val="20"/>
          <w:lang w:val="es-US"/>
        </w:rPr>
        <w:t>, los r</w:t>
      </w:r>
      <w:r w:rsidRPr="006D319F">
        <w:rPr>
          <w:rFonts w:ascii="Cambria" w:hAnsi="Cambria" w:cs="Calibri Light"/>
          <w:color w:val="000000"/>
          <w:sz w:val="20"/>
          <w:szCs w:val="20"/>
          <w:lang w:val="es-US"/>
        </w:rPr>
        <w:t>epresentantes de las víctimas</w:t>
      </w:r>
      <w:r w:rsidR="00B21903" w:rsidRPr="006D319F">
        <w:rPr>
          <w:rFonts w:ascii="Cambria" w:hAnsi="Cambria" w:cs="Calibri Light"/>
          <w:color w:val="000000"/>
          <w:sz w:val="20"/>
          <w:szCs w:val="20"/>
          <w:lang w:val="es-US"/>
        </w:rPr>
        <w:t xml:space="preserve"> presentaron información actualizada sobre el cumplimiento de esta recomendación. </w:t>
      </w:r>
      <w:r w:rsidRPr="006D319F">
        <w:rPr>
          <w:rFonts w:ascii="Cambria" w:hAnsi="Cambria" w:cs="Calibri Light"/>
          <w:color w:val="000000"/>
          <w:sz w:val="20"/>
          <w:szCs w:val="20"/>
          <w:lang w:val="es-US"/>
        </w:rPr>
        <w:t xml:space="preserve">Señalaron que, pese a las acciones de investigación desarrolladas por el Estado, únicamente una persona se encuentra ejecutando pena de prisión actualmente. Además, insistieron en que las acciones implementadas por el Estado no han resultado suficientes para identificar y sancionar a los autores intelectuales del homicidio de </w:t>
      </w:r>
      <w:proofErr w:type="spellStart"/>
      <w:r w:rsidRPr="006D319F">
        <w:rPr>
          <w:rFonts w:ascii="Cambria" w:hAnsi="Cambria" w:cs="Calibri Light"/>
          <w:color w:val="000000"/>
          <w:sz w:val="20"/>
          <w:szCs w:val="20"/>
          <w:lang w:val="es-US"/>
        </w:rPr>
        <w:t>Manoel</w:t>
      </w:r>
      <w:proofErr w:type="spellEnd"/>
      <w:r w:rsidRPr="006D319F">
        <w:rPr>
          <w:rFonts w:ascii="Cambria" w:hAnsi="Cambria" w:cs="Calibri Light"/>
          <w:color w:val="000000"/>
          <w:sz w:val="20"/>
          <w:szCs w:val="20"/>
          <w:lang w:val="es-US"/>
        </w:rPr>
        <w:t xml:space="preserve"> Leal de Oliveira. Aunado a ello, los peticionarios informaron que en octubre de 2020 solicitaron información al Ministerio Público de </w:t>
      </w:r>
      <w:proofErr w:type="spellStart"/>
      <w:r w:rsidRPr="006D319F">
        <w:rPr>
          <w:rFonts w:ascii="Cambria" w:hAnsi="Cambria" w:cs="Calibri Light"/>
          <w:color w:val="000000"/>
          <w:sz w:val="20"/>
          <w:szCs w:val="20"/>
          <w:lang w:val="es-US"/>
        </w:rPr>
        <w:t>Itabune</w:t>
      </w:r>
      <w:proofErr w:type="spellEnd"/>
      <w:r w:rsidRPr="006D319F">
        <w:rPr>
          <w:rFonts w:ascii="Cambria" w:hAnsi="Cambria" w:cs="Calibri Light"/>
          <w:color w:val="000000"/>
          <w:sz w:val="20"/>
          <w:szCs w:val="20"/>
          <w:lang w:val="es-US"/>
        </w:rPr>
        <w:t xml:space="preserve"> respecto de la situación legal del condenado </w:t>
      </w:r>
      <w:proofErr w:type="spellStart"/>
      <w:r w:rsidRPr="006D319F">
        <w:rPr>
          <w:rFonts w:ascii="Cambria" w:hAnsi="Cambria" w:cs="Calibri Light"/>
          <w:color w:val="000000"/>
          <w:sz w:val="20"/>
          <w:szCs w:val="20"/>
          <w:lang w:val="es-US"/>
        </w:rPr>
        <w:t>Marcone</w:t>
      </w:r>
      <w:proofErr w:type="spellEnd"/>
      <w:r w:rsidRPr="006D319F">
        <w:rPr>
          <w:rFonts w:ascii="Cambria" w:hAnsi="Cambria" w:cs="Calibri Light"/>
          <w:color w:val="000000"/>
          <w:sz w:val="20"/>
          <w:szCs w:val="20"/>
          <w:lang w:val="es-US"/>
        </w:rPr>
        <w:t xml:space="preserve"> </w:t>
      </w:r>
      <w:proofErr w:type="spellStart"/>
      <w:r w:rsidRPr="006D319F">
        <w:rPr>
          <w:rFonts w:ascii="Cambria" w:hAnsi="Cambria" w:cs="Calibri Light"/>
          <w:color w:val="000000"/>
          <w:sz w:val="20"/>
          <w:szCs w:val="20"/>
          <w:lang w:val="es-US"/>
        </w:rPr>
        <w:t>Sarmento</w:t>
      </w:r>
      <w:proofErr w:type="spellEnd"/>
      <w:r w:rsidRPr="006D319F">
        <w:rPr>
          <w:rFonts w:ascii="Cambria" w:hAnsi="Cambria" w:cs="Calibri Light"/>
          <w:color w:val="000000"/>
          <w:sz w:val="20"/>
          <w:szCs w:val="20"/>
          <w:lang w:val="es-US"/>
        </w:rPr>
        <w:t>, respecto de quien se dictó una ampliación de pena de prisión a petición del Ministerio Público. Los peticionarios exhibieron una respuesta en la que autoridades del Estado de Bahía confirmaron que dicha persona se encuentra actualmente en libertad</w:t>
      </w:r>
      <w:r w:rsidR="0017795C" w:rsidRPr="006D319F">
        <w:rPr>
          <w:rFonts w:ascii="Cambria" w:hAnsi="Cambria" w:cs="Calibri Light"/>
          <w:color w:val="000000"/>
          <w:sz w:val="20"/>
          <w:szCs w:val="20"/>
          <w:lang w:val="es-US"/>
        </w:rPr>
        <w:t>.</w:t>
      </w:r>
    </w:p>
    <w:p w14:paraId="6828B7FB" w14:textId="77777777" w:rsidR="0017795C" w:rsidRPr="006D319F" w:rsidRDefault="0017795C" w:rsidP="0017795C">
      <w:pPr>
        <w:pStyle w:val="ListParagraph"/>
        <w:spacing w:after="0" w:line="240" w:lineRule="auto"/>
        <w:ind w:left="0"/>
        <w:jc w:val="both"/>
        <w:rPr>
          <w:rFonts w:ascii="Cambria" w:hAnsi="Cambria" w:cs="Calibri Light"/>
          <w:color w:val="000000"/>
          <w:sz w:val="20"/>
          <w:szCs w:val="20"/>
          <w:lang w:val="es-US"/>
        </w:rPr>
      </w:pPr>
    </w:p>
    <w:p w14:paraId="7D26FC0F" w14:textId="77777777" w:rsidR="0017795C" w:rsidRPr="006D319F" w:rsidRDefault="0017795C" w:rsidP="004B2CB1">
      <w:pPr>
        <w:pStyle w:val="ListParagraph"/>
        <w:numPr>
          <w:ilvl w:val="0"/>
          <w:numId w:val="16"/>
        </w:numPr>
        <w:spacing w:after="0" w:line="240" w:lineRule="auto"/>
        <w:ind w:left="0" w:firstLine="720"/>
        <w:jc w:val="both"/>
        <w:rPr>
          <w:rFonts w:ascii="Cambria" w:hAnsi="Cambria" w:cs="Calibri Light"/>
          <w:color w:val="000000"/>
          <w:sz w:val="20"/>
          <w:szCs w:val="20"/>
          <w:lang w:val="es-US"/>
        </w:rPr>
      </w:pPr>
      <w:r w:rsidRPr="006D319F">
        <w:rPr>
          <w:rFonts w:ascii="Cambria" w:hAnsi="Cambria" w:cs="Calibri Light"/>
          <w:color w:val="000000"/>
          <w:sz w:val="20"/>
          <w:szCs w:val="20"/>
          <w:lang w:val="es-US"/>
        </w:rPr>
        <w:t>En 2020</w:t>
      </w:r>
      <w:r w:rsidR="007510EA" w:rsidRPr="006D319F">
        <w:rPr>
          <w:rFonts w:ascii="Cambria" w:hAnsi="Cambria" w:cs="Calibri Light"/>
          <w:color w:val="000000"/>
          <w:sz w:val="20"/>
          <w:szCs w:val="20"/>
          <w:lang w:val="es-US"/>
        </w:rPr>
        <w:t>,</w:t>
      </w:r>
      <w:r w:rsidRPr="006D319F">
        <w:rPr>
          <w:rFonts w:ascii="Cambria" w:hAnsi="Cambria" w:cs="Calibri Light"/>
          <w:color w:val="000000"/>
          <w:sz w:val="20"/>
          <w:szCs w:val="20"/>
          <w:lang w:val="es-US"/>
        </w:rPr>
        <w:t xml:space="preserve"> el Estado manifestó que el 12 de febrero de 2020 el Tribunal de Justicia del Estado de Bahía </w:t>
      </w:r>
      <w:r w:rsidR="004B2CB1" w:rsidRPr="006D319F">
        <w:rPr>
          <w:rFonts w:ascii="Cambria" w:hAnsi="Cambria" w:cs="Calibri Light"/>
          <w:color w:val="000000"/>
          <w:sz w:val="20"/>
          <w:szCs w:val="20"/>
          <w:lang w:val="es-US"/>
        </w:rPr>
        <w:t xml:space="preserve">resolvió la apelación promovida por el Ministerio Público respecto de la duración de la pena ordenada y modificó dicha decisión para incrementar la pena en un total de trece años. Asimismo, el Estado refirió que el 6 de marzo de 2020, la defensa de </w:t>
      </w:r>
      <w:proofErr w:type="spellStart"/>
      <w:r w:rsidR="004B2CB1" w:rsidRPr="006D319F">
        <w:rPr>
          <w:rFonts w:ascii="Cambria" w:hAnsi="Cambria" w:cs="Calibri Light"/>
          <w:color w:val="000000"/>
          <w:sz w:val="20"/>
          <w:szCs w:val="20"/>
          <w:lang w:val="es-US"/>
        </w:rPr>
        <w:t>Marcone</w:t>
      </w:r>
      <w:proofErr w:type="spellEnd"/>
      <w:r w:rsidR="004B2CB1" w:rsidRPr="006D319F">
        <w:rPr>
          <w:rFonts w:ascii="Cambria" w:hAnsi="Cambria" w:cs="Calibri Light"/>
          <w:color w:val="000000"/>
          <w:sz w:val="20"/>
          <w:szCs w:val="20"/>
          <w:lang w:val="es-US"/>
        </w:rPr>
        <w:t xml:space="preserve"> </w:t>
      </w:r>
      <w:proofErr w:type="spellStart"/>
      <w:r w:rsidR="004B2CB1" w:rsidRPr="006D319F">
        <w:rPr>
          <w:rFonts w:ascii="Cambria" w:hAnsi="Cambria" w:cs="Calibri Light"/>
          <w:color w:val="000000"/>
          <w:sz w:val="20"/>
          <w:szCs w:val="20"/>
          <w:lang w:val="es-US"/>
        </w:rPr>
        <w:t>Sarmento</w:t>
      </w:r>
      <w:proofErr w:type="spellEnd"/>
      <w:r w:rsidR="004B2CB1" w:rsidRPr="006D319F">
        <w:rPr>
          <w:rFonts w:ascii="Cambria" w:hAnsi="Cambria" w:cs="Calibri Light"/>
          <w:color w:val="000000"/>
          <w:sz w:val="20"/>
          <w:szCs w:val="20"/>
          <w:lang w:val="es-US"/>
        </w:rPr>
        <w:t xml:space="preserve"> promovió un recurso de apelación el cual se encuentra pendiente de decisión ante el mismo tribunal. </w:t>
      </w:r>
    </w:p>
    <w:p w14:paraId="5BA0D085" w14:textId="77777777" w:rsidR="004B2CB1" w:rsidRPr="006D319F" w:rsidRDefault="004B2CB1" w:rsidP="004B2CB1">
      <w:pPr>
        <w:pStyle w:val="ListParagraph"/>
        <w:rPr>
          <w:rFonts w:ascii="Cambria" w:hAnsi="Cambria" w:cs="Calibri Light"/>
          <w:color w:val="000000"/>
          <w:sz w:val="20"/>
          <w:szCs w:val="20"/>
          <w:lang w:val="es-US"/>
        </w:rPr>
      </w:pPr>
    </w:p>
    <w:p w14:paraId="436C6EEF" w14:textId="77777777" w:rsidR="004B2CB1" w:rsidRPr="006D319F" w:rsidRDefault="004B2CB1" w:rsidP="004B2CB1">
      <w:pPr>
        <w:pStyle w:val="ListParagraph"/>
        <w:numPr>
          <w:ilvl w:val="0"/>
          <w:numId w:val="16"/>
        </w:numPr>
        <w:spacing w:after="0" w:line="240" w:lineRule="auto"/>
        <w:ind w:left="0" w:firstLine="720"/>
        <w:jc w:val="both"/>
        <w:rPr>
          <w:rFonts w:ascii="Cambria" w:hAnsi="Cambria" w:cs="Calibri Light"/>
          <w:color w:val="000000"/>
          <w:sz w:val="20"/>
          <w:szCs w:val="20"/>
          <w:lang w:val="es-US"/>
        </w:rPr>
      </w:pPr>
      <w:r w:rsidRPr="006D319F">
        <w:rPr>
          <w:rFonts w:ascii="Cambria" w:hAnsi="Cambria" w:cs="Calibri Light"/>
          <w:color w:val="000000"/>
          <w:sz w:val="20"/>
          <w:szCs w:val="20"/>
          <w:lang w:val="es-US"/>
        </w:rPr>
        <w:t xml:space="preserve">En la reunión de trabajo sostenida entre las partes durante el 175 Periodo de Sesiones de esta Comisión, uno de los puntos analizados fue la posible federalización de las investigaciones, de modo que sea el Ministerio Público Federal quien continúe desarrollando las pesquisas criminales con el objetivo de identificar y sancionar a todas las personas responsables del homicidio de </w:t>
      </w:r>
      <w:proofErr w:type="spellStart"/>
      <w:r w:rsidRPr="006D319F">
        <w:rPr>
          <w:rFonts w:ascii="Cambria" w:hAnsi="Cambria" w:cs="Calibri Light"/>
          <w:color w:val="000000"/>
          <w:sz w:val="20"/>
          <w:szCs w:val="20"/>
          <w:lang w:val="es-US"/>
        </w:rPr>
        <w:t>Manoel</w:t>
      </w:r>
      <w:proofErr w:type="spellEnd"/>
      <w:r w:rsidRPr="006D319F">
        <w:rPr>
          <w:rFonts w:ascii="Cambria" w:hAnsi="Cambria" w:cs="Calibri Light"/>
          <w:color w:val="000000"/>
          <w:sz w:val="20"/>
          <w:szCs w:val="20"/>
          <w:lang w:val="es-US"/>
        </w:rPr>
        <w:t xml:space="preserve"> Leal de Oliveira. Al respecto, el Estado manifestó que dicha posibilidad se encuentra aún bajo estudio en el ámbito interno, y se comprometió a aportar información a esta Comisión tan pronto exista una definición sobre el tema. </w:t>
      </w:r>
    </w:p>
    <w:p w14:paraId="31E8A0E4" w14:textId="77777777" w:rsidR="004B2CB1" w:rsidRPr="006D319F" w:rsidRDefault="004B2CB1" w:rsidP="004B2CB1">
      <w:pPr>
        <w:pStyle w:val="ListParagraph"/>
        <w:rPr>
          <w:rFonts w:ascii="Cambria" w:hAnsi="Cambria" w:cs="Calibri Light"/>
          <w:color w:val="000000"/>
          <w:sz w:val="20"/>
          <w:szCs w:val="20"/>
          <w:lang w:val="es-US"/>
        </w:rPr>
      </w:pPr>
    </w:p>
    <w:p w14:paraId="44710B0B" w14:textId="77777777" w:rsidR="00410AFC" w:rsidRPr="006D319F" w:rsidRDefault="004B2CB1" w:rsidP="00410AFC">
      <w:pPr>
        <w:pStyle w:val="ListParagraph"/>
        <w:numPr>
          <w:ilvl w:val="0"/>
          <w:numId w:val="16"/>
        </w:numPr>
        <w:spacing w:after="0" w:line="240" w:lineRule="auto"/>
        <w:ind w:left="0" w:firstLine="720"/>
        <w:jc w:val="both"/>
        <w:rPr>
          <w:rFonts w:ascii="Cambria" w:hAnsi="Cambria" w:cs="Arial"/>
          <w:color w:val="000000"/>
          <w:sz w:val="20"/>
          <w:szCs w:val="20"/>
          <w:lang w:val="es-PY"/>
        </w:rPr>
      </w:pPr>
      <w:r w:rsidRPr="006D319F">
        <w:rPr>
          <w:rFonts w:ascii="Cambria" w:hAnsi="Cambria" w:cs="Calibri Light"/>
          <w:color w:val="000000"/>
          <w:sz w:val="20"/>
          <w:szCs w:val="20"/>
          <w:lang w:val="es-US"/>
        </w:rPr>
        <w:t xml:space="preserve">La CIDH reconoce las medidas adoptadas por el Estado para asegurar la sanción de los autores materiales del homicidio del señor </w:t>
      </w:r>
      <w:proofErr w:type="spellStart"/>
      <w:r w:rsidRPr="006D319F">
        <w:rPr>
          <w:rFonts w:ascii="Cambria" w:hAnsi="Cambria" w:cs="Calibri Light"/>
          <w:color w:val="000000"/>
          <w:sz w:val="20"/>
          <w:szCs w:val="20"/>
          <w:lang w:val="es-US"/>
        </w:rPr>
        <w:t>Manoel</w:t>
      </w:r>
      <w:proofErr w:type="spellEnd"/>
      <w:r w:rsidRPr="006D319F">
        <w:rPr>
          <w:rFonts w:ascii="Cambria" w:hAnsi="Cambria" w:cs="Calibri Light"/>
          <w:color w:val="000000"/>
          <w:sz w:val="20"/>
          <w:szCs w:val="20"/>
          <w:lang w:val="es-US"/>
        </w:rPr>
        <w:t xml:space="preserve"> Leal de Oliveira. </w:t>
      </w:r>
      <w:r w:rsidR="00CC7CB7" w:rsidRPr="006D319F">
        <w:rPr>
          <w:rFonts w:ascii="Cambria" w:hAnsi="Cambria" w:cs="Calibri Light"/>
          <w:color w:val="000000"/>
          <w:sz w:val="20"/>
          <w:szCs w:val="20"/>
          <w:lang w:val="es-US"/>
        </w:rPr>
        <w:t>Considera que dichas acciones contribuyen de manera importante al esclarecimiento de los hechos, a la materialización del derecho a la reparación de sus familiares, así como a la construcción de un entorno libre y seguro para el ejercicio de la libertad de expresión. Sin embargo, la CIDH toma nota</w:t>
      </w:r>
      <w:r w:rsidR="00410AFC" w:rsidRPr="006D319F">
        <w:rPr>
          <w:rFonts w:ascii="Cambria" w:hAnsi="Cambria" w:cs="Calibri Light"/>
          <w:color w:val="000000"/>
          <w:sz w:val="20"/>
          <w:szCs w:val="20"/>
          <w:lang w:val="es-US"/>
        </w:rPr>
        <w:t xml:space="preserve"> de</w:t>
      </w:r>
      <w:r w:rsidR="00CC7CB7" w:rsidRPr="006D319F">
        <w:rPr>
          <w:rFonts w:ascii="Cambria" w:hAnsi="Cambria" w:cs="Calibri Light"/>
          <w:color w:val="000000"/>
          <w:sz w:val="20"/>
          <w:szCs w:val="20"/>
          <w:lang w:val="es-US"/>
        </w:rPr>
        <w:t xml:space="preserve"> que los procesos seguidos hasta ahora se han limitado a la sanción de los autores materiales</w:t>
      </w:r>
      <w:r w:rsidR="00410AFC" w:rsidRPr="006D319F">
        <w:rPr>
          <w:rFonts w:ascii="Cambria" w:hAnsi="Cambria" w:cs="Calibri Light"/>
          <w:color w:val="000000"/>
          <w:sz w:val="20"/>
          <w:szCs w:val="20"/>
          <w:lang w:val="es-US"/>
        </w:rPr>
        <w:t>,</w:t>
      </w:r>
      <w:r w:rsidR="00CC7CB7" w:rsidRPr="006D319F">
        <w:rPr>
          <w:rFonts w:ascii="Cambria" w:hAnsi="Cambria" w:cs="Calibri Light"/>
          <w:color w:val="000000"/>
          <w:sz w:val="20"/>
          <w:szCs w:val="20"/>
          <w:lang w:val="es-US"/>
        </w:rPr>
        <w:t xml:space="preserve"> sin que hasta la fecha se hayan practicado diligencias relacionadas con la identificación de los autores intelectuales del crimen. Al respecto, la CIDH recuerda que en el Informe Nº 37/10 señaló que “</w:t>
      </w:r>
      <w:r w:rsidR="00CC7CB7" w:rsidRPr="006D319F">
        <w:rPr>
          <w:rFonts w:ascii="Cambria" w:hAnsi="Cambria" w:cs="Arial"/>
          <w:color w:val="000000"/>
          <w:sz w:val="20"/>
          <w:szCs w:val="20"/>
          <w:lang w:val="es-PY"/>
        </w:rPr>
        <w:t xml:space="preserve">la indeterminación de todos los autores materiales e intelectuales del asesinato de Manoel Leal de Oliveira fue resultado de una investigación penal espuria y marcada por diversas irregularidades” de modo que </w:t>
      </w:r>
      <w:r w:rsidR="00410AFC" w:rsidRPr="006D319F">
        <w:rPr>
          <w:rFonts w:ascii="Cambria" w:hAnsi="Cambria" w:cs="Arial"/>
          <w:color w:val="000000"/>
          <w:sz w:val="20"/>
          <w:szCs w:val="20"/>
          <w:lang w:val="es-PY"/>
        </w:rPr>
        <w:t xml:space="preserve">de mantenerse tal situación se contribuiría a la generación de “un efecto inhibidor del ejercicio de la libertad de expresión, especialmente en lo que atañe a la libertad de denunciar e informar sobre la conducta de los agentes públicos”. </w:t>
      </w:r>
    </w:p>
    <w:p w14:paraId="3FC17206" w14:textId="77777777" w:rsidR="00410AFC" w:rsidRPr="006D319F" w:rsidRDefault="00410AFC" w:rsidP="00410AFC">
      <w:pPr>
        <w:pStyle w:val="ListParagraph"/>
        <w:spacing w:after="0" w:line="240" w:lineRule="auto"/>
        <w:jc w:val="both"/>
        <w:rPr>
          <w:rFonts w:ascii="Cambria" w:hAnsi="Cambria" w:cs="Arial"/>
          <w:color w:val="000000"/>
          <w:sz w:val="20"/>
          <w:szCs w:val="20"/>
          <w:lang w:val="es-PY"/>
        </w:rPr>
      </w:pPr>
    </w:p>
    <w:p w14:paraId="7B401F87" w14:textId="77777777" w:rsidR="004B2CB1" w:rsidRPr="006D319F" w:rsidRDefault="00410AFC" w:rsidP="004B2CB1">
      <w:pPr>
        <w:pStyle w:val="ListParagraph"/>
        <w:numPr>
          <w:ilvl w:val="0"/>
          <w:numId w:val="16"/>
        </w:numPr>
        <w:spacing w:after="0" w:line="240" w:lineRule="auto"/>
        <w:ind w:left="0" w:firstLine="720"/>
        <w:jc w:val="both"/>
        <w:rPr>
          <w:rFonts w:ascii="Cambria" w:hAnsi="Cambria" w:cs="Calibri Light"/>
          <w:color w:val="000000"/>
          <w:sz w:val="20"/>
          <w:szCs w:val="20"/>
          <w:lang w:val="es-US"/>
        </w:rPr>
      </w:pPr>
      <w:r w:rsidRPr="006D319F">
        <w:rPr>
          <w:rFonts w:ascii="Cambria" w:hAnsi="Cambria" w:cs="Calibri Light"/>
          <w:color w:val="000000"/>
          <w:sz w:val="20"/>
          <w:szCs w:val="20"/>
          <w:lang w:val="es-US"/>
        </w:rPr>
        <w:t xml:space="preserve">Frente a ello, la CIDH </w:t>
      </w:r>
      <w:r w:rsidR="009B259F" w:rsidRPr="006D319F">
        <w:rPr>
          <w:rFonts w:ascii="Cambria" w:hAnsi="Cambria" w:cs="Calibri Light"/>
          <w:color w:val="000000"/>
          <w:sz w:val="20"/>
          <w:szCs w:val="20"/>
          <w:lang w:val="es-US"/>
        </w:rPr>
        <w:t>llama</w:t>
      </w:r>
      <w:r w:rsidRPr="006D319F">
        <w:rPr>
          <w:rFonts w:ascii="Cambria" w:hAnsi="Cambria" w:cs="Calibri Light"/>
          <w:color w:val="000000"/>
          <w:sz w:val="20"/>
          <w:szCs w:val="20"/>
          <w:lang w:val="es-US"/>
        </w:rPr>
        <w:t xml:space="preserve"> al Estado </w:t>
      </w:r>
      <w:r w:rsidR="00E02095" w:rsidRPr="006D319F">
        <w:rPr>
          <w:rFonts w:ascii="Cambria" w:hAnsi="Cambria" w:cs="Calibri Light"/>
          <w:color w:val="000000"/>
          <w:sz w:val="20"/>
          <w:szCs w:val="20"/>
          <w:lang w:val="es-US"/>
        </w:rPr>
        <w:t>para que continúe</w:t>
      </w:r>
      <w:r w:rsidRPr="006D319F">
        <w:rPr>
          <w:rFonts w:ascii="Cambria" w:hAnsi="Cambria" w:cs="Calibri Light"/>
          <w:color w:val="000000"/>
          <w:sz w:val="20"/>
          <w:szCs w:val="20"/>
          <w:lang w:val="es-US"/>
        </w:rPr>
        <w:t xml:space="preserve"> adoptando todas las medidas que resulten necesarias para </w:t>
      </w:r>
      <w:r w:rsidR="00E02095" w:rsidRPr="006D319F">
        <w:rPr>
          <w:rFonts w:ascii="Cambria" w:hAnsi="Cambria" w:cs="Calibri Light"/>
          <w:color w:val="000000"/>
          <w:sz w:val="20"/>
          <w:szCs w:val="20"/>
          <w:lang w:val="es-US"/>
        </w:rPr>
        <w:t>adelantar</w:t>
      </w:r>
      <w:r w:rsidRPr="006D319F">
        <w:rPr>
          <w:rFonts w:ascii="Cambria" w:hAnsi="Cambria" w:cs="Calibri Light"/>
          <w:color w:val="000000"/>
          <w:sz w:val="20"/>
          <w:szCs w:val="20"/>
          <w:lang w:val="es-US"/>
        </w:rPr>
        <w:t xml:space="preserve"> procesos de investigación criminal que permitan identificar y sancionar no sólo a los autores materiales de la muerte del señor Oliveira, sino también de aquellos </w:t>
      </w:r>
      <w:r w:rsidR="00E02095" w:rsidRPr="006D319F">
        <w:rPr>
          <w:rFonts w:ascii="Cambria" w:hAnsi="Cambria" w:cs="Calibri Light"/>
          <w:color w:val="000000"/>
          <w:sz w:val="20"/>
          <w:szCs w:val="20"/>
          <w:lang w:val="es-US"/>
        </w:rPr>
        <w:t xml:space="preserve">quienes hayan planeado su ejecución. </w:t>
      </w:r>
      <w:r w:rsidR="006D6BB0" w:rsidRPr="006D319F">
        <w:rPr>
          <w:rFonts w:ascii="Cambria" w:hAnsi="Cambria" w:cs="Calibri Light"/>
          <w:color w:val="000000"/>
          <w:sz w:val="20"/>
          <w:szCs w:val="20"/>
          <w:lang w:val="es-ES"/>
        </w:rPr>
        <w:t xml:space="preserve">Al respecto, la Comisión recuerda lo señalado por la Corte Interamericana sobre la particular relevancia que tienen las investigaciones en casos como este, las cuales deben </w:t>
      </w:r>
      <w:r w:rsidR="006D6BB0" w:rsidRPr="006D319F">
        <w:rPr>
          <w:rFonts w:ascii="Cambria" w:hAnsi="Cambria"/>
          <w:color w:val="000000"/>
          <w:sz w:val="20"/>
          <w:szCs w:val="20"/>
          <w:lang w:val="es-ES"/>
        </w:rPr>
        <w:t xml:space="preserve">orientarse a la determinación de la verdad y a la persecución, captura, enjuiciamiento y, eventual, sanción de los autores de los hechos, toda vez </w:t>
      </w:r>
      <w:r w:rsidR="009B259F" w:rsidRPr="006D319F">
        <w:rPr>
          <w:rFonts w:ascii="Cambria" w:hAnsi="Cambria"/>
          <w:color w:val="000000"/>
          <w:sz w:val="20"/>
          <w:szCs w:val="20"/>
          <w:lang w:val="es-ES"/>
        </w:rPr>
        <w:t>que,</w:t>
      </w:r>
      <w:r w:rsidR="006D6BB0" w:rsidRPr="006D319F">
        <w:rPr>
          <w:rFonts w:ascii="Cambria" w:hAnsi="Cambria"/>
          <w:color w:val="000000"/>
          <w:sz w:val="20"/>
          <w:szCs w:val="20"/>
          <w:lang w:val="es-ES"/>
        </w:rPr>
        <w:t xml:space="preserve"> si éstos no son investigados con seriedad, resultarían, en cierto modo, favorecidos por el poder público. </w:t>
      </w:r>
    </w:p>
    <w:p w14:paraId="66066598" w14:textId="77777777" w:rsidR="00A946F0" w:rsidRPr="006D319F" w:rsidRDefault="00A946F0" w:rsidP="007C602F">
      <w:pPr>
        <w:pStyle w:val="ListParagraph"/>
        <w:spacing w:after="0" w:line="240" w:lineRule="auto"/>
        <w:ind w:left="0"/>
        <w:jc w:val="both"/>
        <w:rPr>
          <w:rFonts w:ascii="Cambria" w:hAnsi="Cambria" w:cs="Calibri Light"/>
          <w:color w:val="000000"/>
          <w:sz w:val="20"/>
          <w:szCs w:val="20"/>
          <w:lang w:val="es-US"/>
        </w:rPr>
      </w:pPr>
    </w:p>
    <w:p w14:paraId="1E745342" w14:textId="77777777" w:rsidR="00B21903" w:rsidRPr="006D319F" w:rsidRDefault="00E22A7C" w:rsidP="00E22A7C">
      <w:pPr>
        <w:pStyle w:val="ListParagraph"/>
        <w:numPr>
          <w:ilvl w:val="0"/>
          <w:numId w:val="16"/>
        </w:numPr>
        <w:spacing w:after="0" w:line="240" w:lineRule="auto"/>
        <w:ind w:left="0" w:firstLine="720"/>
        <w:jc w:val="both"/>
        <w:rPr>
          <w:rFonts w:ascii="Cambria" w:hAnsi="Cambria" w:cs="Calibri Light"/>
          <w:color w:val="000000"/>
          <w:sz w:val="20"/>
          <w:szCs w:val="20"/>
          <w:lang w:val="es-US"/>
        </w:rPr>
      </w:pPr>
      <w:r w:rsidRPr="006D319F">
        <w:rPr>
          <w:rFonts w:ascii="Cambria" w:hAnsi="Cambria" w:cs="Calibri Light"/>
          <w:color w:val="000000"/>
          <w:sz w:val="20"/>
          <w:szCs w:val="20"/>
          <w:lang w:val="es-US"/>
        </w:rPr>
        <w:lastRenderedPageBreak/>
        <w:t xml:space="preserve"> </w:t>
      </w:r>
      <w:r w:rsidR="00A946F0" w:rsidRPr="006D319F">
        <w:rPr>
          <w:rFonts w:ascii="Cambria" w:hAnsi="Cambria" w:cs="Calibri Light"/>
          <w:color w:val="000000"/>
          <w:sz w:val="20"/>
          <w:szCs w:val="20"/>
          <w:lang w:val="es-US"/>
        </w:rPr>
        <w:t>E</w:t>
      </w:r>
      <w:r w:rsidR="00B21903" w:rsidRPr="006D319F">
        <w:rPr>
          <w:rFonts w:ascii="Cambria" w:hAnsi="Cambria" w:cs="Calibri Light"/>
          <w:color w:val="000000"/>
          <w:sz w:val="20"/>
          <w:szCs w:val="20"/>
          <w:lang w:val="es-US"/>
        </w:rPr>
        <w:t>n vi</w:t>
      </w:r>
      <w:r w:rsidR="006907BE" w:rsidRPr="006D319F">
        <w:rPr>
          <w:rFonts w:ascii="Cambria" w:hAnsi="Cambria" w:cs="Calibri Light"/>
          <w:color w:val="000000"/>
          <w:sz w:val="20"/>
          <w:szCs w:val="20"/>
          <w:lang w:val="es-US"/>
        </w:rPr>
        <w:t>rtud</w:t>
      </w:r>
      <w:r w:rsidR="00B21903" w:rsidRPr="006D319F">
        <w:rPr>
          <w:rFonts w:ascii="Cambria" w:hAnsi="Cambria" w:cs="Calibri Light"/>
          <w:color w:val="000000"/>
          <w:sz w:val="20"/>
          <w:szCs w:val="20"/>
          <w:lang w:val="es-US"/>
        </w:rPr>
        <w:t xml:space="preserve"> de</w:t>
      </w:r>
      <w:r w:rsidR="00A946F0" w:rsidRPr="006D319F">
        <w:rPr>
          <w:rFonts w:ascii="Cambria" w:hAnsi="Cambria" w:cs="Calibri Light"/>
          <w:color w:val="000000"/>
          <w:sz w:val="20"/>
          <w:szCs w:val="20"/>
          <w:lang w:val="es-US"/>
        </w:rPr>
        <w:t xml:space="preserve"> la información presentada por</w:t>
      </w:r>
      <w:r w:rsidR="007C602F" w:rsidRPr="006D319F">
        <w:rPr>
          <w:rFonts w:ascii="Cambria" w:hAnsi="Cambria" w:cs="Calibri Light"/>
          <w:color w:val="000000"/>
          <w:sz w:val="20"/>
          <w:szCs w:val="20"/>
          <w:lang w:val="es-US"/>
        </w:rPr>
        <w:t xml:space="preserve"> las partes, y tomando en consideración que a la fecha existen </w:t>
      </w:r>
      <w:r w:rsidR="00B21903" w:rsidRPr="006D319F">
        <w:rPr>
          <w:rFonts w:ascii="Cambria" w:hAnsi="Cambria" w:cs="Calibri Light"/>
          <w:color w:val="000000"/>
          <w:sz w:val="20"/>
          <w:szCs w:val="20"/>
          <w:lang w:val="es-US"/>
        </w:rPr>
        <w:t>procesos por concluir, la CIDH</w:t>
      </w:r>
      <w:r w:rsidR="006907BE" w:rsidRPr="006D319F">
        <w:rPr>
          <w:rFonts w:ascii="Cambria" w:hAnsi="Cambria" w:cs="Calibri Light"/>
          <w:color w:val="000000"/>
          <w:sz w:val="20"/>
          <w:szCs w:val="20"/>
          <w:lang w:val="es-US"/>
        </w:rPr>
        <w:t xml:space="preserve"> in</w:t>
      </w:r>
      <w:r w:rsidR="00443400" w:rsidRPr="006D319F">
        <w:rPr>
          <w:rFonts w:ascii="Cambria" w:hAnsi="Cambria" w:cs="Calibri Light"/>
          <w:color w:val="000000"/>
          <w:sz w:val="20"/>
          <w:szCs w:val="20"/>
          <w:lang w:val="es-US"/>
        </w:rPr>
        <w:t>sta</w:t>
      </w:r>
      <w:r w:rsidR="006907BE" w:rsidRPr="006D319F">
        <w:rPr>
          <w:rFonts w:ascii="Cambria" w:hAnsi="Cambria" w:cs="Calibri Light"/>
          <w:color w:val="000000"/>
          <w:sz w:val="20"/>
          <w:szCs w:val="20"/>
          <w:lang w:val="es-US"/>
        </w:rPr>
        <w:t xml:space="preserve"> al Estado a que</w:t>
      </w:r>
      <w:r w:rsidR="007C602F" w:rsidRPr="006D319F">
        <w:rPr>
          <w:rFonts w:ascii="Cambria" w:hAnsi="Cambria" w:cs="Calibri Light"/>
          <w:color w:val="000000"/>
          <w:sz w:val="20"/>
          <w:szCs w:val="20"/>
          <w:lang w:val="es-US"/>
        </w:rPr>
        <w:t xml:space="preserve"> </w:t>
      </w:r>
      <w:r w:rsidR="006907BE" w:rsidRPr="006D319F">
        <w:rPr>
          <w:rFonts w:ascii="Cambria" w:hAnsi="Cambria" w:cs="Calibri Light"/>
          <w:color w:val="000000"/>
          <w:sz w:val="20"/>
          <w:szCs w:val="20"/>
          <w:lang w:val="es-US"/>
        </w:rPr>
        <w:t xml:space="preserve">continúe aportando información sobre los resultados </w:t>
      </w:r>
      <w:r w:rsidR="003E631B" w:rsidRPr="006D319F">
        <w:rPr>
          <w:rFonts w:ascii="Cambria" w:hAnsi="Cambria" w:cs="Calibri Light"/>
          <w:color w:val="000000"/>
          <w:sz w:val="20"/>
          <w:szCs w:val="20"/>
          <w:lang w:val="es-US"/>
        </w:rPr>
        <w:t xml:space="preserve">derivados de dichos procesos. </w:t>
      </w:r>
      <w:r w:rsidR="007510EA" w:rsidRPr="006D319F">
        <w:rPr>
          <w:rFonts w:ascii="Cambria" w:hAnsi="Cambria"/>
          <w:color w:val="000000"/>
          <w:sz w:val="20"/>
          <w:szCs w:val="20"/>
          <w:lang w:val="es-CO"/>
        </w:rPr>
        <w:t>En vista de lo anterior, la Comisión observa que el Estado</w:t>
      </w:r>
      <w:r w:rsidR="00C6777F" w:rsidRPr="006D319F">
        <w:rPr>
          <w:rFonts w:ascii="Cambria" w:hAnsi="Cambria"/>
          <w:color w:val="000000"/>
          <w:sz w:val="20"/>
          <w:szCs w:val="20"/>
          <w:lang w:val="es-CO"/>
        </w:rPr>
        <w:t xml:space="preserve"> ha reportado información sobre la situación de personas presuntamente responsables que han sido individualizadas y están siendo procesadas y, por lo tanto,</w:t>
      </w:r>
      <w:r w:rsidR="007510EA" w:rsidRPr="006D319F">
        <w:rPr>
          <w:rFonts w:ascii="Cambria" w:hAnsi="Cambria"/>
          <w:color w:val="000000"/>
          <w:sz w:val="20"/>
          <w:szCs w:val="20"/>
          <w:lang w:val="es-CO"/>
        </w:rPr>
        <w:t xml:space="preserve"> ha aportado información relevante para actualizar el estado de cumplimiento de esta recomendación y considera que el nivel de dicha recomendación es parcial.</w:t>
      </w:r>
    </w:p>
    <w:p w14:paraId="6FAAD90D" w14:textId="77777777" w:rsidR="00B21903" w:rsidRPr="006D319F" w:rsidRDefault="00B21903" w:rsidP="00E22A7C">
      <w:pPr>
        <w:pStyle w:val="ListParagraph"/>
        <w:spacing w:after="0" w:line="240" w:lineRule="auto"/>
        <w:ind w:left="0" w:firstLine="720"/>
        <w:jc w:val="both"/>
        <w:rPr>
          <w:rFonts w:ascii="Cambria" w:hAnsi="Cambria" w:cs="Calibri Light"/>
          <w:color w:val="000000"/>
          <w:sz w:val="20"/>
          <w:szCs w:val="20"/>
          <w:lang w:val="es-US"/>
        </w:rPr>
      </w:pPr>
    </w:p>
    <w:p w14:paraId="0855ABE8" w14:textId="77777777" w:rsidR="00362313" w:rsidRPr="006D319F" w:rsidRDefault="00E22A7C" w:rsidP="00E22A7C">
      <w:pPr>
        <w:pStyle w:val="ListParagraph"/>
        <w:numPr>
          <w:ilvl w:val="0"/>
          <w:numId w:val="16"/>
        </w:numPr>
        <w:spacing w:after="0" w:line="240" w:lineRule="auto"/>
        <w:ind w:left="0" w:firstLine="720"/>
        <w:jc w:val="both"/>
        <w:rPr>
          <w:rFonts w:ascii="Cambria" w:hAnsi="Cambria" w:cs="Calibri Light"/>
          <w:color w:val="000000"/>
          <w:sz w:val="20"/>
          <w:szCs w:val="20"/>
          <w:lang w:val="es-US"/>
        </w:rPr>
      </w:pPr>
      <w:r w:rsidRPr="006D319F">
        <w:rPr>
          <w:rFonts w:ascii="Cambria" w:hAnsi="Cambria"/>
          <w:b/>
          <w:color w:val="000000"/>
          <w:sz w:val="20"/>
          <w:szCs w:val="20"/>
          <w:lang w:val="es-US"/>
        </w:rPr>
        <w:t xml:space="preserve"> </w:t>
      </w:r>
      <w:r w:rsidR="007C602F" w:rsidRPr="006D319F">
        <w:rPr>
          <w:rFonts w:ascii="Cambria" w:hAnsi="Cambria"/>
          <w:b/>
          <w:color w:val="000000"/>
          <w:sz w:val="20"/>
          <w:szCs w:val="20"/>
          <w:lang w:val="es-US"/>
        </w:rPr>
        <w:t>En</w:t>
      </w:r>
      <w:r w:rsidR="00B21903" w:rsidRPr="006D319F">
        <w:rPr>
          <w:rFonts w:ascii="Cambria" w:hAnsi="Cambria"/>
          <w:b/>
          <w:color w:val="000000"/>
          <w:sz w:val="20"/>
          <w:szCs w:val="20"/>
          <w:lang w:val="es-US"/>
        </w:rPr>
        <w:t xml:space="preserve"> r</w:t>
      </w:r>
      <w:r w:rsidR="007C602F" w:rsidRPr="006D319F">
        <w:rPr>
          <w:rFonts w:ascii="Cambria" w:hAnsi="Cambria"/>
          <w:b/>
          <w:color w:val="000000"/>
          <w:sz w:val="20"/>
          <w:szCs w:val="20"/>
          <w:lang w:val="es-US"/>
        </w:rPr>
        <w:t>elación con</w:t>
      </w:r>
      <w:r w:rsidR="00B21903" w:rsidRPr="006D319F">
        <w:rPr>
          <w:rFonts w:ascii="Cambria" w:hAnsi="Cambria"/>
          <w:b/>
          <w:color w:val="000000"/>
          <w:sz w:val="20"/>
          <w:szCs w:val="20"/>
          <w:lang w:val="es-US"/>
        </w:rPr>
        <w:t xml:space="preserve"> la recomendación tercera, en 2018, </w:t>
      </w:r>
      <w:r w:rsidR="00B21903" w:rsidRPr="006D319F">
        <w:rPr>
          <w:rFonts w:ascii="Cambria" w:hAnsi="Cambria"/>
          <w:color w:val="000000"/>
          <w:sz w:val="20"/>
          <w:szCs w:val="20"/>
          <w:lang w:val="es-US"/>
        </w:rPr>
        <w:t xml:space="preserve">el Estado informó que la Secretaría de Seguridad Publica de Bahía (SSP-BA), por intermedio de la Corregiduría </w:t>
      </w:r>
      <w:r w:rsidR="007845D0" w:rsidRPr="006D319F">
        <w:rPr>
          <w:rFonts w:ascii="Cambria" w:hAnsi="Cambria"/>
          <w:color w:val="000000"/>
          <w:sz w:val="20"/>
          <w:szCs w:val="20"/>
          <w:lang w:val="es-US"/>
        </w:rPr>
        <w:t>de la Policía Civil</w:t>
      </w:r>
      <w:r w:rsidR="00362313" w:rsidRPr="006D319F">
        <w:rPr>
          <w:rFonts w:ascii="Cambria" w:hAnsi="Cambria"/>
          <w:color w:val="000000"/>
          <w:sz w:val="20"/>
          <w:szCs w:val="20"/>
          <w:lang w:val="es-US"/>
        </w:rPr>
        <w:t xml:space="preserve"> (CORREPOL)</w:t>
      </w:r>
      <w:r w:rsidR="007845D0" w:rsidRPr="006D319F">
        <w:rPr>
          <w:rFonts w:ascii="Cambria" w:hAnsi="Cambria"/>
          <w:color w:val="000000"/>
          <w:sz w:val="20"/>
          <w:szCs w:val="20"/>
          <w:lang w:val="es-US"/>
        </w:rPr>
        <w:t>, instauró</w:t>
      </w:r>
      <w:r w:rsidR="00B21903" w:rsidRPr="006D319F">
        <w:rPr>
          <w:rFonts w:ascii="Cambria" w:hAnsi="Cambria"/>
          <w:color w:val="000000"/>
          <w:sz w:val="20"/>
          <w:szCs w:val="20"/>
          <w:lang w:val="es-US"/>
        </w:rPr>
        <w:t xml:space="preserve"> procedimiento para determinar la conducta de los delegados de policía del caso, Gilson de Araujo </w:t>
      </w:r>
      <w:proofErr w:type="spellStart"/>
      <w:r w:rsidR="00B21903" w:rsidRPr="006D319F">
        <w:rPr>
          <w:rFonts w:ascii="Cambria" w:hAnsi="Cambria"/>
          <w:color w:val="000000"/>
          <w:sz w:val="20"/>
          <w:szCs w:val="20"/>
          <w:lang w:val="es-US"/>
        </w:rPr>
        <w:t>Prata</w:t>
      </w:r>
      <w:proofErr w:type="spellEnd"/>
      <w:r w:rsidR="00B21903" w:rsidRPr="006D319F">
        <w:rPr>
          <w:rFonts w:ascii="Cambria" w:hAnsi="Cambria"/>
          <w:color w:val="000000"/>
          <w:sz w:val="20"/>
          <w:szCs w:val="20"/>
          <w:lang w:val="es-US"/>
        </w:rPr>
        <w:t xml:space="preserve"> y Joao Jacques Oliveira, y que fue concluido por la inexistencia de acto ilícito perpetrado por los policías. Además, </w:t>
      </w:r>
      <w:r w:rsidR="007845D0" w:rsidRPr="006D319F">
        <w:rPr>
          <w:rFonts w:ascii="Cambria" w:hAnsi="Cambria"/>
          <w:color w:val="000000"/>
          <w:sz w:val="20"/>
          <w:szCs w:val="20"/>
          <w:lang w:val="es-US"/>
        </w:rPr>
        <w:t>el Estado reiteró que</w:t>
      </w:r>
      <w:r w:rsidR="00B21903" w:rsidRPr="006D319F">
        <w:rPr>
          <w:rFonts w:ascii="Cambria" w:hAnsi="Cambria"/>
          <w:color w:val="000000"/>
          <w:sz w:val="20"/>
          <w:szCs w:val="20"/>
          <w:lang w:val="es-US"/>
        </w:rPr>
        <w:t xml:space="preserve"> </w:t>
      </w:r>
      <w:r w:rsidR="007845D0" w:rsidRPr="006D319F">
        <w:rPr>
          <w:rFonts w:ascii="Cambria" w:hAnsi="Cambria"/>
          <w:color w:val="000000"/>
          <w:sz w:val="20"/>
          <w:szCs w:val="20"/>
          <w:lang w:val="es-US"/>
        </w:rPr>
        <w:t xml:space="preserve">el </w:t>
      </w:r>
      <w:r w:rsidR="00B21903" w:rsidRPr="006D319F">
        <w:rPr>
          <w:rFonts w:ascii="Cambria" w:hAnsi="Cambria"/>
          <w:color w:val="000000"/>
          <w:sz w:val="20"/>
          <w:szCs w:val="20"/>
          <w:lang w:val="es-US"/>
        </w:rPr>
        <w:t xml:space="preserve">Ministerio Público </w:t>
      </w:r>
      <w:r w:rsidR="007845D0" w:rsidRPr="006D319F">
        <w:rPr>
          <w:rFonts w:ascii="Cambria" w:hAnsi="Cambria"/>
          <w:color w:val="000000"/>
          <w:sz w:val="20"/>
          <w:szCs w:val="20"/>
          <w:lang w:val="es-US"/>
        </w:rPr>
        <w:t xml:space="preserve">del </w:t>
      </w:r>
      <w:r w:rsidR="007845D0" w:rsidRPr="006D319F">
        <w:rPr>
          <w:rFonts w:ascii="Cambria" w:eastAsia="Times New Roman" w:hAnsi="Cambria" w:cs="Courier New"/>
          <w:color w:val="000000"/>
          <w:sz w:val="20"/>
          <w:szCs w:val="20"/>
          <w:lang w:val="es-ES"/>
        </w:rPr>
        <w:t>estado de Bahía</w:t>
      </w:r>
      <w:r w:rsidR="007845D0" w:rsidRPr="006D319F">
        <w:rPr>
          <w:rFonts w:ascii="Cambria" w:hAnsi="Cambria"/>
          <w:color w:val="000000"/>
          <w:sz w:val="20"/>
          <w:szCs w:val="20"/>
          <w:lang w:val="es-US"/>
        </w:rPr>
        <w:t xml:space="preserve"> ejerce el control externo de la actividad policial y actúa como un órgano imparcial e independiente respecto el proceso instaurado por</w:t>
      </w:r>
      <w:r w:rsidR="00B21903" w:rsidRPr="006D319F">
        <w:rPr>
          <w:rFonts w:ascii="Cambria" w:hAnsi="Cambria"/>
          <w:color w:val="000000"/>
          <w:sz w:val="20"/>
          <w:szCs w:val="20"/>
          <w:lang w:val="es-US"/>
        </w:rPr>
        <w:t xml:space="preserve"> el homicidio de </w:t>
      </w:r>
      <w:proofErr w:type="spellStart"/>
      <w:r w:rsidR="00B21903" w:rsidRPr="006D319F">
        <w:rPr>
          <w:rFonts w:ascii="Cambria" w:hAnsi="Cambria"/>
          <w:color w:val="000000"/>
          <w:sz w:val="20"/>
          <w:szCs w:val="20"/>
          <w:lang w:val="es-US"/>
        </w:rPr>
        <w:t>Manoel</w:t>
      </w:r>
      <w:proofErr w:type="spellEnd"/>
      <w:r w:rsidR="00B21903" w:rsidRPr="006D319F">
        <w:rPr>
          <w:rFonts w:ascii="Cambria" w:hAnsi="Cambria"/>
          <w:color w:val="000000"/>
          <w:sz w:val="20"/>
          <w:szCs w:val="20"/>
          <w:lang w:val="es-US"/>
        </w:rPr>
        <w:t xml:space="preserve"> Leal de Oliveira.</w:t>
      </w:r>
    </w:p>
    <w:p w14:paraId="59B09136" w14:textId="77777777" w:rsidR="00E22A7C" w:rsidRPr="006D319F" w:rsidRDefault="00E22A7C" w:rsidP="00E22A7C">
      <w:pPr>
        <w:pStyle w:val="ListParagraph"/>
        <w:spacing w:after="0" w:line="240" w:lineRule="auto"/>
        <w:ind w:left="0" w:firstLine="720"/>
        <w:jc w:val="both"/>
        <w:rPr>
          <w:rFonts w:ascii="Cambria" w:hAnsi="Cambria"/>
          <w:color w:val="000000"/>
          <w:sz w:val="20"/>
          <w:szCs w:val="20"/>
          <w:lang w:val="es-ES"/>
        </w:rPr>
      </w:pPr>
    </w:p>
    <w:p w14:paraId="65BFABB7" w14:textId="77777777" w:rsidR="00E22A7C" w:rsidRPr="006D319F" w:rsidRDefault="00E22A7C" w:rsidP="00E22A7C">
      <w:pPr>
        <w:pStyle w:val="ListParagraph"/>
        <w:numPr>
          <w:ilvl w:val="0"/>
          <w:numId w:val="16"/>
        </w:numPr>
        <w:spacing w:after="0" w:line="240" w:lineRule="auto"/>
        <w:ind w:left="0" w:firstLine="720"/>
        <w:jc w:val="both"/>
        <w:rPr>
          <w:rFonts w:ascii="Cambria" w:hAnsi="Cambria"/>
          <w:color w:val="000000"/>
          <w:sz w:val="20"/>
          <w:szCs w:val="20"/>
          <w:lang w:val="es-ES"/>
        </w:rPr>
      </w:pPr>
      <w:r w:rsidRPr="006D319F">
        <w:rPr>
          <w:rFonts w:ascii="Cambria" w:hAnsi="Cambria"/>
          <w:color w:val="000000"/>
          <w:sz w:val="20"/>
          <w:szCs w:val="20"/>
          <w:lang w:val="es-ES"/>
        </w:rPr>
        <w:t xml:space="preserve"> </w:t>
      </w:r>
      <w:r w:rsidR="00362313" w:rsidRPr="006D319F">
        <w:rPr>
          <w:rFonts w:ascii="Cambria" w:hAnsi="Cambria"/>
          <w:color w:val="000000"/>
          <w:sz w:val="20"/>
          <w:szCs w:val="20"/>
          <w:lang w:val="es-ES"/>
        </w:rPr>
        <w:t>Durante el 2019, el Estado informó que</w:t>
      </w:r>
      <w:r w:rsidR="00740ED8" w:rsidRPr="006D319F">
        <w:rPr>
          <w:rFonts w:ascii="Cambria" w:hAnsi="Cambria"/>
          <w:color w:val="000000"/>
          <w:sz w:val="20"/>
          <w:szCs w:val="20"/>
          <w:lang w:val="es-ES"/>
        </w:rPr>
        <w:t>,</w:t>
      </w:r>
      <w:r w:rsidR="00362313" w:rsidRPr="006D319F">
        <w:rPr>
          <w:rFonts w:ascii="Cambria" w:hAnsi="Cambria"/>
          <w:color w:val="000000"/>
          <w:sz w:val="20"/>
          <w:szCs w:val="20"/>
          <w:lang w:val="es-ES"/>
        </w:rPr>
        <w:t xml:space="preserve"> tratándose de la verificación de un delito cometido por agentes de la policía civil, el proceso de rendición de cuentas debe seguir las reglas actuales, que, en el caso del estado de Bahía, incluyen la Instrucción Normativa </w:t>
      </w:r>
      <w:r w:rsidR="00A946F0" w:rsidRPr="006D319F">
        <w:rPr>
          <w:rFonts w:ascii="Cambria" w:hAnsi="Cambria"/>
          <w:color w:val="000000"/>
          <w:sz w:val="20"/>
          <w:szCs w:val="20"/>
          <w:lang w:val="es-ES"/>
        </w:rPr>
        <w:t xml:space="preserve">No. </w:t>
      </w:r>
      <w:r w:rsidR="00362313" w:rsidRPr="006D319F">
        <w:rPr>
          <w:rFonts w:ascii="Cambria" w:hAnsi="Cambria"/>
          <w:color w:val="000000"/>
          <w:sz w:val="20"/>
          <w:szCs w:val="20"/>
          <w:lang w:val="es-ES"/>
        </w:rPr>
        <w:t>01/2013 de la Policía Civil de Bahía, la cual establece que dichos actos debe</w:t>
      </w:r>
      <w:r w:rsidR="00F32E93" w:rsidRPr="006D319F">
        <w:rPr>
          <w:rFonts w:ascii="Cambria" w:hAnsi="Cambria"/>
          <w:color w:val="000000"/>
          <w:sz w:val="20"/>
          <w:szCs w:val="20"/>
          <w:lang w:val="es-ES"/>
        </w:rPr>
        <w:t>n</w:t>
      </w:r>
      <w:r w:rsidR="00362313" w:rsidRPr="006D319F">
        <w:rPr>
          <w:rFonts w:ascii="Cambria" w:hAnsi="Cambria"/>
          <w:color w:val="000000"/>
          <w:sz w:val="20"/>
          <w:szCs w:val="20"/>
          <w:lang w:val="es-ES"/>
        </w:rPr>
        <w:t xml:space="preserve"> ser analizados mediante las figuras de una investigación policial o un término detallado de ocurrencia seguidos ante la Oficina de Policía de CORREPOL. En consecuencia, otros organismos, como las comisarías de policía territoriales, no son competentes para realizar investigaciones o investigaciones policiales. Así, el Estado precisó </w:t>
      </w:r>
      <w:r w:rsidR="005A41AC" w:rsidRPr="006D319F">
        <w:rPr>
          <w:rFonts w:ascii="Cambria" w:hAnsi="Cambria"/>
          <w:color w:val="000000"/>
          <w:sz w:val="20"/>
          <w:szCs w:val="20"/>
          <w:lang w:val="es-ES"/>
        </w:rPr>
        <w:t>que,</w:t>
      </w:r>
      <w:r w:rsidR="00362313" w:rsidRPr="006D319F">
        <w:rPr>
          <w:rFonts w:ascii="Cambria" w:hAnsi="Cambria"/>
          <w:color w:val="000000"/>
          <w:sz w:val="20"/>
          <w:szCs w:val="20"/>
          <w:lang w:val="es-ES"/>
        </w:rPr>
        <w:t xml:space="preserve"> según la información del Departamento de Policía del Interior, no se recibió ninguna nueva evidencia que justifique la apertura de una nueva investigación policial, especialmente por parte del Fiscal, quien llevó a cabo todas las instrucciones procesales.</w:t>
      </w:r>
    </w:p>
    <w:p w14:paraId="052B894A" w14:textId="77777777" w:rsidR="00E22A7C" w:rsidRPr="006D319F" w:rsidRDefault="00E22A7C" w:rsidP="00E22A7C">
      <w:pPr>
        <w:pStyle w:val="ListParagraph"/>
        <w:ind w:left="0" w:firstLine="720"/>
        <w:rPr>
          <w:rFonts w:ascii="Cambria" w:hAnsi="Cambria"/>
          <w:color w:val="000000"/>
          <w:sz w:val="20"/>
          <w:szCs w:val="20"/>
          <w:lang w:val="es-ES"/>
        </w:rPr>
      </w:pPr>
    </w:p>
    <w:p w14:paraId="723E8E62" w14:textId="77777777" w:rsidR="00E22A7C" w:rsidRPr="006D319F" w:rsidRDefault="00E22A7C" w:rsidP="00E22A7C">
      <w:pPr>
        <w:pStyle w:val="ListParagraph"/>
        <w:numPr>
          <w:ilvl w:val="0"/>
          <w:numId w:val="16"/>
        </w:numPr>
        <w:spacing w:after="0" w:line="240" w:lineRule="auto"/>
        <w:ind w:left="0" w:firstLine="720"/>
        <w:jc w:val="both"/>
        <w:rPr>
          <w:rFonts w:ascii="Cambria" w:hAnsi="Cambria"/>
          <w:color w:val="000000"/>
          <w:sz w:val="20"/>
          <w:szCs w:val="20"/>
          <w:lang w:val="es-ES"/>
        </w:rPr>
      </w:pPr>
      <w:r w:rsidRPr="006D319F">
        <w:rPr>
          <w:rFonts w:ascii="Cambria" w:hAnsi="Cambria"/>
          <w:color w:val="000000"/>
          <w:sz w:val="20"/>
          <w:szCs w:val="20"/>
          <w:lang w:val="es-ES"/>
        </w:rPr>
        <w:t xml:space="preserve">En 2020, el Estado manifestó que no cuenta con información novedosa respecto de los procedimientos de investigación asociados a posibles irregularidades cometidas por autoridades policiales. </w:t>
      </w:r>
    </w:p>
    <w:p w14:paraId="64E92FC6" w14:textId="77777777" w:rsidR="00B21903" w:rsidRPr="006D319F" w:rsidRDefault="00B21903" w:rsidP="00E22A7C">
      <w:pPr>
        <w:pStyle w:val="ListParagraph"/>
        <w:ind w:left="0" w:firstLine="720"/>
        <w:rPr>
          <w:rFonts w:ascii="Cambria" w:hAnsi="Cambria" w:cs="Calibri Light"/>
          <w:color w:val="000000"/>
          <w:sz w:val="20"/>
          <w:szCs w:val="20"/>
          <w:lang w:val="es-US"/>
        </w:rPr>
      </w:pPr>
    </w:p>
    <w:p w14:paraId="60DAA79A" w14:textId="77777777" w:rsidR="00E22A7C" w:rsidRPr="006D319F" w:rsidRDefault="00ED6EAC" w:rsidP="006B60EF">
      <w:pPr>
        <w:pStyle w:val="ListParagraph"/>
        <w:numPr>
          <w:ilvl w:val="0"/>
          <w:numId w:val="16"/>
        </w:numPr>
        <w:spacing w:after="0" w:line="240" w:lineRule="auto"/>
        <w:ind w:left="0" w:firstLine="720"/>
        <w:jc w:val="both"/>
        <w:rPr>
          <w:rFonts w:ascii="Cambria" w:hAnsi="Cambria" w:cs="Calibri Light"/>
          <w:color w:val="000000"/>
          <w:sz w:val="20"/>
          <w:szCs w:val="20"/>
          <w:lang w:val="es-US"/>
        </w:rPr>
      </w:pPr>
      <w:r w:rsidRPr="006D319F">
        <w:rPr>
          <w:rFonts w:ascii="Cambria" w:hAnsi="Cambria" w:cs="Calibri Light"/>
          <w:color w:val="000000"/>
          <w:sz w:val="20"/>
          <w:szCs w:val="20"/>
          <w:lang w:val="es-US"/>
        </w:rPr>
        <w:t>En 2019</w:t>
      </w:r>
      <w:r w:rsidR="00B21903" w:rsidRPr="006D319F">
        <w:rPr>
          <w:rFonts w:ascii="Cambria" w:hAnsi="Cambria" w:cs="Calibri Light"/>
          <w:color w:val="000000"/>
          <w:sz w:val="20"/>
          <w:szCs w:val="20"/>
          <w:lang w:val="es-US"/>
        </w:rPr>
        <w:t>, los representantes de las víctimas no presentaron información actualizada sobre el cumplimiento de esta recomendación.</w:t>
      </w:r>
      <w:r w:rsidR="00441866" w:rsidRPr="006D319F">
        <w:rPr>
          <w:rFonts w:ascii="Cambria" w:hAnsi="Cambria" w:cs="Calibri Light"/>
          <w:color w:val="000000"/>
          <w:sz w:val="20"/>
          <w:szCs w:val="20"/>
          <w:lang w:val="es-US"/>
        </w:rPr>
        <w:t xml:space="preserve"> </w:t>
      </w:r>
      <w:r w:rsidR="006B60EF" w:rsidRPr="006D319F">
        <w:rPr>
          <w:rFonts w:ascii="Cambria" w:hAnsi="Cambria" w:cs="Calibri Light"/>
          <w:color w:val="000000"/>
          <w:sz w:val="20"/>
          <w:szCs w:val="20"/>
          <w:lang w:val="es-US"/>
        </w:rPr>
        <w:t>Sin embargo, e</w:t>
      </w:r>
      <w:r w:rsidR="00E22A7C" w:rsidRPr="006D319F">
        <w:rPr>
          <w:rFonts w:ascii="Cambria" w:hAnsi="Cambria" w:cs="Calibri Light"/>
          <w:color w:val="000000"/>
          <w:sz w:val="20"/>
          <w:szCs w:val="20"/>
          <w:lang w:val="es-US"/>
        </w:rPr>
        <w:t xml:space="preserve">n 2020 los peticionarios reiteraron información relacionada con posibles irregularidades en el desarrollo de las investigaciones vinculadas con la muerte del señor </w:t>
      </w:r>
      <w:r w:rsidR="007023D2" w:rsidRPr="006D319F">
        <w:rPr>
          <w:rFonts w:ascii="Cambria" w:hAnsi="Cambria" w:cs="Calibri Light"/>
          <w:color w:val="000000"/>
          <w:sz w:val="20"/>
          <w:szCs w:val="20"/>
          <w:lang w:val="es-US"/>
        </w:rPr>
        <w:t>Leal de Oliveira. Indicaron que</w:t>
      </w:r>
      <w:r w:rsidR="00740ED8" w:rsidRPr="006D319F">
        <w:rPr>
          <w:rFonts w:ascii="Cambria" w:hAnsi="Cambria" w:cs="Calibri Light"/>
          <w:color w:val="000000"/>
          <w:sz w:val="20"/>
          <w:szCs w:val="20"/>
          <w:lang w:val="es-US"/>
        </w:rPr>
        <w:t>,</w:t>
      </w:r>
      <w:r w:rsidR="007023D2" w:rsidRPr="006D319F">
        <w:rPr>
          <w:rFonts w:ascii="Cambria" w:hAnsi="Cambria" w:cs="Calibri Light"/>
          <w:color w:val="000000"/>
          <w:sz w:val="20"/>
          <w:szCs w:val="20"/>
          <w:lang w:val="es-US"/>
        </w:rPr>
        <w:t xml:space="preserve"> durante el 2020, la Sociedad Interamericana de Prensa contact</w:t>
      </w:r>
      <w:r w:rsidR="00740ED8" w:rsidRPr="006D319F">
        <w:rPr>
          <w:rFonts w:ascii="Cambria" w:hAnsi="Cambria" w:cs="Calibri Light"/>
          <w:color w:val="000000"/>
          <w:sz w:val="20"/>
          <w:szCs w:val="20"/>
          <w:lang w:val="es-US"/>
        </w:rPr>
        <w:t>ó a</w:t>
      </w:r>
      <w:r w:rsidR="007023D2" w:rsidRPr="006D319F">
        <w:rPr>
          <w:rFonts w:ascii="Cambria" w:hAnsi="Cambria" w:cs="Calibri Light"/>
          <w:color w:val="000000"/>
          <w:sz w:val="20"/>
          <w:szCs w:val="20"/>
          <w:lang w:val="es-US"/>
        </w:rPr>
        <w:t xml:space="preserve"> Marcel Leal –hijo de </w:t>
      </w:r>
      <w:proofErr w:type="spellStart"/>
      <w:r w:rsidR="007023D2" w:rsidRPr="006D319F">
        <w:rPr>
          <w:rFonts w:ascii="Cambria" w:hAnsi="Cambria" w:cs="Calibri Light"/>
          <w:color w:val="000000"/>
          <w:sz w:val="20"/>
          <w:szCs w:val="20"/>
          <w:lang w:val="es-US"/>
        </w:rPr>
        <w:t>Manoel</w:t>
      </w:r>
      <w:proofErr w:type="spellEnd"/>
      <w:r w:rsidR="007023D2" w:rsidRPr="006D319F">
        <w:rPr>
          <w:rFonts w:ascii="Cambria" w:hAnsi="Cambria" w:cs="Calibri Light"/>
          <w:color w:val="000000"/>
          <w:sz w:val="20"/>
          <w:szCs w:val="20"/>
          <w:lang w:val="es-US"/>
        </w:rPr>
        <w:t xml:space="preserve"> Leal de Oliveira– para indagar sobre la posibilidad de que testigos del hecho ocurrido en 1998 pudieran testificar nuevamente. En su informe, los peticionarios señalaron que Marcel Leal adujo que muchos de los testigos habían salido del país por temor a represalias y que sería difícil contactarlos de nuevo. Del mismo modo, los peticionarios informaron que entraron en contacto con el Ministerio Público de </w:t>
      </w:r>
      <w:proofErr w:type="spellStart"/>
      <w:r w:rsidR="007023D2" w:rsidRPr="006D319F">
        <w:rPr>
          <w:rFonts w:ascii="Cambria" w:hAnsi="Cambria" w:cs="Calibri Light"/>
          <w:color w:val="000000"/>
          <w:sz w:val="20"/>
          <w:szCs w:val="20"/>
          <w:lang w:val="es-US"/>
        </w:rPr>
        <w:t>Itabuna</w:t>
      </w:r>
      <w:proofErr w:type="spellEnd"/>
      <w:r w:rsidR="007023D2" w:rsidRPr="006D319F">
        <w:rPr>
          <w:rFonts w:ascii="Cambria" w:hAnsi="Cambria" w:cs="Calibri Light"/>
          <w:color w:val="000000"/>
          <w:sz w:val="20"/>
          <w:szCs w:val="20"/>
          <w:lang w:val="es-US"/>
        </w:rPr>
        <w:t xml:space="preserve"> pa</w:t>
      </w:r>
      <w:r w:rsidR="00740ED8" w:rsidRPr="006D319F">
        <w:rPr>
          <w:rFonts w:ascii="Cambria" w:hAnsi="Cambria" w:cs="Calibri Light"/>
          <w:color w:val="000000"/>
          <w:sz w:val="20"/>
          <w:szCs w:val="20"/>
          <w:lang w:val="es-US"/>
        </w:rPr>
        <w:t xml:space="preserve">ra conocer las posibilidades de </w:t>
      </w:r>
      <w:r w:rsidR="007023D2" w:rsidRPr="006D319F">
        <w:rPr>
          <w:rFonts w:ascii="Cambria" w:hAnsi="Cambria" w:cs="Calibri Light"/>
          <w:color w:val="000000"/>
          <w:sz w:val="20"/>
          <w:szCs w:val="20"/>
          <w:lang w:val="es-US"/>
        </w:rPr>
        <w:t>reapertura del caso en términos de lo solicitado por la CIDH en el Informe Nº 37/10. E</w:t>
      </w:r>
      <w:r w:rsidR="00740ED8" w:rsidRPr="006D319F">
        <w:rPr>
          <w:rFonts w:ascii="Cambria" w:hAnsi="Cambria" w:cs="Calibri Light"/>
          <w:color w:val="000000"/>
          <w:sz w:val="20"/>
          <w:szCs w:val="20"/>
          <w:lang w:val="es-US"/>
        </w:rPr>
        <w:t>n respuesta a su</w:t>
      </w:r>
      <w:r w:rsidR="007023D2" w:rsidRPr="006D319F">
        <w:rPr>
          <w:rFonts w:ascii="Cambria" w:hAnsi="Cambria" w:cs="Calibri Light"/>
          <w:color w:val="000000"/>
          <w:sz w:val="20"/>
          <w:szCs w:val="20"/>
          <w:lang w:val="es-US"/>
        </w:rPr>
        <w:t xml:space="preserve"> solicitud, uno de los </w:t>
      </w:r>
      <w:r w:rsidR="00740ED8" w:rsidRPr="006D319F">
        <w:rPr>
          <w:rFonts w:ascii="Cambria" w:hAnsi="Cambria" w:cs="Calibri Light"/>
          <w:color w:val="000000"/>
          <w:sz w:val="20"/>
          <w:szCs w:val="20"/>
          <w:lang w:val="es-US"/>
        </w:rPr>
        <w:t>fiscales adscritos a</w:t>
      </w:r>
      <w:r w:rsidR="007023D2" w:rsidRPr="006D319F">
        <w:rPr>
          <w:rFonts w:ascii="Cambria" w:hAnsi="Cambria" w:cs="Calibri Light"/>
          <w:color w:val="000000"/>
          <w:sz w:val="20"/>
          <w:szCs w:val="20"/>
          <w:lang w:val="es-US"/>
        </w:rPr>
        <w:t xml:space="preserve"> dicho Ministerio Público señaló que el 7 de abril de 2010 se inició el procedimiento interno No. 003.0.55748/2010 en la 13ª </w:t>
      </w:r>
      <w:proofErr w:type="gramStart"/>
      <w:r w:rsidR="007023D2" w:rsidRPr="006D319F">
        <w:rPr>
          <w:rFonts w:ascii="Cambria" w:hAnsi="Cambria" w:cs="Calibri Light"/>
          <w:color w:val="000000"/>
          <w:sz w:val="20"/>
          <w:szCs w:val="20"/>
          <w:lang w:val="es-US"/>
        </w:rPr>
        <w:t>Fiscalía General</w:t>
      </w:r>
      <w:proofErr w:type="gramEnd"/>
      <w:r w:rsidR="007023D2" w:rsidRPr="006D319F">
        <w:rPr>
          <w:rFonts w:ascii="Cambria" w:hAnsi="Cambria" w:cs="Calibri Light"/>
          <w:color w:val="000000"/>
          <w:sz w:val="20"/>
          <w:szCs w:val="20"/>
          <w:lang w:val="es-US"/>
        </w:rPr>
        <w:t xml:space="preserve"> de </w:t>
      </w:r>
      <w:proofErr w:type="spellStart"/>
      <w:r w:rsidR="007023D2" w:rsidRPr="006D319F">
        <w:rPr>
          <w:rFonts w:ascii="Cambria" w:hAnsi="Cambria" w:cs="Calibri Light"/>
          <w:color w:val="000000"/>
          <w:sz w:val="20"/>
          <w:szCs w:val="20"/>
          <w:lang w:val="es-US"/>
        </w:rPr>
        <w:t>Itabuna</w:t>
      </w:r>
      <w:proofErr w:type="spellEnd"/>
      <w:r w:rsidR="007023D2" w:rsidRPr="006D319F">
        <w:rPr>
          <w:rFonts w:ascii="Cambria" w:hAnsi="Cambria" w:cs="Calibri Light"/>
          <w:color w:val="000000"/>
          <w:sz w:val="20"/>
          <w:szCs w:val="20"/>
          <w:lang w:val="es-US"/>
        </w:rPr>
        <w:t>; sin embargo, dicho procedimiento fue archivado por falta de pruebas de justificaran su reapertura, así como por diversas acciones tendientes a promover su disolución. En palabras del F</w:t>
      </w:r>
      <w:r w:rsidR="005A41AC" w:rsidRPr="006D319F">
        <w:rPr>
          <w:rFonts w:ascii="Cambria" w:hAnsi="Cambria" w:cs="Calibri Light"/>
          <w:color w:val="000000"/>
          <w:sz w:val="20"/>
          <w:szCs w:val="20"/>
          <w:lang w:val="es-US"/>
        </w:rPr>
        <w:t xml:space="preserve">iscal, aunque ahora existan pruebas irrefutables, no hay manera de reabrir el caso. </w:t>
      </w:r>
    </w:p>
    <w:p w14:paraId="3F5CB5A2" w14:textId="77777777" w:rsidR="006B60EF" w:rsidRPr="006D319F" w:rsidRDefault="006B60EF" w:rsidP="006B60EF">
      <w:pPr>
        <w:pStyle w:val="ListParagraph"/>
        <w:spacing w:after="0" w:line="240" w:lineRule="auto"/>
        <w:jc w:val="both"/>
        <w:rPr>
          <w:rFonts w:ascii="Cambria" w:hAnsi="Cambria" w:cs="Calibri Light"/>
          <w:color w:val="000000"/>
          <w:sz w:val="20"/>
          <w:szCs w:val="20"/>
          <w:lang w:val="es-US"/>
        </w:rPr>
      </w:pPr>
    </w:p>
    <w:p w14:paraId="62B0D6E6" w14:textId="77777777" w:rsidR="005A41AC" w:rsidRPr="006D319F" w:rsidRDefault="00E20CAE" w:rsidP="00994AF4">
      <w:pPr>
        <w:pStyle w:val="ListParagraph"/>
        <w:numPr>
          <w:ilvl w:val="0"/>
          <w:numId w:val="16"/>
        </w:numPr>
        <w:spacing w:after="0" w:line="240" w:lineRule="auto"/>
        <w:ind w:left="0" w:firstLine="720"/>
        <w:jc w:val="both"/>
        <w:rPr>
          <w:rFonts w:ascii="Cambria" w:hAnsi="Cambria" w:cs="Calibri Light"/>
          <w:color w:val="000000"/>
          <w:sz w:val="20"/>
          <w:szCs w:val="20"/>
          <w:lang w:val="es-US"/>
        </w:rPr>
      </w:pPr>
      <w:r w:rsidRPr="006D319F">
        <w:rPr>
          <w:rFonts w:ascii="Cambria" w:hAnsi="Cambria" w:cs="Calibri Light"/>
          <w:color w:val="000000"/>
          <w:sz w:val="20"/>
          <w:szCs w:val="20"/>
          <w:lang w:val="es-US"/>
        </w:rPr>
        <w:t>En vista de que, en 2021, las partes no proporcionaron información adicional sobre avances en el cumplimiento de esta recomendación, la Comisión reitera las consideraciones hechas con anterioridad.</w:t>
      </w:r>
      <w:r w:rsidR="006B60EF" w:rsidRPr="006D319F">
        <w:rPr>
          <w:rFonts w:ascii="Cambria" w:hAnsi="Cambria" w:cs="Calibri Light"/>
          <w:color w:val="000000"/>
          <w:sz w:val="20"/>
          <w:szCs w:val="20"/>
          <w:lang w:val="es-US"/>
        </w:rPr>
        <w:t xml:space="preserve"> </w:t>
      </w:r>
      <w:r w:rsidRPr="006D319F">
        <w:rPr>
          <w:rFonts w:ascii="Cambria" w:hAnsi="Cambria" w:cs="Calibri Light"/>
          <w:color w:val="000000"/>
          <w:sz w:val="20"/>
          <w:szCs w:val="20"/>
          <w:lang w:val="es-US"/>
        </w:rPr>
        <w:t>Al respecto</w:t>
      </w:r>
      <w:r w:rsidR="00994AF4" w:rsidRPr="006D319F">
        <w:rPr>
          <w:rFonts w:ascii="Cambria" w:hAnsi="Cambria" w:cs="Calibri Light"/>
          <w:color w:val="000000"/>
          <w:sz w:val="20"/>
          <w:szCs w:val="20"/>
          <w:lang w:val="es-US"/>
        </w:rPr>
        <w:t xml:space="preserve">, manifiesta su preocupación sobre la imposibilidad aducida por el Estado para proceder con la reapertura de las investigaciones administrativas y disciplinarias respecto de actos que pudieron dificultar la identificación de los autores materiales e intelectuales del homicidio de </w:t>
      </w:r>
      <w:proofErr w:type="spellStart"/>
      <w:r w:rsidR="00994AF4" w:rsidRPr="006D319F">
        <w:rPr>
          <w:rFonts w:ascii="Cambria" w:hAnsi="Cambria" w:cs="Calibri Light"/>
          <w:color w:val="000000"/>
          <w:sz w:val="20"/>
          <w:szCs w:val="20"/>
          <w:lang w:val="es-US"/>
        </w:rPr>
        <w:t>Manoel</w:t>
      </w:r>
      <w:proofErr w:type="spellEnd"/>
      <w:r w:rsidR="00994AF4" w:rsidRPr="006D319F">
        <w:rPr>
          <w:rFonts w:ascii="Cambria" w:hAnsi="Cambria" w:cs="Calibri Light"/>
          <w:color w:val="000000"/>
          <w:sz w:val="20"/>
          <w:szCs w:val="20"/>
          <w:lang w:val="es-US"/>
        </w:rPr>
        <w:t xml:space="preserve"> Leal de Oliveira. La CIDH recuerda que en el Informe Nº 37/10 uno de los aspectos que derivaron en la responsabilidad internacional del Estado fue precisamente la existencia de irregularidades ocurridas a lo largo de la investigación que limitaron las posibilidades de identificar a los autores materiales del crimen, por lo que el sentido de la presente recomendación consiste en llevar a cabo una investigación responsable, imparcial, efectiva y diligente a fin de subsanar las deficiencias ocurridas anteriormente. Sobre este punto, la Comisión recuerda que </w:t>
      </w:r>
      <w:r w:rsidR="00994AF4" w:rsidRPr="006D319F">
        <w:rPr>
          <w:rFonts w:ascii="Cambria" w:hAnsi="Cambria" w:cs="Calibri Light"/>
          <w:color w:val="000000"/>
          <w:sz w:val="20"/>
          <w:szCs w:val="20"/>
          <w:lang w:val="es-PY"/>
        </w:rPr>
        <w:t xml:space="preserve">la obligación de </w:t>
      </w:r>
      <w:r w:rsidR="00994AF4" w:rsidRPr="006D319F">
        <w:rPr>
          <w:rFonts w:ascii="Cambria" w:hAnsi="Cambria" w:cs="Calibri Light"/>
          <w:color w:val="000000"/>
          <w:sz w:val="20"/>
          <w:szCs w:val="20"/>
          <w:lang w:val="es-PY"/>
        </w:rPr>
        <w:lastRenderedPageBreak/>
        <w:t>investigar no se incumple solamente porque no exista una persona condenada en la causa o por la circunstancia de que, pese a los esfuerzos realizados, sea imposible la acreditación de los hechos.  Además de ello, para establecer en forma convincente y creíble que este resultado no ha sido producto de la ejecución mecánica de ciertas formalidades procesales sin que el Estado busque efectivamente la verdad, éste debe demostrar que ha realizado una investigación inmediata, exhaustiva, seria e imparcial</w:t>
      </w:r>
      <w:r w:rsidR="005C6E28" w:rsidRPr="006D319F">
        <w:rPr>
          <w:rStyle w:val="FootnoteReference"/>
          <w:rFonts w:ascii="Cambria" w:hAnsi="Cambria" w:cs="Calibri Light"/>
          <w:color w:val="000000"/>
          <w:sz w:val="20"/>
          <w:szCs w:val="20"/>
          <w:lang w:val="es-PY"/>
        </w:rPr>
        <w:footnoteReference w:id="4"/>
      </w:r>
      <w:r w:rsidR="005C6E28" w:rsidRPr="006D319F">
        <w:rPr>
          <w:rFonts w:ascii="Cambria" w:hAnsi="Cambria" w:cs="Calibri Light"/>
          <w:color w:val="000000"/>
          <w:sz w:val="20"/>
          <w:szCs w:val="20"/>
          <w:lang w:val="es-PY"/>
        </w:rPr>
        <w:t>.</w:t>
      </w:r>
    </w:p>
    <w:p w14:paraId="35312799" w14:textId="77777777" w:rsidR="005C6E28" w:rsidRPr="006D319F" w:rsidRDefault="005C6E28" w:rsidP="005C6E28">
      <w:pPr>
        <w:pStyle w:val="ListParagraph"/>
        <w:spacing w:after="0" w:line="240" w:lineRule="auto"/>
        <w:jc w:val="both"/>
        <w:rPr>
          <w:rFonts w:ascii="Cambria" w:hAnsi="Cambria" w:cs="Calibri Light"/>
          <w:color w:val="000000"/>
          <w:sz w:val="20"/>
          <w:szCs w:val="20"/>
          <w:lang w:val="es-US"/>
        </w:rPr>
      </w:pPr>
    </w:p>
    <w:p w14:paraId="39C8DD97" w14:textId="77777777" w:rsidR="005C6E28" w:rsidRPr="006D319F" w:rsidRDefault="005C6E28" w:rsidP="00994AF4">
      <w:pPr>
        <w:pStyle w:val="ListParagraph"/>
        <w:numPr>
          <w:ilvl w:val="0"/>
          <w:numId w:val="16"/>
        </w:numPr>
        <w:spacing w:after="0" w:line="240" w:lineRule="auto"/>
        <w:ind w:left="0" w:firstLine="720"/>
        <w:jc w:val="both"/>
        <w:rPr>
          <w:rFonts w:ascii="Cambria" w:hAnsi="Cambria" w:cs="Calibri Light"/>
          <w:color w:val="000000"/>
          <w:sz w:val="20"/>
          <w:szCs w:val="20"/>
          <w:lang w:val="es-US"/>
        </w:rPr>
      </w:pPr>
      <w:r w:rsidRPr="006D319F">
        <w:rPr>
          <w:rFonts w:ascii="Cambria" w:hAnsi="Cambria" w:cs="Calibri Light"/>
          <w:color w:val="000000"/>
          <w:sz w:val="20"/>
          <w:szCs w:val="20"/>
          <w:lang w:val="es-PY"/>
        </w:rPr>
        <w:t>Con base en lo anterior, la CIDH invita a ambas partes a aportar información actualizada y sustantiva sobre el desarrollo y alcance de las investiga</w:t>
      </w:r>
      <w:r w:rsidR="00740ED8" w:rsidRPr="006D319F">
        <w:rPr>
          <w:rFonts w:ascii="Cambria" w:hAnsi="Cambria" w:cs="Calibri Light"/>
          <w:color w:val="000000"/>
          <w:sz w:val="20"/>
          <w:szCs w:val="20"/>
          <w:lang w:val="es-PY"/>
        </w:rPr>
        <w:t xml:space="preserve">ciones realizadas como parte del cumplimiento de esta recomendación. Particularmente, exhorta al Estado a aportar información detallada sobre el procedimiento </w:t>
      </w:r>
      <w:r w:rsidR="00740ED8" w:rsidRPr="006D319F">
        <w:rPr>
          <w:rFonts w:ascii="Cambria" w:hAnsi="Cambria" w:cs="Calibri Light"/>
          <w:color w:val="000000"/>
          <w:sz w:val="20"/>
          <w:szCs w:val="20"/>
          <w:lang w:val="es-US"/>
        </w:rPr>
        <w:t xml:space="preserve">interno No. 003.0.55748/2010. Así, la CIDH considera que la tercera recomendación se encuentra pendiente de cumplimiento y se mantendrá atenta a su evolución. </w:t>
      </w:r>
    </w:p>
    <w:p w14:paraId="69E9CEDB" w14:textId="77777777" w:rsidR="00151339" w:rsidRPr="006D319F" w:rsidRDefault="00151339" w:rsidP="009D4ADE">
      <w:pPr>
        <w:pStyle w:val="ListParagraph"/>
        <w:spacing w:after="0" w:line="240" w:lineRule="auto"/>
        <w:ind w:left="0"/>
        <w:jc w:val="both"/>
        <w:rPr>
          <w:rFonts w:ascii="Cambria" w:hAnsi="Cambria" w:cs="Calibri Light"/>
          <w:color w:val="000000"/>
          <w:sz w:val="20"/>
          <w:szCs w:val="20"/>
          <w:lang w:val="es-US"/>
        </w:rPr>
      </w:pPr>
    </w:p>
    <w:p w14:paraId="49B1A211" w14:textId="77777777" w:rsidR="00D57272" w:rsidRPr="006D319F" w:rsidRDefault="00A946F0" w:rsidP="002D7E44">
      <w:pPr>
        <w:pStyle w:val="ListParagraph"/>
        <w:numPr>
          <w:ilvl w:val="0"/>
          <w:numId w:val="16"/>
        </w:numPr>
        <w:tabs>
          <w:tab w:val="left" w:pos="1350"/>
        </w:tabs>
        <w:spacing w:line="240" w:lineRule="auto"/>
        <w:ind w:left="0" w:firstLine="810"/>
        <w:jc w:val="both"/>
        <w:rPr>
          <w:rFonts w:ascii="Cambria" w:hAnsi="Cambria"/>
          <w:color w:val="000000"/>
          <w:sz w:val="20"/>
          <w:szCs w:val="20"/>
          <w:lang w:val="es-ES"/>
        </w:rPr>
      </w:pPr>
      <w:r w:rsidRPr="006D319F">
        <w:rPr>
          <w:rFonts w:ascii="Cambria" w:hAnsi="Cambria"/>
          <w:b/>
          <w:color w:val="000000"/>
          <w:sz w:val="20"/>
          <w:szCs w:val="20"/>
          <w:lang w:val="es-US"/>
        </w:rPr>
        <w:t xml:space="preserve"> </w:t>
      </w:r>
      <w:r w:rsidRPr="006D319F">
        <w:rPr>
          <w:rFonts w:ascii="Cambria" w:hAnsi="Cambria"/>
          <w:b/>
          <w:color w:val="000000"/>
          <w:sz w:val="20"/>
          <w:szCs w:val="20"/>
          <w:lang w:val="es-US"/>
        </w:rPr>
        <w:tab/>
      </w:r>
      <w:r w:rsidR="00740ED8" w:rsidRPr="006D319F">
        <w:rPr>
          <w:rFonts w:ascii="Cambria" w:hAnsi="Cambria"/>
          <w:b/>
          <w:color w:val="000000"/>
          <w:sz w:val="20"/>
          <w:szCs w:val="20"/>
          <w:lang w:val="es-US"/>
        </w:rPr>
        <w:t>En relación con</w:t>
      </w:r>
      <w:r w:rsidR="00B21903" w:rsidRPr="006D319F">
        <w:rPr>
          <w:rFonts w:ascii="Cambria" w:hAnsi="Cambria"/>
          <w:b/>
          <w:color w:val="000000"/>
          <w:sz w:val="20"/>
          <w:szCs w:val="20"/>
          <w:lang w:val="es-US"/>
        </w:rPr>
        <w:t xml:space="preserve"> la recomendación sexta, </w:t>
      </w:r>
      <w:r w:rsidR="00B21903" w:rsidRPr="006D319F">
        <w:rPr>
          <w:rFonts w:ascii="Cambria" w:hAnsi="Cambria"/>
          <w:color w:val="000000"/>
          <w:sz w:val="20"/>
          <w:szCs w:val="20"/>
          <w:lang w:val="es-US"/>
        </w:rPr>
        <w:t xml:space="preserve">durante 2018, </w:t>
      </w:r>
      <w:r w:rsidR="00B21903" w:rsidRPr="006D319F">
        <w:rPr>
          <w:rFonts w:ascii="Cambria" w:hAnsi="Cambria" w:cs="Calibri Light"/>
          <w:color w:val="000000"/>
          <w:sz w:val="20"/>
          <w:szCs w:val="20"/>
          <w:lang w:val="es-US"/>
        </w:rPr>
        <w:t>el Estado informó que implementa un conjunto de acciones para proteger defensores de derechos humanos, además de contar con varias instituciones responsables para investigar, juzgar y castigar las violaciones que ocurren en el país, de tal forma posible de afirmar que Brasil posee mecanismos de prevención, protección y represión.</w:t>
      </w:r>
      <w:r w:rsidR="00FE0D74" w:rsidRPr="006D319F">
        <w:rPr>
          <w:rFonts w:ascii="Cambria" w:hAnsi="Cambria" w:cs="Calibri Light"/>
          <w:color w:val="000000"/>
          <w:sz w:val="20"/>
          <w:szCs w:val="20"/>
          <w:lang w:val="es-US"/>
        </w:rPr>
        <w:t xml:space="preserve"> </w:t>
      </w:r>
    </w:p>
    <w:p w14:paraId="3EA33F57" w14:textId="77777777" w:rsidR="00D57272" w:rsidRPr="006D319F" w:rsidRDefault="00D57272" w:rsidP="00D57272">
      <w:pPr>
        <w:pStyle w:val="ListParagraph"/>
        <w:rPr>
          <w:rFonts w:ascii="Cambria" w:hAnsi="Cambria"/>
          <w:color w:val="000000"/>
          <w:sz w:val="20"/>
          <w:szCs w:val="20"/>
          <w:lang w:val="es-ES"/>
        </w:rPr>
      </w:pPr>
    </w:p>
    <w:p w14:paraId="17C1CC4B" w14:textId="77777777" w:rsidR="00A97636" w:rsidRPr="006D319F" w:rsidRDefault="00D57272" w:rsidP="00A97636">
      <w:pPr>
        <w:pStyle w:val="ListParagraph"/>
        <w:numPr>
          <w:ilvl w:val="0"/>
          <w:numId w:val="16"/>
        </w:numPr>
        <w:spacing w:line="240" w:lineRule="auto"/>
        <w:ind w:left="0" w:firstLine="900"/>
        <w:jc w:val="both"/>
        <w:rPr>
          <w:rFonts w:ascii="Cambria" w:hAnsi="Cambria"/>
          <w:color w:val="000000"/>
          <w:sz w:val="20"/>
          <w:szCs w:val="20"/>
          <w:lang w:val="es-ES"/>
        </w:rPr>
      </w:pPr>
      <w:r w:rsidRPr="006D319F">
        <w:rPr>
          <w:rFonts w:ascii="Cambria" w:hAnsi="Cambria"/>
          <w:color w:val="000000"/>
          <w:sz w:val="20"/>
          <w:szCs w:val="20"/>
          <w:lang w:val="es-ES"/>
        </w:rPr>
        <w:t>Durante el 2019 el Estado informó que</w:t>
      </w:r>
      <w:r w:rsidR="00F32E93" w:rsidRPr="006D319F">
        <w:rPr>
          <w:rFonts w:ascii="Cambria" w:hAnsi="Cambria"/>
          <w:color w:val="000000"/>
          <w:sz w:val="20"/>
          <w:szCs w:val="20"/>
          <w:lang w:val="es-ES"/>
        </w:rPr>
        <w:t>,</w:t>
      </w:r>
      <w:r w:rsidRPr="006D319F">
        <w:rPr>
          <w:rFonts w:ascii="Cambria" w:hAnsi="Cambria"/>
          <w:color w:val="000000"/>
          <w:sz w:val="20"/>
          <w:szCs w:val="20"/>
          <w:lang w:val="es-ES"/>
        </w:rPr>
        <w:t xml:space="preserve"> en diciembre de 2018, el estado brasileño lanzó el folleto "</w:t>
      </w:r>
      <w:proofErr w:type="spellStart"/>
      <w:r w:rsidRPr="006D319F">
        <w:rPr>
          <w:rFonts w:ascii="Cambria" w:hAnsi="Cambria"/>
          <w:color w:val="000000"/>
          <w:sz w:val="20"/>
          <w:szCs w:val="20"/>
          <w:lang w:val="es-ES"/>
        </w:rPr>
        <w:t>Aristeu</w:t>
      </w:r>
      <w:proofErr w:type="spellEnd"/>
      <w:r w:rsidRPr="006D319F">
        <w:rPr>
          <w:rFonts w:ascii="Cambria" w:hAnsi="Cambria"/>
          <w:color w:val="000000"/>
          <w:sz w:val="20"/>
          <w:szCs w:val="20"/>
          <w:lang w:val="es-ES"/>
        </w:rPr>
        <w:t xml:space="preserve"> Guida da Silva - Normas internacionales para la protección de los derechos humanos de los periodistas y otros comunicadores". La publicación de dicho folleto tiene como objetivo difundir las normas derivadas del ámbito de la Organización de las Naciones Unidas (ONU), así como de la Organización de los Estados Americanos (OEA) respecto de las obligaciones a cargo del Estado respecto a la prevención, protección y acceso a la justicia en casos de violencia contra la mujer y periodistas por ejercer su derecho a la libertad de expresión. De acuerdo con la información proporcionada por el Estado, el material también explica los programas del gobierno federal destinados a prevenir delitos contra periodistas y comunicadores derivados del ejercicio de su derecho a la libertad de pensamiento y expresión.</w:t>
      </w:r>
    </w:p>
    <w:p w14:paraId="00C70B01" w14:textId="77777777" w:rsidR="00A97636" w:rsidRPr="006D319F" w:rsidRDefault="00A97636" w:rsidP="00A97636">
      <w:pPr>
        <w:pStyle w:val="ListParagraph"/>
        <w:rPr>
          <w:rFonts w:ascii="Cambria" w:hAnsi="Cambria"/>
          <w:color w:val="000000"/>
          <w:sz w:val="20"/>
          <w:szCs w:val="20"/>
          <w:lang w:val="es-ES"/>
        </w:rPr>
      </w:pPr>
    </w:p>
    <w:p w14:paraId="6EFDC9DA" w14:textId="77777777" w:rsidR="00A97636" w:rsidRPr="006D319F" w:rsidRDefault="00D57272" w:rsidP="00A97636">
      <w:pPr>
        <w:pStyle w:val="ListParagraph"/>
        <w:numPr>
          <w:ilvl w:val="0"/>
          <w:numId w:val="16"/>
        </w:numPr>
        <w:spacing w:line="240" w:lineRule="auto"/>
        <w:ind w:left="0" w:firstLine="900"/>
        <w:jc w:val="both"/>
        <w:rPr>
          <w:rFonts w:ascii="Cambria" w:hAnsi="Cambria"/>
          <w:color w:val="000000"/>
          <w:sz w:val="20"/>
          <w:szCs w:val="20"/>
          <w:lang w:val="es-ES"/>
        </w:rPr>
      </w:pPr>
      <w:r w:rsidRPr="006D319F">
        <w:rPr>
          <w:rFonts w:ascii="Cambria" w:hAnsi="Cambria"/>
          <w:color w:val="000000"/>
          <w:sz w:val="20"/>
          <w:szCs w:val="20"/>
          <w:lang w:val="es-ES"/>
        </w:rPr>
        <w:t>El Estado también hizo de conocimiento de la CIDH que, luego de celebrar diversas reuniones con organizaciones que trabajan sobre el tema de la libertad de expresión, se establecieron diferentes acciones de protección para periodistas y comunicadores</w:t>
      </w:r>
      <w:r w:rsidRPr="006D319F">
        <w:rPr>
          <w:rFonts w:ascii="Cambria" w:hAnsi="Cambria"/>
          <w:color w:val="000000"/>
          <w:sz w:val="20"/>
          <w:szCs w:val="20"/>
          <w:lang w:val="es-MX"/>
        </w:rPr>
        <w:t xml:space="preserve"> entre las que destacan el </w:t>
      </w:r>
      <w:r w:rsidRPr="006D319F">
        <w:rPr>
          <w:rFonts w:ascii="Cambria" w:hAnsi="Cambria"/>
          <w:color w:val="000000"/>
          <w:sz w:val="20"/>
          <w:szCs w:val="20"/>
          <w:lang w:val="es-ES"/>
        </w:rPr>
        <w:t>mejoramiento del marco normativo del Programa de Protección de Defensores de Derechos Humanos, Comunicadores Sociales y Ambientalistas;</w:t>
      </w:r>
      <w:r w:rsidRPr="006D319F">
        <w:rPr>
          <w:rFonts w:ascii="Cambria" w:hAnsi="Cambria"/>
          <w:color w:val="000000"/>
          <w:sz w:val="20"/>
          <w:szCs w:val="20"/>
          <w:lang w:val="es-MX"/>
        </w:rPr>
        <w:t xml:space="preserve"> el diseño e implementación del </w:t>
      </w:r>
      <w:r w:rsidRPr="006D319F">
        <w:rPr>
          <w:rFonts w:ascii="Cambria" w:hAnsi="Cambria"/>
          <w:color w:val="000000"/>
          <w:sz w:val="20"/>
          <w:szCs w:val="20"/>
          <w:lang w:val="es-ES"/>
        </w:rPr>
        <w:t xml:space="preserve">Taller para discutir la violencia contra los comunicadores; el compromiso asumido por el Ministerio de la Mujer, la Familia y los Derechos Humanos de tomar acciones específicas de visibilidad y reconocimiento para los comunicadores, como la campaña #RespeiteoComunicador, en las redes sociales, lanzada en diciembre de 2018, entre otras. </w:t>
      </w:r>
    </w:p>
    <w:p w14:paraId="19359BA5" w14:textId="77777777" w:rsidR="00A97636" w:rsidRPr="006D319F" w:rsidRDefault="00A97636" w:rsidP="00A97636">
      <w:pPr>
        <w:pStyle w:val="ListParagraph"/>
        <w:rPr>
          <w:rFonts w:ascii="Cambria" w:hAnsi="Cambria"/>
          <w:color w:val="000000"/>
          <w:sz w:val="20"/>
          <w:szCs w:val="20"/>
          <w:lang w:val="es-ES"/>
        </w:rPr>
      </w:pPr>
    </w:p>
    <w:p w14:paraId="38A0DA17" w14:textId="77777777" w:rsidR="009D4ADE" w:rsidRPr="006D319F" w:rsidRDefault="00B768D5" w:rsidP="009D4ADE">
      <w:pPr>
        <w:pStyle w:val="ListParagraph"/>
        <w:numPr>
          <w:ilvl w:val="0"/>
          <w:numId w:val="16"/>
        </w:numPr>
        <w:spacing w:line="240" w:lineRule="auto"/>
        <w:ind w:left="0" w:firstLine="720"/>
        <w:jc w:val="both"/>
        <w:rPr>
          <w:rFonts w:ascii="Cambria" w:eastAsia="Cambria" w:hAnsi="Cambria" w:cs="Cambria"/>
          <w:color w:val="000000"/>
          <w:sz w:val="20"/>
          <w:szCs w:val="20"/>
          <w:lang w:val="es-CO"/>
        </w:rPr>
      </w:pPr>
      <w:r w:rsidRPr="006D319F">
        <w:rPr>
          <w:rFonts w:ascii="Cambria" w:hAnsi="Cambria"/>
          <w:color w:val="000000"/>
          <w:sz w:val="20"/>
          <w:szCs w:val="20"/>
          <w:lang w:val="es-ES"/>
        </w:rPr>
        <w:t xml:space="preserve">Durante 2020 el Estado manifestó que </w:t>
      </w:r>
      <w:r w:rsidR="0042084B" w:rsidRPr="006D319F">
        <w:rPr>
          <w:rFonts w:ascii="Cambria" w:hAnsi="Cambria"/>
          <w:color w:val="000000"/>
          <w:sz w:val="20"/>
          <w:szCs w:val="20"/>
          <w:lang w:val="es-ES"/>
        </w:rPr>
        <w:t xml:space="preserve">además de lo reportado previamente respecto del </w:t>
      </w:r>
      <w:r w:rsidR="00352016" w:rsidRPr="006D319F">
        <w:rPr>
          <w:rFonts w:ascii="Cambria" w:hAnsi="Cambria"/>
          <w:color w:val="000000"/>
          <w:sz w:val="20"/>
          <w:szCs w:val="20"/>
          <w:lang w:val="es-ES"/>
        </w:rPr>
        <w:t xml:space="preserve">relanzamiento del </w:t>
      </w:r>
      <w:r w:rsidR="0042084B" w:rsidRPr="006D319F">
        <w:rPr>
          <w:rFonts w:ascii="Cambria" w:hAnsi="Cambria"/>
          <w:color w:val="000000"/>
          <w:sz w:val="20"/>
          <w:szCs w:val="20"/>
          <w:lang w:val="es-ES"/>
        </w:rPr>
        <w:t>folleto “</w:t>
      </w:r>
      <w:proofErr w:type="spellStart"/>
      <w:r w:rsidR="0042084B" w:rsidRPr="006D319F">
        <w:rPr>
          <w:rFonts w:ascii="Cambria" w:hAnsi="Cambria"/>
          <w:color w:val="000000"/>
          <w:sz w:val="20"/>
          <w:szCs w:val="20"/>
          <w:lang w:val="es-ES"/>
        </w:rPr>
        <w:t>Aristeu</w:t>
      </w:r>
      <w:proofErr w:type="spellEnd"/>
      <w:r w:rsidR="0042084B" w:rsidRPr="006D319F">
        <w:rPr>
          <w:rFonts w:ascii="Cambria" w:hAnsi="Cambria"/>
          <w:color w:val="000000"/>
          <w:sz w:val="20"/>
          <w:szCs w:val="20"/>
          <w:lang w:val="es-ES"/>
        </w:rPr>
        <w:t xml:space="preserve"> Guida da Silva”, no ha realizado acciones adicionales. También recalcó el funcionamiento del Programa de Protección a Defensores de Derechos Humanos Comunicadores y Ambientalistas el cual, para julio de 2020, brindaba acompañamiento a 579 person</w:t>
      </w:r>
      <w:r w:rsidR="00A97636" w:rsidRPr="006D319F">
        <w:rPr>
          <w:rFonts w:ascii="Cambria" w:hAnsi="Cambria"/>
          <w:color w:val="000000"/>
          <w:sz w:val="20"/>
          <w:szCs w:val="20"/>
          <w:lang w:val="es-ES"/>
        </w:rPr>
        <w:t xml:space="preserve">as defensoras en todo el país. </w:t>
      </w:r>
    </w:p>
    <w:p w14:paraId="0DDB7355" w14:textId="77777777" w:rsidR="009D4ADE" w:rsidRPr="006D319F" w:rsidRDefault="009D4ADE" w:rsidP="009D4ADE">
      <w:pPr>
        <w:pStyle w:val="ListParagraph"/>
        <w:rPr>
          <w:rFonts w:ascii="Cambria" w:eastAsia="Cambria" w:hAnsi="Cambria" w:cs="Cambria"/>
          <w:color w:val="000000"/>
          <w:sz w:val="20"/>
          <w:szCs w:val="20"/>
          <w:lang w:val="es-CO"/>
        </w:rPr>
      </w:pPr>
    </w:p>
    <w:p w14:paraId="36E44897" w14:textId="77777777" w:rsidR="00733572" w:rsidRPr="006D319F" w:rsidRDefault="009D4ADE" w:rsidP="00885A34">
      <w:pPr>
        <w:pStyle w:val="ListParagraph"/>
        <w:numPr>
          <w:ilvl w:val="0"/>
          <w:numId w:val="16"/>
        </w:numPr>
        <w:spacing w:line="240" w:lineRule="auto"/>
        <w:ind w:left="0" w:firstLine="720"/>
        <w:jc w:val="both"/>
        <w:rPr>
          <w:rFonts w:ascii="Cambria" w:eastAsia="Cambria" w:hAnsi="Cambria" w:cs="Cambria"/>
          <w:color w:val="000000"/>
          <w:sz w:val="20"/>
          <w:szCs w:val="20"/>
          <w:lang w:val="es-CO"/>
        </w:rPr>
      </w:pPr>
      <w:r w:rsidRPr="006D319F">
        <w:rPr>
          <w:rFonts w:ascii="Cambria" w:eastAsia="Cambria" w:hAnsi="Cambria" w:cs="Cambria"/>
          <w:color w:val="000000"/>
          <w:sz w:val="20"/>
          <w:szCs w:val="20"/>
          <w:lang w:val="es-CO"/>
        </w:rPr>
        <w:t xml:space="preserve">En 2021, en cuanto a la cartilla </w:t>
      </w:r>
      <w:proofErr w:type="spellStart"/>
      <w:r w:rsidRPr="006D319F">
        <w:rPr>
          <w:rFonts w:ascii="Cambria" w:eastAsia="Cambria" w:hAnsi="Cambria" w:cs="Cambria"/>
          <w:color w:val="000000"/>
          <w:sz w:val="20"/>
          <w:szCs w:val="20"/>
          <w:lang w:val="es-CO"/>
        </w:rPr>
        <w:t>Aristeu</w:t>
      </w:r>
      <w:proofErr w:type="spellEnd"/>
      <w:r w:rsidRPr="006D319F">
        <w:rPr>
          <w:rFonts w:ascii="Cambria" w:eastAsia="Cambria" w:hAnsi="Cambria" w:cs="Cambria"/>
          <w:color w:val="000000"/>
          <w:sz w:val="20"/>
          <w:szCs w:val="20"/>
          <w:lang w:val="es-CO"/>
        </w:rPr>
        <w:t xml:space="preserve"> Guida da Silva, el Estado reiteró la información proporcionada anteriormente. Indicó que el impacto de la publicación del Folleto se manifestó a través del reconocimiento de la relevancia de las normas internacionales y estándares interamericanos sobre la protección de los derechos humanos de los periodistas y otros comunicadores, tomando en cuenta elementos fundamentales para la construcción de una sociedad democrática.</w:t>
      </w:r>
    </w:p>
    <w:p w14:paraId="6EC191FC" w14:textId="77777777" w:rsidR="00733572" w:rsidRPr="006D319F" w:rsidRDefault="00733572" w:rsidP="00733572">
      <w:pPr>
        <w:pStyle w:val="ListParagraph"/>
        <w:spacing w:line="240" w:lineRule="auto"/>
        <w:ind w:left="0"/>
        <w:jc w:val="both"/>
        <w:rPr>
          <w:rFonts w:ascii="Cambria" w:eastAsia="Cambria" w:hAnsi="Cambria" w:cs="Cambria"/>
          <w:color w:val="000000"/>
          <w:sz w:val="20"/>
          <w:szCs w:val="20"/>
          <w:lang w:val="es-CO"/>
        </w:rPr>
      </w:pPr>
    </w:p>
    <w:p w14:paraId="130A552E" w14:textId="77777777" w:rsidR="00733572" w:rsidRPr="006D319F" w:rsidRDefault="00733572" w:rsidP="00733572">
      <w:pPr>
        <w:pStyle w:val="ListParagraph"/>
        <w:numPr>
          <w:ilvl w:val="0"/>
          <w:numId w:val="16"/>
        </w:numPr>
        <w:pBdr>
          <w:top w:val="nil"/>
          <w:left w:val="nil"/>
          <w:bottom w:val="nil"/>
          <w:right w:val="nil"/>
          <w:between w:val="nil"/>
        </w:pBdr>
        <w:suppressAutoHyphens/>
        <w:spacing w:after="0" w:line="240" w:lineRule="auto"/>
        <w:ind w:left="0" w:firstLine="720"/>
        <w:jc w:val="both"/>
        <w:textDirection w:val="btLr"/>
        <w:textAlignment w:val="top"/>
        <w:outlineLvl w:val="0"/>
        <w:rPr>
          <w:rFonts w:ascii="Cambria" w:eastAsia="Cambria" w:hAnsi="Cambria" w:cs="Cambria"/>
          <w:color w:val="000000"/>
          <w:sz w:val="20"/>
          <w:szCs w:val="20"/>
          <w:lang w:val="es-CO"/>
        </w:rPr>
      </w:pPr>
      <w:r w:rsidRPr="006D319F">
        <w:rPr>
          <w:rFonts w:ascii="Cambria" w:eastAsia="Cambria" w:hAnsi="Cambria" w:cs="Cambria"/>
          <w:color w:val="000000"/>
          <w:sz w:val="20"/>
          <w:szCs w:val="20"/>
          <w:lang w:val="es-CO"/>
        </w:rPr>
        <w:t xml:space="preserve">También en 2021, el Estado remitió información sobre el Programa de Protección a Defensores de Derechos Humanos, Comunicadores y Ambientalistas - PPDDH que articula medidas de </w:t>
      </w:r>
      <w:r w:rsidRPr="006D319F">
        <w:rPr>
          <w:rFonts w:ascii="Cambria" w:eastAsia="Cambria" w:hAnsi="Cambria" w:cs="Cambria"/>
          <w:color w:val="000000"/>
          <w:sz w:val="20"/>
          <w:szCs w:val="20"/>
          <w:lang w:val="es-CO"/>
        </w:rPr>
        <w:lastRenderedPageBreak/>
        <w:t xml:space="preserve">protección, prevención y resolución de conflictos. Señaló que el PPDDH se ejecuta mediante convenio y que en los estados donde no existe un programa estatal, los casos son monitoreados por el Programa Federal del Ministerio de la Mujer, la Familia y los Derechos Humanos (MMFDH). Además, informó que el PPDDH tiene actualmente 636 casos activos en Brasil, de los cuales 56 fueron incluidos en el 2020. Indicó que actualmente se atienden 7 comunicadores/as, de los cuales 6 casos fueron incluidos y uno está en análisis, y señaló que, de las personas comunicadoras asistidas, 2 son mujeres. Asimismo, el Estado hizo referencia a la Ordenanza 300/2018 que establece la inclusión de las personas dedicadas a la comunicación social y que describe las medidas de protección. </w:t>
      </w:r>
    </w:p>
    <w:p w14:paraId="0E727718" w14:textId="77777777" w:rsidR="00733572" w:rsidRPr="006D319F" w:rsidRDefault="00733572" w:rsidP="00733572">
      <w:pPr>
        <w:pStyle w:val="ListParagraph"/>
        <w:rPr>
          <w:rFonts w:ascii="Cambria" w:eastAsia="Cambria" w:hAnsi="Cambria" w:cs="Cambria"/>
          <w:color w:val="000000"/>
          <w:sz w:val="20"/>
          <w:szCs w:val="20"/>
          <w:lang w:val="es-CO"/>
        </w:rPr>
      </w:pPr>
    </w:p>
    <w:p w14:paraId="584F7BBB" w14:textId="77777777" w:rsidR="00733572" w:rsidRPr="006D319F" w:rsidRDefault="00733572" w:rsidP="00885A34">
      <w:pPr>
        <w:pStyle w:val="ListParagraph"/>
        <w:numPr>
          <w:ilvl w:val="0"/>
          <w:numId w:val="16"/>
        </w:numPr>
        <w:pBdr>
          <w:top w:val="nil"/>
          <w:left w:val="nil"/>
          <w:bottom w:val="nil"/>
          <w:right w:val="nil"/>
          <w:between w:val="nil"/>
        </w:pBdr>
        <w:suppressAutoHyphens/>
        <w:spacing w:after="0" w:line="240" w:lineRule="auto"/>
        <w:ind w:left="0" w:firstLine="720"/>
        <w:jc w:val="both"/>
        <w:textDirection w:val="btLr"/>
        <w:textAlignment w:val="top"/>
        <w:outlineLvl w:val="0"/>
        <w:rPr>
          <w:rFonts w:ascii="Cambria" w:eastAsia="Cambria" w:hAnsi="Cambria" w:cs="Cambria"/>
          <w:color w:val="000000"/>
          <w:sz w:val="20"/>
          <w:szCs w:val="20"/>
          <w:lang w:val="es-CO"/>
        </w:rPr>
      </w:pPr>
      <w:r w:rsidRPr="006D319F">
        <w:rPr>
          <w:rFonts w:ascii="Cambria" w:eastAsia="Cambria" w:hAnsi="Cambria" w:cs="Cambria"/>
          <w:color w:val="000000"/>
          <w:sz w:val="20"/>
          <w:szCs w:val="20"/>
          <w:lang w:val="es-CO"/>
        </w:rPr>
        <w:t>Además, en 2021, el Estado informó que para que las personas sean incluidas en el PPDDH, deben enviar una solicitud al correo institucional del Programa Federal (defensores@mdh.gov.br), de los programas estatales, o acceder al enlace &lt;</w:t>
      </w:r>
      <w:r w:rsidRPr="006D319F">
        <w:rPr>
          <w:rFonts w:ascii="Cambria" w:eastAsia="Cambria" w:hAnsi="Cambria" w:cs="Cambria"/>
          <w:color w:val="000000"/>
          <w:sz w:val="20"/>
          <w:szCs w:val="20"/>
          <w:u w:val="single"/>
          <w:lang w:val="es-CO"/>
        </w:rPr>
        <w:t>https://www.gov.br/pt-br/servicos/solicitacao-de-inclusao-no-programa-de-protecaoaos-defensores-de-direitos-humanos-comunicadores-e-ambientalistas</w:t>
      </w:r>
      <w:r w:rsidRPr="006D319F">
        <w:rPr>
          <w:rFonts w:ascii="Cambria" w:eastAsia="Cambria" w:hAnsi="Cambria" w:cs="Cambria"/>
          <w:color w:val="000000"/>
          <w:sz w:val="20"/>
          <w:szCs w:val="20"/>
          <w:lang w:val="es-CO"/>
        </w:rPr>
        <w:t>&gt;.</w:t>
      </w:r>
      <w:r w:rsidR="00D34EFB" w:rsidRPr="006D319F">
        <w:rPr>
          <w:rFonts w:ascii="Cambria" w:eastAsia="Cambria" w:hAnsi="Cambria" w:cs="Cambria"/>
          <w:color w:val="000000"/>
          <w:sz w:val="20"/>
          <w:szCs w:val="20"/>
          <w:lang w:val="es-CO"/>
        </w:rPr>
        <w:t xml:space="preserve"> </w:t>
      </w:r>
      <w:r w:rsidRPr="006D319F">
        <w:rPr>
          <w:rFonts w:ascii="Cambria" w:eastAsia="Cambria" w:hAnsi="Cambria" w:cs="Cambria"/>
          <w:color w:val="000000"/>
          <w:sz w:val="20"/>
          <w:szCs w:val="20"/>
          <w:lang w:val="es-CO"/>
        </w:rPr>
        <w:t xml:space="preserve">Asimismo, concluyó diciendo que el Estado trabaja en la difusión de este programa y que esta iniciativa ha sido desenvuelta junto a la sociedad civil, en la que participó el Instituto </w:t>
      </w:r>
      <w:proofErr w:type="spellStart"/>
      <w:r w:rsidRPr="006D319F">
        <w:rPr>
          <w:rFonts w:ascii="Cambria" w:eastAsia="Cambria" w:hAnsi="Cambria" w:cs="Cambria"/>
          <w:color w:val="000000"/>
          <w:sz w:val="20"/>
          <w:szCs w:val="20"/>
          <w:lang w:val="es-CO"/>
        </w:rPr>
        <w:t>Valdimir</w:t>
      </w:r>
      <w:proofErr w:type="spellEnd"/>
      <w:r w:rsidRPr="006D319F">
        <w:rPr>
          <w:rFonts w:ascii="Cambria" w:eastAsia="Cambria" w:hAnsi="Cambria" w:cs="Cambria"/>
          <w:color w:val="000000"/>
          <w:sz w:val="20"/>
          <w:szCs w:val="20"/>
          <w:lang w:val="es-CO"/>
        </w:rPr>
        <w:t xml:space="preserve"> Herzog. </w:t>
      </w:r>
    </w:p>
    <w:p w14:paraId="7C4A8E9F" w14:textId="77777777" w:rsidR="00A97636" w:rsidRPr="006D319F" w:rsidRDefault="00A97636" w:rsidP="009A40A6">
      <w:pPr>
        <w:pStyle w:val="ListParagraph"/>
        <w:ind w:left="0"/>
        <w:rPr>
          <w:rFonts w:ascii="Cambria" w:hAnsi="Cambria"/>
          <w:color w:val="000000"/>
          <w:sz w:val="20"/>
          <w:szCs w:val="20"/>
          <w:lang w:val="es-ES"/>
        </w:rPr>
      </w:pPr>
    </w:p>
    <w:p w14:paraId="534E53DC" w14:textId="77777777" w:rsidR="003F628D" w:rsidRPr="006D319F" w:rsidRDefault="0042084B" w:rsidP="003F628D">
      <w:pPr>
        <w:pStyle w:val="ListParagraph"/>
        <w:numPr>
          <w:ilvl w:val="0"/>
          <w:numId w:val="16"/>
        </w:numPr>
        <w:spacing w:line="240" w:lineRule="auto"/>
        <w:ind w:left="0" w:firstLine="720"/>
        <w:jc w:val="both"/>
        <w:rPr>
          <w:rFonts w:ascii="Cambria" w:eastAsia="Cambria" w:hAnsi="Cambria" w:cs="Cambria"/>
          <w:color w:val="000000"/>
          <w:sz w:val="20"/>
          <w:szCs w:val="20"/>
          <w:lang w:val="es-CO"/>
        </w:rPr>
      </w:pPr>
      <w:r w:rsidRPr="006D319F">
        <w:rPr>
          <w:rFonts w:ascii="Cambria" w:hAnsi="Cambria"/>
          <w:color w:val="000000"/>
          <w:sz w:val="20"/>
          <w:szCs w:val="20"/>
          <w:lang w:val="es-ES"/>
        </w:rPr>
        <w:t xml:space="preserve">Por su parte, durante 2020, los peticionarios </w:t>
      </w:r>
      <w:r w:rsidR="00352016" w:rsidRPr="006D319F">
        <w:rPr>
          <w:rFonts w:ascii="Cambria" w:hAnsi="Cambria"/>
          <w:color w:val="000000"/>
          <w:sz w:val="20"/>
          <w:szCs w:val="20"/>
          <w:lang w:val="es-ES"/>
        </w:rPr>
        <w:t xml:space="preserve">informaron del preocupante incremento en el número de agresiones dirigidas contra periodistas. Señalaron que el </w:t>
      </w:r>
      <w:r w:rsidR="002F58A3" w:rsidRPr="006D319F">
        <w:rPr>
          <w:rFonts w:ascii="Cambria" w:hAnsi="Cambria"/>
          <w:color w:val="000000"/>
          <w:sz w:val="20"/>
          <w:szCs w:val="20"/>
          <w:lang w:val="es-ES"/>
        </w:rPr>
        <w:t>re</w:t>
      </w:r>
      <w:r w:rsidR="00352016" w:rsidRPr="006D319F">
        <w:rPr>
          <w:rFonts w:ascii="Cambria" w:hAnsi="Cambria"/>
          <w:color w:val="000000"/>
          <w:sz w:val="20"/>
          <w:szCs w:val="20"/>
          <w:lang w:val="es-ES"/>
        </w:rPr>
        <w:t>lanzamiento del folleto “</w:t>
      </w:r>
      <w:proofErr w:type="spellStart"/>
      <w:r w:rsidR="00352016" w:rsidRPr="006D319F">
        <w:rPr>
          <w:rFonts w:ascii="Cambria" w:hAnsi="Cambria"/>
          <w:color w:val="000000"/>
          <w:sz w:val="20"/>
          <w:szCs w:val="20"/>
          <w:lang w:val="es-ES"/>
        </w:rPr>
        <w:t>Aristeu</w:t>
      </w:r>
      <w:proofErr w:type="spellEnd"/>
      <w:r w:rsidR="00352016" w:rsidRPr="006D319F">
        <w:rPr>
          <w:rFonts w:ascii="Cambria" w:hAnsi="Cambria"/>
          <w:color w:val="000000"/>
          <w:sz w:val="20"/>
          <w:szCs w:val="20"/>
          <w:lang w:val="es-ES"/>
        </w:rPr>
        <w:t xml:space="preserve"> Guida da Silva” estuvo acompañado de importantes denuncias sobre violaciones </w:t>
      </w:r>
      <w:r w:rsidR="002F58A3" w:rsidRPr="006D319F">
        <w:rPr>
          <w:rFonts w:ascii="Cambria" w:hAnsi="Cambria"/>
          <w:color w:val="000000"/>
          <w:sz w:val="20"/>
          <w:szCs w:val="20"/>
          <w:lang w:val="es-ES"/>
        </w:rPr>
        <w:t>al contenido de dicho material, y lamentaron que éste hubiere ocurrido pocos días antes de que el Estado brasileño fuera denunciado ante la CIDH por violaciones de la libertad de expresión y de prensa y del acceso a la información, con intimidación, difamación, agresiones verbales y otros ataques a los comunicadores, así como campañas de desinformación por parte del Gobierno Federal.</w:t>
      </w:r>
    </w:p>
    <w:p w14:paraId="7EF4008D" w14:textId="77777777" w:rsidR="003F628D" w:rsidRPr="006D319F" w:rsidRDefault="003F628D" w:rsidP="003F628D">
      <w:pPr>
        <w:pStyle w:val="ListParagraph"/>
        <w:rPr>
          <w:rFonts w:ascii="Cambria" w:eastAsia="Cambria" w:hAnsi="Cambria" w:cs="Cambria"/>
          <w:color w:val="000000"/>
          <w:sz w:val="20"/>
          <w:szCs w:val="20"/>
          <w:lang w:val="es-CO"/>
        </w:rPr>
      </w:pPr>
    </w:p>
    <w:p w14:paraId="71C6150F" w14:textId="77777777" w:rsidR="00990242" w:rsidRPr="006D319F" w:rsidRDefault="00921F25" w:rsidP="00990242">
      <w:pPr>
        <w:pStyle w:val="ListParagraph"/>
        <w:numPr>
          <w:ilvl w:val="0"/>
          <w:numId w:val="16"/>
        </w:numPr>
        <w:spacing w:line="240" w:lineRule="auto"/>
        <w:ind w:left="0" w:firstLine="720"/>
        <w:jc w:val="both"/>
        <w:rPr>
          <w:rFonts w:ascii="Cambria" w:eastAsia="Cambria" w:hAnsi="Cambria" w:cs="Cambria"/>
          <w:color w:val="000000"/>
          <w:sz w:val="20"/>
          <w:szCs w:val="20"/>
          <w:lang w:val="es-CO"/>
        </w:rPr>
      </w:pPr>
      <w:r w:rsidRPr="006D319F">
        <w:rPr>
          <w:rFonts w:ascii="Cambria" w:eastAsia="Cambria" w:hAnsi="Cambria" w:cs="Cambria"/>
          <w:color w:val="000000"/>
          <w:sz w:val="20"/>
          <w:szCs w:val="20"/>
          <w:lang w:val="es-CO"/>
        </w:rPr>
        <w:t xml:space="preserve">La Comisión toma nota de la información proporcionada por el Estado. </w:t>
      </w:r>
      <w:r w:rsidR="003F628D" w:rsidRPr="006D319F">
        <w:rPr>
          <w:rFonts w:ascii="Cambria" w:eastAsia="Cambria" w:hAnsi="Cambria" w:cs="Cambria"/>
          <w:color w:val="000000"/>
          <w:sz w:val="20"/>
          <w:szCs w:val="20"/>
          <w:lang w:val="es-CO"/>
        </w:rPr>
        <w:t>En cuanto al folleto “</w:t>
      </w:r>
      <w:proofErr w:type="spellStart"/>
      <w:r w:rsidR="003F628D" w:rsidRPr="006D319F">
        <w:rPr>
          <w:rFonts w:ascii="Cambria" w:eastAsia="Cambria" w:hAnsi="Cambria" w:cs="Cambria"/>
          <w:color w:val="000000"/>
          <w:sz w:val="20"/>
          <w:szCs w:val="20"/>
          <w:lang w:val="es-CO"/>
        </w:rPr>
        <w:t>Aristeu</w:t>
      </w:r>
      <w:proofErr w:type="spellEnd"/>
      <w:r w:rsidR="003F628D" w:rsidRPr="006D319F">
        <w:rPr>
          <w:rFonts w:ascii="Cambria" w:eastAsia="Cambria" w:hAnsi="Cambria" w:cs="Cambria"/>
          <w:color w:val="000000"/>
          <w:sz w:val="20"/>
          <w:szCs w:val="20"/>
          <w:lang w:val="es-CO"/>
        </w:rPr>
        <w:t xml:space="preserve"> Guida da Silva”, la CIDH reitera que destaca su relanzamiento y la mención expresa respecto de que su publicación forma parte del cumplimiento de las recomendaciones contenidas en el Informe Nº 37/10. A juicio de la CIDH las acciones adoptadas por el Estado respecto al avance en la adopción de esta cartilla representan un elemento positivo de cumplimiento de esta recomendación. Sin embargo, la CIDH nota que el Estado no ha proporcionado información </w:t>
      </w:r>
      <w:r w:rsidRPr="006D319F">
        <w:rPr>
          <w:rFonts w:ascii="Cambria" w:eastAsia="Cambria" w:hAnsi="Cambria" w:cs="Cambria"/>
          <w:color w:val="000000"/>
          <w:sz w:val="20"/>
          <w:szCs w:val="20"/>
          <w:lang w:val="es-CO"/>
        </w:rPr>
        <w:t xml:space="preserve">concreta </w:t>
      </w:r>
      <w:r w:rsidR="003F628D" w:rsidRPr="006D319F">
        <w:rPr>
          <w:rFonts w:ascii="Cambria" w:eastAsia="Cambria" w:hAnsi="Cambria" w:cs="Cambria"/>
          <w:color w:val="000000"/>
          <w:sz w:val="20"/>
          <w:szCs w:val="20"/>
          <w:lang w:val="es-CO"/>
        </w:rPr>
        <w:t xml:space="preserve">que describa de qué manera se está aplicando el contenido de esta cartilla y de los principios que contiene por parte de todas las </w:t>
      </w:r>
      <w:proofErr w:type="gramStart"/>
      <w:r w:rsidR="003F628D" w:rsidRPr="006D319F">
        <w:rPr>
          <w:rFonts w:ascii="Cambria" w:eastAsia="Cambria" w:hAnsi="Cambria" w:cs="Cambria"/>
          <w:color w:val="000000"/>
          <w:sz w:val="20"/>
          <w:szCs w:val="20"/>
          <w:lang w:val="es-CO"/>
        </w:rPr>
        <w:t>autoridades públicas</w:t>
      </w:r>
      <w:proofErr w:type="gramEnd"/>
      <w:r w:rsidR="003F628D" w:rsidRPr="006D319F">
        <w:rPr>
          <w:rFonts w:ascii="Cambria" w:eastAsia="Cambria" w:hAnsi="Cambria" w:cs="Cambria"/>
          <w:color w:val="000000"/>
          <w:sz w:val="20"/>
          <w:szCs w:val="20"/>
          <w:lang w:val="es-CO"/>
        </w:rPr>
        <w:t xml:space="preserve"> de Brasil, por lo que invita al Estado a remitir información al respecto. </w:t>
      </w:r>
      <w:r w:rsidR="00990242" w:rsidRPr="006D319F">
        <w:rPr>
          <w:rFonts w:ascii="Cambria" w:hAnsi="Cambria"/>
          <w:color w:val="000000"/>
          <w:sz w:val="20"/>
          <w:szCs w:val="20"/>
          <w:lang w:val="es-US"/>
        </w:rPr>
        <w:t>Al respecto, la CIDH llama al Estado brasileño a redoblar esfuerzos vinculados no sólo con la difusión del folleto “</w:t>
      </w:r>
      <w:proofErr w:type="spellStart"/>
      <w:r w:rsidR="00990242" w:rsidRPr="006D319F">
        <w:rPr>
          <w:rFonts w:ascii="Cambria" w:hAnsi="Cambria"/>
          <w:color w:val="000000"/>
          <w:sz w:val="20"/>
          <w:szCs w:val="20"/>
          <w:lang w:val="es-US"/>
        </w:rPr>
        <w:t>Aristeu</w:t>
      </w:r>
      <w:proofErr w:type="spellEnd"/>
      <w:r w:rsidR="00990242" w:rsidRPr="006D319F">
        <w:rPr>
          <w:rFonts w:ascii="Cambria" w:hAnsi="Cambria"/>
          <w:color w:val="000000"/>
          <w:sz w:val="20"/>
          <w:szCs w:val="20"/>
          <w:lang w:val="es-US"/>
        </w:rPr>
        <w:t xml:space="preserve"> Guida da Silva”, sino también con su adecuada y efectiva implementación.</w:t>
      </w:r>
      <w:r w:rsidRPr="006D319F">
        <w:rPr>
          <w:rFonts w:ascii="Cambria" w:hAnsi="Cambria"/>
          <w:color w:val="000000"/>
          <w:sz w:val="20"/>
          <w:szCs w:val="20"/>
          <w:lang w:val="es-US"/>
        </w:rPr>
        <w:t xml:space="preserve"> Al respecto, la Comisión queda a la espera de esta información.</w:t>
      </w:r>
      <w:r w:rsidR="00990242" w:rsidRPr="006D319F">
        <w:rPr>
          <w:rFonts w:ascii="Cambria" w:hAnsi="Cambria"/>
          <w:color w:val="000000"/>
          <w:sz w:val="20"/>
          <w:szCs w:val="20"/>
          <w:lang w:val="es-US"/>
        </w:rPr>
        <w:t xml:space="preserve"> </w:t>
      </w:r>
    </w:p>
    <w:p w14:paraId="5722D9C2" w14:textId="77777777" w:rsidR="00990242" w:rsidRPr="006D319F" w:rsidRDefault="00990242" w:rsidP="00990242">
      <w:pPr>
        <w:pStyle w:val="ListParagraph"/>
        <w:rPr>
          <w:rFonts w:ascii="Cambria" w:eastAsia="Cambria" w:hAnsi="Cambria" w:cs="Cambria"/>
          <w:color w:val="000000"/>
          <w:sz w:val="20"/>
          <w:szCs w:val="20"/>
          <w:lang w:val="es-CO"/>
        </w:rPr>
      </w:pPr>
    </w:p>
    <w:p w14:paraId="6F08C44F" w14:textId="77777777" w:rsidR="00990242" w:rsidRPr="006D319F" w:rsidRDefault="00990242" w:rsidP="00921F25">
      <w:pPr>
        <w:pStyle w:val="ListParagraph"/>
        <w:numPr>
          <w:ilvl w:val="0"/>
          <w:numId w:val="16"/>
        </w:numPr>
        <w:spacing w:line="240" w:lineRule="auto"/>
        <w:ind w:left="0" w:firstLine="720"/>
        <w:jc w:val="both"/>
        <w:rPr>
          <w:rFonts w:ascii="Cambria" w:eastAsia="Cambria" w:hAnsi="Cambria" w:cs="Cambria"/>
          <w:color w:val="000000"/>
          <w:sz w:val="20"/>
          <w:szCs w:val="20"/>
          <w:lang w:val="es-CO"/>
        </w:rPr>
      </w:pPr>
      <w:r w:rsidRPr="006D319F">
        <w:rPr>
          <w:rFonts w:ascii="Cambria" w:eastAsia="Cambria" w:hAnsi="Cambria" w:cs="Cambria"/>
          <w:color w:val="000000"/>
          <w:sz w:val="20"/>
          <w:szCs w:val="20"/>
          <w:lang w:val="es-CO"/>
        </w:rPr>
        <w:t xml:space="preserve">Por su parte, la CIDH toma nota de la información sobre la implementación del Programa de Protección a Defensores de Derechos Humanos, Comunicadores y Ambientalistas e invita al Estado a continuar implementando esfuerzos enfocados a garantizar su adecuado funcionamiento e impacto a favor de periodistas y defensores de derechos humanos. </w:t>
      </w:r>
      <w:r w:rsidR="00921F25" w:rsidRPr="006D319F">
        <w:rPr>
          <w:rFonts w:ascii="Cambria" w:eastAsia="Cambria" w:hAnsi="Cambria" w:cs="Cambria"/>
          <w:color w:val="000000"/>
          <w:sz w:val="20"/>
          <w:szCs w:val="20"/>
          <w:lang w:val="es-CO"/>
        </w:rPr>
        <w:t>Con miras a avanzar en el nivel de cumplimiento de esta recomendación, la Comisión solicita al Estado proporcionar información concreta sobre la implementación de esta política que incluya: lugares y estados en los que se ha implementado; actividades de implementación; presupuesto asignado, estrategia de sostenibilidad en el tiempo y resultados que den cuenta del éxito de esta iniciativa para alcanzar sus objetivos. Al respecto</w:t>
      </w:r>
      <w:r w:rsidRPr="006D319F">
        <w:rPr>
          <w:rFonts w:ascii="Cambria" w:eastAsia="Cambria" w:hAnsi="Cambria" w:cs="Cambria"/>
          <w:color w:val="000000"/>
          <w:sz w:val="20"/>
          <w:szCs w:val="20"/>
          <w:lang w:val="es-CO"/>
        </w:rPr>
        <w:t xml:space="preserve">, la CIDH recuerda que, en </w:t>
      </w:r>
      <w:r w:rsidRPr="006D319F">
        <w:rPr>
          <w:rStyle w:val="normaltextrun"/>
          <w:rFonts w:ascii="Cambria" w:hAnsi="Cambria"/>
          <w:color w:val="000000"/>
          <w:sz w:val="20"/>
          <w:szCs w:val="20"/>
          <w:shd w:val="clear" w:color="auto" w:fill="FFFFFF"/>
          <w:lang w:val="es-CO"/>
        </w:rPr>
        <w:t xml:space="preserve">el Informe sobre la Situación de los Derechos Humanos en Brasil que fue publicado en 2021, </w:t>
      </w:r>
      <w:r w:rsidRPr="006D319F">
        <w:rPr>
          <w:rFonts w:ascii="Cambria" w:hAnsi="Cambria"/>
          <w:color w:val="000000"/>
          <w:sz w:val="20"/>
          <w:szCs w:val="20"/>
          <w:lang w:val="es-CO"/>
        </w:rPr>
        <w:t>indicó que este programa debe atender las necesidades de los periodistas y ser ampliamente divulgado entre los trabajadores de los medios, a fin de ofrecer garantías efectivas a aquellos que están en riesgo debido al ejercicio de la actividad periodística</w:t>
      </w:r>
      <w:r w:rsidRPr="006D319F">
        <w:rPr>
          <w:rStyle w:val="FootnoteReference"/>
          <w:rFonts w:ascii="Cambria" w:hAnsi="Cambria"/>
          <w:color w:val="000000"/>
          <w:sz w:val="20"/>
          <w:szCs w:val="20"/>
          <w:shd w:val="clear" w:color="auto" w:fill="FFFFFF"/>
          <w:lang w:val="es-CO"/>
        </w:rPr>
        <w:footnoteReference w:id="5"/>
      </w:r>
      <w:r w:rsidRPr="006D319F">
        <w:rPr>
          <w:rFonts w:ascii="Cambria" w:hAnsi="Cambria"/>
          <w:color w:val="000000"/>
          <w:sz w:val="20"/>
          <w:szCs w:val="20"/>
          <w:lang w:val="es-CO"/>
        </w:rPr>
        <w:t>.</w:t>
      </w:r>
    </w:p>
    <w:p w14:paraId="3E600CED" w14:textId="77777777" w:rsidR="00B95CC0" w:rsidRPr="006D319F" w:rsidRDefault="00B95CC0" w:rsidP="00B95CC0">
      <w:pPr>
        <w:pStyle w:val="ListParagraph"/>
        <w:spacing w:line="240" w:lineRule="auto"/>
        <w:ind w:left="0"/>
        <w:jc w:val="both"/>
        <w:rPr>
          <w:rFonts w:ascii="Cambria" w:eastAsia="Cambria" w:hAnsi="Cambria" w:cs="Cambria"/>
          <w:color w:val="000000"/>
          <w:sz w:val="20"/>
          <w:szCs w:val="20"/>
          <w:lang w:val="es-CO"/>
        </w:rPr>
      </w:pPr>
    </w:p>
    <w:p w14:paraId="05DCAE40" w14:textId="77777777" w:rsidR="00B21903" w:rsidRPr="006D319F" w:rsidRDefault="00921F25" w:rsidP="00B21903">
      <w:pPr>
        <w:pStyle w:val="ListParagraph"/>
        <w:numPr>
          <w:ilvl w:val="0"/>
          <w:numId w:val="16"/>
        </w:numPr>
        <w:pBdr>
          <w:top w:val="nil"/>
          <w:left w:val="nil"/>
          <w:bottom w:val="nil"/>
          <w:right w:val="nil"/>
          <w:between w:val="nil"/>
        </w:pBdr>
        <w:suppressAutoHyphens/>
        <w:spacing w:after="0" w:line="240" w:lineRule="auto"/>
        <w:ind w:left="0" w:firstLine="720"/>
        <w:jc w:val="both"/>
        <w:textDirection w:val="btLr"/>
        <w:textAlignment w:val="top"/>
        <w:outlineLvl w:val="0"/>
        <w:rPr>
          <w:rFonts w:ascii="Cambria" w:eastAsia="Cambria" w:hAnsi="Cambria" w:cs="Cambria"/>
          <w:color w:val="000000"/>
          <w:sz w:val="20"/>
          <w:szCs w:val="20"/>
          <w:lang w:val="es-CO"/>
        </w:rPr>
      </w:pPr>
      <w:r w:rsidRPr="006D319F">
        <w:rPr>
          <w:rStyle w:val="normaltextrun"/>
          <w:rFonts w:ascii="Cambria" w:hAnsi="Cambria"/>
          <w:color w:val="000000"/>
          <w:sz w:val="20"/>
          <w:szCs w:val="20"/>
          <w:shd w:val="clear" w:color="auto" w:fill="FFFFFF"/>
          <w:lang w:val="es-CO"/>
        </w:rPr>
        <w:t xml:space="preserve">Adicionalmente, la Comisión solicita al Estado remitir información que dé cuenta </w:t>
      </w:r>
      <w:r w:rsidR="00C40BFC" w:rsidRPr="006D319F">
        <w:rPr>
          <w:rStyle w:val="normaltextrun"/>
          <w:rFonts w:ascii="Cambria" w:hAnsi="Cambria"/>
          <w:color w:val="000000"/>
          <w:sz w:val="20"/>
          <w:szCs w:val="20"/>
          <w:shd w:val="clear" w:color="auto" w:fill="FFFFFF"/>
          <w:lang w:val="es-CO"/>
        </w:rPr>
        <w:t xml:space="preserve">de cuál ha sido la </w:t>
      </w:r>
      <w:r w:rsidRPr="006D319F">
        <w:rPr>
          <w:rStyle w:val="normaltextrun"/>
          <w:rFonts w:ascii="Cambria" w:hAnsi="Cambria"/>
          <w:color w:val="000000"/>
          <w:sz w:val="20"/>
          <w:szCs w:val="20"/>
          <w:shd w:val="clear" w:color="auto" w:fill="FFFFFF"/>
          <w:lang w:val="es-CO"/>
        </w:rPr>
        <w:t>política dirigida a combatir la impunidad por hechos agresión, amenazas y asesinatos a periodistas</w:t>
      </w:r>
      <w:r w:rsidR="00C40BFC" w:rsidRPr="006D319F">
        <w:rPr>
          <w:rStyle w:val="normaltextrun"/>
          <w:rFonts w:ascii="Cambria" w:hAnsi="Cambria"/>
          <w:color w:val="000000"/>
          <w:sz w:val="20"/>
          <w:szCs w:val="20"/>
          <w:shd w:val="clear" w:color="auto" w:fill="FFFFFF"/>
          <w:lang w:val="es-CO"/>
        </w:rPr>
        <w:t xml:space="preserve"> y promover investigaciones exhaustivas sobre estos hechos</w:t>
      </w:r>
      <w:r w:rsidRPr="006D319F">
        <w:rPr>
          <w:rStyle w:val="normaltextrun"/>
          <w:rFonts w:ascii="Cambria" w:hAnsi="Cambria"/>
          <w:color w:val="000000"/>
          <w:sz w:val="20"/>
          <w:szCs w:val="20"/>
          <w:shd w:val="clear" w:color="auto" w:fill="FFFFFF"/>
          <w:lang w:val="es-CO"/>
        </w:rPr>
        <w:t>.</w:t>
      </w:r>
      <w:r w:rsidR="00C40BFC" w:rsidRPr="006D319F">
        <w:rPr>
          <w:rStyle w:val="normaltextrun"/>
          <w:rFonts w:ascii="Cambria" w:hAnsi="Cambria"/>
          <w:color w:val="000000"/>
          <w:sz w:val="20"/>
          <w:szCs w:val="20"/>
          <w:shd w:val="clear" w:color="auto" w:fill="FFFFFF"/>
          <w:lang w:val="es-CO"/>
        </w:rPr>
        <w:t xml:space="preserve"> Al respecto, solicita información concreta, por ejemplo, sobre la elaboración y aplicación de directivas o protocolos de actuación que dirijan las </w:t>
      </w:r>
      <w:r w:rsidR="00C40BFC" w:rsidRPr="006D319F">
        <w:rPr>
          <w:rStyle w:val="normaltextrun"/>
          <w:rFonts w:ascii="Cambria" w:hAnsi="Cambria"/>
          <w:color w:val="000000"/>
          <w:sz w:val="20"/>
          <w:szCs w:val="20"/>
          <w:shd w:val="clear" w:color="auto" w:fill="FFFFFF"/>
          <w:lang w:val="es-CO"/>
        </w:rPr>
        <w:lastRenderedPageBreak/>
        <w:t xml:space="preserve">investigaciones sobre estos hechos. Al respecto, </w:t>
      </w:r>
      <w:r w:rsidR="00990242" w:rsidRPr="006D319F">
        <w:rPr>
          <w:rStyle w:val="normaltextrun"/>
          <w:rFonts w:ascii="Cambria" w:hAnsi="Cambria"/>
          <w:color w:val="000000"/>
          <w:sz w:val="20"/>
          <w:szCs w:val="20"/>
          <w:shd w:val="clear" w:color="auto" w:fill="FFFFFF"/>
          <w:lang w:val="es-CO"/>
        </w:rPr>
        <w:t xml:space="preserve">la CIDH recuerda que, de acuerdo con el Informe sobre la Situación de los Derechos Humanos en Brasil que fue publicado en 2021, </w:t>
      </w:r>
      <w:r w:rsidR="00990242" w:rsidRPr="006D319F">
        <w:rPr>
          <w:rFonts w:ascii="Cambria" w:hAnsi="Cambria"/>
          <w:color w:val="000000"/>
          <w:sz w:val="20"/>
          <w:szCs w:val="20"/>
          <w:lang w:val="es-CO"/>
        </w:rPr>
        <w:t>ha observado un significativo aumento de actos de violencia y amenazas contra periodistas en Brasil, en particular desde la polarización de la política que se comenzó a observar en el país. De acuerdo con el referido informe, en los últimos 5 años, la Comisión registró el asesinato de por lo menos 11 periodistas en Brasil por motivos supuestamente relacionados con su actividad periodística, además de decenas de otras agresiones. Al respecto, señaló que, solo en 2018, se registraron 4 casos de muertes de comunicadores</w:t>
      </w:r>
      <w:r w:rsidR="00990242" w:rsidRPr="006D319F">
        <w:rPr>
          <w:rStyle w:val="FootnoteReference"/>
          <w:rFonts w:ascii="Cambria" w:hAnsi="Cambria"/>
          <w:color w:val="000000"/>
          <w:sz w:val="20"/>
          <w:szCs w:val="20"/>
          <w:shd w:val="clear" w:color="auto" w:fill="FFFFFF"/>
          <w:lang w:val="es-CO"/>
        </w:rPr>
        <w:footnoteReference w:id="6"/>
      </w:r>
      <w:r w:rsidR="00990242" w:rsidRPr="006D319F">
        <w:rPr>
          <w:rFonts w:ascii="Cambria" w:hAnsi="Cambria"/>
          <w:color w:val="000000"/>
          <w:sz w:val="20"/>
          <w:szCs w:val="20"/>
          <w:lang w:val="es-CO"/>
        </w:rPr>
        <w:t xml:space="preserve">. Considerando este contexto, </w:t>
      </w:r>
      <w:r w:rsidR="00990242" w:rsidRPr="006D319F">
        <w:rPr>
          <w:rFonts w:ascii="Cambria" w:eastAsia="Cambria" w:hAnsi="Cambria" w:cs="Cambria"/>
          <w:color w:val="000000"/>
          <w:sz w:val="20"/>
          <w:szCs w:val="20"/>
          <w:lang w:val="es-CO"/>
        </w:rPr>
        <w:t xml:space="preserve">la CIDH se mantendrá atenta de los avances y efectos derivados de las acciones adoptadas hasta ahora por el Estado, e invita a las partes a proporcionar información actualizada al respecto. La CIDH estima pertinente continuar supervisando el cumplimiento de esta recomendación y concluye que el estado de cumplimiento de la recomendación </w:t>
      </w:r>
      <w:r w:rsidR="00B95CC0" w:rsidRPr="006D319F">
        <w:rPr>
          <w:rFonts w:ascii="Cambria" w:eastAsia="Cambria" w:hAnsi="Cambria" w:cs="Cambria"/>
          <w:color w:val="000000"/>
          <w:sz w:val="20"/>
          <w:szCs w:val="20"/>
          <w:lang w:val="es-CO"/>
        </w:rPr>
        <w:t xml:space="preserve">sexta </w:t>
      </w:r>
      <w:r w:rsidR="00990242" w:rsidRPr="006D319F">
        <w:rPr>
          <w:rFonts w:ascii="Cambria" w:eastAsia="Cambria" w:hAnsi="Cambria" w:cs="Cambria"/>
          <w:color w:val="000000"/>
          <w:sz w:val="20"/>
          <w:szCs w:val="20"/>
          <w:lang w:val="es-CO"/>
        </w:rPr>
        <w:t xml:space="preserve">continúa en parcial sustancial. </w:t>
      </w:r>
    </w:p>
    <w:p w14:paraId="7E159208" w14:textId="77777777" w:rsidR="00C40BFC" w:rsidRPr="006D319F" w:rsidRDefault="00C40BFC" w:rsidP="00C40BFC">
      <w:pPr>
        <w:pStyle w:val="ListParagraph"/>
        <w:pBdr>
          <w:top w:val="nil"/>
          <w:left w:val="nil"/>
          <w:bottom w:val="nil"/>
          <w:right w:val="nil"/>
          <w:between w:val="nil"/>
        </w:pBdr>
        <w:suppressAutoHyphens/>
        <w:spacing w:after="0" w:line="240" w:lineRule="auto"/>
        <w:jc w:val="both"/>
        <w:textDirection w:val="btLr"/>
        <w:textAlignment w:val="top"/>
        <w:outlineLvl w:val="0"/>
        <w:rPr>
          <w:rFonts w:ascii="Cambria" w:eastAsia="Cambria" w:hAnsi="Cambria" w:cs="Cambria"/>
          <w:color w:val="000000"/>
          <w:sz w:val="20"/>
          <w:szCs w:val="20"/>
          <w:lang w:val="es-CO"/>
        </w:rPr>
      </w:pPr>
    </w:p>
    <w:p w14:paraId="1C90335F" w14:textId="77777777" w:rsidR="00B21903" w:rsidRPr="006D319F" w:rsidRDefault="00F81DA3" w:rsidP="00F81DA3">
      <w:pPr>
        <w:pStyle w:val="ListParagraph"/>
        <w:numPr>
          <w:ilvl w:val="0"/>
          <w:numId w:val="1"/>
        </w:numPr>
        <w:spacing w:after="0" w:line="240" w:lineRule="auto"/>
        <w:ind w:left="1440"/>
        <w:jc w:val="both"/>
        <w:rPr>
          <w:rFonts w:ascii="Cambria" w:hAnsi="Cambria" w:cs="Calibri Light"/>
          <w:b/>
          <w:color w:val="000000"/>
          <w:sz w:val="20"/>
          <w:szCs w:val="20"/>
          <w:lang w:val="es-US"/>
        </w:rPr>
      </w:pPr>
      <w:r w:rsidRPr="006D319F">
        <w:rPr>
          <w:rFonts w:ascii="Cambria" w:hAnsi="Cambria" w:cs="Calibri Light"/>
          <w:b/>
          <w:color w:val="000000"/>
          <w:sz w:val="20"/>
          <w:szCs w:val="20"/>
          <w:lang w:val="es-US"/>
        </w:rPr>
        <w:t>Nivel</w:t>
      </w:r>
      <w:r w:rsidR="00B21903" w:rsidRPr="006D319F">
        <w:rPr>
          <w:rFonts w:ascii="Cambria" w:hAnsi="Cambria" w:cs="Calibri Light"/>
          <w:b/>
          <w:color w:val="000000"/>
          <w:sz w:val="20"/>
          <w:szCs w:val="20"/>
          <w:lang w:val="es-US"/>
        </w:rPr>
        <w:t xml:space="preserve"> del Cumplimiento del Caso </w:t>
      </w:r>
    </w:p>
    <w:p w14:paraId="630F7DBB" w14:textId="77777777" w:rsidR="00B21903" w:rsidRPr="006D319F" w:rsidRDefault="00B21903" w:rsidP="00B21903">
      <w:pPr>
        <w:pStyle w:val="ListParagraph"/>
        <w:ind w:left="0"/>
        <w:rPr>
          <w:rFonts w:ascii="Cambria" w:hAnsi="Cambria" w:cs="Calibri Light"/>
          <w:color w:val="000000"/>
          <w:sz w:val="20"/>
          <w:szCs w:val="20"/>
          <w:lang w:val="es-US"/>
        </w:rPr>
      </w:pPr>
    </w:p>
    <w:p w14:paraId="64574DF1" w14:textId="77777777" w:rsidR="00B21903" w:rsidRPr="006D319F" w:rsidRDefault="00B21903" w:rsidP="00A97636">
      <w:pPr>
        <w:pStyle w:val="ListParagraph"/>
        <w:numPr>
          <w:ilvl w:val="0"/>
          <w:numId w:val="16"/>
        </w:numPr>
        <w:spacing w:after="0" w:line="240" w:lineRule="auto"/>
        <w:ind w:left="0" w:firstLine="720"/>
        <w:jc w:val="both"/>
        <w:rPr>
          <w:rFonts w:ascii="Cambria" w:hAnsi="Cambria" w:cs="Calibri Light"/>
          <w:color w:val="000000"/>
          <w:sz w:val="20"/>
          <w:szCs w:val="20"/>
          <w:lang w:val="es-US"/>
        </w:rPr>
      </w:pPr>
      <w:r w:rsidRPr="006D319F">
        <w:rPr>
          <w:rFonts w:ascii="Cambria" w:hAnsi="Cambria" w:cs="Calibri Light"/>
          <w:color w:val="000000"/>
          <w:sz w:val="20"/>
          <w:szCs w:val="20"/>
          <w:lang w:val="es-US"/>
        </w:rPr>
        <w:t>En virtud de lo anterior, la CIDH concluye que el nivel de cumplimiento del caso es parcial. La Comisión continuará supervisando el cumplimiento de las Recomendaciones 2, 3 y 6.</w:t>
      </w:r>
    </w:p>
    <w:p w14:paraId="0455FCAF" w14:textId="77777777" w:rsidR="00B21903" w:rsidRPr="006D319F" w:rsidRDefault="00B21903" w:rsidP="00C40BFC">
      <w:pPr>
        <w:pStyle w:val="ListParagraph"/>
        <w:spacing w:after="0" w:line="240" w:lineRule="auto"/>
        <w:ind w:left="0"/>
        <w:jc w:val="both"/>
        <w:rPr>
          <w:rFonts w:ascii="Cambria" w:hAnsi="Cambria" w:cs="Calibri Light"/>
          <w:color w:val="000000"/>
          <w:sz w:val="20"/>
          <w:szCs w:val="20"/>
          <w:lang w:val="es-US"/>
        </w:rPr>
      </w:pPr>
    </w:p>
    <w:p w14:paraId="71CB68CA" w14:textId="77777777" w:rsidR="00B21903" w:rsidRPr="006D319F" w:rsidRDefault="00B21903" w:rsidP="00F81DA3">
      <w:pPr>
        <w:pStyle w:val="ListParagraph"/>
        <w:numPr>
          <w:ilvl w:val="0"/>
          <w:numId w:val="1"/>
        </w:numPr>
        <w:spacing w:after="0" w:line="240" w:lineRule="auto"/>
        <w:ind w:left="1440"/>
        <w:jc w:val="both"/>
        <w:rPr>
          <w:rFonts w:ascii="Cambria" w:hAnsi="Cambria" w:cs="Calibri Light"/>
          <w:b/>
          <w:color w:val="000000"/>
          <w:sz w:val="20"/>
          <w:szCs w:val="20"/>
          <w:lang w:val="es-US"/>
        </w:rPr>
      </w:pPr>
      <w:r w:rsidRPr="006D319F">
        <w:rPr>
          <w:rFonts w:ascii="Cambria" w:hAnsi="Cambria" w:cs="Calibri Light"/>
          <w:b/>
          <w:color w:val="000000"/>
          <w:sz w:val="20"/>
          <w:szCs w:val="20"/>
          <w:lang w:val="es-US"/>
        </w:rPr>
        <w:t xml:space="preserve"> </w:t>
      </w:r>
      <w:r w:rsidRPr="006D319F">
        <w:rPr>
          <w:rFonts w:ascii="Cambria" w:hAnsi="Cambria"/>
          <w:b/>
          <w:color w:val="000000"/>
          <w:sz w:val="20"/>
          <w:szCs w:val="20"/>
          <w:lang w:val="es-ES_tradnl"/>
        </w:rPr>
        <w:t>Resultados individuales y estructurales del caso</w:t>
      </w:r>
    </w:p>
    <w:p w14:paraId="237FF576" w14:textId="77777777" w:rsidR="00B21903" w:rsidRPr="006D319F" w:rsidRDefault="00B21903" w:rsidP="00B21903">
      <w:pPr>
        <w:spacing w:after="0" w:line="240" w:lineRule="auto"/>
        <w:jc w:val="both"/>
        <w:rPr>
          <w:rFonts w:ascii="Cambria" w:hAnsi="Cambria" w:cs="Calibri Light"/>
          <w:b/>
          <w:color w:val="000000"/>
          <w:sz w:val="20"/>
          <w:szCs w:val="20"/>
          <w:lang w:val="es-US"/>
        </w:rPr>
      </w:pPr>
    </w:p>
    <w:p w14:paraId="7EF86EE1" w14:textId="77777777" w:rsidR="00981C4A" w:rsidRPr="006D319F" w:rsidRDefault="00981C4A" w:rsidP="00A97636">
      <w:pPr>
        <w:numPr>
          <w:ilvl w:val="0"/>
          <w:numId w:val="16"/>
        </w:numPr>
        <w:spacing w:after="0" w:line="240" w:lineRule="auto"/>
        <w:ind w:firstLine="720"/>
        <w:jc w:val="both"/>
        <w:rPr>
          <w:rFonts w:ascii="Cambria" w:hAnsi="Cambria" w:cs="Calibri Light"/>
          <w:color w:val="000000"/>
          <w:sz w:val="20"/>
          <w:szCs w:val="20"/>
          <w:lang w:val="es-US"/>
        </w:rPr>
      </w:pPr>
      <w:r w:rsidRPr="006D319F">
        <w:rPr>
          <w:rFonts w:ascii="Cambria" w:hAnsi="Cambria" w:cs="Calibri Light"/>
          <w:color w:val="000000"/>
          <w:sz w:val="20"/>
          <w:szCs w:val="20"/>
          <w:lang w:val="es-US"/>
        </w:rPr>
        <w:t>En esta sección se destaca</w:t>
      </w:r>
      <w:r w:rsidR="00E120F5" w:rsidRPr="006D319F">
        <w:rPr>
          <w:rFonts w:ascii="Cambria" w:hAnsi="Cambria" w:cs="Calibri Light"/>
          <w:color w:val="000000"/>
          <w:sz w:val="20"/>
          <w:szCs w:val="20"/>
          <w:lang w:val="es-US"/>
        </w:rPr>
        <w:t>n</w:t>
      </w:r>
      <w:r w:rsidRPr="006D319F">
        <w:rPr>
          <w:rFonts w:ascii="Cambria" w:hAnsi="Cambria" w:cs="Calibri Light"/>
          <w:color w:val="000000"/>
          <w:sz w:val="20"/>
          <w:szCs w:val="20"/>
          <w:lang w:val="es-US"/>
        </w:rPr>
        <w:t xml:space="preserve"> los resultados individuales y estructurales del caso informados por las partes. </w:t>
      </w:r>
    </w:p>
    <w:p w14:paraId="1BC2A4BA" w14:textId="77777777" w:rsidR="00981C4A" w:rsidRPr="006D319F" w:rsidRDefault="00981C4A" w:rsidP="00B21903">
      <w:pPr>
        <w:spacing w:after="0" w:line="240" w:lineRule="auto"/>
        <w:jc w:val="both"/>
        <w:rPr>
          <w:rFonts w:ascii="Cambria" w:hAnsi="Cambria" w:cs="Calibri Light"/>
          <w:b/>
          <w:color w:val="000000"/>
          <w:sz w:val="20"/>
          <w:szCs w:val="20"/>
          <w:lang w:val="es-US"/>
        </w:rPr>
      </w:pPr>
    </w:p>
    <w:p w14:paraId="15363822" w14:textId="77777777" w:rsidR="00B21903" w:rsidRPr="006D319F" w:rsidRDefault="00B21903" w:rsidP="00981C4A">
      <w:pPr>
        <w:pStyle w:val="ListParagraph"/>
        <w:numPr>
          <w:ilvl w:val="0"/>
          <w:numId w:val="4"/>
        </w:numPr>
        <w:spacing w:after="0" w:line="240" w:lineRule="auto"/>
        <w:ind w:left="1440" w:hanging="720"/>
        <w:jc w:val="both"/>
        <w:rPr>
          <w:rFonts w:ascii="Cambria" w:hAnsi="Cambria" w:cs="Calibri Light"/>
          <w:b/>
          <w:color w:val="000000"/>
          <w:sz w:val="20"/>
          <w:szCs w:val="20"/>
          <w:lang w:val="es-US"/>
        </w:rPr>
      </w:pPr>
      <w:r w:rsidRPr="006D319F">
        <w:rPr>
          <w:rFonts w:ascii="Cambria" w:hAnsi="Cambria"/>
          <w:b/>
          <w:color w:val="000000"/>
          <w:sz w:val="20"/>
          <w:szCs w:val="20"/>
          <w:lang w:val="es-ES"/>
        </w:rPr>
        <w:t>Resultados Individuales</w:t>
      </w:r>
    </w:p>
    <w:p w14:paraId="5C142B8B" w14:textId="77777777" w:rsidR="00B21903" w:rsidRPr="006D319F" w:rsidRDefault="00B21903" w:rsidP="00B21903">
      <w:pPr>
        <w:spacing w:after="0" w:line="240" w:lineRule="auto"/>
        <w:jc w:val="both"/>
        <w:rPr>
          <w:rFonts w:ascii="Cambria" w:hAnsi="Cambria" w:cs="Calibri Light"/>
          <w:b/>
          <w:color w:val="000000"/>
          <w:sz w:val="20"/>
          <w:szCs w:val="20"/>
          <w:lang w:val="es-US"/>
        </w:rPr>
      </w:pPr>
    </w:p>
    <w:p w14:paraId="0CD7605F" w14:textId="77777777" w:rsidR="00B21903" w:rsidRPr="006D319F" w:rsidRDefault="00B21903" w:rsidP="00B21903">
      <w:pPr>
        <w:pStyle w:val="ListParagraph"/>
        <w:spacing w:after="0" w:line="240" w:lineRule="auto"/>
        <w:ind w:left="0"/>
        <w:jc w:val="both"/>
        <w:rPr>
          <w:rFonts w:ascii="Cambria" w:hAnsi="Cambria" w:cs="Calibri Light"/>
          <w:i/>
          <w:color w:val="000000"/>
          <w:sz w:val="20"/>
          <w:szCs w:val="20"/>
          <w:lang w:val="es-US"/>
        </w:rPr>
      </w:pPr>
      <w:r w:rsidRPr="006D319F">
        <w:rPr>
          <w:rFonts w:ascii="Cambria" w:hAnsi="Cambria" w:cs="Calibri Light"/>
          <w:i/>
          <w:color w:val="000000"/>
          <w:sz w:val="20"/>
          <w:szCs w:val="20"/>
          <w:lang w:val="es-US"/>
        </w:rPr>
        <w:t xml:space="preserve">Medidas de compensación pecuniaria </w:t>
      </w:r>
    </w:p>
    <w:p w14:paraId="3D98CD11" w14:textId="77777777" w:rsidR="00B21903" w:rsidRPr="006D319F" w:rsidRDefault="00B21903" w:rsidP="00B21903">
      <w:pPr>
        <w:pStyle w:val="ListParagraph"/>
        <w:numPr>
          <w:ilvl w:val="0"/>
          <w:numId w:val="5"/>
        </w:numPr>
        <w:spacing w:after="0" w:line="240" w:lineRule="auto"/>
        <w:jc w:val="both"/>
        <w:rPr>
          <w:rFonts w:ascii="Cambria" w:hAnsi="Cambria" w:cs="Calibri Light"/>
          <w:color w:val="000000"/>
          <w:sz w:val="20"/>
          <w:szCs w:val="20"/>
          <w:lang w:val="es-US"/>
        </w:rPr>
      </w:pPr>
      <w:r w:rsidRPr="006D319F">
        <w:rPr>
          <w:rFonts w:ascii="Cambria" w:hAnsi="Cambria"/>
          <w:color w:val="000000"/>
          <w:sz w:val="20"/>
          <w:szCs w:val="20"/>
          <w:lang w:val="es-US"/>
        </w:rPr>
        <w:t>E</w:t>
      </w:r>
      <w:r w:rsidRPr="006D319F">
        <w:rPr>
          <w:rFonts w:ascii="Cambria" w:hAnsi="Cambria"/>
          <w:color w:val="000000"/>
          <w:sz w:val="20"/>
          <w:szCs w:val="20"/>
          <w:lang w:val="es-ES"/>
        </w:rPr>
        <w:t xml:space="preserve">l 7 de abril de 2010, el Estado había efectuado un pago de R$ 100,000 (mil reales) a la familia de la víctima por los daños sufridos.  </w:t>
      </w:r>
    </w:p>
    <w:p w14:paraId="29FFD3A1" w14:textId="77777777" w:rsidR="00B21903" w:rsidRPr="006D319F" w:rsidRDefault="00B21903" w:rsidP="00B21903">
      <w:pPr>
        <w:pStyle w:val="ListParagraph"/>
        <w:spacing w:after="0" w:line="240" w:lineRule="auto"/>
        <w:ind w:left="0"/>
        <w:jc w:val="both"/>
        <w:rPr>
          <w:rFonts w:ascii="Cambria" w:hAnsi="Cambria"/>
          <w:color w:val="000000"/>
          <w:sz w:val="20"/>
          <w:szCs w:val="20"/>
          <w:lang w:val="es-US"/>
        </w:rPr>
      </w:pPr>
    </w:p>
    <w:p w14:paraId="566681C8" w14:textId="77777777" w:rsidR="00B21903" w:rsidRPr="006D319F" w:rsidRDefault="00B21903" w:rsidP="00B21903">
      <w:pPr>
        <w:pStyle w:val="ListParagraph"/>
        <w:spacing w:after="0" w:line="240" w:lineRule="auto"/>
        <w:ind w:left="0"/>
        <w:jc w:val="both"/>
        <w:rPr>
          <w:rFonts w:ascii="Cambria" w:hAnsi="Cambria"/>
          <w:i/>
          <w:color w:val="000000"/>
          <w:sz w:val="20"/>
          <w:szCs w:val="20"/>
          <w:lang w:val="es-ES"/>
        </w:rPr>
      </w:pPr>
      <w:r w:rsidRPr="006D319F">
        <w:rPr>
          <w:rFonts w:ascii="Cambria" w:hAnsi="Cambria"/>
          <w:i/>
          <w:color w:val="000000"/>
          <w:sz w:val="20"/>
          <w:szCs w:val="20"/>
          <w:lang w:val="es-ES"/>
        </w:rPr>
        <w:t>Medidas de satisfacción</w:t>
      </w:r>
    </w:p>
    <w:p w14:paraId="358DBBA2" w14:textId="77777777" w:rsidR="00B21903" w:rsidRPr="006D319F" w:rsidRDefault="00B21903" w:rsidP="00B21903">
      <w:pPr>
        <w:pStyle w:val="ListParagraph"/>
        <w:numPr>
          <w:ilvl w:val="0"/>
          <w:numId w:val="5"/>
        </w:numPr>
        <w:spacing w:after="0" w:line="240" w:lineRule="auto"/>
        <w:jc w:val="both"/>
        <w:rPr>
          <w:rFonts w:ascii="Cambria" w:hAnsi="Cambria" w:cs="Calibri Light"/>
          <w:i/>
          <w:color w:val="000000"/>
          <w:sz w:val="20"/>
          <w:szCs w:val="20"/>
          <w:lang w:val="es-US"/>
        </w:rPr>
      </w:pPr>
      <w:r w:rsidRPr="006D319F">
        <w:rPr>
          <w:rFonts w:ascii="Cambria" w:hAnsi="Cambria"/>
          <w:color w:val="000000"/>
          <w:sz w:val="20"/>
          <w:szCs w:val="20"/>
          <w:lang w:val="es-US"/>
        </w:rPr>
        <w:t xml:space="preserve">El 21 de septiembre de 2009, el Estado había reconocido su responsabilidad internacional por las violaciones de los derechos establecidas en este informe </w:t>
      </w:r>
    </w:p>
    <w:p w14:paraId="196417DC" w14:textId="77777777" w:rsidR="00B21903" w:rsidRPr="006D319F" w:rsidRDefault="00B21903" w:rsidP="00B21903">
      <w:pPr>
        <w:pStyle w:val="ListParagraph"/>
        <w:spacing w:after="0" w:line="240" w:lineRule="auto"/>
        <w:jc w:val="both"/>
        <w:rPr>
          <w:rFonts w:ascii="Cambria" w:hAnsi="Cambria" w:cs="Calibri Light"/>
          <w:i/>
          <w:color w:val="000000"/>
          <w:sz w:val="20"/>
          <w:szCs w:val="20"/>
          <w:lang w:val="es-US"/>
        </w:rPr>
      </w:pPr>
    </w:p>
    <w:p w14:paraId="2FF41CE1" w14:textId="77777777" w:rsidR="00B21903" w:rsidRPr="006D319F" w:rsidRDefault="00B21903" w:rsidP="00981C4A">
      <w:pPr>
        <w:pStyle w:val="ListParagraph"/>
        <w:numPr>
          <w:ilvl w:val="0"/>
          <w:numId w:val="4"/>
        </w:numPr>
        <w:spacing w:after="0" w:line="240" w:lineRule="auto"/>
        <w:ind w:left="1440" w:hanging="720"/>
        <w:jc w:val="both"/>
        <w:rPr>
          <w:rFonts w:ascii="Cambria" w:hAnsi="Cambria" w:cs="Calibri Light"/>
          <w:b/>
          <w:color w:val="000000"/>
          <w:sz w:val="20"/>
          <w:szCs w:val="20"/>
          <w:lang w:val="es-US"/>
        </w:rPr>
      </w:pPr>
      <w:r w:rsidRPr="006D319F">
        <w:rPr>
          <w:rFonts w:ascii="Cambria" w:hAnsi="Cambria" w:cs="Calibri Light"/>
          <w:b/>
          <w:color w:val="000000"/>
          <w:sz w:val="20"/>
          <w:szCs w:val="20"/>
          <w:lang w:val="es-US"/>
        </w:rPr>
        <w:t xml:space="preserve">Resultados </w:t>
      </w:r>
      <w:r w:rsidR="00FE0D74" w:rsidRPr="006D319F">
        <w:rPr>
          <w:rFonts w:ascii="Cambria" w:hAnsi="Cambria" w:cs="Calibri Light"/>
          <w:b/>
          <w:color w:val="000000"/>
          <w:sz w:val="20"/>
          <w:szCs w:val="20"/>
          <w:lang w:val="es-US"/>
        </w:rPr>
        <w:t>e</w:t>
      </w:r>
      <w:r w:rsidRPr="006D319F">
        <w:rPr>
          <w:rFonts w:ascii="Cambria" w:hAnsi="Cambria" w:cs="Calibri Light"/>
          <w:b/>
          <w:color w:val="000000"/>
          <w:sz w:val="20"/>
          <w:szCs w:val="20"/>
          <w:lang w:val="es-US"/>
        </w:rPr>
        <w:t>structurales</w:t>
      </w:r>
      <w:r w:rsidR="00FE0D74" w:rsidRPr="006D319F">
        <w:rPr>
          <w:rFonts w:ascii="Cambria" w:hAnsi="Cambria" w:cs="Calibri Light"/>
          <w:b/>
          <w:color w:val="000000"/>
          <w:sz w:val="20"/>
          <w:szCs w:val="20"/>
          <w:lang w:val="es-US"/>
        </w:rPr>
        <w:t xml:space="preserve"> del caso</w:t>
      </w:r>
    </w:p>
    <w:p w14:paraId="4304A1EE" w14:textId="77777777" w:rsidR="00B21903" w:rsidRPr="006D319F" w:rsidRDefault="00B21903" w:rsidP="00B21903">
      <w:pPr>
        <w:pStyle w:val="NoSpacing"/>
        <w:jc w:val="both"/>
        <w:rPr>
          <w:rFonts w:ascii="Cambria" w:hAnsi="Cambria"/>
          <w:color w:val="000000"/>
          <w:sz w:val="20"/>
          <w:szCs w:val="20"/>
          <w:lang w:val="es-ES"/>
        </w:rPr>
      </w:pPr>
    </w:p>
    <w:p w14:paraId="23C4F829" w14:textId="77777777" w:rsidR="00FE0D74" w:rsidRPr="006D319F" w:rsidRDefault="00FE0D74" w:rsidP="00B21903">
      <w:pPr>
        <w:pStyle w:val="NoSpacing"/>
        <w:jc w:val="both"/>
        <w:rPr>
          <w:rFonts w:ascii="Cambria" w:hAnsi="Cambria"/>
          <w:i/>
          <w:color w:val="000000"/>
          <w:sz w:val="20"/>
          <w:szCs w:val="20"/>
          <w:lang w:val="es-ES"/>
        </w:rPr>
      </w:pPr>
      <w:r w:rsidRPr="006D319F">
        <w:rPr>
          <w:rFonts w:ascii="Cambria" w:hAnsi="Cambria"/>
          <w:i/>
          <w:color w:val="000000"/>
          <w:sz w:val="20"/>
          <w:szCs w:val="20"/>
          <w:lang w:val="es-ES"/>
        </w:rPr>
        <w:t xml:space="preserve">Fortalecimiento institucional </w:t>
      </w:r>
    </w:p>
    <w:p w14:paraId="5671086C" w14:textId="77777777" w:rsidR="00FE0D74" w:rsidRPr="006D319F" w:rsidRDefault="00B21903" w:rsidP="00B21903">
      <w:pPr>
        <w:pStyle w:val="NoSpacing"/>
        <w:numPr>
          <w:ilvl w:val="0"/>
          <w:numId w:val="5"/>
        </w:numPr>
        <w:jc w:val="both"/>
        <w:rPr>
          <w:rFonts w:ascii="Cambria" w:hAnsi="Cambria"/>
          <w:color w:val="000000"/>
          <w:sz w:val="20"/>
          <w:szCs w:val="20"/>
          <w:lang w:val="es-ES"/>
        </w:rPr>
      </w:pPr>
      <w:r w:rsidRPr="006D319F">
        <w:rPr>
          <w:rFonts w:ascii="Cambria" w:hAnsi="Cambria"/>
          <w:color w:val="000000"/>
          <w:sz w:val="20"/>
          <w:szCs w:val="20"/>
          <w:lang w:val="es-ES"/>
        </w:rPr>
        <w:t xml:space="preserve">El 18 de octubre de 2012, el </w:t>
      </w:r>
      <w:proofErr w:type="spellStart"/>
      <w:r w:rsidRPr="006D319F">
        <w:rPr>
          <w:rFonts w:ascii="Cambria" w:hAnsi="Cambria"/>
          <w:i/>
          <w:iCs/>
          <w:color w:val="000000"/>
          <w:sz w:val="20"/>
          <w:szCs w:val="20"/>
          <w:lang w:val="es-ES"/>
        </w:rPr>
        <w:t>Conselho</w:t>
      </w:r>
      <w:proofErr w:type="spellEnd"/>
      <w:r w:rsidRPr="006D319F">
        <w:rPr>
          <w:rFonts w:ascii="Cambria" w:hAnsi="Cambria"/>
          <w:i/>
          <w:iCs/>
          <w:color w:val="000000"/>
          <w:sz w:val="20"/>
          <w:szCs w:val="20"/>
          <w:lang w:val="es-ES"/>
        </w:rPr>
        <w:t xml:space="preserve"> de Defensa dos </w:t>
      </w:r>
      <w:proofErr w:type="spellStart"/>
      <w:r w:rsidRPr="006D319F">
        <w:rPr>
          <w:rFonts w:ascii="Cambria" w:hAnsi="Cambria"/>
          <w:i/>
          <w:iCs/>
          <w:color w:val="000000"/>
          <w:sz w:val="20"/>
          <w:szCs w:val="20"/>
          <w:lang w:val="es-ES"/>
        </w:rPr>
        <w:t>Direitos</w:t>
      </w:r>
      <w:proofErr w:type="spellEnd"/>
      <w:r w:rsidRPr="006D319F">
        <w:rPr>
          <w:rFonts w:ascii="Cambria" w:hAnsi="Cambria"/>
          <w:i/>
          <w:iCs/>
          <w:color w:val="000000"/>
          <w:sz w:val="20"/>
          <w:szCs w:val="20"/>
          <w:lang w:val="es-ES"/>
        </w:rPr>
        <w:t xml:space="preserve"> da Pessoa Humana </w:t>
      </w:r>
      <w:r w:rsidR="00FE0D74" w:rsidRPr="006D319F">
        <w:rPr>
          <w:rFonts w:ascii="Cambria" w:hAnsi="Cambria"/>
          <w:color w:val="000000"/>
          <w:sz w:val="20"/>
          <w:szCs w:val="20"/>
          <w:lang w:val="es-ES"/>
        </w:rPr>
        <w:t>adoptó la R</w:t>
      </w:r>
      <w:r w:rsidRPr="006D319F">
        <w:rPr>
          <w:rFonts w:ascii="Cambria" w:hAnsi="Cambria"/>
          <w:color w:val="000000"/>
          <w:sz w:val="20"/>
          <w:szCs w:val="20"/>
          <w:lang w:val="es-ES"/>
        </w:rPr>
        <w:t xml:space="preserve">esolución </w:t>
      </w:r>
      <w:r w:rsidR="00FE0D74" w:rsidRPr="006D319F">
        <w:rPr>
          <w:rFonts w:ascii="Cambria" w:hAnsi="Cambria"/>
          <w:color w:val="000000"/>
          <w:sz w:val="20"/>
          <w:szCs w:val="20"/>
          <w:lang w:val="es-US"/>
        </w:rPr>
        <w:t>Nº</w:t>
      </w:r>
      <w:r w:rsidRPr="006D319F">
        <w:rPr>
          <w:rFonts w:ascii="Cambria" w:hAnsi="Cambria"/>
          <w:color w:val="000000"/>
          <w:sz w:val="20"/>
          <w:szCs w:val="20"/>
          <w:lang w:val="es-ES"/>
        </w:rPr>
        <w:t xml:space="preserve"> 7, mediante la cual estableció un </w:t>
      </w:r>
      <w:r w:rsidR="00FE0D74" w:rsidRPr="006D319F">
        <w:rPr>
          <w:rFonts w:ascii="Cambria" w:hAnsi="Cambria"/>
          <w:color w:val="000000"/>
          <w:sz w:val="20"/>
          <w:szCs w:val="20"/>
          <w:lang w:val="es-ES"/>
        </w:rPr>
        <w:t>Grupo de T</w:t>
      </w:r>
      <w:r w:rsidRPr="006D319F">
        <w:rPr>
          <w:rFonts w:ascii="Cambria" w:hAnsi="Cambria"/>
          <w:color w:val="000000"/>
          <w:sz w:val="20"/>
          <w:szCs w:val="20"/>
          <w:lang w:val="es-ES"/>
        </w:rPr>
        <w:t xml:space="preserve">rabajo encargado de los derechos humanos y los profesionales de la comunicación en Brasil, con el fin de analizar el contexto actual en la materia y proponer acciones para prevenir la violencia contra estos profesionales. </w:t>
      </w:r>
    </w:p>
    <w:p w14:paraId="495CF4AB" w14:textId="77777777" w:rsidR="00FE0D74" w:rsidRPr="006D319F" w:rsidRDefault="00B21903" w:rsidP="00B21903">
      <w:pPr>
        <w:pStyle w:val="NoSpacing"/>
        <w:numPr>
          <w:ilvl w:val="0"/>
          <w:numId w:val="5"/>
        </w:numPr>
        <w:jc w:val="both"/>
        <w:rPr>
          <w:rFonts w:ascii="Cambria" w:hAnsi="Cambria"/>
          <w:color w:val="000000"/>
          <w:sz w:val="20"/>
          <w:szCs w:val="20"/>
          <w:lang w:val="es-ES"/>
        </w:rPr>
      </w:pPr>
      <w:r w:rsidRPr="006D319F">
        <w:rPr>
          <w:rFonts w:ascii="Cambria" w:hAnsi="Cambria"/>
          <w:color w:val="000000"/>
          <w:sz w:val="20"/>
          <w:szCs w:val="20"/>
          <w:lang w:val="es-ES"/>
        </w:rPr>
        <w:t xml:space="preserve">Mediante la resolución número 6, adoptada por la </w:t>
      </w:r>
      <w:proofErr w:type="gramStart"/>
      <w:r w:rsidRPr="006D319F">
        <w:rPr>
          <w:rFonts w:ascii="Cambria" w:hAnsi="Cambria"/>
          <w:i/>
          <w:iCs/>
          <w:color w:val="000000"/>
          <w:sz w:val="20"/>
          <w:szCs w:val="20"/>
          <w:lang w:val="es-ES"/>
        </w:rPr>
        <w:t>Secretaria</w:t>
      </w:r>
      <w:proofErr w:type="gramEnd"/>
      <w:r w:rsidRPr="006D319F">
        <w:rPr>
          <w:rFonts w:ascii="Cambria" w:hAnsi="Cambria"/>
          <w:i/>
          <w:iCs/>
          <w:color w:val="000000"/>
          <w:sz w:val="20"/>
          <w:szCs w:val="20"/>
          <w:lang w:val="es-ES"/>
        </w:rPr>
        <w:t xml:space="preserve"> de </w:t>
      </w:r>
      <w:proofErr w:type="spellStart"/>
      <w:r w:rsidRPr="006D319F">
        <w:rPr>
          <w:rFonts w:ascii="Cambria" w:hAnsi="Cambria"/>
          <w:i/>
          <w:iCs/>
          <w:color w:val="000000"/>
          <w:sz w:val="20"/>
          <w:szCs w:val="20"/>
          <w:lang w:val="es-ES"/>
        </w:rPr>
        <w:t>Direitos</w:t>
      </w:r>
      <w:proofErr w:type="spellEnd"/>
      <w:r w:rsidRPr="006D319F">
        <w:rPr>
          <w:rFonts w:ascii="Cambria" w:hAnsi="Cambria"/>
          <w:i/>
          <w:iCs/>
          <w:color w:val="000000"/>
          <w:sz w:val="20"/>
          <w:szCs w:val="20"/>
          <w:lang w:val="es-ES"/>
        </w:rPr>
        <w:t xml:space="preserve"> Humanos da Presidencia da </w:t>
      </w:r>
      <w:proofErr w:type="spellStart"/>
      <w:r w:rsidRPr="006D319F">
        <w:rPr>
          <w:rFonts w:ascii="Cambria" w:hAnsi="Cambria"/>
          <w:i/>
          <w:iCs/>
          <w:color w:val="000000"/>
          <w:sz w:val="20"/>
          <w:szCs w:val="20"/>
          <w:lang w:val="es-ES"/>
        </w:rPr>
        <w:t>Repûblica</w:t>
      </w:r>
      <w:proofErr w:type="spellEnd"/>
      <w:r w:rsidRPr="006D319F">
        <w:rPr>
          <w:rFonts w:ascii="Cambria" w:hAnsi="Cambria"/>
          <w:color w:val="000000"/>
          <w:sz w:val="20"/>
          <w:szCs w:val="20"/>
          <w:lang w:val="es-ES"/>
        </w:rPr>
        <w:t>, se recomendó la protección especial de periodistas y profesionales de la comunicación durante su cobertura de protestas e incluyó directrices relativas al uso de armas menos letales por las fuerzas de seguridad pública.</w:t>
      </w:r>
    </w:p>
    <w:p w14:paraId="0E23315F" w14:textId="77777777" w:rsidR="0097487F" w:rsidRPr="006D319F" w:rsidRDefault="00B21903" w:rsidP="0097487F">
      <w:pPr>
        <w:pStyle w:val="NoSpacing"/>
        <w:numPr>
          <w:ilvl w:val="0"/>
          <w:numId w:val="5"/>
        </w:numPr>
        <w:jc w:val="both"/>
        <w:rPr>
          <w:rFonts w:ascii="Cambria" w:hAnsi="Cambria"/>
          <w:color w:val="000000"/>
          <w:sz w:val="20"/>
          <w:szCs w:val="20"/>
          <w:lang w:val="es-ES"/>
        </w:rPr>
      </w:pPr>
      <w:r w:rsidRPr="006D319F">
        <w:rPr>
          <w:rFonts w:ascii="Cambria" w:hAnsi="Cambria"/>
          <w:color w:val="000000"/>
          <w:sz w:val="20"/>
          <w:szCs w:val="20"/>
          <w:lang w:val="es-ES"/>
        </w:rPr>
        <w:t xml:space="preserve"> La </w:t>
      </w:r>
      <w:proofErr w:type="gramStart"/>
      <w:r w:rsidRPr="006D319F">
        <w:rPr>
          <w:rFonts w:ascii="Cambria" w:hAnsi="Cambria"/>
          <w:color w:val="000000"/>
          <w:sz w:val="20"/>
          <w:szCs w:val="20"/>
          <w:lang w:val="es-ES"/>
        </w:rPr>
        <w:t>Secretaria</w:t>
      </w:r>
      <w:proofErr w:type="gramEnd"/>
      <w:r w:rsidRPr="006D319F">
        <w:rPr>
          <w:rFonts w:ascii="Cambria" w:hAnsi="Cambria"/>
          <w:color w:val="000000"/>
          <w:sz w:val="20"/>
          <w:szCs w:val="20"/>
          <w:lang w:val="es-ES"/>
        </w:rPr>
        <w:t xml:space="preserve"> también organizó un coloquio en la </w:t>
      </w:r>
      <w:proofErr w:type="spellStart"/>
      <w:r w:rsidRPr="006D319F">
        <w:rPr>
          <w:rFonts w:ascii="Cambria" w:hAnsi="Cambria"/>
          <w:i/>
          <w:iCs/>
          <w:color w:val="000000"/>
          <w:sz w:val="20"/>
          <w:szCs w:val="20"/>
          <w:lang w:val="es-ES"/>
        </w:rPr>
        <w:t>Pontifícia</w:t>
      </w:r>
      <w:proofErr w:type="spellEnd"/>
      <w:r w:rsidRPr="006D319F">
        <w:rPr>
          <w:rFonts w:ascii="Cambria" w:hAnsi="Cambria"/>
          <w:i/>
          <w:iCs/>
          <w:color w:val="000000"/>
          <w:sz w:val="20"/>
          <w:szCs w:val="20"/>
          <w:lang w:val="es-ES"/>
        </w:rPr>
        <w:t xml:space="preserve"> </w:t>
      </w:r>
      <w:proofErr w:type="spellStart"/>
      <w:r w:rsidRPr="006D319F">
        <w:rPr>
          <w:rFonts w:ascii="Cambria" w:hAnsi="Cambria"/>
          <w:i/>
          <w:iCs/>
          <w:color w:val="000000"/>
          <w:sz w:val="20"/>
          <w:szCs w:val="20"/>
          <w:lang w:val="es-ES"/>
        </w:rPr>
        <w:t>Universidade</w:t>
      </w:r>
      <w:proofErr w:type="spellEnd"/>
      <w:r w:rsidRPr="006D319F">
        <w:rPr>
          <w:rFonts w:ascii="Cambria" w:hAnsi="Cambria"/>
          <w:i/>
          <w:iCs/>
          <w:color w:val="000000"/>
          <w:sz w:val="20"/>
          <w:szCs w:val="20"/>
          <w:lang w:val="es-ES"/>
        </w:rPr>
        <w:t xml:space="preserve"> Católica de Rio de Janeiro </w:t>
      </w:r>
      <w:r w:rsidRPr="006D319F">
        <w:rPr>
          <w:rFonts w:ascii="Cambria" w:hAnsi="Cambria"/>
          <w:color w:val="000000"/>
          <w:sz w:val="20"/>
          <w:szCs w:val="20"/>
          <w:lang w:val="es-ES"/>
        </w:rPr>
        <w:t>(PUC-RJ), para debatir la seguridad de los profesionales de la comunicación y la importancia de erradicar la impunidad cuando sufren violencia.</w:t>
      </w:r>
    </w:p>
    <w:p w14:paraId="7729B68A" w14:textId="77777777" w:rsidR="0097487F" w:rsidRPr="006D319F" w:rsidRDefault="0097487F" w:rsidP="0097487F">
      <w:pPr>
        <w:pStyle w:val="ListParagraph"/>
        <w:numPr>
          <w:ilvl w:val="0"/>
          <w:numId w:val="5"/>
        </w:numPr>
        <w:spacing w:line="240" w:lineRule="auto"/>
        <w:jc w:val="both"/>
        <w:rPr>
          <w:rFonts w:ascii="Cambria" w:hAnsi="Cambria"/>
          <w:color w:val="000000"/>
          <w:sz w:val="20"/>
          <w:szCs w:val="20"/>
          <w:lang w:val="es-ES"/>
        </w:rPr>
      </w:pPr>
      <w:r w:rsidRPr="006D319F">
        <w:rPr>
          <w:rFonts w:ascii="Cambria" w:hAnsi="Cambria"/>
          <w:color w:val="000000"/>
          <w:sz w:val="20"/>
          <w:szCs w:val="20"/>
          <w:lang w:val="es-ES"/>
        </w:rPr>
        <w:t xml:space="preserve">El Estado destacó el incremento en el presupuesto del </w:t>
      </w:r>
      <w:r w:rsidRPr="006D319F">
        <w:rPr>
          <w:rFonts w:ascii="Cambria" w:hAnsi="Cambria" w:cs="Calibri Light"/>
          <w:color w:val="000000"/>
          <w:sz w:val="20"/>
          <w:szCs w:val="20"/>
          <w:lang w:val="es-US"/>
        </w:rPr>
        <w:t xml:space="preserve">Programa de Protección a los Defensores de Derechos Humanos (PPDDH) </w:t>
      </w:r>
      <w:r w:rsidRPr="006D319F">
        <w:rPr>
          <w:rFonts w:ascii="Cambria" w:hAnsi="Cambria"/>
          <w:color w:val="000000"/>
          <w:sz w:val="20"/>
          <w:szCs w:val="20"/>
          <w:lang w:val="es-ES"/>
        </w:rPr>
        <w:t xml:space="preserve">en 2018, el cual ha sido el mayor desde su creación, alcanzando casi R $ 11,8 millones, lo que representa un aumento del 160% en comparación con el año anterior. En el 2016, el presupuesto destinado a la ejecución de esa política de protección fue de R $ 3,7 millones, seguido </w:t>
      </w:r>
      <w:r w:rsidRPr="006D319F">
        <w:rPr>
          <w:rFonts w:ascii="Cambria" w:hAnsi="Cambria"/>
          <w:color w:val="000000"/>
          <w:sz w:val="20"/>
          <w:szCs w:val="20"/>
          <w:lang w:val="es-ES"/>
        </w:rPr>
        <w:lastRenderedPageBreak/>
        <w:t>de R $ 4,5 millones, en el año de 2017. El aumento de recursos ha posibilitado la ampliación de la red, por medio de la firma de convenios con los estados de Río de Janeiro, Espírito Santo, Mato Grosso del Sur, Rondônia y Bahía.</w:t>
      </w:r>
    </w:p>
    <w:p w14:paraId="164CD2B5" w14:textId="77777777" w:rsidR="0023116C" w:rsidRPr="006D319F" w:rsidRDefault="0097487F" w:rsidP="002D7E44">
      <w:pPr>
        <w:pStyle w:val="ListParagraph"/>
        <w:numPr>
          <w:ilvl w:val="0"/>
          <w:numId w:val="5"/>
        </w:numPr>
        <w:spacing w:line="240" w:lineRule="auto"/>
        <w:jc w:val="both"/>
        <w:rPr>
          <w:rFonts w:ascii="Cambria" w:hAnsi="Cambria"/>
          <w:color w:val="000000"/>
          <w:sz w:val="20"/>
          <w:szCs w:val="20"/>
          <w:lang w:val="es-ES"/>
        </w:rPr>
      </w:pPr>
      <w:r w:rsidRPr="006D319F">
        <w:rPr>
          <w:rFonts w:ascii="Cambria" w:hAnsi="Cambria" w:cs="Calibri Light"/>
          <w:color w:val="000000"/>
          <w:sz w:val="20"/>
          <w:szCs w:val="20"/>
          <w:lang w:val="es-ES"/>
        </w:rPr>
        <w:t>E</w:t>
      </w:r>
      <w:r w:rsidRPr="006D319F">
        <w:rPr>
          <w:rFonts w:ascii="Cambria" w:hAnsi="Cambria" w:cs="Calibri Light"/>
          <w:color w:val="000000"/>
          <w:sz w:val="20"/>
          <w:szCs w:val="20"/>
          <w:lang w:val="es-US"/>
        </w:rPr>
        <w:t xml:space="preserve">l Estado indicó que en el ámbito del Consejo Nacional de los Derechos Humanos (CNDH) fue creada, mediante Resolución </w:t>
      </w:r>
      <w:r w:rsidRPr="006D319F">
        <w:rPr>
          <w:rFonts w:ascii="Cambria" w:hAnsi="Cambria"/>
          <w:color w:val="000000"/>
          <w:sz w:val="20"/>
          <w:szCs w:val="20"/>
          <w:lang w:val="es-US"/>
        </w:rPr>
        <w:t xml:space="preserve">Nº 8 del 3 de diciembre de 2015, la Comisión Permanente del Derecho a la Comunicación y a la Libertad de </w:t>
      </w:r>
      <w:r w:rsidRPr="006D319F">
        <w:rPr>
          <w:rFonts w:ascii="Cambria" w:hAnsi="Cambria" w:cs="Calibri Light"/>
          <w:color w:val="000000"/>
          <w:sz w:val="20"/>
          <w:szCs w:val="20"/>
          <w:lang w:val="es-US"/>
        </w:rPr>
        <w:t>Expresión (</w:t>
      </w:r>
      <w:proofErr w:type="spellStart"/>
      <w:r w:rsidRPr="006D319F">
        <w:rPr>
          <w:rFonts w:ascii="Cambria" w:hAnsi="Cambria" w:cs="TimesNewRoman"/>
          <w:color w:val="000000"/>
          <w:sz w:val="20"/>
          <w:szCs w:val="20"/>
          <w:lang w:val="es-US"/>
        </w:rPr>
        <w:t>Comissão</w:t>
      </w:r>
      <w:proofErr w:type="spellEnd"/>
      <w:r w:rsidRPr="006D319F">
        <w:rPr>
          <w:rFonts w:ascii="Cambria" w:hAnsi="Cambria" w:cs="TimesNewRoman"/>
          <w:color w:val="000000"/>
          <w:sz w:val="20"/>
          <w:szCs w:val="20"/>
          <w:lang w:val="es-US"/>
        </w:rPr>
        <w:t xml:space="preserve"> Permanente de </w:t>
      </w:r>
      <w:proofErr w:type="spellStart"/>
      <w:r w:rsidRPr="006D319F">
        <w:rPr>
          <w:rFonts w:ascii="Cambria" w:hAnsi="Cambria" w:cs="TimesNewRoman"/>
          <w:color w:val="000000"/>
          <w:sz w:val="20"/>
          <w:szCs w:val="20"/>
          <w:lang w:val="es-US"/>
        </w:rPr>
        <w:t>Direito</w:t>
      </w:r>
      <w:proofErr w:type="spellEnd"/>
      <w:r w:rsidRPr="006D319F">
        <w:rPr>
          <w:rFonts w:ascii="Cambria" w:hAnsi="Cambria" w:cs="TimesNewRoman"/>
          <w:color w:val="000000"/>
          <w:sz w:val="20"/>
          <w:szCs w:val="20"/>
          <w:lang w:val="es-US"/>
        </w:rPr>
        <w:t xml:space="preserve"> à </w:t>
      </w:r>
      <w:proofErr w:type="spellStart"/>
      <w:r w:rsidRPr="006D319F">
        <w:rPr>
          <w:rFonts w:ascii="Cambria" w:hAnsi="Cambria" w:cs="TimesNewRoman"/>
          <w:color w:val="000000"/>
          <w:sz w:val="20"/>
          <w:szCs w:val="20"/>
          <w:lang w:val="es-US"/>
        </w:rPr>
        <w:t>Comunicação</w:t>
      </w:r>
      <w:proofErr w:type="spellEnd"/>
      <w:r w:rsidRPr="006D319F">
        <w:rPr>
          <w:rFonts w:ascii="Cambria" w:hAnsi="Cambria" w:cs="TimesNewRoman"/>
          <w:color w:val="000000"/>
          <w:sz w:val="20"/>
          <w:szCs w:val="20"/>
          <w:lang w:val="es-US"/>
        </w:rPr>
        <w:t xml:space="preserve"> e à </w:t>
      </w:r>
      <w:proofErr w:type="spellStart"/>
      <w:r w:rsidRPr="006D319F">
        <w:rPr>
          <w:rFonts w:ascii="Cambria" w:hAnsi="Cambria" w:cs="TimesNewRoman"/>
          <w:color w:val="000000"/>
          <w:sz w:val="20"/>
          <w:szCs w:val="20"/>
          <w:lang w:val="es-US"/>
        </w:rPr>
        <w:t>Liberdade</w:t>
      </w:r>
      <w:proofErr w:type="spellEnd"/>
      <w:r w:rsidRPr="006D319F">
        <w:rPr>
          <w:rFonts w:ascii="Cambria" w:hAnsi="Cambria" w:cs="TimesNewRoman"/>
          <w:color w:val="000000"/>
          <w:sz w:val="20"/>
          <w:szCs w:val="20"/>
          <w:lang w:val="es-US"/>
        </w:rPr>
        <w:t xml:space="preserve"> de </w:t>
      </w:r>
      <w:proofErr w:type="spellStart"/>
      <w:r w:rsidRPr="006D319F">
        <w:rPr>
          <w:rFonts w:ascii="Cambria" w:hAnsi="Cambria" w:cs="TimesNewRoman"/>
          <w:color w:val="000000"/>
          <w:sz w:val="20"/>
          <w:szCs w:val="20"/>
          <w:lang w:val="es-US"/>
        </w:rPr>
        <w:t>Expressão</w:t>
      </w:r>
      <w:proofErr w:type="spellEnd"/>
      <w:r w:rsidRPr="006D319F">
        <w:rPr>
          <w:rFonts w:ascii="Cambria" w:hAnsi="Cambria" w:cs="TimesNewRoman"/>
          <w:color w:val="000000"/>
          <w:sz w:val="20"/>
          <w:szCs w:val="20"/>
          <w:lang w:val="es-US"/>
        </w:rPr>
        <w:t>)</w:t>
      </w:r>
      <w:r w:rsidRPr="006D319F">
        <w:rPr>
          <w:rFonts w:ascii="Cambria" w:hAnsi="Cambria"/>
          <w:color w:val="000000"/>
          <w:sz w:val="20"/>
          <w:szCs w:val="20"/>
          <w:lang w:val="es-ES"/>
        </w:rPr>
        <w:t xml:space="preserve"> que tiene por objeto recibir y examinar denuncias de violaciones del derecho a la comunicación y derechos humanos en </w:t>
      </w:r>
      <w:proofErr w:type="gramStart"/>
      <w:r w:rsidRPr="006D319F">
        <w:rPr>
          <w:rFonts w:ascii="Cambria" w:hAnsi="Cambria"/>
          <w:color w:val="000000"/>
          <w:sz w:val="20"/>
          <w:szCs w:val="20"/>
          <w:lang w:val="es-ES"/>
        </w:rPr>
        <w:t>la ámbito</w:t>
      </w:r>
      <w:proofErr w:type="gramEnd"/>
      <w:r w:rsidRPr="006D319F">
        <w:rPr>
          <w:rFonts w:ascii="Cambria" w:hAnsi="Cambria"/>
          <w:color w:val="000000"/>
          <w:sz w:val="20"/>
          <w:szCs w:val="20"/>
          <w:lang w:val="es-ES"/>
        </w:rPr>
        <w:t xml:space="preserve"> de las comunicaciones. Además, está encargada, entre otras, de contribuir a la promoción del derecho a la comunicación y a la libertad de expresión; proponer proyectos, normas y recomendaciones destinadas a la disminución de la violencia y que promuevan los derechos humanos a través de la comunicación; proponer medidas para garantizar la protección a los comunicadores y el libre ejercicio de la libertad de expresión; supervisar la garantía de los derechos a la comunicación y a la libertad de expresión.</w:t>
      </w:r>
    </w:p>
    <w:p w14:paraId="1C3C25ED" w14:textId="77777777" w:rsidR="0097487F" w:rsidRPr="006D319F" w:rsidRDefault="002D7E44" w:rsidP="0097487F">
      <w:pPr>
        <w:pStyle w:val="NoSpacing"/>
        <w:jc w:val="both"/>
        <w:rPr>
          <w:rFonts w:ascii="Cambria" w:hAnsi="Cambria"/>
          <w:i/>
          <w:color w:val="000000"/>
          <w:sz w:val="20"/>
          <w:szCs w:val="20"/>
          <w:lang w:val="es-ES"/>
        </w:rPr>
      </w:pPr>
      <w:r w:rsidRPr="006D319F">
        <w:rPr>
          <w:rFonts w:ascii="Cambria" w:hAnsi="Cambria"/>
          <w:i/>
          <w:color w:val="000000"/>
          <w:sz w:val="20"/>
          <w:szCs w:val="20"/>
          <w:lang w:val="es-ES"/>
        </w:rPr>
        <w:t>Legislación/Normativa</w:t>
      </w:r>
    </w:p>
    <w:p w14:paraId="4A87A31A" w14:textId="77777777" w:rsidR="0097487F" w:rsidRPr="006D319F" w:rsidRDefault="0097487F" w:rsidP="0097487F">
      <w:pPr>
        <w:pStyle w:val="NoSpacing"/>
        <w:numPr>
          <w:ilvl w:val="0"/>
          <w:numId w:val="5"/>
        </w:numPr>
        <w:jc w:val="both"/>
        <w:rPr>
          <w:rFonts w:ascii="Cambria" w:hAnsi="Cambria"/>
          <w:color w:val="000000"/>
          <w:sz w:val="20"/>
          <w:szCs w:val="20"/>
          <w:lang w:val="es-ES"/>
        </w:rPr>
      </w:pPr>
      <w:r w:rsidRPr="006D319F">
        <w:rPr>
          <w:rFonts w:ascii="Cambria" w:hAnsi="Cambria" w:cs="Calibri Light"/>
          <w:color w:val="000000"/>
          <w:sz w:val="20"/>
          <w:szCs w:val="20"/>
          <w:lang w:val="es-ES"/>
        </w:rPr>
        <w:t>E</w:t>
      </w:r>
      <w:r w:rsidRPr="006D319F">
        <w:rPr>
          <w:rFonts w:ascii="Cambria" w:hAnsi="Cambria" w:cs="Calibri Light"/>
          <w:color w:val="000000"/>
          <w:sz w:val="20"/>
          <w:szCs w:val="20"/>
          <w:lang w:val="es-US"/>
        </w:rPr>
        <w:t xml:space="preserve">l Estado mantiene el Programa de Protección a los Defensores de Derechos Humanos (PPDDH) instituido mediante Decreto </w:t>
      </w:r>
      <w:r w:rsidRPr="006D319F">
        <w:rPr>
          <w:rFonts w:ascii="Cambria" w:hAnsi="Cambria"/>
          <w:color w:val="000000"/>
          <w:sz w:val="20"/>
          <w:szCs w:val="20"/>
          <w:lang w:val="es-US"/>
        </w:rPr>
        <w:t xml:space="preserve">Nº 8.724/2016 y regulado conforme lo dispuesto en el Decreto Nº 6.044/07. El objetivo del Programa es proteger y garantizar la integridad de los defensores, periodistas, </w:t>
      </w:r>
      <w:proofErr w:type="gramStart"/>
      <w:r w:rsidRPr="006D319F">
        <w:rPr>
          <w:rFonts w:ascii="Cambria" w:hAnsi="Cambria"/>
          <w:color w:val="000000"/>
          <w:sz w:val="20"/>
          <w:szCs w:val="20"/>
          <w:lang w:val="es-US"/>
        </w:rPr>
        <w:t>comunicadores y comunicadoras</w:t>
      </w:r>
      <w:proofErr w:type="gramEnd"/>
      <w:r w:rsidRPr="006D319F">
        <w:rPr>
          <w:rFonts w:ascii="Cambria" w:hAnsi="Cambria"/>
          <w:color w:val="000000"/>
          <w:sz w:val="20"/>
          <w:szCs w:val="20"/>
          <w:lang w:val="es-US"/>
        </w:rPr>
        <w:t xml:space="preserve">. </w:t>
      </w:r>
    </w:p>
    <w:p w14:paraId="50890A84" w14:textId="77777777" w:rsidR="00B21903" w:rsidRPr="006D319F" w:rsidRDefault="0097487F" w:rsidP="0097487F">
      <w:pPr>
        <w:pStyle w:val="NoSpacing"/>
        <w:numPr>
          <w:ilvl w:val="0"/>
          <w:numId w:val="5"/>
        </w:numPr>
        <w:jc w:val="both"/>
        <w:rPr>
          <w:rFonts w:ascii="Cambria" w:hAnsi="Cambria" w:cs="Calibri Light"/>
          <w:color w:val="000000"/>
          <w:sz w:val="20"/>
          <w:szCs w:val="20"/>
          <w:lang w:val="es-ES"/>
        </w:rPr>
      </w:pPr>
      <w:r w:rsidRPr="006D319F">
        <w:rPr>
          <w:rFonts w:ascii="Cambria" w:hAnsi="Cambria"/>
          <w:color w:val="000000"/>
          <w:sz w:val="20"/>
          <w:szCs w:val="20"/>
          <w:lang w:val="es-ES"/>
        </w:rPr>
        <w:t>El 7 de mayo de 2018, el Consejo de Comunicación Social del Congreso Nacional aprobó la creación del Observatorio de Violencia contra los Comunicadores. Dicho</w:t>
      </w:r>
      <w:r w:rsidRPr="006D319F">
        <w:rPr>
          <w:rFonts w:ascii="Cambria" w:eastAsia="Calibri" w:hAnsi="Cambria" w:cs="Times New Roman"/>
          <w:color w:val="000000"/>
          <w:sz w:val="20"/>
          <w:szCs w:val="20"/>
          <w:lang w:val="es-ES"/>
        </w:rPr>
        <w:t xml:space="preserve"> Observatorio </w:t>
      </w:r>
      <w:r w:rsidRPr="006D319F">
        <w:rPr>
          <w:rFonts w:ascii="Cambria" w:hAnsi="Cambria"/>
          <w:color w:val="000000"/>
          <w:sz w:val="20"/>
          <w:szCs w:val="20"/>
          <w:lang w:val="es-ES"/>
        </w:rPr>
        <w:t xml:space="preserve">retoma una recomendación realizada por el Grupo de Trabajo del </w:t>
      </w:r>
      <w:proofErr w:type="spellStart"/>
      <w:r w:rsidRPr="006D319F">
        <w:rPr>
          <w:rFonts w:ascii="Cambria" w:hAnsi="Cambria"/>
          <w:i/>
          <w:iCs/>
          <w:color w:val="000000"/>
          <w:sz w:val="20"/>
          <w:szCs w:val="20"/>
          <w:lang w:val="es-ES"/>
        </w:rPr>
        <w:t>Conselho</w:t>
      </w:r>
      <w:proofErr w:type="spellEnd"/>
      <w:r w:rsidRPr="006D319F">
        <w:rPr>
          <w:rFonts w:ascii="Cambria" w:hAnsi="Cambria"/>
          <w:i/>
          <w:iCs/>
          <w:color w:val="000000"/>
          <w:sz w:val="20"/>
          <w:szCs w:val="20"/>
          <w:lang w:val="es-ES"/>
        </w:rPr>
        <w:t xml:space="preserve"> de Defensa dos </w:t>
      </w:r>
      <w:proofErr w:type="spellStart"/>
      <w:r w:rsidRPr="006D319F">
        <w:rPr>
          <w:rFonts w:ascii="Cambria" w:hAnsi="Cambria"/>
          <w:i/>
          <w:iCs/>
          <w:color w:val="000000"/>
          <w:sz w:val="20"/>
          <w:szCs w:val="20"/>
          <w:lang w:val="es-ES"/>
        </w:rPr>
        <w:t>Direitos</w:t>
      </w:r>
      <w:proofErr w:type="spellEnd"/>
      <w:r w:rsidRPr="006D319F">
        <w:rPr>
          <w:rFonts w:ascii="Cambria" w:hAnsi="Cambria"/>
          <w:i/>
          <w:iCs/>
          <w:color w:val="000000"/>
          <w:sz w:val="20"/>
          <w:szCs w:val="20"/>
          <w:lang w:val="es-ES"/>
        </w:rPr>
        <w:t xml:space="preserve"> da Pessoa Humana</w:t>
      </w:r>
      <w:r w:rsidRPr="006D319F">
        <w:rPr>
          <w:rFonts w:ascii="Cambria" w:eastAsia="Calibri" w:hAnsi="Cambria" w:cs="Times New Roman"/>
          <w:color w:val="000000"/>
          <w:sz w:val="20"/>
          <w:szCs w:val="20"/>
          <w:lang w:val="es-US" w:eastAsia="en-US"/>
        </w:rPr>
        <w:t>.</w:t>
      </w:r>
    </w:p>
    <w:p w14:paraId="34653D46" w14:textId="77777777" w:rsidR="00733572" w:rsidRPr="006D319F" w:rsidRDefault="00733572" w:rsidP="00733572">
      <w:pPr>
        <w:pStyle w:val="NoSpacing"/>
        <w:jc w:val="both"/>
        <w:rPr>
          <w:rFonts w:ascii="Cambria" w:eastAsia="Calibri" w:hAnsi="Cambria" w:cs="Times New Roman"/>
          <w:i/>
          <w:iCs/>
          <w:color w:val="000000"/>
          <w:sz w:val="20"/>
          <w:szCs w:val="20"/>
          <w:lang w:val="es-US" w:eastAsia="en-US"/>
        </w:rPr>
      </w:pPr>
    </w:p>
    <w:p w14:paraId="2AEC7FAC" w14:textId="77777777" w:rsidR="00C40BFC" w:rsidRPr="006D319F" w:rsidRDefault="00733572" w:rsidP="00C40BFC">
      <w:pPr>
        <w:pStyle w:val="NoSpacing"/>
        <w:jc w:val="both"/>
        <w:rPr>
          <w:rFonts w:ascii="Cambria" w:hAnsi="Cambria" w:cs="Calibri Light"/>
          <w:i/>
          <w:iCs/>
          <w:color w:val="000000"/>
          <w:sz w:val="20"/>
          <w:szCs w:val="20"/>
          <w:lang w:val="es-ES"/>
        </w:rPr>
      </w:pPr>
      <w:r w:rsidRPr="006D319F">
        <w:rPr>
          <w:rFonts w:ascii="Cambria" w:eastAsia="Calibri" w:hAnsi="Cambria" w:cs="Times New Roman"/>
          <w:i/>
          <w:iCs/>
          <w:color w:val="000000"/>
          <w:sz w:val="20"/>
          <w:szCs w:val="20"/>
          <w:lang w:val="es-US" w:eastAsia="en-US"/>
        </w:rPr>
        <w:t>Políticas públicas</w:t>
      </w:r>
    </w:p>
    <w:p w14:paraId="4DEAA9C6" w14:textId="77777777" w:rsidR="00733572" w:rsidRPr="006D319F" w:rsidRDefault="00733572" w:rsidP="00C40BFC">
      <w:pPr>
        <w:pStyle w:val="NoSpacing"/>
        <w:numPr>
          <w:ilvl w:val="0"/>
          <w:numId w:val="19"/>
        </w:numPr>
        <w:jc w:val="both"/>
        <w:rPr>
          <w:rFonts w:ascii="Cambria" w:hAnsi="Cambria" w:cs="Calibri Light"/>
          <w:i/>
          <w:iCs/>
          <w:color w:val="000000"/>
          <w:sz w:val="20"/>
          <w:szCs w:val="20"/>
          <w:lang w:val="es-ES"/>
        </w:rPr>
      </w:pPr>
      <w:r w:rsidRPr="006D319F">
        <w:rPr>
          <w:rFonts w:ascii="Cambria" w:hAnsi="Cambria"/>
          <w:color w:val="000000"/>
          <w:sz w:val="20"/>
          <w:szCs w:val="20"/>
          <w:lang w:val="es-ES"/>
        </w:rPr>
        <w:t>En lo que se refiere</w:t>
      </w:r>
      <w:r w:rsidRPr="006D319F">
        <w:rPr>
          <w:rFonts w:ascii="Cambria" w:eastAsia="Calibri" w:hAnsi="Cambria" w:cs="Times New Roman"/>
          <w:color w:val="000000"/>
          <w:sz w:val="20"/>
          <w:szCs w:val="20"/>
          <w:lang w:val="es-ES"/>
        </w:rPr>
        <w:t xml:space="preserve"> a la protección de </w:t>
      </w:r>
      <w:proofErr w:type="gramStart"/>
      <w:r w:rsidRPr="006D319F">
        <w:rPr>
          <w:rFonts w:ascii="Cambria" w:eastAsia="Calibri" w:hAnsi="Cambria" w:cs="Times New Roman"/>
          <w:color w:val="000000"/>
          <w:sz w:val="20"/>
          <w:szCs w:val="20"/>
          <w:lang w:val="es-ES"/>
        </w:rPr>
        <w:t>comunicadores y</w:t>
      </w:r>
      <w:r w:rsidRPr="006D319F">
        <w:rPr>
          <w:rFonts w:ascii="Cambria" w:hAnsi="Cambria"/>
          <w:color w:val="000000"/>
          <w:sz w:val="20"/>
          <w:szCs w:val="20"/>
          <w:lang w:val="es-ES"/>
        </w:rPr>
        <w:t xml:space="preserve"> comunicadoras</w:t>
      </w:r>
      <w:proofErr w:type="gramEnd"/>
      <w:r w:rsidRPr="006D319F">
        <w:rPr>
          <w:rFonts w:ascii="Cambria" w:hAnsi="Cambria"/>
          <w:color w:val="000000"/>
          <w:sz w:val="20"/>
          <w:szCs w:val="20"/>
          <w:lang w:val="es-ES"/>
        </w:rPr>
        <w:t xml:space="preserve">, el Estado destacó que, el 4 de septiembre de 2018, se publicó en el Diario Oficial de la Unión, la </w:t>
      </w:r>
      <w:r w:rsidRPr="006D319F">
        <w:rPr>
          <w:rFonts w:ascii="Cambria" w:hAnsi="Cambria"/>
          <w:i/>
          <w:color w:val="000000"/>
          <w:sz w:val="20"/>
          <w:szCs w:val="20"/>
          <w:lang w:val="es-ES"/>
        </w:rPr>
        <w:t xml:space="preserve">Portuaria </w:t>
      </w:r>
      <w:r w:rsidRPr="006D319F">
        <w:rPr>
          <w:rFonts w:ascii="Cambria" w:hAnsi="Cambria"/>
          <w:i/>
          <w:color w:val="000000"/>
          <w:sz w:val="20"/>
          <w:szCs w:val="20"/>
          <w:lang w:val="es-US"/>
        </w:rPr>
        <w:t>Nº</w:t>
      </w:r>
      <w:r w:rsidRPr="006D319F">
        <w:rPr>
          <w:rFonts w:ascii="Cambria" w:hAnsi="Cambria"/>
          <w:i/>
          <w:color w:val="000000"/>
          <w:sz w:val="20"/>
          <w:szCs w:val="20"/>
          <w:lang w:val="es-ES"/>
        </w:rPr>
        <w:t xml:space="preserve"> 300</w:t>
      </w:r>
      <w:r w:rsidRPr="006D319F">
        <w:rPr>
          <w:rFonts w:ascii="Cambria" w:hAnsi="Cambria"/>
          <w:color w:val="000000"/>
          <w:sz w:val="20"/>
          <w:szCs w:val="20"/>
          <w:lang w:val="es-ES"/>
        </w:rPr>
        <w:t xml:space="preserve"> del Ministerio de Derechos Humanos, que dispone la reglamentación del Programa de Protección a los Defensores de Derechos Humanos, Comunicadores Sociales y Ambientalistas. Su objetivo es perfeccionar el Programa, dando mayor visibilidad a la situación de comunicadores y ambientalistas que se encuentran amenazados como consecuencia de su trabajo en la defensa de derechos.</w:t>
      </w:r>
      <w:r w:rsidRPr="006D319F">
        <w:rPr>
          <w:rFonts w:ascii="Cambria" w:eastAsia="Cambria" w:hAnsi="Cambria" w:cs="Cambria"/>
          <w:color w:val="000000"/>
          <w:sz w:val="20"/>
          <w:szCs w:val="20"/>
          <w:lang w:val="es-CO"/>
        </w:rPr>
        <w:t xml:space="preserve"> Para el 2021, el programa contó con 626 casos activos en el Brasil.</w:t>
      </w:r>
    </w:p>
    <w:p w14:paraId="3E7FE4ED" w14:textId="77777777" w:rsidR="00733572" w:rsidRPr="006D319F" w:rsidRDefault="00733572" w:rsidP="00733572">
      <w:pPr>
        <w:pStyle w:val="NoSpacing"/>
        <w:jc w:val="both"/>
        <w:rPr>
          <w:rFonts w:ascii="Cambria" w:hAnsi="Cambria" w:cs="Calibri Light"/>
          <w:color w:val="000000"/>
          <w:sz w:val="20"/>
          <w:szCs w:val="20"/>
          <w:lang w:val="es-ES"/>
        </w:rPr>
      </w:pPr>
    </w:p>
    <w:p w14:paraId="4B7E2353" w14:textId="77777777" w:rsidR="007F1777" w:rsidRPr="006D319F" w:rsidRDefault="007F1777" w:rsidP="00B21903">
      <w:pPr>
        <w:rPr>
          <w:rFonts w:ascii="Cambria" w:hAnsi="Cambria"/>
          <w:color w:val="000000"/>
          <w:sz w:val="20"/>
          <w:szCs w:val="20"/>
          <w:lang w:val="es-US"/>
        </w:rPr>
      </w:pPr>
      <w:r w:rsidRPr="006D319F">
        <w:rPr>
          <w:rFonts w:ascii="Cambria" w:hAnsi="Cambria"/>
          <w:color w:val="000000"/>
          <w:sz w:val="20"/>
          <w:szCs w:val="20"/>
          <w:lang w:val="es-US"/>
        </w:rPr>
        <w:t xml:space="preserve"> </w:t>
      </w:r>
    </w:p>
    <w:sectPr w:rsidR="007F1777" w:rsidRPr="006D319F" w:rsidSect="008C1636">
      <w:headerReference w:type="default" r:id="rId9"/>
      <w:footerReference w:type="default" r:id="rId10"/>
      <w:headerReference w:type="first" r:id="rId11"/>
      <w:footerReference w:type="first" r:id="rId12"/>
      <w:pgSz w:w="12240" w:h="15840"/>
      <w:pgMar w:top="1440" w:right="1440" w:bottom="1440" w:left="1440" w:header="706" w:footer="70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5908C" w14:textId="77777777" w:rsidR="008F2DE3" w:rsidRDefault="008F2DE3" w:rsidP="00A343FF">
      <w:pPr>
        <w:spacing w:after="0" w:line="240" w:lineRule="auto"/>
      </w:pPr>
      <w:r>
        <w:separator/>
      </w:r>
    </w:p>
  </w:endnote>
  <w:endnote w:type="continuationSeparator" w:id="0">
    <w:p w14:paraId="0BC9CF94" w14:textId="77777777" w:rsidR="008F2DE3" w:rsidRDefault="008F2DE3"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w:panose1 w:val="020B06030202020302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A9C8" w14:textId="77777777" w:rsidR="00A72869" w:rsidRPr="008C1636" w:rsidRDefault="008C1636" w:rsidP="008C1636">
    <w:pPr>
      <w:pStyle w:val="Footer"/>
      <w:tabs>
        <w:tab w:val="left" w:pos="5739"/>
      </w:tabs>
      <w:rPr>
        <w:rFonts w:ascii="Cambria" w:hAnsi="Cambria"/>
        <w:color w:val="7F7F7F"/>
        <w:sz w:val="20"/>
        <w:szCs w:val="20"/>
      </w:rPr>
    </w:pPr>
    <w:r w:rsidRPr="008C1636">
      <w:rPr>
        <w:rFonts w:ascii="Cambria" w:hAnsi="Cambria"/>
        <w:color w:val="7F7F7F"/>
        <w:sz w:val="20"/>
        <w:szCs w:val="20"/>
      </w:rPr>
      <w:tab/>
    </w:r>
    <w:r w:rsidR="00A72869" w:rsidRPr="008C1636">
      <w:rPr>
        <w:rFonts w:ascii="Cambria" w:hAnsi="Cambria"/>
        <w:color w:val="7F7F7F"/>
        <w:sz w:val="20"/>
        <w:szCs w:val="20"/>
      </w:rPr>
      <w:fldChar w:fldCharType="begin"/>
    </w:r>
    <w:r w:rsidR="00A72869" w:rsidRPr="008C1636">
      <w:rPr>
        <w:rFonts w:ascii="Cambria" w:hAnsi="Cambria"/>
        <w:color w:val="7F7F7F"/>
        <w:sz w:val="20"/>
        <w:szCs w:val="20"/>
      </w:rPr>
      <w:instrText xml:space="preserve"> PAGE   \* MERGEFORMAT </w:instrText>
    </w:r>
    <w:r w:rsidR="00A72869" w:rsidRPr="008C1636">
      <w:rPr>
        <w:rFonts w:ascii="Cambria" w:hAnsi="Cambria"/>
        <w:color w:val="7F7F7F"/>
        <w:sz w:val="20"/>
        <w:szCs w:val="20"/>
      </w:rPr>
      <w:fldChar w:fldCharType="separate"/>
    </w:r>
    <w:r w:rsidR="00BB7D22" w:rsidRPr="008C1636">
      <w:rPr>
        <w:rFonts w:ascii="Cambria" w:hAnsi="Cambria"/>
        <w:noProof/>
        <w:color w:val="7F7F7F"/>
        <w:sz w:val="20"/>
        <w:szCs w:val="20"/>
      </w:rPr>
      <w:t>2</w:t>
    </w:r>
    <w:r w:rsidR="00A72869" w:rsidRPr="008C1636">
      <w:rPr>
        <w:rFonts w:ascii="Cambria" w:hAnsi="Cambria"/>
        <w:noProof/>
        <w:color w:val="7F7F7F"/>
        <w:sz w:val="20"/>
        <w:szCs w:val="20"/>
      </w:rPr>
      <w:fldChar w:fldCharType="end"/>
    </w:r>
    <w:r w:rsidRPr="008C1636">
      <w:rPr>
        <w:rFonts w:ascii="Cambria" w:hAnsi="Cambria"/>
        <w:noProof/>
        <w:color w:val="7F7F7F"/>
        <w:sz w:val="20"/>
        <w:szCs w:val="20"/>
      </w:rPr>
      <w:tab/>
    </w:r>
  </w:p>
  <w:p w14:paraId="184C48BB" w14:textId="77777777" w:rsidR="00A72869" w:rsidRDefault="00A72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8C06F" w14:textId="77777777" w:rsidR="00D13990" w:rsidRPr="003A4802" w:rsidRDefault="00D13990" w:rsidP="003A4802">
    <w:pPr>
      <w:pStyle w:val="Footer"/>
      <w:spacing w:line="360" w:lineRule="auto"/>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D05CD" w14:textId="77777777" w:rsidR="008F2DE3" w:rsidRDefault="008F2DE3" w:rsidP="00A343FF">
      <w:pPr>
        <w:spacing w:after="0" w:line="240" w:lineRule="auto"/>
      </w:pPr>
      <w:r>
        <w:separator/>
      </w:r>
    </w:p>
  </w:footnote>
  <w:footnote w:type="continuationSeparator" w:id="0">
    <w:p w14:paraId="3E95ABC2" w14:textId="77777777" w:rsidR="008F2DE3" w:rsidRDefault="008F2DE3" w:rsidP="00A343FF">
      <w:pPr>
        <w:spacing w:after="0" w:line="240" w:lineRule="auto"/>
      </w:pPr>
      <w:r>
        <w:continuationSeparator/>
      </w:r>
    </w:p>
  </w:footnote>
  <w:footnote w:id="1">
    <w:p w14:paraId="16E5CE8D" w14:textId="77777777" w:rsidR="00B21903" w:rsidRPr="006D319F" w:rsidRDefault="00B21903" w:rsidP="00151339">
      <w:pPr>
        <w:pStyle w:val="FootnoteText"/>
        <w:spacing w:after="120"/>
        <w:ind w:firstLine="720"/>
        <w:jc w:val="both"/>
        <w:rPr>
          <w:rFonts w:ascii="Cambria" w:hAnsi="Cambria"/>
          <w:color w:val="000000"/>
          <w:sz w:val="16"/>
          <w:szCs w:val="16"/>
          <w:lang w:val="es-US"/>
        </w:rPr>
      </w:pPr>
      <w:r w:rsidRPr="006D319F">
        <w:rPr>
          <w:rStyle w:val="FootnoteReference"/>
          <w:rFonts w:ascii="Cambria" w:hAnsi="Cambria"/>
          <w:color w:val="000000"/>
          <w:sz w:val="16"/>
          <w:szCs w:val="16"/>
        </w:rPr>
        <w:footnoteRef/>
      </w:r>
      <w:r w:rsidRPr="006D319F">
        <w:rPr>
          <w:rFonts w:ascii="Cambria" w:hAnsi="Cambria"/>
          <w:color w:val="000000"/>
          <w:sz w:val="16"/>
          <w:szCs w:val="16"/>
          <w:lang w:val="es-US"/>
        </w:rPr>
        <w:t xml:space="preserve"> CIDH, </w:t>
      </w:r>
      <w:hyperlink r:id="rId1" w:history="1">
        <w:r w:rsidRPr="006D319F">
          <w:rPr>
            <w:rStyle w:val="Hyperlink"/>
            <w:rFonts w:ascii="Cambria" w:hAnsi="Cambria"/>
            <w:color w:val="000000"/>
            <w:sz w:val="16"/>
            <w:szCs w:val="16"/>
            <w:lang w:val="es-US"/>
          </w:rPr>
          <w:t>Informe Anual, Capítulo III. D. Estado del cumplimiento de las recomendaciones d</w:t>
        </w:r>
        <w:r w:rsidRPr="006D319F">
          <w:rPr>
            <w:rStyle w:val="Hyperlink"/>
            <w:rFonts w:ascii="Cambria" w:hAnsi="Cambria"/>
            <w:color w:val="000000"/>
            <w:sz w:val="16"/>
            <w:szCs w:val="16"/>
            <w:lang w:val="es-US"/>
          </w:rPr>
          <w:t>e</w:t>
        </w:r>
        <w:r w:rsidRPr="006D319F">
          <w:rPr>
            <w:rStyle w:val="Hyperlink"/>
            <w:rFonts w:ascii="Cambria" w:hAnsi="Cambria"/>
            <w:color w:val="000000"/>
            <w:sz w:val="16"/>
            <w:szCs w:val="16"/>
            <w:lang w:val="es-US"/>
          </w:rPr>
          <w:t xml:space="preserve"> la CIDH</w:t>
        </w:r>
      </w:hyperlink>
      <w:r w:rsidRPr="006D319F">
        <w:rPr>
          <w:rFonts w:ascii="Cambria" w:hAnsi="Cambria"/>
          <w:color w:val="000000"/>
          <w:sz w:val="16"/>
          <w:szCs w:val="16"/>
          <w:lang w:val="es-US"/>
        </w:rPr>
        <w:t>, 2012, párr. 328.</w:t>
      </w:r>
    </w:p>
  </w:footnote>
  <w:footnote w:id="2">
    <w:p w14:paraId="0931A861" w14:textId="77777777" w:rsidR="00B21903" w:rsidRPr="006D319F" w:rsidRDefault="00B21903" w:rsidP="00151339">
      <w:pPr>
        <w:pStyle w:val="FootnoteText"/>
        <w:spacing w:after="120"/>
        <w:ind w:firstLine="720"/>
        <w:jc w:val="both"/>
        <w:rPr>
          <w:rFonts w:ascii="Cambria" w:hAnsi="Cambria"/>
          <w:color w:val="000000"/>
          <w:sz w:val="16"/>
          <w:szCs w:val="16"/>
          <w:lang w:val="pt-BR"/>
        </w:rPr>
      </w:pPr>
      <w:r w:rsidRPr="006D319F">
        <w:rPr>
          <w:rStyle w:val="FootnoteReference"/>
          <w:rFonts w:ascii="Cambria" w:hAnsi="Cambria"/>
          <w:color w:val="000000"/>
          <w:sz w:val="16"/>
          <w:szCs w:val="16"/>
        </w:rPr>
        <w:footnoteRef/>
      </w:r>
      <w:r w:rsidRPr="006D319F">
        <w:rPr>
          <w:rFonts w:ascii="Cambria" w:hAnsi="Cambria"/>
          <w:color w:val="000000"/>
          <w:sz w:val="16"/>
          <w:szCs w:val="16"/>
          <w:lang w:val="es-US"/>
        </w:rPr>
        <w:t xml:space="preserve"> CIDH, </w:t>
      </w:r>
      <w:hyperlink r:id="rId2" w:history="1">
        <w:r w:rsidRPr="006D319F">
          <w:rPr>
            <w:rStyle w:val="Hyperlink"/>
            <w:rFonts w:ascii="Cambria" w:hAnsi="Cambria"/>
            <w:color w:val="000000"/>
            <w:sz w:val="16"/>
            <w:szCs w:val="16"/>
            <w:lang w:val="es-US"/>
          </w:rPr>
          <w:t>Informe Anual, Capítulo III. D. Estado del cumplimiento de las recomendaciones de la CIDH</w:t>
        </w:r>
      </w:hyperlink>
      <w:r w:rsidRPr="006D319F">
        <w:rPr>
          <w:rFonts w:ascii="Cambria" w:hAnsi="Cambria"/>
          <w:color w:val="000000"/>
          <w:sz w:val="16"/>
          <w:szCs w:val="16"/>
          <w:lang w:val="es-US"/>
        </w:rPr>
        <w:t xml:space="preserve">, 2012, párr. </w:t>
      </w:r>
      <w:r w:rsidRPr="006D319F">
        <w:rPr>
          <w:rFonts w:ascii="Cambria" w:hAnsi="Cambria"/>
          <w:color w:val="000000"/>
          <w:sz w:val="16"/>
          <w:szCs w:val="16"/>
          <w:lang w:val="pt-BR"/>
        </w:rPr>
        <w:t>328.</w:t>
      </w:r>
    </w:p>
  </w:footnote>
  <w:footnote w:id="3">
    <w:p w14:paraId="51154AB5" w14:textId="77777777" w:rsidR="00B21903" w:rsidRPr="006D319F" w:rsidRDefault="00B21903" w:rsidP="00151339">
      <w:pPr>
        <w:pStyle w:val="FootnoteText"/>
        <w:spacing w:after="120"/>
        <w:ind w:firstLine="720"/>
        <w:jc w:val="both"/>
        <w:rPr>
          <w:rFonts w:ascii="Cambria" w:hAnsi="Cambria"/>
          <w:color w:val="000000"/>
          <w:sz w:val="16"/>
          <w:szCs w:val="16"/>
          <w:lang w:val="pt-BR"/>
        </w:rPr>
      </w:pPr>
      <w:r w:rsidRPr="006D319F">
        <w:rPr>
          <w:rStyle w:val="FootnoteReference"/>
          <w:rFonts w:ascii="Cambria" w:hAnsi="Cambria"/>
          <w:color w:val="000000"/>
          <w:sz w:val="16"/>
          <w:szCs w:val="16"/>
        </w:rPr>
        <w:footnoteRef/>
      </w:r>
      <w:r w:rsidRPr="006D319F">
        <w:rPr>
          <w:rFonts w:ascii="Cambria" w:hAnsi="Cambria"/>
          <w:color w:val="000000"/>
          <w:sz w:val="16"/>
          <w:szCs w:val="16"/>
          <w:lang w:val="pt-BR"/>
        </w:rPr>
        <w:t xml:space="preserve"> </w:t>
      </w:r>
      <w:r w:rsidRPr="006D319F">
        <w:rPr>
          <w:rFonts w:ascii="Cambria" w:hAnsi="Cambria"/>
          <w:color w:val="000000"/>
          <w:sz w:val="16"/>
          <w:szCs w:val="16"/>
          <w:lang w:val="pt-BR"/>
        </w:rPr>
        <w:t>CIDH, Caso 12.308,</w:t>
      </w:r>
      <w:hyperlink r:id="rId3" w:history="1">
        <w:r w:rsidRPr="006D319F">
          <w:rPr>
            <w:rStyle w:val="Hyperlink"/>
            <w:rFonts w:ascii="Cambria" w:hAnsi="Cambria"/>
            <w:color w:val="000000"/>
            <w:sz w:val="16"/>
            <w:szCs w:val="16"/>
            <w:lang w:val="pt-BR"/>
          </w:rPr>
          <w:t xml:space="preserve"> Informe de </w:t>
        </w:r>
        <w:r w:rsidRPr="006D319F">
          <w:rPr>
            <w:rStyle w:val="Hyperlink"/>
            <w:rFonts w:ascii="Cambria" w:hAnsi="Cambria"/>
            <w:color w:val="000000"/>
            <w:sz w:val="16"/>
            <w:szCs w:val="16"/>
            <w:lang w:val="pt-BR"/>
          </w:rPr>
          <w:t>Fondo No. 37/10 Manoel de Oliveira (Brasil)</w:t>
        </w:r>
      </w:hyperlink>
      <w:r w:rsidRPr="006D319F">
        <w:rPr>
          <w:rFonts w:ascii="Cambria" w:hAnsi="Cambria"/>
          <w:color w:val="000000"/>
          <w:sz w:val="16"/>
          <w:szCs w:val="16"/>
          <w:lang w:val="pt-BR"/>
        </w:rPr>
        <w:t>, párr. 182</w:t>
      </w:r>
    </w:p>
  </w:footnote>
  <w:footnote w:id="4">
    <w:p w14:paraId="38DFE7CF" w14:textId="77777777" w:rsidR="005C6E28" w:rsidRPr="006D319F" w:rsidRDefault="005C6E28" w:rsidP="005C6E28">
      <w:pPr>
        <w:pStyle w:val="FootnoteText"/>
        <w:ind w:firstLine="720"/>
        <w:jc w:val="both"/>
        <w:rPr>
          <w:rFonts w:ascii="Cambria" w:hAnsi="Cambria"/>
          <w:color w:val="000000"/>
          <w:sz w:val="16"/>
          <w:szCs w:val="16"/>
          <w:lang w:val="pt-BR"/>
        </w:rPr>
      </w:pPr>
      <w:r w:rsidRPr="006D319F">
        <w:rPr>
          <w:rStyle w:val="FootnoteReference"/>
          <w:rFonts w:ascii="Cambria" w:hAnsi="Cambria"/>
          <w:color w:val="000000"/>
          <w:sz w:val="16"/>
          <w:szCs w:val="16"/>
        </w:rPr>
        <w:footnoteRef/>
      </w:r>
      <w:r w:rsidRPr="006D319F">
        <w:rPr>
          <w:rFonts w:ascii="Cambria" w:hAnsi="Cambria"/>
          <w:color w:val="000000"/>
          <w:sz w:val="16"/>
          <w:szCs w:val="16"/>
          <w:lang w:val="pt-BR"/>
        </w:rPr>
        <w:t xml:space="preserve"> </w:t>
      </w:r>
      <w:r w:rsidRPr="006D319F">
        <w:rPr>
          <w:rStyle w:val="FootnoteReference"/>
          <w:rFonts w:ascii="Cambria" w:hAnsi="Cambria"/>
          <w:color w:val="000000"/>
          <w:sz w:val="16"/>
          <w:szCs w:val="16"/>
          <w:vertAlign w:val="baseline"/>
          <w:lang w:val="pt-BR"/>
        </w:rPr>
        <w:t xml:space="preserve">CIDH, </w:t>
      </w:r>
      <w:r w:rsidRPr="006D319F">
        <w:rPr>
          <w:rStyle w:val="FootnoteReference"/>
          <w:rFonts w:ascii="Cambria" w:hAnsi="Cambria"/>
          <w:i/>
          <w:color w:val="000000"/>
          <w:sz w:val="16"/>
          <w:szCs w:val="16"/>
          <w:vertAlign w:val="baseline"/>
          <w:lang w:val="pt-BR"/>
        </w:rPr>
        <w:t>Informe Anual 1997</w:t>
      </w:r>
      <w:r w:rsidRPr="006D319F">
        <w:rPr>
          <w:rStyle w:val="FootnoteReference"/>
          <w:rFonts w:ascii="Cambria" w:hAnsi="Cambria"/>
          <w:color w:val="000000"/>
          <w:sz w:val="16"/>
          <w:szCs w:val="16"/>
          <w:vertAlign w:val="baseline"/>
          <w:lang w:val="pt-BR"/>
        </w:rPr>
        <w:t>, Informe N</w:t>
      </w:r>
      <w:r w:rsidRPr="006D319F">
        <w:rPr>
          <w:rFonts w:ascii="Cambria" w:hAnsi="Cambria"/>
          <w:color w:val="000000"/>
          <w:sz w:val="16"/>
          <w:szCs w:val="16"/>
          <w:lang w:val="pt-BR"/>
        </w:rPr>
        <w:t>.</w:t>
      </w:r>
      <w:r w:rsidRPr="006D319F">
        <w:rPr>
          <w:rStyle w:val="FootnoteReference"/>
          <w:rFonts w:ascii="Cambria" w:hAnsi="Cambria"/>
          <w:color w:val="000000"/>
          <w:sz w:val="16"/>
          <w:szCs w:val="16"/>
          <w:vertAlign w:val="baseline"/>
          <w:lang w:val="pt-BR"/>
        </w:rPr>
        <w:t xml:space="preserve"> 55/97, Caso 11.137</w:t>
      </w:r>
      <w:r w:rsidRPr="006D319F">
        <w:rPr>
          <w:rFonts w:ascii="Cambria" w:hAnsi="Cambria"/>
          <w:color w:val="000000"/>
          <w:sz w:val="16"/>
          <w:szCs w:val="16"/>
          <w:lang w:val="de-DE"/>
        </w:rPr>
        <w:t>,</w:t>
      </w:r>
      <w:r w:rsidRPr="006D319F">
        <w:rPr>
          <w:rStyle w:val="FootnoteReference"/>
          <w:rFonts w:ascii="Cambria" w:hAnsi="Cambria"/>
          <w:color w:val="000000"/>
          <w:sz w:val="16"/>
          <w:szCs w:val="16"/>
          <w:vertAlign w:val="baseline"/>
          <w:lang w:val="de-DE"/>
        </w:rPr>
        <w:t xml:space="preserve"> Juan Carlos Abella y otros </w:t>
      </w:r>
      <w:r w:rsidRPr="006D319F">
        <w:rPr>
          <w:rFonts w:ascii="Cambria" w:hAnsi="Cambria"/>
          <w:color w:val="000000"/>
          <w:sz w:val="16"/>
          <w:szCs w:val="16"/>
          <w:lang w:val="de-DE"/>
        </w:rPr>
        <w:t>(</w:t>
      </w:r>
      <w:r w:rsidRPr="006D319F">
        <w:rPr>
          <w:rStyle w:val="FootnoteReference"/>
          <w:rFonts w:ascii="Cambria" w:hAnsi="Cambria"/>
          <w:color w:val="000000"/>
          <w:sz w:val="16"/>
          <w:szCs w:val="16"/>
          <w:vertAlign w:val="baseline"/>
          <w:lang w:val="de-DE"/>
        </w:rPr>
        <w:t>Argentina</w:t>
      </w:r>
      <w:r w:rsidRPr="006D319F">
        <w:rPr>
          <w:rFonts w:ascii="Cambria" w:hAnsi="Cambria"/>
          <w:color w:val="000000"/>
          <w:sz w:val="16"/>
          <w:szCs w:val="16"/>
          <w:lang w:val="de-DE"/>
        </w:rPr>
        <w:t>)</w:t>
      </w:r>
      <w:r w:rsidRPr="006D319F">
        <w:rPr>
          <w:rStyle w:val="FootnoteReference"/>
          <w:rFonts w:ascii="Cambria" w:hAnsi="Cambria"/>
          <w:color w:val="000000"/>
          <w:sz w:val="16"/>
          <w:szCs w:val="16"/>
          <w:vertAlign w:val="baseline"/>
          <w:lang w:val="de-DE"/>
        </w:rPr>
        <w:t xml:space="preserve">, párr. 412. Sobre </w:t>
      </w:r>
      <w:r w:rsidRPr="006D319F">
        <w:rPr>
          <w:rFonts w:ascii="Cambria" w:hAnsi="Cambria"/>
          <w:color w:val="000000"/>
          <w:sz w:val="16"/>
          <w:szCs w:val="16"/>
          <w:lang w:val="de-DE"/>
        </w:rPr>
        <w:t>el</w:t>
      </w:r>
      <w:r w:rsidRPr="006D319F">
        <w:rPr>
          <w:rStyle w:val="FootnoteReference"/>
          <w:rFonts w:ascii="Cambria" w:hAnsi="Cambria"/>
          <w:color w:val="000000"/>
          <w:sz w:val="16"/>
          <w:szCs w:val="16"/>
          <w:vertAlign w:val="baseline"/>
          <w:lang w:val="de-DE"/>
        </w:rPr>
        <w:t xml:space="preserve"> m</w:t>
      </w:r>
      <w:r w:rsidRPr="006D319F">
        <w:rPr>
          <w:rFonts w:ascii="Cambria" w:hAnsi="Cambria"/>
          <w:color w:val="000000"/>
          <w:sz w:val="16"/>
          <w:szCs w:val="16"/>
          <w:lang w:val="de-DE"/>
        </w:rPr>
        <w:t>i</w:t>
      </w:r>
      <w:r w:rsidRPr="006D319F">
        <w:rPr>
          <w:rStyle w:val="FootnoteReference"/>
          <w:rFonts w:ascii="Cambria" w:hAnsi="Cambria"/>
          <w:color w:val="000000"/>
          <w:sz w:val="16"/>
          <w:szCs w:val="16"/>
          <w:vertAlign w:val="baseline"/>
          <w:lang w:val="de-DE"/>
        </w:rPr>
        <w:t>smo tema, v</w:t>
      </w:r>
      <w:r w:rsidRPr="006D319F">
        <w:rPr>
          <w:rFonts w:ascii="Cambria" w:hAnsi="Cambria"/>
          <w:color w:val="000000"/>
          <w:sz w:val="16"/>
          <w:szCs w:val="16"/>
          <w:lang w:val="de-DE"/>
        </w:rPr>
        <w:t>er</w:t>
      </w:r>
      <w:r w:rsidRPr="006D319F">
        <w:rPr>
          <w:rStyle w:val="FootnoteReference"/>
          <w:rFonts w:ascii="Cambria" w:hAnsi="Cambria"/>
          <w:color w:val="000000"/>
          <w:sz w:val="16"/>
          <w:szCs w:val="16"/>
          <w:vertAlign w:val="baseline"/>
          <w:lang w:val="de-DE"/>
        </w:rPr>
        <w:t xml:space="preserve"> CIDH, </w:t>
      </w:r>
      <w:r w:rsidRPr="006D319F">
        <w:rPr>
          <w:rStyle w:val="FootnoteReference"/>
          <w:rFonts w:ascii="Cambria" w:hAnsi="Cambria"/>
          <w:i/>
          <w:color w:val="000000"/>
          <w:sz w:val="16"/>
          <w:szCs w:val="16"/>
          <w:vertAlign w:val="baseline"/>
          <w:lang w:val="de-DE"/>
        </w:rPr>
        <w:t>Informe Anual 1997</w:t>
      </w:r>
      <w:r w:rsidRPr="006D319F">
        <w:rPr>
          <w:rStyle w:val="FootnoteReference"/>
          <w:rFonts w:ascii="Cambria" w:hAnsi="Cambria"/>
          <w:color w:val="000000"/>
          <w:sz w:val="16"/>
          <w:szCs w:val="16"/>
          <w:vertAlign w:val="baseline"/>
          <w:lang w:val="de-DE"/>
        </w:rPr>
        <w:t>, Informe N</w:t>
      </w:r>
      <w:r w:rsidRPr="006D319F">
        <w:rPr>
          <w:rFonts w:ascii="Cambria" w:hAnsi="Cambria"/>
          <w:color w:val="000000"/>
          <w:sz w:val="16"/>
          <w:szCs w:val="16"/>
          <w:lang w:val="de-DE"/>
        </w:rPr>
        <w:t>o.</w:t>
      </w:r>
      <w:r w:rsidRPr="006D319F">
        <w:rPr>
          <w:rStyle w:val="FootnoteReference"/>
          <w:rFonts w:ascii="Cambria" w:hAnsi="Cambria"/>
          <w:color w:val="000000"/>
          <w:sz w:val="16"/>
          <w:szCs w:val="16"/>
          <w:vertAlign w:val="baseline"/>
          <w:lang w:val="de-DE"/>
        </w:rPr>
        <w:t xml:space="preserve"> 52/97, Caso 11.218</w:t>
      </w:r>
      <w:r w:rsidRPr="006D319F">
        <w:rPr>
          <w:rFonts w:ascii="Cambria" w:hAnsi="Cambria"/>
          <w:color w:val="000000"/>
          <w:sz w:val="16"/>
          <w:szCs w:val="16"/>
          <w:lang w:val="pt-BR"/>
        </w:rPr>
        <w:t>,</w:t>
      </w:r>
      <w:r w:rsidRPr="006D319F">
        <w:rPr>
          <w:rStyle w:val="FootnoteReference"/>
          <w:rFonts w:ascii="Cambria" w:hAnsi="Cambria"/>
          <w:color w:val="000000"/>
          <w:sz w:val="16"/>
          <w:szCs w:val="16"/>
          <w:vertAlign w:val="baseline"/>
          <w:lang w:val="pt-BR"/>
        </w:rPr>
        <w:t xml:space="preserve"> Arges Sequeira Mangas </w:t>
      </w:r>
      <w:r w:rsidRPr="006D319F">
        <w:rPr>
          <w:rFonts w:ascii="Cambria" w:hAnsi="Cambria"/>
          <w:color w:val="000000"/>
          <w:sz w:val="16"/>
          <w:szCs w:val="16"/>
          <w:lang w:val="pt-BR"/>
        </w:rPr>
        <w:t>(</w:t>
      </w:r>
      <w:r w:rsidRPr="006D319F">
        <w:rPr>
          <w:rStyle w:val="FootnoteReference"/>
          <w:rFonts w:ascii="Cambria" w:hAnsi="Cambria"/>
          <w:color w:val="000000"/>
          <w:sz w:val="16"/>
          <w:szCs w:val="16"/>
          <w:vertAlign w:val="baseline"/>
          <w:lang w:val="pt-BR"/>
        </w:rPr>
        <w:t>Nicaragua</w:t>
      </w:r>
      <w:r w:rsidRPr="006D319F">
        <w:rPr>
          <w:rFonts w:ascii="Cambria" w:hAnsi="Cambria"/>
          <w:color w:val="000000"/>
          <w:sz w:val="16"/>
          <w:szCs w:val="16"/>
          <w:lang w:val="pt-BR"/>
        </w:rPr>
        <w:t>)</w:t>
      </w:r>
      <w:r w:rsidRPr="006D319F">
        <w:rPr>
          <w:rStyle w:val="FootnoteReference"/>
          <w:rFonts w:ascii="Cambria" w:hAnsi="Cambria"/>
          <w:color w:val="000000"/>
          <w:sz w:val="16"/>
          <w:szCs w:val="16"/>
          <w:vertAlign w:val="baseline"/>
          <w:lang w:val="pt-BR"/>
        </w:rPr>
        <w:t>, párrs. 96 y 97</w:t>
      </w:r>
    </w:p>
  </w:footnote>
  <w:footnote w:id="5">
    <w:p w14:paraId="00CCB2D1" w14:textId="77777777" w:rsidR="00990242" w:rsidRPr="006D319F" w:rsidRDefault="00990242" w:rsidP="00990242">
      <w:pPr>
        <w:pStyle w:val="FootnoteText"/>
        <w:ind w:hanging="2"/>
        <w:jc w:val="both"/>
        <w:rPr>
          <w:rFonts w:ascii="Cambria" w:hAnsi="Cambria"/>
          <w:color w:val="000000"/>
          <w:sz w:val="16"/>
          <w:szCs w:val="16"/>
          <w:lang w:val="es-CO"/>
        </w:rPr>
      </w:pPr>
      <w:r w:rsidRPr="006D319F">
        <w:rPr>
          <w:rStyle w:val="FootnoteReference"/>
          <w:rFonts w:ascii="Cambria" w:hAnsi="Cambria"/>
          <w:color w:val="000000"/>
          <w:sz w:val="16"/>
          <w:szCs w:val="16"/>
        </w:rPr>
        <w:footnoteRef/>
      </w:r>
      <w:r w:rsidRPr="006D319F">
        <w:rPr>
          <w:rFonts w:ascii="Cambria" w:hAnsi="Cambria"/>
          <w:color w:val="000000"/>
          <w:sz w:val="16"/>
          <w:szCs w:val="16"/>
          <w:lang w:val="es-CO"/>
        </w:rPr>
        <w:t xml:space="preserve"> </w:t>
      </w:r>
      <w:r w:rsidRPr="006D319F">
        <w:rPr>
          <w:rStyle w:val="normaltextrun"/>
          <w:rFonts w:ascii="Cambria" w:hAnsi="Cambria"/>
          <w:color w:val="000000"/>
          <w:sz w:val="16"/>
          <w:szCs w:val="16"/>
          <w:shd w:val="clear" w:color="auto" w:fill="FFFFFF"/>
          <w:lang w:val="es-CO"/>
        </w:rPr>
        <w:t>CIDH, </w:t>
      </w:r>
      <w:hyperlink r:id="rId4" w:tgtFrame="_blank" w:history="1">
        <w:r w:rsidRPr="006D319F">
          <w:rPr>
            <w:rStyle w:val="normaltextrun"/>
            <w:rFonts w:ascii="Cambria" w:hAnsi="Cambria" w:cs="Segoe UI"/>
            <w:color w:val="000000"/>
            <w:sz w:val="16"/>
            <w:szCs w:val="16"/>
            <w:u w:val="single"/>
            <w:shd w:val="clear" w:color="auto" w:fill="FFFFFF"/>
            <w:lang w:val="es-CO"/>
          </w:rPr>
          <w:t>Informe sobre la Situación de los Derechos Humanos en Brasil</w:t>
        </w:r>
      </w:hyperlink>
      <w:r w:rsidRPr="006D319F">
        <w:rPr>
          <w:rStyle w:val="normaltextrun"/>
          <w:rFonts w:ascii="Cambria" w:hAnsi="Cambria"/>
          <w:color w:val="000000"/>
          <w:sz w:val="16"/>
          <w:szCs w:val="16"/>
          <w:shd w:val="clear" w:color="auto" w:fill="FFFFFF"/>
          <w:lang w:val="es-CO"/>
        </w:rPr>
        <w:t>, OEA/</w:t>
      </w:r>
      <w:proofErr w:type="spellStart"/>
      <w:r w:rsidRPr="006D319F">
        <w:rPr>
          <w:rStyle w:val="normaltextrun"/>
          <w:rFonts w:ascii="Cambria" w:hAnsi="Cambria"/>
          <w:color w:val="000000"/>
          <w:sz w:val="16"/>
          <w:szCs w:val="16"/>
          <w:shd w:val="clear" w:color="auto" w:fill="FFFFFF"/>
          <w:lang w:val="es-CO"/>
        </w:rPr>
        <w:t>Ser.L</w:t>
      </w:r>
      <w:proofErr w:type="spellEnd"/>
      <w:r w:rsidRPr="006D319F">
        <w:rPr>
          <w:rStyle w:val="normaltextrun"/>
          <w:rFonts w:ascii="Cambria" w:hAnsi="Cambria"/>
          <w:color w:val="000000"/>
          <w:sz w:val="16"/>
          <w:szCs w:val="16"/>
          <w:shd w:val="clear" w:color="auto" w:fill="FFFFFF"/>
          <w:lang w:val="es-CO"/>
        </w:rPr>
        <w:t>/V/II., Doc. 9, 12 de febrero de 2021, p. 509.</w:t>
      </w:r>
    </w:p>
  </w:footnote>
  <w:footnote w:id="6">
    <w:p w14:paraId="47F49B65" w14:textId="77777777" w:rsidR="00990242" w:rsidRPr="006D319F" w:rsidRDefault="00990242" w:rsidP="00990242">
      <w:pPr>
        <w:pStyle w:val="FootnoteText"/>
        <w:ind w:hanging="2"/>
        <w:jc w:val="both"/>
        <w:rPr>
          <w:rFonts w:ascii="Cambria" w:hAnsi="Cambria"/>
          <w:color w:val="000000"/>
          <w:sz w:val="16"/>
          <w:szCs w:val="16"/>
          <w:lang w:val="es-CO"/>
        </w:rPr>
      </w:pPr>
      <w:r w:rsidRPr="006D319F">
        <w:rPr>
          <w:rStyle w:val="FootnoteReference"/>
          <w:rFonts w:ascii="Cambria" w:hAnsi="Cambria"/>
          <w:color w:val="000000"/>
          <w:sz w:val="16"/>
          <w:szCs w:val="16"/>
        </w:rPr>
        <w:footnoteRef/>
      </w:r>
      <w:r w:rsidRPr="006D319F">
        <w:rPr>
          <w:rFonts w:ascii="Cambria" w:hAnsi="Cambria"/>
          <w:color w:val="000000"/>
          <w:sz w:val="16"/>
          <w:szCs w:val="16"/>
          <w:lang w:val="es-CO"/>
        </w:rPr>
        <w:t xml:space="preserve"> </w:t>
      </w:r>
      <w:r w:rsidRPr="006D319F">
        <w:rPr>
          <w:rStyle w:val="normaltextrun"/>
          <w:rFonts w:ascii="Cambria" w:hAnsi="Cambria"/>
          <w:color w:val="000000"/>
          <w:sz w:val="16"/>
          <w:szCs w:val="16"/>
          <w:shd w:val="clear" w:color="auto" w:fill="FFFFFF"/>
          <w:lang w:val="es-CO"/>
        </w:rPr>
        <w:t>CIDH, </w:t>
      </w:r>
      <w:hyperlink r:id="rId5" w:tgtFrame="_blank" w:history="1">
        <w:r w:rsidRPr="006D319F">
          <w:rPr>
            <w:rStyle w:val="normaltextrun"/>
            <w:rFonts w:ascii="Cambria" w:hAnsi="Cambria" w:cs="Segoe UI"/>
            <w:color w:val="000000"/>
            <w:sz w:val="16"/>
            <w:szCs w:val="16"/>
            <w:u w:val="single"/>
            <w:shd w:val="clear" w:color="auto" w:fill="FFFFFF"/>
            <w:lang w:val="es-CO"/>
          </w:rPr>
          <w:t>Informe sobre la Situación de los Derechos Humanos en Brasil</w:t>
        </w:r>
      </w:hyperlink>
      <w:r w:rsidRPr="006D319F">
        <w:rPr>
          <w:rStyle w:val="normaltextrun"/>
          <w:rFonts w:ascii="Cambria" w:hAnsi="Cambria"/>
          <w:color w:val="000000"/>
          <w:sz w:val="16"/>
          <w:szCs w:val="16"/>
          <w:shd w:val="clear" w:color="auto" w:fill="FFFFFF"/>
          <w:lang w:val="es-CO"/>
        </w:rPr>
        <w:t>, OEA/</w:t>
      </w:r>
      <w:proofErr w:type="spellStart"/>
      <w:r w:rsidRPr="006D319F">
        <w:rPr>
          <w:rStyle w:val="normaltextrun"/>
          <w:rFonts w:ascii="Cambria" w:hAnsi="Cambria"/>
          <w:color w:val="000000"/>
          <w:sz w:val="16"/>
          <w:szCs w:val="16"/>
          <w:shd w:val="clear" w:color="auto" w:fill="FFFFFF"/>
          <w:lang w:val="es-CO"/>
        </w:rPr>
        <w:t>Ser.L</w:t>
      </w:r>
      <w:proofErr w:type="spellEnd"/>
      <w:r w:rsidRPr="006D319F">
        <w:rPr>
          <w:rStyle w:val="normaltextrun"/>
          <w:rFonts w:ascii="Cambria" w:hAnsi="Cambria"/>
          <w:color w:val="000000"/>
          <w:sz w:val="16"/>
          <w:szCs w:val="16"/>
          <w:shd w:val="clear" w:color="auto" w:fill="FFFFFF"/>
          <w:lang w:val="es-CO"/>
        </w:rPr>
        <w:t>/V/II., Doc. 9, 12 de febrero de 2021, p. 504 y subsiguientes. </w:t>
      </w:r>
      <w:r w:rsidRPr="006D319F">
        <w:rPr>
          <w:rStyle w:val="eop"/>
          <w:rFonts w:ascii="Cambria" w:hAnsi="Cambria"/>
          <w:color w:val="000000"/>
          <w:sz w:val="16"/>
          <w:szCs w:val="16"/>
          <w:shd w:val="clear" w:color="auto" w:fill="FFFFFF"/>
          <w:lang w:val="es-CO"/>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3CA3" w14:textId="142D3E76" w:rsidR="00DB0F70" w:rsidRPr="00DB0F70" w:rsidRDefault="00DB0F70" w:rsidP="00DB0F70">
    <w:pPr>
      <w:pStyle w:val="Header"/>
      <w:rPr>
        <w:rFonts w:ascii="Arial" w:hAnsi="Arial" w:cs="Arial"/>
        <w:color w:val="3B3838"/>
        <w:szCs w:val="28"/>
      </w:rPr>
    </w:pPr>
    <w:r>
      <w:rPr>
        <w:noProof/>
        <w:sz w:val="24"/>
        <w:szCs w:val="24"/>
      </w:rPr>
      <w:drawing>
        <wp:anchor distT="0" distB="0" distL="114300" distR="114300" simplePos="0" relativeHeight="251661824" behindDoc="0" locked="0" layoutInCell="1" allowOverlap="1" wp14:anchorId="6338F978" wp14:editId="7636176A">
          <wp:simplePos x="0" y="0"/>
          <wp:positionH relativeFrom="column">
            <wp:posOffset>4658995</wp:posOffset>
          </wp:positionH>
          <wp:positionV relativeFrom="paragraph">
            <wp:posOffset>-3175</wp:posOffset>
          </wp:positionV>
          <wp:extent cx="1485900" cy="346075"/>
          <wp:effectExtent l="0" t="0" r="0" b="0"/>
          <wp:wrapSquare wrapText="bothSides"/>
          <wp:docPr id="5"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89069B6" wp14:editId="1E357631">
          <wp:extent cx="1333500" cy="314325"/>
          <wp:effectExtent l="0" t="0" r="0" b="0"/>
          <wp:docPr id="6"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r w:rsidRPr="00DB0F70">
      <w:rPr>
        <w:rFonts w:ascii="Arial" w:hAnsi="Arial" w:cs="Arial"/>
        <w:color w:val="3B3838"/>
        <w:szCs w:val="28"/>
      </w:rPr>
      <w:t xml:space="preserve">                      </w:t>
    </w:r>
  </w:p>
  <w:p w14:paraId="5A072B08" w14:textId="71090633" w:rsidR="00DB0F70" w:rsidRPr="00DB0F70" w:rsidRDefault="00DB0F70" w:rsidP="00DB0F70">
    <w:pPr>
      <w:pStyle w:val="Header"/>
      <w:rPr>
        <w:rFonts w:ascii="Arial" w:hAnsi="Arial" w:cs="Arial"/>
        <w:b/>
        <w:bCs/>
        <w:color w:val="404040"/>
        <w:sz w:val="44"/>
        <w:szCs w:val="44"/>
        <w:lang w:val="es-ES"/>
      </w:rPr>
    </w:pPr>
    <w:r w:rsidRPr="00DB0F70">
      <w:rPr>
        <w:noProof/>
        <w:sz w:val="24"/>
        <w:szCs w:val="24"/>
      </w:rPr>
      <mc:AlternateContent>
        <mc:Choice Requires="wps">
          <w:drawing>
            <wp:anchor distT="0" distB="0" distL="114300" distR="114300" simplePos="0" relativeHeight="251660800" behindDoc="0" locked="0" layoutInCell="1" allowOverlap="1" wp14:anchorId="1BC7518E" wp14:editId="2C7DCC07">
              <wp:simplePos x="0" y="0"/>
              <wp:positionH relativeFrom="column">
                <wp:posOffset>-5080</wp:posOffset>
              </wp:positionH>
              <wp:positionV relativeFrom="paragraph">
                <wp:posOffset>173990</wp:posOffset>
              </wp:positionV>
              <wp:extent cx="6148070" cy="0"/>
              <wp:effectExtent l="13970" t="12065" r="10160" b="1651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070" cy="0"/>
                      </a:xfrm>
                      <a:prstGeom prst="line">
                        <a:avLst/>
                      </a:prstGeom>
                      <a:noFill/>
                      <a:ln w="15875">
                        <a:solidFill>
                          <a:srgbClr val="272727"/>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D9DCE39" id="Straight Connector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" strokecolor="#272727"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0571" w14:textId="470C1880" w:rsidR="005B385C" w:rsidRDefault="00DB0F70" w:rsidP="005B385C">
    <w:pPr>
      <w:pStyle w:val="Header"/>
      <w:spacing w:line="216" w:lineRule="auto"/>
      <w:ind w:hanging="2"/>
      <w:rPr>
        <w:rFonts w:ascii="Arial" w:hAnsi="Arial" w:cs="Arial"/>
        <w:color w:val="3B3838"/>
        <w:sz w:val="28"/>
        <w:szCs w:val="28"/>
        <w:lang w:val="es-ES"/>
      </w:rPr>
    </w:pPr>
    <w:r>
      <w:rPr>
        <w:noProof/>
      </w:rPr>
      <w:drawing>
        <wp:anchor distT="0" distB="0" distL="114300" distR="114300" simplePos="0" relativeHeight="251657728" behindDoc="0" locked="0" layoutInCell="1" allowOverlap="1" wp14:anchorId="26CB1EA3" wp14:editId="070E34CC">
          <wp:simplePos x="0" y="0"/>
          <wp:positionH relativeFrom="column">
            <wp:posOffset>4088765</wp:posOffset>
          </wp:positionH>
          <wp:positionV relativeFrom="paragraph">
            <wp:posOffset>72390</wp:posOffset>
          </wp:positionV>
          <wp:extent cx="2183130" cy="508635"/>
          <wp:effectExtent l="0" t="0" r="0" b="0"/>
          <wp:wrapSquare wrapText="bothSides"/>
          <wp:docPr id="3"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59631F91" wp14:editId="64BB9A21">
              <wp:simplePos x="0" y="0"/>
              <wp:positionH relativeFrom="column">
                <wp:posOffset>-166370</wp:posOffset>
              </wp:positionH>
              <wp:positionV relativeFrom="paragraph">
                <wp:posOffset>48895</wp:posOffset>
              </wp:positionV>
              <wp:extent cx="2936875" cy="6648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936875" cy="664845"/>
                      </a:xfrm>
                      <a:prstGeom prst="rect">
                        <a:avLst/>
                      </a:prstGeom>
                      <a:noFill/>
                      <a:ln w="6350">
                        <a:noFill/>
                      </a:ln>
                    </wps:spPr>
                    <wps:txbx>
                      <w:txbxContent>
                        <w:p w14:paraId="57D9EA67" w14:textId="46E612CD" w:rsidR="005B385C" w:rsidRDefault="00DB0F70" w:rsidP="005B385C">
                          <w:pPr>
                            <w:ind w:hanging="2"/>
                          </w:pPr>
                          <w:r w:rsidRPr="001D3190">
                            <w:rPr>
                              <w:noProof/>
                            </w:rPr>
                            <w:drawing>
                              <wp:inline distT="0" distB="0" distL="0" distR="0" wp14:anchorId="00A8225E" wp14:editId="346CA441">
                                <wp:extent cx="2009775" cy="476250"/>
                                <wp:effectExtent l="0" t="0" r="0" b="0"/>
                                <wp:docPr id="7" name="Picture 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9775" cy="47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9631F91" id="_x0000_t202" coordsize="21600,21600" o:spt="202" path="m,l,21600r21600,l21600,xe">
              <v:stroke joinstyle="miter"/>
              <v:path gradientshapeok="t" o:connecttype="rect"/>
            </v:shapetype>
            <v:shape id="Text Box 2" o:spid="_x0000_s1026" type="#_x0000_t202" style="position:absolute;margin-left:-13.1pt;margin-top:3.85pt;width:231.25pt;height:5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" filled="f" stroked="f" strokeweight=".5pt">
              <v:textbox>
                <w:txbxContent>
                  <w:p w14:paraId="57D9EA67" w14:textId="46E612CD" w:rsidR="005B385C" w:rsidRDefault="00DB0F70" w:rsidP="005B385C">
                    <w:pPr>
                      <w:ind w:hanging="2"/>
                    </w:pPr>
                    <w:r w:rsidRPr="001D3190">
                      <w:rPr>
                        <w:noProof/>
                      </w:rPr>
                      <w:drawing>
                        <wp:inline distT="0" distB="0" distL="0" distR="0" wp14:anchorId="00A8225E" wp14:editId="346CA441">
                          <wp:extent cx="2009775" cy="476250"/>
                          <wp:effectExtent l="0" t="0" r="0" b="0"/>
                          <wp:docPr id="7" name="Picture 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9775" cy="476250"/>
                                  </a:xfrm>
                                  <a:prstGeom prst="rect">
                                    <a:avLst/>
                                  </a:prstGeom>
                                  <a:noFill/>
                                  <a:ln>
                                    <a:noFill/>
                                  </a:ln>
                                </pic:spPr>
                              </pic:pic>
                            </a:graphicData>
                          </a:graphic>
                        </wp:inline>
                      </w:drawing>
                    </w:r>
                  </w:p>
                </w:txbxContent>
              </v:textbox>
            </v:shape>
          </w:pict>
        </mc:Fallback>
      </mc:AlternateContent>
    </w:r>
    <w:r w:rsidR="005B385C" w:rsidRPr="00AD498E">
      <w:rPr>
        <w:rFonts w:ascii="Arial" w:hAnsi="Arial" w:cs="Arial"/>
        <w:color w:val="3B3838"/>
        <w:sz w:val="28"/>
        <w:szCs w:val="28"/>
        <w:lang w:val="es-ES"/>
      </w:rPr>
      <w:softHyphen/>
    </w:r>
    <w:r w:rsidR="005B385C" w:rsidRPr="00AD498E">
      <w:rPr>
        <w:rFonts w:ascii="Arial" w:hAnsi="Arial" w:cs="Arial"/>
        <w:color w:val="3B3838"/>
        <w:sz w:val="28"/>
        <w:szCs w:val="28"/>
        <w:lang w:val="es-ES"/>
      </w:rPr>
      <w:softHyphen/>
    </w:r>
    <w:r w:rsidR="005B385C" w:rsidRPr="00AD498E">
      <w:rPr>
        <w:rFonts w:ascii="Arial" w:hAnsi="Arial" w:cs="Arial"/>
        <w:color w:val="3B3838"/>
        <w:sz w:val="28"/>
        <w:szCs w:val="28"/>
        <w:lang w:val="es-ES"/>
      </w:rPr>
      <w:softHyphen/>
    </w:r>
  </w:p>
  <w:p w14:paraId="034297B9" w14:textId="77777777" w:rsidR="005B385C" w:rsidRPr="00AD498E" w:rsidRDefault="005B385C" w:rsidP="005B385C">
    <w:pPr>
      <w:pStyle w:val="Header"/>
      <w:spacing w:line="216" w:lineRule="auto"/>
      <w:ind w:left="1" w:hanging="3"/>
      <w:rPr>
        <w:rFonts w:ascii="Arial" w:hAnsi="Arial" w:cs="Arial"/>
        <w:color w:val="3B3838"/>
        <w:sz w:val="28"/>
        <w:szCs w:val="28"/>
        <w:lang w:val="es-ES"/>
      </w:rPr>
    </w:pPr>
  </w:p>
  <w:p w14:paraId="2CC33540" w14:textId="77777777" w:rsidR="005B385C" w:rsidRDefault="005B385C" w:rsidP="005B385C">
    <w:pPr>
      <w:pBdr>
        <w:top w:val="nil"/>
        <w:left w:val="nil"/>
        <w:bottom w:val="nil"/>
        <w:right w:val="nil"/>
        <w:between w:val="nil"/>
      </w:pBdr>
      <w:spacing w:after="0" w:line="240" w:lineRule="auto"/>
      <w:ind w:left="2" w:hanging="4"/>
      <w:rPr>
        <w:rFonts w:ascii="Arial" w:eastAsia="Arial" w:hAnsi="Arial" w:cs="Arial"/>
        <w:color w:val="404040"/>
        <w:sz w:val="44"/>
        <w:szCs w:val="44"/>
      </w:rPr>
    </w:pPr>
  </w:p>
  <w:p w14:paraId="57DEB610" w14:textId="290DD7FD" w:rsidR="005B385C" w:rsidRPr="00795518" w:rsidRDefault="00DB0F70" w:rsidP="005B385C">
    <w:pPr>
      <w:pBdr>
        <w:top w:val="nil"/>
        <w:left w:val="nil"/>
        <w:bottom w:val="nil"/>
        <w:right w:val="nil"/>
        <w:between w:val="nil"/>
      </w:pBdr>
      <w:spacing w:after="0" w:line="240" w:lineRule="auto"/>
      <w:ind w:hanging="2"/>
      <w:rPr>
        <w:rFonts w:ascii="Arial" w:eastAsia="Arial" w:hAnsi="Arial" w:cs="Arial"/>
        <w:color w:val="404040"/>
        <w:sz w:val="44"/>
        <w:szCs w:val="44"/>
      </w:rPr>
    </w:pPr>
    <w:r>
      <w:rPr>
        <w:noProof/>
      </w:rPr>
      <mc:AlternateContent>
        <mc:Choice Requires="wps">
          <w:drawing>
            <wp:anchor distT="0" distB="0" distL="114300" distR="114300" simplePos="0" relativeHeight="251656704" behindDoc="0" locked="0" layoutInCell="1" allowOverlap="1" wp14:anchorId="4ABEDB09" wp14:editId="1137E9B7">
              <wp:simplePos x="0" y="0"/>
              <wp:positionH relativeFrom="column">
                <wp:posOffset>0</wp:posOffset>
              </wp:positionH>
              <wp:positionV relativeFrom="paragraph">
                <wp:posOffset>152400</wp:posOffset>
              </wp:positionV>
              <wp:extent cx="6148070" cy="15875"/>
              <wp:effectExtent l="0" t="0" r="5080" b="31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148070" cy="15875"/>
                      </a:xfrm>
                      <a:prstGeom prst="straightConnector1">
                        <a:avLst/>
                      </a:prstGeom>
                      <a:noFill/>
                      <a:ln w="15875" cap="flat" cmpd="sng">
                        <a:solidFill>
                          <a:srgbClr val="000000"/>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0F821175" id="_x0000_t32" coordsize="21600,21600" o:spt="32" o:oned="t" path="m,l21600,21600e" filled="f">
              <v:path arrowok="t" fillok="f" o:connecttype="none"/>
              <o:lock v:ext="edit" shapetype="t"/>
            </v:shapetype>
            <v:shape id="Straight Arrow Connector 1" o:spid="_x0000_s1026" type="#_x0000_t32" style="position:absolute;margin-left:0;margin-top:12pt;width:484.1pt;height: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" strokeweight="1.25pt">
              <v:stroke startarrowwidth="narrow" startarrowlength="short" endarrowwidth="narrow" endarrowlength="short" joinstyle="miter"/>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CB9"/>
    <w:multiLevelType w:val="hybridMultilevel"/>
    <w:tmpl w:val="72BAB2A8"/>
    <w:lvl w:ilvl="0" w:tplc="637E448C">
      <w:start w:val="1"/>
      <w:numFmt w:val="decimal"/>
      <w:lvlText w:val="%1."/>
      <w:lvlJc w:val="left"/>
      <w:pPr>
        <w:ind w:left="1620" w:hanging="360"/>
      </w:pPr>
      <w:rPr>
        <w:rFonts w:hint="default"/>
        <w:b w:val="0"/>
        <w:color w:val="auto"/>
        <w:lang w:val="es-US"/>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EF6840"/>
    <w:multiLevelType w:val="hybridMultilevel"/>
    <w:tmpl w:val="338855EC"/>
    <w:lvl w:ilvl="0" w:tplc="9D542EC2">
      <w:start w:val="1"/>
      <w:numFmt w:val="decimal"/>
      <w:lvlText w:val="%1."/>
      <w:lvlJc w:val="left"/>
      <w:pPr>
        <w:tabs>
          <w:tab w:val="num" w:pos="720"/>
        </w:tabs>
        <w:ind w:left="0" w:firstLine="720"/>
      </w:pPr>
      <w:rPr>
        <w:rFonts w:cs="Times New Roman" w:hint="default"/>
        <w:b w:val="0"/>
        <w:i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192AAA14">
      <w:start w:val="1"/>
      <w:numFmt w:val="decimal"/>
      <w:lvlText w:val="%3."/>
      <w:lvlJc w:val="left"/>
      <w:pPr>
        <w:tabs>
          <w:tab w:val="num" w:pos="810"/>
        </w:tabs>
        <w:ind w:left="90" w:firstLine="720"/>
      </w:pPr>
      <w:rPr>
        <w:rFonts w:ascii="Cambria" w:eastAsia="Calibri" w:hAnsi="Cambria" w:cs="Times New Roman"/>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1D573D"/>
    <w:multiLevelType w:val="hybridMultilevel"/>
    <w:tmpl w:val="F1DE76A4"/>
    <w:lvl w:ilvl="0" w:tplc="DD92E646">
      <w:start w:val="1"/>
      <w:numFmt w:val="decimal"/>
      <w:lvlText w:val="%1."/>
      <w:lvlJc w:val="left"/>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81CAD"/>
    <w:multiLevelType w:val="hybridMultilevel"/>
    <w:tmpl w:val="9C06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B4111"/>
    <w:multiLevelType w:val="hybridMultilevel"/>
    <w:tmpl w:val="D4F8D1A8"/>
    <w:lvl w:ilvl="0" w:tplc="DA687086">
      <w:start w:val="4"/>
      <w:numFmt w:val="decimal"/>
      <w:lvlText w:val="%1."/>
      <w:lvlJc w:val="left"/>
      <w:pPr>
        <w:ind w:left="720" w:hanging="360"/>
      </w:pPr>
      <w:rPr>
        <w:rFonts w:hint="default"/>
        <w:b w:val="0"/>
        <w:color w:val="auto"/>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 w15:restartNumberingAfterBreak="0">
    <w:nsid w:val="1F5706E0"/>
    <w:multiLevelType w:val="hybridMultilevel"/>
    <w:tmpl w:val="EA88E64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A632B18"/>
    <w:multiLevelType w:val="hybridMultilevel"/>
    <w:tmpl w:val="466887C4"/>
    <w:lvl w:ilvl="0" w:tplc="1278D6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BC0713"/>
    <w:multiLevelType w:val="hybridMultilevel"/>
    <w:tmpl w:val="908A6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1A144A"/>
    <w:multiLevelType w:val="hybridMultilevel"/>
    <w:tmpl w:val="72BAB2A8"/>
    <w:lvl w:ilvl="0" w:tplc="637E448C">
      <w:start w:val="1"/>
      <w:numFmt w:val="decimal"/>
      <w:lvlText w:val="%1."/>
      <w:lvlJc w:val="left"/>
      <w:pPr>
        <w:ind w:left="1620" w:hanging="360"/>
      </w:pPr>
      <w:rPr>
        <w:rFonts w:hint="default"/>
        <w:b w:val="0"/>
        <w:color w:val="auto"/>
        <w:lang w:val="es-US"/>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4B7C6B"/>
    <w:multiLevelType w:val="hybridMultilevel"/>
    <w:tmpl w:val="4AD08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9E35753"/>
    <w:multiLevelType w:val="hybridMultilevel"/>
    <w:tmpl w:val="5EDC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F87F7D"/>
    <w:multiLevelType w:val="hybridMultilevel"/>
    <w:tmpl w:val="89E0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123622"/>
    <w:multiLevelType w:val="hybridMultilevel"/>
    <w:tmpl w:val="67B4EB8E"/>
    <w:lvl w:ilvl="0" w:tplc="392CA7E6">
      <w:start w:val="1"/>
      <w:numFmt w:val="decimal"/>
      <w:lvlText w:val="%1."/>
      <w:lvlJc w:val="left"/>
      <w:pPr>
        <w:ind w:left="1620" w:hanging="360"/>
      </w:pPr>
      <w:rPr>
        <w:rFonts w:hint="default"/>
        <w:b w:val="0"/>
        <w:lang w:val="es-ES"/>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C2C085F"/>
    <w:multiLevelType w:val="multilevel"/>
    <w:tmpl w:val="A794648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0"/>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3"/>
  </w:num>
  <w:num w:numId="7">
    <w:abstractNumId w:val="0"/>
  </w:num>
  <w:num w:numId="8">
    <w:abstractNumId w:val="12"/>
  </w:num>
  <w:num w:numId="9">
    <w:abstractNumId w:val="1"/>
  </w:num>
  <w:num w:numId="10">
    <w:abstractNumId w:val="14"/>
  </w:num>
  <w:num w:numId="11">
    <w:abstractNumId w:val="7"/>
  </w:num>
  <w:num w:numId="12">
    <w:abstractNumId w:val="11"/>
  </w:num>
  <w:num w:numId="13">
    <w:abstractNumId w:val="6"/>
  </w:num>
  <w:num w:numId="14">
    <w:abstractNumId w:val="9"/>
  </w:num>
  <w:num w:numId="15">
    <w:abstractNumId w:val="8"/>
  </w:num>
  <w:num w:numId="16">
    <w:abstractNumId w:val="2"/>
  </w:num>
  <w:num w:numId="17">
    <w:abstractNumId w:val="4"/>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VE" w:vendorID="64" w:dllVersion="131078" w:nlCheck="1" w:checkStyle="0"/>
  <w:activeWritingStyle w:appName="MSWord" w:lang="es-US" w:vendorID="64" w:dllVersion="131078" w:nlCheck="1" w:checkStyle="0"/>
  <w:activeWritingStyle w:appName="MSWord" w:lang="es-ES_tradnl" w:vendorID="64" w:dllVersion="131078" w:nlCheck="1" w:checkStyle="0"/>
  <w:activeWritingStyle w:appName="MSWord" w:lang="es-AR" w:vendorID="64" w:dllVersion="131078" w:nlCheck="1" w:checkStyle="1"/>
  <w:activeWritingStyle w:appName="MSWord" w:lang="es-PY" w:vendorID="64" w:dllVersion="131078" w:nlCheck="1" w:checkStyle="0"/>
  <w:activeWritingStyle w:appName="MSWord" w:lang="es-CO" w:vendorID="64" w:dllVersion="131078" w:nlCheck="1" w:checkStyle="1"/>
  <w:activeWritingStyle w:appName="MSWord" w:lang="es-CR" w:vendorID="64" w:dllVersion="131078" w:nlCheck="1" w:checkStyle="1"/>
  <w:activeWritingStyle w:appName="MSWord" w:lang="es-MX" w:vendorID="64" w:dllVersion="131078" w:nlCheck="1" w:checkStyle="0"/>
  <w:activeWritingStyle w:appName="MSWord" w:lang="es-US" w:vendorID="64" w:dllVersion="0" w:nlCheck="1" w:checkStyle="0"/>
  <w:activeWritingStyle w:appName="MSWord" w:lang="es-ES" w:vendorID="64" w:dllVersion="0" w:nlCheck="1" w:checkStyle="0"/>
  <w:activeWritingStyle w:appName="MSWord" w:lang="es-VE" w:vendorID="64" w:dllVersion="0" w:nlCheck="1" w:checkStyle="0"/>
  <w:activeWritingStyle w:appName="MSWord" w:lang="en-US" w:vendorID="64" w:dllVersion="0" w:nlCheck="1" w:checkStyle="0"/>
  <w:activeWritingStyle w:appName="MSWord" w:lang="es-PY"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pt-B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0F"/>
    <w:rsid w:val="00000EBF"/>
    <w:rsid w:val="0000713B"/>
    <w:rsid w:val="000114EC"/>
    <w:rsid w:val="0001720F"/>
    <w:rsid w:val="0005228B"/>
    <w:rsid w:val="0006625E"/>
    <w:rsid w:val="00082715"/>
    <w:rsid w:val="00086579"/>
    <w:rsid w:val="000A1D48"/>
    <w:rsid w:val="000D1E68"/>
    <w:rsid w:val="000E37C1"/>
    <w:rsid w:val="001069F0"/>
    <w:rsid w:val="00116B98"/>
    <w:rsid w:val="00134A1C"/>
    <w:rsid w:val="00140BD2"/>
    <w:rsid w:val="00147BE1"/>
    <w:rsid w:val="00151339"/>
    <w:rsid w:val="0017795C"/>
    <w:rsid w:val="00182407"/>
    <w:rsid w:val="001838A0"/>
    <w:rsid w:val="001912BC"/>
    <w:rsid w:val="001963F7"/>
    <w:rsid w:val="001A47B7"/>
    <w:rsid w:val="001C0A6D"/>
    <w:rsid w:val="001F495A"/>
    <w:rsid w:val="002018CF"/>
    <w:rsid w:val="00207EEA"/>
    <w:rsid w:val="00211E7E"/>
    <w:rsid w:val="0021669C"/>
    <w:rsid w:val="00217A39"/>
    <w:rsid w:val="0022501E"/>
    <w:rsid w:val="002279DC"/>
    <w:rsid w:val="0023116C"/>
    <w:rsid w:val="002402AA"/>
    <w:rsid w:val="00243F78"/>
    <w:rsid w:val="00250058"/>
    <w:rsid w:val="00252761"/>
    <w:rsid w:val="00255EB8"/>
    <w:rsid w:val="00261540"/>
    <w:rsid w:val="00272A6B"/>
    <w:rsid w:val="00290A43"/>
    <w:rsid w:val="002A39B2"/>
    <w:rsid w:val="002B0B2A"/>
    <w:rsid w:val="002B26A4"/>
    <w:rsid w:val="002D7E44"/>
    <w:rsid w:val="002F58A3"/>
    <w:rsid w:val="00301425"/>
    <w:rsid w:val="003309E3"/>
    <w:rsid w:val="003359E9"/>
    <w:rsid w:val="003458EF"/>
    <w:rsid w:val="00352016"/>
    <w:rsid w:val="003553F3"/>
    <w:rsid w:val="00362313"/>
    <w:rsid w:val="003876D1"/>
    <w:rsid w:val="00393310"/>
    <w:rsid w:val="00396417"/>
    <w:rsid w:val="003A4802"/>
    <w:rsid w:val="003E3690"/>
    <w:rsid w:val="003E3957"/>
    <w:rsid w:val="003E631B"/>
    <w:rsid w:val="003F628D"/>
    <w:rsid w:val="00405097"/>
    <w:rsid w:val="00410AFC"/>
    <w:rsid w:val="0042084B"/>
    <w:rsid w:val="00441866"/>
    <w:rsid w:val="00443400"/>
    <w:rsid w:val="0048279E"/>
    <w:rsid w:val="00484322"/>
    <w:rsid w:val="004A15BA"/>
    <w:rsid w:val="004B0693"/>
    <w:rsid w:val="004B0A74"/>
    <w:rsid w:val="004B2CB1"/>
    <w:rsid w:val="004B42EF"/>
    <w:rsid w:val="004B7DC4"/>
    <w:rsid w:val="004D7999"/>
    <w:rsid w:val="0053385E"/>
    <w:rsid w:val="00546747"/>
    <w:rsid w:val="005474CC"/>
    <w:rsid w:val="0058688A"/>
    <w:rsid w:val="00590BCD"/>
    <w:rsid w:val="005918B4"/>
    <w:rsid w:val="005A3287"/>
    <w:rsid w:val="005A41AC"/>
    <w:rsid w:val="005B23B6"/>
    <w:rsid w:val="005B385C"/>
    <w:rsid w:val="005C1CBB"/>
    <w:rsid w:val="005C5563"/>
    <w:rsid w:val="005C6E28"/>
    <w:rsid w:val="005D1653"/>
    <w:rsid w:val="005D74AB"/>
    <w:rsid w:val="005F4AAA"/>
    <w:rsid w:val="00604132"/>
    <w:rsid w:val="00604F1C"/>
    <w:rsid w:val="00617F63"/>
    <w:rsid w:val="0062340A"/>
    <w:rsid w:val="00632454"/>
    <w:rsid w:val="0064210E"/>
    <w:rsid w:val="00643BF7"/>
    <w:rsid w:val="00655F85"/>
    <w:rsid w:val="0067399C"/>
    <w:rsid w:val="00680FAB"/>
    <w:rsid w:val="006839D8"/>
    <w:rsid w:val="006907BE"/>
    <w:rsid w:val="006964C0"/>
    <w:rsid w:val="006B52E8"/>
    <w:rsid w:val="006B60EF"/>
    <w:rsid w:val="006C27EC"/>
    <w:rsid w:val="006C73BC"/>
    <w:rsid w:val="006D319F"/>
    <w:rsid w:val="006D6BB0"/>
    <w:rsid w:val="006D76C3"/>
    <w:rsid w:val="006F0429"/>
    <w:rsid w:val="006F5E16"/>
    <w:rsid w:val="006F5F48"/>
    <w:rsid w:val="007023D2"/>
    <w:rsid w:val="00702543"/>
    <w:rsid w:val="00720E99"/>
    <w:rsid w:val="0073354B"/>
    <w:rsid w:val="00733572"/>
    <w:rsid w:val="00740ED8"/>
    <w:rsid w:val="00746CFF"/>
    <w:rsid w:val="007510EA"/>
    <w:rsid w:val="00754C0E"/>
    <w:rsid w:val="00784105"/>
    <w:rsid w:val="007845D0"/>
    <w:rsid w:val="007A6546"/>
    <w:rsid w:val="007C2CC3"/>
    <w:rsid w:val="007C351D"/>
    <w:rsid w:val="007C4A6D"/>
    <w:rsid w:val="007C602F"/>
    <w:rsid w:val="007D543E"/>
    <w:rsid w:val="007E1219"/>
    <w:rsid w:val="007E4ED5"/>
    <w:rsid w:val="007F1777"/>
    <w:rsid w:val="007F5F4E"/>
    <w:rsid w:val="00802E22"/>
    <w:rsid w:val="00807BAA"/>
    <w:rsid w:val="00852DA5"/>
    <w:rsid w:val="008550EF"/>
    <w:rsid w:val="0085665F"/>
    <w:rsid w:val="00885A34"/>
    <w:rsid w:val="00892130"/>
    <w:rsid w:val="008C1636"/>
    <w:rsid w:val="008C255A"/>
    <w:rsid w:val="008C2FFB"/>
    <w:rsid w:val="008E586F"/>
    <w:rsid w:val="008F0421"/>
    <w:rsid w:val="008F2DE3"/>
    <w:rsid w:val="00921F25"/>
    <w:rsid w:val="0092708F"/>
    <w:rsid w:val="009331A5"/>
    <w:rsid w:val="009641AD"/>
    <w:rsid w:val="0097487F"/>
    <w:rsid w:val="00981C4A"/>
    <w:rsid w:val="00984504"/>
    <w:rsid w:val="00990242"/>
    <w:rsid w:val="00994AF4"/>
    <w:rsid w:val="009A40A6"/>
    <w:rsid w:val="009B259F"/>
    <w:rsid w:val="009B6DAC"/>
    <w:rsid w:val="009C4D87"/>
    <w:rsid w:val="009C605A"/>
    <w:rsid w:val="009D4ADE"/>
    <w:rsid w:val="00A05D9B"/>
    <w:rsid w:val="00A25CA7"/>
    <w:rsid w:val="00A26989"/>
    <w:rsid w:val="00A27F14"/>
    <w:rsid w:val="00A343FF"/>
    <w:rsid w:val="00A41353"/>
    <w:rsid w:val="00A448A2"/>
    <w:rsid w:val="00A53C86"/>
    <w:rsid w:val="00A61212"/>
    <w:rsid w:val="00A72869"/>
    <w:rsid w:val="00A75C3C"/>
    <w:rsid w:val="00A81724"/>
    <w:rsid w:val="00A85825"/>
    <w:rsid w:val="00A86738"/>
    <w:rsid w:val="00A946F0"/>
    <w:rsid w:val="00A97636"/>
    <w:rsid w:val="00AA03DA"/>
    <w:rsid w:val="00AB240B"/>
    <w:rsid w:val="00AB39B1"/>
    <w:rsid w:val="00AD0562"/>
    <w:rsid w:val="00AE1B0F"/>
    <w:rsid w:val="00AE490B"/>
    <w:rsid w:val="00AF0867"/>
    <w:rsid w:val="00AF16B3"/>
    <w:rsid w:val="00AF1ADD"/>
    <w:rsid w:val="00B01389"/>
    <w:rsid w:val="00B02969"/>
    <w:rsid w:val="00B056D9"/>
    <w:rsid w:val="00B16CFF"/>
    <w:rsid w:val="00B2161A"/>
    <w:rsid w:val="00B21903"/>
    <w:rsid w:val="00B34452"/>
    <w:rsid w:val="00B37868"/>
    <w:rsid w:val="00B43607"/>
    <w:rsid w:val="00B54F82"/>
    <w:rsid w:val="00B5562B"/>
    <w:rsid w:val="00B63A4C"/>
    <w:rsid w:val="00B768D5"/>
    <w:rsid w:val="00B806AC"/>
    <w:rsid w:val="00B81795"/>
    <w:rsid w:val="00B93993"/>
    <w:rsid w:val="00B95CC0"/>
    <w:rsid w:val="00B96BF8"/>
    <w:rsid w:val="00B97ECB"/>
    <w:rsid w:val="00BB3F89"/>
    <w:rsid w:val="00BB65FD"/>
    <w:rsid w:val="00BB7D22"/>
    <w:rsid w:val="00BD2091"/>
    <w:rsid w:val="00BD35E9"/>
    <w:rsid w:val="00BF2C0F"/>
    <w:rsid w:val="00C00648"/>
    <w:rsid w:val="00C04C07"/>
    <w:rsid w:val="00C06E28"/>
    <w:rsid w:val="00C17223"/>
    <w:rsid w:val="00C31E9F"/>
    <w:rsid w:val="00C40BFC"/>
    <w:rsid w:val="00C430DC"/>
    <w:rsid w:val="00C47CAE"/>
    <w:rsid w:val="00C6777F"/>
    <w:rsid w:val="00C715BA"/>
    <w:rsid w:val="00C92B26"/>
    <w:rsid w:val="00CA2777"/>
    <w:rsid w:val="00CA298B"/>
    <w:rsid w:val="00CA4AAE"/>
    <w:rsid w:val="00CB166C"/>
    <w:rsid w:val="00CC4274"/>
    <w:rsid w:val="00CC7CB7"/>
    <w:rsid w:val="00CD7F0B"/>
    <w:rsid w:val="00CE78D8"/>
    <w:rsid w:val="00D03005"/>
    <w:rsid w:val="00D05BCC"/>
    <w:rsid w:val="00D13990"/>
    <w:rsid w:val="00D17565"/>
    <w:rsid w:val="00D222B7"/>
    <w:rsid w:val="00D22A08"/>
    <w:rsid w:val="00D24BE4"/>
    <w:rsid w:val="00D34EFB"/>
    <w:rsid w:val="00D41358"/>
    <w:rsid w:val="00D42E55"/>
    <w:rsid w:val="00D5166A"/>
    <w:rsid w:val="00D57272"/>
    <w:rsid w:val="00D80477"/>
    <w:rsid w:val="00D82E91"/>
    <w:rsid w:val="00D8590A"/>
    <w:rsid w:val="00DA15F2"/>
    <w:rsid w:val="00DB0F70"/>
    <w:rsid w:val="00DB5817"/>
    <w:rsid w:val="00DD544E"/>
    <w:rsid w:val="00DE4C04"/>
    <w:rsid w:val="00DF0FE5"/>
    <w:rsid w:val="00E02095"/>
    <w:rsid w:val="00E0283C"/>
    <w:rsid w:val="00E04605"/>
    <w:rsid w:val="00E120F5"/>
    <w:rsid w:val="00E144E2"/>
    <w:rsid w:val="00E20CAE"/>
    <w:rsid w:val="00E22A7C"/>
    <w:rsid w:val="00E24DFC"/>
    <w:rsid w:val="00E3040C"/>
    <w:rsid w:val="00E54AF4"/>
    <w:rsid w:val="00E633A3"/>
    <w:rsid w:val="00E75E19"/>
    <w:rsid w:val="00E85CBA"/>
    <w:rsid w:val="00E90062"/>
    <w:rsid w:val="00EB3CBC"/>
    <w:rsid w:val="00ED4C58"/>
    <w:rsid w:val="00ED6EAC"/>
    <w:rsid w:val="00EE2A49"/>
    <w:rsid w:val="00EF1BD7"/>
    <w:rsid w:val="00EF4D39"/>
    <w:rsid w:val="00EF6AE4"/>
    <w:rsid w:val="00F010AE"/>
    <w:rsid w:val="00F0371F"/>
    <w:rsid w:val="00F06E69"/>
    <w:rsid w:val="00F10FEA"/>
    <w:rsid w:val="00F32E93"/>
    <w:rsid w:val="00F477E4"/>
    <w:rsid w:val="00F52F31"/>
    <w:rsid w:val="00F54F60"/>
    <w:rsid w:val="00F61607"/>
    <w:rsid w:val="00F66FEE"/>
    <w:rsid w:val="00F81DA3"/>
    <w:rsid w:val="00FC66C2"/>
    <w:rsid w:val="00FD4B90"/>
    <w:rsid w:val="00FE0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7FC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Ca"/>
    <w:basedOn w:val="Normal"/>
    <w:link w:val="FootnoteTextChar"/>
    <w:uiPriority w:val="99"/>
    <w:unhideWhenUsed/>
    <w:qFormat/>
    <w:rsid w:val="00B16CFF"/>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B16CFF"/>
    <w:rPr>
      <w:rFonts w:ascii="Times New Roman" w:hAnsi="Times New Roman"/>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B16CFF"/>
    <w:rPr>
      <w:vertAlign w:val="superscript"/>
    </w:rPr>
  </w:style>
  <w:style w:type="paragraph" w:customStyle="1" w:styleId="Appelnotedebasde">
    <w:name w:val="Appel note de bas de..."/>
    <w:basedOn w:val="Normal"/>
    <w:link w:val="FootnoteReference"/>
    <w:uiPriority w:val="99"/>
    <w:rsid w:val="00B16CFF"/>
    <w:pPr>
      <w:spacing w:after="160" w:line="240" w:lineRule="exact"/>
    </w:pPr>
    <w:rPr>
      <w:sz w:val="20"/>
      <w:szCs w:val="20"/>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B16CFF"/>
    <w:pPr>
      <w:ind w:left="720"/>
      <w:contextualSpacing/>
    </w:pPr>
  </w:style>
  <w:style w:type="character" w:styleId="Hyperlink">
    <w:name w:val="Hyperlink"/>
    <w:uiPriority w:val="99"/>
    <w:unhideWhenUsed/>
    <w:rsid w:val="00B16CFF"/>
    <w:rPr>
      <w:color w:val="0000FF"/>
      <w:u w:val="single"/>
    </w:rPr>
  </w:style>
  <w:style w:type="character" w:styleId="FollowedHyperlink">
    <w:name w:val="FollowedHyperlink"/>
    <w:uiPriority w:val="99"/>
    <w:semiHidden/>
    <w:unhideWhenUsed/>
    <w:rsid w:val="00B16CFF"/>
    <w:rPr>
      <w:color w:val="954F72"/>
      <w:u w:val="single"/>
    </w:rPr>
  </w:style>
  <w:style w:type="paragraph" w:styleId="HTMLPreformatted">
    <w:name w:val="HTML Preformatted"/>
    <w:basedOn w:val="Normal"/>
    <w:link w:val="HTMLPreformattedChar"/>
    <w:uiPriority w:val="99"/>
    <w:unhideWhenUsed/>
    <w:rsid w:val="00BD2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BD2091"/>
    <w:rPr>
      <w:rFonts w:ascii="Courier New" w:eastAsia="Times New Roman" w:hAnsi="Courier New" w:cs="Courier New"/>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1912BC"/>
    <w:rPr>
      <w:sz w:val="22"/>
      <w:szCs w:val="22"/>
    </w:rPr>
  </w:style>
  <w:style w:type="character" w:styleId="CommentReference">
    <w:name w:val="annotation reference"/>
    <w:uiPriority w:val="99"/>
    <w:semiHidden/>
    <w:unhideWhenUsed/>
    <w:rsid w:val="00082715"/>
    <w:rPr>
      <w:sz w:val="16"/>
      <w:szCs w:val="16"/>
    </w:rPr>
  </w:style>
  <w:style w:type="paragraph" w:styleId="CommentText">
    <w:name w:val="annotation text"/>
    <w:basedOn w:val="Normal"/>
    <w:link w:val="CommentTextChar"/>
    <w:uiPriority w:val="99"/>
    <w:unhideWhenUsed/>
    <w:rsid w:val="00082715"/>
    <w:rPr>
      <w:sz w:val="20"/>
      <w:szCs w:val="20"/>
    </w:rPr>
  </w:style>
  <w:style w:type="character" w:customStyle="1" w:styleId="CommentTextChar">
    <w:name w:val="Comment Text Char"/>
    <w:basedOn w:val="DefaultParagraphFont"/>
    <w:link w:val="CommentText"/>
    <w:uiPriority w:val="99"/>
    <w:rsid w:val="00082715"/>
  </w:style>
  <w:style w:type="paragraph" w:styleId="CommentSubject">
    <w:name w:val="annotation subject"/>
    <w:basedOn w:val="CommentText"/>
    <w:next w:val="CommentText"/>
    <w:link w:val="CommentSubjectChar"/>
    <w:uiPriority w:val="99"/>
    <w:semiHidden/>
    <w:unhideWhenUsed/>
    <w:rsid w:val="00082715"/>
    <w:rPr>
      <w:b/>
      <w:bCs/>
    </w:rPr>
  </w:style>
  <w:style w:type="character" w:customStyle="1" w:styleId="CommentSubjectChar">
    <w:name w:val="Comment Subject Char"/>
    <w:link w:val="CommentSubject"/>
    <w:uiPriority w:val="99"/>
    <w:semiHidden/>
    <w:rsid w:val="00082715"/>
    <w:rPr>
      <w:b/>
      <w:bCs/>
    </w:rPr>
  </w:style>
  <w:style w:type="character" w:customStyle="1" w:styleId="normaltextrun">
    <w:name w:val="normaltextrun"/>
    <w:basedOn w:val="DefaultParagraphFont"/>
    <w:rsid w:val="00990242"/>
  </w:style>
  <w:style w:type="character" w:customStyle="1" w:styleId="FootnoteTextChar1">
    <w:name w:val="Footnote Text Char1"/>
    <w:uiPriority w:val="99"/>
    <w:semiHidden/>
    <w:rsid w:val="00990242"/>
    <w:rPr>
      <w:position w:val="-1"/>
      <w:sz w:val="20"/>
      <w:szCs w:val="20"/>
      <w:lang w:val="pt-BR"/>
    </w:rPr>
  </w:style>
  <w:style w:type="character" w:customStyle="1" w:styleId="eop">
    <w:name w:val="eop"/>
    <w:basedOn w:val="DefaultParagraphFont"/>
    <w:rsid w:val="00990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3200">
      <w:bodyDiv w:val="1"/>
      <w:marLeft w:val="0"/>
      <w:marRight w:val="0"/>
      <w:marTop w:val="0"/>
      <w:marBottom w:val="0"/>
      <w:divBdr>
        <w:top w:val="none" w:sz="0" w:space="0" w:color="auto"/>
        <w:left w:val="none" w:sz="0" w:space="0" w:color="auto"/>
        <w:bottom w:val="none" w:sz="0" w:space="0" w:color="auto"/>
        <w:right w:val="none" w:sz="0" w:space="0" w:color="auto"/>
      </w:divBdr>
    </w:div>
    <w:div w:id="51781508">
      <w:bodyDiv w:val="1"/>
      <w:marLeft w:val="0"/>
      <w:marRight w:val="0"/>
      <w:marTop w:val="0"/>
      <w:marBottom w:val="0"/>
      <w:divBdr>
        <w:top w:val="none" w:sz="0" w:space="0" w:color="auto"/>
        <w:left w:val="none" w:sz="0" w:space="0" w:color="auto"/>
        <w:bottom w:val="none" w:sz="0" w:space="0" w:color="auto"/>
        <w:right w:val="none" w:sz="0" w:space="0" w:color="auto"/>
      </w:divBdr>
    </w:div>
    <w:div w:id="167184201">
      <w:bodyDiv w:val="1"/>
      <w:marLeft w:val="0"/>
      <w:marRight w:val="0"/>
      <w:marTop w:val="0"/>
      <w:marBottom w:val="0"/>
      <w:divBdr>
        <w:top w:val="none" w:sz="0" w:space="0" w:color="auto"/>
        <w:left w:val="none" w:sz="0" w:space="0" w:color="auto"/>
        <w:bottom w:val="none" w:sz="0" w:space="0" w:color="auto"/>
        <w:right w:val="none" w:sz="0" w:space="0" w:color="auto"/>
      </w:divBdr>
    </w:div>
    <w:div w:id="249318261">
      <w:bodyDiv w:val="1"/>
      <w:marLeft w:val="0"/>
      <w:marRight w:val="0"/>
      <w:marTop w:val="0"/>
      <w:marBottom w:val="0"/>
      <w:divBdr>
        <w:top w:val="none" w:sz="0" w:space="0" w:color="auto"/>
        <w:left w:val="none" w:sz="0" w:space="0" w:color="auto"/>
        <w:bottom w:val="none" w:sz="0" w:space="0" w:color="auto"/>
        <w:right w:val="none" w:sz="0" w:space="0" w:color="auto"/>
      </w:divBdr>
    </w:div>
    <w:div w:id="311981709">
      <w:bodyDiv w:val="1"/>
      <w:marLeft w:val="0"/>
      <w:marRight w:val="0"/>
      <w:marTop w:val="0"/>
      <w:marBottom w:val="0"/>
      <w:divBdr>
        <w:top w:val="none" w:sz="0" w:space="0" w:color="auto"/>
        <w:left w:val="none" w:sz="0" w:space="0" w:color="auto"/>
        <w:bottom w:val="none" w:sz="0" w:space="0" w:color="auto"/>
        <w:right w:val="none" w:sz="0" w:space="0" w:color="auto"/>
      </w:divBdr>
    </w:div>
    <w:div w:id="712996926">
      <w:bodyDiv w:val="1"/>
      <w:marLeft w:val="0"/>
      <w:marRight w:val="0"/>
      <w:marTop w:val="0"/>
      <w:marBottom w:val="0"/>
      <w:divBdr>
        <w:top w:val="none" w:sz="0" w:space="0" w:color="auto"/>
        <w:left w:val="none" w:sz="0" w:space="0" w:color="auto"/>
        <w:bottom w:val="none" w:sz="0" w:space="0" w:color="auto"/>
        <w:right w:val="none" w:sz="0" w:space="0" w:color="auto"/>
      </w:divBdr>
    </w:div>
    <w:div w:id="789712991">
      <w:bodyDiv w:val="1"/>
      <w:marLeft w:val="0"/>
      <w:marRight w:val="0"/>
      <w:marTop w:val="0"/>
      <w:marBottom w:val="0"/>
      <w:divBdr>
        <w:top w:val="none" w:sz="0" w:space="0" w:color="auto"/>
        <w:left w:val="none" w:sz="0" w:space="0" w:color="auto"/>
        <w:bottom w:val="none" w:sz="0" w:space="0" w:color="auto"/>
        <w:right w:val="none" w:sz="0" w:space="0" w:color="auto"/>
      </w:divBdr>
    </w:div>
    <w:div w:id="914625540">
      <w:bodyDiv w:val="1"/>
      <w:marLeft w:val="0"/>
      <w:marRight w:val="0"/>
      <w:marTop w:val="0"/>
      <w:marBottom w:val="0"/>
      <w:divBdr>
        <w:top w:val="none" w:sz="0" w:space="0" w:color="auto"/>
        <w:left w:val="none" w:sz="0" w:space="0" w:color="auto"/>
        <w:bottom w:val="none" w:sz="0" w:space="0" w:color="auto"/>
        <w:right w:val="none" w:sz="0" w:space="0" w:color="auto"/>
      </w:divBdr>
    </w:div>
    <w:div w:id="945649495">
      <w:bodyDiv w:val="1"/>
      <w:marLeft w:val="0"/>
      <w:marRight w:val="0"/>
      <w:marTop w:val="0"/>
      <w:marBottom w:val="0"/>
      <w:divBdr>
        <w:top w:val="none" w:sz="0" w:space="0" w:color="auto"/>
        <w:left w:val="none" w:sz="0" w:space="0" w:color="auto"/>
        <w:bottom w:val="none" w:sz="0" w:space="0" w:color="auto"/>
        <w:right w:val="none" w:sz="0" w:space="0" w:color="auto"/>
      </w:divBdr>
    </w:div>
    <w:div w:id="1034648318">
      <w:bodyDiv w:val="1"/>
      <w:marLeft w:val="0"/>
      <w:marRight w:val="0"/>
      <w:marTop w:val="0"/>
      <w:marBottom w:val="0"/>
      <w:divBdr>
        <w:top w:val="none" w:sz="0" w:space="0" w:color="auto"/>
        <w:left w:val="none" w:sz="0" w:space="0" w:color="auto"/>
        <w:bottom w:val="none" w:sz="0" w:space="0" w:color="auto"/>
        <w:right w:val="none" w:sz="0" w:space="0" w:color="auto"/>
      </w:divBdr>
    </w:div>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137800005">
      <w:bodyDiv w:val="1"/>
      <w:marLeft w:val="0"/>
      <w:marRight w:val="0"/>
      <w:marTop w:val="0"/>
      <w:marBottom w:val="0"/>
      <w:divBdr>
        <w:top w:val="none" w:sz="0" w:space="0" w:color="auto"/>
        <w:left w:val="none" w:sz="0" w:space="0" w:color="auto"/>
        <w:bottom w:val="none" w:sz="0" w:space="0" w:color="auto"/>
        <w:right w:val="none" w:sz="0" w:space="0" w:color="auto"/>
      </w:divBdr>
    </w:div>
    <w:div w:id="1175072749">
      <w:bodyDiv w:val="1"/>
      <w:marLeft w:val="0"/>
      <w:marRight w:val="0"/>
      <w:marTop w:val="0"/>
      <w:marBottom w:val="0"/>
      <w:divBdr>
        <w:top w:val="none" w:sz="0" w:space="0" w:color="auto"/>
        <w:left w:val="none" w:sz="0" w:space="0" w:color="auto"/>
        <w:bottom w:val="none" w:sz="0" w:space="0" w:color="auto"/>
        <w:right w:val="none" w:sz="0" w:space="0" w:color="auto"/>
      </w:divBdr>
    </w:div>
    <w:div w:id="1176073365">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1590239121">
      <w:bodyDiv w:val="1"/>
      <w:marLeft w:val="0"/>
      <w:marRight w:val="0"/>
      <w:marTop w:val="0"/>
      <w:marBottom w:val="0"/>
      <w:divBdr>
        <w:top w:val="none" w:sz="0" w:space="0" w:color="auto"/>
        <w:left w:val="none" w:sz="0" w:space="0" w:color="auto"/>
        <w:bottom w:val="none" w:sz="0" w:space="0" w:color="auto"/>
        <w:right w:val="none" w:sz="0" w:space="0" w:color="auto"/>
      </w:divBdr>
    </w:div>
    <w:div w:id="1681005868">
      <w:bodyDiv w:val="1"/>
      <w:marLeft w:val="0"/>
      <w:marRight w:val="0"/>
      <w:marTop w:val="0"/>
      <w:marBottom w:val="0"/>
      <w:divBdr>
        <w:top w:val="none" w:sz="0" w:space="0" w:color="auto"/>
        <w:left w:val="none" w:sz="0" w:space="0" w:color="auto"/>
        <w:bottom w:val="none" w:sz="0" w:space="0" w:color="auto"/>
        <w:right w:val="none" w:sz="0" w:space="0" w:color="auto"/>
      </w:divBdr>
    </w:div>
    <w:div w:id="1733845799">
      <w:bodyDiv w:val="1"/>
      <w:marLeft w:val="0"/>
      <w:marRight w:val="0"/>
      <w:marTop w:val="0"/>
      <w:marBottom w:val="0"/>
      <w:divBdr>
        <w:top w:val="none" w:sz="0" w:space="0" w:color="auto"/>
        <w:left w:val="none" w:sz="0" w:space="0" w:color="auto"/>
        <w:bottom w:val="none" w:sz="0" w:space="0" w:color="auto"/>
        <w:right w:val="none" w:sz="0" w:space="0" w:color="auto"/>
      </w:divBdr>
    </w:div>
    <w:div w:id="1780837634">
      <w:bodyDiv w:val="1"/>
      <w:marLeft w:val="0"/>
      <w:marRight w:val="0"/>
      <w:marTop w:val="0"/>
      <w:marBottom w:val="0"/>
      <w:divBdr>
        <w:top w:val="none" w:sz="0" w:space="0" w:color="auto"/>
        <w:left w:val="none" w:sz="0" w:space="0" w:color="auto"/>
        <w:bottom w:val="none" w:sz="0" w:space="0" w:color="auto"/>
        <w:right w:val="none" w:sz="0" w:space="0" w:color="auto"/>
      </w:divBdr>
    </w:div>
    <w:div w:id="1794011378">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 w:id="207057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idh.org/annualrep/2010sp/BRPU12308ES.doc" TargetMode="External"/><Relationship Id="rId2" Type="http://schemas.openxmlformats.org/officeDocument/2006/relationships/hyperlink" Target="http://www.oas.org/es/cidh/docs/anual/2012/Cap.3.D.doc" TargetMode="External"/><Relationship Id="rId1" Type="http://schemas.openxmlformats.org/officeDocument/2006/relationships/hyperlink" Target="http://www.oas.org/es/cidh/docs/anual/2012/Cap.3.D.doc" TargetMode="External"/><Relationship Id="rId5" Type="http://schemas.openxmlformats.org/officeDocument/2006/relationships/hyperlink" Target="https://www.oas.org/es/cidh/informes/pdfs/Brasil2021-es.pdf" TargetMode="External"/><Relationship Id="rId4" Type="http://schemas.openxmlformats.org/officeDocument/2006/relationships/hyperlink" Target="https://www.oas.org/es/cidh/informes/pdfs/Brasil2021-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1EFFAB1E-A7CD-4F4B-A305-C4139CC05D1D}">
  <ds:schemaRefs>
    <ds:schemaRef ds:uri="http://schemas.openxmlformats.org/officeDocument/2006/bibliography"/>
  </ds:schemaRefs>
</ds:datastoreItem>
</file>

<file path=customXml/itemProps2.xml><?xml version="1.0" encoding="utf-8"?>
<ds:datastoreItem xmlns:ds="http://schemas.openxmlformats.org/officeDocument/2006/customXml" ds:itemID="{AAAAD732-CD86-4254-BC32-556D9A61177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4643</Words>
  <Characters>26471</Characters>
  <Application>Microsoft Office Word</Application>
  <DocSecurity>0</DocSecurity>
  <Lines>220</Lines>
  <Paragraphs>62</Paragraphs>
  <ScaleCrop>false</ScaleCrop>
  <Company/>
  <LinksUpToDate>false</LinksUpToDate>
  <CharactersWithSpaces>31052</CharactersWithSpaces>
  <SharedDoc>false</SharedDoc>
  <HLinks>
    <vt:vector size="36" baseType="variant">
      <vt:variant>
        <vt:i4>5111883</vt:i4>
      </vt:variant>
      <vt:variant>
        <vt:i4>0</vt:i4>
      </vt:variant>
      <vt:variant>
        <vt:i4>0</vt:i4>
      </vt:variant>
      <vt:variant>
        <vt:i4>5</vt:i4>
      </vt:variant>
      <vt:variant>
        <vt:lpwstr>http://www.cidh.org/annualrep/2010sp/BRPU12308ES.doc</vt:lpwstr>
      </vt:variant>
      <vt:variant>
        <vt:lpwstr/>
      </vt:variant>
      <vt:variant>
        <vt:i4>6553723</vt:i4>
      </vt:variant>
      <vt:variant>
        <vt:i4>12</vt:i4>
      </vt:variant>
      <vt:variant>
        <vt:i4>0</vt:i4>
      </vt:variant>
      <vt:variant>
        <vt:i4>5</vt:i4>
      </vt:variant>
      <vt:variant>
        <vt:lpwstr>https://www.oas.org/es/cidh/informes/pdfs/Brasil2021-es.pdf</vt:lpwstr>
      </vt:variant>
      <vt:variant>
        <vt:lpwstr/>
      </vt:variant>
      <vt:variant>
        <vt:i4>6553723</vt:i4>
      </vt:variant>
      <vt:variant>
        <vt:i4>9</vt:i4>
      </vt:variant>
      <vt:variant>
        <vt:i4>0</vt:i4>
      </vt:variant>
      <vt:variant>
        <vt:i4>5</vt:i4>
      </vt:variant>
      <vt:variant>
        <vt:lpwstr>https://www.oas.org/es/cidh/informes/pdfs/Brasil2021-es.pdf</vt:lpwstr>
      </vt:variant>
      <vt:variant>
        <vt:lpwstr/>
      </vt:variant>
      <vt:variant>
        <vt:i4>5111883</vt:i4>
      </vt:variant>
      <vt:variant>
        <vt:i4>6</vt:i4>
      </vt:variant>
      <vt:variant>
        <vt:i4>0</vt:i4>
      </vt:variant>
      <vt:variant>
        <vt:i4>5</vt:i4>
      </vt:variant>
      <vt:variant>
        <vt:lpwstr>http://www.cidh.org/annualrep/2010sp/BRPU12308ES.doc</vt:lpwstr>
      </vt:variant>
      <vt:variant>
        <vt:lpwstr/>
      </vt:variant>
      <vt:variant>
        <vt:i4>3997809</vt:i4>
      </vt:variant>
      <vt:variant>
        <vt:i4>3</vt:i4>
      </vt:variant>
      <vt:variant>
        <vt:i4>0</vt:i4>
      </vt:variant>
      <vt:variant>
        <vt:i4>5</vt:i4>
      </vt:variant>
      <vt:variant>
        <vt:lpwstr>http://www.oas.org/es/cidh/docs/anual/2012/Cap.3.D.doc</vt:lpwstr>
      </vt:variant>
      <vt:variant>
        <vt:lpwstr/>
      </vt:variant>
      <vt:variant>
        <vt:i4>3997809</vt:i4>
      </vt:variant>
      <vt:variant>
        <vt:i4>0</vt:i4>
      </vt:variant>
      <vt:variant>
        <vt:i4>0</vt:i4>
      </vt:variant>
      <vt:variant>
        <vt:i4>5</vt:i4>
      </vt:variant>
      <vt:variant>
        <vt:lpwstr>http://www.oas.org/es/cidh/docs/anual/2012/Cap.3.D.doc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2022-03-22T13:52:00Z</dcterms:created>
  <dcterms:modified xsi:type="dcterms:W3CDTF">2022-03-22T13:52:00Z</dcterms:modified>
</cp:coreProperties>
</file>