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48DA" w14:textId="77777777" w:rsidR="007B7BB1" w:rsidRPr="008D0207" w:rsidRDefault="007B7BB1" w:rsidP="3B19747E">
      <w:pPr>
        <w:pStyle w:val="Header"/>
        <w:jc w:val="center"/>
        <w:rPr>
          <w:rFonts w:ascii="Cambria" w:hAnsi="Cambria"/>
          <w:b/>
          <w:bCs/>
          <w:color w:val="000000" w:themeColor="text1"/>
          <w:sz w:val="20"/>
          <w:szCs w:val="20"/>
          <w:lang w:val="es-ES"/>
        </w:rPr>
      </w:pPr>
    </w:p>
    <w:p w14:paraId="28109090" w14:textId="77777777" w:rsidR="007B7BB1" w:rsidRPr="00F709EF" w:rsidRDefault="007B7BB1" w:rsidP="3B19747E">
      <w:pPr>
        <w:pStyle w:val="Header"/>
        <w:jc w:val="center"/>
        <w:rPr>
          <w:rFonts w:ascii="Cambria" w:hAnsi="Cambria"/>
          <w:color w:val="000000" w:themeColor="text1"/>
          <w:sz w:val="20"/>
          <w:szCs w:val="20"/>
          <w:lang w:val="pt-BR"/>
        </w:rPr>
      </w:pPr>
      <w:r w:rsidRPr="3B19747E">
        <w:rPr>
          <w:rFonts w:ascii="Cambria" w:hAnsi="Cambria"/>
          <w:b/>
          <w:bCs/>
          <w:color w:val="000000" w:themeColor="text1"/>
          <w:sz w:val="20"/>
          <w:szCs w:val="20"/>
          <w:lang w:val="pt-BR"/>
        </w:rPr>
        <w:t>FICHA DE SEGUIMIENTO DEL INFORME Nº 8/16</w:t>
      </w:r>
    </w:p>
    <w:p w14:paraId="1E86B516" w14:textId="77777777" w:rsidR="007B7BB1" w:rsidRPr="00F709EF" w:rsidRDefault="007B7BB1" w:rsidP="3B19747E">
      <w:pPr>
        <w:ind w:left="180"/>
        <w:jc w:val="center"/>
        <w:rPr>
          <w:rFonts w:ascii="Cambria" w:hAnsi="Cambria"/>
          <w:b/>
          <w:bCs/>
          <w:color w:val="000000" w:themeColor="text1"/>
          <w:sz w:val="20"/>
          <w:szCs w:val="20"/>
          <w:lang w:val="pt-BR"/>
        </w:rPr>
      </w:pPr>
      <w:r w:rsidRPr="3B19747E">
        <w:rPr>
          <w:rFonts w:ascii="Cambria" w:hAnsi="Cambria"/>
          <w:b/>
          <w:bCs/>
          <w:color w:val="000000" w:themeColor="text1"/>
          <w:sz w:val="20"/>
          <w:szCs w:val="20"/>
          <w:lang w:val="pt-BR"/>
        </w:rPr>
        <w:t>CASO 11.661</w:t>
      </w:r>
    </w:p>
    <w:p w14:paraId="30DDDF7D" w14:textId="77777777" w:rsidR="007B7BB1" w:rsidRPr="00F709EF" w:rsidRDefault="007B7BB1" w:rsidP="3B19747E">
      <w:pPr>
        <w:ind w:left="180"/>
        <w:jc w:val="center"/>
        <w:rPr>
          <w:rFonts w:ascii="Cambria" w:hAnsi="Cambria"/>
          <w:b/>
          <w:bCs/>
          <w:color w:val="000000" w:themeColor="text1"/>
          <w:sz w:val="20"/>
          <w:szCs w:val="20"/>
          <w:lang w:val="pt-BR"/>
        </w:rPr>
      </w:pPr>
      <w:r w:rsidRPr="3B19747E">
        <w:rPr>
          <w:rFonts w:ascii="Cambria" w:hAnsi="Cambria"/>
          <w:b/>
          <w:bCs/>
          <w:color w:val="000000" w:themeColor="text1"/>
          <w:sz w:val="20"/>
          <w:szCs w:val="20"/>
          <w:lang w:val="pt-BR"/>
        </w:rPr>
        <w:t>MANICKAVASAGAM SURESH</w:t>
      </w:r>
    </w:p>
    <w:p w14:paraId="4AD397B9" w14:textId="77777777" w:rsidR="007B7BB1" w:rsidRPr="00F709EF" w:rsidRDefault="007B7BB1" w:rsidP="3B19747E">
      <w:pPr>
        <w:jc w:val="center"/>
        <w:rPr>
          <w:rFonts w:ascii="Cambria" w:hAnsi="Cambria"/>
          <w:b/>
          <w:bCs/>
          <w:color w:val="000000" w:themeColor="text1"/>
          <w:sz w:val="20"/>
          <w:szCs w:val="20"/>
          <w:lang w:val="pt-BR"/>
        </w:rPr>
      </w:pPr>
      <w:r w:rsidRPr="3B19747E">
        <w:rPr>
          <w:rFonts w:ascii="Cambria" w:hAnsi="Cambria"/>
          <w:b/>
          <w:bCs/>
          <w:color w:val="000000" w:themeColor="text1"/>
          <w:sz w:val="20"/>
          <w:szCs w:val="20"/>
          <w:lang w:val="pt-BR"/>
        </w:rPr>
        <w:t>(Canadá)</w:t>
      </w:r>
    </w:p>
    <w:p w14:paraId="327081D4" w14:textId="77777777" w:rsidR="007B7BB1" w:rsidRPr="00F709EF" w:rsidRDefault="007B7BB1" w:rsidP="3B19747E">
      <w:pPr>
        <w:jc w:val="center"/>
        <w:rPr>
          <w:rFonts w:ascii="Cambria" w:hAnsi="Cambria"/>
          <w:color w:val="000000" w:themeColor="text1"/>
          <w:sz w:val="20"/>
          <w:szCs w:val="20"/>
          <w:lang w:val="pt-BR"/>
        </w:rPr>
      </w:pPr>
    </w:p>
    <w:p w14:paraId="213171E4" w14:textId="77777777" w:rsidR="007B7BB1" w:rsidRPr="00F709EF" w:rsidRDefault="007B7BB1" w:rsidP="3B19747E">
      <w:pPr>
        <w:numPr>
          <w:ilvl w:val="0"/>
          <w:numId w:val="8"/>
        </w:numPr>
        <w:ind w:left="1440"/>
        <w:rPr>
          <w:rFonts w:ascii="Cambria" w:hAnsi="Cambria" w:cs="Calibri Light"/>
          <w:b/>
          <w:bCs/>
          <w:color w:val="000000" w:themeColor="text1"/>
          <w:sz w:val="20"/>
          <w:szCs w:val="20"/>
          <w:lang w:val="es-US"/>
        </w:rPr>
      </w:pPr>
      <w:r w:rsidRPr="3B19747E">
        <w:rPr>
          <w:rFonts w:ascii="Cambria" w:hAnsi="Cambria" w:cs="Calibri Light"/>
          <w:b/>
          <w:bCs/>
          <w:color w:val="000000" w:themeColor="text1"/>
          <w:sz w:val="20"/>
          <w:szCs w:val="20"/>
          <w:lang w:val="es-US"/>
        </w:rPr>
        <w:t xml:space="preserve">Resumen del caso </w:t>
      </w:r>
    </w:p>
    <w:p w14:paraId="00EB036F" w14:textId="77777777" w:rsidR="007B7BB1" w:rsidRPr="00F709EF" w:rsidRDefault="007B7BB1" w:rsidP="3B19747E">
      <w:pPr>
        <w:ind w:left="1080"/>
        <w:rPr>
          <w:rFonts w:ascii="Cambria" w:hAnsi="Cambria" w:cs="Calibri Light"/>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7B7BB1" w:rsidRPr="00A9249B" w14:paraId="5DA2E4C8" w14:textId="77777777" w:rsidTr="3B19747E">
        <w:trPr>
          <w:jc w:val="center"/>
        </w:trPr>
        <w:tc>
          <w:tcPr>
            <w:tcW w:w="9576" w:type="dxa"/>
            <w:shd w:val="clear" w:color="auto" w:fill="F2F2F2" w:themeFill="background1" w:themeFillShade="F2"/>
          </w:tcPr>
          <w:p w14:paraId="52EF775D" w14:textId="77777777" w:rsidR="007B7BB1" w:rsidRPr="00F709EF" w:rsidRDefault="007B7BB1" w:rsidP="3B19747E">
            <w:pPr>
              <w:spacing w:before="120"/>
              <w:jc w:val="both"/>
              <w:rPr>
                <w:rFonts w:ascii="Cambria" w:hAnsi="Cambria"/>
                <w:b/>
                <w:bCs/>
                <w:color w:val="000000" w:themeColor="text1"/>
                <w:sz w:val="20"/>
                <w:szCs w:val="20"/>
                <w:lang w:val="pt-BR"/>
              </w:rPr>
            </w:pPr>
            <w:r w:rsidRPr="3B19747E">
              <w:rPr>
                <w:rFonts w:ascii="Cambria" w:hAnsi="Cambria"/>
                <w:b/>
                <w:bCs/>
                <w:color w:val="000000" w:themeColor="text1"/>
                <w:sz w:val="20"/>
                <w:szCs w:val="20"/>
                <w:lang w:val="pt-BR"/>
              </w:rPr>
              <w:t xml:space="preserve">Víctima (s): </w:t>
            </w:r>
            <w:r w:rsidRPr="3B19747E">
              <w:rPr>
                <w:rFonts w:ascii="Cambria" w:hAnsi="Cambria"/>
                <w:color w:val="000000" w:themeColor="text1"/>
                <w:sz w:val="20"/>
                <w:szCs w:val="20"/>
                <w:lang w:val="pt-BR"/>
              </w:rPr>
              <w:t>Manickavasagam Suresh</w:t>
            </w:r>
          </w:p>
          <w:p w14:paraId="47C313E9" w14:textId="77777777" w:rsidR="007B7BB1" w:rsidRPr="00F709EF" w:rsidRDefault="007B7BB1" w:rsidP="3B19747E">
            <w:pPr>
              <w:jc w:val="both"/>
              <w:rPr>
                <w:rFonts w:ascii="Cambria" w:hAnsi="Cambria"/>
                <w:b/>
                <w:bCs/>
                <w:color w:val="000000" w:themeColor="text1"/>
                <w:sz w:val="20"/>
                <w:szCs w:val="20"/>
                <w:lang w:val="pt-BR"/>
              </w:rPr>
            </w:pPr>
            <w:r w:rsidRPr="3B19747E">
              <w:rPr>
                <w:rFonts w:ascii="Cambria" w:hAnsi="Cambria"/>
                <w:b/>
                <w:bCs/>
                <w:color w:val="000000" w:themeColor="text1"/>
                <w:sz w:val="20"/>
                <w:szCs w:val="20"/>
                <w:lang w:val="pt-BR"/>
              </w:rPr>
              <w:t>Peticionario (s):</w:t>
            </w:r>
            <w:r w:rsidRPr="3B19747E">
              <w:rPr>
                <w:rFonts w:ascii="Cambria" w:hAnsi="Cambria"/>
                <w:color w:val="000000" w:themeColor="text1"/>
                <w:sz w:val="20"/>
                <w:szCs w:val="20"/>
                <w:lang w:val="pt-BR"/>
              </w:rPr>
              <w:t xml:space="preserve"> Barbara Jackman</w:t>
            </w:r>
          </w:p>
          <w:p w14:paraId="21DFB0E1" w14:textId="77777777" w:rsidR="007B7BB1" w:rsidRPr="00F709EF" w:rsidRDefault="007B7BB1" w:rsidP="3B19747E">
            <w:pPr>
              <w:jc w:val="both"/>
              <w:rPr>
                <w:rFonts w:ascii="Cambria" w:hAnsi="Cambria"/>
                <w:color w:val="000000" w:themeColor="text1"/>
                <w:sz w:val="20"/>
                <w:szCs w:val="20"/>
                <w:lang w:val="pt-BR"/>
              </w:rPr>
            </w:pPr>
            <w:r w:rsidRPr="3B19747E">
              <w:rPr>
                <w:rFonts w:ascii="Cambria" w:hAnsi="Cambria"/>
                <w:b/>
                <w:bCs/>
                <w:color w:val="000000" w:themeColor="text1"/>
                <w:sz w:val="20"/>
                <w:szCs w:val="20"/>
                <w:lang w:val="pt-BR"/>
              </w:rPr>
              <w:t xml:space="preserve">Estado: </w:t>
            </w:r>
            <w:r w:rsidRPr="3B19747E">
              <w:rPr>
                <w:rFonts w:ascii="Cambria" w:hAnsi="Cambria"/>
                <w:color w:val="000000" w:themeColor="text1"/>
                <w:sz w:val="20"/>
                <w:szCs w:val="20"/>
                <w:lang w:val="pt-BR"/>
              </w:rPr>
              <w:t>Canadá</w:t>
            </w:r>
          </w:p>
          <w:p w14:paraId="1D917C69" w14:textId="77777777" w:rsidR="007B7BB1" w:rsidRPr="00F709EF" w:rsidRDefault="007B7BB1" w:rsidP="3B19747E">
            <w:pPr>
              <w:jc w:val="both"/>
              <w:rPr>
                <w:rFonts w:ascii="Cambria" w:hAnsi="Cambria"/>
                <w:color w:val="000000" w:themeColor="text1"/>
                <w:sz w:val="20"/>
                <w:szCs w:val="20"/>
                <w:lang w:val="pt-BR"/>
              </w:rPr>
            </w:pPr>
            <w:r w:rsidRPr="3B19747E">
              <w:rPr>
                <w:rFonts w:ascii="Cambria" w:hAnsi="Cambria"/>
                <w:b/>
                <w:bCs/>
                <w:color w:val="000000" w:themeColor="text1"/>
                <w:sz w:val="20"/>
                <w:szCs w:val="20"/>
                <w:lang w:val="pt-BR"/>
              </w:rPr>
              <w:t xml:space="preserve">Informe de Fondo Nº: </w:t>
            </w:r>
            <w:r w:rsidR="00832521">
              <w:fldChar w:fldCharType="begin"/>
            </w:r>
            <w:r w:rsidR="00832521" w:rsidRPr="00A9249B">
              <w:rPr>
                <w:lang w:val="es-US"/>
              </w:rPr>
              <w:instrText xml:space="preserve"> HYPERLINK "http://www.oas.org/es/cidh/decisiones/2016/CAPU11661ES.pdf" \h </w:instrText>
            </w:r>
            <w:r w:rsidR="00832521">
              <w:fldChar w:fldCharType="separate"/>
            </w:r>
            <w:r w:rsidRPr="3B19747E">
              <w:rPr>
                <w:rStyle w:val="Hyperlink"/>
                <w:rFonts w:ascii="Cambria" w:hAnsi="Cambria"/>
                <w:color w:val="000000" w:themeColor="text1"/>
                <w:sz w:val="20"/>
                <w:szCs w:val="20"/>
                <w:lang w:val="pt-BR"/>
              </w:rPr>
              <w:t>8/16</w:t>
            </w:r>
            <w:r w:rsidR="00832521">
              <w:rPr>
                <w:rStyle w:val="Hyperlink"/>
                <w:rFonts w:ascii="Cambria" w:hAnsi="Cambria"/>
                <w:color w:val="000000" w:themeColor="text1"/>
                <w:sz w:val="20"/>
                <w:szCs w:val="20"/>
                <w:lang w:val="pt-BR"/>
              </w:rPr>
              <w:fldChar w:fldCharType="end"/>
            </w:r>
            <w:r w:rsidRPr="3B19747E">
              <w:rPr>
                <w:rFonts w:ascii="Cambria" w:hAnsi="Cambria"/>
                <w:color w:val="000000" w:themeColor="text1"/>
                <w:sz w:val="20"/>
                <w:szCs w:val="20"/>
                <w:lang w:val="pt-BR"/>
              </w:rPr>
              <w:t>, publicado el 13 de abril de 2016</w:t>
            </w:r>
          </w:p>
          <w:p w14:paraId="715E855C" w14:textId="77777777" w:rsidR="007B7BB1" w:rsidRPr="00F709EF" w:rsidRDefault="007B7BB1" w:rsidP="3B19747E">
            <w:pPr>
              <w:jc w:val="both"/>
              <w:rPr>
                <w:rFonts w:ascii="Cambria" w:hAnsi="Cambria"/>
                <w:color w:val="000000" w:themeColor="text1"/>
                <w:sz w:val="20"/>
                <w:szCs w:val="20"/>
                <w:lang w:val="es-US"/>
              </w:rPr>
            </w:pPr>
            <w:r w:rsidRPr="3B19747E">
              <w:rPr>
                <w:rFonts w:ascii="Cambria" w:hAnsi="Cambria"/>
                <w:b/>
                <w:bCs/>
                <w:color w:val="000000" w:themeColor="text1"/>
                <w:sz w:val="20"/>
                <w:szCs w:val="20"/>
                <w:lang w:val="es-US"/>
              </w:rPr>
              <w:t xml:space="preserve">Informe de Admisibilidad </w:t>
            </w:r>
            <w:proofErr w:type="spellStart"/>
            <w:r w:rsidRPr="3B19747E">
              <w:rPr>
                <w:rFonts w:ascii="Cambria" w:hAnsi="Cambria"/>
                <w:b/>
                <w:bCs/>
                <w:color w:val="000000" w:themeColor="text1"/>
                <w:sz w:val="20"/>
                <w:szCs w:val="20"/>
                <w:lang w:val="es-US"/>
              </w:rPr>
              <w:t>Nº</w:t>
            </w:r>
            <w:proofErr w:type="spellEnd"/>
            <w:r w:rsidRPr="3B19747E">
              <w:rPr>
                <w:rFonts w:ascii="Cambria" w:hAnsi="Cambria"/>
                <w:b/>
                <w:bCs/>
                <w:color w:val="000000" w:themeColor="text1"/>
                <w:sz w:val="20"/>
                <w:szCs w:val="20"/>
                <w:lang w:val="es-US"/>
              </w:rPr>
              <w:t xml:space="preserve">: </w:t>
            </w:r>
            <w:hyperlink r:id="rId8">
              <w:r w:rsidRPr="3B19747E">
                <w:rPr>
                  <w:rStyle w:val="Hyperlink"/>
                  <w:rFonts w:ascii="Cambria" w:hAnsi="Cambria"/>
                  <w:color w:val="000000" w:themeColor="text1"/>
                  <w:sz w:val="20"/>
                  <w:szCs w:val="20"/>
                  <w:lang w:val="es-US"/>
                </w:rPr>
                <w:t>7/02</w:t>
              </w:r>
            </w:hyperlink>
            <w:r w:rsidRPr="3B19747E">
              <w:rPr>
                <w:rFonts w:ascii="Cambria" w:hAnsi="Cambria"/>
                <w:color w:val="000000" w:themeColor="text1"/>
                <w:sz w:val="20"/>
                <w:szCs w:val="20"/>
                <w:lang w:val="es-US"/>
              </w:rPr>
              <w:t xml:space="preserve">, adoptado el 27 de febrero de 2002 </w:t>
            </w:r>
          </w:p>
          <w:p w14:paraId="522F039F" w14:textId="77777777" w:rsidR="007B7BB1" w:rsidRPr="00F709EF" w:rsidRDefault="007B7BB1" w:rsidP="3B19747E">
            <w:pPr>
              <w:jc w:val="both"/>
              <w:rPr>
                <w:rFonts w:ascii="Cambria" w:hAnsi="Cambria"/>
                <w:b/>
                <w:bCs/>
                <w:color w:val="000000" w:themeColor="text1"/>
                <w:sz w:val="20"/>
                <w:szCs w:val="20"/>
                <w:lang w:val="es-CO"/>
              </w:rPr>
            </w:pPr>
            <w:r w:rsidRPr="3B19747E">
              <w:rPr>
                <w:rFonts w:ascii="Cambria" w:hAnsi="Cambria"/>
                <w:b/>
                <w:bCs/>
                <w:color w:val="000000" w:themeColor="text1"/>
                <w:sz w:val="20"/>
                <w:szCs w:val="20"/>
                <w:lang w:val="es-CO"/>
              </w:rPr>
              <w:t xml:space="preserve">Medidas cautelares: </w:t>
            </w:r>
            <w:hyperlink r:id="rId9">
              <w:r w:rsidRPr="3B19747E">
                <w:rPr>
                  <w:rStyle w:val="Hyperlink"/>
                  <w:rFonts w:ascii="Cambria" w:hAnsi="Cambria"/>
                  <w:color w:val="000000" w:themeColor="text1"/>
                  <w:sz w:val="20"/>
                  <w:szCs w:val="20"/>
                  <w:lang w:val="es-CO"/>
                </w:rPr>
                <w:t>Otorgadas el 16 de enero de 1998</w:t>
              </w:r>
            </w:hyperlink>
            <w:r w:rsidRPr="3B19747E">
              <w:rPr>
                <w:rFonts w:ascii="Cambria" w:hAnsi="Cambria"/>
                <w:b/>
                <w:bCs/>
                <w:color w:val="000000" w:themeColor="text1"/>
                <w:sz w:val="20"/>
                <w:szCs w:val="20"/>
                <w:lang w:val="es-CO"/>
              </w:rPr>
              <w:t xml:space="preserve"> </w:t>
            </w:r>
          </w:p>
          <w:p w14:paraId="70AAC57F" w14:textId="77777777" w:rsidR="007B7BB1" w:rsidRPr="00F709EF" w:rsidRDefault="007B7BB1" w:rsidP="3B19747E">
            <w:pPr>
              <w:spacing w:after="120"/>
              <w:jc w:val="both"/>
              <w:rPr>
                <w:rFonts w:ascii="Cambria" w:hAnsi="Cambria"/>
                <w:color w:val="000000" w:themeColor="text1"/>
                <w:sz w:val="20"/>
                <w:szCs w:val="20"/>
                <w:lang w:val="es-CO"/>
              </w:rPr>
            </w:pPr>
            <w:r w:rsidRPr="3B19747E">
              <w:rPr>
                <w:rFonts w:ascii="Cambria" w:hAnsi="Cambria"/>
                <w:b/>
                <w:bCs/>
                <w:color w:val="000000" w:themeColor="text1"/>
                <w:sz w:val="20"/>
                <w:szCs w:val="20"/>
                <w:lang w:val="es-CO"/>
              </w:rPr>
              <w:t xml:space="preserve">Temas: </w:t>
            </w:r>
            <w:r w:rsidRPr="3B19747E">
              <w:rPr>
                <w:rFonts w:ascii="Cambria" w:hAnsi="Cambria"/>
                <w:color w:val="000000" w:themeColor="text1"/>
                <w:sz w:val="20"/>
                <w:szCs w:val="20"/>
                <w:lang w:val="es-CO"/>
              </w:rPr>
              <w:t>Detención Arbitraria / Deportación y Expulsión / Derecho al Asilo / Condiciones de Detención / Igualdad y No Discriminación / Derecho a la Circulación y Residencia / Garantías Judiciales</w:t>
            </w:r>
            <w:r w:rsidRPr="3B19747E">
              <w:rPr>
                <w:rFonts w:ascii="Cambria" w:hAnsi="Cambria"/>
                <w:b/>
                <w:bCs/>
                <w:color w:val="000000" w:themeColor="text1"/>
                <w:sz w:val="20"/>
                <w:szCs w:val="20"/>
                <w:lang w:val="es-CO"/>
              </w:rPr>
              <w:t xml:space="preserve"> </w:t>
            </w:r>
            <w:r w:rsidRPr="3B19747E">
              <w:rPr>
                <w:rFonts w:ascii="Cambria" w:hAnsi="Cambria"/>
                <w:color w:val="000000" w:themeColor="text1"/>
                <w:sz w:val="20"/>
                <w:szCs w:val="20"/>
                <w:lang w:val="es-CO"/>
              </w:rPr>
              <w:t>/ Deber de Adoptar Medidas y Disposiciones de Derecho Interno.</w:t>
            </w:r>
          </w:p>
          <w:p w14:paraId="62679810" w14:textId="77777777" w:rsidR="007B7BB1" w:rsidRPr="00F709EF" w:rsidRDefault="007B7BB1" w:rsidP="3B19747E">
            <w:pPr>
              <w:pStyle w:val="Default"/>
              <w:spacing w:after="120"/>
              <w:jc w:val="both"/>
              <w:rPr>
                <w:color w:val="000000" w:themeColor="text1"/>
                <w:sz w:val="20"/>
                <w:szCs w:val="20"/>
                <w:lang w:val="es-ES"/>
              </w:rPr>
            </w:pPr>
            <w:r w:rsidRPr="3B19747E">
              <w:rPr>
                <w:b/>
                <w:bCs/>
                <w:color w:val="000000" w:themeColor="text1"/>
                <w:sz w:val="20"/>
                <w:szCs w:val="20"/>
                <w:lang w:val="es-CO"/>
              </w:rPr>
              <w:t>Hechos:</w:t>
            </w:r>
            <w:r w:rsidRPr="3B19747E">
              <w:rPr>
                <w:b/>
                <w:bCs/>
                <w:color w:val="000000" w:themeColor="text1"/>
                <w:sz w:val="20"/>
                <w:szCs w:val="20"/>
                <w:lang w:val="es-ES"/>
              </w:rPr>
              <w:t xml:space="preserve"> </w:t>
            </w:r>
            <w:r w:rsidRPr="3B19747E">
              <w:rPr>
                <w:color w:val="000000" w:themeColor="text1"/>
                <w:sz w:val="20"/>
                <w:szCs w:val="20"/>
                <w:lang w:val="es-ES"/>
              </w:rPr>
              <w:t xml:space="preserve">Este caso se refiere a la detención de </w:t>
            </w:r>
            <w:proofErr w:type="spellStart"/>
            <w:r w:rsidRPr="3B19747E">
              <w:rPr>
                <w:color w:val="000000" w:themeColor="text1"/>
                <w:sz w:val="20"/>
                <w:szCs w:val="20"/>
                <w:lang w:val="es-ES"/>
              </w:rPr>
              <w:t>Manickavasagam</w:t>
            </w:r>
            <w:proofErr w:type="spellEnd"/>
            <w:r w:rsidRPr="3B19747E">
              <w:rPr>
                <w:color w:val="000000" w:themeColor="text1"/>
                <w:sz w:val="20"/>
                <w:szCs w:val="20"/>
                <w:lang w:val="es-ES"/>
              </w:rPr>
              <w:t xml:space="preserve"> </w:t>
            </w:r>
            <w:proofErr w:type="spellStart"/>
            <w:r w:rsidRPr="3B19747E">
              <w:rPr>
                <w:color w:val="000000" w:themeColor="text1"/>
                <w:sz w:val="20"/>
                <w:szCs w:val="20"/>
                <w:lang w:val="es-ES"/>
              </w:rPr>
              <w:t>Suresh</w:t>
            </w:r>
            <w:proofErr w:type="spellEnd"/>
            <w:r w:rsidRPr="3B19747E">
              <w:rPr>
                <w:color w:val="000000" w:themeColor="text1"/>
                <w:sz w:val="20"/>
                <w:szCs w:val="20"/>
                <w:lang w:val="es-ES"/>
              </w:rPr>
              <w:t xml:space="preserve">, ciudadano de Sri Lanka, a quien Canadá reconoció como refugiado el 11 de abril de 1991. Posteriormente, el señor </w:t>
            </w:r>
            <w:proofErr w:type="spellStart"/>
            <w:r w:rsidRPr="3B19747E">
              <w:rPr>
                <w:color w:val="000000" w:themeColor="text1"/>
                <w:sz w:val="20"/>
                <w:szCs w:val="20"/>
                <w:lang w:val="es-ES"/>
              </w:rPr>
              <w:t>Suresh</w:t>
            </w:r>
            <w:proofErr w:type="spellEnd"/>
            <w:r w:rsidRPr="3B19747E">
              <w:rPr>
                <w:color w:val="000000" w:themeColor="text1"/>
                <w:sz w:val="20"/>
                <w:szCs w:val="20"/>
                <w:lang w:val="es-ES"/>
              </w:rPr>
              <w:t xml:space="preserve"> solicitó el estatus de inmigrante residente (</w:t>
            </w:r>
            <w:proofErr w:type="spellStart"/>
            <w:r w:rsidRPr="3B19747E">
              <w:rPr>
                <w:i/>
                <w:iCs/>
                <w:color w:val="000000" w:themeColor="text1"/>
                <w:sz w:val="20"/>
                <w:szCs w:val="20"/>
                <w:lang w:val="es-ES"/>
              </w:rPr>
              <w:t>landed</w:t>
            </w:r>
            <w:proofErr w:type="spellEnd"/>
            <w:r w:rsidRPr="3B19747E">
              <w:rPr>
                <w:i/>
                <w:iCs/>
                <w:color w:val="000000" w:themeColor="text1"/>
                <w:sz w:val="20"/>
                <w:szCs w:val="20"/>
                <w:lang w:val="es-ES"/>
              </w:rPr>
              <w:t xml:space="preserve"> </w:t>
            </w:r>
            <w:proofErr w:type="gramStart"/>
            <w:r w:rsidRPr="3B19747E">
              <w:rPr>
                <w:i/>
                <w:iCs/>
                <w:color w:val="000000" w:themeColor="text1"/>
                <w:sz w:val="20"/>
                <w:szCs w:val="20"/>
                <w:lang w:val="es-ES"/>
              </w:rPr>
              <w:t>status</w:t>
            </w:r>
            <w:proofErr w:type="gramEnd"/>
            <w:r w:rsidRPr="3B19747E">
              <w:rPr>
                <w:color w:val="000000" w:themeColor="text1"/>
                <w:sz w:val="20"/>
                <w:szCs w:val="20"/>
                <w:lang w:val="es-ES"/>
              </w:rPr>
              <w:t xml:space="preserve">) que permite a las personas reconocidas como refugiadas solicitar la residencia permanente. La solicitud del señor </w:t>
            </w:r>
            <w:proofErr w:type="spellStart"/>
            <w:r w:rsidRPr="3B19747E">
              <w:rPr>
                <w:color w:val="000000" w:themeColor="text1"/>
                <w:sz w:val="20"/>
                <w:szCs w:val="20"/>
                <w:lang w:val="es-ES"/>
              </w:rPr>
              <w:t>Suresh</w:t>
            </w:r>
            <w:proofErr w:type="spellEnd"/>
            <w:r w:rsidRPr="3B19747E">
              <w:rPr>
                <w:color w:val="000000" w:themeColor="text1"/>
                <w:sz w:val="20"/>
                <w:szCs w:val="20"/>
                <w:lang w:val="es-ES"/>
              </w:rPr>
              <w:t xml:space="preserve"> fue frustrada en octubre de 1995, cuando el Procurador General y el </w:t>
            </w:r>
            <w:proofErr w:type="gramStart"/>
            <w:r w:rsidRPr="3B19747E">
              <w:rPr>
                <w:color w:val="000000" w:themeColor="text1"/>
                <w:sz w:val="20"/>
                <w:szCs w:val="20"/>
                <w:lang w:val="es-ES"/>
              </w:rPr>
              <w:t>Ministro</w:t>
            </w:r>
            <w:proofErr w:type="gramEnd"/>
            <w:r w:rsidRPr="3B19747E">
              <w:rPr>
                <w:color w:val="000000" w:themeColor="text1"/>
                <w:sz w:val="20"/>
                <w:szCs w:val="20"/>
                <w:lang w:val="es-ES"/>
              </w:rPr>
              <w:t xml:space="preserve"> de Ciudadanía e Inmigración certificaron al señor </w:t>
            </w:r>
            <w:proofErr w:type="spellStart"/>
            <w:r w:rsidRPr="3B19747E">
              <w:rPr>
                <w:color w:val="000000" w:themeColor="text1"/>
                <w:sz w:val="20"/>
                <w:szCs w:val="20"/>
                <w:lang w:val="es-ES"/>
              </w:rPr>
              <w:t>Suresh</w:t>
            </w:r>
            <w:proofErr w:type="spellEnd"/>
            <w:r w:rsidRPr="3B19747E">
              <w:rPr>
                <w:color w:val="000000" w:themeColor="text1"/>
                <w:sz w:val="20"/>
                <w:szCs w:val="20"/>
                <w:lang w:val="es-ES"/>
              </w:rPr>
              <w:t xml:space="preserve"> como un peligro para la seguridad nacional, de conformidad con el artículo 40.1 de la Ley de Inmigración, e iniciaron un procedimiento de deportación. El señor </w:t>
            </w:r>
            <w:proofErr w:type="spellStart"/>
            <w:r w:rsidRPr="3B19747E">
              <w:rPr>
                <w:color w:val="000000" w:themeColor="text1"/>
                <w:sz w:val="20"/>
                <w:szCs w:val="20"/>
                <w:lang w:val="es-ES"/>
              </w:rPr>
              <w:t>Suresh</w:t>
            </w:r>
            <w:proofErr w:type="spellEnd"/>
            <w:r w:rsidRPr="3B19747E">
              <w:rPr>
                <w:color w:val="000000" w:themeColor="text1"/>
                <w:sz w:val="20"/>
                <w:szCs w:val="20"/>
                <w:lang w:val="es-ES"/>
              </w:rPr>
              <w:t xml:space="preserve"> fue detenido el 18 de octubre de 1995 y, después de 29 meses, fue liberado bajo fianza.     </w:t>
            </w:r>
          </w:p>
          <w:p w14:paraId="3B4192A0" w14:textId="77777777" w:rsidR="007B7BB1" w:rsidRPr="00F709EF" w:rsidRDefault="007B7BB1" w:rsidP="3B19747E">
            <w:pPr>
              <w:pStyle w:val="Default"/>
              <w:spacing w:after="120"/>
              <w:jc w:val="both"/>
              <w:rPr>
                <w:color w:val="000000" w:themeColor="text1"/>
                <w:lang w:val="es-CO"/>
              </w:rPr>
            </w:pPr>
            <w:r w:rsidRPr="3B19747E">
              <w:rPr>
                <w:b/>
                <w:bCs/>
                <w:color w:val="000000" w:themeColor="text1"/>
                <w:sz w:val="20"/>
                <w:szCs w:val="20"/>
                <w:lang w:val="es-CO"/>
              </w:rPr>
              <w:t xml:space="preserve">Derechos violados: </w:t>
            </w:r>
            <w:r w:rsidRPr="3B19747E">
              <w:rPr>
                <w:color w:val="000000" w:themeColor="text1"/>
                <w:sz w:val="20"/>
                <w:szCs w:val="20"/>
                <w:lang w:val="es-CO"/>
              </w:rPr>
              <w:t xml:space="preserve">La Comisión concluyó que el Estado es responsable de la violación de los derechos del señor </w:t>
            </w:r>
            <w:proofErr w:type="spellStart"/>
            <w:r w:rsidRPr="3B19747E">
              <w:rPr>
                <w:color w:val="000000" w:themeColor="text1"/>
                <w:sz w:val="20"/>
                <w:szCs w:val="20"/>
                <w:lang w:val="es-CO"/>
              </w:rPr>
              <w:t>Suresh</w:t>
            </w:r>
            <w:proofErr w:type="spellEnd"/>
            <w:r w:rsidRPr="3B19747E">
              <w:rPr>
                <w:color w:val="000000" w:themeColor="text1"/>
                <w:sz w:val="20"/>
                <w:szCs w:val="20"/>
                <w:lang w:val="es-CO"/>
              </w:rPr>
              <w:t xml:space="preserve"> consagrados en los artículos II, XVIII y XXV de la Declaración Americana al haberlo privado arbitrariamente de su derecho a la libertad y al acceso a un procedimiento judicial sencillo y rápido para impugnar la legalidad de su detención. Asimismo, la Comisión concluyó que las circunstancias de la detención del señor </w:t>
            </w:r>
            <w:proofErr w:type="spellStart"/>
            <w:r w:rsidRPr="3B19747E">
              <w:rPr>
                <w:color w:val="000000" w:themeColor="text1"/>
                <w:sz w:val="20"/>
                <w:szCs w:val="20"/>
                <w:lang w:val="es-CO"/>
              </w:rPr>
              <w:t>Suresh</w:t>
            </w:r>
            <w:proofErr w:type="spellEnd"/>
            <w:r w:rsidRPr="3B19747E">
              <w:rPr>
                <w:color w:val="000000" w:themeColor="text1"/>
                <w:sz w:val="20"/>
                <w:szCs w:val="20"/>
                <w:lang w:val="es-CO"/>
              </w:rPr>
              <w:t xml:space="preserve"> (como no residente y no ciudadano del Canadá) también constituyen una violación de su derecho a la igualdad ante la ley. </w:t>
            </w:r>
          </w:p>
        </w:tc>
      </w:tr>
    </w:tbl>
    <w:p w14:paraId="4D2FB2A2" w14:textId="77777777" w:rsidR="007B7BB1" w:rsidRPr="00F709EF" w:rsidRDefault="007B7BB1" w:rsidP="3B19747E">
      <w:pPr>
        <w:ind w:left="180"/>
        <w:rPr>
          <w:rFonts w:ascii="Cambria" w:hAnsi="Cambria"/>
          <w:color w:val="000000" w:themeColor="text1"/>
          <w:sz w:val="20"/>
          <w:szCs w:val="20"/>
          <w:lang w:val="es-CO"/>
        </w:rPr>
      </w:pPr>
    </w:p>
    <w:p w14:paraId="39E4D2DC" w14:textId="77777777" w:rsidR="007B7BB1" w:rsidRPr="00F709EF" w:rsidRDefault="007B7BB1" w:rsidP="3B19747E">
      <w:pPr>
        <w:numPr>
          <w:ilvl w:val="0"/>
          <w:numId w:val="8"/>
        </w:numPr>
        <w:ind w:left="1440"/>
        <w:jc w:val="both"/>
        <w:rPr>
          <w:rFonts w:ascii="Cambria" w:hAnsi="Cambria" w:cs="Calibri Light"/>
          <w:b/>
          <w:bCs/>
          <w:color w:val="000000" w:themeColor="text1"/>
          <w:sz w:val="20"/>
          <w:szCs w:val="20"/>
        </w:rPr>
      </w:pPr>
      <w:proofErr w:type="spellStart"/>
      <w:r w:rsidRPr="3B19747E">
        <w:rPr>
          <w:rFonts w:ascii="Cambria" w:hAnsi="Cambria" w:cs="Calibri Light"/>
          <w:b/>
          <w:bCs/>
          <w:color w:val="000000" w:themeColor="text1"/>
          <w:sz w:val="20"/>
          <w:szCs w:val="20"/>
        </w:rPr>
        <w:t>Recomendaciones</w:t>
      </w:r>
      <w:proofErr w:type="spellEnd"/>
    </w:p>
    <w:p w14:paraId="1A7A0BE1" w14:textId="77777777" w:rsidR="007B7BB1" w:rsidRPr="00F709EF" w:rsidRDefault="007B7BB1" w:rsidP="3B19747E">
      <w:pPr>
        <w:ind w:left="360"/>
        <w:jc w:val="both"/>
        <w:rPr>
          <w:rFonts w:ascii="Cambria" w:hAnsi="Cambria" w:cs="Calibri Light"/>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2572"/>
      </w:tblGrid>
      <w:tr w:rsidR="007B7BB1" w:rsidRPr="00A9249B" w14:paraId="0AC6B36D" w14:textId="77777777" w:rsidTr="3B19747E">
        <w:tc>
          <w:tcPr>
            <w:tcW w:w="6930" w:type="dxa"/>
            <w:shd w:val="clear" w:color="auto" w:fill="auto"/>
            <w:vAlign w:val="center"/>
          </w:tcPr>
          <w:p w14:paraId="572674ED" w14:textId="77777777" w:rsidR="007B7BB1" w:rsidRPr="00F709EF" w:rsidRDefault="007B7BB1" w:rsidP="3B19747E">
            <w:pPr>
              <w:jc w:val="center"/>
              <w:rPr>
                <w:rFonts w:ascii="Cambria" w:hAnsi="Cambria" w:cs="Calibri Light"/>
                <w:b/>
                <w:bCs/>
                <w:color w:val="000000" w:themeColor="text1"/>
                <w:sz w:val="18"/>
                <w:szCs w:val="18"/>
              </w:rPr>
            </w:pPr>
            <w:r w:rsidRPr="3B19747E">
              <w:rPr>
                <w:rFonts w:ascii="Cambria" w:hAnsi="Cambria" w:cs="Calibri Light"/>
                <w:b/>
                <w:bCs/>
                <w:color w:val="000000" w:themeColor="text1"/>
                <w:sz w:val="18"/>
                <w:szCs w:val="18"/>
                <w:lang w:val="es-US"/>
              </w:rPr>
              <w:t>Recomendaciones</w:t>
            </w:r>
          </w:p>
        </w:tc>
        <w:tc>
          <w:tcPr>
            <w:tcW w:w="2610" w:type="dxa"/>
            <w:shd w:val="clear" w:color="auto" w:fill="auto"/>
            <w:vAlign w:val="center"/>
          </w:tcPr>
          <w:p w14:paraId="79609F28" w14:textId="4416DBB4" w:rsidR="007B7BB1" w:rsidRPr="00F709EF" w:rsidRDefault="007B7BB1" w:rsidP="3B19747E">
            <w:pPr>
              <w:jc w:val="center"/>
              <w:rPr>
                <w:rFonts w:ascii="Cambria" w:hAnsi="Cambria" w:cs="Calibri Light"/>
                <w:b/>
                <w:bCs/>
                <w:color w:val="000000" w:themeColor="text1"/>
                <w:sz w:val="18"/>
                <w:szCs w:val="18"/>
                <w:lang w:val="es-CO"/>
              </w:rPr>
            </w:pPr>
            <w:r w:rsidRPr="3B19747E">
              <w:rPr>
                <w:rFonts w:ascii="Cambria" w:hAnsi="Cambria" w:cs="Calibri Light"/>
                <w:b/>
                <w:bCs/>
                <w:color w:val="000000" w:themeColor="text1"/>
                <w:sz w:val="18"/>
                <w:szCs w:val="18"/>
                <w:lang w:val="es-US"/>
              </w:rPr>
              <w:t xml:space="preserve">Estado de cumplimiento en el </w:t>
            </w:r>
            <w:r w:rsidR="00455A25" w:rsidRPr="3B19747E">
              <w:rPr>
                <w:rFonts w:ascii="Cambria" w:hAnsi="Cambria" w:cs="Calibri Light"/>
                <w:b/>
                <w:bCs/>
                <w:color w:val="000000" w:themeColor="text1"/>
                <w:sz w:val="18"/>
                <w:szCs w:val="18"/>
                <w:lang w:val="es-ES"/>
              </w:rPr>
              <w:t>2021</w:t>
            </w:r>
          </w:p>
        </w:tc>
      </w:tr>
      <w:tr w:rsidR="007B7BB1" w:rsidRPr="00F709EF" w14:paraId="5B6E0D8B" w14:textId="77777777" w:rsidTr="3B19747E">
        <w:trPr>
          <w:trHeight w:val="422"/>
        </w:trPr>
        <w:tc>
          <w:tcPr>
            <w:tcW w:w="6930" w:type="dxa"/>
            <w:shd w:val="clear" w:color="auto" w:fill="auto"/>
          </w:tcPr>
          <w:p w14:paraId="03DE13AD" w14:textId="77777777" w:rsidR="007B7BB1" w:rsidRPr="00F709EF" w:rsidRDefault="007B7BB1" w:rsidP="3B19747E">
            <w:pPr>
              <w:jc w:val="both"/>
              <w:rPr>
                <w:rFonts w:ascii="Cambria" w:hAnsi="Cambria"/>
                <w:color w:val="000000" w:themeColor="text1"/>
                <w:sz w:val="18"/>
                <w:szCs w:val="18"/>
                <w:lang w:val="es-CO"/>
              </w:rPr>
            </w:pPr>
            <w:r w:rsidRPr="3B19747E">
              <w:rPr>
                <w:rFonts w:ascii="Cambria" w:hAnsi="Cambria"/>
                <w:color w:val="000000" w:themeColor="text1"/>
                <w:sz w:val="18"/>
                <w:szCs w:val="18"/>
                <w:lang w:val="es-CO"/>
              </w:rPr>
              <w:t xml:space="preserve">1. Otorgar al señor </w:t>
            </w:r>
            <w:proofErr w:type="spellStart"/>
            <w:r w:rsidRPr="3B19747E">
              <w:rPr>
                <w:rFonts w:ascii="Cambria" w:hAnsi="Cambria"/>
                <w:color w:val="000000" w:themeColor="text1"/>
                <w:sz w:val="18"/>
                <w:szCs w:val="18"/>
                <w:lang w:val="es-CO"/>
              </w:rPr>
              <w:t>Suresh</w:t>
            </w:r>
            <w:proofErr w:type="spellEnd"/>
            <w:r w:rsidRPr="3B19747E">
              <w:rPr>
                <w:rFonts w:ascii="Cambria" w:hAnsi="Cambria"/>
                <w:color w:val="000000" w:themeColor="text1"/>
                <w:sz w:val="18"/>
                <w:szCs w:val="18"/>
                <w:lang w:val="es-CO"/>
              </w:rPr>
              <w:t xml:space="preserve"> una reparación integral que incluya una indemnización y medidas de satisfacción.</w:t>
            </w:r>
          </w:p>
        </w:tc>
        <w:tc>
          <w:tcPr>
            <w:tcW w:w="2610" w:type="dxa"/>
            <w:shd w:val="clear" w:color="auto" w:fill="auto"/>
            <w:vAlign w:val="center"/>
          </w:tcPr>
          <w:p w14:paraId="79A5745D" w14:textId="5C69915B" w:rsidR="007B7BB1" w:rsidRPr="00F709EF" w:rsidRDefault="00E83132" w:rsidP="3B19747E">
            <w:pPr>
              <w:jc w:val="center"/>
              <w:rPr>
                <w:rFonts w:ascii="Cambria" w:hAnsi="Cambria" w:cs="Calibri Light"/>
                <w:b/>
                <w:bCs/>
                <w:color w:val="000000" w:themeColor="text1"/>
                <w:sz w:val="18"/>
                <w:szCs w:val="18"/>
              </w:rPr>
            </w:pPr>
            <w:r w:rsidRPr="3B19747E">
              <w:rPr>
                <w:rFonts w:ascii="Cambria" w:hAnsi="Cambria"/>
                <w:color w:val="000000" w:themeColor="text1"/>
                <w:sz w:val="18"/>
                <w:szCs w:val="18"/>
                <w:lang w:val="es-ES"/>
              </w:rPr>
              <w:t>Incumplimiento</w:t>
            </w:r>
          </w:p>
        </w:tc>
      </w:tr>
      <w:tr w:rsidR="007B7BB1" w:rsidRPr="00F709EF" w14:paraId="471BBFFF" w14:textId="77777777" w:rsidTr="3B19747E">
        <w:tc>
          <w:tcPr>
            <w:tcW w:w="6930" w:type="dxa"/>
            <w:shd w:val="clear" w:color="auto" w:fill="auto"/>
          </w:tcPr>
          <w:p w14:paraId="280A6DC8" w14:textId="77777777" w:rsidR="007B7BB1" w:rsidRPr="00F709EF" w:rsidRDefault="007B7BB1" w:rsidP="3B19747E">
            <w:pPr>
              <w:jc w:val="both"/>
              <w:rPr>
                <w:rFonts w:ascii="Cambria" w:hAnsi="Cambria"/>
                <w:color w:val="000000" w:themeColor="text1"/>
                <w:sz w:val="18"/>
                <w:szCs w:val="18"/>
                <w:lang w:val="es-CO"/>
              </w:rPr>
            </w:pPr>
            <w:r w:rsidRPr="3B19747E">
              <w:rPr>
                <w:rFonts w:ascii="Cambria" w:hAnsi="Cambria"/>
                <w:color w:val="000000" w:themeColor="text1"/>
                <w:sz w:val="18"/>
                <w:szCs w:val="18"/>
                <w:lang w:val="es-CO"/>
              </w:rPr>
              <w:t>2. Adoptar medidas legislativas y de otra índole para asegurar que las personas sometidas a la certificación de seguridad tengan acceso sin demora a una rápida supervisión judicial de su detención, no sean sometidas a una detención obligatoria indefinida y obtengan igual acceso a la revisión judicial de su detención a intervalos razonables.</w:t>
            </w:r>
          </w:p>
        </w:tc>
        <w:tc>
          <w:tcPr>
            <w:tcW w:w="2610" w:type="dxa"/>
            <w:shd w:val="clear" w:color="auto" w:fill="auto"/>
            <w:vAlign w:val="center"/>
          </w:tcPr>
          <w:p w14:paraId="332254CB" w14:textId="03789F19" w:rsidR="007B7BB1" w:rsidRPr="00F709EF" w:rsidRDefault="00E83132" w:rsidP="3B19747E">
            <w:pPr>
              <w:jc w:val="center"/>
              <w:rPr>
                <w:rFonts w:ascii="Cambria" w:hAnsi="Cambria" w:cs="Calibri Light"/>
                <w:b/>
                <w:bCs/>
                <w:color w:val="000000" w:themeColor="text1"/>
                <w:sz w:val="18"/>
                <w:szCs w:val="18"/>
              </w:rPr>
            </w:pPr>
            <w:r w:rsidRPr="3B19747E">
              <w:rPr>
                <w:rFonts w:ascii="Cambria" w:hAnsi="Cambria"/>
                <w:color w:val="000000" w:themeColor="text1"/>
                <w:sz w:val="18"/>
                <w:szCs w:val="18"/>
                <w:lang w:val="es-ES"/>
              </w:rPr>
              <w:t>Incumplimiento</w:t>
            </w:r>
          </w:p>
        </w:tc>
      </w:tr>
    </w:tbl>
    <w:p w14:paraId="0EA161B9" w14:textId="77777777" w:rsidR="007B7BB1" w:rsidRPr="00F709EF" w:rsidRDefault="007B7BB1" w:rsidP="3B19747E">
      <w:pPr>
        <w:jc w:val="both"/>
        <w:rPr>
          <w:rFonts w:ascii="Cambria" w:hAnsi="Cambria" w:cs="Calibri Light"/>
          <w:color w:val="000000" w:themeColor="text1"/>
          <w:sz w:val="20"/>
          <w:szCs w:val="20"/>
        </w:rPr>
      </w:pPr>
    </w:p>
    <w:p w14:paraId="602E9FA4" w14:textId="77777777" w:rsidR="007B7BB1" w:rsidRPr="00F709EF" w:rsidRDefault="007B7BB1" w:rsidP="3B19747E">
      <w:pPr>
        <w:pStyle w:val="ListParagraph"/>
        <w:numPr>
          <w:ilvl w:val="0"/>
          <w:numId w:val="8"/>
        </w:numPr>
        <w:ind w:left="1440"/>
        <w:jc w:val="both"/>
        <w:rPr>
          <w:rFonts w:ascii="Cambria" w:hAnsi="Cambria" w:cs="Calibri Light"/>
          <w:b/>
          <w:bCs/>
          <w:color w:val="000000" w:themeColor="text1"/>
          <w:sz w:val="20"/>
          <w:szCs w:val="20"/>
        </w:rPr>
      </w:pPr>
      <w:proofErr w:type="spellStart"/>
      <w:r w:rsidRPr="3B19747E">
        <w:rPr>
          <w:rFonts w:ascii="Cambria" w:hAnsi="Cambria"/>
          <w:b/>
          <w:bCs/>
          <w:color w:val="000000" w:themeColor="text1"/>
          <w:sz w:val="20"/>
          <w:szCs w:val="20"/>
        </w:rPr>
        <w:t>Actividad</w:t>
      </w:r>
      <w:proofErr w:type="spellEnd"/>
      <w:r w:rsidRPr="3B19747E">
        <w:rPr>
          <w:rFonts w:ascii="Cambria" w:hAnsi="Cambria"/>
          <w:b/>
          <w:bCs/>
          <w:color w:val="000000" w:themeColor="text1"/>
          <w:sz w:val="20"/>
          <w:szCs w:val="20"/>
        </w:rPr>
        <w:t xml:space="preserve"> </w:t>
      </w:r>
      <w:proofErr w:type="spellStart"/>
      <w:r w:rsidRPr="3B19747E">
        <w:rPr>
          <w:rFonts w:ascii="Cambria" w:hAnsi="Cambria"/>
          <w:b/>
          <w:bCs/>
          <w:color w:val="000000" w:themeColor="text1"/>
          <w:sz w:val="20"/>
          <w:szCs w:val="20"/>
        </w:rPr>
        <w:t>procesal</w:t>
      </w:r>
      <w:proofErr w:type="spellEnd"/>
    </w:p>
    <w:p w14:paraId="77AF4193" w14:textId="77777777" w:rsidR="007B7BB1" w:rsidRPr="00F709EF" w:rsidRDefault="007B7BB1" w:rsidP="3B19747E">
      <w:pPr>
        <w:jc w:val="both"/>
        <w:rPr>
          <w:rFonts w:ascii="Cambria" w:hAnsi="Cambria" w:cs="Calibri Light"/>
          <w:color w:val="000000" w:themeColor="text1"/>
          <w:sz w:val="20"/>
          <w:szCs w:val="20"/>
        </w:rPr>
      </w:pPr>
    </w:p>
    <w:p w14:paraId="19738CEE" w14:textId="77777777" w:rsidR="007B7BB1" w:rsidRPr="00F709EF" w:rsidRDefault="007B7BB1" w:rsidP="3B19747E">
      <w:pPr>
        <w:pStyle w:val="ListParagraph"/>
        <w:numPr>
          <w:ilvl w:val="0"/>
          <w:numId w:val="14"/>
        </w:numPr>
        <w:spacing w:after="200"/>
        <w:ind w:left="0" w:firstLine="720"/>
        <w:jc w:val="both"/>
        <w:rPr>
          <w:rFonts w:ascii="Cambria" w:hAnsi="Cambria" w:cs="Calibri Light"/>
          <w:color w:val="000000" w:themeColor="text1"/>
          <w:sz w:val="20"/>
          <w:szCs w:val="20"/>
          <w:lang w:val="es-US"/>
        </w:rPr>
      </w:pPr>
      <w:r w:rsidRPr="3B19747E">
        <w:rPr>
          <w:rFonts w:ascii="Cambria" w:hAnsi="Cambria" w:cs="Calibri Light"/>
          <w:color w:val="000000" w:themeColor="text1"/>
          <w:sz w:val="20"/>
          <w:szCs w:val="20"/>
          <w:lang w:val="es-US"/>
        </w:rPr>
        <w:t xml:space="preserve">La Comisión convocó a las partes a una Reunión de Trabajo a celebrarse el 2 de octubre de 2018, durante el 169º Periodo de Sesiones. Sin embargo, el 12 de septiembre de 2018, los peticionarios notificaron a la Comisión que no podrían participar en la Reunión de Trabajo convocada para dar seguimiento a las recomendaciones emitidas en el Informe de Fondo Nº 8/16 y, por lo tanto, la misma fue cancelada. </w:t>
      </w:r>
    </w:p>
    <w:p w14:paraId="00F248ED" w14:textId="77777777" w:rsidR="007B7BB1" w:rsidRPr="00F709EF" w:rsidRDefault="007B7BB1" w:rsidP="3B19747E">
      <w:pPr>
        <w:pStyle w:val="ListParagraph"/>
        <w:jc w:val="both"/>
        <w:rPr>
          <w:rFonts w:ascii="Cambria" w:hAnsi="Cambria" w:cs="Calibri Light"/>
          <w:color w:val="000000" w:themeColor="text1"/>
          <w:sz w:val="20"/>
          <w:szCs w:val="20"/>
          <w:lang w:val="es-US"/>
        </w:rPr>
      </w:pPr>
    </w:p>
    <w:p w14:paraId="09BF379B" w14:textId="77777777" w:rsidR="00455A25" w:rsidRPr="00C04675" w:rsidRDefault="00455A25" w:rsidP="3B19747E">
      <w:pPr>
        <w:pStyle w:val="ListParagraph"/>
        <w:numPr>
          <w:ilvl w:val="0"/>
          <w:numId w:val="14"/>
        </w:numPr>
        <w:ind w:left="0" w:firstLine="720"/>
        <w:jc w:val="both"/>
        <w:rPr>
          <w:rFonts w:ascii="Cambria" w:hAnsi="Cambria" w:cs="Calibri Light"/>
          <w:color w:val="000000" w:themeColor="text1"/>
          <w:sz w:val="20"/>
          <w:szCs w:val="20"/>
          <w:lang w:val="es-ES"/>
        </w:rPr>
      </w:pPr>
      <w:r w:rsidRPr="3B19747E">
        <w:rPr>
          <w:rFonts w:ascii="Cambria" w:hAnsi="Cambria" w:cs="Calibri Light"/>
          <w:color w:val="000000" w:themeColor="text1"/>
          <w:sz w:val="20"/>
          <w:szCs w:val="20"/>
          <w:lang w:val="es-ES"/>
        </w:rPr>
        <w:lastRenderedPageBreak/>
        <w:t>En 2021, la CIDH solicitó al Estado información actualizada sobre el cumplimiento de las recomendaciones el 25 de agosto</w:t>
      </w:r>
      <w:r w:rsidR="007B7BB1" w:rsidRPr="3B19747E">
        <w:rPr>
          <w:rFonts w:ascii="Cambria" w:hAnsi="Cambria" w:cs="Calibri Light"/>
          <w:color w:val="000000" w:themeColor="text1"/>
          <w:sz w:val="20"/>
          <w:szCs w:val="20"/>
          <w:lang w:val="es-ES"/>
        </w:rPr>
        <w:t xml:space="preserve">. </w:t>
      </w:r>
      <w:r w:rsidRPr="3B19747E">
        <w:rPr>
          <w:rFonts w:ascii="Cambria" w:hAnsi="Cambria" w:cs="Calibri Light"/>
          <w:color w:val="000000" w:themeColor="text1"/>
          <w:sz w:val="20"/>
          <w:szCs w:val="20"/>
          <w:lang w:val="es-ES"/>
        </w:rPr>
        <w:t>E</w:t>
      </w:r>
      <w:r w:rsidR="007B7BB1" w:rsidRPr="3B19747E">
        <w:rPr>
          <w:rFonts w:ascii="Cambria" w:hAnsi="Cambria" w:cs="Calibri Light"/>
          <w:color w:val="000000" w:themeColor="text1"/>
          <w:sz w:val="20"/>
          <w:szCs w:val="20"/>
          <w:lang w:val="es-ES"/>
        </w:rPr>
        <w:t xml:space="preserve">l </w:t>
      </w:r>
      <w:r w:rsidRPr="3B19747E">
        <w:rPr>
          <w:rFonts w:ascii="Cambria" w:hAnsi="Cambria" w:cs="Calibri Light"/>
          <w:color w:val="000000" w:themeColor="text1"/>
          <w:sz w:val="20"/>
          <w:szCs w:val="20"/>
          <w:lang w:val="es-ES"/>
        </w:rPr>
        <w:t xml:space="preserve">21 de octubre de 2021 el </w:t>
      </w:r>
      <w:r w:rsidR="007B7BB1" w:rsidRPr="3B19747E">
        <w:rPr>
          <w:rFonts w:ascii="Cambria" w:hAnsi="Cambria" w:cs="Calibri Light"/>
          <w:color w:val="000000" w:themeColor="text1"/>
          <w:sz w:val="20"/>
          <w:szCs w:val="20"/>
          <w:lang w:val="es-ES"/>
        </w:rPr>
        <w:t xml:space="preserve">Estado presentó su respuesta a la información solicitada. </w:t>
      </w:r>
    </w:p>
    <w:p w14:paraId="07C4F66D" w14:textId="77777777" w:rsidR="00455A25" w:rsidRPr="00C04675" w:rsidRDefault="00455A25" w:rsidP="3B19747E">
      <w:pPr>
        <w:pStyle w:val="ListParagraph"/>
        <w:rPr>
          <w:rFonts w:ascii="Cambria" w:hAnsi="Cambria" w:cs="Calibri Light"/>
          <w:color w:val="000000" w:themeColor="text1"/>
          <w:sz w:val="20"/>
          <w:szCs w:val="20"/>
          <w:lang w:val="es-ES"/>
        </w:rPr>
      </w:pPr>
    </w:p>
    <w:p w14:paraId="6944469F" w14:textId="2F7D5180" w:rsidR="007B7BB1" w:rsidRPr="00C04675" w:rsidRDefault="00455A25" w:rsidP="3B19747E">
      <w:pPr>
        <w:pStyle w:val="ListParagraph"/>
        <w:numPr>
          <w:ilvl w:val="0"/>
          <w:numId w:val="14"/>
        </w:numPr>
        <w:ind w:left="0" w:firstLine="720"/>
        <w:jc w:val="both"/>
        <w:rPr>
          <w:rFonts w:ascii="Cambria" w:hAnsi="Cambria" w:cs="Calibri Light"/>
          <w:color w:val="000000" w:themeColor="text1"/>
          <w:sz w:val="20"/>
          <w:szCs w:val="20"/>
          <w:lang w:val="es-ES"/>
        </w:rPr>
      </w:pPr>
      <w:r w:rsidRPr="3B19747E">
        <w:rPr>
          <w:rFonts w:ascii="Cambria" w:hAnsi="Cambria" w:cs="Calibri Light"/>
          <w:color w:val="000000" w:themeColor="text1"/>
          <w:sz w:val="20"/>
          <w:szCs w:val="20"/>
          <w:lang w:val="es-ES"/>
        </w:rPr>
        <w:t xml:space="preserve">La CIDH solicitó </w:t>
      </w:r>
      <w:r w:rsidR="00594C8E" w:rsidRPr="3B19747E">
        <w:rPr>
          <w:rFonts w:ascii="Cambria" w:hAnsi="Cambria" w:cs="Calibri Light"/>
          <w:color w:val="000000" w:themeColor="text1"/>
          <w:sz w:val="20"/>
          <w:szCs w:val="20"/>
          <w:lang w:val="es-ES"/>
        </w:rPr>
        <w:t>a la parte peticionaria</w:t>
      </w:r>
      <w:r w:rsidRPr="3B19747E">
        <w:rPr>
          <w:rFonts w:ascii="Cambria" w:hAnsi="Cambria" w:cs="Calibri Light"/>
          <w:color w:val="000000" w:themeColor="text1"/>
          <w:sz w:val="20"/>
          <w:szCs w:val="20"/>
          <w:lang w:val="es-ES"/>
        </w:rPr>
        <w:t xml:space="preserve"> información actualizada sobre el cumplimiento de las recomendaciones el 17 de agosto de 2021.</w:t>
      </w:r>
      <w:r w:rsidRPr="3B19747E">
        <w:rPr>
          <w:rFonts w:ascii="Calibri Light" w:hAnsi="Calibri Light"/>
          <w:color w:val="000000" w:themeColor="text1"/>
          <w:lang w:val="es-ES"/>
        </w:rPr>
        <w:t xml:space="preserve"> </w:t>
      </w:r>
      <w:r w:rsidRPr="3B19747E">
        <w:rPr>
          <w:rFonts w:ascii="Cambria" w:hAnsi="Cambria"/>
          <w:color w:val="000000" w:themeColor="text1"/>
          <w:sz w:val="20"/>
          <w:szCs w:val="20"/>
          <w:lang w:val="es-ES"/>
        </w:rPr>
        <w:t xml:space="preserve">A la fecha de cierre de este informe, la Comisión no había recibido dicha información </w:t>
      </w:r>
      <w:r w:rsidR="00594C8E" w:rsidRPr="3B19747E">
        <w:rPr>
          <w:rFonts w:ascii="Cambria" w:hAnsi="Cambria"/>
          <w:color w:val="000000" w:themeColor="text1"/>
          <w:sz w:val="20"/>
          <w:szCs w:val="20"/>
          <w:lang w:val="es-ES"/>
        </w:rPr>
        <w:t>de la parte peticionaria y lamenta que no</w:t>
      </w:r>
      <w:r w:rsidR="007B7BB1" w:rsidRPr="3B19747E">
        <w:rPr>
          <w:rFonts w:ascii="Cambria" w:hAnsi="Cambria" w:cs="Calibri Light"/>
          <w:color w:val="000000" w:themeColor="text1"/>
          <w:sz w:val="20"/>
          <w:szCs w:val="20"/>
          <w:lang w:val="es-ES"/>
        </w:rPr>
        <w:t xml:space="preserve"> haya presentado información sobre el cumplimiento de las recomendaciones contenidas en el Informe de Fondo Nº 8/16 desde el año 2015. </w:t>
      </w:r>
    </w:p>
    <w:p w14:paraId="7B56287C" w14:textId="77777777" w:rsidR="007B7BB1" w:rsidRPr="00594C8E" w:rsidRDefault="007B7BB1" w:rsidP="3B19747E">
      <w:pPr>
        <w:ind w:left="360"/>
        <w:jc w:val="both"/>
        <w:rPr>
          <w:rFonts w:ascii="Cambria" w:hAnsi="Cambria" w:cs="Calibri Light"/>
          <w:color w:val="000000" w:themeColor="text1"/>
          <w:sz w:val="20"/>
          <w:szCs w:val="20"/>
          <w:lang w:val="es-CO"/>
        </w:rPr>
      </w:pPr>
    </w:p>
    <w:p w14:paraId="335C1E60" w14:textId="77777777" w:rsidR="007B7BB1" w:rsidRPr="00F709EF" w:rsidRDefault="007B7BB1" w:rsidP="3B19747E">
      <w:pPr>
        <w:pStyle w:val="ListParagraph"/>
        <w:numPr>
          <w:ilvl w:val="0"/>
          <w:numId w:val="8"/>
        </w:numPr>
        <w:ind w:left="1440"/>
        <w:jc w:val="both"/>
        <w:rPr>
          <w:rFonts w:ascii="Cambria" w:hAnsi="Cambria" w:cs="Calibri Light"/>
          <w:b/>
          <w:bCs/>
          <w:color w:val="000000" w:themeColor="text1"/>
          <w:sz w:val="20"/>
          <w:szCs w:val="20"/>
          <w:lang w:val="es-ES"/>
        </w:rPr>
      </w:pPr>
      <w:r w:rsidRPr="3B19747E">
        <w:rPr>
          <w:rFonts w:ascii="Cambria" w:hAnsi="Cambria" w:cs="Calibri Light"/>
          <w:b/>
          <w:bCs/>
          <w:color w:val="000000" w:themeColor="text1"/>
          <w:sz w:val="20"/>
          <w:szCs w:val="20"/>
          <w:lang w:val="es-ES"/>
        </w:rPr>
        <w:t>Análisis relativo a la información proporcionada</w:t>
      </w:r>
      <w:r w:rsidRPr="3B19747E">
        <w:rPr>
          <w:rFonts w:ascii="Cambria" w:hAnsi="Cambria" w:cs="Calibri Light"/>
          <w:b/>
          <w:bCs/>
          <w:color w:val="000000" w:themeColor="text1"/>
          <w:sz w:val="20"/>
          <w:szCs w:val="20"/>
          <w:lang w:val="es-CO"/>
        </w:rPr>
        <w:t xml:space="preserve"> </w:t>
      </w:r>
    </w:p>
    <w:p w14:paraId="70061021" w14:textId="77777777" w:rsidR="007B7BB1" w:rsidRPr="00F709EF" w:rsidRDefault="007B7BB1" w:rsidP="3B19747E">
      <w:pPr>
        <w:jc w:val="both"/>
        <w:rPr>
          <w:rFonts w:ascii="Cambria" w:hAnsi="Cambria" w:cs="Calibri Light"/>
          <w:color w:val="000000" w:themeColor="text1"/>
          <w:sz w:val="20"/>
          <w:szCs w:val="20"/>
          <w:lang w:val="es-CO"/>
        </w:rPr>
      </w:pPr>
    </w:p>
    <w:p w14:paraId="33A5B83A" w14:textId="71DF24F5" w:rsidR="007B7BB1" w:rsidRPr="00E83132" w:rsidRDefault="007B7BB1" w:rsidP="3B19747E">
      <w:pPr>
        <w:pStyle w:val="ListParagraph"/>
        <w:numPr>
          <w:ilvl w:val="0"/>
          <w:numId w:val="14"/>
        </w:numPr>
        <w:ind w:left="0" w:firstLine="720"/>
        <w:jc w:val="both"/>
        <w:rPr>
          <w:rFonts w:ascii="Cambria" w:hAnsi="Cambria" w:cs="Calibri Light"/>
          <w:color w:val="000000" w:themeColor="text1"/>
          <w:sz w:val="20"/>
          <w:szCs w:val="20"/>
          <w:lang w:val="es-ES"/>
        </w:rPr>
      </w:pPr>
      <w:r w:rsidRPr="3B19747E">
        <w:rPr>
          <w:rFonts w:ascii="Cambria" w:hAnsi="Cambria" w:cs="Calibri Light"/>
          <w:color w:val="000000" w:themeColor="text1"/>
          <w:sz w:val="20"/>
          <w:szCs w:val="20"/>
          <w:lang w:val="es-CO"/>
        </w:rPr>
        <w:t>La CIDH considera que la información proporcionada por el Estado en 202</w:t>
      </w:r>
      <w:r w:rsidR="00455A25" w:rsidRPr="3B19747E">
        <w:rPr>
          <w:rFonts w:ascii="Cambria" w:hAnsi="Cambria" w:cs="Calibri Light"/>
          <w:color w:val="000000" w:themeColor="text1"/>
          <w:sz w:val="20"/>
          <w:szCs w:val="20"/>
          <w:lang w:val="es-CO"/>
        </w:rPr>
        <w:t>1</w:t>
      </w:r>
      <w:r w:rsidRPr="3B19747E">
        <w:rPr>
          <w:rFonts w:ascii="Cambria" w:hAnsi="Cambria" w:cs="Calibri Light"/>
          <w:color w:val="000000" w:themeColor="text1"/>
          <w:sz w:val="20"/>
          <w:szCs w:val="20"/>
          <w:lang w:val="es-CO"/>
        </w:rPr>
        <w:t xml:space="preserve"> es relevante para actualizar el estado de cumplimiento de las recomendaciones</w:t>
      </w:r>
      <w:r w:rsidRPr="3B19747E">
        <w:rPr>
          <w:rFonts w:ascii="Cambria" w:hAnsi="Cambria" w:cs="Calibri Light"/>
          <w:color w:val="000000" w:themeColor="text1"/>
          <w:sz w:val="20"/>
          <w:szCs w:val="20"/>
          <w:lang w:val="es-ES"/>
        </w:rPr>
        <w:t xml:space="preserve">. </w:t>
      </w:r>
    </w:p>
    <w:p w14:paraId="779954D2" w14:textId="77777777" w:rsidR="007B7BB1" w:rsidRPr="00F709EF" w:rsidRDefault="007B7BB1" w:rsidP="3B19747E">
      <w:pPr>
        <w:jc w:val="both"/>
        <w:rPr>
          <w:rFonts w:ascii="Cambria" w:hAnsi="Cambria" w:cs="Calibri Light"/>
          <w:color w:val="000000" w:themeColor="text1"/>
          <w:sz w:val="20"/>
          <w:szCs w:val="20"/>
          <w:lang w:val="es-CO"/>
        </w:rPr>
      </w:pPr>
    </w:p>
    <w:p w14:paraId="5057EEA1" w14:textId="77777777" w:rsidR="007B7BB1" w:rsidRPr="00F709EF" w:rsidRDefault="007B7BB1" w:rsidP="3B19747E">
      <w:pPr>
        <w:pStyle w:val="ListParagraph"/>
        <w:numPr>
          <w:ilvl w:val="0"/>
          <w:numId w:val="8"/>
        </w:numPr>
        <w:ind w:left="1440"/>
        <w:jc w:val="both"/>
        <w:rPr>
          <w:rFonts w:ascii="Cambria" w:hAnsi="Cambria" w:cs="Calibri Light"/>
          <w:color w:val="000000" w:themeColor="text1"/>
          <w:sz w:val="20"/>
          <w:szCs w:val="20"/>
          <w:lang w:val="es-CO"/>
        </w:rPr>
      </w:pPr>
      <w:r w:rsidRPr="3B19747E">
        <w:rPr>
          <w:rFonts w:ascii="Cambria" w:hAnsi="Cambria" w:cs="Calibri Light"/>
          <w:b/>
          <w:bCs/>
          <w:color w:val="000000" w:themeColor="text1"/>
          <w:sz w:val="20"/>
          <w:szCs w:val="20"/>
          <w:lang w:val="es-US"/>
        </w:rPr>
        <w:t>Análisis del cumplimiento de las recomendaciones</w:t>
      </w:r>
    </w:p>
    <w:p w14:paraId="586A7785" w14:textId="77777777" w:rsidR="007B7BB1" w:rsidRPr="00F709EF" w:rsidRDefault="007B7BB1" w:rsidP="3B19747E">
      <w:pPr>
        <w:pStyle w:val="ListParagraph"/>
        <w:ind w:left="1440"/>
        <w:jc w:val="both"/>
        <w:rPr>
          <w:rFonts w:ascii="Cambria" w:hAnsi="Cambria" w:cs="Calibri Light"/>
          <w:color w:val="000000" w:themeColor="text1"/>
          <w:sz w:val="20"/>
          <w:szCs w:val="20"/>
          <w:lang w:val="es-CO"/>
        </w:rPr>
      </w:pPr>
    </w:p>
    <w:p w14:paraId="07780BC7" w14:textId="77777777" w:rsidR="007B7BB1" w:rsidRPr="00F709EF" w:rsidRDefault="007B7BB1" w:rsidP="3B19747E">
      <w:pPr>
        <w:pStyle w:val="ListParagraph"/>
        <w:numPr>
          <w:ilvl w:val="0"/>
          <w:numId w:val="14"/>
        </w:numPr>
        <w:ind w:left="0" w:firstLine="720"/>
        <w:jc w:val="both"/>
        <w:rPr>
          <w:rFonts w:ascii="Cambria" w:hAnsi="Cambria" w:cs="Calibri Light"/>
          <w:color w:val="000000" w:themeColor="text1"/>
          <w:sz w:val="20"/>
          <w:szCs w:val="20"/>
          <w:lang w:val="es-CO"/>
        </w:rPr>
      </w:pPr>
      <w:r w:rsidRPr="3B19747E">
        <w:rPr>
          <w:rFonts w:ascii="Cambria" w:hAnsi="Cambria" w:cs="Calibri Light"/>
          <w:color w:val="000000" w:themeColor="text1"/>
          <w:sz w:val="20"/>
          <w:szCs w:val="20"/>
          <w:lang w:val="es-CO"/>
        </w:rPr>
        <w:t xml:space="preserve">En 2018, el Estado manifestó a la Comisión que, aunque la Declaración Americana contiene obligaciones vinculantes, las observaciones y recomendaciones de la Comisión no son, en sí mismas, vinculantes. </w:t>
      </w:r>
    </w:p>
    <w:p w14:paraId="23687855" w14:textId="77777777" w:rsidR="007B7BB1" w:rsidRPr="00F709EF" w:rsidRDefault="007B7BB1" w:rsidP="3B19747E">
      <w:pPr>
        <w:jc w:val="both"/>
        <w:rPr>
          <w:rFonts w:ascii="Cambria" w:hAnsi="Cambria" w:cs="Calibri Light"/>
          <w:color w:val="000000" w:themeColor="text1"/>
          <w:sz w:val="20"/>
          <w:szCs w:val="20"/>
          <w:lang w:val="es-CO"/>
        </w:rPr>
      </w:pPr>
    </w:p>
    <w:p w14:paraId="79DD20B4" w14:textId="77777777" w:rsidR="007B7BB1" w:rsidRPr="00F709EF" w:rsidRDefault="007B7BB1" w:rsidP="3B19747E">
      <w:pPr>
        <w:pStyle w:val="ListParagraph"/>
        <w:numPr>
          <w:ilvl w:val="0"/>
          <w:numId w:val="14"/>
        </w:numPr>
        <w:ind w:left="0" w:firstLine="720"/>
        <w:jc w:val="both"/>
        <w:rPr>
          <w:rFonts w:ascii="Cambria" w:hAnsi="Cambria" w:cs="Calibri Light"/>
          <w:color w:val="000000" w:themeColor="text1"/>
          <w:sz w:val="20"/>
          <w:szCs w:val="20"/>
          <w:lang w:val="es-CO"/>
        </w:rPr>
      </w:pPr>
      <w:r w:rsidRPr="3B19747E">
        <w:rPr>
          <w:rFonts w:ascii="Cambria" w:hAnsi="Cambria" w:cs="Calibri Light"/>
          <w:color w:val="000000" w:themeColor="text1"/>
          <w:sz w:val="20"/>
          <w:szCs w:val="20"/>
          <w:lang w:val="es-CO"/>
        </w:rPr>
        <w:t xml:space="preserve">En este sentido, la Comisión reitera que, </w:t>
      </w:r>
      <w:r w:rsidRPr="3B19747E">
        <w:rPr>
          <w:rFonts w:ascii="Cambria" w:hAnsi="Cambria"/>
          <w:color w:val="000000" w:themeColor="text1"/>
          <w:sz w:val="20"/>
          <w:szCs w:val="20"/>
          <w:lang w:val="es-CO"/>
        </w:rPr>
        <w:t>de acuerdo con la jurisprudencia constante y la práctica establecida del Sistema Interamericano,</w:t>
      </w:r>
      <w:r w:rsidRPr="3B19747E">
        <w:rPr>
          <w:rFonts w:ascii="Cambria" w:hAnsi="Cambria" w:cs="Calibri Light"/>
          <w:color w:val="000000" w:themeColor="text1"/>
          <w:sz w:val="20"/>
          <w:szCs w:val="20"/>
          <w:lang w:val="es-CO"/>
        </w:rPr>
        <w:t xml:space="preserve"> </w:t>
      </w:r>
      <w:r w:rsidRPr="3B19747E">
        <w:rPr>
          <w:rFonts w:ascii="Cambria" w:hAnsi="Cambria" w:cs="Verdana"/>
          <w:color w:val="000000" w:themeColor="text1"/>
          <w:sz w:val="20"/>
          <w:szCs w:val="20"/>
          <w:lang w:val="es-CO"/>
        </w:rPr>
        <w:t>la Declaración Americana es una fuente de obligaciones internacionales para los Estados Miembros de la OEA</w:t>
      </w:r>
      <w:r w:rsidRPr="3B19747E">
        <w:rPr>
          <w:rFonts w:ascii="Cambria" w:hAnsi="Cambria" w:cs="Calibri Light"/>
          <w:color w:val="000000" w:themeColor="text1"/>
          <w:sz w:val="20"/>
          <w:szCs w:val="20"/>
          <w:lang w:val="es-CO"/>
        </w:rPr>
        <w:t>, incluyendo en particular aquellos Estados que no son parte de la Convención Americana de Derechos Humanos</w:t>
      </w:r>
      <w:r w:rsidRPr="3B19747E">
        <w:rPr>
          <w:rStyle w:val="FootnoteReference"/>
          <w:rFonts w:ascii="Cambria" w:hAnsi="Cambria" w:cs="Calibri Light"/>
          <w:color w:val="000000" w:themeColor="text1"/>
          <w:sz w:val="20"/>
          <w:szCs w:val="20"/>
        </w:rPr>
        <w:footnoteReference w:id="1"/>
      </w:r>
      <w:r w:rsidRPr="3B19747E">
        <w:rPr>
          <w:rFonts w:ascii="Cambria" w:hAnsi="Cambria" w:cs="Calibri Light"/>
          <w:color w:val="000000" w:themeColor="text1"/>
          <w:sz w:val="20"/>
          <w:szCs w:val="20"/>
          <w:lang w:val="es-CO"/>
        </w:rPr>
        <w:t xml:space="preserve">. </w:t>
      </w:r>
      <w:r w:rsidRPr="3B19747E">
        <w:rPr>
          <w:rFonts w:ascii="Cambria" w:hAnsi="Cambria"/>
          <w:color w:val="000000" w:themeColor="text1"/>
          <w:sz w:val="20"/>
          <w:szCs w:val="20"/>
          <w:lang w:val="es-ES"/>
        </w:rPr>
        <w:t xml:space="preserve">Bajo el artículo 106 de la Carta de la OEA, la Comisión Interamericana es el órgano al que los Estados Miembros han encargado la función de promover la observancia y protección de derechos humanos; y </w:t>
      </w:r>
      <w:proofErr w:type="gramStart"/>
      <w:r w:rsidRPr="3B19747E">
        <w:rPr>
          <w:rFonts w:ascii="Cambria" w:hAnsi="Cambria"/>
          <w:color w:val="000000" w:themeColor="text1"/>
          <w:sz w:val="20"/>
          <w:szCs w:val="20"/>
          <w:lang w:val="es-ES"/>
        </w:rPr>
        <w:t>de acuerdo al</w:t>
      </w:r>
      <w:proofErr w:type="gramEnd"/>
      <w:r w:rsidRPr="3B19747E">
        <w:rPr>
          <w:rFonts w:ascii="Cambria" w:hAnsi="Cambria"/>
          <w:color w:val="000000" w:themeColor="text1"/>
          <w:sz w:val="20"/>
          <w:szCs w:val="20"/>
          <w:lang w:val="es-ES"/>
        </w:rPr>
        <w:t xml:space="preserve"> artículo 20 de su Estatuto, este órgano tiene la autoridad de examinar comunicaciones y emitir recomendaciones para avanzar en la observancia de los derechos humanos fundamentales. A fin de que las disposiciones del artículo 106 de la Carta de la OEA tengan un </w:t>
      </w:r>
      <w:proofErr w:type="spellStart"/>
      <w:r w:rsidRPr="3B19747E">
        <w:rPr>
          <w:rFonts w:ascii="Cambria" w:hAnsi="Cambria"/>
          <w:i/>
          <w:iCs/>
          <w:color w:val="000000" w:themeColor="text1"/>
          <w:sz w:val="20"/>
          <w:szCs w:val="20"/>
          <w:lang w:val="es-ES"/>
        </w:rPr>
        <w:t>effet</w:t>
      </w:r>
      <w:proofErr w:type="spellEnd"/>
      <w:r w:rsidRPr="3B19747E">
        <w:rPr>
          <w:rFonts w:ascii="Cambria" w:hAnsi="Cambria"/>
          <w:i/>
          <w:iCs/>
          <w:color w:val="000000" w:themeColor="text1"/>
          <w:sz w:val="20"/>
          <w:szCs w:val="20"/>
          <w:lang w:val="es-ES"/>
        </w:rPr>
        <w:t xml:space="preserve"> </w:t>
      </w:r>
      <w:proofErr w:type="spellStart"/>
      <w:r w:rsidRPr="3B19747E">
        <w:rPr>
          <w:rFonts w:ascii="Cambria" w:hAnsi="Cambria"/>
          <w:i/>
          <w:iCs/>
          <w:color w:val="000000" w:themeColor="text1"/>
          <w:sz w:val="20"/>
          <w:szCs w:val="20"/>
          <w:lang w:val="es-ES"/>
        </w:rPr>
        <w:t>utile</w:t>
      </w:r>
      <w:proofErr w:type="spellEnd"/>
      <w:r w:rsidRPr="3B19747E">
        <w:rPr>
          <w:rFonts w:ascii="Cambria" w:hAnsi="Cambria"/>
          <w:color w:val="000000" w:themeColor="text1"/>
          <w:sz w:val="20"/>
          <w:szCs w:val="20"/>
          <w:lang w:val="es-ES"/>
        </w:rPr>
        <w:t xml:space="preserve">, y para </w:t>
      </w:r>
      <w:r w:rsidRPr="3B19747E">
        <w:rPr>
          <w:rFonts w:ascii="Cambria" w:hAnsi="Cambria"/>
          <w:color w:val="000000" w:themeColor="text1"/>
          <w:sz w:val="20"/>
          <w:szCs w:val="20"/>
          <w:lang w:val="es-CO"/>
        </w:rPr>
        <w:t>que la Comisión Interamericana pueda cumplir efectivamente con su función de promover la observancia y la defensa de los derechos humanos, los Estados Miembros deben cumplir de buena fe con sus recomendaciones. Conforme al artículo 31(1) de la Convención de Viena sobre Derecho de los Tratados, los Estados Miembros deben adoptar esfuerzos de buena fe para cumplir con las recomendaciones de órganos de supervisión tales como esta Comisión</w:t>
      </w:r>
      <w:r w:rsidRPr="3B19747E">
        <w:rPr>
          <w:rStyle w:val="FootnoteReference"/>
          <w:rFonts w:ascii="Cambria" w:hAnsi="Cambria" w:cs="Calibri Light"/>
          <w:color w:val="000000" w:themeColor="text1"/>
          <w:sz w:val="20"/>
          <w:szCs w:val="20"/>
          <w:lang w:val="es-CO"/>
        </w:rPr>
        <w:footnoteReference w:id="2"/>
      </w:r>
      <w:r w:rsidRPr="3B19747E">
        <w:rPr>
          <w:rFonts w:ascii="Cambria" w:hAnsi="Cambria"/>
          <w:color w:val="000000" w:themeColor="text1"/>
          <w:sz w:val="20"/>
          <w:szCs w:val="20"/>
          <w:lang w:val="es-CO"/>
        </w:rPr>
        <w:t>.</w:t>
      </w:r>
    </w:p>
    <w:p w14:paraId="333C92B3" w14:textId="77777777" w:rsidR="007B7BB1" w:rsidRPr="00F709EF" w:rsidRDefault="007B7BB1" w:rsidP="3B19747E">
      <w:pPr>
        <w:pStyle w:val="ListParagraph"/>
        <w:jc w:val="both"/>
        <w:rPr>
          <w:rFonts w:ascii="Cambria" w:hAnsi="Cambria" w:cs="Calibri Light"/>
          <w:color w:val="000000" w:themeColor="text1"/>
          <w:sz w:val="20"/>
          <w:szCs w:val="20"/>
          <w:lang w:val="es-CO"/>
        </w:rPr>
      </w:pPr>
    </w:p>
    <w:p w14:paraId="35D4B9DD" w14:textId="77777777" w:rsidR="007B7BB1" w:rsidRPr="00F709EF" w:rsidRDefault="007B7BB1" w:rsidP="3B19747E">
      <w:pPr>
        <w:pStyle w:val="ListParagraph"/>
        <w:numPr>
          <w:ilvl w:val="0"/>
          <w:numId w:val="14"/>
        </w:numPr>
        <w:ind w:left="0" w:firstLine="720"/>
        <w:jc w:val="both"/>
        <w:rPr>
          <w:rFonts w:ascii="Cambria" w:hAnsi="Cambria" w:cs="Calibri Light"/>
          <w:color w:val="000000" w:themeColor="text1"/>
          <w:sz w:val="20"/>
          <w:szCs w:val="20"/>
          <w:lang w:val="es-CO"/>
        </w:rPr>
      </w:pPr>
      <w:r w:rsidRPr="3B19747E">
        <w:rPr>
          <w:rFonts w:ascii="Cambria" w:hAnsi="Cambria" w:cs="Calibri Light"/>
          <w:b/>
          <w:bCs/>
          <w:color w:val="000000" w:themeColor="text1"/>
          <w:sz w:val="20"/>
          <w:szCs w:val="20"/>
          <w:lang w:val="es-CO"/>
        </w:rPr>
        <w:t>En relación con la primera recomendación</w:t>
      </w:r>
      <w:r w:rsidRPr="3B19747E">
        <w:rPr>
          <w:rFonts w:ascii="Cambria" w:hAnsi="Cambria" w:cs="Calibri Light"/>
          <w:color w:val="000000" w:themeColor="text1"/>
          <w:sz w:val="20"/>
          <w:szCs w:val="20"/>
          <w:lang w:val="es-CO"/>
        </w:rPr>
        <w:t xml:space="preserve">, en 2018, el Estado indicó que no tiene intenciones de otorgar reparaciones a la víctima. El Estado reiteró información enviada previamente a la Comisión en la que manifestó que </w:t>
      </w:r>
      <w:r w:rsidRPr="3B19747E">
        <w:rPr>
          <w:rFonts w:ascii="Cambria" w:hAnsi="Cambria" w:cs="Cambria"/>
          <w:color w:val="000000" w:themeColor="text1"/>
          <w:sz w:val="20"/>
          <w:szCs w:val="20"/>
          <w:lang w:val="es-CO"/>
        </w:rPr>
        <w:t xml:space="preserve">el señor </w:t>
      </w:r>
      <w:proofErr w:type="spellStart"/>
      <w:r w:rsidRPr="3B19747E">
        <w:rPr>
          <w:rFonts w:ascii="Cambria" w:hAnsi="Cambria" w:cs="Cambria"/>
          <w:color w:val="000000" w:themeColor="text1"/>
          <w:sz w:val="20"/>
          <w:szCs w:val="20"/>
          <w:lang w:val="es-CO"/>
        </w:rPr>
        <w:t>Suresh</w:t>
      </w:r>
      <w:proofErr w:type="spellEnd"/>
      <w:r w:rsidRPr="3B19747E">
        <w:rPr>
          <w:rFonts w:ascii="Cambria" w:hAnsi="Cambria" w:cs="Cambria"/>
          <w:color w:val="000000" w:themeColor="text1"/>
          <w:sz w:val="20"/>
          <w:szCs w:val="20"/>
          <w:lang w:val="es-CO"/>
        </w:rPr>
        <w:t xml:space="preserve"> no tiene derecho a ningún tipo de reparación, sea pecuniaria o de otro tipo, porque a) es un extranjero que se había determinado que era inadmisible en Canadá debido a que constituía un riesgo para la seguridad nacional en razón de su calidad de integrante del órgano ejecutivo de una organización terrorista y a sus actividades de recaudación de fondos para una organización terrorista; b) el derecho interno no prevé el pago de una indemnización pecuniaria; c) el señor </w:t>
      </w:r>
      <w:proofErr w:type="spellStart"/>
      <w:r w:rsidRPr="3B19747E">
        <w:rPr>
          <w:rFonts w:ascii="Cambria" w:hAnsi="Cambria" w:cs="Cambria"/>
          <w:color w:val="000000" w:themeColor="text1"/>
          <w:sz w:val="20"/>
          <w:szCs w:val="20"/>
          <w:lang w:val="es-CO"/>
        </w:rPr>
        <w:t>Suresh</w:t>
      </w:r>
      <w:proofErr w:type="spellEnd"/>
      <w:r w:rsidRPr="3B19747E">
        <w:rPr>
          <w:rFonts w:ascii="Cambria" w:hAnsi="Cambria" w:cs="Cambria"/>
          <w:color w:val="000000" w:themeColor="text1"/>
          <w:sz w:val="20"/>
          <w:szCs w:val="20"/>
          <w:lang w:val="es-CO"/>
        </w:rPr>
        <w:t xml:space="preserve"> fue detenido a fin de ser deportado de conformidad con una ley que era constitucional en el momento de su detención, solamente algunas partes de dicha ley se declararon inconstitucionales recién en 2007</w:t>
      </w:r>
      <w:r w:rsidRPr="3B19747E">
        <w:rPr>
          <w:rStyle w:val="FootnoteReference"/>
          <w:rFonts w:ascii="Cambria" w:hAnsi="Cambria" w:cs="Cambria"/>
          <w:color w:val="000000" w:themeColor="text1"/>
          <w:sz w:val="20"/>
          <w:szCs w:val="20"/>
          <w:lang w:val="es-CO"/>
        </w:rPr>
        <w:footnoteReference w:id="3"/>
      </w:r>
      <w:r w:rsidRPr="3B19747E">
        <w:rPr>
          <w:rFonts w:ascii="Cambria" w:hAnsi="Cambria" w:cs="Cambria"/>
          <w:color w:val="000000" w:themeColor="text1"/>
          <w:sz w:val="20"/>
          <w:szCs w:val="20"/>
          <w:lang w:val="es-CO"/>
        </w:rPr>
        <w:t xml:space="preserve">. </w:t>
      </w:r>
      <w:r w:rsidRPr="3B19747E">
        <w:rPr>
          <w:rFonts w:ascii="Cambria" w:hAnsi="Cambria" w:cs="Calibri Light"/>
          <w:color w:val="000000" w:themeColor="text1"/>
          <w:sz w:val="20"/>
          <w:szCs w:val="20"/>
          <w:lang w:val="es-CO"/>
        </w:rPr>
        <w:t xml:space="preserve">El Estado afirmó que no había ningún fundamento jurídico ni normas de equidad que dieran derecho al señor </w:t>
      </w:r>
      <w:proofErr w:type="spellStart"/>
      <w:r w:rsidRPr="3B19747E">
        <w:rPr>
          <w:rFonts w:ascii="Cambria" w:hAnsi="Cambria" w:cs="Calibri Light"/>
          <w:color w:val="000000" w:themeColor="text1"/>
          <w:sz w:val="20"/>
          <w:szCs w:val="20"/>
          <w:lang w:val="es-CO"/>
        </w:rPr>
        <w:t>Suresh</w:t>
      </w:r>
      <w:proofErr w:type="spellEnd"/>
      <w:r w:rsidRPr="3B19747E">
        <w:rPr>
          <w:rFonts w:ascii="Cambria" w:hAnsi="Cambria" w:cs="Calibri Light"/>
          <w:color w:val="000000" w:themeColor="text1"/>
          <w:sz w:val="20"/>
          <w:szCs w:val="20"/>
          <w:lang w:val="es-CO"/>
        </w:rPr>
        <w:t xml:space="preserve"> a recibir una indemnización pecuniaria. Asimismo, el Estado informó que el señor </w:t>
      </w:r>
      <w:proofErr w:type="spellStart"/>
      <w:r w:rsidRPr="3B19747E">
        <w:rPr>
          <w:rFonts w:ascii="Cambria" w:hAnsi="Cambria" w:cs="Calibri Light"/>
          <w:color w:val="000000" w:themeColor="text1"/>
          <w:sz w:val="20"/>
          <w:szCs w:val="20"/>
          <w:lang w:val="es-CO"/>
        </w:rPr>
        <w:t>Suresh</w:t>
      </w:r>
      <w:proofErr w:type="spellEnd"/>
      <w:r w:rsidRPr="3B19747E">
        <w:rPr>
          <w:rFonts w:ascii="Cambria" w:hAnsi="Cambria" w:cs="Calibri Light"/>
          <w:color w:val="000000" w:themeColor="text1"/>
          <w:sz w:val="20"/>
          <w:szCs w:val="20"/>
          <w:lang w:val="es-CO"/>
        </w:rPr>
        <w:t xml:space="preserve"> ya estaba sujeto al proceso del certificado de seguridad en vista de que este documento había sido anulado por ministerio de la ley cuando la Corte Suprema de Canadá declaró la nulidad de las disposiciones pertinentes de la Ley de Inmigración y </w:t>
      </w:r>
      <w:r w:rsidRPr="3B19747E">
        <w:rPr>
          <w:rFonts w:ascii="Cambria" w:hAnsi="Cambria" w:cs="Calibri Light"/>
          <w:color w:val="000000" w:themeColor="text1"/>
          <w:sz w:val="20"/>
          <w:szCs w:val="20"/>
          <w:lang w:val="es-CO"/>
        </w:rPr>
        <w:lastRenderedPageBreak/>
        <w:t xml:space="preserve">Protección de los Refugiados (IRPA) en 2007 en </w:t>
      </w:r>
      <w:proofErr w:type="spellStart"/>
      <w:r w:rsidRPr="3B19747E">
        <w:rPr>
          <w:rFonts w:ascii="Cambria" w:hAnsi="Cambria" w:cs="Calibri Light"/>
          <w:i/>
          <w:iCs/>
          <w:color w:val="000000" w:themeColor="text1"/>
          <w:sz w:val="20"/>
          <w:szCs w:val="20"/>
          <w:lang w:val="es-CO"/>
        </w:rPr>
        <w:t>Charkaoui</w:t>
      </w:r>
      <w:proofErr w:type="spellEnd"/>
      <w:r w:rsidRPr="3B19747E">
        <w:rPr>
          <w:rFonts w:ascii="Cambria" w:hAnsi="Cambria" w:cs="Calibri Light"/>
          <w:i/>
          <w:iCs/>
          <w:color w:val="000000" w:themeColor="text1"/>
          <w:sz w:val="20"/>
          <w:szCs w:val="20"/>
          <w:lang w:val="es-CO"/>
        </w:rPr>
        <w:t xml:space="preserve"> c. Canadá (Ciudadanía e inmigración)</w:t>
      </w:r>
      <w:r w:rsidRPr="3B19747E">
        <w:rPr>
          <w:rStyle w:val="FootnoteReference"/>
          <w:rFonts w:ascii="Cambria" w:hAnsi="Cambria" w:cs="Calibri Light"/>
          <w:color w:val="000000" w:themeColor="text1"/>
          <w:sz w:val="20"/>
          <w:szCs w:val="20"/>
          <w:lang w:val="es-CO"/>
        </w:rPr>
        <w:footnoteReference w:id="4"/>
      </w:r>
      <w:r w:rsidRPr="3B19747E">
        <w:rPr>
          <w:rFonts w:ascii="Cambria" w:hAnsi="Cambria" w:cs="Calibri Light"/>
          <w:color w:val="000000" w:themeColor="text1"/>
          <w:sz w:val="20"/>
          <w:szCs w:val="20"/>
          <w:lang w:val="es-CO"/>
        </w:rPr>
        <w:t xml:space="preserve">. Asimismo, el Estado informó que, el 10 de enero de 2017, el Tribunal Federal de Canadá confirmó la decisión de que no se podía admitir la permanencia del señor </w:t>
      </w:r>
      <w:proofErr w:type="spellStart"/>
      <w:r w:rsidRPr="3B19747E">
        <w:rPr>
          <w:rFonts w:ascii="Cambria" w:hAnsi="Cambria" w:cs="Calibri Light"/>
          <w:color w:val="000000" w:themeColor="text1"/>
          <w:sz w:val="20"/>
          <w:szCs w:val="20"/>
          <w:lang w:val="es-CO"/>
        </w:rPr>
        <w:t>Suresh</w:t>
      </w:r>
      <w:proofErr w:type="spellEnd"/>
      <w:r w:rsidRPr="3B19747E">
        <w:rPr>
          <w:rFonts w:ascii="Cambria" w:hAnsi="Cambria" w:cs="Calibri Light"/>
          <w:color w:val="000000" w:themeColor="text1"/>
          <w:sz w:val="20"/>
          <w:szCs w:val="20"/>
          <w:lang w:val="es-CO"/>
        </w:rPr>
        <w:t xml:space="preserve"> en Canadá por dos motivos: (i) su calidad de miembro de una organización terrorista, y (ii) su complicidad en crímenes de guerra y de lesa humanidad</w:t>
      </w:r>
      <w:r w:rsidRPr="3B19747E">
        <w:rPr>
          <w:rStyle w:val="FootnoteReference"/>
          <w:rFonts w:ascii="Cambria" w:hAnsi="Cambria" w:cs="Calibri Light"/>
          <w:color w:val="000000" w:themeColor="text1"/>
          <w:sz w:val="20"/>
          <w:szCs w:val="20"/>
          <w:lang w:val="es-CO"/>
        </w:rPr>
        <w:footnoteReference w:id="5"/>
      </w:r>
      <w:r w:rsidRPr="3B19747E">
        <w:rPr>
          <w:rFonts w:ascii="Cambria" w:hAnsi="Cambria" w:cs="Calibri Light"/>
          <w:color w:val="000000" w:themeColor="text1"/>
          <w:sz w:val="20"/>
          <w:szCs w:val="20"/>
          <w:lang w:val="es-CO"/>
        </w:rPr>
        <w:t xml:space="preserve">. El 3 de noviembre de 2017, el Estado comunicó a la víctima la intención de Canadá de solicitar la opinión del </w:t>
      </w:r>
      <w:proofErr w:type="gramStart"/>
      <w:r w:rsidRPr="3B19747E">
        <w:rPr>
          <w:rFonts w:ascii="Cambria" w:hAnsi="Cambria" w:cs="Calibri Light"/>
          <w:color w:val="000000" w:themeColor="text1"/>
          <w:sz w:val="20"/>
          <w:szCs w:val="20"/>
          <w:lang w:val="es-CO"/>
        </w:rPr>
        <w:t>Ministro</w:t>
      </w:r>
      <w:proofErr w:type="gramEnd"/>
      <w:r w:rsidRPr="3B19747E">
        <w:rPr>
          <w:rFonts w:ascii="Cambria" w:hAnsi="Cambria" w:cs="Calibri Light"/>
          <w:color w:val="000000" w:themeColor="text1"/>
          <w:sz w:val="20"/>
          <w:szCs w:val="20"/>
          <w:lang w:val="es-CO"/>
        </w:rPr>
        <w:t xml:space="preserve"> de Inmigración, Refugiado y Ciudadanía sobre su permanencia en el país.</w:t>
      </w:r>
    </w:p>
    <w:p w14:paraId="3CEB2F26" w14:textId="77777777" w:rsidR="007B7BB1" w:rsidRPr="00F709EF" w:rsidRDefault="007B7BB1" w:rsidP="3B19747E">
      <w:pPr>
        <w:pStyle w:val="ListParagraph"/>
        <w:jc w:val="both"/>
        <w:rPr>
          <w:rFonts w:ascii="Cambria" w:hAnsi="Cambria" w:cs="Calibri Light"/>
          <w:color w:val="000000" w:themeColor="text1"/>
          <w:sz w:val="20"/>
          <w:szCs w:val="20"/>
          <w:lang w:val="es-CO"/>
        </w:rPr>
      </w:pPr>
      <w:r w:rsidRPr="3B19747E">
        <w:rPr>
          <w:rFonts w:ascii="Cambria" w:hAnsi="Cambria" w:cs="Calibri Light"/>
          <w:color w:val="000000" w:themeColor="text1"/>
          <w:sz w:val="20"/>
          <w:szCs w:val="20"/>
          <w:lang w:val="es-CO"/>
        </w:rPr>
        <w:t xml:space="preserve"> </w:t>
      </w:r>
    </w:p>
    <w:p w14:paraId="257C92CF" w14:textId="01ED53E0" w:rsidR="007B7BB1" w:rsidRDefault="007B7BB1" w:rsidP="3B19747E">
      <w:pPr>
        <w:pStyle w:val="ListParagraph"/>
        <w:numPr>
          <w:ilvl w:val="0"/>
          <w:numId w:val="14"/>
        </w:numPr>
        <w:ind w:left="0" w:firstLine="720"/>
        <w:jc w:val="both"/>
        <w:rPr>
          <w:rFonts w:ascii="Cambria" w:hAnsi="Cambria" w:cs="Calibri Light"/>
          <w:color w:val="000000" w:themeColor="text1"/>
          <w:sz w:val="20"/>
          <w:szCs w:val="20"/>
          <w:lang w:val="es-CO"/>
        </w:rPr>
      </w:pPr>
      <w:r w:rsidRPr="3B19747E">
        <w:rPr>
          <w:rFonts w:ascii="Cambria" w:hAnsi="Cambria" w:cs="Calibri Light"/>
          <w:color w:val="000000" w:themeColor="text1"/>
          <w:sz w:val="20"/>
          <w:szCs w:val="20"/>
          <w:lang w:val="es-CO"/>
        </w:rPr>
        <w:t xml:space="preserve">En 2020, el Estado reiteró la información proporcionada en ocasiones anteriores y recalcó que no considera adoptar ninguna medida enfocada a dar cumplimiento a esta recomendación. </w:t>
      </w:r>
    </w:p>
    <w:p w14:paraId="009191C9" w14:textId="77777777" w:rsidR="00E83132" w:rsidRPr="00E83132" w:rsidRDefault="00E83132" w:rsidP="3B19747E">
      <w:pPr>
        <w:pStyle w:val="ListParagraph"/>
        <w:rPr>
          <w:rFonts w:ascii="Cambria" w:hAnsi="Cambria" w:cs="Calibri Light"/>
          <w:color w:val="000000" w:themeColor="text1"/>
          <w:sz w:val="20"/>
          <w:szCs w:val="20"/>
          <w:lang w:val="es-CO"/>
        </w:rPr>
      </w:pPr>
    </w:p>
    <w:p w14:paraId="08B771B3" w14:textId="7661DC20" w:rsidR="00E83132" w:rsidRPr="00E83132" w:rsidRDefault="00E83132" w:rsidP="3B19747E">
      <w:pPr>
        <w:pStyle w:val="ListParagraph"/>
        <w:numPr>
          <w:ilvl w:val="0"/>
          <w:numId w:val="14"/>
        </w:numPr>
        <w:ind w:left="0" w:firstLine="720"/>
        <w:jc w:val="both"/>
        <w:rPr>
          <w:rFonts w:ascii="Cambria" w:hAnsi="Cambria" w:cs="Calibri Light"/>
          <w:color w:val="000000" w:themeColor="text1"/>
          <w:sz w:val="20"/>
          <w:szCs w:val="20"/>
          <w:lang w:val="es-CO"/>
        </w:rPr>
      </w:pPr>
      <w:r w:rsidRPr="3B19747E">
        <w:rPr>
          <w:rFonts w:ascii="Cambria" w:hAnsi="Cambria" w:cs="Calibri Light"/>
          <w:color w:val="000000" w:themeColor="text1"/>
          <w:sz w:val="20"/>
          <w:szCs w:val="20"/>
          <w:lang w:val="es-CO"/>
        </w:rPr>
        <w:t>En 2021</w:t>
      </w:r>
      <w:r w:rsidR="001D40F5" w:rsidRPr="3B19747E">
        <w:rPr>
          <w:rFonts w:ascii="Cambria" w:hAnsi="Cambria" w:cs="Calibri Light"/>
          <w:color w:val="000000" w:themeColor="text1"/>
          <w:sz w:val="20"/>
          <w:szCs w:val="20"/>
          <w:lang w:val="es-CO"/>
        </w:rPr>
        <w:t>,</w:t>
      </w:r>
      <w:r w:rsidRPr="3B19747E">
        <w:rPr>
          <w:rFonts w:ascii="Cambria" w:hAnsi="Cambria" w:cs="Calibri Light"/>
          <w:color w:val="000000" w:themeColor="text1"/>
          <w:sz w:val="20"/>
          <w:szCs w:val="20"/>
          <w:lang w:val="es-CO"/>
        </w:rPr>
        <w:t xml:space="preserve"> el Estado informó que no </w:t>
      </w:r>
      <w:r w:rsidR="001D40F5" w:rsidRPr="3B19747E">
        <w:rPr>
          <w:rFonts w:ascii="Cambria" w:hAnsi="Cambria" w:cs="Calibri Light"/>
          <w:color w:val="000000" w:themeColor="text1"/>
          <w:sz w:val="20"/>
          <w:szCs w:val="20"/>
          <w:lang w:val="es-CO"/>
        </w:rPr>
        <w:t>tomará</w:t>
      </w:r>
      <w:r w:rsidRPr="3B19747E">
        <w:rPr>
          <w:rFonts w:ascii="Cambria" w:hAnsi="Cambria" w:cs="Calibri Light"/>
          <w:color w:val="000000" w:themeColor="text1"/>
          <w:sz w:val="20"/>
          <w:szCs w:val="20"/>
          <w:lang w:val="es-CO"/>
        </w:rPr>
        <w:t xml:space="preserve"> más medidas con respecto a la recomendación 1.</w:t>
      </w:r>
    </w:p>
    <w:p w14:paraId="3718C60C" w14:textId="77777777" w:rsidR="007B7BB1" w:rsidRPr="00F709EF" w:rsidRDefault="007B7BB1" w:rsidP="3B19747E">
      <w:pPr>
        <w:pStyle w:val="ListParagraph"/>
        <w:jc w:val="both"/>
        <w:rPr>
          <w:rFonts w:ascii="Cambria" w:hAnsi="Cambria" w:cs="Calibri Light"/>
          <w:color w:val="000000" w:themeColor="text1"/>
          <w:sz w:val="20"/>
          <w:szCs w:val="20"/>
          <w:lang w:val="es-CO"/>
        </w:rPr>
      </w:pPr>
    </w:p>
    <w:p w14:paraId="4C7292B3" w14:textId="77777777" w:rsidR="007B7BB1" w:rsidRPr="00F709EF" w:rsidRDefault="007B7BB1" w:rsidP="3B19747E">
      <w:pPr>
        <w:pStyle w:val="ListParagraph"/>
        <w:numPr>
          <w:ilvl w:val="0"/>
          <w:numId w:val="14"/>
        </w:numPr>
        <w:ind w:left="0" w:firstLine="720"/>
        <w:jc w:val="both"/>
        <w:rPr>
          <w:rFonts w:ascii="Cambria" w:hAnsi="Cambria" w:cs="Calibri Light"/>
          <w:color w:val="000000" w:themeColor="text1"/>
          <w:sz w:val="20"/>
          <w:szCs w:val="20"/>
          <w:lang w:val="es-CO"/>
        </w:rPr>
      </w:pPr>
      <w:r w:rsidRPr="3B19747E">
        <w:rPr>
          <w:rFonts w:ascii="Cambria" w:hAnsi="Cambria" w:cs="Calibri Light"/>
          <w:color w:val="000000" w:themeColor="text1"/>
          <w:sz w:val="20"/>
          <w:szCs w:val="20"/>
          <w:lang w:val="es-CO"/>
        </w:rPr>
        <w:t xml:space="preserve">En 2015, los peticionarios confirmaron que </w:t>
      </w:r>
      <w:r w:rsidRPr="3B19747E">
        <w:rPr>
          <w:rFonts w:ascii="Cambria" w:hAnsi="Cambria" w:cs="Cambria"/>
          <w:color w:val="000000" w:themeColor="text1"/>
          <w:sz w:val="20"/>
          <w:szCs w:val="20"/>
          <w:lang w:val="es-CO"/>
        </w:rPr>
        <w:t xml:space="preserve">el derecho canadiense no proporciona una base legal para otorgar el pago de reparaciones al señor </w:t>
      </w:r>
      <w:proofErr w:type="spellStart"/>
      <w:r w:rsidRPr="3B19747E">
        <w:rPr>
          <w:rFonts w:ascii="Cambria" w:hAnsi="Cambria" w:cs="Cambria"/>
          <w:color w:val="000000" w:themeColor="text1"/>
          <w:sz w:val="20"/>
          <w:szCs w:val="20"/>
          <w:lang w:val="es-CO"/>
        </w:rPr>
        <w:t>Suresh</w:t>
      </w:r>
      <w:proofErr w:type="spellEnd"/>
      <w:r w:rsidRPr="3B19747E">
        <w:rPr>
          <w:rFonts w:ascii="Cambria" w:hAnsi="Cambria" w:cs="Cambria"/>
          <w:color w:val="000000" w:themeColor="text1"/>
          <w:sz w:val="20"/>
          <w:szCs w:val="20"/>
          <w:lang w:val="es-CO"/>
        </w:rPr>
        <w:t xml:space="preserve"> por sus años de detención debido a que la normativa que se le aplicó estuvo en vigor hasta que la Corte Suprema lo derogó </w:t>
      </w:r>
      <w:r w:rsidRPr="3B19747E">
        <w:rPr>
          <w:rFonts w:ascii="Cambria" w:hAnsi="Cambria"/>
          <w:color w:val="000000" w:themeColor="text1"/>
          <w:sz w:val="20"/>
          <w:szCs w:val="20"/>
          <w:lang w:val="es-CO"/>
        </w:rPr>
        <w:t>en el</w:t>
      </w:r>
      <w:r w:rsidRPr="3B19747E">
        <w:rPr>
          <w:rFonts w:ascii="Cambria" w:hAnsi="Cambria" w:cs="Cambria"/>
          <w:color w:val="000000" w:themeColor="text1"/>
          <w:sz w:val="20"/>
          <w:szCs w:val="20"/>
          <w:lang w:val="es-CO"/>
        </w:rPr>
        <w:t xml:space="preserve"> 2007. </w:t>
      </w:r>
      <w:r w:rsidRPr="3B19747E">
        <w:rPr>
          <w:rFonts w:ascii="Cambria" w:hAnsi="Cambria"/>
          <w:color w:val="000000" w:themeColor="text1"/>
          <w:sz w:val="20"/>
          <w:szCs w:val="20"/>
          <w:lang w:val="es-CO"/>
        </w:rPr>
        <w:t>Sin embargo, los peticionarios alegaron</w:t>
      </w:r>
      <w:r w:rsidRPr="3B19747E">
        <w:rPr>
          <w:rFonts w:ascii="Cambria" w:hAnsi="Cambria" w:cs="Cambria"/>
          <w:color w:val="000000" w:themeColor="text1"/>
          <w:sz w:val="20"/>
          <w:szCs w:val="20"/>
          <w:lang w:val="es-CO"/>
        </w:rPr>
        <w:t xml:space="preserve"> que ello excluye la obligación de Canadá de proporcionar reparaciones justas a la luz de sus obligaciones en el marco de la Declaración Americana</w:t>
      </w:r>
      <w:r w:rsidRPr="3B19747E">
        <w:rPr>
          <w:rFonts w:ascii="Cambria" w:hAnsi="Cambria"/>
          <w:color w:val="000000" w:themeColor="text1"/>
          <w:sz w:val="20"/>
          <w:szCs w:val="20"/>
          <w:lang w:val="es-CO"/>
        </w:rPr>
        <w:t xml:space="preserve">, y que </w:t>
      </w:r>
      <w:r w:rsidRPr="3B19747E">
        <w:rPr>
          <w:rFonts w:ascii="Cambria" w:hAnsi="Cambria" w:cs="Cambria"/>
          <w:color w:val="000000" w:themeColor="text1"/>
          <w:sz w:val="20"/>
          <w:szCs w:val="20"/>
          <w:lang w:val="es-CO"/>
        </w:rPr>
        <w:t>Canadá no puede denegarle reparaciones por el hecho de ser extranjero</w:t>
      </w:r>
      <w:r w:rsidRPr="3B19747E">
        <w:rPr>
          <w:rStyle w:val="FootnoteReference"/>
          <w:rFonts w:ascii="Cambria" w:hAnsi="Cambria" w:cs="Cambria"/>
          <w:color w:val="000000" w:themeColor="text1"/>
          <w:sz w:val="20"/>
          <w:szCs w:val="20"/>
          <w:lang w:val="es-CO"/>
        </w:rPr>
        <w:footnoteReference w:id="6"/>
      </w:r>
      <w:r w:rsidRPr="3B19747E">
        <w:rPr>
          <w:rFonts w:ascii="Cambria" w:hAnsi="Cambria" w:cs="Cambria"/>
          <w:color w:val="000000" w:themeColor="text1"/>
          <w:sz w:val="20"/>
          <w:szCs w:val="20"/>
          <w:lang w:val="es-CO"/>
        </w:rPr>
        <w:t xml:space="preserve">. </w:t>
      </w:r>
      <w:r w:rsidRPr="3B19747E">
        <w:rPr>
          <w:rFonts w:ascii="Cambria" w:hAnsi="Cambria"/>
          <w:color w:val="000000" w:themeColor="text1"/>
          <w:sz w:val="20"/>
          <w:szCs w:val="20"/>
          <w:lang w:val="es-CO"/>
        </w:rPr>
        <w:t xml:space="preserve">Asimismo, los peticionarios informaron que la División de Inmigración de la Comisión de Inmigración y Refugiados de Canadá ordenó la deportación del señor </w:t>
      </w:r>
      <w:proofErr w:type="spellStart"/>
      <w:r w:rsidRPr="3B19747E">
        <w:rPr>
          <w:rFonts w:ascii="Cambria" w:hAnsi="Cambria"/>
          <w:color w:val="000000" w:themeColor="text1"/>
          <w:sz w:val="20"/>
          <w:szCs w:val="20"/>
          <w:lang w:val="es-CO"/>
        </w:rPr>
        <w:t>Suresh</w:t>
      </w:r>
      <w:proofErr w:type="spellEnd"/>
      <w:r w:rsidRPr="3B19747E">
        <w:rPr>
          <w:rFonts w:ascii="Cambria" w:hAnsi="Cambria"/>
          <w:color w:val="000000" w:themeColor="text1"/>
          <w:sz w:val="20"/>
          <w:szCs w:val="20"/>
          <w:lang w:val="es-CO"/>
        </w:rPr>
        <w:t xml:space="preserve"> el 16 de septiembre de 2015, y afirmaron que era probable que fuese objeto de otro procedimiento de deportación a Sri Lanka a pesar del riesgo que ello implicaba para su vida, su libertad y su integridad física.</w:t>
      </w:r>
    </w:p>
    <w:p w14:paraId="6272BCC9" w14:textId="77777777" w:rsidR="007B7BB1" w:rsidRPr="00F709EF" w:rsidRDefault="007B7BB1" w:rsidP="3B19747E">
      <w:pPr>
        <w:pStyle w:val="ListParagraph"/>
        <w:rPr>
          <w:rFonts w:ascii="Cambria" w:hAnsi="Cambria"/>
          <w:color w:val="000000" w:themeColor="text1"/>
          <w:sz w:val="20"/>
          <w:szCs w:val="20"/>
          <w:lang w:val="es-CO"/>
        </w:rPr>
      </w:pPr>
    </w:p>
    <w:p w14:paraId="66C14A1A" w14:textId="1E907D6E" w:rsidR="007B7BB1" w:rsidRPr="00F709EF" w:rsidRDefault="007B7BB1" w:rsidP="3B19747E">
      <w:pPr>
        <w:pStyle w:val="ListParagraph"/>
        <w:numPr>
          <w:ilvl w:val="0"/>
          <w:numId w:val="14"/>
        </w:numPr>
        <w:ind w:left="0" w:firstLine="720"/>
        <w:jc w:val="both"/>
        <w:rPr>
          <w:rFonts w:ascii="Cambria" w:hAnsi="Cambria" w:cs="Calibri Light"/>
          <w:color w:val="000000" w:themeColor="text1"/>
          <w:sz w:val="20"/>
          <w:szCs w:val="20"/>
          <w:lang w:val="es-CO"/>
        </w:rPr>
      </w:pPr>
      <w:r w:rsidRPr="3B19747E">
        <w:rPr>
          <w:rFonts w:ascii="Cambria" w:hAnsi="Cambria"/>
          <w:color w:val="000000" w:themeColor="text1"/>
          <w:sz w:val="20"/>
          <w:szCs w:val="20"/>
          <w:lang w:val="es-CO"/>
        </w:rPr>
        <w:t>La CIDH recuerda al Estado que, de acuerdo con los principios del derecho internacional, todo incumplimiento de una obligación internacional que ocasione un perjuicio da lugar al deber de repararlo de manera adecuada</w:t>
      </w:r>
      <w:r w:rsidRPr="3B19747E">
        <w:rPr>
          <w:rStyle w:val="FootnoteReference"/>
          <w:rFonts w:ascii="Cambria" w:hAnsi="Cambria"/>
          <w:color w:val="000000" w:themeColor="text1"/>
          <w:sz w:val="20"/>
          <w:szCs w:val="20"/>
          <w:lang w:val="es-CO"/>
        </w:rPr>
        <w:footnoteReference w:id="7"/>
      </w:r>
      <w:r w:rsidRPr="3B19747E">
        <w:rPr>
          <w:rFonts w:ascii="Cambria" w:hAnsi="Cambria"/>
          <w:color w:val="000000" w:themeColor="text1"/>
          <w:sz w:val="20"/>
          <w:szCs w:val="20"/>
          <w:lang w:val="es-CO"/>
        </w:rPr>
        <w:t>. De conformidad con la jurisprudencia del sistema interamericano, las víctimas de violaciones de derechos humanos tienen derecho a recibir una indemnización adecuada por el daño sufrido, la cual debe concretarse en medidas individuales para restituir, indemnizar y rehabilitar a la víctima, así como medidas de satisfacción y garantías de que no se repitan tales actos</w:t>
      </w:r>
      <w:r w:rsidRPr="3B19747E">
        <w:rPr>
          <w:rStyle w:val="FootnoteReference"/>
          <w:rFonts w:ascii="Cambria" w:hAnsi="Cambria"/>
          <w:color w:val="000000" w:themeColor="text1"/>
          <w:sz w:val="20"/>
          <w:szCs w:val="20"/>
          <w:lang w:val="es-CO"/>
        </w:rPr>
        <w:footnoteReference w:id="8"/>
      </w:r>
      <w:r w:rsidRPr="3B19747E">
        <w:rPr>
          <w:rFonts w:ascii="Cambria" w:hAnsi="Cambria"/>
          <w:color w:val="000000" w:themeColor="text1"/>
          <w:sz w:val="20"/>
          <w:szCs w:val="20"/>
          <w:lang w:val="es-CO"/>
        </w:rPr>
        <w:t>. Además, un Estado no puede recurrir a su derecho interno para modificar esta obligación o hacer caso omiso de ella</w:t>
      </w:r>
      <w:r w:rsidRPr="3B19747E">
        <w:rPr>
          <w:rStyle w:val="FootnoteReference"/>
          <w:rFonts w:ascii="Cambria" w:hAnsi="Cambria"/>
          <w:color w:val="000000" w:themeColor="text1"/>
          <w:sz w:val="20"/>
          <w:szCs w:val="20"/>
          <w:lang w:val="es-CO"/>
        </w:rPr>
        <w:footnoteReference w:id="9"/>
      </w:r>
      <w:r w:rsidRPr="3B19747E">
        <w:rPr>
          <w:rFonts w:ascii="Cambria" w:hAnsi="Cambria"/>
          <w:color w:val="000000" w:themeColor="text1"/>
          <w:sz w:val="20"/>
          <w:szCs w:val="20"/>
          <w:lang w:val="es-CO"/>
        </w:rPr>
        <w:t xml:space="preserve">. En </w:t>
      </w:r>
      <w:r w:rsidR="001D40F5" w:rsidRPr="3B19747E">
        <w:rPr>
          <w:rFonts w:ascii="Cambria" w:hAnsi="Cambria"/>
          <w:color w:val="000000" w:themeColor="text1"/>
          <w:sz w:val="20"/>
          <w:szCs w:val="20"/>
          <w:lang w:val="es-CO"/>
        </w:rPr>
        <w:t xml:space="preserve">vista de la manifestación del Estado, </w:t>
      </w:r>
      <w:r w:rsidRPr="3B19747E">
        <w:rPr>
          <w:rFonts w:ascii="Cambria" w:hAnsi="Cambria"/>
          <w:color w:val="000000" w:themeColor="text1"/>
          <w:sz w:val="20"/>
          <w:szCs w:val="20"/>
          <w:lang w:val="es-CO"/>
        </w:rPr>
        <w:t xml:space="preserve">la Comisión concluye que la Recomendación 1 </w:t>
      </w:r>
      <w:r w:rsidR="001D40F5" w:rsidRPr="3B19747E">
        <w:rPr>
          <w:rFonts w:ascii="Cambria" w:hAnsi="Cambria"/>
          <w:color w:val="000000" w:themeColor="text1"/>
          <w:sz w:val="20"/>
          <w:szCs w:val="20"/>
          <w:lang w:val="es-CO"/>
        </w:rPr>
        <w:t>ha sido incumplida</w:t>
      </w:r>
      <w:r w:rsidRPr="3B19747E">
        <w:rPr>
          <w:rFonts w:ascii="Cambria" w:hAnsi="Cambria"/>
          <w:color w:val="000000" w:themeColor="text1"/>
          <w:sz w:val="20"/>
          <w:szCs w:val="20"/>
          <w:lang w:val="es-CO"/>
        </w:rPr>
        <w:t xml:space="preserve">. </w:t>
      </w:r>
    </w:p>
    <w:p w14:paraId="2044B48B" w14:textId="77777777" w:rsidR="007B7BB1" w:rsidRPr="00F709EF" w:rsidRDefault="007B7BB1" w:rsidP="3B19747E">
      <w:pPr>
        <w:pStyle w:val="ListParagraph"/>
        <w:rPr>
          <w:rFonts w:ascii="Cambria" w:hAnsi="Cambria"/>
          <w:b/>
          <w:bCs/>
          <w:color w:val="000000" w:themeColor="text1"/>
          <w:sz w:val="20"/>
          <w:szCs w:val="20"/>
          <w:lang w:val="es-CO"/>
        </w:rPr>
      </w:pPr>
    </w:p>
    <w:p w14:paraId="06CEFDF5" w14:textId="77777777" w:rsidR="007B7BB1" w:rsidRPr="00F709EF" w:rsidRDefault="007B7BB1" w:rsidP="3B19747E">
      <w:pPr>
        <w:pStyle w:val="ListParagraph"/>
        <w:numPr>
          <w:ilvl w:val="0"/>
          <w:numId w:val="14"/>
        </w:numPr>
        <w:ind w:left="0" w:firstLine="720"/>
        <w:jc w:val="both"/>
        <w:rPr>
          <w:rFonts w:ascii="Cambria" w:hAnsi="Cambria" w:cs="Calibri Light"/>
          <w:color w:val="000000" w:themeColor="text1"/>
          <w:sz w:val="20"/>
          <w:szCs w:val="20"/>
          <w:lang w:val="es-CO"/>
        </w:rPr>
      </w:pPr>
      <w:r w:rsidRPr="3B19747E">
        <w:rPr>
          <w:rFonts w:ascii="Cambria" w:hAnsi="Cambria"/>
          <w:b/>
          <w:bCs/>
          <w:color w:val="000000" w:themeColor="text1"/>
          <w:sz w:val="20"/>
          <w:szCs w:val="20"/>
          <w:lang w:val="es-CO"/>
        </w:rPr>
        <w:t>Respecto de la segunda recomendación</w:t>
      </w:r>
      <w:r w:rsidRPr="3B19747E">
        <w:rPr>
          <w:rFonts w:ascii="Cambria" w:hAnsi="Cambria"/>
          <w:color w:val="000000" w:themeColor="text1"/>
          <w:sz w:val="20"/>
          <w:szCs w:val="20"/>
          <w:lang w:val="es-CO"/>
        </w:rPr>
        <w:t xml:space="preserve">, en 2018, el Estado reiteró la información anteriormente remitida y manifestó que, de acuerdo con la decisión de la Corte Suprema de Canadá en el caso </w:t>
      </w:r>
      <w:proofErr w:type="spellStart"/>
      <w:r w:rsidRPr="3B19747E">
        <w:rPr>
          <w:rFonts w:ascii="Cambria" w:hAnsi="Cambria" w:cs="Calibri Light"/>
          <w:i/>
          <w:iCs/>
          <w:color w:val="000000" w:themeColor="text1"/>
          <w:sz w:val="20"/>
          <w:szCs w:val="20"/>
          <w:lang w:val="es-CO"/>
        </w:rPr>
        <w:t>Charkaoui</w:t>
      </w:r>
      <w:proofErr w:type="spellEnd"/>
      <w:r w:rsidRPr="3B19747E">
        <w:rPr>
          <w:rFonts w:ascii="Cambria" w:hAnsi="Cambria" w:cs="Calibri Light"/>
          <w:i/>
          <w:iCs/>
          <w:color w:val="000000" w:themeColor="text1"/>
          <w:sz w:val="20"/>
          <w:szCs w:val="20"/>
          <w:lang w:val="es-CO"/>
        </w:rPr>
        <w:t xml:space="preserve"> c. </w:t>
      </w:r>
      <w:proofErr w:type="spellStart"/>
      <w:r w:rsidRPr="3B19747E">
        <w:rPr>
          <w:rFonts w:ascii="Cambria" w:hAnsi="Cambria" w:cs="Calibri Light"/>
          <w:i/>
          <w:iCs/>
          <w:color w:val="000000" w:themeColor="text1"/>
          <w:sz w:val="20"/>
          <w:szCs w:val="20"/>
          <w:lang w:val="es-CO"/>
        </w:rPr>
        <w:t>Canada</w:t>
      </w:r>
      <w:proofErr w:type="spellEnd"/>
      <w:r w:rsidRPr="3B19747E">
        <w:rPr>
          <w:rFonts w:ascii="Cambria" w:hAnsi="Cambria" w:cs="Calibri Light"/>
          <w:i/>
          <w:iCs/>
          <w:color w:val="000000" w:themeColor="text1"/>
          <w:sz w:val="20"/>
          <w:szCs w:val="20"/>
          <w:lang w:val="es-CO"/>
        </w:rPr>
        <w:t xml:space="preserve"> (Ciudadanía e Inmigración)</w:t>
      </w:r>
      <w:r w:rsidRPr="3B19747E">
        <w:rPr>
          <w:rFonts w:ascii="Cambria" w:hAnsi="Cambria" w:cs="Calibri Light"/>
          <w:color w:val="000000" w:themeColor="text1"/>
          <w:sz w:val="20"/>
          <w:szCs w:val="20"/>
          <w:lang w:val="es-CO"/>
        </w:rPr>
        <w:t>,</w:t>
      </w:r>
      <w:r w:rsidRPr="3B19747E">
        <w:rPr>
          <w:rFonts w:ascii="Cambria" w:hAnsi="Cambria"/>
          <w:color w:val="000000" w:themeColor="text1"/>
          <w:sz w:val="20"/>
          <w:szCs w:val="20"/>
          <w:lang w:val="es-CO"/>
        </w:rPr>
        <w:t xml:space="preserve"> </w:t>
      </w:r>
      <w:r w:rsidRPr="3B19747E">
        <w:rPr>
          <w:rFonts w:ascii="Cambria" w:hAnsi="Cambria" w:cs="Cambria"/>
          <w:color w:val="000000" w:themeColor="text1"/>
          <w:sz w:val="20"/>
          <w:szCs w:val="20"/>
          <w:lang w:val="es-CO"/>
        </w:rPr>
        <w:t>las disposiciones del certificado de seguridad de la Ley de Inmigración y Protección de los Refugiados (IRPA) fue</w:t>
      </w:r>
      <w:r w:rsidRPr="3B19747E">
        <w:rPr>
          <w:rFonts w:ascii="Cambria" w:hAnsi="Cambria"/>
          <w:color w:val="000000" w:themeColor="text1"/>
          <w:sz w:val="20"/>
          <w:szCs w:val="20"/>
          <w:lang w:val="es-CO"/>
        </w:rPr>
        <w:t xml:space="preserve">ron modificadas sustancialmente. En particular, en 2008, el IRPA fue modificada para eliminar </w:t>
      </w:r>
      <w:r w:rsidRPr="3B19747E">
        <w:rPr>
          <w:rFonts w:ascii="Cambria" w:hAnsi="Cambria" w:cs="Cambria"/>
          <w:color w:val="000000" w:themeColor="text1"/>
          <w:sz w:val="20"/>
          <w:szCs w:val="20"/>
          <w:lang w:val="es-CO"/>
        </w:rPr>
        <w:t>la detención obligatoria de extranjeros nombrados en certificados de seguridad.</w:t>
      </w:r>
      <w:r w:rsidRPr="3B19747E">
        <w:rPr>
          <w:rFonts w:ascii="Cambria" w:hAnsi="Cambria"/>
          <w:color w:val="000000" w:themeColor="text1"/>
          <w:sz w:val="20"/>
          <w:szCs w:val="20"/>
          <w:lang w:val="es-CO"/>
        </w:rPr>
        <w:t xml:space="preserve"> El Estado informó que </w:t>
      </w:r>
      <w:r w:rsidRPr="3B19747E">
        <w:rPr>
          <w:rFonts w:ascii="Cambria" w:hAnsi="Cambria" w:cs="Cambria"/>
          <w:color w:val="000000" w:themeColor="text1"/>
          <w:sz w:val="20"/>
          <w:szCs w:val="20"/>
          <w:lang w:val="es-CO"/>
        </w:rPr>
        <w:t xml:space="preserve">la detención puede efectuarse solo con una orden de arresto y si el </w:t>
      </w:r>
      <w:proofErr w:type="gramStart"/>
      <w:r w:rsidRPr="3B19747E">
        <w:rPr>
          <w:rFonts w:ascii="Cambria" w:hAnsi="Cambria" w:cs="Cambria"/>
          <w:color w:val="000000" w:themeColor="text1"/>
          <w:sz w:val="20"/>
          <w:szCs w:val="20"/>
          <w:lang w:val="es-CO"/>
        </w:rPr>
        <w:t>Ministro</w:t>
      </w:r>
      <w:proofErr w:type="gramEnd"/>
      <w:r w:rsidRPr="3B19747E">
        <w:rPr>
          <w:rFonts w:ascii="Cambria" w:hAnsi="Cambria" w:cs="Cambria"/>
          <w:color w:val="000000" w:themeColor="text1"/>
          <w:sz w:val="20"/>
          <w:szCs w:val="20"/>
          <w:lang w:val="es-CO"/>
        </w:rPr>
        <w:t xml:space="preserve"> de Seguridad Pública y el Ministro de Ciudadanía e Inmigración están convencidos de que hay motivos razonables para creer que la persona constituye un peligro para la seguridad nacional</w:t>
      </w:r>
      <w:r w:rsidRPr="3B19747E">
        <w:rPr>
          <w:rFonts w:ascii="Cambria" w:eastAsia="Times New Roman" w:hAnsi="Cambria" w:cs="Courier New"/>
          <w:color w:val="000000" w:themeColor="text1"/>
          <w:sz w:val="20"/>
          <w:szCs w:val="20"/>
          <w:lang w:val="es-ES"/>
        </w:rPr>
        <w:t xml:space="preserve">. Además, con respecto a las personas nombradas en los certificados de seguridad que están detenidas, el Tribunal Federal de Canadá debe llevar a cabo una audiencia de revisión de la detención dentro de las 48 horas posteriores al arresto inicial </w:t>
      </w:r>
      <w:r w:rsidRPr="3B19747E">
        <w:rPr>
          <w:rFonts w:ascii="Cambria" w:eastAsia="Times New Roman" w:hAnsi="Cambria" w:cs="Courier New"/>
          <w:color w:val="000000" w:themeColor="text1"/>
          <w:sz w:val="20"/>
          <w:szCs w:val="20"/>
          <w:lang w:val="es-ES"/>
        </w:rPr>
        <w:lastRenderedPageBreak/>
        <w:t>y, en caso de que la detención continúe, debe realizar audiencias posteriores cada 6 meses. El Estado sostuvo que, como resultado de las enmiendas, los extranjeros ahora reciben el mismo trato que los residentes permanentes que no son ciudadanos</w:t>
      </w:r>
      <w:r w:rsidRPr="3B19747E">
        <w:rPr>
          <w:rStyle w:val="FootnoteReference"/>
          <w:rFonts w:ascii="Cambria" w:eastAsia="Times New Roman" w:hAnsi="Cambria" w:cs="Courier New"/>
          <w:color w:val="000000" w:themeColor="text1"/>
          <w:sz w:val="20"/>
          <w:szCs w:val="20"/>
          <w:lang w:val="es-ES"/>
        </w:rPr>
        <w:footnoteReference w:id="10"/>
      </w:r>
      <w:r w:rsidRPr="3B19747E">
        <w:rPr>
          <w:rFonts w:ascii="Cambria" w:eastAsia="Times New Roman" w:hAnsi="Cambria" w:cs="Courier New"/>
          <w:color w:val="000000" w:themeColor="text1"/>
          <w:sz w:val="20"/>
          <w:szCs w:val="20"/>
          <w:lang w:val="es-ES"/>
        </w:rPr>
        <w:t xml:space="preserve">. </w:t>
      </w:r>
    </w:p>
    <w:p w14:paraId="4DF16217" w14:textId="77777777" w:rsidR="007B7BB1" w:rsidRPr="00F709EF" w:rsidRDefault="007B7BB1" w:rsidP="3B19747E">
      <w:pPr>
        <w:pStyle w:val="ListParagraph"/>
        <w:jc w:val="both"/>
        <w:rPr>
          <w:rFonts w:ascii="Cambria" w:hAnsi="Cambria" w:cs="Calibri Light"/>
          <w:color w:val="000000" w:themeColor="text1"/>
          <w:sz w:val="20"/>
          <w:szCs w:val="20"/>
          <w:lang w:val="es-CO"/>
        </w:rPr>
      </w:pPr>
    </w:p>
    <w:p w14:paraId="404CEE23" w14:textId="77777777" w:rsidR="007B7BB1" w:rsidRPr="00F709EF" w:rsidRDefault="007B7BB1" w:rsidP="3B19747E">
      <w:pPr>
        <w:pStyle w:val="ListParagraph"/>
        <w:numPr>
          <w:ilvl w:val="0"/>
          <w:numId w:val="14"/>
        </w:numPr>
        <w:ind w:left="0" w:firstLine="720"/>
        <w:jc w:val="both"/>
        <w:rPr>
          <w:rFonts w:ascii="Cambria" w:hAnsi="Cambria" w:cs="Calibri Light"/>
          <w:color w:val="000000" w:themeColor="text1"/>
          <w:sz w:val="20"/>
          <w:szCs w:val="20"/>
          <w:lang w:val="es-CO"/>
        </w:rPr>
      </w:pPr>
      <w:r w:rsidRPr="3B19747E">
        <w:rPr>
          <w:rFonts w:ascii="Cambria" w:hAnsi="Cambria"/>
          <w:color w:val="000000" w:themeColor="text1"/>
          <w:sz w:val="20"/>
          <w:szCs w:val="20"/>
          <w:lang w:val="es-CO"/>
        </w:rPr>
        <w:t xml:space="preserve">El Estado también informó que las reformas del 2008 al IRPA </w:t>
      </w:r>
      <w:r w:rsidRPr="3B19747E">
        <w:rPr>
          <w:rFonts w:ascii="Cambria" w:hAnsi="Cambria" w:cs="Cambria"/>
          <w:color w:val="000000" w:themeColor="text1"/>
          <w:sz w:val="20"/>
          <w:szCs w:val="20"/>
          <w:lang w:val="es-CO"/>
        </w:rPr>
        <w:t>establecen el nombramiento de un defensor especial para que represente los intereses de una persona designada en un certificado de seguridad durante las partes de las audiencias realizadas a puerta cerrada</w:t>
      </w:r>
      <w:r w:rsidRPr="3B19747E">
        <w:rPr>
          <w:rFonts w:ascii="Cambria" w:hAnsi="Cambria"/>
          <w:color w:val="000000" w:themeColor="text1"/>
          <w:sz w:val="20"/>
          <w:szCs w:val="20"/>
          <w:lang w:val="es-CO"/>
        </w:rPr>
        <w:t>. L</w:t>
      </w:r>
      <w:r w:rsidRPr="3B19747E">
        <w:rPr>
          <w:rFonts w:ascii="Cambria" w:hAnsi="Cambria" w:cs="Cambria"/>
          <w:color w:val="000000" w:themeColor="text1"/>
          <w:sz w:val="20"/>
          <w:szCs w:val="20"/>
          <w:lang w:val="es-CO"/>
        </w:rPr>
        <w:t xml:space="preserve">os defensores especiales son abogados con acreditación de seguridad que actúan con independencia del gobierno y de los tribunales, a los cuales se </w:t>
      </w:r>
      <w:proofErr w:type="gramStart"/>
      <w:r w:rsidRPr="3B19747E">
        <w:rPr>
          <w:rFonts w:ascii="Cambria" w:hAnsi="Cambria" w:cs="Cambria"/>
          <w:color w:val="000000" w:themeColor="text1"/>
          <w:sz w:val="20"/>
          <w:szCs w:val="20"/>
          <w:lang w:val="es-CO"/>
        </w:rPr>
        <w:t>les</w:t>
      </w:r>
      <w:proofErr w:type="gramEnd"/>
      <w:r w:rsidRPr="3B19747E">
        <w:rPr>
          <w:rFonts w:ascii="Cambria" w:hAnsi="Cambria" w:cs="Cambria"/>
          <w:color w:val="000000" w:themeColor="text1"/>
          <w:sz w:val="20"/>
          <w:szCs w:val="20"/>
          <w:lang w:val="es-CO"/>
        </w:rPr>
        <w:t xml:space="preserve"> otorga acceso a información confidencial y de seguridad relacionada con la persona que está sujeta al certificado de seguridad. Lo anterior, bajo la condición de que no sea divulgada, ni siquiera a la persona designada en el certificado o a su abogado. Esta condición de no divulgación también aplica a </w:t>
      </w:r>
      <w:r w:rsidRPr="3B19747E">
        <w:rPr>
          <w:rFonts w:ascii="Cambria" w:hAnsi="Cambria"/>
          <w:color w:val="000000" w:themeColor="text1"/>
          <w:sz w:val="20"/>
          <w:szCs w:val="20"/>
          <w:lang w:val="es-ES"/>
        </w:rPr>
        <w:t>la relevancia, confiabilidad y suficiencia de cualquier información que el tribunal determine que debe permanecer confidencial si su divulgación sería perjudicial para la seguridad nacional o para la seguridad de las personas. El Estado informó que, de esta manera, los defensores especiales actúan como un "sustituto sustancial" (</w:t>
      </w:r>
      <w:r w:rsidRPr="3B19747E">
        <w:rPr>
          <w:rFonts w:ascii="Cambria" w:hAnsi="Cambria"/>
          <w:color w:val="000000" w:themeColor="text1"/>
          <w:sz w:val="20"/>
          <w:szCs w:val="20"/>
          <w:lang w:val="es-US"/>
        </w:rPr>
        <w:t>“</w:t>
      </w:r>
      <w:proofErr w:type="spellStart"/>
      <w:r w:rsidRPr="3B19747E">
        <w:rPr>
          <w:rFonts w:ascii="Cambria" w:hAnsi="Cambria"/>
          <w:color w:val="000000" w:themeColor="text1"/>
          <w:sz w:val="20"/>
          <w:szCs w:val="20"/>
          <w:lang w:val="es-US"/>
        </w:rPr>
        <w:t>substantial</w:t>
      </w:r>
      <w:proofErr w:type="spellEnd"/>
      <w:r w:rsidRPr="3B19747E">
        <w:rPr>
          <w:rFonts w:ascii="Cambria" w:hAnsi="Cambria"/>
          <w:color w:val="000000" w:themeColor="text1"/>
          <w:sz w:val="20"/>
          <w:szCs w:val="20"/>
          <w:lang w:val="es-US"/>
        </w:rPr>
        <w:t xml:space="preserve"> substitute”) </w:t>
      </w:r>
      <w:r w:rsidRPr="3B19747E">
        <w:rPr>
          <w:rFonts w:ascii="Cambria" w:hAnsi="Cambria"/>
          <w:color w:val="000000" w:themeColor="text1"/>
          <w:sz w:val="20"/>
          <w:szCs w:val="20"/>
          <w:lang w:val="es-ES"/>
        </w:rPr>
        <w:t>para la divulgación completa al sujeto del certificado</w:t>
      </w:r>
      <w:r w:rsidRPr="3B19747E">
        <w:rPr>
          <w:rFonts w:ascii="Cambria" w:hAnsi="Cambria"/>
          <w:color w:val="000000" w:themeColor="text1"/>
          <w:sz w:val="20"/>
          <w:szCs w:val="20"/>
          <w:lang w:val="es-CO"/>
        </w:rPr>
        <w:t xml:space="preserve">. </w:t>
      </w:r>
      <w:r w:rsidRPr="3B19747E">
        <w:rPr>
          <w:rFonts w:ascii="Cambria" w:hAnsi="Cambria" w:cs="Cambria"/>
          <w:color w:val="000000" w:themeColor="text1"/>
          <w:sz w:val="20"/>
          <w:szCs w:val="20"/>
          <w:lang w:val="es-CO"/>
        </w:rPr>
        <w:t>Además, informó que las enmiendas introdujeron el derecho de apelar ante la Corte Federal de Apelación el fallo definitivo de la Corte Federal sobre la revisión de la detención o su razonabilidad</w:t>
      </w:r>
      <w:r w:rsidRPr="3B19747E">
        <w:rPr>
          <w:rStyle w:val="FootnoteReference"/>
          <w:rFonts w:ascii="Cambria" w:hAnsi="Cambria"/>
          <w:color w:val="000000" w:themeColor="text1"/>
          <w:sz w:val="20"/>
          <w:szCs w:val="20"/>
          <w:lang w:val="es-CO"/>
        </w:rPr>
        <w:footnoteReference w:id="11"/>
      </w:r>
      <w:r w:rsidRPr="3B19747E">
        <w:rPr>
          <w:rFonts w:ascii="Cambria" w:hAnsi="Cambria"/>
          <w:color w:val="000000" w:themeColor="text1"/>
          <w:sz w:val="20"/>
          <w:szCs w:val="20"/>
          <w:lang w:val="es-CO"/>
        </w:rPr>
        <w:t>. Sin embargo, el derecho de apelación está supeditado a que la Corte Federal considere la existencia de una cuestión de importancia general para la apelación.</w:t>
      </w:r>
      <w:r w:rsidRPr="3B19747E">
        <w:rPr>
          <w:rFonts w:ascii="Cambria" w:hAnsi="Cambria"/>
          <w:color w:val="000000" w:themeColor="text1"/>
          <w:sz w:val="20"/>
          <w:szCs w:val="20"/>
          <w:lang w:val="es-US"/>
        </w:rPr>
        <w:t xml:space="preserve"> En este sentido, las apelaciones posteriores ante la Suprema Corte solo son posibles si la Corte otorga la autorización para apelar</w:t>
      </w:r>
      <w:r w:rsidRPr="3B19747E">
        <w:rPr>
          <w:rStyle w:val="FootnoteReference"/>
          <w:rFonts w:ascii="Cambria" w:hAnsi="Cambria"/>
          <w:color w:val="000000" w:themeColor="text1"/>
          <w:sz w:val="20"/>
          <w:szCs w:val="20"/>
          <w:lang w:val="es-CO"/>
        </w:rPr>
        <w:footnoteReference w:id="12"/>
      </w:r>
      <w:r w:rsidRPr="3B19747E">
        <w:rPr>
          <w:rFonts w:ascii="Cambria" w:hAnsi="Cambria"/>
          <w:color w:val="000000" w:themeColor="text1"/>
          <w:sz w:val="20"/>
          <w:szCs w:val="20"/>
          <w:lang w:val="es-CO"/>
        </w:rPr>
        <w:t xml:space="preserve">. El Estado informó que la Corte Suprema de Canadá había determinado en </w:t>
      </w:r>
      <w:r w:rsidRPr="3B19747E">
        <w:rPr>
          <w:rFonts w:ascii="Cambria" w:hAnsi="Cambria"/>
          <w:i/>
          <w:iCs/>
          <w:color w:val="000000" w:themeColor="text1"/>
          <w:sz w:val="20"/>
          <w:szCs w:val="20"/>
          <w:lang w:val="es-CO"/>
        </w:rPr>
        <w:t xml:space="preserve">Canadá c. </w:t>
      </w:r>
      <w:proofErr w:type="spellStart"/>
      <w:r w:rsidRPr="3B19747E">
        <w:rPr>
          <w:rFonts w:ascii="Cambria" w:hAnsi="Cambria"/>
          <w:i/>
          <w:iCs/>
          <w:color w:val="000000" w:themeColor="text1"/>
          <w:sz w:val="20"/>
          <w:szCs w:val="20"/>
          <w:lang w:val="es-CO"/>
        </w:rPr>
        <w:t>Harkat</w:t>
      </w:r>
      <w:proofErr w:type="spellEnd"/>
      <w:r w:rsidRPr="3B19747E">
        <w:rPr>
          <w:rFonts w:ascii="Cambria" w:hAnsi="Cambria"/>
          <w:i/>
          <w:iCs/>
          <w:color w:val="000000" w:themeColor="text1"/>
          <w:sz w:val="20"/>
          <w:szCs w:val="20"/>
          <w:lang w:val="es-CO"/>
        </w:rPr>
        <w:t xml:space="preserve"> (Ciudadanía e inmigración)</w:t>
      </w:r>
      <w:r w:rsidRPr="3B19747E">
        <w:rPr>
          <w:rStyle w:val="FootnoteReference"/>
          <w:rFonts w:ascii="Cambria" w:hAnsi="Cambria"/>
          <w:color w:val="000000" w:themeColor="text1"/>
          <w:sz w:val="20"/>
          <w:szCs w:val="20"/>
          <w:lang w:val="es-CO"/>
        </w:rPr>
        <w:footnoteReference w:id="13"/>
      </w:r>
      <w:r w:rsidRPr="3B19747E">
        <w:rPr>
          <w:rFonts w:ascii="Cambria" w:hAnsi="Cambria"/>
          <w:i/>
          <w:iCs/>
          <w:color w:val="000000" w:themeColor="text1"/>
          <w:sz w:val="20"/>
          <w:szCs w:val="20"/>
          <w:lang w:val="es-CO"/>
        </w:rPr>
        <w:t xml:space="preserve"> </w:t>
      </w:r>
      <w:r w:rsidRPr="3B19747E">
        <w:rPr>
          <w:rFonts w:ascii="Cambria" w:hAnsi="Cambria"/>
          <w:color w:val="000000" w:themeColor="text1"/>
          <w:sz w:val="20"/>
          <w:szCs w:val="20"/>
          <w:lang w:val="es-CO"/>
        </w:rPr>
        <w:t xml:space="preserve">que el proceso del certificado de seguridad en su forma actual era constitucional y no infringía el derecho de la persona afectada a un procedimiento imparcial. El Estado señaló que los certificados de seguridad se usaban solo en casos excepcionales y que, a octubre de 2018, había solamente dos casos activos de personas con respecto a las cuales se habían emitido certificados y que ninguna de ellas estaba detenida. Sobre la base de la información presentada, el Estado solicitó que la Comisión concluyera su seguimiento del caso en vista de que no tenía la intención de tomar más medidas con respecto a la recomendación 1 y que, en su opinión, había cumplido plenamente la recomendación 2.   </w:t>
      </w:r>
    </w:p>
    <w:p w14:paraId="62589020" w14:textId="77777777" w:rsidR="007B7BB1" w:rsidRPr="00F709EF" w:rsidRDefault="007B7BB1" w:rsidP="3B19747E">
      <w:pPr>
        <w:pStyle w:val="ListParagraph"/>
        <w:jc w:val="both"/>
        <w:rPr>
          <w:rFonts w:ascii="Cambria" w:hAnsi="Cambria" w:cs="Calibri Light"/>
          <w:color w:val="000000" w:themeColor="text1"/>
          <w:sz w:val="20"/>
          <w:szCs w:val="20"/>
          <w:lang w:val="es-CO"/>
        </w:rPr>
      </w:pPr>
    </w:p>
    <w:p w14:paraId="7A9E0C8A" w14:textId="792D379E" w:rsidR="007B7BB1" w:rsidRPr="00E83132" w:rsidRDefault="007B7BB1" w:rsidP="3B19747E">
      <w:pPr>
        <w:pStyle w:val="ListParagraph"/>
        <w:numPr>
          <w:ilvl w:val="0"/>
          <w:numId w:val="14"/>
        </w:numPr>
        <w:ind w:left="0" w:firstLine="720"/>
        <w:jc w:val="both"/>
        <w:rPr>
          <w:rFonts w:ascii="Cambria" w:hAnsi="Cambria" w:cs="Calibri Light"/>
          <w:color w:val="000000" w:themeColor="text1"/>
          <w:sz w:val="20"/>
          <w:szCs w:val="20"/>
          <w:lang w:val="es-CO"/>
        </w:rPr>
      </w:pPr>
      <w:r w:rsidRPr="3B19747E">
        <w:rPr>
          <w:rFonts w:ascii="Cambria" w:hAnsi="Cambria"/>
          <w:color w:val="000000" w:themeColor="text1"/>
          <w:sz w:val="20"/>
          <w:szCs w:val="20"/>
          <w:lang w:val="es-CO"/>
        </w:rPr>
        <w:t xml:space="preserve">En 2020, la Comisión requirió al Estado brindar información sobre posibles reformas adoptadas durante los últimos años a la </w:t>
      </w:r>
      <w:r w:rsidRPr="3B19747E">
        <w:rPr>
          <w:rFonts w:ascii="Cambria" w:hAnsi="Cambria" w:cs="Cambria"/>
          <w:color w:val="000000" w:themeColor="text1"/>
          <w:sz w:val="20"/>
          <w:szCs w:val="20"/>
          <w:lang w:val="es-CO"/>
        </w:rPr>
        <w:t xml:space="preserve">Ley de Inmigración y Protección de los Refugiados, así como de los criterios considerados por las autoridades judiciales nacionales al resolver recursos de apelación en casos relacionados con solicitudes de refugio. En su respuesta, el Estado se negó a brindar la información señalada a razón de que, a su juicio, dichas preguntas, además de resultar demasiado amplias, no guardan ninguna relación con los hechos del presente caso y parecen estar fuera del alcance del proceso de seguimiento que realiza la CIDH. Recalcó que, en caso de que la CIDH se encuentre interesada en conocer mayores detalles sobre el sistema de migración y refugio canadiense, puede requerir a las autoridades correspondientes la posibilidad de realizar una capacitación dirigida al personal de la Secretaría Ejecutiva. Asimismo, requirió a la CIDH el cierre de este caso, así como la suspensión de cualquier futura comunicación al respecto. </w:t>
      </w:r>
    </w:p>
    <w:p w14:paraId="77263A5D" w14:textId="77777777" w:rsidR="00E83132" w:rsidRPr="00E83132" w:rsidRDefault="00E83132" w:rsidP="3B19747E">
      <w:pPr>
        <w:pStyle w:val="ListParagraph"/>
        <w:rPr>
          <w:rFonts w:ascii="Cambria" w:hAnsi="Cambria" w:cs="Calibri Light"/>
          <w:color w:val="000000" w:themeColor="text1"/>
          <w:sz w:val="20"/>
          <w:szCs w:val="20"/>
          <w:lang w:val="es-CO"/>
        </w:rPr>
      </w:pPr>
    </w:p>
    <w:p w14:paraId="31E0AF21" w14:textId="1C87F8EF" w:rsidR="00E83132" w:rsidRPr="00E83132" w:rsidRDefault="00E83132" w:rsidP="3B19747E">
      <w:pPr>
        <w:pStyle w:val="ListParagraph"/>
        <w:numPr>
          <w:ilvl w:val="0"/>
          <w:numId w:val="14"/>
        </w:numPr>
        <w:ind w:left="0" w:firstLine="720"/>
        <w:jc w:val="both"/>
        <w:rPr>
          <w:rFonts w:ascii="Cambria" w:hAnsi="Cambria" w:cs="Calibri Light"/>
          <w:color w:val="000000" w:themeColor="text1"/>
          <w:sz w:val="20"/>
          <w:szCs w:val="20"/>
          <w:lang w:val="es-CO"/>
        </w:rPr>
      </w:pPr>
      <w:r w:rsidRPr="3B19747E">
        <w:rPr>
          <w:rFonts w:ascii="Cambria" w:hAnsi="Cambria" w:cs="Calibri Light"/>
          <w:color w:val="000000" w:themeColor="text1"/>
          <w:sz w:val="20"/>
          <w:szCs w:val="20"/>
          <w:lang w:val="es-CO"/>
        </w:rPr>
        <w:t xml:space="preserve">En 2021 el Estado informó a la Comisión que había cerrado su expediente en este caso y que no tomaría ninguna otra acción para dar cumplimiento a </w:t>
      </w:r>
      <w:r w:rsidR="002A6810" w:rsidRPr="3B19747E">
        <w:rPr>
          <w:rFonts w:ascii="Cambria" w:hAnsi="Cambria" w:cs="Calibri Light"/>
          <w:color w:val="000000" w:themeColor="text1"/>
          <w:sz w:val="20"/>
          <w:szCs w:val="20"/>
          <w:lang w:val="es-CO"/>
        </w:rPr>
        <w:t>esta r</w:t>
      </w:r>
      <w:r w:rsidRPr="3B19747E">
        <w:rPr>
          <w:rFonts w:ascii="Cambria" w:hAnsi="Cambria" w:cs="Calibri Light"/>
          <w:color w:val="000000" w:themeColor="text1"/>
          <w:sz w:val="20"/>
          <w:szCs w:val="20"/>
          <w:lang w:val="es-CO"/>
        </w:rPr>
        <w:t>ecomendación.</w:t>
      </w:r>
    </w:p>
    <w:p w14:paraId="1C540013" w14:textId="77777777" w:rsidR="007B7BB1" w:rsidRPr="00E83132" w:rsidRDefault="007B7BB1" w:rsidP="3B19747E">
      <w:pPr>
        <w:rPr>
          <w:rFonts w:ascii="Cambria" w:hAnsi="Cambria"/>
          <w:color w:val="000000" w:themeColor="text1"/>
          <w:sz w:val="20"/>
          <w:szCs w:val="20"/>
          <w:lang w:val="es-CO"/>
        </w:rPr>
      </w:pPr>
    </w:p>
    <w:p w14:paraId="5D9388C8" w14:textId="77777777" w:rsidR="007B7BB1" w:rsidRPr="00F709EF" w:rsidRDefault="007B7BB1" w:rsidP="3B19747E">
      <w:pPr>
        <w:pStyle w:val="ListParagraph"/>
        <w:numPr>
          <w:ilvl w:val="0"/>
          <w:numId w:val="14"/>
        </w:numPr>
        <w:ind w:left="0" w:firstLine="720"/>
        <w:jc w:val="both"/>
        <w:rPr>
          <w:rFonts w:ascii="Cambria" w:hAnsi="Cambria" w:cs="Calibri Light"/>
          <w:color w:val="000000" w:themeColor="text1"/>
          <w:sz w:val="20"/>
          <w:szCs w:val="20"/>
          <w:lang w:val="es-CO"/>
        </w:rPr>
      </w:pPr>
      <w:r w:rsidRPr="3B19747E">
        <w:rPr>
          <w:rFonts w:ascii="Cambria" w:hAnsi="Cambria"/>
          <w:color w:val="000000" w:themeColor="text1"/>
          <w:sz w:val="20"/>
          <w:szCs w:val="20"/>
          <w:lang w:val="es-CO"/>
        </w:rPr>
        <w:t xml:space="preserve">En 2015, los </w:t>
      </w:r>
      <w:r w:rsidRPr="3B19747E">
        <w:rPr>
          <w:rFonts w:ascii="Cambria" w:hAnsi="Cambria" w:cs="Cambria"/>
          <w:color w:val="000000" w:themeColor="text1"/>
          <w:sz w:val="20"/>
          <w:szCs w:val="20"/>
          <w:lang w:val="es-CO"/>
        </w:rPr>
        <w:t xml:space="preserve">peticionarios informaron que, como resultado de la decisión de la Corte Suprema en 2008 respecto a que la detención obligatoria era inconstitucional, actualmente se realiza una audiencia dentro de las 48 horas siguientes a la detención y cada seis meses, si la detención continúa. Es decir, la detención obligatoria, en términos absolutos, ya no existe. Sin embargo, los peticionarios indicaron con preocupación que, </w:t>
      </w:r>
      <w:r w:rsidRPr="3B19747E">
        <w:rPr>
          <w:rFonts w:ascii="Cambria" w:hAnsi="Cambria" w:cs="Cambria"/>
          <w:color w:val="000000" w:themeColor="text1"/>
          <w:sz w:val="20"/>
          <w:szCs w:val="20"/>
          <w:lang w:val="es-CO"/>
        </w:rPr>
        <w:lastRenderedPageBreak/>
        <w:t>aunque la carga de la justificación de la detención recae en el Estado, cuando una persona no es puesta en libertad tras la audiencia de revisión, ella misma debe probar que hay razones imperiosas para dejar sin efecto la detención</w:t>
      </w:r>
      <w:r w:rsidRPr="3B19747E">
        <w:rPr>
          <w:rStyle w:val="FootnoteReference"/>
          <w:rFonts w:ascii="Cambria" w:hAnsi="Cambria"/>
          <w:color w:val="000000" w:themeColor="text1"/>
          <w:sz w:val="20"/>
          <w:szCs w:val="20"/>
          <w:lang w:val="es-ES"/>
        </w:rPr>
        <w:footnoteReference w:id="14"/>
      </w:r>
      <w:r w:rsidRPr="3B19747E">
        <w:rPr>
          <w:rFonts w:ascii="Cambria" w:hAnsi="Cambria" w:cs="Cambria"/>
          <w:color w:val="000000" w:themeColor="text1"/>
          <w:sz w:val="20"/>
          <w:szCs w:val="20"/>
          <w:lang w:val="es-CO"/>
        </w:rPr>
        <w:t xml:space="preserve">. En este sentido, </w:t>
      </w:r>
      <w:r w:rsidRPr="3B19747E">
        <w:rPr>
          <w:rFonts w:ascii="Cambria" w:hAnsi="Cambria"/>
          <w:color w:val="000000" w:themeColor="text1"/>
          <w:sz w:val="20"/>
          <w:szCs w:val="20"/>
          <w:lang w:val="es-ES"/>
        </w:rPr>
        <w:t>una vez que han existido una serie de decisiones que determinan la continuación de la detención, lo cierto es que revertirlas mediante “razones convincentes” se vuelve ilusorio</w:t>
      </w:r>
      <w:r w:rsidRPr="3B19747E">
        <w:rPr>
          <w:rFonts w:ascii="Cambria" w:hAnsi="Cambria"/>
          <w:color w:val="000000" w:themeColor="text1"/>
          <w:sz w:val="20"/>
          <w:szCs w:val="20"/>
          <w:lang w:val="es-CO"/>
        </w:rPr>
        <w:t xml:space="preserve">. </w:t>
      </w:r>
      <w:r w:rsidRPr="3B19747E">
        <w:rPr>
          <w:rFonts w:ascii="Cambria" w:hAnsi="Cambria" w:cs="Cambria"/>
          <w:color w:val="000000" w:themeColor="text1"/>
          <w:sz w:val="20"/>
          <w:szCs w:val="20"/>
          <w:lang w:val="es-CO"/>
        </w:rPr>
        <w:t xml:space="preserve">Los peticionarios agregaron que sigue habiendo diferencias en el trato con respecto a las detenciones. Los extranjeros y residentes permanentes que están sujetos a certificados de seguridad son objeto de una revisión dentro de las 48 horas siguientes a la detención y cada seis meses con posterioridad. Los demás extranjeros y residentes permanentes contra quienes se formulan las mismas </w:t>
      </w:r>
      <w:proofErr w:type="gramStart"/>
      <w:r w:rsidRPr="3B19747E">
        <w:rPr>
          <w:rFonts w:ascii="Cambria" w:hAnsi="Cambria" w:cs="Cambria"/>
          <w:color w:val="000000" w:themeColor="text1"/>
          <w:sz w:val="20"/>
          <w:szCs w:val="20"/>
          <w:lang w:val="es-CO"/>
        </w:rPr>
        <w:t>acusaciones</w:t>
      </w:r>
      <w:proofErr w:type="gramEnd"/>
      <w:r w:rsidRPr="3B19747E">
        <w:rPr>
          <w:rFonts w:ascii="Cambria" w:hAnsi="Cambria" w:cs="Cambria"/>
          <w:color w:val="000000" w:themeColor="text1"/>
          <w:sz w:val="20"/>
          <w:szCs w:val="20"/>
          <w:lang w:val="es-CO"/>
        </w:rPr>
        <w:t xml:space="preserve"> pero ante la División de Inmigración de la Junta de Inmigración y Refugiados son objeto de una revisión dentro de los plazos de 48 horas, 7 días y 30 días. Argumentaron que no hay una justificación evidente de la diferencia en la frecuencia de la revisión</w:t>
      </w:r>
      <w:r w:rsidRPr="3B19747E">
        <w:rPr>
          <w:rStyle w:val="FootnoteReference"/>
          <w:rFonts w:ascii="Cambria" w:hAnsi="Cambria" w:cs="Cambria"/>
          <w:color w:val="000000" w:themeColor="text1"/>
          <w:sz w:val="20"/>
          <w:szCs w:val="20"/>
          <w:lang w:val="es-CO"/>
        </w:rPr>
        <w:footnoteReference w:id="15"/>
      </w:r>
      <w:r w:rsidRPr="3B19747E">
        <w:rPr>
          <w:rFonts w:ascii="Cambria" w:hAnsi="Cambria"/>
          <w:color w:val="000000" w:themeColor="text1"/>
          <w:sz w:val="20"/>
          <w:szCs w:val="20"/>
          <w:lang w:val="es-CO"/>
        </w:rPr>
        <w:t xml:space="preserve">. En relación con los defensores especiales, </w:t>
      </w:r>
      <w:r w:rsidRPr="3B19747E">
        <w:rPr>
          <w:rFonts w:ascii="Cambria" w:hAnsi="Cambria" w:cs="Calibri Light"/>
          <w:color w:val="000000" w:themeColor="text1"/>
          <w:sz w:val="20"/>
          <w:szCs w:val="20"/>
          <w:lang w:val="es-US"/>
        </w:rPr>
        <w:t xml:space="preserve">los peticionarios informaron tras la decisión de la Corte Suprema en el caso </w:t>
      </w:r>
      <w:proofErr w:type="spellStart"/>
      <w:r w:rsidRPr="3B19747E">
        <w:rPr>
          <w:rFonts w:ascii="Cambria" w:hAnsi="Cambria" w:cs="Calibri Light"/>
          <w:i/>
          <w:iCs/>
          <w:color w:val="000000" w:themeColor="text1"/>
          <w:sz w:val="20"/>
          <w:szCs w:val="20"/>
          <w:lang w:val="es-US"/>
        </w:rPr>
        <w:t>Harkat</w:t>
      </w:r>
      <w:proofErr w:type="spellEnd"/>
      <w:r w:rsidRPr="3B19747E">
        <w:rPr>
          <w:rFonts w:ascii="Cambria" w:hAnsi="Cambria" w:cs="Calibri Light"/>
          <w:color w:val="000000" w:themeColor="text1"/>
          <w:sz w:val="20"/>
          <w:szCs w:val="20"/>
          <w:lang w:val="es-US"/>
        </w:rPr>
        <w:t xml:space="preserve">, en 2014, el Estado cambió el proceso de certificado de seguridad y se le ha otorgado al Tribunal Federal la autoridad para retener evidencia relevante si la misma es considerada que no permitiría a la persona conocer el caso en su contra. Lo anterior, a pesar de que el Tribunal Supremo en </w:t>
      </w:r>
      <w:proofErr w:type="spellStart"/>
      <w:r w:rsidRPr="3B19747E">
        <w:rPr>
          <w:rFonts w:ascii="Cambria" w:hAnsi="Cambria" w:cs="Calibri Light"/>
          <w:i/>
          <w:iCs/>
          <w:color w:val="000000" w:themeColor="text1"/>
          <w:sz w:val="20"/>
          <w:szCs w:val="20"/>
          <w:lang w:val="es-US"/>
        </w:rPr>
        <w:t>Charkaoui</w:t>
      </w:r>
      <w:proofErr w:type="spellEnd"/>
      <w:r w:rsidRPr="3B19747E">
        <w:rPr>
          <w:rFonts w:ascii="Cambria" w:hAnsi="Cambria" w:cs="Calibri Light"/>
          <w:color w:val="000000" w:themeColor="text1"/>
          <w:sz w:val="20"/>
          <w:szCs w:val="20"/>
          <w:lang w:val="es-US"/>
        </w:rPr>
        <w:t xml:space="preserve"> había requerido que la evidencia incriminatoria, neutral y exculpatoria relevante fuera revelada como una cuestión de justicia. Finalmente, </w:t>
      </w:r>
      <w:r w:rsidRPr="3B19747E">
        <w:rPr>
          <w:rFonts w:ascii="Cambria" w:hAnsi="Cambria"/>
          <w:color w:val="000000" w:themeColor="text1"/>
          <w:sz w:val="20"/>
          <w:szCs w:val="20"/>
          <w:lang w:val="es-CO"/>
        </w:rPr>
        <w:t>los peticionarios afirmaron que no hay derecho a apelar ante la Corte de Apelación la decisión definitiva de la Corte Federal con respecto a las revisiones de la detención o su razonabilidad, debido a que debe acreditarse una cuestión de importancia general; en tal medida, el acceso a la Corte de Apelación es discrecional e históricamente se ha permitido bajo circunstancias limitadas</w:t>
      </w:r>
      <w:r w:rsidRPr="3B19747E">
        <w:rPr>
          <w:rStyle w:val="FootnoteReference"/>
          <w:rFonts w:ascii="Cambria" w:hAnsi="Cambria"/>
          <w:color w:val="000000" w:themeColor="text1"/>
          <w:sz w:val="20"/>
          <w:szCs w:val="20"/>
          <w:lang w:val="es-CO"/>
        </w:rPr>
        <w:footnoteReference w:id="16"/>
      </w:r>
      <w:r w:rsidRPr="3B19747E">
        <w:rPr>
          <w:rFonts w:ascii="Cambria" w:hAnsi="Cambria"/>
          <w:color w:val="000000" w:themeColor="text1"/>
          <w:sz w:val="20"/>
          <w:szCs w:val="20"/>
          <w:lang w:val="es-CO"/>
        </w:rPr>
        <w:t xml:space="preserve">. </w:t>
      </w:r>
    </w:p>
    <w:p w14:paraId="7FF33D1D" w14:textId="77777777" w:rsidR="007B7BB1" w:rsidRPr="00F709EF" w:rsidRDefault="007B7BB1" w:rsidP="3B19747E">
      <w:pPr>
        <w:pStyle w:val="ListParagraph"/>
        <w:rPr>
          <w:rFonts w:ascii="Cambria" w:hAnsi="Cambria"/>
          <w:color w:val="000000" w:themeColor="text1"/>
          <w:sz w:val="20"/>
          <w:szCs w:val="20"/>
          <w:lang w:val="es-CO"/>
        </w:rPr>
      </w:pPr>
    </w:p>
    <w:p w14:paraId="317C8749" w14:textId="77777777" w:rsidR="007B7BB1" w:rsidRPr="00F709EF" w:rsidRDefault="007B7BB1" w:rsidP="3B19747E">
      <w:pPr>
        <w:pStyle w:val="ListParagraph"/>
        <w:numPr>
          <w:ilvl w:val="0"/>
          <w:numId w:val="14"/>
        </w:numPr>
        <w:ind w:left="0" w:firstLine="720"/>
        <w:jc w:val="both"/>
        <w:rPr>
          <w:rFonts w:ascii="Cambria" w:hAnsi="Cambria" w:cs="Calibri Light"/>
          <w:color w:val="000000" w:themeColor="text1"/>
          <w:sz w:val="20"/>
          <w:szCs w:val="20"/>
          <w:lang w:val="es-CO"/>
        </w:rPr>
      </w:pPr>
      <w:r w:rsidRPr="3B19747E">
        <w:rPr>
          <w:rFonts w:ascii="Cambria" w:hAnsi="Cambria"/>
          <w:color w:val="000000" w:themeColor="text1"/>
          <w:sz w:val="20"/>
          <w:szCs w:val="20"/>
          <w:lang w:val="es-CO"/>
        </w:rPr>
        <w:t xml:space="preserve">La Comisión valora positivamente las enmiendas de la IRPA que eliminaron la detención obligatoria de las personas designadas en certificados de seguridad y que crearon la figura del abogado especial. No obstante, la Comisión observa con preocupación que las personas designadas en dichos certificados parecen no tener acceso igualitario a una revisión judicial de su detención y, por lo tanto, pueden permanecer detenidas de manera indefinida. Por otro lado, la CIDH toma nota de las manifestaciones vertidas por el Estado en su comunicación de 19 de noviembre de 2020. Al respecto, la Comisión recuerda al Estado que en el marco de su autonomía e independencia y, con base en las disposiciones normativas que la rigen, la CIDH tiene la facultad para decidir el alcance de sus competencias, así como la naturaleza y límites de los mecanismos que decida emplear para asegurar el cumplimiento de sus recomendaciones. De igual forma, es sobre la base de la observancia y aplicación de dichas competencias que, de manera objetiva y mediante el análisis cuidadoso de la información proporcionada por las partes, la Comisión –y no los Estados ni las víctimas o sus representantes– puede decidir sobre las razones que justifiquen el archivo de un caso. </w:t>
      </w:r>
    </w:p>
    <w:p w14:paraId="115EB7D7" w14:textId="77777777" w:rsidR="007B7BB1" w:rsidRPr="00E83132" w:rsidRDefault="007B7BB1" w:rsidP="3B19747E">
      <w:pPr>
        <w:pStyle w:val="ListParagraph"/>
        <w:rPr>
          <w:rFonts w:ascii="Cambria" w:hAnsi="Cambria"/>
          <w:color w:val="000000" w:themeColor="text1"/>
          <w:sz w:val="20"/>
          <w:szCs w:val="20"/>
          <w:lang w:val="es-CO"/>
        </w:rPr>
      </w:pPr>
    </w:p>
    <w:p w14:paraId="79BF6F0B" w14:textId="0F8AD59B" w:rsidR="007B7BB1" w:rsidRPr="00E83132" w:rsidRDefault="00E83132" w:rsidP="3B19747E">
      <w:pPr>
        <w:pStyle w:val="ListParagraph"/>
        <w:numPr>
          <w:ilvl w:val="0"/>
          <w:numId w:val="14"/>
        </w:numPr>
        <w:ind w:left="0" w:firstLine="720"/>
        <w:jc w:val="both"/>
        <w:rPr>
          <w:rFonts w:ascii="Cambria" w:hAnsi="Cambria" w:cs="Calibri Light"/>
          <w:color w:val="000000" w:themeColor="text1"/>
          <w:sz w:val="20"/>
          <w:szCs w:val="20"/>
          <w:lang w:val="es-CO"/>
        </w:rPr>
      </w:pPr>
      <w:r w:rsidRPr="3B19747E">
        <w:rPr>
          <w:rFonts w:ascii="Cambria" w:hAnsi="Cambria"/>
          <w:color w:val="000000" w:themeColor="text1"/>
          <w:sz w:val="20"/>
          <w:szCs w:val="20"/>
          <w:lang w:val="es-CO"/>
        </w:rPr>
        <w:t>La Comisión considera que</w:t>
      </w:r>
      <w:r w:rsidR="002A6810" w:rsidRPr="3B19747E">
        <w:rPr>
          <w:rFonts w:ascii="Cambria" w:hAnsi="Cambria"/>
          <w:color w:val="000000" w:themeColor="text1"/>
          <w:sz w:val="20"/>
          <w:szCs w:val="20"/>
          <w:lang w:val="es-CO"/>
        </w:rPr>
        <w:t>,</w:t>
      </w:r>
      <w:r w:rsidRPr="3B19747E">
        <w:rPr>
          <w:rFonts w:ascii="Cambria" w:hAnsi="Cambria"/>
          <w:color w:val="000000" w:themeColor="text1"/>
          <w:sz w:val="20"/>
          <w:szCs w:val="20"/>
          <w:lang w:val="es-CO"/>
        </w:rPr>
        <w:t xml:space="preserve"> con base en la respuesta remitida en 2021 por Canadá, mediante la cual informa que cerró el expediente del presente caso y que no hará seguimiento a la </w:t>
      </w:r>
      <w:r w:rsidR="002A6810" w:rsidRPr="3B19747E">
        <w:rPr>
          <w:rFonts w:ascii="Cambria" w:hAnsi="Cambria"/>
          <w:color w:val="000000" w:themeColor="text1"/>
          <w:sz w:val="20"/>
          <w:szCs w:val="20"/>
          <w:lang w:val="es-CO"/>
        </w:rPr>
        <w:t>r</w:t>
      </w:r>
      <w:r w:rsidRPr="3B19747E">
        <w:rPr>
          <w:rFonts w:ascii="Cambria" w:hAnsi="Cambria"/>
          <w:color w:val="000000" w:themeColor="text1"/>
          <w:sz w:val="20"/>
          <w:szCs w:val="20"/>
          <w:lang w:val="es-CO"/>
        </w:rPr>
        <w:t xml:space="preserve">ecomendación, la Comisión determina que </w:t>
      </w:r>
      <w:r w:rsidR="002A6810" w:rsidRPr="3B19747E">
        <w:rPr>
          <w:rFonts w:ascii="Cambria" w:hAnsi="Cambria"/>
          <w:color w:val="000000" w:themeColor="text1"/>
          <w:sz w:val="20"/>
          <w:szCs w:val="20"/>
          <w:lang w:val="es-CO"/>
        </w:rPr>
        <w:t xml:space="preserve">esta </w:t>
      </w:r>
      <w:r w:rsidRPr="3B19747E">
        <w:rPr>
          <w:rFonts w:ascii="Cambria" w:hAnsi="Cambria"/>
          <w:color w:val="000000" w:themeColor="text1"/>
          <w:sz w:val="20"/>
          <w:szCs w:val="20"/>
          <w:lang w:val="es-CO"/>
        </w:rPr>
        <w:t xml:space="preserve">se encuentra </w:t>
      </w:r>
      <w:r w:rsidR="002A6810" w:rsidRPr="3B19747E">
        <w:rPr>
          <w:rFonts w:ascii="Cambria" w:hAnsi="Cambria"/>
          <w:color w:val="000000" w:themeColor="text1"/>
          <w:sz w:val="20"/>
          <w:szCs w:val="20"/>
          <w:lang w:val="es-CO"/>
        </w:rPr>
        <w:t>incumplida</w:t>
      </w:r>
      <w:r w:rsidRPr="3B19747E">
        <w:rPr>
          <w:rFonts w:ascii="Cambria" w:hAnsi="Cambria"/>
          <w:color w:val="000000" w:themeColor="text1"/>
          <w:sz w:val="20"/>
          <w:szCs w:val="20"/>
          <w:lang w:val="es-CO"/>
        </w:rPr>
        <w:t xml:space="preserve">. La Comisión </w:t>
      </w:r>
      <w:r w:rsidR="007B7BB1" w:rsidRPr="3B19747E">
        <w:rPr>
          <w:rFonts w:ascii="Cambria" w:hAnsi="Cambria"/>
          <w:color w:val="000000" w:themeColor="text1"/>
          <w:sz w:val="20"/>
          <w:szCs w:val="20"/>
          <w:lang w:val="es-CO"/>
        </w:rPr>
        <w:t xml:space="preserve">exhorta de manera respetuosa a las partes a aportar datos actualizados sobre la adopción de medidas tendientes a avanzar en el cumplimiento de esta recomendación y reserva su competencia para continuar con su seguimiento. </w:t>
      </w:r>
    </w:p>
    <w:p w14:paraId="40140530" w14:textId="77777777" w:rsidR="007B7BB1" w:rsidRPr="00F709EF" w:rsidRDefault="007B7BB1" w:rsidP="3B19747E">
      <w:pPr>
        <w:rPr>
          <w:rFonts w:ascii="Cambria" w:hAnsi="Cambria"/>
          <w:color w:val="000000" w:themeColor="text1"/>
          <w:sz w:val="20"/>
          <w:szCs w:val="20"/>
          <w:lang w:val="es-CO"/>
        </w:rPr>
      </w:pPr>
    </w:p>
    <w:p w14:paraId="5B17D695" w14:textId="77777777" w:rsidR="007B7BB1" w:rsidRPr="00F709EF" w:rsidRDefault="007B7BB1" w:rsidP="3B19747E">
      <w:pPr>
        <w:pStyle w:val="ListParagraph"/>
        <w:numPr>
          <w:ilvl w:val="0"/>
          <w:numId w:val="8"/>
        </w:numPr>
        <w:ind w:left="1440"/>
        <w:jc w:val="both"/>
        <w:rPr>
          <w:rFonts w:ascii="Cambria" w:hAnsi="Cambria" w:cs="Calibri Light"/>
          <w:b/>
          <w:bCs/>
          <w:color w:val="000000" w:themeColor="text1"/>
          <w:sz w:val="20"/>
          <w:szCs w:val="20"/>
          <w:lang w:val="es-CO"/>
        </w:rPr>
      </w:pPr>
      <w:r w:rsidRPr="3B19747E">
        <w:rPr>
          <w:rFonts w:ascii="Cambria" w:hAnsi="Cambria" w:cs="Calibri Light"/>
          <w:b/>
          <w:bCs/>
          <w:color w:val="000000" w:themeColor="text1"/>
          <w:sz w:val="20"/>
          <w:szCs w:val="20"/>
          <w:lang w:val="es-CO"/>
        </w:rPr>
        <w:t>Nivel</w:t>
      </w:r>
      <w:r w:rsidRPr="3B19747E">
        <w:rPr>
          <w:rFonts w:ascii="Cambria" w:hAnsi="Cambria" w:cs="Calibri Light"/>
          <w:b/>
          <w:bCs/>
          <w:color w:val="000000" w:themeColor="text1"/>
          <w:sz w:val="20"/>
          <w:szCs w:val="20"/>
          <w:lang w:val="es-US"/>
        </w:rPr>
        <w:t xml:space="preserve"> del cumplimiento del caso</w:t>
      </w:r>
    </w:p>
    <w:p w14:paraId="3C8FEB4B" w14:textId="77777777" w:rsidR="007B7BB1" w:rsidRPr="00F709EF" w:rsidRDefault="007B7BB1" w:rsidP="3B19747E">
      <w:pPr>
        <w:jc w:val="both"/>
        <w:rPr>
          <w:rFonts w:ascii="Cambria" w:hAnsi="Cambria" w:cs="Calibri Light"/>
          <w:color w:val="000000" w:themeColor="text1"/>
          <w:sz w:val="20"/>
          <w:szCs w:val="20"/>
          <w:lang w:val="es-CO"/>
        </w:rPr>
      </w:pPr>
    </w:p>
    <w:p w14:paraId="78427BED" w14:textId="5C31444B" w:rsidR="007B7BB1" w:rsidRDefault="007B7BB1" w:rsidP="3B19747E">
      <w:pPr>
        <w:pStyle w:val="ListParagraph"/>
        <w:numPr>
          <w:ilvl w:val="0"/>
          <w:numId w:val="14"/>
        </w:numPr>
        <w:ind w:left="0" w:firstLine="720"/>
        <w:jc w:val="both"/>
        <w:rPr>
          <w:rFonts w:ascii="Cambria" w:hAnsi="Cambria" w:cs="Calibri Light"/>
          <w:color w:val="000000" w:themeColor="text1"/>
          <w:sz w:val="20"/>
          <w:szCs w:val="20"/>
          <w:lang w:val="es-CO"/>
        </w:rPr>
      </w:pPr>
      <w:r w:rsidRPr="3B19747E">
        <w:rPr>
          <w:rFonts w:ascii="Cambria" w:hAnsi="Cambria" w:cs="Calibri Light"/>
          <w:color w:val="000000" w:themeColor="text1"/>
          <w:sz w:val="20"/>
          <w:szCs w:val="20"/>
          <w:lang w:val="es-CO"/>
        </w:rPr>
        <w:t xml:space="preserve">Por lo anterior, la CIDH </w:t>
      </w:r>
      <w:r w:rsidRPr="3B19747E">
        <w:rPr>
          <w:rFonts w:ascii="Cambria" w:hAnsi="Cambria" w:cs="Calibri Light"/>
          <w:color w:val="000000" w:themeColor="text1"/>
          <w:sz w:val="20"/>
          <w:szCs w:val="20"/>
          <w:lang w:val="es-US"/>
        </w:rPr>
        <w:t>concluye que el nivel de cumplimiento del caso es parcial</w:t>
      </w:r>
      <w:r w:rsidRPr="3B19747E">
        <w:rPr>
          <w:rFonts w:ascii="Cambria" w:hAnsi="Cambria" w:cs="Calibri Light"/>
          <w:color w:val="000000" w:themeColor="text1"/>
          <w:sz w:val="20"/>
          <w:szCs w:val="20"/>
          <w:lang w:val="es-CO"/>
        </w:rPr>
        <w:t>. Teniendo en cuenta la solicitud del Estado de cerrar el seguimiento de este caso, la Comisión nota que el Estado no ha cumplido totalmente con las recomendaciones incluidas en el Informe de Fondo Nº 8/16.</w:t>
      </w:r>
      <w:r w:rsidRPr="3B19747E">
        <w:rPr>
          <w:rFonts w:ascii="Cambria" w:hAnsi="Cambria" w:cs="Calibri Light"/>
          <w:color w:val="000000" w:themeColor="text1"/>
          <w:sz w:val="20"/>
          <w:szCs w:val="20"/>
          <w:lang w:val="es-US"/>
        </w:rPr>
        <w:t xml:space="preserve"> </w:t>
      </w:r>
      <w:r w:rsidRPr="3B19747E">
        <w:rPr>
          <w:rFonts w:ascii="Cambria" w:hAnsi="Cambria" w:cs="Calibri Light"/>
          <w:color w:val="000000" w:themeColor="text1"/>
          <w:sz w:val="20"/>
          <w:szCs w:val="20"/>
          <w:lang w:val="es-CO"/>
        </w:rPr>
        <w:t xml:space="preserve">En consecuencia, </w:t>
      </w:r>
      <w:r w:rsidRPr="3B19747E">
        <w:rPr>
          <w:rFonts w:ascii="Cambria" w:hAnsi="Cambria" w:cs="Calibri Light"/>
          <w:color w:val="000000" w:themeColor="text1"/>
          <w:sz w:val="20"/>
          <w:szCs w:val="20"/>
          <w:lang w:val="es-US"/>
        </w:rPr>
        <w:t xml:space="preserve">seguirá supervisando el cumplimiento de las recomendaciones </w:t>
      </w:r>
      <w:r w:rsidRPr="3B19747E">
        <w:rPr>
          <w:rFonts w:ascii="Cambria" w:hAnsi="Cambria" w:cs="Calibri Light"/>
          <w:color w:val="000000" w:themeColor="text1"/>
          <w:sz w:val="20"/>
          <w:szCs w:val="20"/>
          <w:lang w:val="es-CO"/>
        </w:rPr>
        <w:t>1 y 2.</w:t>
      </w:r>
    </w:p>
    <w:p w14:paraId="6915D8CB" w14:textId="77777777" w:rsidR="002A6810" w:rsidRPr="00F709EF" w:rsidRDefault="002A6810" w:rsidP="3B19747E">
      <w:pPr>
        <w:pStyle w:val="ListParagraph"/>
        <w:jc w:val="both"/>
        <w:rPr>
          <w:rFonts w:ascii="Cambria" w:hAnsi="Cambria" w:cs="Calibri Light"/>
          <w:color w:val="000000" w:themeColor="text1"/>
          <w:sz w:val="20"/>
          <w:szCs w:val="20"/>
          <w:lang w:val="es-CO"/>
        </w:rPr>
      </w:pPr>
    </w:p>
    <w:p w14:paraId="29993194" w14:textId="77777777" w:rsidR="007B7BB1" w:rsidRPr="00F709EF" w:rsidRDefault="007B7BB1" w:rsidP="3B19747E">
      <w:pPr>
        <w:rPr>
          <w:rFonts w:ascii="Cambria" w:hAnsi="Cambria"/>
          <w:color w:val="000000" w:themeColor="text1"/>
          <w:sz w:val="20"/>
          <w:szCs w:val="20"/>
          <w:lang w:val="es-CO"/>
        </w:rPr>
      </w:pPr>
    </w:p>
    <w:p w14:paraId="51704F91" w14:textId="77777777" w:rsidR="00A9249B" w:rsidRDefault="00A9249B">
      <w:pPr>
        <w:rPr>
          <w:rFonts w:ascii="Cambria" w:hAnsi="Cambria" w:cs="Calibri Light"/>
          <w:b/>
          <w:bCs/>
          <w:color w:val="000000" w:themeColor="text1"/>
          <w:sz w:val="20"/>
          <w:szCs w:val="20"/>
          <w:lang w:val="es-US"/>
        </w:rPr>
      </w:pPr>
      <w:r>
        <w:rPr>
          <w:rFonts w:ascii="Cambria" w:hAnsi="Cambria" w:cs="Calibri Light"/>
          <w:b/>
          <w:bCs/>
          <w:color w:val="000000" w:themeColor="text1"/>
          <w:sz w:val="20"/>
          <w:szCs w:val="20"/>
          <w:lang w:val="es-US"/>
        </w:rPr>
        <w:br w:type="page"/>
      </w:r>
    </w:p>
    <w:p w14:paraId="750FC59E" w14:textId="128D4A83" w:rsidR="007B7BB1" w:rsidRPr="00F709EF" w:rsidRDefault="007B7BB1" w:rsidP="3B19747E">
      <w:pPr>
        <w:pStyle w:val="ListParagraph"/>
        <w:numPr>
          <w:ilvl w:val="0"/>
          <w:numId w:val="8"/>
        </w:numPr>
        <w:ind w:left="1440"/>
        <w:jc w:val="both"/>
        <w:rPr>
          <w:rFonts w:ascii="Cambria" w:hAnsi="Cambria" w:cs="Calibri Light"/>
          <w:b/>
          <w:bCs/>
          <w:color w:val="000000" w:themeColor="text1"/>
          <w:sz w:val="20"/>
          <w:szCs w:val="20"/>
          <w:lang w:val="es-US"/>
        </w:rPr>
      </w:pPr>
      <w:r w:rsidRPr="3B19747E">
        <w:rPr>
          <w:rFonts w:ascii="Cambria" w:hAnsi="Cambria" w:cs="Calibri Light"/>
          <w:b/>
          <w:bCs/>
          <w:color w:val="000000" w:themeColor="text1"/>
          <w:sz w:val="20"/>
          <w:szCs w:val="20"/>
          <w:lang w:val="es-US"/>
        </w:rPr>
        <w:lastRenderedPageBreak/>
        <w:t xml:space="preserve">Resultados individuales y estructurales del caso </w:t>
      </w:r>
    </w:p>
    <w:p w14:paraId="791D29D8" w14:textId="77777777" w:rsidR="007B7BB1" w:rsidRPr="00F709EF" w:rsidRDefault="007B7BB1" w:rsidP="3B19747E">
      <w:pPr>
        <w:rPr>
          <w:rFonts w:ascii="Cambria" w:hAnsi="Cambria"/>
          <w:color w:val="000000" w:themeColor="text1"/>
          <w:sz w:val="20"/>
          <w:szCs w:val="20"/>
          <w:lang w:val="es-US"/>
        </w:rPr>
      </w:pPr>
    </w:p>
    <w:p w14:paraId="6EDB2F96" w14:textId="77777777" w:rsidR="007B7BB1" w:rsidRPr="00F709EF" w:rsidRDefault="007B7BB1" w:rsidP="3B19747E">
      <w:pPr>
        <w:pStyle w:val="ListParagraph"/>
        <w:numPr>
          <w:ilvl w:val="0"/>
          <w:numId w:val="14"/>
        </w:numPr>
        <w:ind w:left="0" w:firstLine="720"/>
        <w:jc w:val="both"/>
        <w:rPr>
          <w:rFonts w:ascii="Cambria" w:hAnsi="Cambria" w:cs="Calibri Light"/>
          <w:color w:val="000000" w:themeColor="text1"/>
          <w:sz w:val="20"/>
          <w:szCs w:val="20"/>
          <w:lang w:val="es-US"/>
        </w:rPr>
      </w:pPr>
      <w:r w:rsidRPr="3B19747E">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2892B02C" w14:textId="77777777" w:rsidR="007B7BB1" w:rsidRPr="00F709EF" w:rsidRDefault="007B7BB1" w:rsidP="3B19747E">
      <w:pPr>
        <w:jc w:val="both"/>
        <w:rPr>
          <w:rFonts w:ascii="Cambria" w:hAnsi="Cambria"/>
          <w:color w:val="000000" w:themeColor="text1"/>
          <w:sz w:val="20"/>
          <w:szCs w:val="20"/>
          <w:lang w:val="es-US"/>
        </w:rPr>
      </w:pPr>
    </w:p>
    <w:p w14:paraId="1E7D4162" w14:textId="77777777" w:rsidR="007B7BB1" w:rsidRPr="00F709EF" w:rsidRDefault="007B7BB1" w:rsidP="3B19747E">
      <w:pPr>
        <w:pStyle w:val="ListParagraph"/>
        <w:numPr>
          <w:ilvl w:val="0"/>
          <w:numId w:val="9"/>
        </w:numPr>
        <w:ind w:left="1440" w:hanging="720"/>
        <w:jc w:val="both"/>
        <w:rPr>
          <w:rFonts w:ascii="Cambria" w:hAnsi="Cambria" w:cs="Calibri Light"/>
          <w:b/>
          <w:bCs/>
          <w:color w:val="000000" w:themeColor="text1"/>
          <w:sz w:val="20"/>
          <w:szCs w:val="20"/>
          <w:lang w:val="es-US"/>
        </w:rPr>
      </w:pPr>
      <w:r w:rsidRPr="3B19747E">
        <w:rPr>
          <w:rFonts w:ascii="Cambria" w:hAnsi="Cambria" w:cs="Calibri Light"/>
          <w:b/>
          <w:bCs/>
          <w:color w:val="000000" w:themeColor="text1"/>
          <w:sz w:val="20"/>
          <w:szCs w:val="20"/>
          <w:lang w:val="es-US"/>
        </w:rPr>
        <w:t>Resultados individuales del caso</w:t>
      </w:r>
    </w:p>
    <w:p w14:paraId="46420552" w14:textId="77777777" w:rsidR="007B7BB1" w:rsidRPr="00F709EF" w:rsidRDefault="007B7BB1" w:rsidP="3B19747E">
      <w:pPr>
        <w:pStyle w:val="ListParagraph"/>
        <w:ind w:left="1440"/>
        <w:jc w:val="both"/>
        <w:rPr>
          <w:rFonts w:ascii="Cambria" w:hAnsi="Cambria"/>
          <w:color w:val="000000" w:themeColor="text1"/>
          <w:sz w:val="20"/>
          <w:szCs w:val="20"/>
          <w:lang w:val="es-CO"/>
        </w:rPr>
      </w:pPr>
    </w:p>
    <w:p w14:paraId="6DD307E2" w14:textId="77777777" w:rsidR="007B7BB1" w:rsidRPr="00F709EF" w:rsidRDefault="007B7BB1" w:rsidP="3B19747E">
      <w:pPr>
        <w:pStyle w:val="ListParagraph"/>
        <w:numPr>
          <w:ilvl w:val="0"/>
          <w:numId w:val="13"/>
        </w:numPr>
        <w:jc w:val="both"/>
        <w:rPr>
          <w:rFonts w:ascii="Cambria" w:hAnsi="Cambria"/>
          <w:color w:val="000000" w:themeColor="text1"/>
          <w:sz w:val="20"/>
          <w:szCs w:val="20"/>
          <w:lang w:val="es-CO"/>
        </w:rPr>
      </w:pPr>
      <w:r w:rsidRPr="3B19747E">
        <w:rPr>
          <w:rFonts w:ascii="Cambria" w:hAnsi="Cambria"/>
          <w:color w:val="000000" w:themeColor="text1"/>
          <w:sz w:val="20"/>
          <w:szCs w:val="20"/>
          <w:lang w:val="es-CO"/>
        </w:rPr>
        <w:t>N</w:t>
      </w:r>
      <w:r w:rsidRPr="3B19747E">
        <w:rPr>
          <w:rFonts w:ascii="Cambria" w:hAnsi="Cambria" w:cs="Calibri Light"/>
          <w:color w:val="000000" w:themeColor="text1"/>
          <w:sz w:val="20"/>
          <w:szCs w:val="20"/>
          <w:lang w:val="es-ES"/>
        </w:rPr>
        <w:t>o hay resultados individuales informados por las partes.</w:t>
      </w:r>
    </w:p>
    <w:p w14:paraId="53E254EC" w14:textId="77777777" w:rsidR="007B7BB1" w:rsidRPr="00F709EF" w:rsidRDefault="007B7BB1" w:rsidP="3B19747E">
      <w:pPr>
        <w:jc w:val="both"/>
        <w:rPr>
          <w:rFonts w:ascii="Cambria" w:hAnsi="Cambria"/>
          <w:color w:val="000000" w:themeColor="text1"/>
          <w:sz w:val="20"/>
          <w:szCs w:val="20"/>
          <w:lang w:val="es-CO"/>
        </w:rPr>
      </w:pPr>
    </w:p>
    <w:p w14:paraId="2CE0CA43" w14:textId="77777777" w:rsidR="007B7BB1" w:rsidRPr="00F709EF" w:rsidRDefault="007B7BB1" w:rsidP="3B19747E">
      <w:pPr>
        <w:pStyle w:val="ListParagraph"/>
        <w:numPr>
          <w:ilvl w:val="0"/>
          <w:numId w:val="9"/>
        </w:numPr>
        <w:ind w:left="1440" w:hanging="720"/>
        <w:jc w:val="both"/>
        <w:rPr>
          <w:rFonts w:ascii="Cambria" w:hAnsi="Cambria" w:cs="Calibri Light"/>
          <w:b/>
          <w:bCs/>
          <w:color w:val="000000" w:themeColor="text1"/>
          <w:sz w:val="20"/>
          <w:szCs w:val="20"/>
          <w:lang w:val="es-US"/>
        </w:rPr>
      </w:pPr>
      <w:r w:rsidRPr="3B19747E">
        <w:rPr>
          <w:rFonts w:ascii="Cambria" w:hAnsi="Cambria"/>
          <w:b/>
          <w:bCs/>
          <w:color w:val="000000" w:themeColor="text1"/>
          <w:sz w:val="20"/>
          <w:szCs w:val="20"/>
          <w:lang w:val="es-CO"/>
        </w:rPr>
        <w:t>Resultados</w:t>
      </w:r>
      <w:r w:rsidRPr="3B19747E">
        <w:rPr>
          <w:rFonts w:ascii="Cambria" w:hAnsi="Cambria" w:cs="Calibri Light"/>
          <w:b/>
          <w:bCs/>
          <w:color w:val="000000" w:themeColor="text1"/>
          <w:sz w:val="20"/>
          <w:szCs w:val="20"/>
          <w:lang w:val="es-US"/>
        </w:rPr>
        <w:t xml:space="preserve"> estructurales del caso</w:t>
      </w:r>
    </w:p>
    <w:p w14:paraId="46BC2EBA" w14:textId="77777777" w:rsidR="007B7BB1" w:rsidRPr="00F709EF" w:rsidRDefault="007B7BB1" w:rsidP="3B19747E">
      <w:pPr>
        <w:jc w:val="both"/>
        <w:rPr>
          <w:rFonts w:ascii="Cambria" w:hAnsi="Cambria"/>
          <w:color w:val="000000" w:themeColor="text1"/>
          <w:sz w:val="20"/>
          <w:szCs w:val="20"/>
          <w:lang w:val="es-CO"/>
        </w:rPr>
      </w:pPr>
    </w:p>
    <w:p w14:paraId="3C596CDD" w14:textId="77777777" w:rsidR="007B7BB1" w:rsidRPr="00F709EF" w:rsidRDefault="007B7BB1" w:rsidP="3B19747E">
      <w:pPr>
        <w:jc w:val="both"/>
        <w:rPr>
          <w:rFonts w:ascii="Cambria" w:hAnsi="Cambria"/>
          <w:i/>
          <w:iCs/>
          <w:color w:val="000000" w:themeColor="text1"/>
          <w:sz w:val="20"/>
          <w:szCs w:val="20"/>
          <w:lang w:val="es-CO"/>
        </w:rPr>
      </w:pPr>
      <w:r w:rsidRPr="3B19747E">
        <w:rPr>
          <w:rFonts w:ascii="Cambria" w:hAnsi="Cambria"/>
          <w:i/>
          <w:iCs/>
          <w:color w:val="000000" w:themeColor="text1"/>
          <w:sz w:val="20"/>
          <w:szCs w:val="20"/>
          <w:lang w:val="es-CO"/>
        </w:rPr>
        <w:t>Medidas de no repetición</w:t>
      </w:r>
    </w:p>
    <w:p w14:paraId="4DB22537" w14:textId="77777777" w:rsidR="007B7BB1" w:rsidRPr="00F709EF" w:rsidRDefault="007B7BB1" w:rsidP="3B19747E">
      <w:pPr>
        <w:jc w:val="both"/>
        <w:rPr>
          <w:rFonts w:ascii="Cambria" w:hAnsi="Cambria"/>
          <w:i/>
          <w:iCs/>
          <w:color w:val="000000" w:themeColor="text1"/>
          <w:sz w:val="20"/>
          <w:szCs w:val="20"/>
          <w:lang w:val="es-CO"/>
        </w:rPr>
      </w:pPr>
    </w:p>
    <w:p w14:paraId="464A7B08" w14:textId="77777777" w:rsidR="007B7BB1" w:rsidRPr="00F709EF" w:rsidRDefault="007B7BB1" w:rsidP="3B19747E">
      <w:pPr>
        <w:pStyle w:val="ListParagraph"/>
        <w:numPr>
          <w:ilvl w:val="0"/>
          <w:numId w:val="13"/>
        </w:numPr>
        <w:jc w:val="both"/>
        <w:rPr>
          <w:rFonts w:ascii="Cambria" w:hAnsi="Cambria"/>
          <w:color w:val="000000" w:themeColor="text1"/>
          <w:sz w:val="20"/>
          <w:szCs w:val="20"/>
          <w:lang w:val="es-ES"/>
        </w:rPr>
      </w:pPr>
      <w:r w:rsidRPr="3B19747E">
        <w:rPr>
          <w:rFonts w:ascii="Cambria" w:hAnsi="Cambria"/>
          <w:color w:val="000000" w:themeColor="text1"/>
          <w:sz w:val="20"/>
          <w:szCs w:val="20"/>
          <w:lang w:val="es-CO"/>
        </w:rPr>
        <w:t xml:space="preserve">En 2007, la Corte Suprema de Canadá sostuvo </w:t>
      </w:r>
      <w:r w:rsidRPr="3B19747E">
        <w:rPr>
          <w:rFonts w:ascii="Cambria" w:hAnsi="Cambria"/>
          <w:color w:val="000000" w:themeColor="text1"/>
          <w:sz w:val="20"/>
          <w:szCs w:val="20"/>
          <w:lang w:val="es-ES"/>
        </w:rPr>
        <w:t xml:space="preserve">en </w:t>
      </w:r>
      <w:proofErr w:type="spellStart"/>
      <w:r w:rsidRPr="3B19747E">
        <w:rPr>
          <w:rFonts w:ascii="Cambria" w:hAnsi="Cambria"/>
          <w:i/>
          <w:iCs/>
          <w:color w:val="000000" w:themeColor="text1"/>
          <w:sz w:val="20"/>
          <w:szCs w:val="20"/>
          <w:lang w:val="es-ES"/>
        </w:rPr>
        <w:t>Charkaoui</w:t>
      </w:r>
      <w:proofErr w:type="spellEnd"/>
      <w:r w:rsidRPr="3B19747E">
        <w:rPr>
          <w:rFonts w:ascii="Cambria" w:hAnsi="Cambria"/>
          <w:i/>
          <w:iCs/>
          <w:color w:val="000000" w:themeColor="text1"/>
          <w:sz w:val="20"/>
          <w:szCs w:val="20"/>
          <w:lang w:val="es-ES"/>
        </w:rPr>
        <w:t xml:space="preserve"> v. Canadá</w:t>
      </w:r>
      <w:r w:rsidRPr="3B19747E">
        <w:rPr>
          <w:rFonts w:ascii="Cambria" w:hAnsi="Cambria"/>
          <w:color w:val="000000" w:themeColor="text1"/>
          <w:sz w:val="20"/>
          <w:szCs w:val="20"/>
          <w:lang w:val="es-ES"/>
        </w:rPr>
        <w:t xml:space="preserve"> (Ciudadanía e Inmigración) que la detención obligatoria de las personas nombradas en los certificados de seguridad era inconstitucional. Como resultado, se enmendaron las secciones de la Ley de protección de inmigrantes y refugiados relacionadas con los certificados de seguridad y se eliminó la detención obligatoria de las personas nombradas en los certificados de seguridad.</w:t>
      </w:r>
    </w:p>
    <w:p w14:paraId="325EC9C2" w14:textId="77777777" w:rsidR="007B7BB1" w:rsidRPr="00F709EF" w:rsidRDefault="007B7BB1" w:rsidP="3B19747E">
      <w:pPr>
        <w:rPr>
          <w:rFonts w:ascii="Cambria" w:hAnsi="Cambria"/>
          <w:color w:val="000000" w:themeColor="text1"/>
          <w:sz w:val="20"/>
          <w:szCs w:val="20"/>
          <w:lang w:val="es-ES"/>
        </w:rPr>
      </w:pPr>
    </w:p>
    <w:p w14:paraId="45B26099" w14:textId="77777777" w:rsidR="00BD17B0" w:rsidRPr="007B7BB1" w:rsidRDefault="00BD17B0" w:rsidP="3B19747E">
      <w:pPr>
        <w:rPr>
          <w:color w:val="000000" w:themeColor="text1"/>
          <w:lang w:val="es-ES"/>
        </w:rPr>
      </w:pPr>
    </w:p>
    <w:sectPr w:rsidR="00BD17B0" w:rsidRPr="007B7BB1"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25EF" w14:textId="77777777" w:rsidR="00832521" w:rsidRDefault="00832521" w:rsidP="00672733">
      <w:r>
        <w:separator/>
      </w:r>
    </w:p>
  </w:endnote>
  <w:endnote w:type="continuationSeparator" w:id="0">
    <w:p w14:paraId="4A1598B5" w14:textId="77777777" w:rsidR="00832521" w:rsidRDefault="00832521"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A838" w14:textId="77777777" w:rsidR="00832521" w:rsidRDefault="00832521" w:rsidP="00672733">
      <w:r>
        <w:separator/>
      </w:r>
    </w:p>
  </w:footnote>
  <w:footnote w:type="continuationSeparator" w:id="0">
    <w:p w14:paraId="481AFCFB" w14:textId="77777777" w:rsidR="00832521" w:rsidRDefault="00832521" w:rsidP="00672733">
      <w:r>
        <w:continuationSeparator/>
      </w:r>
    </w:p>
  </w:footnote>
  <w:footnote w:id="1">
    <w:p w14:paraId="796EE7DF" w14:textId="77777777" w:rsidR="007B7BB1" w:rsidRPr="009F7A41" w:rsidRDefault="007B7BB1" w:rsidP="007B7BB1">
      <w:pPr>
        <w:pStyle w:val="FootnoteText"/>
        <w:spacing w:after="120"/>
        <w:ind w:firstLine="720"/>
        <w:jc w:val="both"/>
        <w:rPr>
          <w:rFonts w:ascii="Cambria" w:hAnsi="Cambria"/>
          <w:sz w:val="16"/>
          <w:szCs w:val="16"/>
          <w:lang w:val="es-CO"/>
        </w:rPr>
      </w:pPr>
      <w:r w:rsidRPr="009F7A41">
        <w:rPr>
          <w:rStyle w:val="FootnoteReference"/>
          <w:rFonts w:ascii="Cambria" w:hAnsi="Cambria"/>
          <w:sz w:val="16"/>
          <w:szCs w:val="16"/>
        </w:rPr>
        <w:footnoteRef/>
      </w:r>
      <w:r w:rsidRPr="009F7A41">
        <w:rPr>
          <w:rFonts w:ascii="Cambria" w:hAnsi="Cambria"/>
          <w:sz w:val="16"/>
          <w:szCs w:val="16"/>
          <w:lang w:val="es-CO"/>
        </w:rPr>
        <w:t xml:space="preserve"> Corte IDH, </w:t>
      </w:r>
      <w:hyperlink r:id="rId1" w:history="1">
        <w:r w:rsidRPr="009F7A41">
          <w:rPr>
            <w:rStyle w:val="Hyperlink"/>
            <w:rFonts w:ascii="Cambria" w:hAnsi="Cambria"/>
            <w:color w:val="auto"/>
            <w:sz w:val="16"/>
            <w:szCs w:val="16"/>
            <w:lang w:val="es-CO"/>
          </w:rPr>
          <w:t>Opinión Consultiva OC-10/89 - Interpretación</w:t>
        </w:r>
        <w:r w:rsidRPr="009F7A41">
          <w:rPr>
            <w:rStyle w:val="Hyperlink"/>
            <w:rFonts w:ascii="Cambria" w:hAnsi="Cambria"/>
            <w:color w:val="auto"/>
            <w:spacing w:val="-7"/>
            <w:w w:val="110"/>
            <w:sz w:val="16"/>
            <w:szCs w:val="16"/>
            <w:lang w:val="es-ES"/>
          </w:rPr>
          <w:t xml:space="preserve"> de la Declaración Americana de los Derechos y Deberes del </w:t>
        </w:r>
        <w:r w:rsidRPr="009F7A41">
          <w:rPr>
            <w:rStyle w:val="Hyperlink"/>
            <w:rFonts w:ascii="Cambria" w:hAnsi="Cambria"/>
            <w:color w:val="auto"/>
            <w:spacing w:val="-9"/>
            <w:w w:val="110"/>
            <w:sz w:val="16"/>
            <w:szCs w:val="16"/>
            <w:lang w:val="es-ES"/>
          </w:rPr>
          <w:t>Hombre en el Marco del Artículo 64 de la Convención Americana sobre Derechos Humanos</w:t>
        </w:r>
        <w:r w:rsidRPr="009F7A41">
          <w:rPr>
            <w:rStyle w:val="Hyperlink"/>
            <w:rFonts w:ascii="Cambria" w:hAnsi="Cambria"/>
            <w:color w:val="auto"/>
            <w:sz w:val="16"/>
            <w:szCs w:val="16"/>
            <w:lang w:val="es-CO"/>
          </w:rPr>
          <w:t>, 14 de julio de 1989. Serie A No. 10 (1989)</w:t>
        </w:r>
      </w:hyperlink>
      <w:r w:rsidRPr="009F7A41">
        <w:rPr>
          <w:rFonts w:ascii="Cambria" w:hAnsi="Cambria"/>
          <w:sz w:val="16"/>
          <w:szCs w:val="16"/>
          <w:lang w:val="es-CO"/>
        </w:rPr>
        <w:t xml:space="preserve">, </w:t>
      </w:r>
      <w:proofErr w:type="spellStart"/>
      <w:r w:rsidRPr="009F7A41">
        <w:rPr>
          <w:rFonts w:ascii="Cambria" w:hAnsi="Cambria"/>
          <w:sz w:val="16"/>
          <w:szCs w:val="16"/>
          <w:lang w:val="es-CO"/>
        </w:rPr>
        <w:t>párrs</w:t>
      </w:r>
      <w:proofErr w:type="spellEnd"/>
      <w:r w:rsidRPr="009F7A41">
        <w:rPr>
          <w:rFonts w:ascii="Cambria" w:hAnsi="Cambria"/>
          <w:sz w:val="16"/>
          <w:szCs w:val="16"/>
          <w:lang w:val="es-CO"/>
        </w:rPr>
        <w:t xml:space="preserve">. 35-45. </w:t>
      </w:r>
    </w:p>
  </w:footnote>
  <w:footnote w:id="2">
    <w:p w14:paraId="2EC25265" w14:textId="77777777" w:rsidR="007B7BB1" w:rsidRPr="009F7A41" w:rsidRDefault="007B7BB1" w:rsidP="007B7BB1">
      <w:pPr>
        <w:pStyle w:val="FootnoteText"/>
        <w:spacing w:after="120"/>
        <w:ind w:firstLine="720"/>
        <w:jc w:val="both"/>
        <w:rPr>
          <w:rFonts w:ascii="Cambria" w:hAnsi="Cambria"/>
          <w:sz w:val="16"/>
          <w:szCs w:val="16"/>
          <w:lang w:val="es-CO"/>
        </w:rPr>
      </w:pPr>
      <w:r w:rsidRPr="009F7A41">
        <w:rPr>
          <w:rStyle w:val="FootnoteReference"/>
          <w:rFonts w:ascii="Cambria" w:hAnsi="Cambria"/>
          <w:sz w:val="16"/>
          <w:szCs w:val="16"/>
        </w:rPr>
        <w:footnoteRef/>
      </w:r>
      <w:r w:rsidRPr="009F7A41">
        <w:rPr>
          <w:rFonts w:ascii="Cambria" w:hAnsi="Cambria"/>
          <w:sz w:val="16"/>
          <w:szCs w:val="16"/>
          <w:lang w:val="es-CO"/>
        </w:rPr>
        <w:t xml:space="preserve"> CIDH, </w:t>
      </w:r>
      <w:hyperlink r:id="rId2" w:history="1">
        <w:r w:rsidRPr="009F7A41">
          <w:rPr>
            <w:rStyle w:val="Hyperlink"/>
            <w:rFonts w:ascii="Cambria" w:hAnsi="Cambria"/>
            <w:color w:val="auto"/>
            <w:sz w:val="16"/>
            <w:szCs w:val="16"/>
            <w:lang w:val="es-CO"/>
          </w:rPr>
          <w:t xml:space="preserve">Informe de Fondo </w:t>
        </w:r>
        <w:proofErr w:type="spellStart"/>
        <w:r w:rsidRPr="009F7A41">
          <w:rPr>
            <w:rStyle w:val="Hyperlink"/>
            <w:rFonts w:ascii="Cambria" w:hAnsi="Cambria"/>
            <w:color w:val="auto"/>
            <w:sz w:val="16"/>
            <w:szCs w:val="16"/>
            <w:lang w:val="es-CO"/>
          </w:rPr>
          <w:t>Nº</w:t>
        </w:r>
        <w:proofErr w:type="spellEnd"/>
        <w:r w:rsidRPr="009F7A41">
          <w:rPr>
            <w:rStyle w:val="Hyperlink"/>
            <w:rFonts w:ascii="Cambria" w:hAnsi="Cambria"/>
            <w:color w:val="auto"/>
            <w:sz w:val="16"/>
            <w:szCs w:val="16"/>
            <w:lang w:val="es-CO"/>
          </w:rPr>
          <w:t xml:space="preserve"> 78/11, John </w:t>
        </w:r>
        <w:proofErr w:type="spellStart"/>
        <w:r w:rsidRPr="009F7A41">
          <w:rPr>
            <w:rStyle w:val="Hyperlink"/>
            <w:rFonts w:ascii="Cambria" w:hAnsi="Cambria"/>
            <w:color w:val="auto"/>
            <w:sz w:val="16"/>
            <w:szCs w:val="16"/>
            <w:lang w:val="es-CO"/>
          </w:rPr>
          <w:t>Doe</w:t>
        </w:r>
        <w:proofErr w:type="spellEnd"/>
        <w:r w:rsidRPr="009F7A41">
          <w:rPr>
            <w:rStyle w:val="Hyperlink"/>
            <w:rFonts w:ascii="Cambria" w:hAnsi="Cambria"/>
            <w:color w:val="auto"/>
            <w:sz w:val="16"/>
            <w:szCs w:val="16"/>
            <w:lang w:val="es-CO"/>
          </w:rPr>
          <w:t xml:space="preserve"> y otros (Canadá)</w:t>
        </w:r>
      </w:hyperlink>
      <w:r w:rsidRPr="009F7A41">
        <w:rPr>
          <w:rFonts w:ascii="Cambria" w:hAnsi="Cambria"/>
          <w:sz w:val="16"/>
          <w:szCs w:val="16"/>
          <w:lang w:val="es-CO"/>
        </w:rPr>
        <w:t xml:space="preserve">, párr. 129. </w:t>
      </w:r>
    </w:p>
  </w:footnote>
  <w:footnote w:id="3">
    <w:p w14:paraId="6FDFB43F" w14:textId="77777777" w:rsidR="007B7BB1" w:rsidRPr="00DF4F59" w:rsidRDefault="007B7BB1" w:rsidP="007B7BB1">
      <w:pPr>
        <w:pStyle w:val="FootnoteText"/>
        <w:spacing w:after="120"/>
        <w:ind w:firstLine="720"/>
        <w:jc w:val="both"/>
        <w:rPr>
          <w:rFonts w:ascii="Cambria" w:hAnsi="Cambria"/>
          <w:sz w:val="16"/>
          <w:szCs w:val="16"/>
          <w:lang w:val="es-CO"/>
        </w:rPr>
      </w:pPr>
      <w:r w:rsidRPr="009F7A41">
        <w:rPr>
          <w:rStyle w:val="FootnoteReference"/>
          <w:rFonts w:ascii="Cambria" w:hAnsi="Cambria"/>
          <w:sz w:val="16"/>
          <w:szCs w:val="16"/>
        </w:rPr>
        <w:footnoteRef/>
      </w:r>
      <w:r w:rsidRPr="00DA1BEB">
        <w:rPr>
          <w:rFonts w:ascii="Cambria" w:hAnsi="Cambria"/>
          <w:sz w:val="16"/>
          <w:szCs w:val="16"/>
          <w:lang w:val="pt-BR"/>
        </w:rPr>
        <w:t xml:space="preserve"> </w:t>
      </w:r>
      <w:r w:rsidRPr="00DA1BEB">
        <w:rPr>
          <w:rFonts w:ascii="Cambria" w:hAnsi="Cambria"/>
          <w:sz w:val="16"/>
          <w:szCs w:val="16"/>
          <w:lang w:val="pt-BR"/>
        </w:rPr>
        <w:t xml:space="preserve">CIDH, </w:t>
      </w:r>
      <w:r w:rsidR="00832521">
        <w:fldChar w:fldCharType="begin"/>
      </w:r>
      <w:r w:rsidR="00832521" w:rsidRPr="00A9249B">
        <w:rPr>
          <w:lang w:val="es-US"/>
        </w:rPr>
        <w:instrText xml:space="preserve"> HYPERLINK "http://www.oas.org/es/cidh/decisiones/2016/CAPU11661ES.pdf" </w:instrText>
      </w:r>
      <w:r w:rsidR="00832521">
        <w:fldChar w:fldCharType="separate"/>
      </w:r>
      <w:r w:rsidRPr="00DA1BEB">
        <w:rPr>
          <w:rStyle w:val="Hyperlink"/>
          <w:rFonts w:ascii="Cambria" w:hAnsi="Cambria"/>
          <w:color w:val="auto"/>
          <w:sz w:val="16"/>
          <w:szCs w:val="16"/>
          <w:lang w:val="pt-BR"/>
        </w:rPr>
        <w:t>Informe de Fondo Nº 8/16, Manickavasagam Suresh (Canadá)</w:t>
      </w:r>
      <w:r w:rsidR="00832521">
        <w:rPr>
          <w:rStyle w:val="Hyperlink"/>
          <w:rFonts w:ascii="Cambria" w:hAnsi="Cambria"/>
          <w:color w:val="auto"/>
          <w:sz w:val="16"/>
          <w:szCs w:val="16"/>
          <w:lang w:val="pt-BR"/>
        </w:rPr>
        <w:fldChar w:fldCharType="end"/>
      </w:r>
      <w:r w:rsidRPr="00DA1BEB">
        <w:rPr>
          <w:rFonts w:ascii="Cambria" w:hAnsi="Cambria"/>
          <w:sz w:val="16"/>
          <w:szCs w:val="16"/>
          <w:lang w:val="pt-BR"/>
        </w:rPr>
        <w:t xml:space="preserve">, párr. </w:t>
      </w:r>
      <w:r w:rsidRPr="009F7A41">
        <w:rPr>
          <w:rFonts w:ascii="Cambria" w:hAnsi="Cambria"/>
          <w:sz w:val="16"/>
          <w:szCs w:val="16"/>
          <w:lang w:val="es-CO"/>
        </w:rPr>
        <w:t xml:space="preserve">103. </w:t>
      </w:r>
    </w:p>
  </w:footnote>
  <w:footnote w:id="4">
    <w:p w14:paraId="7412C0A1" w14:textId="77777777" w:rsidR="007B7BB1" w:rsidRPr="00DF4F59" w:rsidRDefault="007B7BB1" w:rsidP="007B7BB1">
      <w:pPr>
        <w:pStyle w:val="FootnoteText"/>
        <w:spacing w:after="120"/>
        <w:ind w:firstLine="720"/>
        <w:jc w:val="both"/>
        <w:rPr>
          <w:rFonts w:ascii="Cambria" w:hAnsi="Cambria"/>
          <w:color w:val="000000" w:themeColor="text1"/>
          <w:sz w:val="16"/>
          <w:szCs w:val="16"/>
          <w:lang w:val="es-US"/>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US"/>
        </w:rPr>
        <w:t xml:space="preserve"> Corte Suprema de Canadá, </w:t>
      </w:r>
      <w:hyperlink r:id="rId3" w:history="1">
        <w:proofErr w:type="spellStart"/>
        <w:r w:rsidRPr="00DF4F59">
          <w:rPr>
            <w:rStyle w:val="Hyperlink"/>
            <w:rFonts w:ascii="Cambria" w:hAnsi="Cambria"/>
            <w:sz w:val="16"/>
            <w:szCs w:val="16"/>
            <w:lang w:val="es-US"/>
          </w:rPr>
          <w:t>Charkaoui</w:t>
        </w:r>
        <w:proofErr w:type="spellEnd"/>
        <w:r w:rsidRPr="00DF4F59">
          <w:rPr>
            <w:rStyle w:val="Hyperlink"/>
            <w:rFonts w:ascii="Cambria" w:hAnsi="Cambria"/>
            <w:sz w:val="16"/>
            <w:szCs w:val="16"/>
            <w:lang w:val="es-US"/>
          </w:rPr>
          <w:t xml:space="preserve"> c. Canadá (Ciudadanía e inmigración)</w:t>
        </w:r>
      </w:hyperlink>
      <w:r w:rsidRPr="00DF4F59">
        <w:rPr>
          <w:rFonts w:ascii="Cambria" w:hAnsi="Cambria"/>
          <w:color w:val="000000" w:themeColor="text1"/>
          <w:sz w:val="16"/>
          <w:szCs w:val="16"/>
          <w:lang w:val="es-US"/>
        </w:rPr>
        <w:t xml:space="preserve">, [2007] 1 SCR 350, 2007 SCC 9. (Solo disponible en </w:t>
      </w:r>
      <w:proofErr w:type="spellStart"/>
      <w:r w:rsidRPr="00DF4F59">
        <w:rPr>
          <w:rFonts w:ascii="Cambria" w:hAnsi="Cambria"/>
          <w:color w:val="000000" w:themeColor="text1"/>
          <w:sz w:val="16"/>
          <w:szCs w:val="16"/>
          <w:lang w:val="es-US"/>
        </w:rPr>
        <w:t>ingl</w:t>
      </w:r>
      <w:r w:rsidRPr="00DF4F59">
        <w:rPr>
          <w:rFonts w:ascii="Cambria" w:hAnsi="Cambria"/>
          <w:color w:val="000000" w:themeColor="text1"/>
          <w:sz w:val="16"/>
          <w:szCs w:val="16"/>
          <w:lang w:val="es-CO"/>
        </w:rPr>
        <w:t>és</w:t>
      </w:r>
      <w:proofErr w:type="spellEnd"/>
      <w:r w:rsidRPr="00DF4F59">
        <w:rPr>
          <w:rFonts w:ascii="Cambria" w:hAnsi="Cambria"/>
          <w:color w:val="000000" w:themeColor="text1"/>
          <w:sz w:val="16"/>
          <w:szCs w:val="16"/>
          <w:lang w:val="es-US"/>
        </w:rPr>
        <w:t>)</w:t>
      </w:r>
    </w:p>
  </w:footnote>
  <w:footnote w:id="5">
    <w:p w14:paraId="0E74E87D" w14:textId="77777777" w:rsidR="007B7BB1" w:rsidRPr="00DF4F59" w:rsidRDefault="007B7BB1" w:rsidP="007B7BB1">
      <w:pPr>
        <w:pStyle w:val="FootnoteText"/>
        <w:spacing w:after="120"/>
        <w:ind w:firstLine="720"/>
        <w:jc w:val="both"/>
        <w:rPr>
          <w:rFonts w:ascii="Cambria" w:hAnsi="Cambria"/>
          <w:color w:val="000000" w:themeColor="text1"/>
          <w:sz w:val="16"/>
          <w:szCs w:val="16"/>
          <w:lang w:val="es-US"/>
        </w:rPr>
      </w:pPr>
      <w:r w:rsidRPr="00DF4F59">
        <w:rPr>
          <w:rStyle w:val="FootnoteReference"/>
          <w:rFonts w:ascii="Cambria" w:hAnsi="Cambria"/>
          <w:color w:val="000000" w:themeColor="text1"/>
          <w:sz w:val="16"/>
          <w:szCs w:val="16"/>
          <w:lang w:val="es-ES"/>
        </w:rPr>
        <w:footnoteRef/>
      </w:r>
      <w:r w:rsidRPr="00DF4F59">
        <w:rPr>
          <w:rFonts w:ascii="Cambria" w:hAnsi="Cambria"/>
          <w:color w:val="000000" w:themeColor="text1"/>
          <w:sz w:val="16"/>
          <w:szCs w:val="16"/>
          <w:lang w:val="es-ES"/>
        </w:rPr>
        <w:t xml:space="preserve"> Tribunal Federal de Canadá, </w:t>
      </w:r>
      <w:hyperlink r:id="rId4" w:history="1">
        <w:proofErr w:type="spellStart"/>
        <w:r w:rsidRPr="00DF4F59">
          <w:rPr>
            <w:rStyle w:val="Hyperlink"/>
            <w:rFonts w:ascii="Cambria" w:hAnsi="Cambria"/>
            <w:color w:val="000000" w:themeColor="text1"/>
            <w:sz w:val="16"/>
            <w:szCs w:val="16"/>
            <w:lang w:val="es-ES"/>
          </w:rPr>
          <w:t>Suresh</w:t>
        </w:r>
        <w:proofErr w:type="spellEnd"/>
        <w:r w:rsidRPr="00DF4F59">
          <w:rPr>
            <w:rStyle w:val="Hyperlink"/>
            <w:rFonts w:ascii="Cambria" w:hAnsi="Cambria"/>
            <w:color w:val="000000" w:themeColor="text1"/>
            <w:sz w:val="16"/>
            <w:szCs w:val="16"/>
            <w:lang w:val="es-ES"/>
          </w:rPr>
          <w:t xml:space="preserve"> c. Canadá (Seguridad pública y preparativos para emergencias)</w:t>
        </w:r>
      </w:hyperlink>
      <w:r w:rsidRPr="00DF4F59">
        <w:rPr>
          <w:rFonts w:ascii="Cambria" w:hAnsi="Cambria"/>
          <w:color w:val="000000" w:themeColor="text1"/>
          <w:sz w:val="16"/>
          <w:szCs w:val="16"/>
          <w:lang w:val="es-ES"/>
        </w:rPr>
        <w:t xml:space="preserve">, 2017 FC 28. </w:t>
      </w:r>
      <w:r w:rsidRPr="00DF4F59">
        <w:rPr>
          <w:rFonts w:ascii="Cambria" w:hAnsi="Cambria"/>
          <w:color w:val="000000" w:themeColor="text1"/>
          <w:sz w:val="16"/>
          <w:szCs w:val="16"/>
          <w:lang w:val="es-US"/>
        </w:rPr>
        <w:t xml:space="preserve">(Solo disponible en </w:t>
      </w:r>
      <w:proofErr w:type="spellStart"/>
      <w:r w:rsidRPr="00DF4F59">
        <w:rPr>
          <w:rFonts w:ascii="Cambria" w:hAnsi="Cambria"/>
          <w:color w:val="000000" w:themeColor="text1"/>
          <w:sz w:val="16"/>
          <w:szCs w:val="16"/>
          <w:lang w:val="es-US"/>
        </w:rPr>
        <w:t>ingl</w:t>
      </w:r>
      <w:r w:rsidRPr="00DF4F59">
        <w:rPr>
          <w:rFonts w:ascii="Cambria" w:hAnsi="Cambria"/>
          <w:color w:val="000000" w:themeColor="text1"/>
          <w:sz w:val="16"/>
          <w:szCs w:val="16"/>
          <w:lang w:val="es-CO"/>
        </w:rPr>
        <w:t>és</w:t>
      </w:r>
      <w:proofErr w:type="spellEnd"/>
      <w:r w:rsidRPr="00DF4F59">
        <w:rPr>
          <w:rFonts w:ascii="Cambria" w:hAnsi="Cambria"/>
          <w:color w:val="000000" w:themeColor="text1"/>
          <w:sz w:val="16"/>
          <w:szCs w:val="16"/>
          <w:lang w:val="es-US"/>
        </w:rPr>
        <w:t>)</w:t>
      </w:r>
    </w:p>
  </w:footnote>
  <w:footnote w:id="6">
    <w:p w14:paraId="3607AA99" w14:textId="77777777" w:rsidR="007B7BB1" w:rsidRPr="00594C8E" w:rsidRDefault="007B7BB1" w:rsidP="007B7BB1">
      <w:pPr>
        <w:pStyle w:val="FootnoteText"/>
        <w:spacing w:after="120"/>
        <w:ind w:firstLine="720"/>
        <w:rPr>
          <w:rFonts w:ascii="Cambria" w:hAnsi="Cambria"/>
          <w:sz w:val="16"/>
          <w:szCs w:val="16"/>
          <w:lang w:val="es-ES"/>
        </w:rPr>
      </w:pPr>
      <w:r w:rsidRPr="00DF4F59">
        <w:rPr>
          <w:rStyle w:val="FootnoteReference"/>
          <w:rFonts w:ascii="Cambria" w:hAnsi="Cambria"/>
          <w:sz w:val="16"/>
          <w:szCs w:val="16"/>
        </w:rPr>
        <w:footnoteRef/>
      </w:r>
      <w:r w:rsidRPr="00594C8E">
        <w:rPr>
          <w:rFonts w:ascii="Cambria" w:hAnsi="Cambria"/>
          <w:sz w:val="16"/>
          <w:szCs w:val="16"/>
          <w:lang w:val="es-ES"/>
        </w:rPr>
        <w:t xml:space="preserve"> CIDH, </w:t>
      </w:r>
      <w:hyperlink r:id="rId5" w:history="1">
        <w:r w:rsidRPr="00594C8E">
          <w:rPr>
            <w:rStyle w:val="Hyperlink"/>
            <w:rFonts w:ascii="Cambria" w:hAnsi="Cambria"/>
            <w:sz w:val="16"/>
            <w:szCs w:val="16"/>
            <w:lang w:val="es-ES"/>
          </w:rPr>
          <w:t xml:space="preserve">Informe de Fondo </w:t>
        </w:r>
        <w:proofErr w:type="spellStart"/>
        <w:r w:rsidRPr="00594C8E">
          <w:rPr>
            <w:rStyle w:val="Hyperlink"/>
            <w:rFonts w:ascii="Cambria" w:hAnsi="Cambria"/>
            <w:sz w:val="16"/>
            <w:szCs w:val="16"/>
            <w:lang w:val="es-ES"/>
          </w:rPr>
          <w:t>Nº</w:t>
        </w:r>
        <w:proofErr w:type="spellEnd"/>
        <w:r w:rsidRPr="00594C8E">
          <w:rPr>
            <w:rStyle w:val="Hyperlink"/>
            <w:rFonts w:ascii="Cambria" w:hAnsi="Cambria"/>
            <w:sz w:val="16"/>
            <w:szCs w:val="16"/>
            <w:lang w:val="es-ES"/>
          </w:rPr>
          <w:t xml:space="preserve"> 8/16, Manickavasagam Suresh (Canadá)</w:t>
        </w:r>
      </w:hyperlink>
      <w:r w:rsidRPr="00594C8E">
        <w:rPr>
          <w:rFonts w:ascii="Cambria" w:hAnsi="Cambria"/>
          <w:sz w:val="16"/>
          <w:szCs w:val="16"/>
          <w:lang w:val="es-ES"/>
        </w:rPr>
        <w:t>, párr. 119.</w:t>
      </w:r>
    </w:p>
  </w:footnote>
  <w:footnote w:id="7">
    <w:p w14:paraId="5F288958" w14:textId="77777777" w:rsidR="007B7BB1" w:rsidRPr="00594C8E" w:rsidRDefault="007B7BB1" w:rsidP="007B7BB1">
      <w:pPr>
        <w:pStyle w:val="FootnoteText"/>
        <w:spacing w:after="120"/>
        <w:ind w:firstLine="720"/>
        <w:jc w:val="both"/>
        <w:rPr>
          <w:rFonts w:ascii="Cambria" w:hAnsi="Cambria"/>
          <w:color w:val="000000" w:themeColor="text1"/>
          <w:sz w:val="16"/>
          <w:szCs w:val="16"/>
          <w:lang w:val="es-CO"/>
        </w:rPr>
      </w:pPr>
      <w:r w:rsidRPr="00DF4F59">
        <w:rPr>
          <w:rStyle w:val="FootnoteReference"/>
          <w:rFonts w:ascii="Cambria" w:hAnsi="Cambria"/>
          <w:color w:val="000000" w:themeColor="text1"/>
          <w:sz w:val="16"/>
          <w:szCs w:val="16"/>
          <w:lang w:val="es-ES"/>
        </w:rPr>
        <w:footnoteRef/>
      </w:r>
      <w:r w:rsidRPr="00594C8E">
        <w:rPr>
          <w:rFonts w:ascii="Cambria" w:hAnsi="Cambria"/>
          <w:color w:val="000000" w:themeColor="text1"/>
          <w:sz w:val="16"/>
          <w:szCs w:val="16"/>
          <w:lang w:val="es-ES"/>
        </w:rPr>
        <w:t xml:space="preserve"> Corte IDH, </w:t>
      </w:r>
      <w:hyperlink r:id="rId6" w:history="1">
        <w:r w:rsidRPr="00594C8E">
          <w:rPr>
            <w:rStyle w:val="Hyperlink"/>
            <w:rFonts w:ascii="Cambria" w:hAnsi="Cambria"/>
            <w:color w:val="000000" w:themeColor="text1"/>
            <w:sz w:val="16"/>
            <w:szCs w:val="16"/>
            <w:lang w:val="es-ES"/>
          </w:rPr>
          <w:t>Caso La Cantuta Vs. Perú, Sentencia de 29 de noviembre de 2006</w:t>
        </w:r>
      </w:hyperlink>
      <w:r w:rsidRPr="00594C8E">
        <w:rPr>
          <w:rFonts w:ascii="Cambria" w:hAnsi="Cambria"/>
          <w:color w:val="000000" w:themeColor="text1"/>
          <w:sz w:val="16"/>
          <w:szCs w:val="16"/>
          <w:lang w:val="es-ES"/>
        </w:rPr>
        <w:t xml:space="preserve">. </w:t>
      </w:r>
      <w:r w:rsidRPr="00594C8E">
        <w:rPr>
          <w:rFonts w:ascii="Cambria" w:hAnsi="Cambria"/>
          <w:color w:val="000000" w:themeColor="text1"/>
          <w:sz w:val="16"/>
          <w:szCs w:val="16"/>
          <w:lang w:val="es-CO"/>
        </w:rPr>
        <w:t xml:space="preserve">Serie C No. 162, párrs. 199-200. </w:t>
      </w:r>
    </w:p>
  </w:footnote>
  <w:footnote w:id="8">
    <w:p w14:paraId="3129E609" w14:textId="77777777" w:rsidR="007B7BB1" w:rsidRPr="00DF4F59" w:rsidRDefault="007B7BB1" w:rsidP="007B7BB1">
      <w:pPr>
        <w:pStyle w:val="FootnoteText"/>
        <w:spacing w:after="120"/>
        <w:ind w:firstLine="720"/>
        <w:jc w:val="both"/>
        <w:rPr>
          <w:rFonts w:ascii="Cambria" w:hAnsi="Cambria"/>
          <w:color w:val="000000" w:themeColor="text1"/>
          <w:sz w:val="16"/>
          <w:szCs w:val="16"/>
          <w:lang w:val="es-ES"/>
        </w:rPr>
      </w:pPr>
      <w:r w:rsidRPr="00DF4F59">
        <w:rPr>
          <w:rStyle w:val="FootnoteReference"/>
          <w:rFonts w:ascii="Cambria" w:hAnsi="Cambria"/>
          <w:color w:val="000000" w:themeColor="text1"/>
          <w:sz w:val="16"/>
          <w:szCs w:val="16"/>
          <w:lang w:val="es-ES"/>
        </w:rPr>
        <w:footnoteRef/>
      </w:r>
      <w:r w:rsidRPr="00594C8E">
        <w:rPr>
          <w:rFonts w:ascii="Cambria" w:hAnsi="Cambria"/>
          <w:color w:val="000000" w:themeColor="text1"/>
          <w:sz w:val="16"/>
          <w:szCs w:val="16"/>
          <w:lang w:val="es-CO"/>
        </w:rPr>
        <w:t xml:space="preserve"> CIDH</w:t>
      </w:r>
      <w:hyperlink r:id="rId7" w:history="1">
        <w:r w:rsidRPr="00594C8E">
          <w:rPr>
            <w:rStyle w:val="Hyperlink"/>
            <w:rFonts w:ascii="Cambria" w:hAnsi="Cambria"/>
            <w:sz w:val="16"/>
            <w:szCs w:val="16"/>
            <w:lang w:val="es-CO"/>
          </w:rPr>
          <w:t>, Lineamientos principales para una política integral de reparaciones</w:t>
        </w:r>
      </w:hyperlink>
      <w:r w:rsidRPr="00594C8E">
        <w:rPr>
          <w:rFonts w:ascii="Cambria" w:hAnsi="Cambria"/>
          <w:color w:val="000000" w:themeColor="text1"/>
          <w:sz w:val="16"/>
          <w:szCs w:val="16"/>
          <w:lang w:val="es-CO"/>
        </w:rPr>
        <w:t xml:space="preserve">, 19 de febrero de 2008, OEA/Ser/L/V/II.131, doc. 1, párr. </w:t>
      </w:r>
      <w:r w:rsidRPr="00DF4F59">
        <w:rPr>
          <w:rFonts w:ascii="Cambria" w:hAnsi="Cambria"/>
          <w:color w:val="000000" w:themeColor="text1"/>
          <w:sz w:val="16"/>
          <w:szCs w:val="16"/>
          <w:lang w:val="es-ES"/>
        </w:rPr>
        <w:t xml:space="preserve">1; Asamblea General de las Naciones Unidas, </w:t>
      </w:r>
      <w:r w:rsidR="00832521">
        <w:fldChar w:fldCharType="begin"/>
      </w:r>
      <w:r w:rsidR="00832521" w:rsidRPr="008305CE">
        <w:rPr>
          <w:lang w:val="es-US"/>
        </w:rPr>
        <w:instrText xml:space="preserve"> HYPERLINK "https://www.ohchr.org/sp/professionalinterest/pages/remedyandreparation.aspx" </w:instrText>
      </w:r>
      <w:r w:rsidR="00832521">
        <w:fldChar w:fldCharType="separate"/>
      </w:r>
      <w:r w:rsidRPr="00DF4F59">
        <w:rPr>
          <w:rStyle w:val="Hyperlink"/>
          <w:rFonts w:ascii="Cambria" w:hAnsi="Cambria"/>
          <w:color w:val="000000" w:themeColor="text1"/>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r w:rsidR="00832521">
        <w:rPr>
          <w:rStyle w:val="Hyperlink"/>
          <w:rFonts w:ascii="Cambria" w:hAnsi="Cambria"/>
          <w:color w:val="000000" w:themeColor="text1"/>
          <w:sz w:val="16"/>
          <w:szCs w:val="16"/>
          <w:lang w:val="es-ES"/>
        </w:rPr>
        <w:fldChar w:fldCharType="end"/>
      </w:r>
      <w:r w:rsidRPr="00DF4F59">
        <w:rPr>
          <w:rFonts w:ascii="Cambria" w:hAnsi="Cambria"/>
          <w:color w:val="000000" w:themeColor="text1"/>
          <w:sz w:val="16"/>
          <w:szCs w:val="16"/>
          <w:lang w:val="es-ES"/>
        </w:rPr>
        <w:t xml:space="preserve">, 16 de diciembre de </w:t>
      </w:r>
      <w:r>
        <w:rPr>
          <w:rFonts w:ascii="Cambria" w:hAnsi="Cambria"/>
          <w:color w:val="000000" w:themeColor="text1"/>
          <w:sz w:val="16"/>
          <w:szCs w:val="16"/>
          <w:lang w:val="es-ES"/>
        </w:rPr>
        <w:t>2005</w:t>
      </w:r>
      <w:r w:rsidRPr="00DF4F59">
        <w:rPr>
          <w:rFonts w:ascii="Cambria" w:hAnsi="Cambria"/>
          <w:color w:val="000000" w:themeColor="text1"/>
          <w:sz w:val="16"/>
          <w:szCs w:val="16"/>
          <w:lang w:val="es-ES"/>
        </w:rPr>
        <w:t xml:space="preserve">. </w:t>
      </w:r>
    </w:p>
  </w:footnote>
  <w:footnote w:id="9">
    <w:p w14:paraId="2F6AC4C8" w14:textId="77777777" w:rsidR="007B7BB1" w:rsidRPr="00DF4F59" w:rsidRDefault="007B7BB1" w:rsidP="007B7BB1">
      <w:pPr>
        <w:pStyle w:val="FootnoteText"/>
        <w:spacing w:after="120"/>
        <w:ind w:firstLine="720"/>
        <w:jc w:val="both"/>
        <w:rPr>
          <w:rFonts w:ascii="Cambria" w:hAnsi="Cambria"/>
          <w:color w:val="000000" w:themeColor="text1"/>
          <w:sz w:val="16"/>
          <w:szCs w:val="16"/>
          <w:lang w:val="es-ES"/>
        </w:rPr>
      </w:pPr>
      <w:r w:rsidRPr="00DF4F59">
        <w:rPr>
          <w:rStyle w:val="FootnoteReference"/>
          <w:rFonts w:ascii="Cambria" w:hAnsi="Cambria"/>
          <w:color w:val="000000" w:themeColor="text1"/>
          <w:sz w:val="16"/>
          <w:szCs w:val="16"/>
          <w:lang w:val="es-ES"/>
        </w:rPr>
        <w:footnoteRef/>
      </w:r>
      <w:r w:rsidRPr="00DF4F59">
        <w:rPr>
          <w:rFonts w:ascii="Cambria" w:hAnsi="Cambria"/>
          <w:color w:val="000000" w:themeColor="text1"/>
          <w:sz w:val="16"/>
          <w:szCs w:val="16"/>
          <w:lang w:val="es-ES"/>
        </w:rPr>
        <w:t xml:space="preserve"> Corte IDH, </w:t>
      </w:r>
      <w:hyperlink r:id="rId8" w:history="1">
        <w:r w:rsidRPr="00DF4F59">
          <w:rPr>
            <w:rStyle w:val="Hyperlink"/>
            <w:rFonts w:ascii="Cambria" w:hAnsi="Cambria"/>
            <w:color w:val="000000" w:themeColor="text1"/>
            <w:sz w:val="16"/>
            <w:szCs w:val="16"/>
            <w:lang w:val="es-ES"/>
          </w:rPr>
          <w:t>Caso La Cantuta Vs. Perú, Sentencia de 29 de noviembre de 2006</w:t>
        </w:r>
      </w:hyperlink>
      <w:r w:rsidRPr="00DF4F59">
        <w:rPr>
          <w:rFonts w:ascii="Cambria" w:hAnsi="Cambria"/>
          <w:color w:val="000000" w:themeColor="text1"/>
          <w:sz w:val="16"/>
          <w:szCs w:val="16"/>
          <w:lang w:val="es-ES"/>
        </w:rPr>
        <w:t>. Serie C No. 162, párr. 200.</w:t>
      </w:r>
    </w:p>
  </w:footnote>
  <w:footnote w:id="10">
    <w:p w14:paraId="2E0BFA82" w14:textId="77777777" w:rsidR="007B7BB1" w:rsidRPr="00DF4F59" w:rsidRDefault="007B7BB1" w:rsidP="007B7BB1">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Pr="00DF4F59">
        <w:rPr>
          <w:rFonts w:ascii="Cambria" w:hAnsi="Cambria"/>
          <w:color w:val="000000" w:themeColor="text1"/>
          <w:sz w:val="16"/>
          <w:szCs w:val="16"/>
          <w:lang w:val="es-ES"/>
        </w:rPr>
        <w:t xml:space="preserve">CIDH, Informe Anual 2017, </w:t>
      </w:r>
      <w:hyperlink r:id="rId9" w:history="1">
        <w:r w:rsidRPr="00DF4F59">
          <w:rPr>
            <w:rStyle w:val="Hyperlink"/>
            <w:rFonts w:ascii="Cambria" w:hAnsi="Cambria"/>
            <w:sz w:val="16"/>
            <w:szCs w:val="16"/>
            <w:lang w:val="es-ES"/>
          </w:rPr>
          <w:t>Capítulo II, Sección F: Estado del cumplimiento de las recomendaciones de la CIDH</w:t>
        </w:r>
      </w:hyperlink>
      <w:r w:rsidRPr="00DF4F59">
        <w:rPr>
          <w:rFonts w:ascii="Cambria" w:hAnsi="Cambria"/>
          <w:color w:val="000000" w:themeColor="text1"/>
          <w:sz w:val="16"/>
          <w:szCs w:val="16"/>
          <w:lang w:val="es-ES"/>
        </w:rPr>
        <w:t xml:space="preserve">, párr. </w:t>
      </w:r>
      <w:r w:rsidRPr="00DF4F59">
        <w:rPr>
          <w:rFonts w:ascii="Cambria" w:hAnsi="Cambria"/>
          <w:color w:val="000000" w:themeColor="text1"/>
          <w:sz w:val="16"/>
          <w:szCs w:val="16"/>
          <w:lang w:val="es-CO"/>
        </w:rPr>
        <w:t xml:space="preserve">502. </w:t>
      </w:r>
    </w:p>
  </w:footnote>
  <w:footnote w:id="11">
    <w:p w14:paraId="1C961C81" w14:textId="77777777" w:rsidR="007B7BB1" w:rsidRPr="00DF4F59" w:rsidRDefault="007B7BB1" w:rsidP="007B7BB1">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Pr="00DF4F59">
        <w:rPr>
          <w:rFonts w:ascii="Cambria" w:hAnsi="Cambria"/>
          <w:color w:val="000000" w:themeColor="text1"/>
          <w:sz w:val="16"/>
          <w:szCs w:val="16"/>
          <w:lang w:val="es-ES"/>
        </w:rPr>
        <w:t xml:space="preserve">CIDH, Informe Anual 2017, </w:t>
      </w:r>
      <w:hyperlink r:id="rId10" w:history="1">
        <w:r w:rsidRPr="00DF4F59">
          <w:rPr>
            <w:rStyle w:val="Hyperlink"/>
            <w:rFonts w:ascii="Cambria" w:hAnsi="Cambria"/>
            <w:sz w:val="16"/>
            <w:szCs w:val="16"/>
            <w:lang w:val="es-ES"/>
          </w:rPr>
          <w:t>Capítulo II, Sección F: Estado del cumplimiento de las recomendaciones de la CIDH</w:t>
        </w:r>
      </w:hyperlink>
      <w:r w:rsidRPr="00DF4F59">
        <w:rPr>
          <w:rFonts w:ascii="Cambria" w:hAnsi="Cambria"/>
          <w:color w:val="000000" w:themeColor="text1"/>
          <w:sz w:val="16"/>
          <w:szCs w:val="16"/>
          <w:lang w:val="es-ES"/>
        </w:rPr>
        <w:t>, párr.</w:t>
      </w:r>
      <w:r w:rsidRPr="00DF4F59">
        <w:rPr>
          <w:rFonts w:ascii="Cambria" w:hAnsi="Cambria"/>
          <w:color w:val="000000" w:themeColor="text1"/>
          <w:sz w:val="16"/>
          <w:szCs w:val="16"/>
          <w:lang w:val="es-CO"/>
        </w:rPr>
        <w:t xml:space="preserve"> 503.</w:t>
      </w:r>
    </w:p>
  </w:footnote>
  <w:footnote w:id="12">
    <w:p w14:paraId="45D03B15" w14:textId="77777777" w:rsidR="007B7BB1" w:rsidRPr="00DF4F59" w:rsidRDefault="007B7BB1" w:rsidP="007B7BB1">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Pr="00DF4F59">
        <w:rPr>
          <w:rFonts w:ascii="Cambria" w:hAnsi="Cambria"/>
          <w:color w:val="000000" w:themeColor="text1"/>
          <w:sz w:val="16"/>
          <w:szCs w:val="16"/>
          <w:lang w:val="es-ES"/>
        </w:rPr>
        <w:t xml:space="preserve">CIDH, Informe Anual 2017, </w:t>
      </w:r>
      <w:hyperlink r:id="rId11" w:history="1">
        <w:r w:rsidRPr="00DF4F59">
          <w:rPr>
            <w:rStyle w:val="Hyperlink"/>
            <w:rFonts w:ascii="Cambria" w:hAnsi="Cambria"/>
            <w:sz w:val="16"/>
            <w:szCs w:val="16"/>
            <w:lang w:val="es-ES"/>
          </w:rPr>
          <w:t>Capítulo II, Sección F: Estado del cumplimiento de las recomendaciones de la CIDH</w:t>
        </w:r>
      </w:hyperlink>
      <w:r w:rsidRPr="00DF4F59">
        <w:rPr>
          <w:rFonts w:ascii="Cambria" w:hAnsi="Cambria"/>
          <w:color w:val="000000" w:themeColor="text1"/>
          <w:sz w:val="16"/>
          <w:szCs w:val="16"/>
          <w:lang w:val="es-ES"/>
        </w:rPr>
        <w:t>, párr.</w:t>
      </w:r>
      <w:r w:rsidRPr="00DF4F59">
        <w:rPr>
          <w:rFonts w:ascii="Cambria" w:hAnsi="Cambria"/>
          <w:color w:val="000000" w:themeColor="text1"/>
          <w:sz w:val="16"/>
          <w:szCs w:val="16"/>
          <w:lang w:val="es-CO"/>
        </w:rPr>
        <w:t xml:space="preserve"> 504.</w:t>
      </w:r>
    </w:p>
  </w:footnote>
  <w:footnote w:id="13">
    <w:p w14:paraId="607773A3" w14:textId="77777777" w:rsidR="007B7BB1" w:rsidRPr="00DF4F59" w:rsidRDefault="007B7BB1" w:rsidP="007B7BB1">
      <w:pPr>
        <w:pStyle w:val="FootnoteText"/>
        <w:spacing w:after="120"/>
        <w:ind w:firstLine="720"/>
        <w:jc w:val="both"/>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Corte Suprema de Canadá, </w:t>
      </w:r>
      <w:hyperlink r:id="rId12" w:history="1">
        <w:r w:rsidRPr="00DF4F59">
          <w:rPr>
            <w:rStyle w:val="Hyperlink"/>
            <w:rFonts w:ascii="Cambria" w:hAnsi="Cambria"/>
            <w:color w:val="000000" w:themeColor="text1"/>
            <w:sz w:val="16"/>
            <w:szCs w:val="16"/>
            <w:lang w:val="es-CO"/>
          </w:rPr>
          <w:t xml:space="preserve">Canadá (Ciudadanía e inmigración) c. </w:t>
        </w:r>
        <w:proofErr w:type="spellStart"/>
        <w:r w:rsidRPr="00DF4F59">
          <w:rPr>
            <w:rStyle w:val="Hyperlink"/>
            <w:rFonts w:ascii="Cambria" w:hAnsi="Cambria"/>
            <w:color w:val="000000" w:themeColor="text1"/>
            <w:sz w:val="16"/>
            <w:szCs w:val="16"/>
            <w:lang w:val="es-CO"/>
          </w:rPr>
          <w:t>Harkat</w:t>
        </w:r>
        <w:proofErr w:type="spellEnd"/>
      </w:hyperlink>
      <w:r w:rsidRPr="00DF4F59">
        <w:rPr>
          <w:rFonts w:ascii="Cambria" w:hAnsi="Cambria"/>
          <w:color w:val="000000" w:themeColor="text1"/>
          <w:sz w:val="16"/>
          <w:szCs w:val="16"/>
          <w:lang w:val="es-CO"/>
        </w:rPr>
        <w:t xml:space="preserve">, </w:t>
      </w:r>
      <w:r w:rsidRPr="00DF4F59">
        <w:rPr>
          <w:rFonts w:ascii="Cambria" w:hAnsi="Cambria"/>
          <w:sz w:val="16"/>
          <w:szCs w:val="16"/>
          <w:lang w:val="es-CO"/>
        </w:rPr>
        <w:t xml:space="preserve">[2014] 2 SCR 33, </w:t>
      </w:r>
      <w:r w:rsidRPr="00DF4F59">
        <w:rPr>
          <w:rFonts w:ascii="Cambria" w:hAnsi="Cambria"/>
          <w:color w:val="000000" w:themeColor="text1"/>
          <w:sz w:val="16"/>
          <w:szCs w:val="16"/>
          <w:lang w:val="es-CO"/>
        </w:rPr>
        <w:t xml:space="preserve">2014 SCC 37. </w:t>
      </w:r>
      <w:r w:rsidRPr="00DF4F59">
        <w:rPr>
          <w:rFonts w:ascii="Cambria" w:hAnsi="Cambria"/>
          <w:color w:val="000000" w:themeColor="text1"/>
          <w:sz w:val="16"/>
          <w:szCs w:val="16"/>
          <w:lang w:val="es-US"/>
        </w:rPr>
        <w:t xml:space="preserve">(Solo disponible en </w:t>
      </w:r>
      <w:proofErr w:type="spellStart"/>
      <w:r w:rsidRPr="00DF4F59">
        <w:rPr>
          <w:rFonts w:ascii="Cambria" w:hAnsi="Cambria"/>
          <w:color w:val="000000" w:themeColor="text1"/>
          <w:sz w:val="16"/>
          <w:szCs w:val="16"/>
          <w:lang w:val="es-US"/>
        </w:rPr>
        <w:t>ingl</w:t>
      </w:r>
      <w:r w:rsidRPr="00DF4F59">
        <w:rPr>
          <w:rFonts w:ascii="Cambria" w:hAnsi="Cambria"/>
          <w:color w:val="000000" w:themeColor="text1"/>
          <w:sz w:val="16"/>
          <w:szCs w:val="16"/>
          <w:lang w:val="es-CO"/>
        </w:rPr>
        <w:t>és</w:t>
      </w:r>
      <w:proofErr w:type="spellEnd"/>
      <w:r w:rsidRPr="00DF4F59">
        <w:rPr>
          <w:rFonts w:ascii="Cambria" w:hAnsi="Cambria"/>
          <w:color w:val="000000" w:themeColor="text1"/>
          <w:sz w:val="16"/>
          <w:szCs w:val="16"/>
          <w:lang w:val="es-US"/>
        </w:rPr>
        <w:t>)</w:t>
      </w:r>
    </w:p>
  </w:footnote>
  <w:footnote w:id="14">
    <w:p w14:paraId="619C1A57" w14:textId="77777777" w:rsidR="007B7BB1" w:rsidRPr="00DF4F59" w:rsidRDefault="007B7BB1" w:rsidP="007B7BB1">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Pr="00DF4F59">
        <w:rPr>
          <w:rFonts w:ascii="Cambria" w:hAnsi="Cambria"/>
          <w:color w:val="000000" w:themeColor="text1"/>
          <w:sz w:val="16"/>
          <w:szCs w:val="16"/>
          <w:lang w:val="es-ES"/>
        </w:rPr>
        <w:t xml:space="preserve">CIDH, Informe Anual 2017, </w:t>
      </w:r>
      <w:hyperlink r:id="rId13" w:history="1">
        <w:r w:rsidRPr="00DF4F59">
          <w:rPr>
            <w:rStyle w:val="Hyperlink"/>
            <w:rFonts w:ascii="Cambria" w:hAnsi="Cambria"/>
            <w:sz w:val="16"/>
            <w:szCs w:val="16"/>
            <w:lang w:val="es-ES"/>
          </w:rPr>
          <w:t>Capítulo II, Sección F: Estado del cumplimiento de las recomendaciones de la CIDH</w:t>
        </w:r>
      </w:hyperlink>
      <w:r w:rsidRPr="00DF4F59">
        <w:rPr>
          <w:rFonts w:ascii="Cambria" w:hAnsi="Cambria"/>
          <w:color w:val="000000" w:themeColor="text1"/>
          <w:sz w:val="16"/>
          <w:szCs w:val="16"/>
          <w:lang w:val="es-ES"/>
        </w:rPr>
        <w:t>, párr.</w:t>
      </w:r>
      <w:r w:rsidRPr="00DF4F59">
        <w:rPr>
          <w:rFonts w:ascii="Cambria" w:hAnsi="Cambria"/>
          <w:color w:val="000000" w:themeColor="text1"/>
          <w:sz w:val="16"/>
          <w:szCs w:val="16"/>
          <w:lang w:val="es-CO"/>
        </w:rPr>
        <w:t xml:space="preserve"> 510.</w:t>
      </w:r>
    </w:p>
  </w:footnote>
  <w:footnote w:id="15">
    <w:p w14:paraId="3CAB6B8D" w14:textId="77777777" w:rsidR="007B7BB1" w:rsidRPr="00DF4F59" w:rsidRDefault="007B7BB1" w:rsidP="007B7BB1">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Pr="00DF4F59">
        <w:rPr>
          <w:rFonts w:ascii="Cambria" w:hAnsi="Cambria"/>
          <w:color w:val="000000" w:themeColor="text1"/>
          <w:sz w:val="16"/>
          <w:szCs w:val="16"/>
          <w:lang w:val="es-ES"/>
        </w:rPr>
        <w:t xml:space="preserve">CIDH, Informe Anual 2017, </w:t>
      </w:r>
      <w:hyperlink r:id="rId14" w:history="1">
        <w:r w:rsidRPr="00DF4F59">
          <w:rPr>
            <w:rStyle w:val="Hyperlink"/>
            <w:rFonts w:ascii="Cambria" w:hAnsi="Cambria"/>
            <w:sz w:val="16"/>
            <w:szCs w:val="16"/>
            <w:lang w:val="es-ES"/>
          </w:rPr>
          <w:t>Capítulo II, Sección F: Estado del cumplimiento de las recomendaciones de la CIDH</w:t>
        </w:r>
      </w:hyperlink>
      <w:r w:rsidRPr="00DF4F59">
        <w:rPr>
          <w:rFonts w:ascii="Cambria" w:hAnsi="Cambria"/>
          <w:color w:val="000000" w:themeColor="text1"/>
          <w:sz w:val="16"/>
          <w:szCs w:val="16"/>
          <w:lang w:val="es-ES"/>
        </w:rPr>
        <w:t>, párr.</w:t>
      </w:r>
      <w:r w:rsidRPr="00DF4F59">
        <w:rPr>
          <w:rFonts w:ascii="Cambria" w:hAnsi="Cambria"/>
          <w:color w:val="000000" w:themeColor="text1"/>
          <w:sz w:val="16"/>
          <w:szCs w:val="16"/>
          <w:lang w:val="es-CO"/>
        </w:rPr>
        <w:t xml:space="preserve"> 511.</w:t>
      </w:r>
    </w:p>
  </w:footnote>
  <w:footnote w:id="16">
    <w:p w14:paraId="1749C1F0" w14:textId="77777777" w:rsidR="007B7BB1" w:rsidRPr="00DF4F59" w:rsidRDefault="007B7BB1" w:rsidP="007B7BB1">
      <w:pPr>
        <w:pStyle w:val="FootnoteText"/>
        <w:spacing w:after="120"/>
        <w:ind w:firstLine="720"/>
        <w:rPr>
          <w:rFonts w:ascii="Cambria" w:hAnsi="Cambria"/>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Pr="00DF4F59">
        <w:rPr>
          <w:rFonts w:ascii="Cambria" w:hAnsi="Cambria"/>
          <w:color w:val="000000" w:themeColor="text1"/>
          <w:sz w:val="16"/>
          <w:szCs w:val="16"/>
          <w:lang w:val="es-ES"/>
        </w:rPr>
        <w:t xml:space="preserve">CIDH, Informe Anual 2017, </w:t>
      </w:r>
      <w:hyperlink r:id="rId15" w:history="1">
        <w:r w:rsidRPr="00DF4F59">
          <w:rPr>
            <w:rStyle w:val="Hyperlink"/>
            <w:rFonts w:ascii="Cambria" w:hAnsi="Cambria"/>
            <w:sz w:val="16"/>
            <w:szCs w:val="16"/>
            <w:lang w:val="es-ES"/>
          </w:rPr>
          <w:t>Capítulo II, Sección F: Estado del cumplimiento de las recomendaciones de la CIDH</w:t>
        </w:r>
      </w:hyperlink>
      <w:r w:rsidRPr="00DF4F59">
        <w:rPr>
          <w:rFonts w:ascii="Cambria" w:hAnsi="Cambria"/>
          <w:color w:val="000000" w:themeColor="text1"/>
          <w:sz w:val="16"/>
          <w:szCs w:val="16"/>
          <w:lang w:val="es-ES"/>
        </w:rPr>
        <w:t>, párr.</w:t>
      </w:r>
      <w:r w:rsidRPr="00DF4F59">
        <w:rPr>
          <w:rFonts w:ascii="Cambria" w:hAnsi="Cambria"/>
          <w:sz w:val="16"/>
          <w:szCs w:val="16"/>
          <w:lang w:val="es-CO"/>
        </w:rPr>
        <w:t xml:space="preserve"> 512.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982A1F02"/>
    <w:lvl w:ilvl="0" w:tplc="ED0A3C7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662E5"/>
    <w:multiLevelType w:val="hybridMultilevel"/>
    <w:tmpl w:val="1E9A83FA"/>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270F2"/>
    <w:multiLevelType w:val="hybridMultilevel"/>
    <w:tmpl w:val="79C05DA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4624A"/>
    <w:multiLevelType w:val="hybridMultilevel"/>
    <w:tmpl w:val="086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6"/>
  </w:num>
  <w:num w:numId="2">
    <w:abstractNumId w:val="14"/>
  </w:num>
  <w:num w:numId="3">
    <w:abstractNumId w:val="11"/>
  </w:num>
  <w:num w:numId="4">
    <w:abstractNumId w:val="3"/>
  </w:num>
  <w:num w:numId="5">
    <w:abstractNumId w:val="2"/>
  </w:num>
  <w:num w:numId="6">
    <w:abstractNumId w:val="5"/>
  </w:num>
  <w:num w:numId="7">
    <w:abstractNumId w:val="1"/>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7"/>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A0E94"/>
    <w:rsid w:val="000B5E1D"/>
    <w:rsid w:val="00105B23"/>
    <w:rsid w:val="00107A15"/>
    <w:rsid w:val="00181DA0"/>
    <w:rsid w:val="001D40F5"/>
    <w:rsid w:val="002248FB"/>
    <w:rsid w:val="002309F9"/>
    <w:rsid w:val="00234E64"/>
    <w:rsid w:val="002A6810"/>
    <w:rsid w:val="002B4428"/>
    <w:rsid w:val="00322720"/>
    <w:rsid w:val="00432A03"/>
    <w:rsid w:val="00453115"/>
    <w:rsid w:val="00455A25"/>
    <w:rsid w:val="004758C9"/>
    <w:rsid w:val="0048723C"/>
    <w:rsid w:val="00500FDE"/>
    <w:rsid w:val="00566CD0"/>
    <w:rsid w:val="00594C8E"/>
    <w:rsid w:val="00637ED3"/>
    <w:rsid w:val="006638E5"/>
    <w:rsid w:val="00672733"/>
    <w:rsid w:val="006B1F24"/>
    <w:rsid w:val="007B7BB1"/>
    <w:rsid w:val="007C4DCE"/>
    <w:rsid w:val="008305CE"/>
    <w:rsid w:val="00832521"/>
    <w:rsid w:val="008463D3"/>
    <w:rsid w:val="008818B0"/>
    <w:rsid w:val="008861D6"/>
    <w:rsid w:val="00A9249B"/>
    <w:rsid w:val="00AD3E09"/>
    <w:rsid w:val="00BA2A38"/>
    <w:rsid w:val="00BD17B0"/>
    <w:rsid w:val="00BF7A78"/>
    <w:rsid w:val="00C04675"/>
    <w:rsid w:val="00D56DC4"/>
    <w:rsid w:val="00E042FE"/>
    <w:rsid w:val="00E516AB"/>
    <w:rsid w:val="00E83132"/>
    <w:rsid w:val="00E90CB3"/>
    <w:rsid w:val="00EA0262"/>
    <w:rsid w:val="00EC61E3"/>
    <w:rsid w:val="00ED0AAA"/>
    <w:rsid w:val="00ED1EBA"/>
    <w:rsid w:val="00F41E7E"/>
    <w:rsid w:val="3B19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2B4428"/>
    <w:pPr>
      <w:spacing w:after="160" w:line="240" w:lineRule="exact"/>
    </w:pPr>
    <w:rPr>
      <w:vertAlign w:val="superscript"/>
    </w:rPr>
  </w:style>
  <w:style w:type="character" w:styleId="Hyperlink">
    <w:name w:val="Hyperlink"/>
    <w:uiPriority w:val="99"/>
    <w:unhideWhenUsed/>
    <w:rsid w:val="002B4428"/>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2B4428"/>
  </w:style>
  <w:style w:type="paragraph" w:styleId="NoSpacing">
    <w:name w:val="No Spacing"/>
    <w:uiPriority w:val="1"/>
    <w:qFormat/>
    <w:rsid w:val="002B4428"/>
    <w:rPr>
      <w:rFonts w:ascii="Calibri" w:eastAsia="Calibri" w:hAnsi="Calibri" w:cs="Times New Roman"/>
      <w:sz w:val="22"/>
      <w:szCs w:val="22"/>
      <w:lang w:val="pt-BR"/>
    </w:rPr>
  </w:style>
  <w:style w:type="paragraph" w:customStyle="1" w:styleId="Default">
    <w:name w:val="Default"/>
    <w:rsid w:val="007B7BB1"/>
    <w:pPr>
      <w:autoSpaceDE w:val="0"/>
      <w:autoSpaceDN w:val="0"/>
      <w:adjustRightInd w:val="0"/>
    </w:pPr>
    <w:rPr>
      <w:rFonts w:ascii="Cambria" w:hAnsi="Cambria" w:cs="Cambria"/>
      <w:color w:val="000000"/>
    </w:rPr>
  </w:style>
  <w:style w:type="paragraph" w:styleId="HTMLPreformatted">
    <w:name w:val="HTML Preformatted"/>
    <w:basedOn w:val="Normal"/>
    <w:link w:val="HTMLPreformattedChar"/>
    <w:uiPriority w:val="99"/>
    <w:semiHidden/>
    <w:unhideWhenUsed/>
    <w:rsid w:val="00E83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3132"/>
    <w:rPr>
      <w:rFonts w:ascii="Courier New" w:eastAsia="Times New Roman" w:hAnsi="Courier New" w:cs="Courier New"/>
      <w:sz w:val="20"/>
      <w:szCs w:val="20"/>
    </w:rPr>
  </w:style>
  <w:style w:type="character" w:customStyle="1" w:styleId="y2iqfc">
    <w:name w:val="y2iqfc"/>
    <w:basedOn w:val="DefaultParagraphFont"/>
    <w:rsid w:val="00E8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46405">
      <w:bodyDiv w:val="1"/>
      <w:marLeft w:val="0"/>
      <w:marRight w:val="0"/>
      <w:marTop w:val="0"/>
      <w:marBottom w:val="0"/>
      <w:divBdr>
        <w:top w:val="none" w:sz="0" w:space="0" w:color="auto"/>
        <w:left w:val="none" w:sz="0" w:space="0" w:color="auto"/>
        <w:bottom w:val="none" w:sz="0" w:space="0" w:color="auto"/>
        <w:right w:val="none" w:sz="0" w:space="0" w:color="auto"/>
      </w:divBdr>
    </w:div>
    <w:div w:id="1635215218">
      <w:bodyDiv w:val="1"/>
      <w:marLeft w:val="0"/>
      <w:marRight w:val="0"/>
      <w:marTop w:val="0"/>
      <w:marBottom w:val="0"/>
      <w:divBdr>
        <w:top w:val="none" w:sz="0" w:space="0" w:color="auto"/>
        <w:left w:val="none" w:sz="0" w:space="0" w:color="auto"/>
        <w:bottom w:val="none" w:sz="0" w:space="0" w:color="auto"/>
        <w:right w:val="none" w:sz="0" w:space="0" w:color="auto"/>
      </w:divBdr>
    </w:div>
    <w:div w:id="203059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2sp/Canada.1166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rg/medidas/1998.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162_esp.pdf" TargetMode="External"/><Relationship Id="rId13" Type="http://schemas.openxmlformats.org/officeDocument/2006/relationships/hyperlink" Target="http://www.oas.org/es/cidh/docs/anual/2017/docs/IA2017cap.2-es.pdf" TargetMode="External"/><Relationship Id="rId3" Type="http://schemas.openxmlformats.org/officeDocument/2006/relationships/hyperlink" Target="https://scc-csc.lexum.com/scc-csc/scc-csc/en/2345/1/document.do" TargetMode="External"/><Relationship Id="rId7" Type="http://schemas.openxmlformats.org/officeDocument/2006/relationships/hyperlink" Target="http://www.cidh.org/pdf%20files/Lineamientos%20principales%20para%20una%20pol%C3%ADtica%20integral%20de%20reparaciones.pdf" TargetMode="External"/><Relationship Id="rId12" Type="http://schemas.openxmlformats.org/officeDocument/2006/relationships/hyperlink" Target="https://scc-csc.lexum.com/scc-csc/scc-csc/en/13643/1/document.do" TargetMode="External"/><Relationship Id="rId2" Type="http://schemas.openxmlformats.org/officeDocument/2006/relationships/hyperlink" Target="http://www.oas.org/es/cidh/decisiones/2011/CAPU12586ES.doc" TargetMode="External"/><Relationship Id="rId1" Type="http://schemas.openxmlformats.org/officeDocument/2006/relationships/hyperlink" Target="http://www.corteidh.or.cr/docs/opiniones/seriea_10_esp1.pdf" TargetMode="External"/><Relationship Id="rId6" Type="http://schemas.openxmlformats.org/officeDocument/2006/relationships/hyperlink" Target="http://www.corteidh.or.cr/docs/casos/articulos/seriec_162_esp.pdf" TargetMode="External"/><Relationship Id="rId11" Type="http://schemas.openxmlformats.org/officeDocument/2006/relationships/hyperlink" Target="http://www.oas.org/es/cidh/docs/anual/2017/docs/IA2017cap.2-es.pdf" TargetMode="External"/><Relationship Id="rId5" Type="http://schemas.openxmlformats.org/officeDocument/2006/relationships/hyperlink" Target="http://www.oas.org/es/cidh/decisiones/2016/CAPU11661ES.pdf" TargetMode="External"/><Relationship Id="rId15" Type="http://schemas.openxmlformats.org/officeDocument/2006/relationships/hyperlink" Target="http://www.oas.org/es/cidh/docs/anual/2017/docs/IA2017cap.2-es.pdf" TargetMode="External"/><Relationship Id="rId10" Type="http://schemas.openxmlformats.org/officeDocument/2006/relationships/hyperlink" Target="http://www.oas.org/es/cidh/docs/anual/2017/docs/IA2017cap.2-es.pdf" TargetMode="External"/><Relationship Id="rId4" Type="http://schemas.openxmlformats.org/officeDocument/2006/relationships/hyperlink" Target="https://decisions.fct-cf.gc.ca/fc-cf/decisions/en/218192/1/document.do" TargetMode="External"/><Relationship Id="rId9" Type="http://schemas.openxmlformats.org/officeDocument/2006/relationships/hyperlink" Target="http://www.oas.org/es/cidh/docs/anual/2017/docs/IA2017cap.2-es.pdf" TargetMode="External"/><Relationship Id="rId14"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2022-03-28T16:27:00Z</dcterms:created>
  <dcterms:modified xsi:type="dcterms:W3CDTF">2022-03-28T16:27:00Z</dcterms:modified>
</cp:coreProperties>
</file>