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BD9" w14:textId="73F48699" w:rsidR="0027366F" w:rsidRPr="001E0BA6" w:rsidRDefault="0027366F" w:rsidP="0027366F">
      <w:pPr>
        <w:jc w:val="center"/>
        <w:rPr>
          <w:color w:val="000000" w:themeColor="text1"/>
          <w:sz w:val="20"/>
          <w:szCs w:val="20"/>
          <w:lang w:val="es-ES"/>
        </w:rPr>
      </w:pPr>
      <w:r w:rsidRPr="001E0BA6">
        <w:rPr>
          <w:rFonts w:ascii="Cambria" w:hAnsi="Cambria"/>
          <w:b/>
          <w:color w:val="000000" w:themeColor="text1"/>
          <w:sz w:val="20"/>
          <w:szCs w:val="20"/>
          <w:lang w:val="es-ES"/>
        </w:rPr>
        <w:t xml:space="preserve">FICHA DE SEGUIMIENTO DEL INFORME Nº </w:t>
      </w:r>
      <w:r w:rsidR="00C3188E" w:rsidRPr="001E0BA6">
        <w:rPr>
          <w:rFonts w:ascii="Cambria" w:hAnsi="Cambria"/>
          <w:b/>
          <w:color w:val="000000" w:themeColor="text1"/>
          <w:sz w:val="20"/>
          <w:szCs w:val="20"/>
          <w:lang w:val="es-ES"/>
        </w:rPr>
        <w:t>211/20</w:t>
      </w:r>
    </w:p>
    <w:p w14:paraId="1D981BFB" w14:textId="366552BD" w:rsidR="0027366F" w:rsidRPr="001E0BA6" w:rsidRDefault="0027366F" w:rsidP="0027366F">
      <w:pPr>
        <w:jc w:val="center"/>
        <w:rPr>
          <w:rFonts w:ascii="Cambria" w:hAnsi="Cambria"/>
          <w:b/>
          <w:color w:val="000000" w:themeColor="text1"/>
          <w:sz w:val="20"/>
          <w:szCs w:val="20"/>
          <w:lang w:val="es-ES"/>
        </w:rPr>
      </w:pPr>
      <w:r w:rsidRPr="001E0BA6">
        <w:rPr>
          <w:rFonts w:ascii="Cambria" w:hAnsi="Cambria"/>
          <w:b/>
          <w:color w:val="000000" w:themeColor="text1"/>
          <w:sz w:val="20"/>
          <w:szCs w:val="20"/>
          <w:lang w:val="es-ES"/>
        </w:rPr>
        <w:t xml:space="preserve">CASO </w:t>
      </w:r>
      <w:r w:rsidR="00C3188E" w:rsidRPr="001E0BA6">
        <w:rPr>
          <w:rFonts w:ascii="Cambria" w:hAnsi="Cambria"/>
          <w:b/>
          <w:color w:val="000000" w:themeColor="text1"/>
          <w:sz w:val="20"/>
          <w:szCs w:val="20"/>
          <w:lang w:val="es-ES"/>
        </w:rPr>
        <w:t>13.570</w:t>
      </w:r>
    </w:p>
    <w:p w14:paraId="6F76214E" w14:textId="07B70EFB" w:rsidR="0027366F" w:rsidRPr="001E0BA6" w:rsidRDefault="00C3188E" w:rsidP="0027366F">
      <w:pPr>
        <w:jc w:val="center"/>
        <w:rPr>
          <w:rFonts w:ascii="Cambria" w:hAnsi="Cambria"/>
          <w:b/>
          <w:color w:val="000000" w:themeColor="text1"/>
          <w:sz w:val="20"/>
          <w:szCs w:val="20"/>
          <w:lang w:val="es-ES"/>
        </w:rPr>
      </w:pPr>
      <w:r w:rsidRPr="001E0BA6">
        <w:rPr>
          <w:rFonts w:ascii="Cambria" w:hAnsi="Cambria"/>
          <w:b/>
          <w:color w:val="000000" w:themeColor="text1"/>
          <w:sz w:val="20"/>
          <w:szCs w:val="20"/>
          <w:lang w:val="es-ES"/>
        </w:rPr>
        <w:t>LEZMOND C. MITCHELL</w:t>
      </w:r>
    </w:p>
    <w:p w14:paraId="21E8A539" w14:textId="77777777" w:rsidR="0027366F" w:rsidRPr="001E0BA6" w:rsidRDefault="0027366F" w:rsidP="0027366F">
      <w:pPr>
        <w:jc w:val="center"/>
        <w:rPr>
          <w:rFonts w:ascii="Cambria" w:hAnsi="Cambria"/>
          <w:b/>
          <w:color w:val="000000" w:themeColor="text1"/>
          <w:sz w:val="20"/>
          <w:szCs w:val="20"/>
          <w:lang w:val="es-ES"/>
        </w:rPr>
      </w:pPr>
      <w:r w:rsidRPr="001E0BA6">
        <w:rPr>
          <w:rFonts w:ascii="Cambria" w:hAnsi="Cambria"/>
          <w:b/>
          <w:color w:val="000000" w:themeColor="text1"/>
          <w:sz w:val="20"/>
          <w:szCs w:val="20"/>
          <w:lang w:val="es-ES"/>
        </w:rPr>
        <w:t>(Estados Unidos)</w:t>
      </w:r>
    </w:p>
    <w:p w14:paraId="75174728" w14:textId="77777777" w:rsidR="0027366F" w:rsidRPr="001E0BA6" w:rsidRDefault="0027366F" w:rsidP="0027366F">
      <w:pPr>
        <w:jc w:val="both"/>
        <w:rPr>
          <w:rFonts w:ascii="Cambria" w:hAnsi="Cambria"/>
          <w:b/>
          <w:color w:val="000000" w:themeColor="text1"/>
          <w:sz w:val="20"/>
          <w:szCs w:val="20"/>
          <w:lang w:val="es-ES"/>
        </w:rPr>
      </w:pPr>
    </w:p>
    <w:p w14:paraId="1911C65D" w14:textId="77777777" w:rsidR="0027366F" w:rsidRPr="001E0BA6" w:rsidRDefault="0027366F" w:rsidP="0027366F">
      <w:pPr>
        <w:numPr>
          <w:ilvl w:val="0"/>
          <w:numId w:val="8"/>
        </w:numPr>
        <w:ind w:left="1440"/>
        <w:jc w:val="both"/>
        <w:rPr>
          <w:rFonts w:ascii="Cambria" w:hAnsi="Cambria" w:cs="Calibri Light"/>
          <w:b/>
          <w:color w:val="000000" w:themeColor="text1"/>
          <w:sz w:val="20"/>
          <w:szCs w:val="20"/>
          <w:lang w:val="es-ES"/>
        </w:rPr>
      </w:pPr>
      <w:r w:rsidRPr="001E0BA6">
        <w:rPr>
          <w:rFonts w:ascii="Cambria" w:hAnsi="Cambria" w:cs="Calibri Light"/>
          <w:b/>
          <w:color w:val="000000" w:themeColor="text1"/>
          <w:sz w:val="20"/>
          <w:szCs w:val="20"/>
          <w:lang w:val="es-ES"/>
        </w:rPr>
        <w:t xml:space="preserve">Resumen del caso </w:t>
      </w:r>
    </w:p>
    <w:p w14:paraId="59F3A8F0" w14:textId="77777777" w:rsidR="0027366F" w:rsidRPr="001E0BA6" w:rsidRDefault="0027366F" w:rsidP="0027366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E0BA6" w:rsidRPr="004937C7" w14:paraId="11D230C7" w14:textId="77777777" w:rsidTr="00AA3A3F">
        <w:trPr>
          <w:trHeight w:val="4805"/>
          <w:jc w:val="center"/>
        </w:trPr>
        <w:tc>
          <w:tcPr>
            <w:tcW w:w="9576" w:type="dxa"/>
            <w:shd w:val="clear" w:color="auto" w:fill="F2F2F2"/>
          </w:tcPr>
          <w:p w14:paraId="73A4E024" w14:textId="02224B4D" w:rsidR="0027366F" w:rsidRPr="001E0BA6" w:rsidRDefault="0027366F" w:rsidP="00AA3A3F">
            <w:pPr>
              <w:spacing w:before="120"/>
              <w:jc w:val="both"/>
              <w:rPr>
                <w:rFonts w:ascii="Cambria" w:hAnsi="Cambria"/>
                <w:b/>
                <w:color w:val="000000" w:themeColor="text1"/>
                <w:sz w:val="20"/>
                <w:szCs w:val="20"/>
              </w:rPr>
            </w:pPr>
            <w:proofErr w:type="spellStart"/>
            <w:r w:rsidRPr="001E0BA6">
              <w:rPr>
                <w:rFonts w:ascii="Cambria" w:hAnsi="Cambria"/>
                <w:b/>
                <w:color w:val="000000" w:themeColor="text1"/>
                <w:sz w:val="20"/>
                <w:szCs w:val="20"/>
              </w:rPr>
              <w:t>Víctima</w:t>
            </w:r>
            <w:proofErr w:type="spellEnd"/>
            <w:r w:rsidRPr="001E0BA6">
              <w:rPr>
                <w:rFonts w:ascii="Cambria" w:hAnsi="Cambria"/>
                <w:b/>
                <w:color w:val="000000" w:themeColor="text1"/>
                <w:sz w:val="20"/>
                <w:szCs w:val="20"/>
              </w:rPr>
              <w:t xml:space="preserve"> (s): </w:t>
            </w:r>
            <w:proofErr w:type="spellStart"/>
            <w:r w:rsidR="00C3188E" w:rsidRPr="001E0BA6">
              <w:rPr>
                <w:rFonts w:ascii="Cambria" w:hAnsi="Cambria"/>
                <w:color w:val="000000" w:themeColor="text1"/>
                <w:sz w:val="20"/>
                <w:szCs w:val="20"/>
              </w:rPr>
              <w:t>Lezmond</w:t>
            </w:r>
            <w:proofErr w:type="spellEnd"/>
            <w:r w:rsidR="00C3188E" w:rsidRPr="001E0BA6">
              <w:rPr>
                <w:rFonts w:ascii="Cambria" w:hAnsi="Cambria"/>
                <w:color w:val="000000" w:themeColor="text1"/>
                <w:sz w:val="20"/>
                <w:szCs w:val="20"/>
              </w:rPr>
              <w:t xml:space="preserve"> C. Mitchell</w:t>
            </w:r>
          </w:p>
          <w:p w14:paraId="1737C6EF" w14:textId="516722C6" w:rsidR="0027366F" w:rsidRPr="001E0BA6" w:rsidRDefault="0027366F" w:rsidP="00AA3A3F">
            <w:pPr>
              <w:jc w:val="both"/>
              <w:rPr>
                <w:rFonts w:ascii="Cambria" w:hAnsi="Cambria"/>
                <w:color w:val="000000" w:themeColor="text1"/>
                <w:sz w:val="20"/>
                <w:szCs w:val="20"/>
                <w:lang w:val="es-ES"/>
              </w:rPr>
            </w:pPr>
            <w:r w:rsidRPr="001E0BA6">
              <w:rPr>
                <w:rFonts w:ascii="Cambria" w:hAnsi="Cambria"/>
                <w:b/>
                <w:color w:val="000000" w:themeColor="text1"/>
                <w:sz w:val="20"/>
                <w:szCs w:val="20"/>
                <w:lang w:val="es-ES"/>
              </w:rPr>
              <w:t>Peticionario (s):</w:t>
            </w:r>
            <w:r w:rsidRPr="001E0BA6">
              <w:rPr>
                <w:rFonts w:ascii="Cambria" w:hAnsi="Cambria"/>
                <w:color w:val="000000" w:themeColor="text1"/>
                <w:sz w:val="20"/>
                <w:szCs w:val="20"/>
                <w:lang w:val="es-ES"/>
              </w:rPr>
              <w:t xml:space="preserve"> Gilma Camargo</w:t>
            </w:r>
          </w:p>
          <w:p w14:paraId="7CADDAF8" w14:textId="185A3B3B" w:rsidR="00C3188E" w:rsidRPr="001E0BA6" w:rsidRDefault="00C3188E" w:rsidP="00C3188E">
            <w:pPr>
              <w:rPr>
                <w:rFonts w:ascii="Cambria" w:hAnsi="Cambria"/>
                <w:color w:val="000000" w:themeColor="text1"/>
                <w:sz w:val="20"/>
                <w:szCs w:val="20"/>
              </w:rPr>
            </w:pPr>
            <w:r w:rsidRPr="001E0BA6">
              <w:rPr>
                <w:rFonts w:ascii="Cambria" w:hAnsi="Cambria"/>
                <w:color w:val="000000" w:themeColor="text1"/>
                <w:sz w:val="20"/>
                <w:szCs w:val="20"/>
              </w:rPr>
              <w:t xml:space="preserve">Gia Kim, Jonathan C. Aminoff, Hillary </w:t>
            </w:r>
            <w:proofErr w:type="spellStart"/>
            <w:r w:rsidRPr="001E0BA6">
              <w:rPr>
                <w:rFonts w:ascii="Cambria" w:hAnsi="Cambria"/>
                <w:color w:val="000000" w:themeColor="text1"/>
                <w:sz w:val="20"/>
                <w:szCs w:val="20"/>
              </w:rPr>
              <w:t>Potashner</w:t>
            </w:r>
            <w:proofErr w:type="spellEnd"/>
            <w:r w:rsidRPr="001E0BA6">
              <w:rPr>
                <w:rFonts w:ascii="Cambria" w:hAnsi="Cambria"/>
                <w:color w:val="000000" w:themeColor="text1"/>
                <w:sz w:val="20"/>
                <w:szCs w:val="20"/>
              </w:rPr>
              <w:t xml:space="preserve">, International Human Rights Clinic (Loyola Law School), International Human Rights Clinic (Loyola Law School) </w:t>
            </w:r>
          </w:p>
          <w:p w14:paraId="51D76A0F" w14:textId="77777777" w:rsidR="0027366F" w:rsidRPr="001E0BA6" w:rsidRDefault="0027366F" w:rsidP="00AA3A3F">
            <w:pPr>
              <w:jc w:val="both"/>
              <w:rPr>
                <w:rFonts w:ascii="Cambria" w:hAnsi="Cambria"/>
                <w:color w:val="000000" w:themeColor="text1"/>
                <w:sz w:val="20"/>
                <w:szCs w:val="20"/>
                <w:lang w:val="es-ES"/>
              </w:rPr>
            </w:pPr>
            <w:r w:rsidRPr="001E0BA6">
              <w:rPr>
                <w:rFonts w:ascii="Cambria" w:hAnsi="Cambria"/>
                <w:b/>
                <w:color w:val="000000" w:themeColor="text1"/>
                <w:sz w:val="20"/>
                <w:szCs w:val="20"/>
                <w:lang w:val="es-ES"/>
              </w:rPr>
              <w:t xml:space="preserve">Estado: </w:t>
            </w:r>
            <w:r w:rsidRPr="001E0BA6">
              <w:rPr>
                <w:rFonts w:ascii="Cambria" w:hAnsi="Cambria"/>
                <w:color w:val="000000" w:themeColor="text1"/>
                <w:sz w:val="20"/>
                <w:szCs w:val="20"/>
                <w:lang w:val="es-ES"/>
              </w:rPr>
              <w:t>Estados Unidos</w:t>
            </w:r>
          </w:p>
          <w:p w14:paraId="500C93DF" w14:textId="6E887B6A" w:rsidR="0027366F" w:rsidRPr="001E0BA6" w:rsidRDefault="0027366F" w:rsidP="00AA3A3F">
            <w:pPr>
              <w:jc w:val="both"/>
              <w:rPr>
                <w:rFonts w:ascii="Cambria" w:hAnsi="Cambria"/>
                <w:color w:val="000000" w:themeColor="text1"/>
                <w:sz w:val="20"/>
                <w:szCs w:val="20"/>
                <w:lang w:val="es-ES"/>
              </w:rPr>
            </w:pPr>
            <w:r w:rsidRPr="001E0BA6">
              <w:rPr>
                <w:rFonts w:ascii="Cambria" w:hAnsi="Cambria"/>
                <w:b/>
                <w:color w:val="000000" w:themeColor="text1"/>
                <w:sz w:val="20"/>
                <w:szCs w:val="20"/>
                <w:lang w:val="es-ES"/>
              </w:rPr>
              <w:t xml:space="preserve">Informe de Fondo Nº: </w:t>
            </w:r>
            <w:r w:rsidR="00C3188E" w:rsidRPr="001E0BA6">
              <w:rPr>
                <w:rFonts w:ascii="Cambria" w:hAnsi="Cambria"/>
                <w:b/>
                <w:color w:val="000000" w:themeColor="text1"/>
                <w:sz w:val="20"/>
                <w:szCs w:val="20"/>
                <w:lang w:val="es-ES"/>
              </w:rPr>
              <w:t xml:space="preserve"> </w:t>
            </w:r>
            <w:r w:rsidR="008D0B61">
              <w:fldChar w:fldCharType="begin"/>
            </w:r>
            <w:r w:rsidR="008D0B61" w:rsidRPr="004937C7">
              <w:rPr>
                <w:lang w:val="es-US"/>
              </w:rPr>
              <w:instrText xml:space="preserve"> HYPERLINK "http://www.oas.org/es/cidh/decisiones/</w:instrText>
            </w:r>
            <w:r w:rsidR="008D0B61" w:rsidRPr="004937C7">
              <w:rPr>
                <w:lang w:val="es-US"/>
              </w:rPr>
              <w:instrText xml:space="preserve">2020/USADFO13570ES.pdf" </w:instrText>
            </w:r>
            <w:r w:rsidR="008D0B61">
              <w:fldChar w:fldCharType="separate"/>
            </w:r>
            <w:r w:rsidR="00C3188E" w:rsidRPr="001E0BA6">
              <w:rPr>
                <w:rStyle w:val="Hyperlink"/>
                <w:rFonts w:ascii="Cambria" w:hAnsi="Cambria"/>
                <w:color w:val="000000" w:themeColor="text1"/>
                <w:sz w:val="20"/>
                <w:szCs w:val="20"/>
                <w:lang w:val="es-ES"/>
              </w:rPr>
              <w:t>211/20</w:t>
            </w:r>
            <w:r w:rsidR="008D0B61">
              <w:rPr>
                <w:rStyle w:val="Hyperlink"/>
                <w:rFonts w:ascii="Cambria" w:hAnsi="Cambria"/>
                <w:color w:val="000000" w:themeColor="text1"/>
                <w:sz w:val="20"/>
                <w:szCs w:val="20"/>
                <w:lang w:val="es-ES"/>
              </w:rPr>
              <w:fldChar w:fldCharType="end"/>
            </w:r>
            <w:r w:rsidR="00C3188E" w:rsidRPr="001E0BA6">
              <w:rPr>
                <w:rFonts w:ascii="Cambria" w:hAnsi="Cambria"/>
                <w:color w:val="000000" w:themeColor="text1"/>
                <w:sz w:val="20"/>
                <w:szCs w:val="20"/>
                <w:lang w:val="es-ES"/>
              </w:rPr>
              <w:t xml:space="preserve"> p</w:t>
            </w:r>
            <w:r w:rsidRPr="001E0BA6">
              <w:rPr>
                <w:rFonts w:ascii="Cambria" w:hAnsi="Cambria"/>
                <w:color w:val="000000" w:themeColor="text1"/>
                <w:sz w:val="20"/>
                <w:szCs w:val="20"/>
                <w:lang w:val="es-ES"/>
              </w:rPr>
              <w:t xml:space="preserve">ublicado el </w:t>
            </w:r>
            <w:r w:rsidR="00C3188E" w:rsidRPr="001E0BA6">
              <w:rPr>
                <w:rFonts w:ascii="Cambria" w:hAnsi="Cambria"/>
                <w:color w:val="000000" w:themeColor="text1"/>
                <w:sz w:val="20"/>
                <w:szCs w:val="20"/>
                <w:lang w:val="es-ES"/>
              </w:rPr>
              <w:t>24 de agosto de 2020</w:t>
            </w:r>
          </w:p>
          <w:p w14:paraId="0D91A45C" w14:textId="4A512B8A" w:rsidR="0027366F" w:rsidRPr="001E0BA6" w:rsidRDefault="0027366F" w:rsidP="00AA3A3F">
            <w:pPr>
              <w:jc w:val="both"/>
              <w:rPr>
                <w:rFonts w:ascii="Cambria" w:hAnsi="Cambria"/>
                <w:color w:val="000000" w:themeColor="text1"/>
                <w:sz w:val="20"/>
                <w:szCs w:val="20"/>
                <w:lang w:val="es-ES"/>
              </w:rPr>
            </w:pPr>
            <w:r w:rsidRPr="001E0BA6">
              <w:rPr>
                <w:rFonts w:ascii="Cambria" w:hAnsi="Cambria"/>
                <w:b/>
                <w:color w:val="000000" w:themeColor="text1"/>
                <w:sz w:val="20"/>
                <w:szCs w:val="20"/>
                <w:lang w:val="es-ES"/>
              </w:rPr>
              <w:t xml:space="preserve">Informe de admisibilidad: </w:t>
            </w:r>
            <w:r w:rsidR="008D0B61">
              <w:fldChar w:fldCharType="begin"/>
            </w:r>
            <w:r w:rsidR="008D0B61" w:rsidRPr="004937C7">
              <w:rPr>
                <w:lang w:val="es-US"/>
              </w:rPr>
              <w:instrText xml:space="preserve"> HYPERLINK "http://www.oas.org/es/cidh/decisiones/2020/USADFO13570ES.pdf" </w:instrText>
            </w:r>
            <w:r w:rsidR="008D0B61">
              <w:fldChar w:fldCharType="separate"/>
            </w:r>
            <w:r w:rsidR="00C3188E" w:rsidRPr="001E0BA6">
              <w:rPr>
                <w:rStyle w:val="Hyperlink"/>
                <w:rFonts w:ascii="Cambria" w:hAnsi="Cambria"/>
                <w:color w:val="000000" w:themeColor="text1"/>
                <w:sz w:val="20"/>
                <w:szCs w:val="20"/>
                <w:lang w:val="es-ES"/>
              </w:rPr>
              <w:t>211/20</w:t>
            </w:r>
            <w:r w:rsidR="008D0B61">
              <w:rPr>
                <w:rStyle w:val="Hyperlink"/>
                <w:rFonts w:ascii="Cambria" w:hAnsi="Cambria"/>
                <w:color w:val="000000" w:themeColor="text1"/>
                <w:sz w:val="20"/>
                <w:szCs w:val="20"/>
                <w:lang w:val="es-ES"/>
              </w:rPr>
              <w:fldChar w:fldCharType="end"/>
            </w:r>
            <w:r w:rsidR="00C3188E" w:rsidRPr="001E0BA6">
              <w:rPr>
                <w:rFonts w:ascii="Cambria" w:hAnsi="Cambria"/>
                <w:color w:val="000000" w:themeColor="text1"/>
                <w:sz w:val="20"/>
                <w:szCs w:val="20"/>
                <w:lang w:val="es-ES"/>
              </w:rPr>
              <w:t xml:space="preserve"> </w:t>
            </w:r>
            <w:r w:rsidRPr="001E0BA6">
              <w:rPr>
                <w:rFonts w:ascii="Cambria" w:hAnsi="Cambria"/>
                <w:color w:val="000000" w:themeColor="text1"/>
                <w:sz w:val="20"/>
                <w:szCs w:val="20"/>
                <w:lang w:val="es-ES"/>
              </w:rPr>
              <w:t xml:space="preserve">aprobado el </w:t>
            </w:r>
            <w:r w:rsidR="00C3188E" w:rsidRPr="001E0BA6">
              <w:rPr>
                <w:rFonts w:ascii="Cambria" w:hAnsi="Cambria"/>
                <w:color w:val="000000" w:themeColor="text1"/>
                <w:sz w:val="20"/>
                <w:szCs w:val="20"/>
                <w:lang w:val="es-ES"/>
              </w:rPr>
              <w:t>24 de agosto de 2020</w:t>
            </w:r>
          </w:p>
          <w:p w14:paraId="275B28CD" w14:textId="076A725B" w:rsidR="0027366F" w:rsidRPr="001E0BA6" w:rsidRDefault="0027366F" w:rsidP="00AA3A3F">
            <w:pPr>
              <w:spacing w:after="120"/>
              <w:jc w:val="both"/>
              <w:rPr>
                <w:rFonts w:ascii="Cambria" w:hAnsi="Cambria"/>
                <w:color w:val="000000" w:themeColor="text1"/>
                <w:sz w:val="20"/>
                <w:szCs w:val="20"/>
                <w:lang w:val="es-ES"/>
              </w:rPr>
            </w:pPr>
            <w:r w:rsidRPr="001E0BA6">
              <w:rPr>
                <w:rFonts w:ascii="Cambria" w:hAnsi="Cambria"/>
                <w:b/>
                <w:color w:val="000000" w:themeColor="text1"/>
                <w:sz w:val="20"/>
                <w:szCs w:val="20"/>
                <w:lang w:val="es-ES"/>
              </w:rPr>
              <w:t xml:space="preserve">Temas: </w:t>
            </w:r>
            <w:r w:rsidR="00C3188E" w:rsidRPr="001E0BA6">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Pueblos Indígenas</w:t>
            </w:r>
          </w:p>
          <w:p w14:paraId="6D29F878" w14:textId="49268032" w:rsidR="00C3188E" w:rsidRPr="001E0BA6" w:rsidRDefault="0027366F" w:rsidP="00AA3A3F">
            <w:pPr>
              <w:spacing w:after="120"/>
              <w:jc w:val="both"/>
              <w:rPr>
                <w:rFonts w:ascii="Tahoma" w:hAnsi="Tahoma" w:cs="Tahoma"/>
                <w:color w:val="000000" w:themeColor="text1"/>
                <w:sz w:val="20"/>
                <w:szCs w:val="20"/>
                <w:lang w:val="es-ES"/>
              </w:rPr>
            </w:pPr>
            <w:r w:rsidRPr="001E0BA6">
              <w:rPr>
                <w:rFonts w:ascii="Cambria" w:hAnsi="Cambria"/>
                <w:b/>
                <w:color w:val="000000" w:themeColor="text1"/>
                <w:sz w:val="20"/>
                <w:szCs w:val="20"/>
                <w:lang w:val="es-ES"/>
              </w:rPr>
              <w:t>Hechos:</w:t>
            </w:r>
            <w:r w:rsidRPr="001E0BA6">
              <w:rPr>
                <w:rFonts w:ascii="Cambria" w:hAnsi="Cambria"/>
                <w:color w:val="000000" w:themeColor="text1"/>
                <w:sz w:val="20"/>
                <w:szCs w:val="20"/>
                <w:lang w:val="es-ES"/>
              </w:rPr>
              <w:t xml:space="preserve"> Este caso refiere a las violaciones a</w:t>
            </w:r>
            <w:r w:rsidR="00546A7A" w:rsidRPr="001E0BA6">
              <w:rPr>
                <w:rFonts w:ascii="Cambria" w:hAnsi="Cambria"/>
                <w:color w:val="000000" w:themeColor="text1"/>
                <w:sz w:val="20"/>
                <w:szCs w:val="20"/>
                <w:lang w:val="es-ES"/>
              </w:rPr>
              <w:t xml:space="preserve"> </w:t>
            </w:r>
            <w:r w:rsidRPr="001E0BA6">
              <w:rPr>
                <w:rFonts w:ascii="Cambria" w:hAnsi="Cambria"/>
                <w:color w:val="000000" w:themeColor="text1"/>
                <w:sz w:val="20"/>
                <w:szCs w:val="20"/>
                <w:lang w:val="es-ES"/>
              </w:rPr>
              <w:t>los derechos humanos</w:t>
            </w:r>
            <w:r w:rsidR="00C3188E" w:rsidRPr="001E0BA6">
              <w:rPr>
                <w:rFonts w:ascii="Cambria" w:hAnsi="Cambria"/>
                <w:color w:val="000000" w:themeColor="text1"/>
                <w:sz w:val="20"/>
                <w:szCs w:val="20"/>
                <w:lang w:val="es-ES"/>
              </w:rPr>
              <w:t xml:space="preserve"> </w:t>
            </w:r>
            <w:r w:rsidR="00C3188E" w:rsidRPr="001E0BA6">
              <w:rPr>
                <w:rFonts w:ascii="Cambria" w:hAnsi="Cambria" w:cstheme="minorBidi"/>
                <w:color w:val="000000" w:themeColor="text1"/>
                <w:sz w:val="20"/>
                <w:szCs w:val="20"/>
                <w:lang w:val="es-ES"/>
              </w:rPr>
              <w:t xml:space="preserve">de </w:t>
            </w:r>
            <w:proofErr w:type="spellStart"/>
            <w:r w:rsidR="00C3188E" w:rsidRPr="001E0BA6">
              <w:rPr>
                <w:rFonts w:ascii="Cambria" w:hAnsi="Cambria" w:cstheme="minorBidi"/>
                <w:color w:val="000000" w:themeColor="text1"/>
                <w:sz w:val="20"/>
                <w:szCs w:val="20"/>
                <w:lang w:val="es-ES"/>
              </w:rPr>
              <w:t>Lezmond</w:t>
            </w:r>
            <w:proofErr w:type="spellEnd"/>
            <w:r w:rsidR="00C3188E" w:rsidRPr="001E0BA6">
              <w:rPr>
                <w:rFonts w:ascii="Cambria" w:hAnsi="Cambria" w:cstheme="minorBidi"/>
                <w:color w:val="000000" w:themeColor="text1"/>
                <w:sz w:val="20"/>
                <w:szCs w:val="20"/>
                <w:lang w:val="es-ES"/>
              </w:rPr>
              <w:t xml:space="preserve"> Mitchell a la vida, a un juicio justo, a la protección contra el arresto arbitrario y al debido proceso legal, en relación con el proceso penal que culminó con la imposición de la pena de muerte. Los delitos por los que fue condenado el señor Mitchell fueron cometidos en territorio indígena e involucraron a miembros de la comunidad. La Nación Navajo y los familiares de las víctimas expresaron su oposición a la aplicación de la pena de muerte por ser contraria a sus creencias y tradiciones culturales. A pesar de ello, y de la recomendación de la oficina fiscal local de no solicitar la pena capital, el Fiscal General instruyó al Departamento de Justicia solicitar la aplicación de la pena de muerte.</w:t>
            </w:r>
            <w:r w:rsidR="00C3188E" w:rsidRPr="001E0BA6">
              <w:rPr>
                <w:rStyle w:val="apple-converted-space"/>
                <w:rFonts w:ascii="Tahoma" w:hAnsi="Tahoma" w:cs="Tahoma"/>
                <w:color w:val="000000" w:themeColor="text1"/>
                <w:sz w:val="20"/>
                <w:szCs w:val="20"/>
                <w:lang w:val="es-ES"/>
              </w:rPr>
              <w:t> </w:t>
            </w:r>
          </w:p>
          <w:p w14:paraId="7F9EAA45" w14:textId="7DCA3FDE" w:rsidR="006513B7" w:rsidRPr="001E0BA6" w:rsidRDefault="0027366F" w:rsidP="006513B7">
            <w:pPr>
              <w:pStyle w:val="Default"/>
              <w:rPr>
                <w:color w:val="000000" w:themeColor="text1"/>
                <w:lang w:val="es-ES"/>
              </w:rPr>
            </w:pPr>
            <w:r w:rsidRPr="001E0BA6">
              <w:rPr>
                <w:b/>
                <w:color w:val="000000" w:themeColor="text1"/>
                <w:sz w:val="20"/>
                <w:szCs w:val="20"/>
                <w:lang w:val="es-ES"/>
              </w:rPr>
              <w:t xml:space="preserve">Derechos violados: </w:t>
            </w:r>
            <w:r w:rsidRPr="001E0BA6">
              <w:rPr>
                <w:color w:val="000000" w:themeColor="text1"/>
                <w:sz w:val="20"/>
                <w:szCs w:val="20"/>
                <w:lang w:val="es-ES"/>
              </w:rPr>
              <w:t xml:space="preserve">la </w:t>
            </w:r>
            <w:r w:rsidR="006513B7" w:rsidRPr="001E0BA6">
              <w:rPr>
                <w:color w:val="000000" w:themeColor="text1"/>
                <w:sz w:val="20"/>
                <w:szCs w:val="20"/>
                <w:lang w:val="es-ES"/>
              </w:rPr>
              <w:t xml:space="preserve">Comisión Interamericana concluyó que el Estado es responsable de la violación de los Artículos </w:t>
            </w:r>
            <w:r w:rsidR="006513B7" w:rsidRPr="001E0BA6">
              <w:rPr>
                <w:rFonts w:ascii="Times New Roman" w:hAnsi="Times New Roman" w:cs="Times New Roman"/>
                <w:color w:val="000000" w:themeColor="text1"/>
                <w:sz w:val="20"/>
                <w:szCs w:val="20"/>
                <w:lang w:val="es-ES"/>
              </w:rPr>
              <w:t xml:space="preserve">I, </w:t>
            </w:r>
            <w:r w:rsidR="006513B7" w:rsidRPr="001E0BA6">
              <w:rPr>
                <w:color w:val="000000" w:themeColor="text1"/>
                <w:sz w:val="20"/>
                <w:szCs w:val="20"/>
                <w:lang w:val="es-ES"/>
              </w:rPr>
              <w:t xml:space="preserve">XVIII, XXV y XXVI </w:t>
            </w:r>
            <w:r w:rsidR="006513B7" w:rsidRPr="001E0BA6">
              <w:rPr>
                <w:rFonts w:ascii="Times New Roman" w:hAnsi="Times New Roman" w:cs="Times New Roman"/>
                <w:color w:val="000000" w:themeColor="text1"/>
                <w:sz w:val="20"/>
                <w:szCs w:val="20"/>
                <w:lang w:val="es-ES"/>
              </w:rPr>
              <w:t>de la Declaración Americana</w:t>
            </w:r>
            <w:r w:rsidR="006513B7" w:rsidRPr="001E0BA6">
              <w:rPr>
                <w:color w:val="000000" w:themeColor="text1"/>
                <w:sz w:val="20"/>
                <w:szCs w:val="20"/>
                <w:lang w:val="es-ES"/>
              </w:rPr>
              <w:t xml:space="preserve">. </w:t>
            </w:r>
          </w:p>
          <w:p w14:paraId="7B269294" w14:textId="04F709C3" w:rsidR="0027366F" w:rsidRPr="001E0BA6" w:rsidRDefault="0027366F" w:rsidP="00AA3A3F">
            <w:pPr>
              <w:spacing w:after="120"/>
              <w:jc w:val="both"/>
              <w:rPr>
                <w:rFonts w:ascii="Cambria" w:hAnsi="Cambria"/>
                <w:b/>
                <w:color w:val="000000" w:themeColor="text1"/>
                <w:sz w:val="20"/>
                <w:szCs w:val="20"/>
                <w:lang w:val="es-ES"/>
              </w:rPr>
            </w:pPr>
          </w:p>
        </w:tc>
      </w:tr>
    </w:tbl>
    <w:p w14:paraId="47A60341" w14:textId="77777777" w:rsidR="0027366F" w:rsidRPr="001E0BA6" w:rsidRDefault="0027366F" w:rsidP="0027366F">
      <w:pPr>
        <w:ind w:left="180"/>
        <w:jc w:val="both"/>
        <w:rPr>
          <w:rFonts w:ascii="Cambria" w:hAnsi="Cambria"/>
          <w:color w:val="000000" w:themeColor="text1"/>
          <w:sz w:val="20"/>
          <w:szCs w:val="20"/>
          <w:lang w:val="es-ES"/>
        </w:rPr>
      </w:pPr>
    </w:p>
    <w:p w14:paraId="46D7C0F6" w14:textId="77777777" w:rsidR="0027366F" w:rsidRPr="001E0BA6" w:rsidRDefault="0027366F" w:rsidP="0027366F">
      <w:pPr>
        <w:numPr>
          <w:ilvl w:val="0"/>
          <w:numId w:val="8"/>
        </w:numPr>
        <w:ind w:left="1440"/>
        <w:jc w:val="both"/>
        <w:rPr>
          <w:rFonts w:ascii="Cambria" w:hAnsi="Cambria" w:cs="Calibri Light"/>
          <w:b/>
          <w:color w:val="000000" w:themeColor="text1"/>
          <w:sz w:val="20"/>
          <w:szCs w:val="20"/>
          <w:lang w:val="es-ES"/>
        </w:rPr>
      </w:pPr>
      <w:r w:rsidRPr="001E0BA6">
        <w:rPr>
          <w:rFonts w:ascii="Cambria" w:hAnsi="Cambria" w:cs="Calibri Light"/>
          <w:b/>
          <w:color w:val="000000" w:themeColor="text1"/>
          <w:sz w:val="20"/>
          <w:szCs w:val="20"/>
          <w:lang w:val="es-ES"/>
        </w:rPr>
        <w:t>Recomendaciones</w:t>
      </w:r>
    </w:p>
    <w:p w14:paraId="5E1269DE" w14:textId="77777777" w:rsidR="0027366F" w:rsidRPr="001E0BA6" w:rsidRDefault="0027366F" w:rsidP="0027366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137"/>
      </w:tblGrid>
      <w:tr w:rsidR="001E0BA6" w:rsidRPr="001E0BA6" w14:paraId="0B4A338C" w14:textId="77777777" w:rsidTr="00AA3A3F">
        <w:tc>
          <w:tcPr>
            <w:tcW w:w="7380" w:type="dxa"/>
            <w:shd w:val="clear" w:color="auto" w:fill="auto"/>
            <w:vAlign w:val="center"/>
          </w:tcPr>
          <w:p w14:paraId="037454F3" w14:textId="77777777" w:rsidR="0027366F" w:rsidRPr="001E0BA6" w:rsidRDefault="0027366F" w:rsidP="00AA3A3F">
            <w:pPr>
              <w:jc w:val="center"/>
              <w:rPr>
                <w:rFonts w:ascii="Cambria" w:hAnsi="Cambria" w:cs="Calibri Light"/>
                <w:b/>
                <w:color w:val="000000" w:themeColor="text1"/>
                <w:sz w:val="18"/>
                <w:szCs w:val="18"/>
                <w:lang w:val="es-ES"/>
              </w:rPr>
            </w:pPr>
            <w:r w:rsidRPr="001E0BA6">
              <w:rPr>
                <w:rFonts w:ascii="Cambria" w:hAnsi="Cambria" w:cs="Calibri Light"/>
                <w:b/>
                <w:color w:val="000000" w:themeColor="text1"/>
                <w:sz w:val="18"/>
                <w:szCs w:val="18"/>
                <w:lang w:val="es-ES"/>
              </w:rPr>
              <w:t>Recomendaciones</w:t>
            </w:r>
          </w:p>
        </w:tc>
        <w:tc>
          <w:tcPr>
            <w:tcW w:w="2160" w:type="dxa"/>
            <w:shd w:val="clear" w:color="auto" w:fill="auto"/>
          </w:tcPr>
          <w:p w14:paraId="20EBA5F4" w14:textId="086CCDF7" w:rsidR="0027366F" w:rsidRPr="001E0BA6" w:rsidRDefault="0027366F" w:rsidP="00AA3A3F">
            <w:pPr>
              <w:jc w:val="center"/>
              <w:rPr>
                <w:rFonts w:ascii="Cambria" w:hAnsi="Cambria" w:cs="Calibri Light"/>
                <w:b/>
                <w:color w:val="000000" w:themeColor="text1"/>
                <w:sz w:val="18"/>
                <w:szCs w:val="18"/>
                <w:lang w:val="es-ES"/>
              </w:rPr>
            </w:pPr>
            <w:r w:rsidRPr="001E0BA6">
              <w:rPr>
                <w:rFonts w:ascii="Cambria" w:hAnsi="Cambria" w:cs="Calibri Light"/>
                <w:b/>
                <w:color w:val="000000" w:themeColor="text1"/>
                <w:sz w:val="18"/>
                <w:szCs w:val="18"/>
                <w:lang w:val="es-ES"/>
              </w:rPr>
              <w:t xml:space="preserve">Estado de cumplimiento en </w:t>
            </w:r>
            <w:r w:rsidR="003B2AC2" w:rsidRPr="001E0BA6">
              <w:rPr>
                <w:rFonts w:ascii="Cambria" w:hAnsi="Cambria" w:cs="Calibri Light"/>
                <w:b/>
                <w:color w:val="000000" w:themeColor="text1"/>
                <w:sz w:val="18"/>
                <w:szCs w:val="18"/>
                <w:lang w:val="es-ES"/>
              </w:rPr>
              <w:t>2021</w:t>
            </w:r>
          </w:p>
        </w:tc>
      </w:tr>
      <w:tr w:rsidR="001E0BA6" w:rsidRPr="001E0BA6" w14:paraId="729720ED" w14:textId="77777777" w:rsidTr="00AA3A3F">
        <w:tc>
          <w:tcPr>
            <w:tcW w:w="7380" w:type="dxa"/>
            <w:shd w:val="clear" w:color="auto" w:fill="auto"/>
          </w:tcPr>
          <w:p w14:paraId="7BF351ED" w14:textId="61B81364" w:rsidR="006513B7" w:rsidRPr="001E0BA6" w:rsidRDefault="006513B7" w:rsidP="006513B7">
            <w:pPr>
              <w:jc w:val="both"/>
              <w:rPr>
                <w:rFonts w:ascii="Cambria" w:hAnsi="Cambria"/>
                <w:color w:val="000000" w:themeColor="text1"/>
                <w:sz w:val="18"/>
                <w:szCs w:val="18"/>
                <w:lang w:val="es-ES"/>
              </w:rPr>
            </w:pPr>
            <w:r w:rsidRPr="001E0BA6">
              <w:rPr>
                <w:rFonts w:ascii="Cambria" w:hAnsi="Cambria"/>
                <w:color w:val="000000" w:themeColor="text1"/>
                <w:sz w:val="18"/>
                <w:szCs w:val="18"/>
                <w:lang w:val="es-ES"/>
              </w:rPr>
              <w:t xml:space="preserve">1.Otorgue a </w:t>
            </w:r>
            <w:proofErr w:type="spellStart"/>
            <w:r w:rsidRPr="001E0BA6">
              <w:rPr>
                <w:rFonts w:ascii="Cambria" w:hAnsi="Cambria"/>
                <w:color w:val="000000" w:themeColor="text1"/>
                <w:sz w:val="18"/>
                <w:szCs w:val="18"/>
                <w:lang w:val="es-ES"/>
              </w:rPr>
              <w:t>Lezmond</w:t>
            </w:r>
            <w:proofErr w:type="spellEnd"/>
            <w:r w:rsidRPr="001E0BA6">
              <w:rPr>
                <w:rFonts w:ascii="Cambria" w:hAnsi="Cambria"/>
                <w:color w:val="000000" w:themeColor="text1"/>
                <w:sz w:val="18"/>
                <w:szCs w:val="18"/>
                <w:lang w:val="es-ES"/>
              </w:rPr>
              <w:t xml:space="preserve"> M. Mitchell una reparación efectiva, incluida la revisión de su juicio y sentencia de acuerdo con las garantías de un juicio justo y del debido proceso establecidas en los Artículos XVIII, XXV y XXVI de la Declaración Americana, y el pago de una indemnización pecuniaria. Teniendo en cuenta la decisión soberana de la Nación Navajo contra el uso de la pena de muerte, la Comisión recomienda que, si el nuevo juicio da lugar a una condena, se le conmute la sentencia. </w:t>
            </w:r>
          </w:p>
          <w:p w14:paraId="38A83449" w14:textId="4E037DB4" w:rsidR="0027366F" w:rsidRPr="001E0BA6" w:rsidRDefault="0027366F" w:rsidP="00AA3A3F">
            <w:pPr>
              <w:jc w:val="both"/>
              <w:rPr>
                <w:rFonts w:ascii="Cambria" w:hAnsi="Cambria"/>
                <w:color w:val="000000" w:themeColor="text1"/>
                <w:sz w:val="18"/>
                <w:szCs w:val="18"/>
                <w:lang w:val="es-ES"/>
              </w:rPr>
            </w:pPr>
          </w:p>
        </w:tc>
        <w:tc>
          <w:tcPr>
            <w:tcW w:w="2160" w:type="dxa"/>
            <w:shd w:val="clear" w:color="auto" w:fill="auto"/>
            <w:vAlign w:val="center"/>
          </w:tcPr>
          <w:p w14:paraId="27EAB7BA" w14:textId="5799BBB4" w:rsidR="0027366F" w:rsidRPr="001E0BA6" w:rsidRDefault="00173896" w:rsidP="00AA3A3F">
            <w:pPr>
              <w:jc w:val="center"/>
              <w:rPr>
                <w:rFonts w:ascii="Cambria" w:hAnsi="Cambria"/>
                <w:color w:val="000000" w:themeColor="text1"/>
                <w:sz w:val="18"/>
                <w:szCs w:val="18"/>
                <w:lang w:val="es-ES"/>
              </w:rPr>
            </w:pPr>
            <w:r w:rsidRPr="001E0BA6">
              <w:rPr>
                <w:rFonts w:ascii="Cambria" w:hAnsi="Cambria"/>
                <w:color w:val="000000" w:themeColor="text1"/>
                <w:sz w:val="18"/>
                <w:szCs w:val="18"/>
                <w:lang w:val="es-ES"/>
              </w:rPr>
              <w:t>Incumplimiento</w:t>
            </w:r>
            <w:r w:rsidR="0027366F" w:rsidRPr="001E0BA6">
              <w:rPr>
                <w:rFonts w:ascii="Cambria" w:hAnsi="Cambria"/>
                <w:color w:val="000000" w:themeColor="text1"/>
                <w:sz w:val="18"/>
                <w:szCs w:val="18"/>
                <w:lang w:val="es-ES"/>
              </w:rPr>
              <w:t xml:space="preserve"> </w:t>
            </w:r>
          </w:p>
        </w:tc>
      </w:tr>
      <w:tr w:rsidR="001E0BA6" w:rsidRPr="001E0BA6" w14:paraId="792294AB" w14:textId="77777777" w:rsidTr="00AA3A3F">
        <w:tc>
          <w:tcPr>
            <w:tcW w:w="7380" w:type="dxa"/>
            <w:shd w:val="clear" w:color="auto" w:fill="auto"/>
          </w:tcPr>
          <w:p w14:paraId="1226C710" w14:textId="76607F18" w:rsidR="006513B7" w:rsidRPr="001E0BA6" w:rsidRDefault="006513B7" w:rsidP="006513B7">
            <w:pPr>
              <w:pStyle w:val="Default"/>
              <w:jc w:val="both"/>
              <w:rPr>
                <w:rFonts w:cstheme="minorBidi"/>
                <w:color w:val="000000" w:themeColor="text1"/>
                <w:sz w:val="18"/>
                <w:szCs w:val="18"/>
                <w:lang w:val="es-ES"/>
              </w:rPr>
            </w:pPr>
            <w:r w:rsidRPr="001E0BA6">
              <w:rPr>
                <w:color w:val="000000" w:themeColor="text1"/>
                <w:sz w:val="18"/>
                <w:szCs w:val="18"/>
                <w:lang w:val="es-ES"/>
              </w:rPr>
              <w:t xml:space="preserve">2. </w:t>
            </w:r>
            <w:r w:rsidRPr="001E0BA6">
              <w:rPr>
                <w:rFonts w:cstheme="minorBidi"/>
                <w:color w:val="000000" w:themeColor="text1"/>
                <w:sz w:val="18"/>
                <w:szCs w:val="18"/>
                <w:lang w:val="es-ES"/>
              </w:rPr>
              <w:t xml:space="preserve">Revise sus leyes, procedimientos y prácticas a nivel federal para asegurar que las personas acusadas de delitos punibles con pena capital sean juzgadas y, si condenadas, sentenciadas de acuerdo con los derechos consagrados en la Declaración Americana,103 incluidos los Artículos I, XVIII, XXV y XXVI de la misma y, en particular, que: </w:t>
            </w:r>
          </w:p>
          <w:p w14:paraId="74AF71D9" w14:textId="65C1C376" w:rsidR="006513B7" w:rsidRPr="001E0BA6" w:rsidRDefault="006513B7" w:rsidP="006513B7">
            <w:pPr>
              <w:pStyle w:val="Default"/>
              <w:spacing w:after="5"/>
              <w:jc w:val="both"/>
              <w:rPr>
                <w:rFonts w:cstheme="minorBidi"/>
                <w:color w:val="000000" w:themeColor="text1"/>
                <w:sz w:val="18"/>
                <w:szCs w:val="18"/>
                <w:lang w:val="es-ES"/>
              </w:rPr>
            </w:pPr>
            <w:r w:rsidRPr="001E0BA6">
              <w:rPr>
                <w:rFonts w:cstheme="minorBidi"/>
                <w:color w:val="000000" w:themeColor="text1"/>
                <w:sz w:val="18"/>
                <w:szCs w:val="18"/>
                <w:lang w:val="es-ES"/>
              </w:rPr>
              <w:t xml:space="preserve">a. se respete la decisión soberana de la Nación Navajo y de otros pueblos indígenas contra el uso de la pena de muerte en sus territorios; </w:t>
            </w:r>
          </w:p>
          <w:p w14:paraId="09AF8526" w14:textId="77777777" w:rsidR="006513B7" w:rsidRPr="001E0BA6" w:rsidRDefault="006513B7" w:rsidP="006513B7">
            <w:pPr>
              <w:pStyle w:val="Default"/>
              <w:jc w:val="both"/>
              <w:rPr>
                <w:rFonts w:cstheme="minorBidi"/>
                <w:color w:val="000000" w:themeColor="text1"/>
                <w:sz w:val="18"/>
                <w:szCs w:val="18"/>
                <w:lang w:val="es-ES"/>
              </w:rPr>
            </w:pPr>
            <w:r w:rsidRPr="001E0BA6">
              <w:rPr>
                <w:rFonts w:cstheme="minorBidi"/>
                <w:color w:val="000000" w:themeColor="text1"/>
                <w:sz w:val="18"/>
                <w:szCs w:val="18"/>
                <w:lang w:val="es-ES"/>
              </w:rPr>
              <w:t xml:space="preserve">b. los defensores de oficio brinden una representación letrada adecuada en los casos de pena capital, incluidas las denuncias de discriminación racial. </w:t>
            </w:r>
          </w:p>
          <w:p w14:paraId="2AD71371" w14:textId="44F07F66" w:rsidR="0027366F" w:rsidRPr="001E0BA6" w:rsidRDefault="0027366F" w:rsidP="00AA3A3F">
            <w:pPr>
              <w:jc w:val="both"/>
              <w:rPr>
                <w:rFonts w:ascii="Cambria" w:hAnsi="Cambria"/>
                <w:color w:val="000000" w:themeColor="text1"/>
                <w:sz w:val="18"/>
                <w:szCs w:val="18"/>
                <w:lang w:val="es-ES"/>
              </w:rPr>
            </w:pPr>
          </w:p>
        </w:tc>
        <w:tc>
          <w:tcPr>
            <w:tcW w:w="2160" w:type="dxa"/>
            <w:shd w:val="clear" w:color="auto" w:fill="auto"/>
            <w:vAlign w:val="center"/>
          </w:tcPr>
          <w:p w14:paraId="1811ACE5" w14:textId="77777777" w:rsidR="0027366F" w:rsidRPr="001E0BA6" w:rsidRDefault="0027366F" w:rsidP="00AA3A3F">
            <w:pPr>
              <w:jc w:val="center"/>
              <w:rPr>
                <w:rFonts w:ascii="Cambria" w:hAnsi="Cambria"/>
                <w:color w:val="000000" w:themeColor="text1"/>
                <w:sz w:val="18"/>
                <w:szCs w:val="18"/>
                <w:lang w:val="es-ES"/>
              </w:rPr>
            </w:pPr>
            <w:r w:rsidRPr="001E0BA6">
              <w:rPr>
                <w:rFonts w:ascii="Cambria" w:hAnsi="Cambria"/>
                <w:color w:val="000000" w:themeColor="text1"/>
                <w:sz w:val="18"/>
                <w:szCs w:val="18"/>
                <w:lang w:val="es-ES"/>
              </w:rPr>
              <w:t>Pendiente de cumplimiento</w:t>
            </w:r>
          </w:p>
        </w:tc>
      </w:tr>
      <w:tr w:rsidR="001E0BA6" w:rsidRPr="001E0BA6" w14:paraId="29EADCF3" w14:textId="77777777" w:rsidTr="00AA3A3F">
        <w:trPr>
          <w:trHeight w:val="710"/>
        </w:trPr>
        <w:tc>
          <w:tcPr>
            <w:tcW w:w="7380" w:type="dxa"/>
            <w:shd w:val="clear" w:color="auto" w:fill="auto"/>
          </w:tcPr>
          <w:p w14:paraId="3EAE6F43" w14:textId="70DBE12F" w:rsidR="0027366F" w:rsidRPr="001E0BA6" w:rsidRDefault="006513B7" w:rsidP="006513B7">
            <w:pPr>
              <w:pStyle w:val="Default"/>
              <w:jc w:val="both"/>
              <w:rPr>
                <w:rFonts w:cstheme="minorBidi"/>
                <w:color w:val="000000" w:themeColor="text1"/>
                <w:sz w:val="18"/>
                <w:szCs w:val="18"/>
                <w:lang w:val="es-ES"/>
              </w:rPr>
            </w:pPr>
            <w:r w:rsidRPr="001E0BA6">
              <w:rPr>
                <w:rFonts w:cstheme="minorBidi"/>
                <w:color w:val="000000" w:themeColor="text1"/>
                <w:sz w:val="18"/>
                <w:szCs w:val="18"/>
                <w:lang w:val="es-ES"/>
              </w:rPr>
              <w:t xml:space="preserve">3. Revise sus leyes, procedimientos y prácticas para asegurar que las personas sentenciadas a pena de muerte tengan acceso a recursos judiciales efectivos para impugnar el posible impacto del método de ejecución en sus derechos fundamentales, de acuerdo con las normas establecidas en el presente informe sobre el fondo de la cuestión. </w:t>
            </w:r>
          </w:p>
        </w:tc>
        <w:tc>
          <w:tcPr>
            <w:tcW w:w="2160" w:type="dxa"/>
            <w:shd w:val="clear" w:color="auto" w:fill="auto"/>
            <w:vAlign w:val="center"/>
          </w:tcPr>
          <w:p w14:paraId="44EF4304" w14:textId="77777777" w:rsidR="0027366F" w:rsidRPr="001E0BA6" w:rsidRDefault="0027366F" w:rsidP="00AA3A3F">
            <w:pPr>
              <w:jc w:val="center"/>
              <w:rPr>
                <w:rFonts w:ascii="Cambria" w:hAnsi="Cambria" w:cs="Calibri Light"/>
                <w:b/>
                <w:color w:val="000000" w:themeColor="text1"/>
                <w:sz w:val="18"/>
                <w:szCs w:val="18"/>
                <w:lang w:val="es-ES"/>
              </w:rPr>
            </w:pPr>
            <w:r w:rsidRPr="001E0BA6">
              <w:rPr>
                <w:rFonts w:ascii="Cambria" w:hAnsi="Cambria"/>
                <w:color w:val="000000" w:themeColor="text1"/>
                <w:sz w:val="18"/>
                <w:szCs w:val="18"/>
                <w:lang w:val="es-ES"/>
              </w:rPr>
              <w:t>Pendiente de cumplimiento</w:t>
            </w:r>
          </w:p>
        </w:tc>
      </w:tr>
      <w:tr w:rsidR="006513B7" w:rsidRPr="001E0BA6" w14:paraId="09485C6B" w14:textId="77777777" w:rsidTr="00AA3A3F">
        <w:trPr>
          <w:trHeight w:val="710"/>
        </w:trPr>
        <w:tc>
          <w:tcPr>
            <w:tcW w:w="7380" w:type="dxa"/>
            <w:shd w:val="clear" w:color="auto" w:fill="auto"/>
          </w:tcPr>
          <w:p w14:paraId="48225243" w14:textId="2E7C47D1" w:rsidR="006513B7" w:rsidRPr="001E0BA6" w:rsidRDefault="006513B7" w:rsidP="006513B7">
            <w:pPr>
              <w:pStyle w:val="Default"/>
              <w:jc w:val="both"/>
              <w:rPr>
                <w:rFonts w:cstheme="minorBidi"/>
                <w:color w:val="000000" w:themeColor="text1"/>
                <w:sz w:val="18"/>
                <w:szCs w:val="18"/>
                <w:lang w:val="es-ES"/>
              </w:rPr>
            </w:pPr>
            <w:r w:rsidRPr="001E0BA6">
              <w:rPr>
                <w:rFonts w:cstheme="minorBidi"/>
                <w:color w:val="000000" w:themeColor="text1"/>
                <w:sz w:val="18"/>
                <w:szCs w:val="18"/>
                <w:lang w:val="es-ES"/>
              </w:rPr>
              <w:lastRenderedPageBreak/>
              <w:t xml:space="preserve">4. Teniendo en cuenta las violaciones de la Declaración Americana que la CIDH ha establecido en este caso y en otros que conllevan la pena de muerte, la Comisión Interamericana recomienda además a Estados Unidos abolir la pena de muerte federal. </w:t>
            </w:r>
          </w:p>
          <w:p w14:paraId="10DA305D" w14:textId="77777777" w:rsidR="006513B7" w:rsidRPr="001E0BA6" w:rsidRDefault="006513B7" w:rsidP="006513B7">
            <w:pPr>
              <w:pStyle w:val="Default"/>
              <w:jc w:val="both"/>
              <w:rPr>
                <w:rFonts w:cstheme="minorBidi"/>
                <w:color w:val="000000" w:themeColor="text1"/>
                <w:sz w:val="18"/>
                <w:szCs w:val="18"/>
                <w:lang w:val="es-ES"/>
              </w:rPr>
            </w:pPr>
          </w:p>
        </w:tc>
        <w:tc>
          <w:tcPr>
            <w:tcW w:w="2160" w:type="dxa"/>
            <w:shd w:val="clear" w:color="auto" w:fill="auto"/>
            <w:vAlign w:val="center"/>
          </w:tcPr>
          <w:p w14:paraId="1D7E1716" w14:textId="1C60A8FC" w:rsidR="006513B7" w:rsidRPr="001E0BA6" w:rsidRDefault="0074630B" w:rsidP="00AA3A3F">
            <w:pPr>
              <w:jc w:val="center"/>
              <w:rPr>
                <w:rFonts w:ascii="Cambria" w:hAnsi="Cambria"/>
                <w:color w:val="000000" w:themeColor="text1"/>
                <w:sz w:val="18"/>
                <w:szCs w:val="18"/>
                <w:lang w:val="es-ES"/>
              </w:rPr>
            </w:pPr>
            <w:r w:rsidRPr="001E0BA6">
              <w:rPr>
                <w:rFonts w:ascii="Cambria" w:hAnsi="Cambria"/>
                <w:color w:val="000000" w:themeColor="text1"/>
                <w:sz w:val="18"/>
                <w:szCs w:val="18"/>
                <w:lang w:val="es-ES"/>
              </w:rPr>
              <w:t>Pendiente de cumplimiento</w:t>
            </w:r>
          </w:p>
        </w:tc>
      </w:tr>
    </w:tbl>
    <w:p w14:paraId="0AD8C98F" w14:textId="77777777" w:rsidR="0027366F" w:rsidRPr="001E0BA6" w:rsidRDefault="0027366F" w:rsidP="0027366F">
      <w:pPr>
        <w:jc w:val="both"/>
        <w:rPr>
          <w:rFonts w:ascii="Cambria" w:hAnsi="Cambria" w:cs="Calibri Light"/>
          <w:b/>
          <w:color w:val="000000" w:themeColor="text1"/>
          <w:lang w:val="es-ES"/>
        </w:rPr>
      </w:pPr>
    </w:p>
    <w:p w14:paraId="39B91DCF" w14:textId="77777777" w:rsidR="0027366F" w:rsidRPr="001E0BA6"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1E0BA6">
        <w:rPr>
          <w:rFonts w:ascii="Cambria" w:hAnsi="Cambria"/>
          <w:b/>
          <w:color w:val="000000" w:themeColor="text1"/>
          <w:sz w:val="20"/>
          <w:szCs w:val="20"/>
          <w:lang w:val="es-ES"/>
        </w:rPr>
        <w:t>Actividad procesal</w:t>
      </w:r>
    </w:p>
    <w:p w14:paraId="639AAA72" w14:textId="77777777" w:rsidR="00066468" w:rsidRPr="001E0BA6" w:rsidRDefault="00066468" w:rsidP="00066468">
      <w:pPr>
        <w:jc w:val="both"/>
        <w:rPr>
          <w:rFonts w:ascii="Cambria" w:hAnsi="Cambria" w:cs="Calibri Light"/>
          <w:color w:val="000000" w:themeColor="text1"/>
          <w:sz w:val="20"/>
          <w:szCs w:val="20"/>
          <w:lang w:val="es-ES"/>
        </w:rPr>
      </w:pPr>
    </w:p>
    <w:p w14:paraId="4F13C364" w14:textId="382E4C2F" w:rsidR="003B2AC2" w:rsidRPr="001E0BA6" w:rsidRDefault="003B2AC2" w:rsidP="003B2AC2">
      <w:pPr>
        <w:pStyle w:val="ListParagraph"/>
        <w:numPr>
          <w:ilvl w:val="0"/>
          <w:numId w:val="14"/>
        </w:numPr>
        <w:jc w:val="both"/>
        <w:rPr>
          <w:rFonts w:ascii="Cambria" w:hAnsi="Cambria" w:cs="Calibri Light"/>
          <w:color w:val="000000" w:themeColor="text1"/>
          <w:sz w:val="20"/>
          <w:szCs w:val="20"/>
          <w:lang w:val="es-ES"/>
        </w:rPr>
      </w:pPr>
      <w:r w:rsidRPr="001E0BA6">
        <w:rPr>
          <w:rFonts w:ascii="Cambria" w:hAnsi="Cambria" w:cs="Calibri Light"/>
          <w:color w:val="000000" w:themeColor="text1"/>
          <w:sz w:val="20"/>
          <w:szCs w:val="20"/>
          <w:lang w:val="es-ES"/>
        </w:rPr>
        <w:t xml:space="preserve">En 2021, la CIDH solicitó al Estado información actualizada sobre el cumplimiento de recomendaciones el </w:t>
      </w:r>
      <w:r w:rsidR="006513B7" w:rsidRPr="001E0BA6">
        <w:rPr>
          <w:rFonts w:ascii="Cambria" w:hAnsi="Cambria" w:cs="Calibri Light"/>
          <w:color w:val="000000" w:themeColor="text1"/>
          <w:sz w:val="20"/>
          <w:szCs w:val="20"/>
          <w:lang w:val="es-ES"/>
        </w:rPr>
        <w:t>25</w:t>
      </w:r>
      <w:r w:rsidRPr="001E0BA6">
        <w:rPr>
          <w:rFonts w:ascii="Cambria" w:hAnsi="Cambria" w:cs="Calibri Light"/>
          <w:color w:val="000000" w:themeColor="text1"/>
          <w:sz w:val="20"/>
          <w:szCs w:val="20"/>
          <w:lang w:val="es-ES"/>
        </w:rPr>
        <w:t xml:space="preserve"> de agosto. </w:t>
      </w:r>
      <w:r w:rsidR="00485B7E" w:rsidRPr="001E0BA6">
        <w:rPr>
          <w:rFonts w:ascii="Cambria" w:hAnsi="Cambria" w:cs="Calibri Light"/>
          <w:color w:val="000000" w:themeColor="text1"/>
          <w:sz w:val="20"/>
          <w:szCs w:val="20"/>
          <w:lang w:val="es-ES"/>
        </w:rPr>
        <w:t xml:space="preserve">El Estado </w:t>
      </w:r>
      <w:r w:rsidR="00485B7E" w:rsidRPr="001E0BA6">
        <w:rPr>
          <w:rFonts w:ascii="Cambria" w:hAnsi="Cambria"/>
          <w:color w:val="000000" w:themeColor="text1"/>
          <w:sz w:val="20"/>
          <w:szCs w:val="20"/>
          <w:lang w:val="es-ES"/>
        </w:rPr>
        <w:t xml:space="preserve">presentó dicha información el 17 de noviembre de 2021.  </w:t>
      </w:r>
    </w:p>
    <w:p w14:paraId="695F1C69" w14:textId="77777777" w:rsidR="0027366F" w:rsidRPr="001E0BA6" w:rsidRDefault="0027366F" w:rsidP="0027366F">
      <w:pPr>
        <w:pStyle w:val="ListParagraph"/>
        <w:jc w:val="both"/>
        <w:rPr>
          <w:rFonts w:ascii="Cambria" w:hAnsi="Cambria" w:cs="Calibri Light"/>
          <w:color w:val="000000" w:themeColor="text1"/>
          <w:sz w:val="20"/>
          <w:szCs w:val="20"/>
          <w:lang w:val="es-ES_tradnl"/>
        </w:rPr>
      </w:pPr>
    </w:p>
    <w:p w14:paraId="1B6D8781" w14:textId="489AEC8F" w:rsidR="003B2AC2" w:rsidRPr="001E0BA6" w:rsidRDefault="003B2AC2" w:rsidP="003B2AC2">
      <w:pPr>
        <w:pStyle w:val="ListParagraph"/>
        <w:numPr>
          <w:ilvl w:val="0"/>
          <w:numId w:val="14"/>
        </w:numPr>
        <w:jc w:val="both"/>
        <w:rPr>
          <w:rFonts w:ascii="Cambria" w:hAnsi="Cambria" w:cs="Calibri Light"/>
          <w:color w:val="000000" w:themeColor="text1"/>
          <w:sz w:val="20"/>
          <w:szCs w:val="20"/>
          <w:lang w:val="es-ES"/>
        </w:rPr>
      </w:pPr>
      <w:r w:rsidRPr="001E0BA6">
        <w:rPr>
          <w:rFonts w:ascii="Cambria" w:hAnsi="Cambria" w:cs="Calibri Light"/>
          <w:color w:val="000000" w:themeColor="text1"/>
          <w:sz w:val="20"/>
          <w:szCs w:val="20"/>
          <w:lang w:val="es-ES"/>
        </w:rPr>
        <w:t xml:space="preserve">La CIDH </w:t>
      </w:r>
      <w:r w:rsidRPr="001E0BA6">
        <w:rPr>
          <w:rFonts w:ascii="Cambria" w:hAnsi="Cambria"/>
          <w:color w:val="000000" w:themeColor="text1"/>
          <w:sz w:val="20"/>
          <w:szCs w:val="20"/>
          <w:lang w:val="es-ES"/>
        </w:rPr>
        <w:t xml:space="preserve">solicitó a los peticionarios información actualizada sobre el cumplimiento de recomendaciones el </w:t>
      </w:r>
      <w:r w:rsidR="006513B7" w:rsidRPr="001E0BA6">
        <w:rPr>
          <w:rFonts w:ascii="Cambria" w:hAnsi="Cambria"/>
          <w:color w:val="000000" w:themeColor="text1"/>
          <w:sz w:val="20"/>
          <w:szCs w:val="20"/>
          <w:lang w:val="es-ES"/>
        </w:rPr>
        <w:t xml:space="preserve">25 </w:t>
      </w:r>
      <w:r w:rsidRPr="001E0BA6">
        <w:rPr>
          <w:rFonts w:ascii="Cambria" w:hAnsi="Cambria"/>
          <w:color w:val="000000" w:themeColor="text1"/>
          <w:sz w:val="20"/>
          <w:szCs w:val="20"/>
          <w:lang w:val="es-ES"/>
        </w:rPr>
        <w:t xml:space="preserve">de agosto de 2021. Los peticionarios presentaron dicha información el </w:t>
      </w:r>
      <w:r w:rsidR="00EF252F" w:rsidRPr="001E0BA6">
        <w:rPr>
          <w:rFonts w:ascii="Cambria" w:hAnsi="Cambria"/>
          <w:color w:val="000000" w:themeColor="text1"/>
          <w:sz w:val="20"/>
          <w:szCs w:val="20"/>
          <w:lang w:val="es-ES"/>
        </w:rPr>
        <w:t>1</w:t>
      </w:r>
      <w:r w:rsidRPr="001E0BA6">
        <w:rPr>
          <w:rFonts w:ascii="Cambria" w:hAnsi="Cambria"/>
          <w:color w:val="000000" w:themeColor="text1"/>
          <w:sz w:val="20"/>
          <w:szCs w:val="20"/>
          <w:lang w:val="es-ES"/>
        </w:rPr>
        <w:t xml:space="preserve">5 de octubre de 2021.  </w:t>
      </w:r>
    </w:p>
    <w:p w14:paraId="0B2285AD" w14:textId="15FB4558" w:rsidR="0027366F" w:rsidRPr="001E0BA6" w:rsidRDefault="0027366F" w:rsidP="00EE70D1">
      <w:pPr>
        <w:pStyle w:val="ListParagraph"/>
        <w:jc w:val="both"/>
        <w:rPr>
          <w:rFonts w:ascii="Cambria" w:hAnsi="Cambria" w:cs="Calibri Light"/>
          <w:color w:val="000000" w:themeColor="text1"/>
          <w:sz w:val="20"/>
          <w:szCs w:val="20"/>
          <w:lang w:val="es-ES_tradnl"/>
        </w:rPr>
      </w:pPr>
    </w:p>
    <w:p w14:paraId="466F0721" w14:textId="77777777" w:rsidR="0027366F" w:rsidRPr="001E0BA6"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1E0BA6">
        <w:rPr>
          <w:rFonts w:ascii="Cambria" w:hAnsi="Cambria" w:cs="Calibri Light"/>
          <w:b/>
          <w:color w:val="000000" w:themeColor="text1"/>
          <w:sz w:val="20"/>
          <w:szCs w:val="20"/>
          <w:lang w:val="es-ES"/>
        </w:rPr>
        <w:t xml:space="preserve">Análisis relativo a la información proporcionada </w:t>
      </w:r>
    </w:p>
    <w:p w14:paraId="2C7154B2" w14:textId="77777777" w:rsidR="0027366F" w:rsidRPr="001E0BA6" w:rsidRDefault="0027366F" w:rsidP="0027366F">
      <w:pPr>
        <w:jc w:val="both"/>
        <w:rPr>
          <w:rFonts w:ascii="Cambria" w:hAnsi="Cambria" w:cs="Calibri Light"/>
          <w:color w:val="000000" w:themeColor="text1"/>
          <w:sz w:val="20"/>
          <w:szCs w:val="20"/>
          <w:lang w:val="es-ES"/>
        </w:rPr>
      </w:pPr>
    </w:p>
    <w:p w14:paraId="4DB0FB08" w14:textId="207BCDC4" w:rsidR="00485B7E" w:rsidRPr="001E0BA6" w:rsidRDefault="00485B7E" w:rsidP="00485B7E">
      <w:pPr>
        <w:pStyle w:val="ListParagraph"/>
        <w:numPr>
          <w:ilvl w:val="0"/>
          <w:numId w:val="14"/>
        </w:numPr>
        <w:jc w:val="both"/>
        <w:rPr>
          <w:rFonts w:ascii="Cambria" w:hAnsi="Cambria" w:cs="Calibri Light"/>
          <w:color w:val="000000" w:themeColor="text1"/>
          <w:sz w:val="20"/>
          <w:szCs w:val="20"/>
          <w:lang w:val="es-ES"/>
        </w:rPr>
      </w:pPr>
      <w:r w:rsidRPr="001E0BA6">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no brinda información actualizada sobre medidas adoptadas recientemente para cumplir con al menos una de las recomendaciones </w:t>
      </w:r>
      <w:r w:rsidRPr="001E0BA6">
        <w:rPr>
          <w:rFonts w:ascii="Cambria" w:hAnsi="Cambria" w:cs="Calibri Light"/>
          <w:color w:val="000000" w:themeColor="text1"/>
          <w:sz w:val="20"/>
          <w:szCs w:val="20"/>
          <w:lang w:val="es-ES_tradnl"/>
        </w:rPr>
        <w:t>contenidas en el Informe de Fondo No. 211/20.</w:t>
      </w:r>
    </w:p>
    <w:p w14:paraId="0D42E362" w14:textId="77777777" w:rsidR="0027366F" w:rsidRPr="001E0BA6" w:rsidRDefault="0027366F" w:rsidP="0027366F">
      <w:pPr>
        <w:pStyle w:val="ListParagraph"/>
        <w:jc w:val="both"/>
        <w:rPr>
          <w:rFonts w:ascii="Cambria" w:hAnsi="Cambria" w:cs="Calibri Light"/>
          <w:color w:val="000000" w:themeColor="text1"/>
          <w:sz w:val="20"/>
          <w:szCs w:val="20"/>
          <w:lang w:val="es-ES"/>
        </w:rPr>
      </w:pPr>
    </w:p>
    <w:p w14:paraId="47D1EFD1" w14:textId="388B5583" w:rsidR="003B2AC2" w:rsidRPr="001E0BA6" w:rsidRDefault="003B2AC2" w:rsidP="003B2AC2">
      <w:pPr>
        <w:pStyle w:val="ListParagraph"/>
        <w:numPr>
          <w:ilvl w:val="0"/>
          <w:numId w:val="14"/>
        </w:numPr>
        <w:jc w:val="both"/>
        <w:rPr>
          <w:rFonts w:ascii="Cambria" w:hAnsi="Cambria" w:cs="Calibri Light"/>
          <w:color w:val="000000" w:themeColor="text1"/>
          <w:sz w:val="20"/>
          <w:szCs w:val="20"/>
          <w:lang w:val="es-ES"/>
        </w:rPr>
      </w:pPr>
      <w:r w:rsidRPr="001E0BA6">
        <w:rPr>
          <w:rFonts w:ascii="Cambria" w:hAnsi="Cambria"/>
          <w:color w:val="000000" w:themeColor="text1"/>
          <w:sz w:val="20"/>
          <w:szCs w:val="20"/>
          <w:lang w:val="es-ES"/>
        </w:rPr>
        <w:t xml:space="preserve">La Comisión considera que la información proporcionada por los peticionarios en 2021 es relevante dado que es actualizada y amplia, sobre medidas de cumplimiento de al menos una de las recomendaciones emitidas en el Informe de Fondo </w:t>
      </w:r>
      <w:r w:rsidR="00EF252F" w:rsidRPr="001E0BA6">
        <w:rPr>
          <w:rFonts w:ascii="Cambria" w:hAnsi="Cambria" w:cs="Calibri Light"/>
          <w:color w:val="000000" w:themeColor="text1"/>
          <w:sz w:val="20"/>
          <w:szCs w:val="20"/>
          <w:lang w:val="es-ES_tradnl"/>
        </w:rPr>
        <w:t>211/20.</w:t>
      </w:r>
    </w:p>
    <w:p w14:paraId="2C09ABDD" w14:textId="60F1A6F0" w:rsidR="0027366F" w:rsidRPr="001E0BA6" w:rsidRDefault="0027366F" w:rsidP="005275EF">
      <w:pPr>
        <w:jc w:val="both"/>
        <w:rPr>
          <w:rFonts w:ascii="Cambria" w:hAnsi="Cambria" w:cs="Calibri Light"/>
          <w:color w:val="000000" w:themeColor="text1"/>
          <w:sz w:val="20"/>
          <w:szCs w:val="20"/>
          <w:lang w:val="es-ES"/>
        </w:rPr>
      </w:pPr>
    </w:p>
    <w:p w14:paraId="0A130020" w14:textId="77777777" w:rsidR="0027366F" w:rsidRPr="001E0BA6"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1E0BA6">
        <w:rPr>
          <w:rFonts w:ascii="Cambria" w:hAnsi="Cambria" w:cs="Calibri Light"/>
          <w:b/>
          <w:color w:val="000000" w:themeColor="text1"/>
          <w:sz w:val="20"/>
          <w:szCs w:val="20"/>
          <w:lang w:val="es-ES"/>
        </w:rPr>
        <w:t>Análisis del cumplimiento de las recomendaciones</w:t>
      </w:r>
    </w:p>
    <w:p w14:paraId="15F88001" w14:textId="77777777" w:rsidR="0027366F" w:rsidRPr="001E0BA6" w:rsidRDefault="0027366F" w:rsidP="003B2AC2">
      <w:pPr>
        <w:pStyle w:val="ListParagraph"/>
        <w:jc w:val="both"/>
        <w:rPr>
          <w:rFonts w:ascii="Cambria" w:hAnsi="Cambria" w:cstheme="minorBidi"/>
          <w:color w:val="000000" w:themeColor="text1"/>
          <w:sz w:val="20"/>
          <w:szCs w:val="20"/>
          <w:lang w:val="es-ES"/>
        </w:rPr>
      </w:pPr>
    </w:p>
    <w:p w14:paraId="5D18FFEF" w14:textId="231F57B5" w:rsidR="001E0BA6" w:rsidRPr="001E0BA6" w:rsidRDefault="0027366F" w:rsidP="00173896">
      <w:pPr>
        <w:pStyle w:val="ListParagraph"/>
        <w:numPr>
          <w:ilvl w:val="0"/>
          <w:numId w:val="14"/>
        </w:numPr>
        <w:jc w:val="both"/>
        <w:rPr>
          <w:rFonts w:ascii="Cambria" w:eastAsiaTheme="minorHAnsi" w:hAnsi="Cambria" w:cstheme="minorBidi"/>
          <w:color w:val="000000" w:themeColor="text1"/>
          <w:sz w:val="20"/>
          <w:szCs w:val="20"/>
          <w:lang w:val="es-ES"/>
        </w:rPr>
      </w:pPr>
      <w:r w:rsidRPr="001E0BA6">
        <w:rPr>
          <w:rFonts w:ascii="Cambria" w:hAnsi="Cambria" w:cstheme="minorBidi"/>
          <w:b/>
          <w:bCs/>
          <w:color w:val="000000" w:themeColor="text1"/>
          <w:sz w:val="20"/>
          <w:szCs w:val="20"/>
          <w:lang w:val="es-ES"/>
        </w:rPr>
        <w:t>En relación con la primera recomendación,</w:t>
      </w:r>
      <w:r w:rsidRPr="001E0BA6">
        <w:rPr>
          <w:rFonts w:ascii="Cambria" w:hAnsi="Cambria" w:cstheme="minorBidi"/>
          <w:color w:val="000000" w:themeColor="text1"/>
          <w:sz w:val="20"/>
          <w:szCs w:val="20"/>
          <w:lang w:val="es-ES"/>
        </w:rPr>
        <w:t xml:space="preserve"> </w:t>
      </w:r>
      <w:r w:rsidR="00EF252F" w:rsidRPr="001E0BA6">
        <w:rPr>
          <w:rFonts w:ascii="Cambria" w:hAnsi="Cambria"/>
          <w:color w:val="000000" w:themeColor="text1"/>
          <w:sz w:val="20"/>
          <w:szCs w:val="20"/>
          <w:lang w:val="es-ES"/>
        </w:rPr>
        <w:t>e</w:t>
      </w:r>
      <w:r w:rsidR="00EF252F" w:rsidRPr="001E0BA6">
        <w:rPr>
          <w:rFonts w:ascii="Cambria" w:eastAsiaTheme="minorHAnsi" w:hAnsi="Cambria" w:cstheme="minorBidi"/>
          <w:color w:val="000000" w:themeColor="text1"/>
          <w:sz w:val="20"/>
          <w:szCs w:val="20"/>
          <w:lang w:val="es-ES"/>
        </w:rPr>
        <w:t xml:space="preserve">n 2021 los peticionarios informaron que el señor </w:t>
      </w:r>
      <w:proofErr w:type="spellStart"/>
      <w:r w:rsidR="00EF252F" w:rsidRPr="001E0BA6">
        <w:rPr>
          <w:rFonts w:ascii="Cambria" w:eastAsiaTheme="minorHAnsi" w:hAnsi="Cambria" w:cstheme="minorBidi"/>
          <w:color w:val="000000" w:themeColor="text1"/>
          <w:sz w:val="20"/>
          <w:szCs w:val="20"/>
          <w:lang w:val="es-ES"/>
        </w:rPr>
        <w:t>Lezmond</w:t>
      </w:r>
      <w:proofErr w:type="spellEnd"/>
      <w:r w:rsidR="00EF252F" w:rsidRPr="001E0BA6">
        <w:rPr>
          <w:rFonts w:ascii="Cambria" w:eastAsiaTheme="minorHAnsi" w:hAnsi="Cambria" w:cstheme="minorBidi"/>
          <w:color w:val="000000" w:themeColor="text1"/>
          <w:sz w:val="20"/>
          <w:szCs w:val="20"/>
          <w:lang w:val="es-ES"/>
        </w:rPr>
        <w:t xml:space="preserve"> Mitchell fue ejecutado el 26 de agosto de 2020 mediante inyección letal en la penitenciaría federal de Terre Haute, Indiana. </w:t>
      </w:r>
      <w:r w:rsidR="00EF252F" w:rsidRPr="001E0BA6">
        <w:rPr>
          <w:rFonts w:ascii="Cambria" w:hAnsi="Cambria"/>
          <w:color w:val="000000" w:themeColor="text1"/>
          <w:sz w:val="20"/>
          <w:szCs w:val="20"/>
          <w:lang w:val="es-ES"/>
        </w:rPr>
        <w:t xml:space="preserve"> Los peticionarios informaron que el </w:t>
      </w:r>
      <w:r w:rsidR="00EF252F" w:rsidRPr="001E0BA6">
        <w:rPr>
          <w:rFonts w:ascii="Cambria" w:eastAsiaTheme="minorHAnsi" w:hAnsi="Cambria" w:cstheme="minorBidi"/>
          <w:color w:val="000000" w:themeColor="text1"/>
          <w:sz w:val="20"/>
          <w:szCs w:val="20"/>
          <w:lang w:val="es-ES"/>
        </w:rPr>
        <w:t xml:space="preserve">30 de abril de 2020 un panel de tres jueces de la Corte de Apelaciones de los Estados Unidos para el Noveno Circuito confirmó la denegación del tribunal de distrito de la moción del Sr. </w:t>
      </w:r>
      <w:proofErr w:type="spellStart"/>
      <w:r w:rsidR="00EF252F" w:rsidRPr="001E0BA6">
        <w:rPr>
          <w:rFonts w:ascii="Cambria" w:hAnsi="Cambria"/>
          <w:color w:val="000000" w:themeColor="text1"/>
          <w:sz w:val="20"/>
          <w:szCs w:val="20"/>
          <w:lang w:val="es-ES"/>
        </w:rPr>
        <w:t>Lezmond</w:t>
      </w:r>
      <w:proofErr w:type="spellEnd"/>
      <w:r w:rsidR="00EF252F" w:rsidRPr="001E0BA6">
        <w:rPr>
          <w:rFonts w:ascii="Cambria" w:hAnsi="Cambria"/>
          <w:color w:val="000000" w:themeColor="text1"/>
          <w:sz w:val="20"/>
          <w:szCs w:val="20"/>
          <w:lang w:val="es-ES"/>
        </w:rPr>
        <w:t xml:space="preserve"> </w:t>
      </w:r>
      <w:r w:rsidR="00EF252F" w:rsidRPr="001E0BA6">
        <w:rPr>
          <w:rFonts w:ascii="Cambria" w:eastAsiaTheme="minorHAnsi" w:hAnsi="Cambria" w:cstheme="minorBidi"/>
          <w:color w:val="000000" w:themeColor="text1"/>
          <w:sz w:val="20"/>
          <w:szCs w:val="20"/>
          <w:lang w:val="es-ES"/>
        </w:rPr>
        <w:t xml:space="preserve">para obtener autorización para entrevistar a los miembros del jurado en su juicio penal de 2003, con el fin de investigar la posible mala conducta del jurado. Posteriormente, la Corte Suprema de los Estados Unidos denegó la revisión del </w:t>
      </w:r>
      <w:proofErr w:type="spellStart"/>
      <w:r w:rsidR="00EF252F" w:rsidRPr="001E0BA6">
        <w:rPr>
          <w:rFonts w:ascii="Cambria" w:eastAsiaTheme="minorHAnsi" w:hAnsi="Cambria" w:cstheme="minorBidi"/>
          <w:color w:val="000000" w:themeColor="text1"/>
          <w:sz w:val="20"/>
          <w:szCs w:val="20"/>
          <w:lang w:val="es-ES"/>
        </w:rPr>
        <w:t>certiorari</w:t>
      </w:r>
      <w:proofErr w:type="spellEnd"/>
      <w:r w:rsidR="00EF252F" w:rsidRPr="001E0BA6">
        <w:rPr>
          <w:rFonts w:ascii="Cambria" w:eastAsiaTheme="minorHAnsi" w:hAnsi="Cambria" w:cstheme="minorBidi"/>
          <w:color w:val="000000" w:themeColor="text1"/>
          <w:sz w:val="20"/>
          <w:szCs w:val="20"/>
          <w:lang w:val="es-ES"/>
        </w:rPr>
        <w:t xml:space="preserve"> y una solicitud de suspensión de la ejecución en agosto de 2020.</w:t>
      </w:r>
    </w:p>
    <w:p w14:paraId="0474731B" w14:textId="77777777" w:rsidR="001E0BA6" w:rsidRPr="001E0BA6" w:rsidRDefault="001E0BA6" w:rsidP="001E0BA6">
      <w:pPr>
        <w:pStyle w:val="ListParagraph"/>
        <w:jc w:val="both"/>
        <w:rPr>
          <w:rFonts w:ascii="Cambria" w:eastAsiaTheme="minorHAnsi" w:hAnsi="Cambria" w:cstheme="minorBidi"/>
          <w:color w:val="000000" w:themeColor="text1"/>
          <w:sz w:val="20"/>
          <w:szCs w:val="20"/>
          <w:lang w:val="es-ES"/>
        </w:rPr>
      </w:pPr>
    </w:p>
    <w:p w14:paraId="3AB03CD8" w14:textId="566ADFD0" w:rsidR="00EF252F" w:rsidRPr="001E0BA6" w:rsidRDefault="00EF252F" w:rsidP="00173896">
      <w:pPr>
        <w:pStyle w:val="ListParagraph"/>
        <w:numPr>
          <w:ilvl w:val="0"/>
          <w:numId w:val="14"/>
        </w:numPr>
        <w:jc w:val="both"/>
        <w:rPr>
          <w:rFonts w:ascii="Cambria" w:eastAsiaTheme="minorHAnsi" w:hAnsi="Cambria" w:cstheme="minorBidi"/>
          <w:color w:val="000000" w:themeColor="text1"/>
          <w:sz w:val="20"/>
          <w:szCs w:val="20"/>
          <w:lang w:val="es-ES"/>
        </w:rPr>
      </w:pPr>
      <w:r w:rsidRPr="001E0BA6">
        <w:rPr>
          <w:rFonts w:ascii="Cambria" w:eastAsiaTheme="minorHAnsi" w:hAnsi="Cambria" w:cstheme="minorBidi"/>
          <w:color w:val="000000" w:themeColor="text1"/>
          <w:sz w:val="20"/>
          <w:szCs w:val="20"/>
          <w:lang w:val="es-ES"/>
        </w:rPr>
        <w:t xml:space="preserve">El 20 de agosto de 2020, </w:t>
      </w:r>
      <w:proofErr w:type="spellStart"/>
      <w:r w:rsidRPr="001E0BA6">
        <w:rPr>
          <w:rFonts w:ascii="Cambria" w:eastAsiaTheme="minorHAnsi" w:hAnsi="Cambria" w:cstheme="minorBidi"/>
          <w:color w:val="000000" w:themeColor="text1"/>
          <w:sz w:val="20"/>
          <w:szCs w:val="20"/>
          <w:lang w:val="es-ES"/>
        </w:rPr>
        <w:t>Lezmond</w:t>
      </w:r>
      <w:proofErr w:type="spellEnd"/>
      <w:r w:rsidRPr="001E0BA6">
        <w:rPr>
          <w:rFonts w:ascii="Cambria" w:eastAsiaTheme="minorHAnsi" w:hAnsi="Cambria" w:cstheme="minorBidi"/>
          <w:color w:val="000000" w:themeColor="text1"/>
          <w:sz w:val="20"/>
          <w:szCs w:val="20"/>
          <w:lang w:val="es-ES"/>
        </w:rPr>
        <w:t xml:space="preserve"> Mitchell solicitó al Tribunal de Distrito de los Estados Unidos que el Distrito de Arizona anulara o corrigiera su sentencia, argumentando </w:t>
      </w:r>
      <w:r w:rsidR="00173896" w:rsidRPr="001E0BA6">
        <w:rPr>
          <w:rFonts w:ascii="Cambria" w:eastAsiaTheme="minorHAnsi" w:hAnsi="Cambria" w:cstheme="minorBidi"/>
          <w:color w:val="000000" w:themeColor="text1"/>
          <w:sz w:val="20"/>
          <w:szCs w:val="20"/>
          <w:lang w:val="es-ES"/>
        </w:rPr>
        <w:t xml:space="preserve">la emisión del </w:t>
      </w:r>
      <w:r w:rsidRPr="001E0BA6">
        <w:rPr>
          <w:rFonts w:ascii="Cambria" w:eastAsiaTheme="minorHAnsi" w:hAnsi="Cambria" w:cstheme="minorBidi"/>
          <w:color w:val="000000" w:themeColor="text1"/>
          <w:sz w:val="20"/>
          <w:szCs w:val="20"/>
          <w:lang w:val="es-ES"/>
        </w:rPr>
        <w:t xml:space="preserve">e Informe de Fondo No. </w:t>
      </w:r>
      <w:r w:rsidR="001E0BA6" w:rsidRPr="001E0BA6">
        <w:rPr>
          <w:rFonts w:ascii="Cambria" w:eastAsiaTheme="minorHAnsi" w:hAnsi="Cambria" w:cstheme="minorBidi"/>
          <w:color w:val="000000" w:themeColor="text1"/>
          <w:sz w:val="20"/>
          <w:szCs w:val="20"/>
          <w:lang w:val="es-ES"/>
        </w:rPr>
        <w:t>211</w:t>
      </w:r>
      <w:r w:rsidRPr="001E0BA6">
        <w:rPr>
          <w:rFonts w:ascii="Cambria" w:eastAsiaTheme="minorHAnsi" w:hAnsi="Cambria" w:cstheme="minorBidi"/>
          <w:color w:val="000000" w:themeColor="text1"/>
          <w:sz w:val="20"/>
          <w:szCs w:val="20"/>
          <w:lang w:val="es-ES"/>
        </w:rPr>
        <w:t xml:space="preserve">/20 de la Comisión. </w:t>
      </w:r>
      <w:r w:rsidR="00173896" w:rsidRPr="001E0BA6">
        <w:rPr>
          <w:rFonts w:ascii="Cambria" w:eastAsiaTheme="minorHAnsi" w:hAnsi="Cambria" w:cstheme="minorBidi"/>
          <w:color w:val="000000" w:themeColor="text1"/>
          <w:sz w:val="20"/>
          <w:szCs w:val="20"/>
          <w:lang w:val="es-ES"/>
        </w:rPr>
        <w:t>No obstante, el</w:t>
      </w:r>
      <w:r w:rsidRPr="001E0BA6">
        <w:rPr>
          <w:rFonts w:ascii="Cambria" w:eastAsiaTheme="minorHAnsi" w:hAnsi="Cambria" w:cstheme="minorBidi"/>
          <w:color w:val="000000" w:themeColor="text1"/>
          <w:sz w:val="20"/>
          <w:szCs w:val="20"/>
          <w:lang w:val="es-ES"/>
        </w:rPr>
        <w:t xml:space="preserve"> Tribunal de Distrito rechazó los argumentos de Mitchell por considerarlos "bastante radicales" y "poco convincentes", y denegó la moción</w:t>
      </w:r>
      <w:r w:rsidR="00173896" w:rsidRPr="001E0BA6">
        <w:rPr>
          <w:rFonts w:ascii="Cambria" w:eastAsiaTheme="minorHAnsi" w:hAnsi="Cambria" w:cstheme="minorBidi"/>
          <w:color w:val="000000" w:themeColor="text1"/>
          <w:sz w:val="20"/>
          <w:szCs w:val="20"/>
          <w:lang w:val="es-ES"/>
        </w:rPr>
        <w:t>.</w:t>
      </w:r>
      <w:r w:rsidRPr="001E0BA6">
        <w:rPr>
          <w:rFonts w:ascii="Cambria" w:eastAsiaTheme="minorHAnsi" w:hAnsi="Cambria" w:cstheme="minorBidi"/>
          <w:color w:val="000000" w:themeColor="text1"/>
          <w:sz w:val="20"/>
          <w:szCs w:val="20"/>
          <w:lang w:val="es-ES"/>
        </w:rPr>
        <w:t xml:space="preserve"> También negó un certificado de apelación</w:t>
      </w:r>
      <w:r w:rsidR="00173896" w:rsidRPr="001E0BA6">
        <w:rPr>
          <w:rFonts w:ascii="Cambria" w:eastAsiaTheme="minorHAnsi" w:hAnsi="Cambria" w:cstheme="minorBidi"/>
          <w:color w:val="000000" w:themeColor="text1"/>
          <w:sz w:val="20"/>
          <w:szCs w:val="20"/>
          <w:lang w:val="es-ES"/>
        </w:rPr>
        <w:t>.</w:t>
      </w:r>
    </w:p>
    <w:p w14:paraId="59069DE0" w14:textId="77777777" w:rsidR="00173896" w:rsidRPr="001E0BA6" w:rsidRDefault="00173896" w:rsidP="00173896">
      <w:pPr>
        <w:jc w:val="both"/>
        <w:rPr>
          <w:rFonts w:ascii="Cambria" w:eastAsiaTheme="minorHAnsi" w:hAnsi="Cambria" w:cstheme="minorBidi"/>
          <w:color w:val="000000" w:themeColor="text1"/>
          <w:sz w:val="20"/>
          <w:szCs w:val="20"/>
          <w:lang w:val="es-ES"/>
        </w:rPr>
      </w:pPr>
    </w:p>
    <w:p w14:paraId="06B9D420" w14:textId="32CF245B" w:rsidR="00173896" w:rsidRPr="001E0BA6" w:rsidRDefault="00E3434D" w:rsidP="00EF252F">
      <w:pPr>
        <w:numPr>
          <w:ilvl w:val="0"/>
          <w:numId w:val="14"/>
        </w:numPr>
        <w:contextualSpacing/>
        <w:jc w:val="both"/>
        <w:rPr>
          <w:rFonts w:ascii="Cambria" w:hAnsi="Cambria"/>
          <w:color w:val="000000" w:themeColor="text1"/>
          <w:sz w:val="20"/>
          <w:szCs w:val="20"/>
          <w:lang w:val="es-ES"/>
        </w:rPr>
      </w:pPr>
      <w:r w:rsidRPr="001E0BA6">
        <w:rPr>
          <w:rFonts w:ascii="Cambria" w:hAnsi="Cambria" w:cs="Calibri Light"/>
          <w:color w:val="000000" w:themeColor="text1"/>
          <w:sz w:val="20"/>
          <w:szCs w:val="20"/>
          <w:lang w:val="es-ES"/>
        </w:rPr>
        <w:t>El 24</w:t>
      </w:r>
      <w:r w:rsidR="00173896" w:rsidRPr="001E0BA6">
        <w:rPr>
          <w:rFonts w:ascii="Cambria" w:hAnsi="Cambria" w:cs="Calibri Light"/>
          <w:color w:val="000000" w:themeColor="text1"/>
          <w:sz w:val="20"/>
          <w:szCs w:val="20"/>
          <w:lang w:val="es-ES"/>
        </w:rPr>
        <w:t xml:space="preserve"> de septiembre de 2020, la Comisión condenó la ejecución judicial de </w:t>
      </w:r>
      <w:proofErr w:type="spellStart"/>
      <w:r w:rsidR="00173896" w:rsidRPr="001E0BA6">
        <w:rPr>
          <w:rFonts w:ascii="Cambria" w:eastAsiaTheme="minorHAnsi" w:hAnsi="Cambria" w:cstheme="minorBidi"/>
          <w:color w:val="000000" w:themeColor="text1"/>
          <w:sz w:val="20"/>
          <w:szCs w:val="20"/>
          <w:lang w:val="es-ES"/>
        </w:rPr>
        <w:t>Lezmond</w:t>
      </w:r>
      <w:proofErr w:type="spellEnd"/>
      <w:r w:rsidR="00173896" w:rsidRPr="001E0BA6">
        <w:rPr>
          <w:rFonts w:ascii="Cambria" w:eastAsiaTheme="minorHAnsi" w:hAnsi="Cambria" w:cstheme="minorBidi"/>
          <w:color w:val="000000" w:themeColor="text1"/>
          <w:sz w:val="20"/>
          <w:szCs w:val="20"/>
          <w:lang w:val="es-ES"/>
        </w:rPr>
        <w:t xml:space="preserve"> Mitchell </w:t>
      </w:r>
      <w:r w:rsidR="00173896" w:rsidRPr="001E0BA6">
        <w:rPr>
          <w:rFonts w:ascii="Cambria" w:hAnsi="Cambria" w:cs="Calibri Light"/>
          <w:color w:val="000000" w:themeColor="text1"/>
          <w:sz w:val="20"/>
          <w:szCs w:val="20"/>
          <w:lang w:val="es-ES"/>
        </w:rPr>
        <w:t>que tuvo lugar el 26 de agosto de 2020 en una prisión federal de Terre Haute, Indiana, en violación de sus derechos fundamentales y en contradicción con las recomendaciones formuladas por la Comisión en el Informe de Fondo publicado en su caso</w:t>
      </w:r>
      <w:r w:rsidR="00173896" w:rsidRPr="001E0BA6">
        <w:rPr>
          <w:rStyle w:val="FootnoteReference"/>
          <w:rFonts w:ascii="Cambria" w:hAnsi="Cambria" w:cs="Calibri Light"/>
          <w:color w:val="000000" w:themeColor="text1"/>
          <w:lang w:val="es-ES"/>
        </w:rPr>
        <w:footnoteReference w:id="1"/>
      </w:r>
      <w:r w:rsidR="006E1B0A" w:rsidRPr="001E0BA6">
        <w:rPr>
          <w:rFonts w:ascii="Cambria" w:hAnsi="Cambria" w:cs="Calibri Light"/>
          <w:color w:val="000000" w:themeColor="text1"/>
          <w:sz w:val="20"/>
          <w:szCs w:val="20"/>
          <w:lang w:val="es-ES"/>
        </w:rPr>
        <w:t>.</w:t>
      </w:r>
      <w:r w:rsidR="00173896" w:rsidRPr="001E0BA6">
        <w:rPr>
          <w:rFonts w:ascii="Cambria" w:hAnsi="Cambria" w:cs="Calibri Light"/>
          <w:color w:val="000000" w:themeColor="text1"/>
          <w:sz w:val="20"/>
          <w:szCs w:val="20"/>
          <w:lang w:val="es-ES"/>
        </w:rPr>
        <w:t xml:space="preserve"> La Comisión reitera que Estados Unidos, al ejecutar a </w:t>
      </w:r>
      <w:proofErr w:type="spellStart"/>
      <w:r w:rsidR="00173896" w:rsidRPr="001E0BA6">
        <w:rPr>
          <w:rFonts w:ascii="Cambria" w:eastAsiaTheme="minorHAnsi" w:hAnsi="Cambria" w:cstheme="minorBidi"/>
          <w:color w:val="000000" w:themeColor="text1"/>
          <w:sz w:val="20"/>
          <w:szCs w:val="20"/>
          <w:lang w:val="es-ES"/>
        </w:rPr>
        <w:t>Lezmond</w:t>
      </w:r>
      <w:proofErr w:type="spellEnd"/>
      <w:r w:rsidR="00173896" w:rsidRPr="001E0BA6">
        <w:rPr>
          <w:rFonts w:ascii="Cambria" w:eastAsiaTheme="minorHAnsi" w:hAnsi="Cambria" w:cstheme="minorBidi"/>
          <w:color w:val="000000" w:themeColor="text1"/>
          <w:sz w:val="20"/>
          <w:szCs w:val="20"/>
          <w:lang w:val="es-ES"/>
        </w:rPr>
        <w:t xml:space="preserve"> Mitchell </w:t>
      </w:r>
      <w:r w:rsidR="00173896" w:rsidRPr="001E0BA6">
        <w:rPr>
          <w:rFonts w:ascii="Cambria" w:hAnsi="Cambria" w:cs="Calibri Light"/>
          <w:color w:val="000000" w:themeColor="text1"/>
          <w:sz w:val="20"/>
          <w:szCs w:val="20"/>
          <w:lang w:val="es-ES"/>
        </w:rPr>
        <w:t xml:space="preserve">de conformidad con el procedimiento que se siguió, ha cometido una violación grave e irreparable del derecho fundamental a la vida consagrado en el artículo 1 de la Declaración Americana. La CIDH deplora que los Estados Unidos no hayan cumplido con la Recomendación Nº 1 del Informe de Fondo Nº 211/20, acto que constituye una violación de las obligaciones internacionales del Estado en materia de derechos humanos que le incumben </w:t>
      </w:r>
      <w:r w:rsidR="00173896" w:rsidRPr="001E0BA6">
        <w:rPr>
          <w:rFonts w:ascii="Cambria" w:hAnsi="Cambria" w:cs="Calibri Light"/>
          <w:color w:val="000000" w:themeColor="text1"/>
          <w:sz w:val="20"/>
          <w:szCs w:val="20"/>
          <w:lang w:val="es-ES"/>
        </w:rPr>
        <w:lastRenderedPageBreak/>
        <w:t>en virtud de la Carta de la Organización de los Estados Americanos (OEA) y de los instrumentos conexos en su calidad de Estado miembro de la OEA. Por lo anterior, la Comisión concluye que el Estado incumplió con la Recomendación 1.</w:t>
      </w:r>
    </w:p>
    <w:p w14:paraId="2F9FE362" w14:textId="77777777" w:rsidR="00173896" w:rsidRPr="001E0BA6" w:rsidRDefault="00173896" w:rsidP="00173896">
      <w:pPr>
        <w:ind w:left="720"/>
        <w:contextualSpacing/>
        <w:jc w:val="both"/>
        <w:rPr>
          <w:rFonts w:ascii="Cambria" w:hAnsi="Cambria"/>
          <w:color w:val="000000" w:themeColor="text1"/>
          <w:sz w:val="20"/>
          <w:szCs w:val="20"/>
          <w:lang w:val="es-ES"/>
        </w:rPr>
      </w:pPr>
    </w:p>
    <w:p w14:paraId="50F14389" w14:textId="5B31546B" w:rsidR="0074630B" w:rsidRPr="001E0BA6" w:rsidRDefault="00173896" w:rsidP="0074630B">
      <w:pPr>
        <w:numPr>
          <w:ilvl w:val="0"/>
          <w:numId w:val="14"/>
        </w:numPr>
        <w:contextualSpacing/>
        <w:jc w:val="both"/>
        <w:rPr>
          <w:rFonts w:ascii="Cambria" w:hAnsi="Cambria"/>
          <w:color w:val="000000" w:themeColor="text1"/>
          <w:sz w:val="20"/>
          <w:szCs w:val="20"/>
          <w:lang w:val="es-ES"/>
        </w:rPr>
      </w:pPr>
      <w:r w:rsidRPr="001E0BA6">
        <w:rPr>
          <w:rFonts w:ascii="Cambria" w:hAnsi="Cambria" w:cstheme="minorBidi"/>
          <w:b/>
          <w:bCs/>
          <w:color w:val="000000" w:themeColor="text1"/>
          <w:sz w:val="20"/>
          <w:szCs w:val="20"/>
          <w:lang w:val="es-ES"/>
        </w:rPr>
        <w:t xml:space="preserve">En relación con la segunda recomendación, </w:t>
      </w:r>
      <w:r w:rsidRPr="001E0BA6">
        <w:rPr>
          <w:rFonts w:ascii="Cambria" w:hAnsi="Cambria" w:cstheme="minorBidi"/>
          <w:color w:val="000000" w:themeColor="text1"/>
          <w:sz w:val="20"/>
          <w:szCs w:val="20"/>
          <w:lang w:val="es-ES"/>
        </w:rPr>
        <w:t>en 2021 los peticionarios informaron</w:t>
      </w:r>
      <w:r w:rsidRPr="001E0BA6">
        <w:rPr>
          <w:rFonts w:ascii="Cambria" w:hAnsi="Cambria"/>
          <w:color w:val="000000" w:themeColor="text1"/>
          <w:sz w:val="20"/>
          <w:szCs w:val="20"/>
          <w:lang w:val="es-ES"/>
        </w:rPr>
        <w:t xml:space="preserve"> que </w:t>
      </w:r>
      <w:r w:rsidRPr="001E0BA6">
        <w:rPr>
          <w:rFonts w:ascii="Cambria" w:hAnsi="Cambria" w:cstheme="minorBidi"/>
          <w:color w:val="000000" w:themeColor="text1"/>
          <w:sz w:val="20"/>
          <w:szCs w:val="20"/>
          <w:lang w:val="es-ES"/>
        </w:rPr>
        <w:t xml:space="preserve">el gobierno de los Estados Unidos aún tiene que abordar las cuestiones de soberanía tribal planteadas por la sentencia del Sr. Mitchell y su posterior ejecución, ya que la ejecución de la pena de muerte en este caso violó los derechos no solo del Sr. Mitchell sino también los de la Nación Navajo. </w:t>
      </w:r>
      <w:r w:rsidR="00242AD8" w:rsidRPr="001E0BA6">
        <w:rPr>
          <w:rFonts w:ascii="Cambria" w:hAnsi="Cambria" w:cstheme="minorBidi"/>
          <w:color w:val="000000" w:themeColor="text1"/>
          <w:sz w:val="20"/>
          <w:szCs w:val="20"/>
          <w:lang w:val="es-ES"/>
        </w:rPr>
        <w:t>Los peticionarios refirieron que e</w:t>
      </w:r>
      <w:r w:rsidRPr="001E0BA6">
        <w:rPr>
          <w:rFonts w:ascii="Cambria" w:hAnsi="Cambria" w:cstheme="minorBidi"/>
          <w:color w:val="000000" w:themeColor="text1"/>
          <w:sz w:val="20"/>
          <w:szCs w:val="20"/>
          <w:lang w:val="es-ES"/>
        </w:rPr>
        <w:t>l gobierno de los Estados Unidos debe reconocer que la pena capital es la antítesis de los principios de la cultura navajo, y debe afirmar que la decisión de aplicar la pena capital por los crímenes cometidos por los navajos, contra los navajos, en tierras tribales</w:t>
      </w:r>
      <w:r w:rsidR="0015007D" w:rsidRPr="001E0BA6">
        <w:rPr>
          <w:rFonts w:ascii="Cambria" w:hAnsi="Cambria" w:cstheme="minorBidi"/>
          <w:color w:val="000000" w:themeColor="text1"/>
          <w:sz w:val="20"/>
          <w:szCs w:val="20"/>
          <w:lang w:val="es-ES"/>
        </w:rPr>
        <w:t>,</w:t>
      </w:r>
      <w:r w:rsidRPr="001E0BA6">
        <w:rPr>
          <w:rFonts w:ascii="Cambria" w:hAnsi="Cambria" w:cstheme="minorBidi"/>
          <w:color w:val="000000" w:themeColor="text1"/>
          <w:sz w:val="20"/>
          <w:szCs w:val="20"/>
          <w:lang w:val="es-ES"/>
        </w:rPr>
        <w:t xml:space="preserve"> recae directamente en el pueblo navajo, según lo especificado por el Ley federal de pena de muerte de 1994. Los peticionarios informaron que</w:t>
      </w:r>
      <w:r w:rsidR="00242AD8" w:rsidRPr="001E0BA6">
        <w:rPr>
          <w:rFonts w:ascii="Cambria" w:hAnsi="Cambria" w:cstheme="minorBidi"/>
          <w:color w:val="000000" w:themeColor="text1"/>
          <w:sz w:val="20"/>
          <w:szCs w:val="20"/>
          <w:lang w:val="es-ES"/>
        </w:rPr>
        <w:t>,</w:t>
      </w:r>
      <w:r w:rsidRPr="001E0BA6">
        <w:rPr>
          <w:rFonts w:ascii="Cambria" w:hAnsi="Cambria" w:cstheme="minorBidi"/>
          <w:color w:val="000000" w:themeColor="text1"/>
          <w:sz w:val="20"/>
          <w:szCs w:val="20"/>
          <w:lang w:val="es-ES"/>
        </w:rPr>
        <w:t xml:space="preserve"> a partir de la nueva administración del </w:t>
      </w:r>
      <w:r w:rsidR="00242AD8" w:rsidRPr="001E0BA6">
        <w:rPr>
          <w:rFonts w:ascii="Cambria" w:hAnsi="Cambria" w:cstheme="minorBidi"/>
          <w:color w:val="000000" w:themeColor="text1"/>
          <w:sz w:val="20"/>
          <w:szCs w:val="20"/>
          <w:lang w:val="es-ES"/>
        </w:rPr>
        <w:t xml:space="preserve">actual </w:t>
      </w:r>
      <w:r w:rsidRPr="001E0BA6">
        <w:rPr>
          <w:rFonts w:ascii="Cambria" w:hAnsi="Cambria" w:cstheme="minorBidi"/>
          <w:color w:val="000000" w:themeColor="text1"/>
          <w:sz w:val="20"/>
          <w:szCs w:val="20"/>
          <w:lang w:val="es-ES"/>
        </w:rPr>
        <w:t>presidente</w:t>
      </w:r>
      <w:r w:rsidR="00242AD8" w:rsidRPr="001E0BA6">
        <w:rPr>
          <w:rFonts w:ascii="Cambria" w:hAnsi="Cambria" w:cstheme="minorBidi"/>
          <w:color w:val="000000" w:themeColor="text1"/>
          <w:sz w:val="20"/>
          <w:szCs w:val="20"/>
          <w:lang w:val="es-ES"/>
        </w:rPr>
        <w:t xml:space="preserve">, </w:t>
      </w:r>
      <w:r w:rsidRPr="001E0BA6">
        <w:rPr>
          <w:rFonts w:ascii="Cambria" w:hAnsi="Cambria" w:cstheme="minorBidi"/>
          <w:color w:val="000000" w:themeColor="text1"/>
          <w:sz w:val="20"/>
          <w:szCs w:val="20"/>
          <w:lang w:val="es-ES"/>
        </w:rPr>
        <w:t xml:space="preserve">el gobierno de Estados Unidos ha implementado medidas </w:t>
      </w:r>
      <w:r w:rsidR="0074630B" w:rsidRPr="001E0BA6">
        <w:rPr>
          <w:rFonts w:ascii="Cambria" w:hAnsi="Cambria" w:cstheme="minorBidi"/>
          <w:color w:val="000000" w:themeColor="text1"/>
          <w:sz w:val="20"/>
          <w:szCs w:val="20"/>
          <w:lang w:val="es-ES"/>
        </w:rPr>
        <w:t xml:space="preserve">en materia de pueblos indígenas y tribales. </w:t>
      </w:r>
    </w:p>
    <w:p w14:paraId="52EB715C" w14:textId="2D68C910" w:rsidR="0074630B" w:rsidRPr="001E0BA6" w:rsidRDefault="0074630B" w:rsidP="0074630B">
      <w:pPr>
        <w:contextualSpacing/>
        <w:jc w:val="both"/>
        <w:rPr>
          <w:rFonts w:ascii="Cambria" w:hAnsi="Cambria"/>
          <w:color w:val="000000" w:themeColor="text1"/>
          <w:sz w:val="20"/>
          <w:szCs w:val="20"/>
          <w:lang w:val="es-ES"/>
        </w:rPr>
      </w:pPr>
    </w:p>
    <w:p w14:paraId="45447C0D" w14:textId="66247E3B" w:rsidR="0074630B" w:rsidRPr="001E0BA6" w:rsidRDefault="0074630B" w:rsidP="0074630B">
      <w:pPr>
        <w:pStyle w:val="Default"/>
        <w:numPr>
          <w:ilvl w:val="0"/>
          <w:numId w:val="14"/>
        </w:numPr>
        <w:jc w:val="both"/>
        <w:rPr>
          <w:rFonts w:cs="Calibri Light"/>
          <w:color w:val="000000" w:themeColor="text1"/>
          <w:sz w:val="20"/>
          <w:szCs w:val="20"/>
          <w:lang w:val="es-ES"/>
        </w:rPr>
      </w:pPr>
      <w:r w:rsidRPr="001E0BA6">
        <w:rPr>
          <w:color w:val="000000" w:themeColor="text1"/>
          <w:sz w:val="20"/>
          <w:szCs w:val="20"/>
          <w:lang w:val="es-ES"/>
        </w:rPr>
        <w:t xml:space="preserve">La Comisión </w:t>
      </w:r>
      <w:r w:rsidRPr="001E0BA6">
        <w:rPr>
          <w:rFonts w:cs="Calibri Light"/>
          <w:color w:val="000000" w:themeColor="text1"/>
          <w:sz w:val="20"/>
          <w:szCs w:val="20"/>
          <w:lang w:val="es-ES"/>
        </w:rPr>
        <w:t>nota que no cuenta con información actualizada por parte del Estado que permita conocer más detalles sobre el nivel de cumplimiento de esta recomendación</w:t>
      </w:r>
      <w:r w:rsidR="0015007D" w:rsidRPr="001E0BA6">
        <w:rPr>
          <w:rFonts w:cs="Calibri Light"/>
          <w:color w:val="000000" w:themeColor="text1"/>
          <w:sz w:val="20"/>
          <w:szCs w:val="20"/>
          <w:lang w:val="es-ES"/>
        </w:rPr>
        <w:t>, específicamente en lo que respecta a la aplicación de la sanción de pena de muerte para miembros de pueblos indígenas y tribales</w:t>
      </w:r>
      <w:r w:rsidRPr="001E0BA6">
        <w:rPr>
          <w:rFonts w:cs="Calibri Light"/>
          <w:color w:val="000000" w:themeColor="text1"/>
          <w:sz w:val="20"/>
          <w:szCs w:val="20"/>
          <w:lang w:val="es-ES"/>
        </w:rPr>
        <w:t>. Por lo anterior, la CIDH considera que la Recomendación 2 se encuentra pendiente de cumplimiento.</w:t>
      </w:r>
    </w:p>
    <w:p w14:paraId="6F57C740" w14:textId="77777777" w:rsidR="0074630B" w:rsidRPr="001E0BA6" w:rsidRDefault="0074630B" w:rsidP="0074630B">
      <w:pPr>
        <w:pStyle w:val="ListParagraph"/>
        <w:rPr>
          <w:rFonts w:cstheme="minorBidi"/>
          <w:b/>
          <w:bCs/>
          <w:color w:val="000000" w:themeColor="text1"/>
          <w:sz w:val="20"/>
          <w:szCs w:val="20"/>
          <w:lang w:val="es-ES"/>
        </w:rPr>
      </w:pPr>
    </w:p>
    <w:p w14:paraId="044AEB7C" w14:textId="7C6BF981" w:rsidR="0074630B" w:rsidRPr="001E0BA6" w:rsidRDefault="00173896" w:rsidP="0074630B">
      <w:pPr>
        <w:pStyle w:val="Default"/>
        <w:numPr>
          <w:ilvl w:val="0"/>
          <w:numId w:val="14"/>
        </w:numPr>
        <w:jc w:val="both"/>
        <w:rPr>
          <w:rFonts w:cs="Calibri Light"/>
          <w:color w:val="000000" w:themeColor="text1"/>
          <w:sz w:val="20"/>
          <w:szCs w:val="20"/>
          <w:lang w:val="es-ES"/>
        </w:rPr>
      </w:pPr>
      <w:r w:rsidRPr="001E0BA6">
        <w:rPr>
          <w:rFonts w:cstheme="minorBidi"/>
          <w:b/>
          <w:bCs/>
          <w:color w:val="000000" w:themeColor="text1"/>
          <w:sz w:val="20"/>
          <w:szCs w:val="20"/>
          <w:lang w:val="es-ES"/>
        </w:rPr>
        <w:t xml:space="preserve">En relación con la tercera </w:t>
      </w:r>
      <w:r w:rsidR="004F7E2F" w:rsidRPr="001E0BA6">
        <w:rPr>
          <w:rFonts w:cstheme="minorBidi"/>
          <w:b/>
          <w:bCs/>
          <w:color w:val="000000" w:themeColor="text1"/>
          <w:sz w:val="20"/>
          <w:szCs w:val="20"/>
          <w:lang w:val="es-ES"/>
        </w:rPr>
        <w:t xml:space="preserve">y cuarta </w:t>
      </w:r>
      <w:r w:rsidRPr="001E0BA6">
        <w:rPr>
          <w:rFonts w:cstheme="minorBidi"/>
          <w:b/>
          <w:bCs/>
          <w:color w:val="000000" w:themeColor="text1"/>
          <w:sz w:val="20"/>
          <w:szCs w:val="20"/>
          <w:lang w:val="es-ES"/>
        </w:rPr>
        <w:t>recomendación,</w:t>
      </w:r>
      <w:r w:rsidR="0074630B" w:rsidRPr="001E0BA6">
        <w:rPr>
          <w:rFonts w:cstheme="minorBidi"/>
          <w:b/>
          <w:bCs/>
          <w:color w:val="000000" w:themeColor="text1"/>
          <w:sz w:val="20"/>
          <w:szCs w:val="20"/>
          <w:lang w:val="es-ES"/>
        </w:rPr>
        <w:t xml:space="preserve"> </w:t>
      </w:r>
      <w:r w:rsidR="00207823" w:rsidRPr="001E0BA6">
        <w:rPr>
          <w:rFonts w:cs="Calibri Light"/>
          <w:color w:val="000000" w:themeColor="text1"/>
          <w:sz w:val="20"/>
          <w:szCs w:val="20"/>
          <w:lang w:val="es-ES"/>
        </w:rPr>
        <w:t xml:space="preserve">en </w:t>
      </w:r>
      <w:r w:rsidR="0074630B" w:rsidRPr="001E0BA6">
        <w:rPr>
          <w:rFonts w:cs="Calibri Light"/>
          <w:color w:val="000000" w:themeColor="text1"/>
          <w:sz w:val="20"/>
          <w:szCs w:val="20"/>
          <w:lang w:val="es-ES"/>
        </w:rPr>
        <w:t>2021 la CIDH nota que no cuenta con información actualizada por parte del Estado ni de los peticionarios que permita conocer más detalles sobre el nivel de cumplimiento de esta recomendación. Por lo anterior, la CIDH considera que la</w:t>
      </w:r>
      <w:r w:rsidR="004F7E2F" w:rsidRPr="001E0BA6">
        <w:rPr>
          <w:rFonts w:cs="Calibri Light"/>
          <w:color w:val="000000" w:themeColor="text1"/>
          <w:sz w:val="20"/>
          <w:szCs w:val="20"/>
          <w:lang w:val="es-ES"/>
        </w:rPr>
        <w:t>s</w:t>
      </w:r>
      <w:r w:rsidR="0074630B" w:rsidRPr="001E0BA6">
        <w:rPr>
          <w:rFonts w:cs="Calibri Light"/>
          <w:color w:val="000000" w:themeColor="text1"/>
          <w:sz w:val="20"/>
          <w:szCs w:val="20"/>
          <w:lang w:val="es-ES"/>
        </w:rPr>
        <w:t xml:space="preserve"> </w:t>
      </w:r>
      <w:r w:rsidR="004F7E2F" w:rsidRPr="001E0BA6">
        <w:rPr>
          <w:rFonts w:cs="Calibri Light"/>
          <w:color w:val="000000" w:themeColor="text1"/>
          <w:sz w:val="20"/>
          <w:szCs w:val="20"/>
          <w:lang w:val="es-ES"/>
        </w:rPr>
        <w:t>re</w:t>
      </w:r>
      <w:r w:rsidR="0074630B" w:rsidRPr="001E0BA6">
        <w:rPr>
          <w:rFonts w:cs="Calibri Light"/>
          <w:color w:val="000000" w:themeColor="text1"/>
          <w:sz w:val="20"/>
          <w:szCs w:val="20"/>
          <w:lang w:val="es-ES"/>
        </w:rPr>
        <w:t>comendaci</w:t>
      </w:r>
      <w:r w:rsidR="004F7E2F" w:rsidRPr="001E0BA6">
        <w:rPr>
          <w:rFonts w:cs="Calibri Light"/>
          <w:color w:val="000000" w:themeColor="text1"/>
          <w:sz w:val="20"/>
          <w:szCs w:val="20"/>
          <w:lang w:val="es-ES"/>
        </w:rPr>
        <w:t>o</w:t>
      </w:r>
      <w:r w:rsidR="0074630B" w:rsidRPr="001E0BA6">
        <w:rPr>
          <w:rFonts w:cs="Calibri Light"/>
          <w:color w:val="000000" w:themeColor="text1"/>
          <w:sz w:val="20"/>
          <w:szCs w:val="20"/>
          <w:lang w:val="es-ES"/>
        </w:rPr>
        <w:t>n</w:t>
      </w:r>
      <w:r w:rsidR="004F7E2F" w:rsidRPr="001E0BA6">
        <w:rPr>
          <w:rFonts w:cs="Calibri Light"/>
          <w:color w:val="000000" w:themeColor="text1"/>
          <w:sz w:val="20"/>
          <w:szCs w:val="20"/>
          <w:lang w:val="es-ES"/>
        </w:rPr>
        <w:t>es</w:t>
      </w:r>
      <w:r w:rsidR="0074630B" w:rsidRPr="001E0BA6">
        <w:rPr>
          <w:rFonts w:cs="Calibri Light"/>
          <w:color w:val="000000" w:themeColor="text1"/>
          <w:sz w:val="20"/>
          <w:szCs w:val="20"/>
          <w:lang w:val="es-ES"/>
        </w:rPr>
        <w:t xml:space="preserve"> 3 </w:t>
      </w:r>
      <w:r w:rsidR="004F7E2F" w:rsidRPr="001E0BA6">
        <w:rPr>
          <w:rFonts w:cs="Calibri Light"/>
          <w:color w:val="000000" w:themeColor="text1"/>
          <w:sz w:val="20"/>
          <w:szCs w:val="20"/>
          <w:lang w:val="es-ES"/>
        </w:rPr>
        <w:t xml:space="preserve">y 4 </w:t>
      </w:r>
      <w:r w:rsidR="0074630B" w:rsidRPr="001E0BA6">
        <w:rPr>
          <w:rFonts w:cs="Calibri Light"/>
          <w:color w:val="000000" w:themeColor="text1"/>
          <w:sz w:val="20"/>
          <w:szCs w:val="20"/>
          <w:lang w:val="es-ES"/>
        </w:rPr>
        <w:t>se encuentra</w:t>
      </w:r>
      <w:r w:rsidR="004F7E2F" w:rsidRPr="001E0BA6">
        <w:rPr>
          <w:rFonts w:cs="Calibri Light"/>
          <w:color w:val="000000" w:themeColor="text1"/>
          <w:sz w:val="20"/>
          <w:szCs w:val="20"/>
          <w:lang w:val="es-ES"/>
        </w:rPr>
        <w:t>n</w:t>
      </w:r>
      <w:r w:rsidR="0074630B" w:rsidRPr="001E0BA6">
        <w:rPr>
          <w:rFonts w:cs="Calibri Light"/>
          <w:color w:val="000000" w:themeColor="text1"/>
          <w:sz w:val="20"/>
          <w:szCs w:val="20"/>
          <w:lang w:val="es-ES"/>
        </w:rPr>
        <w:t xml:space="preserve"> pendiente</w:t>
      </w:r>
      <w:r w:rsidR="004F7E2F" w:rsidRPr="001E0BA6">
        <w:rPr>
          <w:rFonts w:cs="Calibri Light"/>
          <w:color w:val="000000" w:themeColor="text1"/>
          <w:sz w:val="20"/>
          <w:szCs w:val="20"/>
          <w:lang w:val="es-ES"/>
        </w:rPr>
        <w:t>s</w:t>
      </w:r>
      <w:r w:rsidR="0074630B" w:rsidRPr="001E0BA6">
        <w:rPr>
          <w:rFonts w:cs="Calibri Light"/>
          <w:color w:val="000000" w:themeColor="text1"/>
          <w:sz w:val="20"/>
          <w:szCs w:val="20"/>
          <w:lang w:val="es-ES"/>
        </w:rPr>
        <w:t xml:space="preserve"> de cumplimiento.</w:t>
      </w:r>
    </w:p>
    <w:p w14:paraId="51E5F9D2" w14:textId="77777777" w:rsidR="0027366F" w:rsidRPr="001E0BA6" w:rsidRDefault="0027366F" w:rsidP="0074630B">
      <w:pPr>
        <w:rPr>
          <w:rFonts w:ascii="Cambria" w:hAnsi="Cambria"/>
          <w:b/>
          <w:color w:val="000000" w:themeColor="text1"/>
          <w:sz w:val="20"/>
          <w:szCs w:val="20"/>
          <w:lang w:val="es-ES"/>
        </w:rPr>
      </w:pPr>
    </w:p>
    <w:p w14:paraId="7EADC9D2" w14:textId="77777777" w:rsidR="0027366F" w:rsidRPr="001E0BA6" w:rsidRDefault="0027366F" w:rsidP="0027366F">
      <w:pPr>
        <w:pStyle w:val="ListParagraph"/>
        <w:numPr>
          <w:ilvl w:val="0"/>
          <w:numId w:val="8"/>
        </w:numPr>
        <w:ind w:left="1440"/>
        <w:jc w:val="both"/>
        <w:rPr>
          <w:rFonts w:ascii="Cambria" w:hAnsi="Cambria"/>
          <w:b/>
          <w:color w:val="000000" w:themeColor="text1"/>
          <w:sz w:val="20"/>
          <w:szCs w:val="20"/>
          <w:lang w:val="es-ES"/>
        </w:rPr>
      </w:pPr>
      <w:r w:rsidRPr="001E0BA6">
        <w:rPr>
          <w:rFonts w:ascii="Cambria" w:hAnsi="Cambria" w:cs="Calibri Light"/>
          <w:b/>
          <w:color w:val="000000" w:themeColor="text1"/>
          <w:sz w:val="20"/>
          <w:szCs w:val="20"/>
          <w:lang w:val="es-ES"/>
        </w:rPr>
        <w:t xml:space="preserve">Nivel de cumplimiento del caso </w:t>
      </w:r>
    </w:p>
    <w:p w14:paraId="09E22472" w14:textId="77777777" w:rsidR="0074630B" w:rsidRPr="001E0BA6" w:rsidRDefault="0074630B" w:rsidP="0074630B">
      <w:pPr>
        <w:jc w:val="both"/>
        <w:rPr>
          <w:rFonts w:ascii="Cambria" w:hAnsi="Cambria"/>
          <w:b/>
          <w:color w:val="000000" w:themeColor="text1"/>
          <w:sz w:val="20"/>
          <w:szCs w:val="20"/>
          <w:lang w:val="es-ES"/>
        </w:rPr>
      </w:pPr>
    </w:p>
    <w:p w14:paraId="3617EE5D" w14:textId="5446A65A" w:rsidR="0027366F" w:rsidRPr="001E0BA6" w:rsidRDefault="0027366F" w:rsidP="0027366F">
      <w:pPr>
        <w:pStyle w:val="ListParagraph"/>
        <w:numPr>
          <w:ilvl w:val="0"/>
          <w:numId w:val="14"/>
        </w:numPr>
        <w:jc w:val="both"/>
        <w:rPr>
          <w:rFonts w:ascii="Cambria" w:hAnsi="Cambria" w:cs="Calibri Light"/>
          <w:color w:val="000000" w:themeColor="text1"/>
          <w:sz w:val="20"/>
          <w:szCs w:val="20"/>
          <w:lang w:val="es-ES"/>
        </w:rPr>
      </w:pPr>
      <w:r w:rsidRPr="001E0BA6">
        <w:rPr>
          <w:rFonts w:ascii="Cambria" w:hAnsi="Cambria" w:cs="Calibri Light"/>
          <w:color w:val="000000" w:themeColor="text1"/>
          <w:sz w:val="20"/>
          <w:szCs w:val="20"/>
          <w:lang w:val="es-ES"/>
        </w:rPr>
        <w:t xml:space="preserve">En virtud de lo anterior, la Comisión concluye que el nivel de cumplimiento del caso es Pendiente de Cumplimiento. En consecuencia, la Comisión continuará supervisando las Recomendaciones 1 a </w:t>
      </w:r>
      <w:r w:rsidR="0074630B" w:rsidRPr="001E0BA6">
        <w:rPr>
          <w:rFonts w:ascii="Cambria" w:hAnsi="Cambria" w:cs="Calibri Light"/>
          <w:color w:val="000000" w:themeColor="text1"/>
          <w:sz w:val="20"/>
          <w:szCs w:val="20"/>
          <w:lang w:val="es-ES"/>
        </w:rPr>
        <w:t>4.</w:t>
      </w:r>
    </w:p>
    <w:p w14:paraId="4F202493" w14:textId="7BB127B4" w:rsidR="0027366F" w:rsidRPr="001E0BA6" w:rsidRDefault="0027366F" w:rsidP="0074630B">
      <w:pPr>
        <w:pStyle w:val="ListParagraph"/>
        <w:numPr>
          <w:ilvl w:val="0"/>
          <w:numId w:val="14"/>
        </w:numPr>
        <w:jc w:val="both"/>
        <w:rPr>
          <w:rFonts w:ascii="Cambria" w:hAnsi="Cambria" w:cs="Tahoma"/>
          <w:color w:val="000000" w:themeColor="text1"/>
          <w:sz w:val="20"/>
          <w:szCs w:val="20"/>
          <w:shd w:val="clear" w:color="auto" w:fill="FFFFFF"/>
          <w:lang w:val="es-ES"/>
        </w:rPr>
      </w:pPr>
      <w:r w:rsidRPr="001E0BA6">
        <w:rPr>
          <w:rFonts w:ascii="Cambria" w:hAnsi="Cambria" w:cs="Calibri Light"/>
          <w:color w:val="000000" w:themeColor="text1"/>
          <w:sz w:val="20"/>
          <w:szCs w:val="20"/>
          <w:lang w:val="es-ES"/>
        </w:rPr>
        <w:t xml:space="preserve">La Comisión insta al Estado a adoptar las acciones necesarias a fin de implementar </w:t>
      </w:r>
      <w:r w:rsidRPr="001E0BA6">
        <w:rPr>
          <w:rFonts w:ascii="Cambria" w:eastAsia="MS Mincho" w:hAnsi="Cambria"/>
          <w:color w:val="000000" w:themeColor="text1"/>
          <w:sz w:val="20"/>
          <w:szCs w:val="20"/>
          <w:lang w:val="es-ES"/>
        </w:rPr>
        <w:t xml:space="preserve">las recomendaciones formuladas en el Informe de Fondo Nº </w:t>
      </w:r>
      <w:r w:rsidR="0074630B" w:rsidRPr="001E0BA6">
        <w:rPr>
          <w:rFonts w:ascii="Cambria" w:eastAsia="MS Mincho" w:hAnsi="Cambria"/>
          <w:color w:val="000000" w:themeColor="text1"/>
          <w:sz w:val="20"/>
          <w:szCs w:val="20"/>
          <w:lang w:val="es-ES"/>
        </w:rPr>
        <w:t>211/20</w:t>
      </w:r>
      <w:r w:rsidRPr="001E0BA6">
        <w:rPr>
          <w:rFonts w:ascii="Cambria" w:eastAsia="MS Mincho" w:hAnsi="Cambria"/>
          <w:color w:val="000000" w:themeColor="text1"/>
          <w:sz w:val="20"/>
          <w:szCs w:val="20"/>
          <w:lang w:val="es-ES"/>
        </w:rPr>
        <w:t xml:space="preserve"> y a proporcionar a la Comisión información detallada y actualizada sobre dichas acciones.</w:t>
      </w:r>
    </w:p>
    <w:p w14:paraId="1F27FD7C" w14:textId="77777777" w:rsidR="0027366F" w:rsidRPr="001E0BA6" w:rsidRDefault="0027366F" w:rsidP="0027366F">
      <w:pPr>
        <w:jc w:val="both"/>
        <w:rPr>
          <w:rFonts w:ascii="Cambria" w:hAnsi="Cambria"/>
          <w:b/>
          <w:color w:val="000000" w:themeColor="text1"/>
          <w:sz w:val="20"/>
          <w:szCs w:val="20"/>
          <w:lang w:val="es-ES"/>
        </w:rPr>
      </w:pPr>
    </w:p>
    <w:p w14:paraId="5C344EF8" w14:textId="77777777" w:rsidR="0027366F" w:rsidRPr="001E0BA6" w:rsidRDefault="0027366F" w:rsidP="0027366F">
      <w:pPr>
        <w:pStyle w:val="ListParagraph"/>
        <w:numPr>
          <w:ilvl w:val="0"/>
          <w:numId w:val="8"/>
        </w:numPr>
        <w:ind w:left="1440"/>
        <w:jc w:val="both"/>
        <w:rPr>
          <w:rFonts w:ascii="Cambria" w:hAnsi="Cambria"/>
          <w:b/>
          <w:color w:val="000000" w:themeColor="text1"/>
          <w:sz w:val="20"/>
          <w:szCs w:val="20"/>
          <w:lang w:val="es-ES"/>
        </w:rPr>
      </w:pPr>
      <w:r w:rsidRPr="001E0BA6">
        <w:rPr>
          <w:rFonts w:ascii="Cambria" w:hAnsi="Cambria"/>
          <w:b/>
          <w:color w:val="000000" w:themeColor="text1"/>
          <w:sz w:val="20"/>
          <w:szCs w:val="20"/>
          <w:lang w:val="es-ES"/>
        </w:rPr>
        <w:t xml:space="preserve">Resultados individuales y estructurales del caso </w:t>
      </w:r>
    </w:p>
    <w:p w14:paraId="5DC66086" w14:textId="77777777" w:rsidR="0027366F" w:rsidRPr="001E0BA6" w:rsidRDefault="0027366F" w:rsidP="0027366F">
      <w:pPr>
        <w:jc w:val="both"/>
        <w:rPr>
          <w:rFonts w:ascii="Cambria" w:hAnsi="Cambria"/>
          <w:b/>
          <w:color w:val="000000" w:themeColor="text1"/>
          <w:sz w:val="20"/>
          <w:szCs w:val="20"/>
          <w:lang w:val="es-ES"/>
        </w:rPr>
      </w:pPr>
    </w:p>
    <w:p w14:paraId="1E71EC1E" w14:textId="77777777" w:rsidR="0027366F" w:rsidRPr="001E0BA6" w:rsidRDefault="0027366F" w:rsidP="0074630B">
      <w:pPr>
        <w:pStyle w:val="ListParagraph"/>
        <w:numPr>
          <w:ilvl w:val="0"/>
          <w:numId w:val="14"/>
        </w:numPr>
        <w:jc w:val="both"/>
        <w:rPr>
          <w:rFonts w:ascii="Cambria" w:hAnsi="Cambria"/>
          <w:b/>
          <w:color w:val="000000" w:themeColor="text1"/>
          <w:sz w:val="20"/>
          <w:szCs w:val="20"/>
          <w:lang w:val="es-ES"/>
        </w:rPr>
      </w:pPr>
      <w:r w:rsidRPr="001E0BA6">
        <w:rPr>
          <w:rFonts w:ascii="Cambria" w:hAnsi="Cambria"/>
          <w:color w:val="000000" w:themeColor="text1"/>
          <w:sz w:val="20"/>
          <w:szCs w:val="20"/>
          <w:lang w:val="es-ES"/>
        </w:rPr>
        <w:t>Dado que este caso está pendiente de cumplimiento, no hay resultados individuales o estructurales informados por las partes.</w:t>
      </w:r>
    </w:p>
    <w:p w14:paraId="4C143A19" w14:textId="77777777" w:rsidR="00F54C38" w:rsidRPr="001E0BA6" w:rsidRDefault="00F54C38" w:rsidP="00F54C38">
      <w:pPr>
        <w:rPr>
          <w:rFonts w:ascii="Cambria" w:hAnsi="Cambria"/>
          <w:b/>
          <w:color w:val="000000" w:themeColor="text1"/>
          <w:sz w:val="20"/>
          <w:szCs w:val="20"/>
          <w:lang w:val="es-ES"/>
        </w:rPr>
      </w:pPr>
    </w:p>
    <w:p w14:paraId="78E2ACFE" w14:textId="77777777" w:rsidR="007739DD" w:rsidRPr="001E0BA6" w:rsidRDefault="007739DD">
      <w:pPr>
        <w:rPr>
          <w:rFonts w:ascii="Cambria" w:hAnsi="Cambria"/>
          <w:b/>
          <w:color w:val="000000" w:themeColor="text1"/>
          <w:sz w:val="20"/>
          <w:szCs w:val="20"/>
          <w:lang w:val="es-ES"/>
        </w:rPr>
      </w:pPr>
    </w:p>
    <w:sectPr w:rsidR="007739DD" w:rsidRPr="001E0BA6"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1F43" w14:textId="77777777" w:rsidR="008D0B61" w:rsidRDefault="008D0B61" w:rsidP="00672733">
      <w:r>
        <w:separator/>
      </w:r>
    </w:p>
  </w:endnote>
  <w:endnote w:type="continuationSeparator" w:id="0">
    <w:p w14:paraId="7A4E5887" w14:textId="77777777" w:rsidR="008D0B61" w:rsidRDefault="008D0B6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8584" w14:textId="77777777" w:rsidR="008D0B61" w:rsidRDefault="008D0B61" w:rsidP="00672733">
      <w:r>
        <w:separator/>
      </w:r>
    </w:p>
  </w:footnote>
  <w:footnote w:type="continuationSeparator" w:id="0">
    <w:p w14:paraId="3D0D31B5" w14:textId="77777777" w:rsidR="008D0B61" w:rsidRDefault="008D0B61" w:rsidP="00672733">
      <w:r>
        <w:continuationSeparator/>
      </w:r>
    </w:p>
  </w:footnote>
  <w:footnote w:id="1">
    <w:p w14:paraId="5466ABED" w14:textId="4DE3B5C4" w:rsidR="00173896" w:rsidRPr="005621F7" w:rsidRDefault="00173896" w:rsidP="00173896">
      <w:pPr>
        <w:pStyle w:val="FootnoteText"/>
        <w:spacing w:after="120"/>
        <w:ind w:firstLine="720"/>
        <w:jc w:val="both"/>
        <w:rPr>
          <w:rFonts w:ascii="Cambria" w:hAnsi="Cambria"/>
          <w:sz w:val="16"/>
          <w:szCs w:val="16"/>
          <w:lang w:val="es-US"/>
        </w:rPr>
      </w:pPr>
      <w:r w:rsidRPr="005621F7">
        <w:rPr>
          <w:rStyle w:val="FootnoteReference"/>
          <w:rFonts w:ascii="Cambria" w:hAnsi="Cambria"/>
          <w:sz w:val="16"/>
          <w:szCs w:val="16"/>
        </w:rPr>
        <w:footnoteRef/>
      </w:r>
      <w:r w:rsidRPr="005621F7">
        <w:rPr>
          <w:rFonts w:ascii="Cambria" w:hAnsi="Cambria"/>
          <w:sz w:val="16"/>
          <w:szCs w:val="16"/>
          <w:lang w:val="es-US"/>
        </w:rPr>
        <w:t xml:space="preserve"> CIDH,</w:t>
      </w:r>
      <w:r>
        <w:rPr>
          <w:rFonts w:ascii="Cambria" w:hAnsi="Cambria"/>
          <w:sz w:val="16"/>
          <w:szCs w:val="16"/>
          <w:lang w:val="es-US"/>
        </w:rPr>
        <w:t xml:space="preserve"> Comunicado de Prensa 229/20 – </w:t>
      </w:r>
      <w:hyperlink r:id="rId1" w:history="1">
        <w:r w:rsidRPr="00173896">
          <w:rPr>
            <w:rStyle w:val="Hyperlink"/>
            <w:rFonts w:ascii="Cambria" w:hAnsi="Cambria"/>
            <w:sz w:val="16"/>
            <w:szCs w:val="16"/>
            <w:lang w:val="es-US"/>
          </w:rPr>
          <w:t xml:space="preserve">CIDH condena ejecución de </w:t>
        </w:r>
        <w:proofErr w:type="spellStart"/>
        <w:r w:rsidRPr="00173896">
          <w:rPr>
            <w:rStyle w:val="Hyperlink"/>
            <w:rFonts w:ascii="Cambria" w:hAnsi="Cambria"/>
            <w:sz w:val="16"/>
            <w:szCs w:val="16"/>
            <w:lang w:val="es-US"/>
          </w:rPr>
          <w:t>Lezmond</w:t>
        </w:r>
        <w:proofErr w:type="spellEnd"/>
        <w:r w:rsidRPr="00173896">
          <w:rPr>
            <w:rStyle w:val="Hyperlink"/>
            <w:rFonts w:ascii="Cambria" w:hAnsi="Cambria"/>
            <w:sz w:val="16"/>
            <w:szCs w:val="16"/>
            <w:lang w:val="es-US"/>
          </w:rPr>
          <w:t xml:space="preserve"> Mitchell, único indígena en el Corredor de la Muerte Federal en Estados Unidos</w:t>
        </w:r>
      </w:hyperlink>
      <w:r>
        <w:rPr>
          <w:rFonts w:ascii="Cambria" w:hAnsi="Cambria"/>
          <w:sz w:val="16"/>
          <w:szCs w:val="16"/>
          <w:lang w:val="es-US"/>
        </w:rPr>
        <w:t>, 24 de septiembre de 2020.</w:t>
      </w:r>
      <w:r w:rsidRPr="005621F7">
        <w:rPr>
          <w:rFonts w:ascii="Cambria" w:hAnsi="Cambria"/>
          <w:sz w:val="16"/>
          <w:szCs w:val="16"/>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0E3C" w14:textId="45288F33" w:rsidR="00943E45" w:rsidRDefault="00943E45" w:rsidP="00943E45">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60A999E6" wp14:editId="7CE054F7">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25D131" wp14:editId="37F56AD2">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0149C794" w14:textId="6226DBEC" w:rsidR="00943E45" w:rsidRDefault="00943E45" w:rsidP="00943E45">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6581E472" wp14:editId="240B5775">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AE59A"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0234EAC2"/>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036A96"/>
    <w:multiLevelType w:val="hybridMultilevel"/>
    <w:tmpl w:val="B0149720"/>
    <w:lvl w:ilvl="0" w:tplc="4116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84775A5"/>
    <w:multiLevelType w:val="hybridMultilevel"/>
    <w:tmpl w:val="9328D274"/>
    <w:lvl w:ilvl="0" w:tplc="509825F8">
      <w:start w:val="1"/>
      <w:numFmt w:val="decimal"/>
      <w:lvlText w:val="%1."/>
      <w:lvlJc w:val="left"/>
      <w:pPr>
        <w:ind w:left="0" w:firstLine="72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6838"/>
    <w:multiLevelType w:val="hybridMultilevel"/>
    <w:tmpl w:val="3968AF0E"/>
    <w:lvl w:ilvl="0" w:tplc="48F07F06">
      <w:start w:val="1"/>
      <w:numFmt w:val="decimal"/>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549023925">
    <w:abstractNumId w:val="10"/>
  </w:num>
  <w:num w:numId="2" w16cid:durableId="33889296">
    <w:abstractNumId w:val="17"/>
  </w:num>
  <w:num w:numId="3" w16cid:durableId="478572113">
    <w:abstractNumId w:val="13"/>
  </w:num>
  <w:num w:numId="4" w16cid:durableId="1891188556">
    <w:abstractNumId w:val="5"/>
  </w:num>
  <w:num w:numId="5" w16cid:durableId="1882742428">
    <w:abstractNumId w:val="3"/>
  </w:num>
  <w:num w:numId="6" w16cid:durableId="2113238581">
    <w:abstractNumId w:val="6"/>
  </w:num>
  <w:num w:numId="7" w16cid:durableId="893322023">
    <w:abstractNumId w:val="1"/>
  </w:num>
  <w:num w:numId="8" w16cid:durableId="1840467159">
    <w:abstractNumId w:val="12"/>
  </w:num>
  <w:num w:numId="9" w16cid:durableId="1095859394">
    <w:abstractNumId w:val="11"/>
  </w:num>
  <w:num w:numId="10" w16cid:durableId="987827509">
    <w:abstractNumId w:val="2"/>
  </w:num>
  <w:num w:numId="11" w16cid:durableId="550767480">
    <w:abstractNumId w:val="16"/>
  </w:num>
  <w:num w:numId="12" w16cid:durableId="674386725">
    <w:abstractNumId w:val="9"/>
  </w:num>
  <w:num w:numId="13" w16cid:durableId="897057779">
    <w:abstractNumId w:val="15"/>
  </w:num>
  <w:num w:numId="14" w16cid:durableId="1095204116">
    <w:abstractNumId w:val="7"/>
  </w:num>
  <w:num w:numId="15" w16cid:durableId="179399757">
    <w:abstractNumId w:val="4"/>
  </w:num>
  <w:num w:numId="16" w16cid:durableId="220141594">
    <w:abstractNumId w:val="0"/>
  </w:num>
  <w:num w:numId="17" w16cid:durableId="1308247686">
    <w:abstractNumId w:val="14"/>
  </w:num>
  <w:num w:numId="18" w16cid:durableId="2113165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66468"/>
    <w:rsid w:val="00093D13"/>
    <w:rsid w:val="000B5E1D"/>
    <w:rsid w:val="000C5C4A"/>
    <w:rsid w:val="0011475D"/>
    <w:rsid w:val="0015007D"/>
    <w:rsid w:val="00173896"/>
    <w:rsid w:val="001841A2"/>
    <w:rsid w:val="00195082"/>
    <w:rsid w:val="001C7AAF"/>
    <w:rsid w:val="001D4AA3"/>
    <w:rsid w:val="001E0BA6"/>
    <w:rsid w:val="00207823"/>
    <w:rsid w:val="00242AD8"/>
    <w:rsid w:val="00256CBD"/>
    <w:rsid w:val="0027366F"/>
    <w:rsid w:val="00322720"/>
    <w:rsid w:val="003B2AC2"/>
    <w:rsid w:val="0043001C"/>
    <w:rsid w:val="00453115"/>
    <w:rsid w:val="004532C7"/>
    <w:rsid w:val="004728A9"/>
    <w:rsid w:val="0047708E"/>
    <w:rsid w:val="00485B7E"/>
    <w:rsid w:val="0048723C"/>
    <w:rsid w:val="004937C7"/>
    <w:rsid w:val="004F7E2F"/>
    <w:rsid w:val="005045E0"/>
    <w:rsid w:val="005275EF"/>
    <w:rsid w:val="00546A7A"/>
    <w:rsid w:val="00566CD0"/>
    <w:rsid w:val="00594CBD"/>
    <w:rsid w:val="005A6DE5"/>
    <w:rsid w:val="00637ED3"/>
    <w:rsid w:val="006513B7"/>
    <w:rsid w:val="006638E5"/>
    <w:rsid w:val="00672733"/>
    <w:rsid w:val="006B1F24"/>
    <w:rsid w:val="006E1B0A"/>
    <w:rsid w:val="00742645"/>
    <w:rsid w:val="00744796"/>
    <w:rsid w:val="0074630B"/>
    <w:rsid w:val="00750246"/>
    <w:rsid w:val="007739DD"/>
    <w:rsid w:val="008463D3"/>
    <w:rsid w:val="00877520"/>
    <w:rsid w:val="008818B0"/>
    <w:rsid w:val="008A36C4"/>
    <w:rsid w:val="008D0B61"/>
    <w:rsid w:val="008D1A5E"/>
    <w:rsid w:val="00940BE8"/>
    <w:rsid w:val="00943E45"/>
    <w:rsid w:val="00985673"/>
    <w:rsid w:val="009A50E2"/>
    <w:rsid w:val="009B1335"/>
    <w:rsid w:val="009B7CD9"/>
    <w:rsid w:val="00A31E02"/>
    <w:rsid w:val="00A52906"/>
    <w:rsid w:val="00A6539B"/>
    <w:rsid w:val="00BB0D06"/>
    <w:rsid w:val="00BF2D5D"/>
    <w:rsid w:val="00C12D7A"/>
    <w:rsid w:val="00C3188E"/>
    <w:rsid w:val="00C55031"/>
    <w:rsid w:val="00D011F6"/>
    <w:rsid w:val="00D03375"/>
    <w:rsid w:val="00D316E5"/>
    <w:rsid w:val="00D56DC4"/>
    <w:rsid w:val="00E042FE"/>
    <w:rsid w:val="00E24B65"/>
    <w:rsid w:val="00E3434D"/>
    <w:rsid w:val="00E516AB"/>
    <w:rsid w:val="00E62510"/>
    <w:rsid w:val="00E7021E"/>
    <w:rsid w:val="00E90CB3"/>
    <w:rsid w:val="00EB608E"/>
    <w:rsid w:val="00EC2FD8"/>
    <w:rsid w:val="00EE70D1"/>
    <w:rsid w:val="00EF252F"/>
    <w:rsid w:val="00EF270C"/>
    <w:rsid w:val="00F54C38"/>
    <w:rsid w:val="00FF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2F"/>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UnresolvedMention">
    <w:name w:val="Unresolved Mention"/>
    <w:basedOn w:val="DefaultParagraphFont"/>
    <w:uiPriority w:val="99"/>
    <w:semiHidden/>
    <w:unhideWhenUsed/>
    <w:rsid w:val="00C3188E"/>
    <w:rPr>
      <w:color w:val="605E5C"/>
      <w:shd w:val="clear" w:color="auto" w:fill="E1DFDD"/>
    </w:rPr>
  </w:style>
  <w:style w:type="paragraph" w:styleId="NormalWeb">
    <w:name w:val="Normal (Web)"/>
    <w:basedOn w:val="Normal"/>
    <w:uiPriority w:val="99"/>
    <w:semiHidden/>
    <w:unhideWhenUsed/>
    <w:rsid w:val="00C3188E"/>
    <w:pPr>
      <w:spacing w:before="100" w:beforeAutospacing="1" w:after="100" w:afterAutospacing="1"/>
    </w:pPr>
  </w:style>
  <w:style w:type="character" w:customStyle="1" w:styleId="apple-converted-space">
    <w:name w:val="apple-converted-space"/>
    <w:basedOn w:val="DefaultParagraphFont"/>
    <w:rsid w:val="00C3188E"/>
  </w:style>
  <w:style w:type="paragraph" w:customStyle="1" w:styleId="Default">
    <w:name w:val="Default"/>
    <w:rsid w:val="006513B7"/>
    <w:pPr>
      <w:autoSpaceDE w:val="0"/>
      <w:autoSpaceDN w:val="0"/>
      <w:adjustRightInd w:val="0"/>
    </w:pPr>
    <w:rPr>
      <w:rFonts w:ascii="Cambria" w:hAnsi="Cambria" w:cs="Cambria"/>
      <w:color w:val="000000"/>
    </w:rPr>
  </w:style>
  <w:style w:type="paragraph" w:styleId="HTMLPreformatted">
    <w:name w:val="HTML Preformatted"/>
    <w:basedOn w:val="Normal"/>
    <w:link w:val="HTMLPreformattedChar"/>
    <w:uiPriority w:val="99"/>
    <w:unhideWhenUsed/>
    <w:rsid w:val="00EF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252F"/>
    <w:rPr>
      <w:rFonts w:ascii="Courier New" w:eastAsia="Times New Roman" w:hAnsi="Courier New" w:cs="Courier New"/>
      <w:sz w:val="20"/>
      <w:szCs w:val="20"/>
    </w:rPr>
  </w:style>
  <w:style w:type="character" w:customStyle="1" w:styleId="y2iqfc">
    <w:name w:val="y2iqfc"/>
    <w:basedOn w:val="DefaultParagraphFont"/>
    <w:rsid w:val="00EF252F"/>
  </w:style>
  <w:style w:type="character" w:styleId="FollowedHyperlink">
    <w:name w:val="FollowedHyperlink"/>
    <w:basedOn w:val="DefaultParagraphFont"/>
    <w:uiPriority w:val="99"/>
    <w:semiHidden/>
    <w:unhideWhenUsed/>
    <w:rsid w:val="00066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194">
      <w:bodyDiv w:val="1"/>
      <w:marLeft w:val="0"/>
      <w:marRight w:val="0"/>
      <w:marTop w:val="0"/>
      <w:marBottom w:val="0"/>
      <w:divBdr>
        <w:top w:val="none" w:sz="0" w:space="0" w:color="auto"/>
        <w:left w:val="none" w:sz="0" w:space="0" w:color="auto"/>
        <w:bottom w:val="none" w:sz="0" w:space="0" w:color="auto"/>
        <w:right w:val="none" w:sz="0" w:space="0" w:color="auto"/>
      </w:divBdr>
    </w:div>
    <w:div w:id="343939455">
      <w:bodyDiv w:val="1"/>
      <w:marLeft w:val="0"/>
      <w:marRight w:val="0"/>
      <w:marTop w:val="0"/>
      <w:marBottom w:val="0"/>
      <w:divBdr>
        <w:top w:val="none" w:sz="0" w:space="0" w:color="auto"/>
        <w:left w:val="none" w:sz="0" w:space="0" w:color="auto"/>
        <w:bottom w:val="none" w:sz="0" w:space="0" w:color="auto"/>
        <w:right w:val="none" w:sz="0" w:space="0" w:color="auto"/>
      </w:divBdr>
      <w:divsChild>
        <w:div w:id="209465422">
          <w:marLeft w:val="0"/>
          <w:marRight w:val="0"/>
          <w:marTop w:val="0"/>
          <w:marBottom w:val="0"/>
          <w:divBdr>
            <w:top w:val="none" w:sz="0" w:space="0" w:color="auto"/>
            <w:left w:val="none" w:sz="0" w:space="0" w:color="auto"/>
            <w:bottom w:val="none" w:sz="0" w:space="0" w:color="auto"/>
            <w:right w:val="none" w:sz="0" w:space="0" w:color="auto"/>
          </w:divBdr>
        </w:div>
        <w:div w:id="1854227671">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165"/>
              <w:marTop w:val="150"/>
              <w:marBottom w:val="0"/>
              <w:divBdr>
                <w:top w:val="none" w:sz="0" w:space="0" w:color="auto"/>
                <w:left w:val="none" w:sz="0" w:space="0" w:color="auto"/>
                <w:bottom w:val="none" w:sz="0" w:space="0" w:color="auto"/>
                <w:right w:val="none" w:sz="0" w:space="0" w:color="auto"/>
              </w:divBdr>
              <w:divsChild>
                <w:div w:id="1859654014">
                  <w:marLeft w:val="0"/>
                  <w:marRight w:val="0"/>
                  <w:marTop w:val="0"/>
                  <w:marBottom w:val="0"/>
                  <w:divBdr>
                    <w:top w:val="none" w:sz="0" w:space="0" w:color="auto"/>
                    <w:left w:val="none" w:sz="0" w:space="0" w:color="auto"/>
                    <w:bottom w:val="none" w:sz="0" w:space="0" w:color="auto"/>
                    <w:right w:val="none" w:sz="0" w:space="0" w:color="auto"/>
                  </w:divBdr>
                  <w:divsChild>
                    <w:div w:id="1041516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8481">
      <w:bodyDiv w:val="1"/>
      <w:marLeft w:val="0"/>
      <w:marRight w:val="0"/>
      <w:marTop w:val="0"/>
      <w:marBottom w:val="0"/>
      <w:divBdr>
        <w:top w:val="none" w:sz="0" w:space="0" w:color="auto"/>
        <w:left w:val="none" w:sz="0" w:space="0" w:color="auto"/>
        <w:bottom w:val="none" w:sz="0" w:space="0" w:color="auto"/>
        <w:right w:val="none" w:sz="0" w:space="0" w:color="auto"/>
      </w:divBdr>
    </w:div>
    <w:div w:id="602306263">
      <w:bodyDiv w:val="1"/>
      <w:marLeft w:val="0"/>
      <w:marRight w:val="0"/>
      <w:marTop w:val="0"/>
      <w:marBottom w:val="0"/>
      <w:divBdr>
        <w:top w:val="none" w:sz="0" w:space="0" w:color="auto"/>
        <w:left w:val="none" w:sz="0" w:space="0" w:color="auto"/>
        <w:bottom w:val="none" w:sz="0" w:space="0" w:color="auto"/>
        <w:right w:val="none" w:sz="0" w:space="0" w:color="auto"/>
      </w:divBdr>
    </w:div>
    <w:div w:id="619150443">
      <w:bodyDiv w:val="1"/>
      <w:marLeft w:val="0"/>
      <w:marRight w:val="0"/>
      <w:marTop w:val="0"/>
      <w:marBottom w:val="0"/>
      <w:divBdr>
        <w:top w:val="none" w:sz="0" w:space="0" w:color="auto"/>
        <w:left w:val="none" w:sz="0" w:space="0" w:color="auto"/>
        <w:bottom w:val="none" w:sz="0" w:space="0" w:color="auto"/>
        <w:right w:val="none" w:sz="0" w:space="0" w:color="auto"/>
      </w:divBdr>
      <w:divsChild>
        <w:div w:id="235631362">
          <w:marLeft w:val="0"/>
          <w:marRight w:val="0"/>
          <w:marTop w:val="0"/>
          <w:marBottom w:val="0"/>
          <w:divBdr>
            <w:top w:val="none" w:sz="0" w:space="0" w:color="auto"/>
            <w:left w:val="none" w:sz="0" w:space="0" w:color="auto"/>
            <w:bottom w:val="none" w:sz="0" w:space="0" w:color="auto"/>
            <w:right w:val="none" w:sz="0" w:space="0" w:color="auto"/>
          </w:divBdr>
        </w:div>
        <w:div w:id="769080872">
          <w:marLeft w:val="0"/>
          <w:marRight w:val="0"/>
          <w:marTop w:val="0"/>
          <w:marBottom w:val="0"/>
          <w:divBdr>
            <w:top w:val="none" w:sz="0" w:space="0" w:color="auto"/>
            <w:left w:val="none" w:sz="0" w:space="0" w:color="auto"/>
            <w:bottom w:val="none" w:sz="0" w:space="0" w:color="auto"/>
            <w:right w:val="none" w:sz="0" w:space="0" w:color="auto"/>
          </w:divBdr>
          <w:divsChild>
            <w:div w:id="1014571492">
              <w:marLeft w:val="0"/>
              <w:marRight w:val="165"/>
              <w:marTop w:val="150"/>
              <w:marBottom w:val="0"/>
              <w:divBdr>
                <w:top w:val="none" w:sz="0" w:space="0" w:color="auto"/>
                <w:left w:val="none" w:sz="0" w:space="0" w:color="auto"/>
                <w:bottom w:val="none" w:sz="0" w:space="0" w:color="auto"/>
                <w:right w:val="none" w:sz="0" w:space="0" w:color="auto"/>
              </w:divBdr>
              <w:divsChild>
                <w:div w:id="1118525111">
                  <w:marLeft w:val="0"/>
                  <w:marRight w:val="0"/>
                  <w:marTop w:val="0"/>
                  <w:marBottom w:val="0"/>
                  <w:divBdr>
                    <w:top w:val="none" w:sz="0" w:space="0" w:color="auto"/>
                    <w:left w:val="none" w:sz="0" w:space="0" w:color="auto"/>
                    <w:bottom w:val="none" w:sz="0" w:space="0" w:color="auto"/>
                    <w:right w:val="none" w:sz="0" w:space="0" w:color="auto"/>
                  </w:divBdr>
                  <w:divsChild>
                    <w:div w:id="776750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0299">
      <w:bodyDiv w:val="1"/>
      <w:marLeft w:val="0"/>
      <w:marRight w:val="0"/>
      <w:marTop w:val="0"/>
      <w:marBottom w:val="0"/>
      <w:divBdr>
        <w:top w:val="none" w:sz="0" w:space="0" w:color="auto"/>
        <w:left w:val="none" w:sz="0" w:space="0" w:color="auto"/>
        <w:bottom w:val="none" w:sz="0" w:space="0" w:color="auto"/>
        <w:right w:val="none" w:sz="0" w:space="0" w:color="auto"/>
      </w:divBdr>
      <w:divsChild>
        <w:div w:id="1802723756">
          <w:marLeft w:val="0"/>
          <w:marRight w:val="0"/>
          <w:marTop w:val="0"/>
          <w:marBottom w:val="0"/>
          <w:divBdr>
            <w:top w:val="none" w:sz="0" w:space="0" w:color="auto"/>
            <w:left w:val="none" w:sz="0" w:space="0" w:color="auto"/>
            <w:bottom w:val="none" w:sz="0" w:space="0" w:color="auto"/>
            <w:right w:val="none" w:sz="0" w:space="0" w:color="auto"/>
          </w:divBdr>
        </w:div>
        <w:div w:id="1697272248">
          <w:marLeft w:val="0"/>
          <w:marRight w:val="0"/>
          <w:marTop w:val="0"/>
          <w:marBottom w:val="0"/>
          <w:divBdr>
            <w:top w:val="none" w:sz="0" w:space="0" w:color="auto"/>
            <w:left w:val="none" w:sz="0" w:space="0" w:color="auto"/>
            <w:bottom w:val="none" w:sz="0" w:space="0" w:color="auto"/>
            <w:right w:val="none" w:sz="0" w:space="0" w:color="auto"/>
          </w:divBdr>
          <w:divsChild>
            <w:div w:id="1476332994">
              <w:marLeft w:val="0"/>
              <w:marRight w:val="165"/>
              <w:marTop w:val="150"/>
              <w:marBottom w:val="0"/>
              <w:divBdr>
                <w:top w:val="none" w:sz="0" w:space="0" w:color="auto"/>
                <w:left w:val="none" w:sz="0" w:space="0" w:color="auto"/>
                <w:bottom w:val="none" w:sz="0" w:space="0" w:color="auto"/>
                <w:right w:val="none" w:sz="0" w:space="0" w:color="auto"/>
              </w:divBdr>
              <w:divsChild>
                <w:div w:id="2019891511">
                  <w:marLeft w:val="0"/>
                  <w:marRight w:val="0"/>
                  <w:marTop w:val="0"/>
                  <w:marBottom w:val="0"/>
                  <w:divBdr>
                    <w:top w:val="none" w:sz="0" w:space="0" w:color="auto"/>
                    <w:left w:val="none" w:sz="0" w:space="0" w:color="auto"/>
                    <w:bottom w:val="none" w:sz="0" w:space="0" w:color="auto"/>
                    <w:right w:val="none" w:sz="0" w:space="0" w:color="auto"/>
                  </w:divBdr>
                  <w:divsChild>
                    <w:div w:id="433786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226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42">
          <w:marLeft w:val="0"/>
          <w:marRight w:val="0"/>
          <w:marTop w:val="0"/>
          <w:marBottom w:val="0"/>
          <w:divBdr>
            <w:top w:val="none" w:sz="0" w:space="0" w:color="auto"/>
            <w:left w:val="none" w:sz="0" w:space="0" w:color="auto"/>
            <w:bottom w:val="none" w:sz="0" w:space="0" w:color="auto"/>
            <w:right w:val="none" w:sz="0" w:space="0" w:color="auto"/>
          </w:divBdr>
          <w:divsChild>
            <w:div w:id="755856876">
              <w:marLeft w:val="0"/>
              <w:marRight w:val="0"/>
              <w:marTop w:val="0"/>
              <w:marBottom w:val="0"/>
              <w:divBdr>
                <w:top w:val="none" w:sz="0" w:space="0" w:color="auto"/>
                <w:left w:val="none" w:sz="0" w:space="0" w:color="auto"/>
                <w:bottom w:val="none" w:sz="0" w:space="0" w:color="auto"/>
                <w:right w:val="none" w:sz="0" w:space="0" w:color="auto"/>
              </w:divBdr>
              <w:divsChild>
                <w:div w:id="6056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0911">
      <w:bodyDiv w:val="1"/>
      <w:marLeft w:val="0"/>
      <w:marRight w:val="0"/>
      <w:marTop w:val="0"/>
      <w:marBottom w:val="0"/>
      <w:divBdr>
        <w:top w:val="none" w:sz="0" w:space="0" w:color="auto"/>
        <w:left w:val="none" w:sz="0" w:space="0" w:color="auto"/>
        <w:bottom w:val="none" w:sz="0" w:space="0" w:color="auto"/>
        <w:right w:val="none" w:sz="0" w:space="0" w:color="auto"/>
      </w:divBdr>
    </w:div>
    <w:div w:id="1528983101">
      <w:bodyDiv w:val="1"/>
      <w:marLeft w:val="0"/>
      <w:marRight w:val="0"/>
      <w:marTop w:val="0"/>
      <w:marBottom w:val="0"/>
      <w:divBdr>
        <w:top w:val="none" w:sz="0" w:space="0" w:color="auto"/>
        <w:left w:val="none" w:sz="0" w:space="0" w:color="auto"/>
        <w:bottom w:val="none" w:sz="0" w:space="0" w:color="auto"/>
        <w:right w:val="none" w:sz="0" w:space="0" w:color="auto"/>
      </w:divBdr>
    </w:div>
    <w:div w:id="169360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292">
          <w:marLeft w:val="0"/>
          <w:marRight w:val="0"/>
          <w:marTop w:val="0"/>
          <w:marBottom w:val="0"/>
          <w:divBdr>
            <w:top w:val="none" w:sz="0" w:space="0" w:color="auto"/>
            <w:left w:val="none" w:sz="0" w:space="0" w:color="auto"/>
            <w:bottom w:val="none" w:sz="0" w:space="0" w:color="auto"/>
            <w:right w:val="none" w:sz="0" w:space="0" w:color="auto"/>
          </w:divBdr>
        </w:div>
        <w:div w:id="1854030722">
          <w:marLeft w:val="0"/>
          <w:marRight w:val="0"/>
          <w:marTop w:val="0"/>
          <w:marBottom w:val="0"/>
          <w:divBdr>
            <w:top w:val="none" w:sz="0" w:space="0" w:color="auto"/>
            <w:left w:val="none" w:sz="0" w:space="0" w:color="auto"/>
            <w:bottom w:val="none" w:sz="0" w:space="0" w:color="auto"/>
            <w:right w:val="none" w:sz="0" w:space="0" w:color="auto"/>
          </w:divBdr>
          <w:divsChild>
            <w:div w:id="467012004">
              <w:marLeft w:val="0"/>
              <w:marRight w:val="165"/>
              <w:marTop w:val="150"/>
              <w:marBottom w:val="0"/>
              <w:divBdr>
                <w:top w:val="none" w:sz="0" w:space="0" w:color="auto"/>
                <w:left w:val="none" w:sz="0" w:space="0" w:color="auto"/>
                <w:bottom w:val="none" w:sz="0" w:space="0" w:color="auto"/>
                <w:right w:val="none" w:sz="0" w:space="0" w:color="auto"/>
              </w:divBdr>
              <w:divsChild>
                <w:div w:id="1918857118">
                  <w:marLeft w:val="0"/>
                  <w:marRight w:val="0"/>
                  <w:marTop w:val="0"/>
                  <w:marBottom w:val="0"/>
                  <w:divBdr>
                    <w:top w:val="none" w:sz="0" w:space="0" w:color="auto"/>
                    <w:left w:val="none" w:sz="0" w:space="0" w:color="auto"/>
                    <w:bottom w:val="none" w:sz="0" w:space="0" w:color="auto"/>
                    <w:right w:val="none" w:sz="0" w:space="0" w:color="auto"/>
                  </w:divBdr>
                  <w:divsChild>
                    <w:div w:id="1574389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8535">
      <w:bodyDiv w:val="1"/>
      <w:marLeft w:val="0"/>
      <w:marRight w:val="0"/>
      <w:marTop w:val="0"/>
      <w:marBottom w:val="0"/>
      <w:divBdr>
        <w:top w:val="none" w:sz="0" w:space="0" w:color="auto"/>
        <w:left w:val="none" w:sz="0" w:space="0" w:color="auto"/>
        <w:bottom w:val="none" w:sz="0" w:space="0" w:color="auto"/>
        <w:right w:val="none" w:sz="0" w:space="0" w:color="auto"/>
      </w:divBdr>
      <w:divsChild>
        <w:div w:id="1527937313">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sChild>
            <w:div w:id="1580016800">
              <w:marLeft w:val="0"/>
              <w:marRight w:val="165"/>
              <w:marTop w:val="150"/>
              <w:marBottom w:val="0"/>
              <w:divBdr>
                <w:top w:val="none" w:sz="0" w:space="0" w:color="auto"/>
                <w:left w:val="none" w:sz="0" w:space="0" w:color="auto"/>
                <w:bottom w:val="none" w:sz="0" w:space="0" w:color="auto"/>
                <w:right w:val="none" w:sz="0" w:space="0" w:color="auto"/>
              </w:divBdr>
              <w:divsChild>
                <w:div w:id="859900914">
                  <w:marLeft w:val="0"/>
                  <w:marRight w:val="0"/>
                  <w:marTop w:val="0"/>
                  <w:marBottom w:val="0"/>
                  <w:divBdr>
                    <w:top w:val="none" w:sz="0" w:space="0" w:color="auto"/>
                    <w:left w:val="none" w:sz="0" w:space="0" w:color="auto"/>
                    <w:bottom w:val="none" w:sz="0" w:space="0" w:color="auto"/>
                    <w:right w:val="none" w:sz="0" w:space="0" w:color="auto"/>
                  </w:divBdr>
                  <w:divsChild>
                    <w:div w:id="417478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20/229.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2022-04-21T12:39:00Z</dcterms:created>
  <dcterms:modified xsi:type="dcterms:W3CDTF">2022-04-21T12:39:00Z</dcterms:modified>
</cp:coreProperties>
</file>