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3481" w14:textId="77777777" w:rsidR="001636D0" w:rsidRPr="005B0CA2" w:rsidRDefault="00AE54C6" w:rsidP="008C0DC4">
      <w:pPr>
        <w:pStyle w:val="NoSpacing"/>
        <w:ind w:right="-604"/>
        <w:jc w:val="center"/>
        <w:rPr>
          <w:rFonts w:ascii="Cambria" w:hAnsi="Cambria"/>
          <w:b/>
          <w:color w:val="000000"/>
          <w:sz w:val="20"/>
          <w:szCs w:val="20"/>
          <w:lang w:val="es-ES"/>
        </w:rPr>
      </w:pPr>
      <w:r w:rsidRPr="005B0CA2">
        <w:rPr>
          <w:rFonts w:ascii="Cambria" w:hAnsi="Cambria"/>
          <w:b/>
          <w:color w:val="000000"/>
          <w:sz w:val="20"/>
          <w:szCs w:val="20"/>
          <w:lang w:val="es-ES"/>
        </w:rPr>
        <w:t xml:space="preserve">FICHA DE SEGUIMIENTO DEL INFORME Nº </w:t>
      </w:r>
      <w:r w:rsidRPr="005B0CA2">
        <w:rPr>
          <w:rFonts w:ascii="Cambria" w:hAnsi="Cambria" w:cs="Calibri"/>
          <w:b/>
          <w:bCs/>
          <w:color w:val="000000"/>
          <w:sz w:val="20"/>
          <w:szCs w:val="20"/>
          <w:lang w:val="es-ES"/>
        </w:rPr>
        <w:t>59/01</w:t>
      </w:r>
    </w:p>
    <w:p w14:paraId="75FA19E4" w14:textId="77777777" w:rsidR="001636D0" w:rsidRPr="005B0CA2" w:rsidRDefault="00AE54C6" w:rsidP="005D3131">
      <w:pPr>
        <w:pStyle w:val="NoSpacing"/>
        <w:ind w:left="-720" w:right="-604"/>
        <w:jc w:val="center"/>
        <w:rPr>
          <w:rFonts w:ascii="Cambria" w:hAnsi="Cambria"/>
          <w:b/>
          <w:color w:val="000000"/>
          <w:sz w:val="20"/>
          <w:szCs w:val="20"/>
          <w:lang w:val="es-ES"/>
        </w:rPr>
      </w:pPr>
      <w:r w:rsidRPr="005B0CA2">
        <w:rPr>
          <w:rFonts w:ascii="Cambria" w:hAnsi="Cambria"/>
          <w:b/>
          <w:color w:val="000000"/>
          <w:sz w:val="20"/>
          <w:szCs w:val="20"/>
          <w:lang w:val="es-ES"/>
        </w:rPr>
        <w:t>CASO 10.626 (REMIGIO DOMINGO MORALES Y RAFAEL SÁNCHEZ)</w:t>
      </w:r>
    </w:p>
    <w:p w14:paraId="16C048BA" w14:textId="77777777" w:rsidR="001636D0" w:rsidRPr="005B0CA2" w:rsidRDefault="00AE54C6" w:rsidP="005D3131">
      <w:pPr>
        <w:pStyle w:val="NoSpacing"/>
        <w:ind w:left="-720" w:right="-604"/>
        <w:jc w:val="center"/>
        <w:rPr>
          <w:rFonts w:ascii="Cambria" w:hAnsi="Cambria"/>
          <w:b/>
          <w:color w:val="000000"/>
          <w:sz w:val="20"/>
          <w:szCs w:val="20"/>
          <w:lang w:val="es-ES"/>
        </w:rPr>
      </w:pPr>
      <w:r w:rsidRPr="005B0CA2">
        <w:rPr>
          <w:rFonts w:ascii="Cambria" w:hAnsi="Cambria"/>
          <w:b/>
          <w:color w:val="000000"/>
          <w:sz w:val="20"/>
          <w:szCs w:val="20"/>
          <w:lang w:val="es-ES"/>
        </w:rPr>
        <w:t>CASO 10.627 (PEDRO TAU CAC)</w:t>
      </w:r>
    </w:p>
    <w:p w14:paraId="69B2B5A6" w14:textId="77777777" w:rsidR="001636D0" w:rsidRPr="005B0CA2" w:rsidRDefault="00AE54C6" w:rsidP="005D3131">
      <w:pPr>
        <w:pStyle w:val="NoSpacing"/>
        <w:ind w:left="-720" w:right="-604"/>
        <w:jc w:val="center"/>
        <w:rPr>
          <w:rFonts w:ascii="Cambria" w:hAnsi="Cambria"/>
          <w:b/>
          <w:color w:val="000000"/>
          <w:sz w:val="20"/>
          <w:szCs w:val="20"/>
          <w:lang w:val="es-ES"/>
        </w:rPr>
      </w:pPr>
      <w:r w:rsidRPr="005B0CA2">
        <w:rPr>
          <w:rFonts w:ascii="Cambria" w:hAnsi="Cambria"/>
          <w:b/>
          <w:color w:val="000000"/>
          <w:sz w:val="20"/>
          <w:szCs w:val="20"/>
          <w:lang w:val="es-ES"/>
        </w:rPr>
        <w:t>CASO 11.198 (JOSÉ MARÍA IXCAYA PIXTAY Y OTROS)</w:t>
      </w:r>
    </w:p>
    <w:p w14:paraId="07EF9659" w14:textId="77777777" w:rsidR="001636D0" w:rsidRPr="005B0CA2" w:rsidRDefault="00AE54C6" w:rsidP="005D3131">
      <w:pPr>
        <w:pStyle w:val="NoSpacing"/>
        <w:ind w:left="-720" w:right="-604"/>
        <w:jc w:val="center"/>
        <w:rPr>
          <w:rFonts w:ascii="Cambria" w:hAnsi="Cambria"/>
          <w:b/>
          <w:color w:val="000000"/>
          <w:sz w:val="20"/>
          <w:szCs w:val="20"/>
          <w:lang w:val="es-ES"/>
        </w:rPr>
      </w:pPr>
      <w:r w:rsidRPr="005B0CA2">
        <w:rPr>
          <w:rFonts w:ascii="Cambria" w:hAnsi="Cambria"/>
          <w:b/>
          <w:color w:val="000000"/>
          <w:sz w:val="20"/>
          <w:szCs w:val="20"/>
          <w:lang w:val="es-ES"/>
        </w:rPr>
        <w:t>CASO 10.799 (CATALINO CHOCHOY Y OTROS)</w:t>
      </w:r>
    </w:p>
    <w:p w14:paraId="0D677D2C" w14:textId="77777777" w:rsidR="001636D0" w:rsidRPr="005B0CA2" w:rsidRDefault="00AE54C6" w:rsidP="005D3131">
      <w:pPr>
        <w:pStyle w:val="NoSpacing"/>
        <w:ind w:left="-720" w:right="-604"/>
        <w:jc w:val="center"/>
        <w:rPr>
          <w:rFonts w:ascii="Cambria" w:hAnsi="Cambria"/>
          <w:b/>
          <w:color w:val="000000"/>
          <w:sz w:val="20"/>
          <w:szCs w:val="20"/>
          <w:lang w:val="es-ES"/>
        </w:rPr>
      </w:pPr>
      <w:r w:rsidRPr="005B0CA2">
        <w:rPr>
          <w:rFonts w:ascii="Cambria" w:hAnsi="Cambria"/>
          <w:b/>
          <w:color w:val="000000"/>
          <w:sz w:val="20"/>
          <w:szCs w:val="20"/>
          <w:lang w:val="es-ES"/>
        </w:rPr>
        <w:t xml:space="preserve">CASO10.751 (JUAN GALICIA HERNÁNDEZ Y OTROS) </w:t>
      </w:r>
    </w:p>
    <w:p w14:paraId="5639B43C" w14:textId="77777777" w:rsidR="001636D0" w:rsidRPr="005B0CA2" w:rsidRDefault="00AE54C6" w:rsidP="005D3131">
      <w:pPr>
        <w:pStyle w:val="NoSpacing"/>
        <w:ind w:left="-720" w:right="-604"/>
        <w:jc w:val="center"/>
        <w:rPr>
          <w:rFonts w:ascii="Cambria" w:hAnsi="Cambria"/>
          <w:b/>
          <w:color w:val="000000"/>
          <w:sz w:val="20"/>
          <w:szCs w:val="20"/>
          <w:lang w:val="es-ES"/>
        </w:rPr>
      </w:pPr>
      <w:r w:rsidRPr="005B0CA2">
        <w:rPr>
          <w:rFonts w:ascii="Cambria" w:hAnsi="Cambria"/>
          <w:b/>
          <w:color w:val="000000"/>
          <w:sz w:val="20"/>
          <w:szCs w:val="20"/>
          <w:lang w:val="es-ES"/>
        </w:rPr>
        <w:t xml:space="preserve">CASO 10.901 (ANTULIO DELGADO) </w:t>
      </w:r>
    </w:p>
    <w:p w14:paraId="7EC444EC" w14:textId="77777777" w:rsidR="001636D0" w:rsidRPr="005B0CA2" w:rsidRDefault="001636D0" w:rsidP="005D3131">
      <w:pPr>
        <w:pStyle w:val="NoSpacing"/>
        <w:ind w:left="-720" w:right="-604"/>
        <w:jc w:val="center"/>
        <w:rPr>
          <w:rFonts w:ascii="Cambria" w:hAnsi="Cambria"/>
          <w:b/>
          <w:color w:val="000000"/>
          <w:sz w:val="20"/>
          <w:szCs w:val="20"/>
          <w:lang w:val="es-ES"/>
        </w:rPr>
      </w:pPr>
      <w:r w:rsidRPr="005B0CA2">
        <w:rPr>
          <w:rFonts w:ascii="Cambria" w:hAnsi="Cambria"/>
          <w:b/>
          <w:color w:val="000000"/>
          <w:sz w:val="20"/>
          <w:szCs w:val="20"/>
          <w:lang w:val="es-ES"/>
        </w:rPr>
        <w:t>(Guatemala)</w:t>
      </w:r>
    </w:p>
    <w:p w14:paraId="4A951DDA" w14:textId="77777777" w:rsidR="001636D0" w:rsidRPr="005B0CA2" w:rsidRDefault="001636D0" w:rsidP="005D3131">
      <w:pPr>
        <w:pStyle w:val="NoSpacing"/>
        <w:ind w:left="-720" w:right="-604"/>
        <w:jc w:val="center"/>
        <w:rPr>
          <w:rFonts w:ascii="Cambria" w:hAnsi="Cambria"/>
          <w:b/>
          <w:color w:val="000000"/>
          <w:sz w:val="20"/>
          <w:szCs w:val="20"/>
          <w:lang w:val="es-ES"/>
        </w:rPr>
      </w:pPr>
    </w:p>
    <w:p w14:paraId="55A70172" w14:textId="77777777" w:rsidR="001636D0" w:rsidRPr="005B0CA2" w:rsidRDefault="001636D0" w:rsidP="00880019">
      <w:pPr>
        <w:numPr>
          <w:ilvl w:val="0"/>
          <w:numId w:val="1"/>
        </w:numPr>
        <w:spacing w:after="0" w:line="240" w:lineRule="auto"/>
        <w:ind w:left="1440"/>
        <w:rPr>
          <w:rFonts w:ascii="Cambria" w:hAnsi="Cambria" w:cs="Calibri Light"/>
          <w:b/>
          <w:color w:val="000000"/>
          <w:sz w:val="20"/>
          <w:szCs w:val="20"/>
          <w:lang w:val="es-ES"/>
        </w:rPr>
      </w:pPr>
      <w:r w:rsidRPr="005B0CA2">
        <w:rPr>
          <w:rFonts w:ascii="Cambria" w:hAnsi="Cambria" w:cs="Calibri Light"/>
          <w:b/>
          <w:color w:val="000000"/>
          <w:sz w:val="20"/>
          <w:szCs w:val="20"/>
          <w:lang w:val="es-ES"/>
        </w:rPr>
        <w:t xml:space="preserve">Resumen del caso </w:t>
      </w:r>
    </w:p>
    <w:p w14:paraId="02EF56AC" w14:textId="77777777" w:rsidR="001636D0" w:rsidRPr="005B0CA2" w:rsidRDefault="001636D0" w:rsidP="005D3131">
      <w:pPr>
        <w:spacing w:after="0" w:line="240" w:lineRule="auto"/>
        <w:ind w:left="1080"/>
        <w:rPr>
          <w:rFonts w:ascii="Cambria" w:hAnsi="Cambria" w:cs="Calibri Light"/>
          <w:b/>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636D0" w:rsidRPr="005B0CA2" w14:paraId="4070F7BE" w14:textId="77777777" w:rsidTr="008B5170">
        <w:trPr>
          <w:jc w:val="center"/>
        </w:trPr>
        <w:tc>
          <w:tcPr>
            <w:tcW w:w="9576" w:type="dxa"/>
            <w:shd w:val="clear" w:color="auto" w:fill="F2F2F2"/>
          </w:tcPr>
          <w:p w14:paraId="32DCB94F" w14:textId="77777777" w:rsidR="001636D0" w:rsidRPr="005B0CA2" w:rsidRDefault="001636D0" w:rsidP="00AE54C6">
            <w:pPr>
              <w:pStyle w:val="NoSpacing"/>
              <w:spacing w:before="120"/>
              <w:jc w:val="both"/>
              <w:rPr>
                <w:rFonts w:ascii="Cambria" w:hAnsi="Cambria"/>
                <w:color w:val="000000"/>
                <w:sz w:val="20"/>
                <w:szCs w:val="20"/>
                <w:lang w:val="es-ES"/>
              </w:rPr>
            </w:pPr>
            <w:r w:rsidRPr="005B0CA2">
              <w:rPr>
                <w:rFonts w:ascii="Cambria" w:eastAsia="Calibri" w:hAnsi="Cambria" w:cs="Times New Roman"/>
                <w:b/>
                <w:color w:val="000000"/>
                <w:sz w:val="20"/>
                <w:szCs w:val="20"/>
                <w:lang w:val="es-ES" w:eastAsia="en-US"/>
              </w:rPr>
              <w:t xml:space="preserve">Víctima (s): </w:t>
            </w:r>
            <w:r w:rsidRPr="005B0CA2">
              <w:rPr>
                <w:rFonts w:ascii="Cambria" w:eastAsia="Calibri" w:hAnsi="Cambria" w:cs="Times New Roman"/>
                <w:color w:val="000000"/>
                <w:sz w:val="20"/>
                <w:szCs w:val="20"/>
                <w:lang w:val="es-ES" w:eastAsia="en-US"/>
              </w:rPr>
              <w:t>Remigio Domingo Morales, Rafael Sánchez, Pedro Tau Cac, José María Ixcaya Pictay, José Vicente</w:t>
            </w:r>
            <w:r w:rsidRPr="005B0CA2">
              <w:rPr>
                <w:rFonts w:ascii="Cambria" w:hAnsi="Cambria"/>
                <w:color w:val="000000"/>
                <w:sz w:val="20"/>
                <w:szCs w:val="20"/>
                <w:lang w:val="es-ES"/>
              </w:rPr>
              <w:t xml:space="preserve"> García, Mateo Sarat Ixcoy, Celestino Julaj Vicente, Miguel Calel, Pedro Raguez, Pablo Ajiataz, Manuel Ajiataz Chivalan, Catrino Chanchavac Larios, Miguel Tau Imul, Camilo Ajquí Gimon, Juan Tzunux Us, Catalino Chochoy, José Corino Thesen, Abelino Baycaj, Juan Galicia Hernández, Andrés Abelino Galicia Gutiérrez, Orlando </w:t>
            </w:r>
            <w:proofErr w:type="gramStart"/>
            <w:r w:rsidRPr="005B0CA2">
              <w:rPr>
                <w:rFonts w:ascii="Cambria" w:hAnsi="Cambria"/>
                <w:color w:val="000000"/>
                <w:sz w:val="20"/>
                <w:szCs w:val="20"/>
                <w:lang w:val="es-ES"/>
              </w:rPr>
              <w:t>Adelso  Galicia</w:t>
            </w:r>
            <w:proofErr w:type="gramEnd"/>
            <w:r w:rsidRPr="005B0CA2">
              <w:rPr>
                <w:rFonts w:ascii="Cambria" w:hAnsi="Cambria"/>
                <w:color w:val="000000"/>
                <w:sz w:val="20"/>
                <w:szCs w:val="20"/>
                <w:lang w:val="es-ES"/>
              </w:rPr>
              <w:t xml:space="preserve"> Guti</w:t>
            </w:r>
            <w:r w:rsidR="008C77AE" w:rsidRPr="005B0CA2">
              <w:rPr>
                <w:rFonts w:ascii="Cambria" w:hAnsi="Cambria"/>
                <w:color w:val="000000"/>
                <w:sz w:val="20"/>
                <w:szCs w:val="20"/>
                <w:lang w:val="es-ES"/>
              </w:rPr>
              <w:t>érrez y Antulio Delgado</w:t>
            </w:r>
          </w:p>
          <w:p w14:paraId="58BDE7B6" w14:textId="77777777" w:rsidR="001636D0" w:rsidRPr="005B0CA2" w:rsidRDefault="00803D22" w:rsidP="005D3131">
            <w:pPr>
              <w:pStyle w:val="NoSpacing"/>
              <w:jc w:val="both"/>
              <w:rPr>
                <w:rFonts w:ascii="Cambria" w:hAnsi="Cambria"/>
                <w:color w:val="000000"/>
                <w:sz w:val="20"/>
                <w:szCs w:val="20"/>
                <w:lang w:val="es-ES"/>
              </w:rPr>
            </w:pPr>
            <w:r w:rsidRPr="005B0CA2">
              <w:rPr>
                <w:rFonts w:ascii="Cambria" w:hAnsi="Cambria"/>
                <w:b/>
                <w:color w:val="000000"/>
                <w:sz w:val="20"/>
                <w:szCs w:val="20"/>
                <w:lang w:val="es-ES"/>
              </w:rPr>
              <w:t>Peticionario</w:t>
            </w:r>
            <w:r w:rsidR="001636D0" w:rsidRPr="005B0CA2">
              <w:rPr>
                <w:rFonts w:ascii="Cambria" w:hAnsi="Cambria"/>
                <w:b/>
                <w:color w:val="000000"/>
                <w:sz w:val="20"/>
                <w:szCs w:val="20"/>
                <w:lang w:val="es-ES"/>
              </w:rPr>
              <w:t xml:space="preserve"> (s):</w:t>
            </w:r>
            <w:r w:rsidR="001636D0" w:rsidRPr="005B0CA2">
              <w:rPr>
                <w:rFonts w:ascii="Cambria" w:hAnsi="Cambria"/>
                <w:color w:val="000000"/>
                <w:sz w:val="20"/>
                <w:szCs w:val="20"/>
                <w:lang w:val="es-ES"/>
              </w:rPr>
              <w:t xml:space="preserve"> Amilcar Mendez Urizar (CERJ), Centro de </w:t>
            </w:r>
            <w:r w:rsidR="00A8776D" w:rsidRPr="005B0CA2">
              <w:rPr>
                <w:rFonts w:ascii="Cambria" w:hAnsi="Cambria"/>
                <w:color w:val="000000"/>
                <w:sz w:val="20"/>
                <w:szCs w:val="20"/>
                <w:lang w:val="es-ES"/>
              </w:rPr>
              <w:t>Acción</w:t>
            </w:r>
            <w:r w:rsidR="001636D0" w:rsidRPr="005B0CA2">
              <w:rPr>
                <w:rFonts w:ascii="Cambria" w:hAnsi="Cambria"/>
                <w:color w:val="000000"/>
                <w:sz w:val="20"/>
                <w:szCs w:val="20"/>
                <w:lang w:val="es-ES"/>
              </w:rPr>
              <w:t xml:space="preserve"> Legal de Derechos Humanos (CALDH)</w:t>
            </w:r>
            <w:r w:rsidR="008C77AE" w:rsidRPr="005B0CA2">
              <w:rPr>
                <w:rFonts w:ascii="Cambria" w:hAnsi="Cambria"/>
                <w:color w:val="000000"/>
                <w:sz w:val="20"/>
                <w:szCs w:val="20"/>
                <w:lang w:val="es-ES"/>
              </w:rPr>
              <w:t>, José Alberto Flores (CDHG)</w:t>
            </w:r>
          </w:p>
          <w:p w14:paraId="086F2410" w14:textId="77777777" w:rsidR="001636D0" w:rsidRPr="005B0CA2" w:rsidRDefault="001636D0" w:rsidP="005D3131">
            <w:pPr>
              <w:pStyle w:val="NoSpacing"/>
              <w:jc w:val="both"/>
              <w:rPr>
                <w:rFonts w:ascii="Cambria" w:hAnsi="Cambria"/>
                <w:color w:val="000000"/>
                <w:sz w:val="20"/>
                <w:szCs w:val="20"/>
                <w:lang w:val="es-ES"/>
              </w:rPr>
            </w:pPr>
            <w:r w:rsidRPr="005B0CA2">
              <w:rPr>
                <w:rFonts w:ascii="Cambria" w:hAnsi="Cambria"/>
                <w:b/>
                <w:color w:val="000000"/>
                <w:sz w:val="20"/>
                <w:szCs w:val="20"/>
                <w:lang w:val="es-ES"/>
              </w:rPr>
              <w:t>Estado:</w:t>
            </w:r>
            <w:r w:rsidR="008C77AE" w:rsidRPr="005B0CA2">
              <w:rPr>
                <w:rFonts w:ascii="Cambria" w:hAnsi="Cambria"/>
                <w:color w:val="000000"/>
                <w:sz w:val="20"/>
                <w:szCs w:val="20"/>
                <w:lang w:val="es-ES"/>
              </w:rPr>
              <w:t xml:space="preserve"> Guatemala</w:t>
            </w:r>
          </w:p>
          <w:p w14:paraId="2AC71F5A" w14:textId="77777777" w:rsidR="001636D0" w:rsidRPr="005B0CA2" w:rsidRDefault="001636D0" w:rsidP="005D3131">
            <w:pPr>
              <w:pStyle w:val="NoSpacing"/>
              <w:jc w:val="both"/>
              <w:rPr>
                <w:rFonts w:ascii="Cambria" w:hAnsi="Cambria"/>
                <w:color w:val="000000"/>
                <w:sz w:val="20"/>
                <w:szCs w:val="20"/>
                <w:lang w:val="es-ES"/>
              </w:rPr>
            </w:pPr>
            <w:r w:rsidRPr="005B0CA2">
              <w:rPr>
                <w:rFonts w:ascii="Cambria" w:hAnsi="Cambria"/>
                <w:b/>
                <w:color w:val="000000"/>
                <w:sz w:val="20"/>
                <w:szCs w:val="20"/>
                <w:lang w:val="es-ES"/>
              </w:rPr>
              <w:t>Informe de F</w:t>
            </w:r>
            <w:r w:rsidRPr="005B0CA2">
              <w:rPr>
                <w:rFonts w:ascii="Cambria" w:hAnsi="Cambria"/>
                <w:b/>
                <w:color w:val="000000"/>
                <w:sz w:val="20"/>
                <w:szCs w:val="20"/>
                <w:lang w:val="es-ES"/>
              </w:rPr>
              <w:t>o</w:t>
            </w:r>
            <w:r w:rsidRPr="005B0CA2">
              <w:rPr>
                <w:rFonts w:ascii="Cambria" w:hAnsi="Cambria"/>
                <w:b/>
                <w:color w:val="000000"/>
                <w:sz w:val="20"/>
                <w:szCs w:val="20"/>
                <w:lang w:val="es-ES"/>
              </w:rPr>
              <w:t xml:space="preserve">ndo </w:t>
            </w:r>
            <w:r w:rsidR="00375675" w:rsidRPr="005B0CA2">
              <w:rPr>
                <w:rFonts w:ascii="Cambria" w:hAnsi="Cambria"/>
                <w:b/>
                <w:color w:val="000000"/>
                <w:sz w:val="20"/>
                <w:szCs w:val="20"/>
                <w:lang w:val="es-ES"/>
              </w:rPr>
              <w:t>N</w:t>
            </w:r>
            <w:r w:rsidRPr="005B0CA2">
              <w:rPr>
                <w:rFonts w:ascii="Cambria" w:hAnsi="Cambria"/>
                <w:b/>
                <w:color w:val="000000"/>
                <w:sz w:val="20"/>
                <w:szCs w:val="20"/>
                <w:lang w:val="es-ES"/>
              </w:rPr>
              <w:t>º</w:t>
            </w:r>
            <w:r w:rsidR="002E1BC9" w:rsidRPr="005B0CA2">
              <w:rPr>
                <w:rFonts w:ascii="Cambria" w:hAnsi="Cambria"/>
                <w:b/>
                <w:color w:val="000000"/>
                <w:sz w:val="20"/>
                <w:szCs w:val="20"/>
                <w:lang w:val="es-ES"/>
              </w:rPr>
              <w:t>:</w:t>
            </w:r>
            <w:r w:rsidRPr="005B0CA2">
              <w:rPr>
                <w:rFonts w:ascii="Cambria" w:hAnsi="Cambria"/>
                <w:b/>
                <w:color w:val="000000"/>
                <w:sz w:val="20"/>
                <w:szCs w:val="20"/>
                <w:lang w:val="es-ES"/>
              </w:rPr>
              <w:t xml:space="preserve"> </w:t>
            </w:r>
            <w:hyperlink r:id="rId9" w:history="1">
              <w:r w:rsidRPr="005B0CA2">
                <w:rPr>
                  <w:rStyle w:val="Hyperlink"/>
                  <w:rFonts w:ascii="Cambria" w:hAnsi="Cambria"/>
                  <w:color w:val="000000"/>
                  <w:sz w:val="20"/>
                  <w:szCs w:val="20"/>
                  <w:lang w:val="es-ES"/>
                </w:rPr>
                <w:t>59/</w:t>
              </w:r>
              <w:r w:rsidRPr="005B0CA2">
                <w:rPr>
                  <w:rStyle w:val="Hyperlink"/>
                  <w:rFonts w:ascii="Cambria" w:hAnsi="Cambria"/>
                  <w:color w:val="000000"/>
                  <w:sz w:val="20"/>
                  <w:szCs w:val="20"/>
                  <w:lang w:val="es-ES"/>
                </w:rPr>
                <w:t>0</w:t>
              </w:r>
              <w:r w:rsidRPr="005B0CA2">
                <w:rPr>
                  <w:rStyle w:val="Hyperlink"/>
                  <w:rFonts w:ascii="Cambria" w:hAnsi="Cambria"/>
                  <w:color w:val="000000"/>
                  <w:sz w:val="20"/>
                  <w:szCs w:val="20"/>
                  <w:lang w:val="es-ES"/>
                </w:rPr>
                <w:t>1</w:t>
              </w:r>
            </w:hyperlink>
            <w:r w:rsidRPr="005B0CA2">
              <w:rPr>
                <w:rFonts w:ascii="Cambria" w:hAnsi="Cambria"/>
                <w:color w:val="000000"/>
                <w:sz w:val="20"/>
                <w:szCs w:val="20"/>
                <w:lang w:val="es-ES"/>
              </w:rPr>
              <w:t>, publicado el 07</w:t>
            </w:r>
            <w:r w:rsidR="008C77AE" w:rsidRPr="005B0CA2">
              <w:rPr>
                <w:rFonts w:ascii="Cambria" w:hAnsi="Cambria"/>
                <w:color w:val="000000"/>
                <w:sz w:val="20"/>
                <w:szCs w:val="20"/>
                <w:lang w:val="es-ES"/>
              </w:rPr>
              <w:t xml:space="preserve"> de abril de 2001</w:t>
            </w:r>
          </w:p>
          <w:p w14:paraId="340A999C" w14:textId="77777777" w:rsidR="001636D0" w:rsidRPr="005B0CA2" w:rsidRDefault="001636D0" w:rsidP="005D3131">
            <w:pPr>
              <w:pStyle w:val="NoSpacing"/>
              <w:jc w:val="both"/>
              <w:rPr>
                <w:rFonts w:ascii="Cambria" w:hAnsi="Cambria"/>
                <w:color w:val="000000"/>
                <w:sz w:val="20"/>
                <w:szCs w:val="20"/>
                <w:lang w:val="es-ES"/>
              </w:rPr>
            </w:pPr>
            <w:r w:rsidRPr="005B0CA2">
              <w:rPr>
                <w:rFonts w:ascii="Cambria" w:hAnsi="Cambria"/>
                <w:b/>
                <w:color w:val="000000"/>
                <w:sz w:val="20"/>
                <w:szCs w:val="20"/>
                <w:lang w:val="es-ES"/>
              </w:rPr>
              <w:t>Informe de Admisibilidad:</w:t>
            </w:r>
            <w:r w:rsidRPr="005B0CA2">
              <w:rPr>
                <w:rFonts w:ascii="Cambria" w:hAnsi="Cambria"/>
                <w:color w:val="000000"/>
                <w:sz w:val="20"/>
                <w:szCs w:val="20"/>
                <w:lang w:val="es-ES"/>
              </w:rPr>
              <w:t xml:space="preserve"> Analizando junto c</w:t>
            </w:r>
            <w:r w:rsidR="00375675" w:rsidRPr="005B0CA2">
              <w:rPr>
                <w:rFonts w:ascii="Cambria" w:hAnsi="Cambria"/>
                <w:color w:val="000000"/>
                <w:sz w:val="20"/>
                <w:szCs w:val="20"/>
                <w:lang w:val="es-ES"/>
              </w:rPr>
              <w:t>on el Informe de Fondo N</w:t>
            </w:r>
            <w:r w:rsidR="008C77AE" w:rsidRPr="005B0CA2">
              <w:rPr>
                <w:rFonts w:ascii="Cambria" w:hAnsi="Cambria"/>
                <w:color w:val="000000"/>
                <w:sz w:val="20"/>
                <w:szCs w:val="20"/>
                <w:lang w:val="es-ES"/>
              </w:rPr>
              <w:t>º 59/01</w:t>
            </w:r>
          </w:p>
          <w:p w14:paraId="15B3CE51" w14:textId="77777777" w:rsidR="001636D0" w:rsidRPr="005B0CA2" w:rsidRDefault="001636D0" w:rsidP="005D3131">
            <w:pPr>
              <w:pStyle w:val="NoSpacing"/>
              <w:jc w:val="both"/>
              <w:rPr>
                <w:rFonts w:ascii="Cambria" w:hAnsi="Cambria"/>
                <w:color w:val="000000"/>
                <w:sz w:val="20"/>
                <w:szCs w:val="20"/>
                <w:lang w:val="es-ES"/>
              </w:rPr>
            </w:pPr>
            <w:r w:rsidRPr="005B0CA2">
              <w:rPr>
                <w:rFonts w:ascii="Cambria" w:hAnsi="Cambria" w:cs="Calibri Light"/>
                <w:b/>
                <w:color w:val="000000"/>
                <w:sz w:val="20"/>
                <w:szCs w:val="20"/>
                <w:lang w:val="es-ES"/>
              </w:rPr>
              <w:t>Resolución</w:t>
            </w:r>
            <w:r w:rsidR="00375675" w:rsidRPr="005B0CA2">
              <w:rPr>
                <w:rFonts w:ascii="Cambria" w:hAnsi="Cambria" w:cs="Calibri Light"/>
                <w:b/>
                <w:color w:val="000000"/>
                <w:sz w:val="20"/>
                <w:szCs w:val="20"/>
                <w:lang w:val="es-ES"/>
              </w:rPr>
              <w:t xml:space="preserve"> Nº</w:t>
            </w:r>
            <w:r w:rsidR="002E1BC9" w:rsidRPr="005B0CA2">
              <w:rPr>
                <w:rFonts w:ascii="Cambria" w:hAnsi="Cambria" w:cs="Calibri Light"/>
                <w:b/>
                <w:color w:val="000000"/>
                <w:sz w:val="20"/>
                <w:szCs w:val="20"/>
                <w:lang w:val="es-ES"/>
              </w:rPr>
              <w:t>:</w:t>
            </w:r>
            <w:r w:rsidR="00375675" w:rsidRPr="005B0CA2">
              <w:rPr>
                <w:rFonts w:ascii="Cambria" w:hAnsi="Cambria" w:cs="Calibri Light"/>
                <w:b/>
                <w:color w:val="000000"/>
                <w:sz w:val="20"/>
                <w:szCs w:val="20"/>
                <w:lang w:val="es-ES"/>
              </w:rPr>
              <w:t xml:space="preserve"> </w:t>
            </w:r>
            <w:r w:rsidRPr="005B0CA2">
              <w:rPr>
                <w:rFonts w:ascii="Cambria" w:hAnsi="Cambria" w:cs="Calibri Light"/>
                <w:b/>
                <w:color w:val="000000"/>
                <w:sz w:val="20"/>
                <w:szCs w:val="20"/>
                <w:lang w:val="es-ES"/>
              </w:rPr>
              <w:t xml:space="preserve"> </w:t>
            </w:r>
            <w:hyperlink r:id="rId10" w:history="1">
              <w:r w:rsidRPr="005B0CA2">
                <w:rPr>
                  <w:rStyle w:val="Hyperlink"/>
                  <w:rFonts w:ascii="Cambria" w:hAnsi="Cambria" w:cs="Calibri Light"/>
                  <w:color w:val="000000"/>
                  <w:sz w:val="20"/>
                  <w:szCs w:val="20"/>
                  <w:lang w:val="es-ES"/>
                </w:rPr>
                <w:t>1/</w:t>
              </w:r>
              <w:r w:rsidRPr="005B0CA2">
                <w:rPr>
                  <w:rStyle w:val="Hyperlink"/>
                  <w:rFonts w:ascii="Cambria" w:hAnsi="Cambria" w:cs="Calibri Light"/>
                  <w:color w:val="000000"/>
                  <w:sz w:val="20"/>
                  <w:szCs w:val="20"/>
                  <w:lang w:val="es-ES"/>
                </w:rPr>
                <w:t>0</w:t>
              </w:r>
              <w:r w:rsidRPr="005B0CA2">
                <w:rPr>
                  <w:rStyle w:val="Hyperlink"/>
                  <w:rFonts w:ascii="Cambria" w:hAnsi="Cambria" w:cs="Calibri Light"/>
                  <w:color w:val="000000"/>
                  <w:sz w:val="20"/>
                  <w:szCs w:val="20"/>
                  <w:lang w:val="es-ES"/>
                </w:rPr>
                <w:t>6</w:t>
              </w:r>
            </w:hyperlink>
            <w:r w:rsidRPr="005B0CA2">
              <w:rPr>
                <w:rFonts w:ascii="Cambria" w:hAnsi="Cambria" w:cs="Calibri Light"/>
                <w:color w:val="000000"/>
                <w:sz w:val="20"/>
                <w:szCs w:val="20"/>
                <w:lang w:val="es-ES"/>
              </w:rPr>
              <w:t xml:space="preserve">  del 24 de abril de 2006</w:t>
            </w:r>
            <w:r w:rsidR="008C77AE" w:rsidRPr="005B0CA2">
              <w:rPr>
                <w:rFonts w:ascii="Cambria" w:hAnsi="Cambria" w:cs="Calibri Light"/>
                <w:color w:val="000000"/>
                <w:sz w:val="20"/>
                <w:szCs w:val="20"/>
                <w:lang w:val="es-ES"/>
              </w:rPr>
              <w:t xml:space="preserve"> qu</w:t>
            </w:r>
            <w:r w:rsidR="00375675" w:rsidRPr="005B0CA2">
              <w:rPr>
                <w:rFonts w:ascii="Cambria" w:hAnsi="Cambria" w:cs="Calibri Light"/>
                <w:color w:val="000000"/>
                <w:sz w:val="20"/>
                <w:szCs w:val="20"/>
                <w:lang w:val="es-ES"/>
              </w:rPr>
              <w:t>e modifica el Informe de Fondo Nº</w:t>
            </w:r>
            <w:r w:rsidR="008C77AE" w:rsidRPr="005B0CA2">
              <w:rPr>
                <w:rFonts w:ascii="Cambria" w:hAnsi="Cambria" w:cs="Calibri Light"/>
                <w:color w:val="000000"/>
                <w:sz w:val="20"/>
                <w:szCs w:val="20"/>
                <w:lang w:val="es-ES"/>
              </w:rPr>
              <w:t xml:space="preserve"> 59/01</w:t>
            </w:r>
          </w:p>
          <w:p w14:paraId="2DFEA855" w14:textId="77777777" w:rsidR="00FF79F0" w:rsidRPr="005B0CA2" w:rsidRDefault="001636D0" w:rsidP="00AE54C6">
            <w:pPr>
              <w:spacing w:after="120" w:line="240" w:lineRule="auto"/>
              <w:jc w:val="both"/>
              <w:rPr>
                <w:rFonts w:ascii="Cambria" w:hAnsi="Cambria"/>
                <w:color w:val="000000"/>
                <w:sz w:val="20"/>
                <w:szCs w:val="20"/>
                <w:lang w:val="es-ES"/>
              </w:rPr>
            </w:pPr>
            <w:r w:rsidRPr="005B0CA2">
              <w:rPr>
                <w:rFonts w:ascii="Cambria" w:hAnsi="Cambria"/>
                <w:b/>
                <w:color w:val="000000"/>
                <w:sz w:val="20"/>
                <w:szCs w:val="20"/>
                <w:lang w:val="es-ES"/>
              </w:rPr>
              <w:t>Temas:</w:t>
            </w:r>
            <w:r w:rsidR="00BA05B2" w:rsidRPr="005B0CA2">
              <w:rPr>
                <w:rFonts w:ascii="Cambria" w:hAnsi="Cambria"/>
                <w:color w:val="000000"/>
                <w:sz w:val="20"/>
                <w:szCs w:val="20"/>
                <w:lang w:val="es-ES"/>
              </w:rPr>
              <w:t xml:space="preserve"> </w:t>
            </w:r>
            <w:r w:rsidR="00FF79F0" w:rsidRPr="005B0CA2">
              <w:rPr>
                <w:rFonts w:ascii="Cambria" w:hAnsi="Cambria"/>
                <w:color w:val="000000"/>
                <w:sz w:val="20"/>
                <w:szCs w:val="20"/>
                <w:lang w:val="es-ES"/>
              </w:rPr>
              <w:t xml:space="preserve">Derecho a la Vida / Derecho a la </w:t>
            </w:r>
            <w:r w:rsidR="00FF79F0" w:rsidRPr="005B0CA2">
              <w:rPr>
                <w:rFonts w:ascii="Cambria" w:eastAsia="Times New Roman" w:hAnsi="Cambria"/>
                <w:color w:val="000000"/>
                <w:sz w:val="20"/>
                <w:szCs w:val="20"/>
                <w:lang w:val="es-MX" w:eastAsia="es-MX"/>
              </w:rPr>
              <w:t>Integridad Personal / Derecho a la Libertad Personal / Derechos de Niñas, Niños y Adolescentes</w:t>
            </w:r>
            <w:r w:rsidR="00FF79F0" w:rsidRPr="005B0CA2">
              <w:rPr>
                <w:rFonts w:ascii="Cambria" w:hAnsi="Cambria"/>
                <w:color w:val="000000"/>
                <w:sz w:val="20"/>
                <w:szCs w:val="20"/>
                <w:lang w:val="es-ES"/>
              </w:rPr>
              <w:t xml:space="preserve"> / Garantías Judiciales / Protección Judicial / </w:t>
            </w:r>
            <w:r w:rsidR="00FF79F0" w:rsidRPr="005B0CA2">
              <w:rPr>
                <w:rFonts w:ascii="Cambria" w:eastAsia="Times New Roman" w:hAnsi="Cambria"/>
                <w:color w:val="000000"/>
                <w:sz w:val="20"/>
                <w:szCs w:val="20"/>
                <w:lang w:val="es-MX" w:eastAsia="es-MX"/>
              </w:rPr>
              <w:t>Ejecuciones sumarias, extrajudiciales o arbitrarias / Tortura, Tratos Crueles, Inhumanos y/o Degradantes</w:t>
            </w:r>
            <w:r w:rsidR="005172F7" w:rsidRPr="005B0CA2">
              <w:rPr>
                <w:rFonts w:ascii="Cambria" w:eastAsia="Times New Roman" w:hAnsi="Cambria"/>
                <w:color w:val="000000"/>
                <w:sz w:val="20"/>
                <w:szCs w:val="20"/>
                <w:lang w:val="es-MX" w:eastAsia="es-MX"/>
              </w:rPr>
              <w:t xml:space="preserve"> / Investigación y Debida Diligencia</w:t>
            </w:r>
          </w:p>
          <w:p w14:paraId="1D8C937B" w14:textId="77777777" w:rsidR="00AE54C6" w:rsidRPr="005B0CA2" w:rsidRDefault="001636D0" w:rsidP="00AE54C6">
            <w:pPr>
              <w:spacing w:after="120" w:line="240" w:lineRule="auto"/>
              <w:jc w:val="both"/>
              <w:rPr>
                <w:rFonts w:ascii="Cambria" w:hAnsi="Cambria"/>
                <w:color w:val="000000"/>
                <w:sz w:val="20"/>
                <w:szCs w:val="20"/>
                <w:lang w:val="es-ES"/>
              </w:rPr>
            </w:pPr>
            <w:r w:rsidRPr="005B0CA2">
              <w:rPr>
                <w:rFonts w:ascii="Cambria" w:hAnsi="Cambria"/>
                <w:b/>
                <w:color w:val="000000"/>
                <w:sz w:val="20"/>
                <w:szCs w:val="20"/>
                <w:lang w:val="es-ES"/>
              </w:rPr>
              <w:t>Hechos:</w:t>
            </w:r>
            <w:r w:rsidRPr="005B0CA2">
              <w:rPr>
                <w:rFonts w:ascii="Cambria" w:hAnsi="Cambria"/>
                <w:color w:val="000000"/>
                <w:sz w:val="20"/>
                <w:szCs w:val="20"/>
                <w:lang w:val="es-ES"/>
              </w:rPr>
              <w:t xml:space="preserve"> Durante los años 1990 y 1993</w:t>
            </w:r>
            <w:r w:rsidR="00FF79F0" w:rsidRPr="005B0CA2">
              <w:rPr>
                <w:rFonts w:ascii="Cambria" w:hAnsi="Cambria"/>
                <w:color w:val="000000"/>
                <w:sz w:val="20"/>
                <w:szCs w:val="20"/>
                <w:lang w:val="es-ES"/>
              </w:rPr>
              <w:t>,</w:t>
            </w:r>
            <w:r w:rsidRPr="005B0CA2">
              <w:rPr>
                <w:rFonts w:ascii="Cambria" w:hAnsi="Cambria"/>
                <w:color w:val="000000"/>
                <w:sz w:val="20"/>
                <w:szCs w:val="20"/>
                <w:lang w:val="es-ES"/>
              </w:rPr>
              <w:t xml:space="preserve"> la Comisión recibió diversas peticiones en las que se denunciaba la ejecución extrajudicial de un total de quince personas y la tentativa de ejecución extrajudicial de otras siete. En cada una de estas peticiones se sostenía que los autores materiales de las violaciones a los derechos fundamentales de las víctimas habían sido miembros de las Patrullas de Autodefensa Civil (en los sucesivo </w:t>
            </w:r>
            <w:r w:rsidR="008C77AE" w:rsidRPr="005B0CA2">
              <w:rPr>
                <w:rFonts w:ascii="Cambria" w:hAnsi="Cambria"/>
                <w:color w:val="000000"/>
                <w:sz w:val="20"/>
                <w:szCs w:val="20"/>
                <w:lang w:val="es-ES"/>
              </w:rPr>
              <w:t xml:space="preserve">“PAC”) o Comisionados Militares, y tras considerar el carácter con que éstos operaban, el marco cronológico de las diferentes denuncias y el </w:t>
            </w:r>
            <w:r w:rsidR="008C77AE" w:rsidRPr="005B0CA2">
              <w:rPr>
                <w:rFonts w:ascii="Cambria" w:hAnsi="Cambria"/>
                <w:i/>
                <w:color w:val="000000"/>
                <w:sz w:val="20"/>
                <w:szCs w:val="20"/>
                <w:lang w:val="es-ES"/>
              </w:rPr>
              <w:t>modus operandi</w:t>
            </w:r>
            <w:r w:rsidR="008C77AE" w:rsidRPr="005B0CA2">
              <w:rPr>
                <w:rFonts w:ascii="Cambria" w:hAnsi="Cambria"/>
                <w:color w:val="000000"/>
                <w:sz w:val="20"/>
                <w:szCs w:val="20"/>
                <w:lang w:val="es-ES"/>
              </w:rPr>
              <w:t xml:space="preserve"> en cada uno de los hechos denunciados, la Comisión decidió conforme a lo dispuesto en el artículo 40 de su Reglamento vigente a la época, acumular los casos y referirse a ellos en un mismo informe. </w:t>
            </w:r>
          </w:p>
          <w:p w14:paraId="35029DEA" w14:textId="77777777" w:rsidR="001636D0" w:rsidRPr="005B0CA2" w:rsidRDefault="001636D0" w:rsidP="00F64E62">
            <w:pPr>
              <w:spacing w:after="120" w:line="240" w:lineRule="auto"/>
              <w:jc w:val="both"/>
              <w:rPr>
                <w:color w:val="000000"/>
                <w:sz w:val="20"/>
                <w:szCs w:val="20"/>
                <w:lang w:val="es-ES"/>
              </w:rPr>
            </w:pPr>
            <w:r w:rsidRPr="005B0CA2">
              <w:rPr>
                <w:rFonts w:ascii="Cambria" w:hAnsi="Cambria"/>
                <w:b/>
                <w:color w:val="000000"/>
                <w:sz w:val="20"/>
                <w:szCs w:val="20"/>
                <w:lang w:val="es-ES"/>
              </w:rPr>
              <w:t>Derechos violados:</w:t>
            </w:r>
            <w:r w:rsidR="008C77AE" w:rsidRPr="005B0CA2">
              <w:rPr>
                <w:rFonts w:ascii="Cambria" w:hAnsi="Cambria"/>
                <w:color w:val="000000"/>
                <w:sz w:val="20"/>
                <w:szCs w:val="20"/>
                <w:lang w:val="es-ES"/>
              </w:rPr>
              <w:t xml:space="preserve"> La Comisión</w:t>
            </w:r>
            <w:r w:rsidRPr="005B0CA2">
              <w:rPr>
                <w:rFonts w:ascii="Cambria" w:hAnsi="Cambria"/>
                <w:color w:val="000000"/>
                <w:sz w:val="20"/>
                <w:szCs w:val="20"/>
                <w:lang w:val="es-ES"/>
              </w:rPr>
              <w:t xml:space="preserve"> concluyó que el Estado es responsable de la violación a los siguientes derechos: (1) Derecho a la vida en los casos de los señores Pedro Tau Cac, José María Ixcaya Pictay, José Vicente García, Mateo Sarat Ixcoy, Celestino Julaj Vicente, Miguel Calel, Pedro Raguez, Pablo Ajiataz, Manuel Ajiataz Chivalan, Catrino Chanchavac Larios, Miguel Tau Imul, Camilo Ajquí Gimon y Juan Tzunux Us según lo establecido en el artículo 4 de la Convención Americana. (2) Libertad personal en el caso de los señores Pedro Tau Cac y Camilo Ajqui Gimon, conforme a lo establecido en el artículo 7 de la Convención Americana. (3) Integridad personal en los casos de Remigio Domingo Morales, Rafael Sánchez, Pedro Tau Cac y Camilo Ajqui Gimon conforme a lo establecido en el artículo 5 de la Convención Americana y los artículos 1, 6 y 8 de la Convención Interamericana para Prevenir y Sancionar la Tortura. Asimismo, en los casos de las tentativas de ejecución extrajudicial de Catalino Chochoy, José Corino, Abelino Baycaj, Antulio Delgado, Juan Galicia Hernández, Andrés Abelino Galicia Gutiérrez y Orlando Adelso Galicia Gutiérrez, el Estado guatemalteco es responsable por la violación de su derecho a la integridad física conforme a lo establecido en el artículo 5 de la Convención Americana. (4) Derechos del niño en caso de los menores Rafael Sánchez y Andrés Abelino Galicia Gutiérrez, conforme a lo establecido en el artículo 19 de la Convención Americana. (5) </w:t>
            </w:r>
            <w:proofErr w:type="gramStart"/>
            <w:r w:rsidRPr="005B0CA2">
              <w:rPr>
                <w:rFonts w:ascii="Cambria" w:hAnsi="Cambria"/>
                <w:color w:val="000000"/>
                <w:sz w:val="20"/>
                <w:szCs w:val="20"/>
                <w:lang w:val="es-ES"/>
              </w:rPr>
              <w:t>Garantías judiciales y protección judicial</w:t>
            </w:r>
            <w:proofErr w:type="gramEnd"/>
            <w:r w:rsidRPr="005B0CA2">
              <w:rPr>
                <w:rFonts w:ascii="Cambria" w:hAnsi="Cambria"/>
                <w:color w:val="000000"/>
                <w:sz w:val="20"/>
                <w:szCs w:val="20"/>
                <w:lang w:val="es-ES"/>
              </w:rPr>
              <w:t xml:space="preserve"> en el caso de todas las víctimas, tanto aquellas que fueron ejecutadas extrajudicialmente como aquellas que fueron objeto de tentativa de ejecución extrajudicial, conforme a lo </w:t>
            </w:r>
            <w:r w:rsidRPr="005B0CA2">
              <w:rPr>
                <w:rFonts w:ascii="Cambria" w:hAnsi="Cambria"/>
                <w:color w:val="000000"/>
                <w:sz w:val="20"/>
                <w:szCs w:val="20"/>
                <w:lang w:val="es-ES"/>
              </w:rPr>
              <w:lastRenderedPageBreak/>
              <w:t>establecido en los artículos 8 y 25 de la Convención Americana. (6) Además, se consideró responsable al Estado guatemalteco en todos los casos por no haber cumplido con su obligación de respetar y garantizar los derechos protegidos en la Convención Americana sobre Derechos Humanos, según se establece en el artículo 1(1) de la misma.</w:t>
            </w:r>
          </w:p>
        </w:tc>
      </w:tr>
    </w:tbl>
    <w:p w14:paraId="48DD16C7" w14:textId="77777777" w:rsidR="001636D0" w:rsidRPr="005B0CA2" w:rsidRDefault="001636D0" w:rsidP="005D3131">
      <w:pPr>
        <w:spacing w:after="0" w:line="240" w:lineRule="auto"/>
        <w:ind w:left="1080"/>
        <w:jc w:val="both"/>
        <w:rPr>
          <w:rFonts w:ascii="Cambria" w:hAnsi="Cambria" w:cs="Calibri Light"/>
          <w:b/>
          <w:color w:val="000000"/>
          <w:sz w:val="20"/>
          <w:szCs w:val="20"/>
          <w:lang w:val="es-ES"/>
        </w:rPr>
      </w:pPr>
    </w:p>
    <w:p w14:paraId="64BFB991" w14:textId="77777777" w:rsidR="001636D0" w:rsidRPr="005B0CA2" w:rsidRDefault="001636D0" w:rsidP="00F30C2F">
      <w:pPr>
        <w:numPr>
          <w:ilvl w:val="0"/>
          <w:numId w:val="1"/>
        </w:numPr>
        <w:spacing w:after="0" w:line="240" w:lineRule="auto"/>
        <w:ind w:left="1440"/>
        <w:jc w:val="both"/>
        <w:rPr>
          <w:rFonts w:ascii="Cambria" w:hAnsi="Cambria" w:cs="Calibri Light"/>
          <w:b/>
          <w:color w:val="000000"/>
          <w:sz w:val="20"/>
          <w:szCs w:val="20"/>
          <w:lang w:val="es-ES"/>
        </w:rPr>
      </w:pPr>
      <w:r w:rsidRPr="005B0CA2">
        <w:rPr>
          <w:rFonts w:ascii="Cambria" w:hAnsi="Cambria" w:cs="Calibri Light"/>
          <w:b/>
          <w:color w:val="000000"/>
          <w:sz w:val="20"/>
          <w:szCs w:val="20"/>
          <w:lang w:val="es-ES"/>
        </w:rPr>
        <w:t xml:space="preserve">Recomendaciones </w:t>
      </w:r>
    </w:p>
    <w:p w14:paraId="2A3ED162" w14:textId="77777777" w:rsidR="001636D0" w:rsidRPr="005B0CA2" w:rsidRDefault="001636D0" w:rsidP="005D3131">
      <w:pPr>
        <w:spacing w:after="0" w:line="240" w:lineRule="auto"/>
        <w:ind w:left="1080"/>
        <w:jc w:val="both"/>
        <w:rPr>
          <w:rFonts w:ascii="Cambria" w:hAnsi="Cambria" w:cs="Calibri Light"/>
          <w:color w:val="000000"/>
          <w:lang w:val="es-E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1636D0" w:rsidRPr="005B0CA2" w14:paraId="58EF3078" w14:textId="77777777" w:rsidTr="005D3131">
        <w:trPr>
          <w:trHeight w:val="370"/>
        </w:trPr>
        <w:tc>
          <w:tcPr>
            <w:tcW w:w="7290" w:type="dxa"/>
            <w:shd w:val="clear" w:color="auto" w:fill="auto"/>
            <w:vAlign w:val="center"/>
          </w:tcPr>
          <w:p w14:paraId="46F3710C" w14:textId="77777777" w:rsidR="001636D0" w:rsidRPr="005B0CA2" w:rsidRDefault="001636D0" w:rsidP="00F30C2F">
            <w:pPr>
              <w:spacing w:after="0" w:line="240" w:lineRule="auto"/>
              <w:jc w:val="center"/>
              <w:rPr>
                <w:rFonts w:ascii="Cambria" w:hAnsi="Cambria" w:cs="Calibri Light"/>
                <w:b/>
                <w:color w:val="000000"/>
                <w:sz w:val="18"/>
                <w:szCs w:val="18"/>
                <w:lang w:val="es-ES"/>
              </w:rPr>
            </w:pPr>
            <w:r w:rsidRPr="005B0CA2">
              <w:rPr>
                <w:rFonts w:ascii="Cambria" w:hAnsi="Cambria" w:cs="Calibri Light"/>
                <w:b/>
                <w:color w:val="000000"/>
                <w:sz w:val="18"/>
                <w:szCs w:val="18"/>
                <w:lang w:val="es-ES"/>
              </w:rPr>
              <w:t>Recomendaciones</w:t>
            </w:r>
          </w:p>
        </w:tc>
        <w:tc>
          <w:tcPr>
            <w:tcW w:w="2250" w:type="dxa"/>
            <w:shd w:val="clear" w:color="auto" w:fill="auto"/>
            <w:vAlign w:val="center"/>
          </w:tcPr>
          <w:p w14:paraId="0444A80A" w14:textId="77777777" w:rsidR="001636D0" w:rsidRPr="005B0CA2" w:rsidRDefault="001636D0" w:rsidP="00F30C2F">
            <w:pPr>
              <w:spacing w:after="0" w:line="240" w:lineRule="auto"/>
              <w:jc w:val="center"/>
              <w:rPr>
                <w:rFonts w:ascii="Cambria" w:hAnsi="Cambria" w:cs="Calibri Light"/>
                <w:b/>
                <w:color w:val="000000"/>
                <w:sz w:val="18"/>
                <w:szCs w:val="18"/>
                <w:lang w:val="es-ES"/>
              </w:rPr>
            </w:pPr>
            <w:r w:rsidRPr="005B0CA2">
              <w:rPr>
                <w:rFonts w:ascii="Cambria" w:hAnsi="Cambria" w:cs="Calibri Light"/>
                <w:b/>
                <w:color w:val="000000"/>
                <w:sz w:val="18"/>
                <w:szCs w:val="18"/>
                <w:lang w:val="es-ES"/>
              </w:rPr>
              <w:t>E</w:t>
            </w:r>
            <w:r w:rsidR="00D60F30" w:rsidRPr="005B0CA2">
              <w:rPr>
                <w:rFonts w:ascii="Cambria" w:hAnsi="Cambria" w:cs="Calibri Light"/>
                <w:b/>
                <w:color w:val="000000"/>
                <w:sz w:val="18"/>
                <w:szCs w:val="18"/>
                <w:lang w:val="es-ES"/>
              </w:rPr>
              <w:t>stado de cumplimiento en el 20</w:t>
            </w:r>
            <w:r w:rsidR="00091BB3" w:rsidRPr="005B0CA2">
              <w:rPr>
                <w:rFonts w:ascii="Cambria" w:hAnsi="Cambria" w:cs="Calibri Light"/>
                <w:b/>
                <w:color w:val="000000"/>
                <w:sz w:val="18"/>
                <w:szCs w:val="18"/>
                <w:lang w:val="es-ES"/>
              </w:rPr>
              <w:t>21</w:t>
            </w:r>
          </w:p>
        </w:tc>
      </w:tr>
      <w:tr w:rsidR="001636D0" w:rsidRPr="005B0CA2" w14:paraId="2CC6C66E" w14:textId="77777777" w:rsidTr="005D3131">
        <w:trPr>
          <w:trHeight w:val="550"/>
        </w:trPr>
        <w:tc>
          <w:tcPr>
            <w:tcW w:w="7290" w:type="dxa"/>
            <w:shd w:val="clear" w:color="auto" w:fill="auto"/>
            <w:vAlign w:val="center"/>
          </w:tcPr>
          <w:p w14:paraId="6B234535" w14:textId="77777777" w:rsidR="001636D0" w:rsidRPr="005B0CA2" w:rsidRDefault="001636D0" w:rsidP="00F30C2F">
            <w:pPr>
              <w:spacing w:after="0" w:line="240" w:lineRule="auto"/>
              <w:jc w:val="both"/>
              <w:rPr>
                <w:rFonts w:ascii="Cambria" w:hAnsi="Cambria"/>
                <w:color w:val="000000"/>
                <w:sz w:val="18"/>
                <w:szCs w:val="18"/>
                <w:lang w:val="es-ES"/>
              </w:rPr>
            </w:pPr>
            <w:r w:rsidRPr="005B0CA2">
              <w:rPr>
                <w:rFonts w:ascii="Cambria" w:hAnsi="Cambria"/>
                <w:color w:val="000000"/>
                <w:sz w:val="18"/>
                <w:szCs w:val="18"/>
                <w:lang w:val="es-ES"/>
              </w:rPr>
              <w:t>1. Lleve a cabo una investigación completa, imparcial y efectiva para determinar las circunstancias de las ejecuciones extrajudiciales y las tentativas de ejecución extrajudicial de cada una de las víctimas, las violaciones relacionadas y para sancionar a los responsables.</w:t>
            </w:r>
          </w:p>
        </w:tc>
        <w:tc>
          <w:tcPr>
            <w:tcW w:w="2250" w:type="dxa"/>
            <w:shd w:val="clear" w:color="auto" w:fill="auto"/>
            <w:vAlign w:val="center"/>
          </w:tcPr>
          <w:p w14:paraId="4322E562" w14:textId="77777777" w:rsidR="001636D0" w:rsidRPr="005B0CA2" w:rsidRDefault="008C77AE" w:rsidP="00F30C2F">
            <w:pPr>
              <w:spacing w:after="0" w:line="240" w:lineRule="auto"/>
              <w:jc w:val="center"/>
              <w:rPr>
                <w:rFonts w:ascii="Cambria" w:hAnsi="Cambria"/>
                <w:color w:val="000000"/>
                <w:sz w:val="18"/>
                <w:szCs w:val="18"/>
                <w:lang w:val="es-ES"/>
              </w:rPr>
            </w:pPr>
            <w:r w:rsidRPr="005B0CA2">
              <w:rPr>
                <w:rFonts w:ascii="Cambria" w:hAnsi="Cambria"/>
                <w:color w:val="000000"/>
                <w:sz w:val="18"/>
                <w:szCs w:val="18"/>
                <w:lang w:val="es-ES"/>
              </w:rPr>
              <w:t>Pendiente de cumplimiento</w:t>
            </w:r>
          </w:p>
        </w:tc>
      </w:tr>
      <w:tr w:rsidR="001636D0" w:rsidRPr="005B0CA2" w14:paraId="7E8C483F" w14:textId="77777777" w:rsidTr="005D3131">
        <w:trPr>
          <w:trHeight w:val="720"/>
        </w:trPr>
        <w:tc>
          <w:tcPr>
            <w:tcW w:w="7290" w:type="dxa"/>
            <w:shd w:val="clear" w:color="auto" w:fill="auto"/>
            <w:vAlign w:val="center"/>
          </w:tcPr>
          <w:p w14:paraId="60B73E07" w14:textId="77777777" w:rsidR="001636D0" w:rsidRPr="005B0CA2" w:rsidRDefault="001636D0" w:rsidP="00F30C2F">
            <w:pPr>
              <w:spacing w:after="0" w:line="240" w:lineRule="auto"/>
              <w:jc w:val="both"/>
              <w:rPr>
                <w:rFonts w:ascii="Cambria" w:hAnsi="Cambria"/>
                <w:color w:val="000000"/>
                <w:sz w:val="18"/>
                <w:szCs w:val="18"/>
                <w:lang w:val="es-ES"/>
              </w:rPr>
            </w:pPr>
            <w:r w:rsidRPr="005B0CA2">
              <w:rPr>
                <w:rFonts w:ascii="Cambria" w:hAnsi="Cambria"/>
                <w:color w:val="000000"/>
                <w:sz w:val="18"/>
                <w:szCs w:val="18"/>
                <w:lang w:val="es-ES"/>
              </w:rPr>
              <w:t>2. Adopte las medidas necesarias para que los familiares de las víctimas de ejecuciones extrajudiciales reciban una adecuada y oportuna reparación por las violaciones aquí establecidas.</w:t>
            </w:r>
          </w:p>
        </w:tc>
        <w:tc>
          <w:tcPr>
            <w:tcW w:w="2250" w:type="dxa"/>
            <w:shd w:val="clear" w:color="auto" w:fill="auto"/>
            <w:vAlign w:val="center"/>
          </w:tcPr>
          <w:p w14:paraId="70D38B1A" w14:textId="77777777" w:rsidR="001636D0" w:rsidRPr="005B0CA2" w:rsidRDefault="008C77AE" w:rsidP="00F30C2F">
            <w:pPr>
              <w:spacing w:after="0" w:line="240" w:lineRule="auto"/>
              <w:jc w:val="center"/>
              <w:rPr>
                <w:rFonts w:ascii="Cambria" w:hAnsi="Cambria"/>
                <w:color w:val="000000"/>
                <w:sz w:val="18"/>
                <w:szCs w:val="18"/>
                <w:lang w:val="es-ES"/>
              </w:rPr>
            </w:pPr>
            <w:r w:rsidRPr="005B0CA2">
              <w:rPr>
                <w:rFonts w:ascii="Cambria" w:hAnsi="Cambria"/>
                <w:color w:val="000000"/>
                <w:sz w:val="18"/>
                <w:szCs w:val="18"/>
                <w:lang w:val="es-ES"/>
              </w:rPr>
              <w:t>Cumplimiento parcial</w:t>
            </w:r>
          </w:p>
        </w:tc>
      </w:tr>
      <w:tr w:rsidR="001636D0" w:rsidRPr="005B0CA2" w14:paraId="586705DD" w14:textId="77777777" w:rsidTr="005D3131">
        <w:trPr>
          <w:trHeight w:val="730"/>
        </w:trPr>
        <w:tc>
          <w:tcPr>
            <w:tcW w:w="7290" w:type="dxa"/>
            <w:shd w:val="clear" w:color="auto" w:fill="auto"/>
            <w:vAlign w:val="center"/>
          </w:tcPr>
          <w:p w14:paraId="66BC96FD" w14:textId="77777777" w:rsidR="001636D0" w:rsidRPr="005B0CA2" w:rsidRDefault="001636D0" w:rsidP="00F30C2F">
            <w:pPr>
              <w:spacing w:after="0" w:line="240" w:lineRule="auto"/>
              <w:jc w:val="both"/>
              <w:rPr>
                <w:rFonts w:ascii="Cambria" w:hAnsi="Cambria"/>
                <w:color w:val="000000"/>
                <w:sz w:val="18"/>
                <w:szCs w:val="18"/>
                <w:lang w:val="es-ES"/>
              </w:rPr>
            </w:pPr>
            <w:r w:rsidRPr="005B0CA2">
              <w:rPr>
                <w:rFonts w:ascii="Cambria" w:hAnsi="Cambria"/>
                <w:color w:val="000000"/>
                <w:sz w:val="18"/>
                <w:szCs w:val="18"/>
                <w:lang w:val="es-ES"/>
              </w:rPr>
              <w:t>3. Adopte las medidas necesarias para que las víctimas de las tentativas de ejecución extrajudicial reciban una adecuada y oportuna reparación por las violaciones aquí establecidas.</w:t>
            </w:r>
          </w:p>
        </w:tc>
        <w:tc>
          <w:tcPr>
            <w:tcW w:w="2250" w:type="dxa"/>
            <w:shd w:val="clear" w:color="auto" w:fill="auto"/>
            <w:vAlign w:val="center"/>
          </w:tcPr>
          <w:p w14:paraId="6BF95CB9" w14:textId="77777777" w:rsidR="001636D0" w:rsidRPr="005B0CA2" w:rsidRDefault="008C77AE" w:rsidP="00F30C2F">
            <w:pPr>
              <w:spacing w:after="0" w:line="240" w:lineRule="auto"/>
              <w:jc w:val="center"/>
              <w:rPr>
                <w:rFonts w:ascii="Cambria" w:hAnsi="Cambria"/>
                <w:color w:val="000000"/>
                <w:sz w:val="18"/>
                <w:szCs w:val="18"/>
                <w:lang w:val="es-ES"/>
              </w:rPr>
            </w:pPr>
            <w:r w:rsidRPr="005B0CA2">
              <w:rPr>
                <w:rFonts w:ascii="Cambria" w:hAnsi="Cambria"/>
                <w:color w:val="000000"/>
                <w:sz w:val="18"/>
                <w:szCs w:val="18"/>
                <w:lang w:val="es-ES"/>
              </w:rPr>
              <w:t>Cumplimiento parcial</w:t>
            </w:r>
          </w:p>
        </w:tc>
      </w:tr>
      <w:tr w:rsidR="001636D0" w:rsidRPr="005B0CA2" w14:paraId="5702ED11" w14:textId="77777777" w:rsidTr="005D3131">
        <w:trPr>
          <w:trHeight w:val="539"/>
        </w:trPr>
        <w:tc>
          <w:tcPr>
            <w:tcW w:w="7290" w:type="dxa"/>
            <w:shd w:val="clear" w:color="auto" w:fill="auto"/>
            <w:vAlign w:val="center"/>
          </w:tcPr>
          <w:p w14:paraId="0358D56B" w14:textId="77777777" w:rsidR="001636D0" w:rsidRPr="005B0CA2" w:rsidRDefault="001636D0" w:rsidP="00F30C2F">
            <w:pPr>
              <w:spacing w:after="0" w:line="240" w:lineRule="auto"/>
              <w:jc w:val="both"/>
              <w:rPr>
                <w:rFonts w:ascii="Cambria" w:hAnsi="Cambria"/>
                <w:color w:val="000000"/>
                <w:sz w:val="18"/>
                <w:szCs w:val="18"/>
                <w:lang w:val="es-ES"/>
              </w:rPr>
            </w:pPr>
            <w:r w:rsidRPr="005B0CA2">
              <w:rPr>
                <w:rFonts w:ascii="Cambria" w:hAnsi="Cambria"/>
                <w:color w:val="000000"/>
                <w:sz w:val="18"/>
                <w:szCs w:val="18"/>
                <w:lang w:val="es-ES"/>
              </w:rPr>
              <w:t>4. Evite efectivamente el resurgimiento y reorganización de las Patrullas de Autodefensa Civil.</w:t>
            </w:r>
          </w:p>
        </w:tc>
        <w:tc>
          <w:tcPr>
            <w:tcW w:w="2250" w:type="dxa"/>
            <w:shd w:val="clear" w:color="auto" w:fill="auto"/>
            <w:vAlign w:val="center"/>
          </w:tcPr>
          <w:p w14:paraId="02000D17" w14:textId="77777777" w:rsidR="001636D0" w:rsidRPr="005B0CA2" w:rsidRDefault="008C77AE" w:rsidP="00F30C2F">
            <w:pPr>
              <w:spacing w:after="0" w:line="240" w:lineRule="auto"/>
              <w:jc w:val="center"/>
              <w:rPr>
                <w:rFonts w:ascii="Cambria" w:hAnsi="Cambria"/>
                <w:color w:val="000000"/>
                <w:sz w:val="18"/>
                <w:szCs w:val="18"/>
                <w:lang w:val="es-ES"/>
              </w:rPr>
            </w:pPr>
            <w:r w:rsidRPr="005B0CA2">
              <w:rPr>
                <w:rFonts w:ascii="Cambria" w:hAnsi="Cambria"/>
                <w:color w:val="000000"/>
                <w:sz w:val="18"/>
                <w:szCs w:val="18"/>
                <w:lang w:val="es-ES"/>
              </w:rPr>
              <w:t>Cumplimiento</w:t>
            </w:r>
            <w:r w:rsidR="0031612B" w:rsidRPr="005B0CA2">
              <w:rPr>
                <w:rFonts w:ascii="Cambria" w:hAnsi="Cambria"/>
                <w:color w:val="000000"/>
                <w:sz w:val="18"/>
                <w:szCs w:val="18"/>
                <w:lang w:val="es-ES"/>
              </w:rPr>
              <w:t xml:space="preserve"> total</w:t>
            </w:r>
          </w:p>
        </w:tc>
      </w:tr>
      <w:tr w:rsidR="001636D0" w:rsidRPr="005B0CA2" w14:paraId="62F6FC95" w14:textId="77777777" w:rsidTr="005D3131">
        <w:trPr>
          <w:trHeight w:val="1142"/>
        </w:trPr>
        <w:tc>
          <w:tcPr>
            <w:tcW w:w="7290" w:type="dxa"/>
            <w:shd w:val="clear" w:color="auto" w:fill="auto"/>
            <w:vAlign w:val="center"/>
          </w:tcPr>
          <w:p w14:paraId="264D8A7C" w14:textId="77777777" w:rsidR="001636D0" w:rsidRPr="005B0CA2" w:rsidRDefault="001636D0" w:rsidP="00F30C2F">
            <w:pPr>
              <w:spacing w:after="0" w:line="240" w:lineRule="auto"/>
              <w:jc w:val="both"/>
              <w:rPr>
                <w:rFonts w:ascii="Cambria" w:hAnsi="Cambria"/>
                <w:color w:val="000000"/>
                <w:sz w:val="18"/>
                <w:szCs w:val="18"/>
                <w:lang w:val="es-ES"/>
              </w:rPr>
            </w:pPr>
            <w:r w:rsidRPr="005B0CA2">
              <w:rPr>
                <w:rFonts w:ascii="Cambria" w:hAnsi="Cambria"/>
                <w:color w:val="000000"/>
                <w:sz w:val="18"/>
                <w:szCs w:val="18"/>
                <w:lang w:val="es-ES"/>
              </w:rPr>
              <w:t xml:space="preserve">5. Que se promuevan en Guatemala los principios establecidos en la “Declaración sobre el derecho y el deber de los individuos, los grupos y las instituciones, de promover y proteger los derechos humanos y las libertades fundamentales universalmente reconocidos" adoptada por Naciones Unidas, y se tomen las medidas necesarias para que se respete la libertad de expresión de quienes han asumido la tarea de trabajar por el respeto de los derechos fundamentales, y para que se proteja su vida e integridad personal. </w:t>
            </w:r>
          </w:p>
        </w:tc>
        <w:tc>
          <w:tcPr>
            <w:tcW w:w="2250" w:type="dxa"/>
            <w:shd w:val="clear" w:color="auto" w:fill="auto"/>
            <w:vAlign w:val="center"/>
          </w:tcPr>
          <w:p w14:paraId="07C67158" w14:textId="77777777" w:rsidR="001636D0" w:rsidRPr="005B0CA2" w:rsidRDefault="008C77AE" w:rsidP="00F30C2F">
            <w:pPr>
              <w:spacing w:after="0" w:line="240" w:lineRule="auto"/>
              <w:jc w:val="center"/>
              <w:rPr>
                <w:rFonts w:ascii="Cambria" w:hAnsi="Cambria"/>
                <w:color w:val="000000"/>
                <w:sz w:val="18"/>
                <w:szCs w:val="18"/>
                <w:lang w:val="es-ES"/>
              </w:rPr>
            </w:pPr>
            <w:r w:rsidRPr="005B0CA2">
              <w:rPr>
                <w:rFonts w:ascii="Cambria" w:hAnsi="Cambria"/>
                <w:color w:val="000000"/>
                <w:sz w:val="18"/>
                <w:szCs w:val="18"/>
                <w:lang w:val="es-ES"/>
              </w:rPr>
              <w:t>Pendiente de cumplimiento</w:t>
            </w:r>
          </w:p>
        </w:tc>
      </w:tr>
    </w:tbl>
    <w:p w14:paraId="3844C223" w14:textId="77777777" w:rsidR="001636D0" w:rsidRPr="005B0CA2" w:rsidRDefault="001636D0" w:rsidP="005D3131">
      <w:pPr>
        <w:spacing w:after="0" w:line="240" w:lineRule="auto"/>
        <w:jc w:val="both"/>
        <w:rPr>
          <w:rFonts w:ascii="Cambria" w:hAnsi="Cambria" w:cs="Calibri Light"/>
          <w:b/>
          <w:color w:val="000000"/>
          <w:lang w:val="es-ES"/>
        </w:rPr>
      </w:pPr>
    </w:p>
    <w:p w14:paraId="40D882AB" w14:textId="77777777" w:rsidR="001636D0" w:rsidRPr="005B0CA2" w:rsidRDefault="001636D0" w:rsidP="00F30C2F">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5B0CA2">
        <w:rPr>
          <w:rFonts w:ascii="Cambria" w:hAnsi="Cambria"/>
          <w:b/>
          <w:color w:val="000000"/>
          <w:sz w:val="20"/>
          <w:szCs w:val="20"/>
          <w:lang w:val="es-ES"/>
        </w:rPr>
        <w:t>Actividad Procesal</w:t>
      </w:r>
    </w:p>
    <w:p w14:paraId="4D19BEAD" w14:textId="77777777" w:rsidR="001636D0" w:rsidRPr="005B0CA2" w:rsidRDefault="001636D0" w:rsidP="005D3131">
      <w:pPr>
        <w:spacing w:after="0" w:line="240" w:lineRule="auto"/>
        <w:jc w:val="both"/>
        <w:rPr>
          <w:rFonts w:ascii="Cambria" w:hAnsi="Cambria" w:cs="Calibri Light"/>
          <w:color w:val="000000"/>
          <w:sz w:val="20"/>
          <w:szCs w:val="20"/>
          <w:lang w:val="es-ES"/>
        </w:rPr>
      </w:pPr>
    </w:p>
    <w:p w14:paraId="6FB4C38B" w14:textId="77777777" w:rsidR="001636D0" w:rsidRPr="005B0CA2" w:rsidRDefault="001636D0" w:rsidP="005D3131">
      <w:pPr>
        <w:numPr>
          <w:ilvl w:val="0"/>
          <w:numId w:val="8"/>
        </w:numPr>
        <w:spacing w:after="0" w:line="240" w:lineRule="auto"/>
        <w:ind w:left="0" w:firstLine="720"/>
        <w:jc w:val="both"/>
        <w:rPr>
          <w:rFonts w:ascii="Cambria" w:hAnsi="Cambria" w:cs="Calibri Light"/>
          <w:color w:val="000000"/>
          <w:sz w:val="20"/>
          <w:szCs w:val="20"/>
          <w:lang w:val="es-ES"/>
        </w:rPr>
      </w:pPr>
      <w:r w:rsidRPr="005B0CA2">
        <w:rPr>
          <w:rFonts w:ascii="Cambria" w:hAnsi="Cambria" w:cs="Calibri Light"/>
          <w:color w:val="000000"/>
          <w:sz w:val="20"/>
          <w:szCs w:val="20"/>
          <w:lang w:val="es-ES"/>
        </w:rPr>
        <w:t>El 4 de marzo de 2002</w:t>
      </w:r>
      <w:r w:rsidR="00700CD0" w:rsidRPr="005B0CA2">
        <w:rPr>
          <w:rFonts w:ascii="Cambria" w:hAnsi="Cambria" w:cs="Calibri Light"/>
          <w:color w:val="000000"/>
          <w:sz w:val="20"/>
          <w:szCs w:val="20"/>
          <w:lang w:val="es-ES"/>
        </w:rPr>
        <w:t xml:space="preserve">, </w:t>
      </w:r>
      <w:r w:rsidRPr="005B0CA2">
        <w:rPr>
          <w:rFonts w:ascii="Cambria" w:hAnsi="Cambria" w:cs="Calibri Light"/>
          <w:color w:val="000000"/>
          <w:sz w:val="20"/>
          <w:szCs w:val="20"/>
          <w:lang w:val="es-ES"/>
        </w:rPr>
        <w:t>la CIDH sostuvo una reunión de trabajo con las partes en el marco del 114º Periodo de Sesiones, en seguimiento a las recomendaciones emitidas en el Informe de Fondo Nº 59/01.</w:t>
      </w:r>
    </w:p>
    <w:p w14:paraId="04BE9D64" w14:textId="77777777" w:rsidR="001636D0" w:rsidRPr="005B0CA2" w:rsidRDefault="001636D0" w:rsidP="005D3131">
      <w:pPr>
        <w:spacing w:after="0" w:line="240" w:lineRule="auto"/>
        <w:ind w:left="720"/>
        <w:jc w:val="both"/>
        <w:rPr>
          <w:rFonts w:ascii="Cambria" w:hAnsi="Cambria" w:cs="Calibri Light"/>
          <w:color w:val="000000"/>
          <w:sz w:val="20"/>
          <w:szCs w:val="20"/>
          <w:lang w:val="es-ES"/>
        </w:rPr>
      </w:pPr>
    </w:p>
    <w:p w14:paraId="1FA8BC67" w14:textId="77777777" w:rsidR="001636D0" w:rsidRPr="005B0CA2" w:rsidRDefault="001636D0" w:rsidP="005D3131">
      <w:pPr>
        <w:numPr>
          <w:ilvl w:val="0"/>
          <w:numId w:val="8"/>
        </w:numPr>
        <w:spacing w:after="0" w:line="240" w:lineRule="auto"/>
        <w:ind w:left="0" w:firstLine="720"/>
        <w:jc w:val="both"/>
        <w:rPr>
          <w:rFonts w:ascii="Cambria" w:hAnsi="Cambria" w:cs="Calibri Light"/>
          <w:color w:val="000000"/>
          <w:sz w:val="20"/>
          <w:szCs w:val="20"/>
          <w:lang w:val="es-ES"/>
        </w:rPr>
      </w:pPr>
      <w:r w:rsidRPr="005B0CA2">
        <w:rPr>
          <w:rFonts w:ascii="Cambria" w:hAnsi="Cambria" w:cs="Calibri Light"/>
          <w:color w:val="000000"/>
          <w:sz w:val="20"/>
          <w:szCs w:val="20"/>
          <w:lang w:val="es-ES"/>
        </w:rPr>
        <w:t>El 18 de febrero de 2005 los peticionarios y el Estado de Guatemala suscribieron un “Acuerdo de Cumplimiento de Recomendaciones” respecto los casos 10.627 (</w:t>
      </w:r>
      <w:r w:rsidRPr="005B0CA2">
        <w:rPr>
          <w:rFonts w:ascii="Cambria" w:hAnsi="Cambria"/>
          <w:bCs/>
          <w:color w:val="000000"/>
          <w:sz w:val="20"/>
          <w:szCs w:val="20"/>
          <w:lang w:val="es-ES"/>
        </w:rPr>
        <w:t>Pedro Tiu Cac) y 11.198 (José María Ixcaya Pixtay y otros).</w:t>
      </w:r>
    </w:p>
    <w:p w14:paraId="2750824D" w14:textId="77777777" w:rsidR="001636D0" w:rsidRPr="005B0CA2" w:rsidRDefault="001636D0" w:rsidP="005D3131">
      <w:pPr>
        <w:spacing w:after="0" w:line="240" w:lineRule="auto"/>
        <w:ind w:left="720"/>
        <w:jc w:val="both"/>
        <w:rPr>
          <w:rFonts w:ascii="Cambria" w:hAnsi="Cambria" w:cs="Calibri Light"/>
          <w:color w:val="000000"/>
          <w:sz w:val="20"/>
          <w:szCs w:val="20"/>
          <w:lang w:val="es-ES"/>
        </w:rPr>
      </w:pPr>
    </w:p>
    <w:p w14:paraId="56A3975E" w14:textId="77777777" w:rsidR="00700CD0" w:rsidRPr="005B0CA2" w:rsidRDefault="001636D0" w:rsidP="005D3131">
      <w:pPr>
        <w:numPr>
          <w:ilvl w:val="0"/>
          <w:numId w:val="8"/>
        </w:numPr>
        <w:spacing w:after="0" w:line="240" w:lineRule="auto"/>
        <w:ind w:left="0" w:firstLine="720"/>
        <w:jc w:val="both"/>
        <w:rPr>
          <w:rFonts w:ascii="Cambria" w:hAnsi="Cambria" w:cs="Calibri Light"/>
          <w:color w:val="000000"/>
          <w:sz w:val="20"/>
          <w:szCs w:val="20"/>
          <w:lang w:val="es-ES"/>
        </w:rPr>
      </w:pPr>
      <w:r w:rsidRPr="005B0CA2">
        <w:rPr>
          <w:rFonts w:ascii="Cambria" w:eastAsia="Times New Roman" w:hAnsi="Cambria"/>
          <w:color w:val="000000"/>
          <w:sz w:val="20"/>
          <w:szCs w:val="20"/>
          <w:lang w:val="es-ES" w:eastAsia="pt-BR"/>
        </w:rPr>
        <w:t xml:space="preserve">El 9 de diciembre de 2005, </w:t>
      </w:r>
      <w:r w:rsidRPr="005B0CA2">
        <w:rPr>
          <w:rFonts w:ascii="Cambria" w:hAnsi="Cambria"/>
          <w:color w:val="000000"/>
          <w:sz w:val="20"/>
          <w:szCs w:val="20"/>
          <w:lang w:val="es-ES"/>
        </w:rPr>
        <w:t xml:space="preserve">el Centro de Acción Legal de Derechos Humanos (CALDH) </w:t>
      </w:r>
      <w:r w:rsidRPr="005B0CA2">
        <w:rPr>
          <w:rFonts w:ascii="Cambria" w:eastAsia="Times New Roman" w:hAnsi="Cambria"/>
          <w:color w:val="000000"/>
          <w:sz w:val="20"/>
          <w:szCs w:val="20"/>
          <w:lang w:val="es-ES" w:eastAsia="pt-BR"/>
        </w:rPr>
        <w:t xml:space="preserve">en representación de los familiares de las víctimas </w:t>
      </w:r>
      <w:r w:rsidRPr="005B0CA2">
        <w:rPr>
          <w:rFonts w:ascii="Cambria" w:hAnsi="Cambria" w:cs="Calibri Light"/>
          <w:color w:val="000000"/>
          <w:sz w:val="20"/>
          <w:szCs w:val="20"/>
          <w:lang w:val="es-ES"/>
        </w:rPr>
        <w:t>de los casos 10.627 (</w:t>
      </w:r>
      <w:r w:rsidRPr="005B0CA2">
        <w:rPr>
          <w:rFonts w:ascii="Cambria" w:hAnsi="Cambria"/>
          <w:bCs/>
          <w:color w:val="000000"/>
          <w:sz w:val="20"/>
          <w:szCs w:val="20"/>
          <w:lang w:val="es-ES"/>
        </w:rPr>
        <w:t xml:space="preserve">Pedro Tiu Cac) y 11.198 (José María Ixcaya Pixtay y otros) </w:t>
      </w:r>
      <w:r w:rsidRPr="005B0CA2">
        <w:rPr>
          <w:rFonts w:ascii="Cambria" w:eastAsia="Times New Roman" w:hAnsi="Cambria"/>
          <w:color w:val="000000"/>
          <w:sz w:val="20"/>
          <w:szCs w:val="20"/>
          <w:lang w:val="es-ES" w:eastAsia="pt-BR"/>
        </w:rPr>
        <w:t>y el Estado suscribieron un acuerdo específico sobre indemnización económica en materia de reparaciones.</w:t>
      </w:r>
    </w:p>
    <w:p w14:paraId="5CF2D15B" w14:textId="77777777" w:rsidR="00700CD0" w:rsidRPr="005B0CA2" w:rsidRDefault="00700CD0" w:rsidP="005D3131">
      <w:pPr>
        <w:spacing w:after="0" w:line="240" w:lineRule="auto"/>
        <w:ind w:left="720"/>
        <w:jc w:val="both"/>
        <w:rPr>
          <w:rFonts w:ascii="Cambria" w:hAnsi="Cambria" w:cs="Calibri Light"/>
          <w:color w:val="000000"/>
          <w:sz w:val="20"/>
          <w:szCs w:val="20"/>
          <w:lang w:val="es-ES"/>
        </w:rPr>
      </w:pPr>
    </w:p>
    <w:p w14:paraId="6A567296" w14:textId="77777777" w:rsidR="001636D0" w:rsidRPr="005B0CA2" w:rsidRDefault="00700CD0" w:rsidP="005D3131">
      <w:pPr>
        <w:numPr>
          <w:ilvl w:val="0"/>
          <w:numId w:val="8"/>
        </w:numPr>
        <w:spacing w:after="0" w:line="240" w:lineRule="auto"/>
        <w:ind w:left="0" w:firstLine="720"/>
        <w:jc w:val="both"/>
        <w:rPr>
          <w:rFonts w:ascii="Cambria" w:hAnsi="Cambria" w:cs="Calibri Light"/>
          <w:color w:val="000000"/>
          <w:sz w:val="20"/>
          <w:szCs w:val="20"/>
          <w:lang w:val="es-ES"/>
        </w:rPr>
      </w:pPr>
      <w:r w:rsidRPr="005B0CA2">
        <w:rPr>
          <w:rFonts w:ascii="Cambria" w:hAnsi="Cambria" w:cs="Calibri Light"/>
          <w:color w:val="000000"/>
          <w:sz w:val="20"/>
          <w:szCs w:val="20"/>
          <w:lang w:val="es-ES"/>
        </w:rPr>
        <w:t xml:space="preserve">La CIDH por Resolución </w:t>
      </w:r>
      <w:r w:rsidR="00BA1FE2" w:rsidRPr="005B0CA2">
        <w:rPr>
          <w:rFonts w:ascii="Cambria" w:hAnsi="Cambria" w:cs="Calibri Light"/>
          <w:color w:val="000000"/>
          <w:sz w:val="20"/>
          <w:szCs w:val="20"/>
          <w:lang w:val="es-ES"/>
        </w:rPr>
        <w:t xml:space="preserve">Nº </w:t>
      </w:r>
      <w:r w:rsidRPr="005B0CA2">
        <w:rPr>
          <w:rFonts w:ascii="Cambria" w:hAnsi="Cambria" w:cs="Calibri Light"/>
          <w:color w:val="000000"/>
          <w:sz w:val="20"/>
          <w:szCs w:val="20"/>
          <w:lang w:val="es-ES"/>
        </w:rPr>
        <w:t xml:space="preserve">1/06, del 24 de abril de 2006, resolvió rectificar el Informe </w:t>
      </w:r>
      <w:r w:rsidR="00BA1FE2" w:rsidRPr="005B0CA2">
        <w:rPr>
          <w:rFonts w:ascii="Cambria" w:hAnsi="Cambria" w:cs="Calibri Light"/>
          <w:color w:val="000000"/>
          <w:sz w:val="20"/>
          <w:szCs w:val="20"/>
          <w:lang w:val="es-ES"/>
        </w:rPr>
        <w:t xml:space="preserve">Nº </w:t>
      </w:r>
      <w:r w:rsidRPr="005B0CA2">
        <w:rPr>
          <w:rFonts w:ascii="Cambria" w:hAnsi="Cambria" w:cs="Calibri Light"/>
          <w:color w:val="000000"/>
          <w:sz w:val="20"/>
          <w:szCs w:val="20"/>
          <w:lang w:val="es-ES"/>
        </w:rPr>
        <w:t>59/01, en el sentido de declarar que</w:t>
      </w:r>
      <w:r w:rsidR="006A2418" w:rsidRPr="005B0CA2">
        <w:rPr>
          <w:rFonts w:ascii="Cambria" w:hAnsi="Cambria" w:cs="Calibri Light"/>
          <w:color w:val="000000"/>
          <w:sz w:val="20"/>
          <w:szCs w:val="20"/>
          <w:lang w:val="es-ES"/>
        </w:rPr>
        <w:t>,</w:t>
      </w:r>
      <w:r w:rsidRPr="005B0CA2">
        <w:rPr>
          <w:rFonts w:ascii="Cambria" w:hAnsi="Cambria" w:cs="Calibri Light"/>
          <w:color w:val="000000"/>
          <w:sz w:val="20"/>
          <w:szCs w:val="20"/>
          <w:lang w:val="es-ES"/>
        </w:rPr>
        <w:t xml:space="preserve"> el 28 de junio de 1990</w:t>
      </w:r>
      <w:r w:rsidR="006A2418" w:rsidRPr="005B0CA2">
        <w:rPr>
          <w:rFonts w:ascii="Cambria" w:hAnsi="Cambria" w:cs="Calibri Light"/>
          <w:color w:val="000000"/>
          <w:sz w:val="20"/>
          <w:szCs w:val="20"/>
          <w:lang w:val="es-ES"/>
        </w:rPr>
        <w:t>,</w:t>
      </w:r>
      <w:r w:rsidRPr="005B0CA2">
        <w:rPr>
          <w:rFonts w:ascii="Cambria" w:hAnsi="Cambria" w:cs="Calibri Light"/>
          <w:color w:val="000000"/>
          <w:sz w:val="20"/>
          <w:szCs w:val="20"/>
          <w:lang w:val="es-ES"/>
        </w:rPr>
        <w:t xml:space="preserve"> los señores Remigio Domingo Morales y Rafael Sánchez fueron detenidos por miembros de las Patrullas de Autodefensa Civil siendo el mismo día conducidos al Hospital de Huehuetenango para ser atendidos por heridas múltiples </w:t>
      </w:r>
      <w:proofErr w:type="gramStart"/>
      <w:r w:rsidRPr="005B0CA2">
        <w:rPr>
          <w:rFonts w:ascii="Cambria" w:hAnsi="Cambria" w:cs="Calibri Light"/>
          <w:color w:val="000000"/>
          <w:sz w:val="20"/>
          <w:szCs w:val="20"/>
          <w:lang w:val="es-ES"/>
        </w:rPr>
        <w:t>corto contundentes</w:t>
      </w:r>
      <w:proofErr w:type="gramEnd"/>
      <w:r w:rsidRPr="005B0CA2">
        <w:rPr>
          <w:rFonts w:ascii="Cambria" w:hAnsi="Cambria" w:cs="Calibri Light"/>
          <w:color w:val="000000"/>
          <w:sz w:val="20"/>
          <w:szCs w:val="20"/>
          <w:lang w:val="es-ES"/>
        </w:rPr>
        <w:t xml:space="preserve"> que presentaban, egresando ambos del hospital el día 3 de julio de 1990. La citada Resolución fue notificada al Estado de Guatemala y a los peticionarios y publicada a continuación del citado informe.</w:t>
      </w:r>
    </w:p>
    <w:p w14:paraId="1176DF3A" w14:textId="77777777" w:rsidR="00700CD0" w:rsidRPr="005B0CA2" w:rsidRDefault="00700CD0" w:rsidP="005D3131">
      <w:pPr>
        <w:spacing w:after="0" w:line="240" w:lineRule="auto"/>
        <w:ind w:left="720"/>
        <w:jc w:val="both"/>
        <w:rPr>
          <w:rFonts w:ascii="Cambria" w:hAnsi="Cambria" w:cs="Calibri Light"/>
          <w:color w:val="000000"/>
          <w:sz w:val="20"/>
          <w:szCs w:val="20"/>
          <w:lang w:val="es-ES"/>
        </w:rPr>
      </w:pPr>
    </w:p>
    <w:p w14:paraId="185E7BC8" w14:textId="77777777" w:rsidR="002905A2" w:rsidRPr="005B0CA2" w:rsidRDefault="001636D0" w:rsidP="002905A2">
      <w:pPr>
        <w:numPr>
          <w:ilvl w:val="0"/>
          <w:numId w:val="8"/>
        </w:numPr>
        <w:spacing w:after="0" w:line="240" w:lineRule="auto"/>
        <w:ind w:left="0" w:firstLine="720"/>
        <w:jc w:val="both"/>
        <w:rPr>
          <w:rFonts w:ascii="Cambria" w:hAnsi="Cambria" w:cs="Calibri Light"/>
          <w:color w:val="000000"/>
          <w:sz w:val="20"/>
          <w:szCs w:val="20"/>
          <w:lang w:val="es-ES"/>
        </w:rPr>
      </w:pPr>
      <w:r w:rsidRPr="005B0CA2">
        <w:rPr>
          <w:rFonts w:ascii="Cambria" w:hAnsi="Cambria"/>
          <w:color w:val="000000"/>
          <w:sz w:val="20"/>
          <w:szCs w:val="20"/>
          <w:lang w:val="es-ES"/>
        </w:rPr>
        <w:t>El 14 de octubre de 2015</w:t>
      </w:r>
      <w:r w:rsidR="006A2418" w:rsidRPr="005B0CA2">
        <w:rPr>
          <w:rFonts w:ascii="Cambria" w:hAnsi="Cambria"/>
          <w:color w:val="000000"/>
          <w:sz w:val="20"/>
          <w:szCs w:val="20"/>
          <w:lang w:val="es-ES"/>
        </w:rPr>
        <w:t>,</w:t>
      </w:r>
      <w:r w:rsidRPr="005B0CA2">
        <w:rPr>
          <w:rFonts w:ascii="Cambria" w:hAnsi="Cambria"/>
          <w:color w:val="000000"/>
          <w:sz w:val="20"/>
          <w:szCs w:val="20"/>
          <w:lang w:val="es-ES"/>
        </w:rPr>
        <w:t xml:space="preserve"> el Centro de Acción Legal de Derechos Humanos (CALDH) informó a la CIDH que solo representa </w:t>
      </w:r>
      <w:r w:rsidRPr="005B0CA2">
        <w:rPr>
          <w:rFonts w:ascii="Cambria" w:hAnsi="Cambria" w:cs="Calibri Light"/>
          <w:color w:val="000000"/>
          <w:sz w:val="20"/>
          <w:szCs w:val="20"/>
          <w:lang w:val="es-ES"/>
        </w:rPr>
        <w:t>los casos 10.627 (</w:t>
      </w:r>
      <w:r w:rsidRPr="005B0CA2">
        <w:rPr>
          <w:rFonts w:ascii="Cambria" w:hAnsi="Cambria"/>
          <w:bCs/>
          <w:color w:val="000000"/>
          <w:sz w:val="20"/>
          <w:szCs w:val="20"/>
          <w:lang w:val="es-ES"/>
        </w:rPr>
        <w:t xml:space="preserve">Pedro Tiu Cac) y 11.198 José (María </w:t>
      </w:r>
      <w:proofErr w:type="spellStart"/>
      <w:r w:rsidRPr="005B0CA2">
        <w:rPr>
          <w:rFonts w:ascii="Cambria" w:hAnsi="Cambria"/>
          <w:bCs/>
          <w:color w:val="000000"/>
          <w:sz w:val="20"/>
          <w:szCs w:val="20"/>
          <w:lang w:val="es-ES"/>
        </w:rPr>
        <w:t>Ixcaya</w:t>
      </w:r>
      <w:proofErr w:type="spellEnd"/>
      <w:r w:rsidRPr="005B0CA2">
        <w:rPr>
          <w:rFonts w:ascii="Cambria" w:hAnsi="Cambria"/>
          <w:bCs/>
          <w:color w:val="000000"/>
          <w:sz w:val="20"/>
          <w:szCs w:val="20"/>
          <w:lang w:val="es-ES"/>
        </w:rPr>
        <w:t xml:space="preserve"> </w:t>
      </w:r>
      <w:proofErr w:type="spellStart"/>
      <w:r w:rsidRPr="005B0CA2">
        <w:rPr>
          <w:rFonts w:ascii="Cambria" w:hAnsi="Cambria"/>
          <w:bCs/>
          <w:color w:val="000000"/>
          <w:sz w:val="20"/>
          <w:szCs w:val="20"/>
          <w:lang w:val="es-ES"/>
        </w:rPr>
        <w:t>Pixtay</w:t>
      </w:r>
      <w:proofErr w:type="spellEnd"/>
      <w:r w:rsidRPr="005B0CA2">
        <w:rPr>
          <w:rFonts w:ascii="Cambria" w:hAnsi="Cambria"/>
          <w:bCs/>
          <w:color w:val="000000"/>
          <w:sz w:val="20"/>
          <w:szCs w:val="20"/>
          <w:lang w:val="es-ES"/>
        </w:rPr>
        <w:t xml:space="preserve"> y otros).</w:t>
      </w:r>
    </w:p>
    <w:p w14:paraId="7BBF549C" w14:textId="77777777" w:rsidR="002905A2" w:rsidRPr="005B0CA2" w:rsidRDefault="002905A2" w:rsidP="002905A2">
      <w:pPr>
        <w:pStyle w:val="ListParagraph"/>
        <w:rPr>
          <w:rFonts w:ascii="Cambria" w:hAnsi="Cambria" w:cs="Calibri Light"/>
          <w:color w:val="000000"/>
          <w:sz w:val="20"/>
          <w:szCs w:val="20"/>
          <w:lang w:val="es-ES"/>
        </w:rPr>
      </w:pPr>
    </w:p>
    <w:p w14:paraId="761DE446" w14:textId="77777777" w:rsidR="002905A2" w:rsidRPr="005B0CA2" w:rsidRDefault="002905A2" w:rsidP="002905A2">
      <w:pPr>
        <w:numPr>
          <w:ilvl w:val="0"/>
          <w:numId w:val="8"/>
        </w:numPr>
        <w:spacing w:after="0" w:line="240" w:lineRule="auto"/>
        <w:ind w:left="0" w:firstLine="720"/>
        <w:jc w:val="both"/>
        <w:rPr>
          <w:rFonts w:ascii="Cambria" w:hAnsi="Cambria" w:cs="Calibri Light"/>
          <w:color w:val="000000"/>
          <w:sz w:val="20"/>
          <w:szCs w:val="20"/>
          <w:lang w:val="es-ES"/>
        </w:rPr>
      </w:pPr>
      <w:r w:rsidRPr="005B0CA2">
        <w:rPr>
          <w:rFonts w:ascii="Cambria" w:hAnsi="Cambria" w:cs="Calibri Light"/>
          <w:color w:val="000000"/>
          <w:sz w:val="20"/>
          <w:szCs w:val="20"/>
          <w:lang w:val="es-ES"/>
        </w:rPr>
        <w:lastRenderedPageBreak/>
        <w:t xml:space="preserve">En 2021, la CIDH solicitó al Estado información actualizada sobre el cumplimiento de las recomendaciones emitidas en el informe de Fondo </w:t>
      </w:r>
      <w:proofErr w:type="spellStart"/>
      <w:r w:rsidRPr="005B0CA2">
        <w:rPr>
          <w:rFonts w:ascii="Cambria" w:hAnsi="Cambria"/>
          <w:color w:val="000000"/>
          <w:sz w:val="20"/>
          <w:szCs w:val="20"/>
          <w:lang w:val="es-ES_tradnl"/>
        </w:rPr>
        <w:t>Nº</w:t>
      </w:r>
      <w:proofErr w:type="spellEnd"/>
      <w:r w:rsidRPr="005B0CA2">
        <w:rPr>
          <w:rFonts w:ascii="Cambria" w:hAnsi="Cambria"/>
          <w:color w:val="000000"/>
          <w:sz w:val="20"/>
          <w:szCs w:val="20"/>
          <w:lang w:val="es-ES_tradnl"/>
        </w:rPr>
        <w:t xml:space="preserve"> 59/01 </w:t>
      </w:r>
      <w:r w:rsidRPr="005B0CA2">
        <w:rPr>
          <w:rFonts w:ascii="Cambria" w:hAnsi="Cambria" w:cs="Calibri Light"/>
          <w:color w:val="000000"/>
          <w:sz w:val="20"/>
          <w:szCs w:val="20"/>
          <w:lang w:val="es-ES"/>
        </w:rPr>
        <w:t xml:space="preserve">el 20 de agosto. El 17 de septiembre de 2021, el Estado proporcionó la información solicitada. </w:t>
      </w:r>
    </w:p>
    <w:p w14:paraId="73CB3827" w14:textId="77777777" w:rsidR="002905A2" w:rsidRPr="005B0CA2" w:rsidRDefault="002905A2" w:rsidP="002905A2">
      <w:pPr>
        <w:spacing w:after="0" w:line="240" w:lineRule="auto"/>
        <w:jc w:val="both"/>
        <w:rPr>
          <w:rFonts w:ascii="Cambria" w:hAnsi="Cambria" w:cs="Calibri Light"/>
          <w:color w:val="000000"/>
          <w:sz w:val="20"/>
          <w:szCs w:val="20"/>
          <w:lang w:val="es-ES"/>
        </w:rPr>
      </w:pPr>
    </w:p>
    <w:p w14:paraId="56363191" w14:textId="77777777" w:rsidR="001636D0" w:rsidRPr="005B0CA2" w:rsidRDefault="002905A2" w:rsidP="002905A2">
      <w:pPr>
        <w:numPr>
          <w:ilvl w:val="0"/>
          <w:numId w:val="8"/>
        </w:numPr>
        <w:spacing w:after="0" w:line="240" w:lineRule="auto"/>
        <w:ind w:left="0" w:firstLine="720"/>
        <w:jc w:val="both"/>
        <w:rPr>
          <w:rFonts w:ascii="Cambria" w:hAnsi="Cambria" w:cs="Calibri Light"/>
          <w:color w:val="000000"/>
          <w:sz w:val="20"/>
          <w:szCs w:val="20"/>
          <w:lang w:val="es-ES"/>
        </w:rPr>
      </w:pPr>
      <w:r w:rsidRPr="005B0CA2">
        <w:rPr>
          <w:rFonts w:ascii="Cambria" w:hAnsi="Cambria" w:cs="Calibri Light"/>
          <w:color w:val="000000"/>
          <w:sz w:val="20"/>
          <w:szCs w:val="20"/>
          <w:lang w:val="es-ES"/>
        </w:rPr>
        <w:t xml:space="preserve">El 20 de agosto de 2021, la CIDH solicitó a la parte peticionaria información actualizada sobre el cumplimiento de las recomendaciones emitidas en el informe de Fondo </w:t>
      </w:r>
      <w:proofErr w:type="spellStart"/>
      <w:r w:rsidRPr="005B0CA2">
        <w:rPr>
          <w:rFonts w:ascii="Cambria" w:hAnsi="Cambria"/>
          <w:color w:val="000000"/>
          <w:sz w:val="20"/>
          <w:szCs w:val="20"/>
          <w:lang w:val="es-ES_tradnl"/>
        </w:rPr>
        <w:t>Nº</w:t>
      </w:r>
      <w:proofErr w:type="spellEnd"/>
      <w:r w:rsidRPr="005B0CA2">
        <w:rPr>
          <w:rFonts w:ascii="Cambria" w:hAnsi="Cambria"/>
          <w:color w:val="000000"/>
          <w:sz w:val="20"/>
          <w:szCs w:val="20"/>
          <w:lang w:val="es-ES_tradnl"/>
        </w:rPr>
        <w:t xml:space="preserve"> 59/01</w:t>
      </w:r>
      <w:r w:rsidRPr="005B0CA2">
        <w:rPr>
          <w:rFonts w:ascii="Cambria" w:hAnsi="Cambria" w:cs="Calibri Light"/>
          <w:color w:val="000000"/>
          <w:sz w:val="20"/>
          <w:szCs w:val="20"/>
          <w:lang w:val="es-ES"/>
        </w:rPr>
        <w:t xml:space="preserve">. A la fecha de cierre de este informe, </w:t>
      </w:r>
      <w:r w:rsidRPr="005B0CA2">
        <w:rPr>
          <w:rFonts w:ascii="Cambria" w:hAnsi="Cambria"/>
          <w:color w:val="000000"/>
          <w:sz w:val="20"/>
          <w:szCs w:val="20"/>
          <w:lang w:val="es-ES_tradnl"/>
        </w:rPr>
        <w:t>la Comisión no había recibido dicha información de la parte peticionaria.</w:t>
      </w:r>
      <w:r w:rsidRPr="005B0CA2">
        <w:rPr>
          <w:rFonts w:ascii="Cambria" w:hAnsi="Cambria"/>
          <w:color w:val="000000"/>
          <w:sz w:val="20"/>
          <w:szCs w:val="20"/>
          <w:lang w:val="es-US"/>
        </w:rPr>
        <w:t xml:space="preserve"> </w:t>
      </w:r>
      <w:r w:rsidR="00227B9D" w:rsidRPr="005B0CA2">
        <w:rPr>
          <w:rFonts w:ascii="Cambria" w:hAnsi="Cambria" w:cs="Calibri Light"/>
          <w:color w:val="000000"/>
          <w:sz w:val="20"/>
          <w:szCs w:val="20"/>
          <w:lang w:val="es-ES"/>
        </w:rPr>
        <w:t xml:space="preserve">En particular, la CIDH observa que los representantes de los casos 10.626 (Remigio Domingo Morales y Rafael Sánchez), 10.799 (Catalino </w:t>
      </w:r>
      <w:proofErr w:type="spellStart"/>
      <w:r w:rsidR="00227B9D" w:rsidRPr="005B0CA2">
        <w:rPr>
          <w:rFonts w:ascii="Cambria" w:hAnsi="Cambria" w:cs="Calibri Light"/>
          <w:color w:val="000000"/>
          <w:sz w:val="20"/>
          <w:szCs w:val="20"/>
          <w:lang w:val="es-ES"/>
        </w:rPr>
        <w:t>Chochoy</w:t>
      </w:r>
      <w:proofErr w:type="spellEnd"/>
      <w:r w:rsidR="00227B9D" w:rsidRPr="005B0CA2">
        <w:rPr>
          <w:rFonts w:ascii="Cambria" w:hAnsi="Cambria" w:cs="Calibri Light"/>
          <w:color w:val="000000"/>
          <w:sz w:val="20"/>
          <w:szCs w:val="20"/>
          <w:lang w:val="es-ES"/>
        </w:rPr>
        <w:t xml:space="preserve"> y otros), 10.751 (Juan Galicia Hernández y otros) y 10.901 (Antulio Delgado)</w:t>
      </w:r>
      <w:r w:rsidR="00227B9D" w:rsidRPr="005B0CA2">
        <w:rPr>
          <w:rFonts w:ascii="Cambria" w:hAnsi="Cambria" w:cs="Calibri Light"/>
          <w:b/>
          <w:color w:val="000000"/>
          <w:sz w:val="20"/>
          <w:szCs w:val="20"/>
          <w:lang w:val="es-ES"/>
        </w:rPr>
        <w:t xml:space="preserve"> </w:t>
      </w:r>
      <w:r w:rsidR="00227B9D" w:rsidRPr="005B0CA2">
        <w:rPr>
          <w:rFonts w:ascii="Cambria" w:hAnsi="Cambria" w:cs="Calibri Light"/>
          <w:color w:val="000000"/>
          <w:sz w:val="20"/>
          <w:szCs w:val="20"/>
          <w:lang w:val="es-ES"/>
        </w:rPr>
        <w:t xml:space="preserve">no han presentado información desde la emisión del Informe de Fondo Nº 59/01. Por su parte, los representantes de los casos 11.198 (José María </w:t>
      </w:r>
      <w:proofErr w:type="spellStart"/>
      <w:r w:rsidR="00227B9D" w:rsidRPr="005B0CA2">
        <w:rPr>
          <w:rFonts w:ascii="Cambria" w:hAnsi="Cambria" w:cs="Calibri Light"/>
          <w:color w:val="000000"/>
          <w:sz w:val="20"/>
          <w:szCs w:val="20"/>
          <w:lang w:val="es-ES"/>
        </w:rPr>
        <w:t>Ixcaya</w:t>
      </w:r>
      <w:proofErr w:type="spellEnd"/>
      <w:r w:rsidR="00227B9D" w:rsidRPr="005B0CA2">
        <w:rPr>
          <w:rFonts w:ascii="Cambria" w:hAnsi="Cambria" w:cs="Calibri Light"/>
          <w:color w:val="000000"/>
          <w:sz w:val="20"/>
          <w:szCs w:val="20"/>
          <w:lang w:val="es-ES"/>
        </w:rPr>
        <w:t xml:space="preserve"> </w:t>
      </w:r>
      <w:proofErr w:type="spellStart"/>
      <w:r w:rsidR="00227B9D" w:rsidRPr="005B0CA2">
        <w:rPr>
          <w:rFonts w:ascii="Cambria" w:hAnsi="Cambria" w:cs="Calibri Light"/>
          <w:color w:val="000000"/>
          <w:sz w:val="20"/>
          <w:szCs w:val="20"/>
          <w:lang w:val="es-ES"/>
        </w:rPr>
        <w:t>Pixtay</w:t>
      </w:r>
      <w:proofErr w:type="spellEnd"/>
      <w:r w:rsidR="00227B9D" w:rsidRPr="005B0CA2">
        <w:rPr>
          <w:rFonts w:ascii="Cambria" w:hAnsi="Cambria" w:cs="Calibri Light"/>
          <w:color w:val="000000"/>
          <w:sz w:val="20"/>
          <w:szCs w:val="20"/>
          <w:lang w:val="es-ES"/>
        </w:rPr>
        <w:t xml:space="preserve">) y 10.627 (Pedro Tau </w:t>
      </w:r>
      <w:proofErr w:type="spellStart"/>
      <w:r w:rsidR="00227B9D" w:rsidRPr="005B0CA2">
        <w:rPr>
          <w:rFonts w:ascii="Cambria" w:hAnsi="Cambria" w:cs="Calibri Light"/>
          <w:color w:val="000000"/>
          <w:sz w:val="20"/>
          <w:szCs w:val="20"/>
          <w:lang w:val="es-ES"/>
        </w:rPr>
        <w:t>Cac</w:t>
      </w:r>
      <w:proofErr w:type="spellEnd"/>
      <w:r w:rsidR="00227B9D" w:rsidRPr="005B0CA2">
        <w:rPr>
          <w:rFonts w:ascii="Cambria" w:hAnsi="Cambria" w:cs="Calibri Light"/>
          <w:color w:val="000000"/>
          <w:sz w:val="20"/>
          <w:szCs w:val="20"/>
          <w:lang w:val="es-ES"/>
        </w:rPr>
        <w:t xml:space="preserve">) no han presentado información desde el año 2015.  </w:t>
      </w:r>
    </w:p>
    <w:p w14:paraId="78187C30" w14:textId="77777777" w:rsidR="001636D0" w:rsidRPr="005B0CA2" w:rsidRDefault="001636D0" w:rsidP="005D3131">
      <w:pPr>
        <w:spacing w:after="0" w:line="240" w:lineRule="auto"/>
        <w:jc w:val="both"/>
        <w:rPr>
          <w:rFonts w:ascii="Cambria" w:hAnsi="Cambria" w:cs="Calibri Light"/>
          <w:color w:val="000000"/>
          <w:sz w:val="20"/>
          <w:szCs w:val="20"/>
          <w:lang w:val="es-ES"/>
        </w:rPr>
      </w:pPr>
    </w:p>
    <w:p w14:paraId="5E612895" w14:textId="77777777" w:rsidR="001636D0" w:rsidRPr="005B0CA2" w:rsidRDefault="00F30C2F" w:rsidP="00F30C2F">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5B0CA2">
        <w:rPr>
          <w:rFonts w:ascii="Cambria" w:hAnsi="Cambria" w:cs="Calibri Light"/>
          <w:b/>
          <w:color w:val="000000"/>
          <w:sz w:val="20"/>
          <w:szCs w:val="20"/>
          <w:lang w:val="es-ES"/>
        </w:rPr>
        <w:t>Análisis relativo</w:t>
      </w:r>
      <w:r w:rsidR="001636D0" w:rsidRPr="005B0CA2">
        <w:rPr>
          <w:rFonts w:ascii="Cambria" w:hAnsi="Cambria" w:cs="Calibri Light"/>
          <w:b/>
          <w:color w:val="000000"/>
          <w:sz w:val="20"/>
          <w:szCs w:val="20"/>
          <w:lang w:val="es-ES"/>
        </w:rPr>
        <w:t xml:space="preserve"> a</w:t>
      </w:r>
      <w:r w:rsidR="00C00176" w:rsidRPr="005B0CA2">
        <w:rPr>
          <w:rFonts w:ascii="Cambria" w:hAnsi="Cambria" w:cs="Calibri Light"/>
          <w:b/>
          <w:color w:val="000000"/>
          <w:sz w:val="20"/>
          <w:szCs w:val="20"/>
          <w:lang w:val="es-ES"/>
        </w:rPr>
        <w:t xml:space="preserve"> la</w:t>
      </w:r>
      <w:r w:rsidR="001636D0" w:rsidRPr="005B0CA2">
        <w:rPr>
          <w:rFonts w:ascii="Cambria" w:hAnsi="Cambria" w:cs="Calibri Light"/>
          <w:b/>
          <w:color w:val="000000"/>
          <w:sz w:val="20"/>
          <w:szCs w:val="20"/>
          <w:lang w:val="es-ES"/>
        </w:rPr>
        <w:t xml:space="preserve"> información proporcionada</w:t>
      </w:r>
    </w:p>
    <w:p w14:paraId="505ED2BD" w14:textId="77777777" w:rsidR="001636D0" w:rsidRPr="005B0CA2" w:rsidRDefault="001636D0" w:rsidP="005D3131">
      <w:pPr>
        <w:spacing w:after="0" w:line="240" w:lineRule="auto"/>
        <w:jc w:val="both"/>
        <w:rPr>
          <w:rFonts w:ascii="Cambria" w:hAnsi="Cambria" w:cs="Calibri Light"/>
          <w:color w:val="000000"/>
          <w:sz w:val="20"/>
          <w:szCs w:val="20"/>
          <w:lang w:val="es-ES"/>
        </w:rPr>
      </w:pPr>
    </w:p>
    <w:p w14:paraId="60C78B1A" w14:textId="77777777" w:rsidR="001636D0" w:rsidRPr="005B0CA2" w:rsidRDefault="001636D0" w:rsidP="000E0627">
      <w:pPr>
        <w:numPr>
          <w:ilvl w:val="0"/>
          <w:numId w:val="8"/>
        </w:numPr>
        <w:spacing w:after="0" w:line="240" w:lineRule="auto"/>
        <w:ind w:left="0" w:firstLine="720"/>
        <w:jc w:val="both"/>
        <w:rPr>
          <w:rFonts w:ascii="Cambria" w:hAnsi="Cambria" w:cs="Calibri Light"/>
          <w:color w:val="000000"/>
          <w:sz w:val="20"/>
          <w:szCs w:val="20"/>
          <w:lang w:val="es-ES"/>
        </w:rPr>
      </w:pPr>
      <w:r w:rsidRPr="005B0CA2">
        <w:rPr>
          <w:rFonts w:ascii="Cambria" w:hAnsi="Cambria" w:cs="Calibri Light"/>
          <w:color w:val="000000"/>
          <w:sz w:val="20"/>
          <w:szCs w:val="20"/>
          <w:lang w:val="es-ES"/>
        </w:rPr>
        <w:t>La Comisión considera que la información proporcionada po</w:t>
      </w:r>
      <w:r w:rsidR="00D60F30" w:rsidRPr="005B0CA2">
        <w:rPr>
          <w:rFonts w:ascii="Cambria" w:hAnsi="Cambria" w:cs="Calibri Light"/>
          <w:color w:val="000000"/>
          <w:sz w:val="20"/>
          <w:szCs w:val="20"/>
          <w:lang w:val="es-ES"/>
        </w:rPr>
        <w:t xml:space="preserve">r el Estado </w:t>
      </w:r>
      <w:r w:rsidR="00227B9D" w:rsidRPr="005B0CA2">
        <w:rPr>
          <w:rFonts w:ascii="Cambria" w:hAnsi="Cambria" w:cs="Calibri Light"/>
          <w:color w:val="000000"/>
          <w:sz w:val="20"/>
          <w:szCs w:val="20"/>
          <w:lang w:val="es-ES"/>
        </w:rPr>
        <w:t>no es relevante para actualizar el seguimiento del caso, puesto que es repetitiva de la información presentada en años anteriores sin contener información sobre medidas adoptadas recientemente para cumplir con al menos una de las recomendaciones incluidas en el Informe de Fondo No. 59/01</w:t>
      </w:r>
      <w:r w:rsidRPr="005B0CA2">
        <w:rPr>
          <w:rFonts w:ascii="Cambria" w:hAnsi="Cambria" w:cs="Calibri Light"/>
          <w:color w:val="000000"/>
          <w:sz w:val="20"/>
          <w:szCs w:val="20"/>
          <w:lang w:val="es-ES"/>
        </w:rPr>
        <w:t xml:space="preserve">. </w:t>
      </w:r>
    </w:p>
    <w:p w14:paraId="62305A9B" w14:textId="77777777" w:rsidR="00227B9D" w:rsidRPr="005B0CA2" w:rsidRDefault="00227B9D" w:rsidP="00227B9D">
      <w:pPr>
        <w:spacing w:after="0" w:line="240" w:lineRule="auto"/>
        <w:jc w:val="both"/>
        <w:rPr>
          <w:rFonts w:ascii="Cambria" w:hAnsi="Cambria" w:cs="Calibri Light"/>
          <w:b/>
          <w:color w:val="000000"/>
          <w:sz w:val="20"/>
          <w:szCs w:val="20"/>
          <w:lang w:val="es-ES"/>
        </w:rPr>
      </w:pPr>
    </w:p>
    <w:p w14:paraId="7410D74E" w14:textId="77777777" w:rsidR="00227B9D" w:rsidRPr="005B0CA2" w:rsidRDefault="00227B9D" w:rsidP="00227B9D">
      <w:pPr>
        <w:numPr>
          <w:ilvl w:val="0"/>
          <w:numId w:val="8"/>
        </w:numPr>
        <w:spacing w:after="0" w:line="240" w:lineRule="auto"/>
        <w:ind w:left="0" w:firstLine="720"/>
        <w:jc w:val="both"/>
        <w:rPr>
          <w:rFonts w:ascii="Cambria" w:hAnsi="Cambria" w:cs="Calibri Light"/>
          <w:b/>
          <w:color w:val="000000"/>
          <w:sz w:val="20"/>
          <w:szCs w:val="20"/>
          <w:lang w:val="es-ES"/>
        </w:rPr>
      </w:pPr>
      <w:r w:rsidRPr="005B0CA2">
        <w:rPr>
          <w:rFonts w:ascii="Cambria" w:hAnsi="Cambria" w:cs="Calibri Light"/>
          <w:color w:val="000000"/>
          <w:sz w:val="20"/>
          <w:szCs w:val="20"/>
          <w:lang w:val="es-ES"/>
        </w:rPr>
        <w:t>Por ende, ante</w:t>
      </w:r>
      <w:r w:rsidRPr="005B0CA2">
        <w:rPr>
          <w:rFonts w:ascii="Cambria" w:hAnsi="Cambria" w:cs="Calibri Light"/>
          <w:color w:val="000000"/>
          <w:sz w:val="20"/>
          <w:szCs w:val="20"/>
          <w:lang w:val="es-ES_tradnl"/>
        </w:rPr>
        <w:t xml:space="preserve"> la ausencia de información actualizada sobre el nivel de cumplimiento de las recomendaciones, la CIDH reitera, a continuación, el análisis del cumplimiento y las conclusiones realizadas en su Informe Anual 20</w:t>
      </w:r>
      <w:r w:rsidR="00C10476" w:rsidRPr="005B0CA2">
        <w:rPr>
          <w:rFonts w:ascii="Cambria" w:hAnsi="Cambria" w:cs="Calibri Light"/>
          <w:color w:val="000000"/>
          <w:sz w:val="20"/>
          <w:szCs w:val="20"/>
          <w:lang w:val="es-ES_tradnl"/>
        </w:rPr>
        <w:t>20</w:t>
      </w:r>
      <w:r w:rsidRPr="005B0CA2">
        <w:rPr>
          <w:rFonts w:ascii="Cambria" w:hAnsi="Cambria" w:cs="Calibri Light"/>
          <w:color w:val="000000"/>
          <w:sz w:val="20"/>
          <w:szCs w:val="20"/>
          <w:lang w:val="es-ES_tradnl"/>
        </w:rPr>
        <w:t>.</w:t>
      </w:r>
    </w:p>
    <w:p w14:paraId="4520B3DC" w14:textId="77777777" w:rsidR="005D3131" w:rsidRPr="005B0CA2" w:rsidRDefault="005D3131" w:rsidP="005D3131">
      <w:pPr>
        <w:spacing w:after="0" w:line="240" w:lineRule="auto"/>
        <w:jc w:val="both"/>
        <w:rPr>
          <w:rFonts w:ascii="Cambria" w:hAnsi="Cambria" w:cs="Calibri Light"/>
          <w:b/>
          <w:color w:val="000000"/>
          <w:sz w:val="20"/>
          <w:szCs w:val="20"/>
          <w:lang w:val="es-ES"/>
        </w:rPr>
      </w:pPr>
    </w:p>
    <w:p w14:paraId="12A0E7C0" w14:textId="77777777" w:rsidR="001636D0" w:rsidRPr="005B0CA2" w:rsidRDefault="001636D0" w:rsidP="00F30C2F">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5B0CA2">
        <w:rPr>
          <w:rFonts w:ascii="Cambria" w:hAnsi="Cambria" w:cs="Calibri Light"/>
          <w:b/>
          <w:color w:val="000000"/>
          <w:sz w:val="20"/>
          <w:szCs w:val="20"/>
          <w:lang w:val="es-ES"/>
        </w:rPr>
        <w:t>Análisis del cumplimiento de las recomendaciones</w:t>
      </w:r>
    </w:p>
    <w:p w14:paraId="41E768A6" w14:textId="77777777" w:rsidR="00B60CAA" w:rsidRPr="005B0CA2" w:rsidRDefault="00B60CAA" w:rsidP="005D3131">
      <w:pPr>
        <w:spacing w:after="0" w:line="240" w:lineRule="auto"/>
        <w:jc w:val="both"/>
        <w:rPr>
          <w:rFonts w:ascii="Cambria" w:hAnsi="Cambria" w:cs="Calibri Light"/>
          <w:b/>
          <w:color w:val="000000"/>
          <w:sz w:val="20"/>
          <w:szCs w:val="20"/>
          <w:lang w:val="es-ES"/>
        </w:rPr>
      </w:pPr>
    </w:p>
    <w:p w14:paraId="65A66F1C" w14:textId="77777777" w:rsidR="00B60CAA" w:rsidRPr="005B0CA2" w:rsidRDefault="00B60CAA" w:rsidP="005D3131">
      <w:pPr>
        <w:numPr>
          <w:ilvl w:val="0"/>
          <w:numId w:val="8"/>
        </w:numPr>
        <w:spacing w:after="0" w:line="240" w:lineRule="auto"/>
        <w:ind w:left="0" w:firstLine="720"/>
        <w:jc w:val="both"/>
        <w:rPr>
          <w:rFonts w:ascii="Cambria" w:hAnsi="Cambria" w:cs="Calibri Light"/>
          <w:b/>
          <w:color w:val="000000"/>
          <w:sz w:val="20"/>
          <w:szCs w:val="20"/>
          <w:lang w:val="es-ES"/>
        </w:rPr>
      </w:pPr>
      <w:r w:rsidRPr="005B0CA2">
        <w:rPr>
          <w:rFonts w:ascii="Cambria" w:hAnsi="Cambria" w:cs="Calibri Light"/>
          <w:color w:val="000000"/>
          <w:sz w:val="20"/>
          <w:szCs w:val="20"/>
          <w:lang w:val="es-ES"/>
        </w:rPr>
        <w:t>En 201</w:t>
      </w:r>
      <w:r w:rsidR="00E3620A" w:rsidRPr="005B0CA2">
        <w:rPr>
          <w:rFonts w:ascii="Cambria" w:hAnsi="Cambria" w:cs="Calibri Light"/>
          <w:color w:val="000000"/>
          <w:sz w:val="20"/>
          <w:szCs w:val="20"/>
          <w:lang w:val="es-ES"/>
        </w:rPr>
        <w:t xml:space="preserve">9, </w:t>
      </w:r>
      <w:r w:rsidRPr="005B0CA2">
        <w:rPr>
          <w:rFonts w:ascii="Cambria" w:hAnsi="Cambria" w:cs="Calibri Light"/>
          <w:color w:val="000000"/>
          <w:sz w:val="20"/>
          <w:szCs w:val="20"/>
          <w:lang w:val="es-ES"/>
        </w:rPr>
        <w:t>el Estado de Guatemala</w:t>
      </w:r>
      <w:r w:rsidR="00E3620A" w:rsidRPr="005B0CA2">
        <w:rPr>
          <w:rFonts w:ascii="Cambria" w:hAnsi="Cambria" w:cs="Calibri Light"/>
          <w:color w:val="000000"/>
          <w:sz w:val="20"/>
          <w:szCs w:val="20"/>
          <w:lang w:val="es-ES"/>
        </w:rPr>
        <w:t xml:space="preserve"> reiteró lo manifestado en ocasiones anteriores y</w:t>
      </w:r>
      <w:r w:rsidRPr="005B0CA2">
        <w:rPr>
          <w:rFonts w:ascii="Cambria" w:hAnsi="Cambria" w:cs="Calibri Light"/>
          <w:color w:val="000000"/>
          <w:sz w:val="20"/>
          <w:szCs w:val="20"/>
          <w:lang w:val="es-ES"/>
        </w:rPr>
        <w:t xml:space="preserve"> expresó a la CIDH que las recomendaciones formuladas en el Informe </w:t>
      </w:r>
      <w:r w:rsidR="00BA1FE2" w:rsidRPr="005B0CA2">
        <w:rPr>
          <w:rFonts w:ascii="Cambria" w:hAnsi="Cambria" w:cs="Calibri Light"/>
          <w:color w:val="000000"/>
          <w:sz w:val="20"/>
          <w:szCs w:val="20"/>
          <w:lang w:val="es-ES"/>
        </w:rPr>
        <w:t xml:space="preserve">Nº </w:t>
      </w:r>
      <w:r w:rsidRPr="005B0CA2">
        <w:rPr>
          <w:rFonts w:ascii="Cambria" w:hAnsi="Cambria" w:cs="Calibri Light"/>
          <w:color w:val="000000"/>
          <w:sz w:val="20"/>
          <w:szCs w:val="20"/>
          <w:lang w:val="es-ES"/>
        </w:rPr>
        <w:t xml:space="preserve">59/01 quedaron sin efecto al momento de emitir la Resolución </w:t>
      </w:r>
      <w:r w:rsidR="00F64E62" w:rsidRPr="005B0CA2">
        <w:rPr>
          <w:rFonts w:ascii="Cambria" w:hAnsi="Cambria" w:cs="Calibri Light"/>
          <w:color w:val="000000"/>
          <w:sz w:val="20"/>
          <w:szCs w:val="20"/>
          <w:lang w:val="es-ES"/>
        </w:rPr>
        <w:t xml:space="preserve">Nº </w:t>
      </w:r>
      <w:r w:rsidRPr="005B0CA2">
        <w:rPr>
          <w:rFonts w:ascii="Cambria" w:hAnsi="Cambria" w:cs="Calibri Light"/>
          <w:color w:val="000000"/>
          <w:sz w:val="20"/>
          <w:szCs w:val="20"/>
          <w:lang w:val="es-ES"/>
        </w:rPr>
        <w:t>1/06. En este sentido, el Estado argumenta que la CIDH modificó automáticamente las supuestas violaciones cometidas en contra de los señores Remigio Domingo Morales y Rafael Sánchez; sin embargo, de considerarlo pertinente, la Comisión debía formular otras que a su criterio fuesen idóneas en concordancia con la supuesta violación al derecho a la integridad física. Adicionalmente, el Estado manifestó su “total oposición” a las solicitudes de información respecto al cumplimiento de las recomendaciones señaladas en el Informe de Fondo toda vez que demostró que los señores Remigio Domingo Morales y Rafael Sánchez no fueron víctimas de ejecución extrajudicial.  Finalmente, el Estado de Guatemala solicitó el archivo del presente caso debido a la inactividad procesal de los peticionario</w:t>
      </w:r>
      <w:r w:rsidR="00E37250" w:rsidRPr="005B0CA2">
        <w:rPr>
          <w:rFonts w:ascii="Cambria" w:hAnsi="Cambria" w:cs="Calibri Light"/>
          <w:color w:val="000000"/>
          <w:sz w:val="20"/>
          <w:szCs w:val="20"/>
          <w:lang w:val="es-ES"/>
        </w:rPr>
        <w:t>s. Lo anterior, con base en el Comunicado de P</w:t>
      </w:r>
      <w:r w:rsidRPr="005B0CA2">
        <w:rPr>
          <w:rFonts w:ascii="Cambria" w:hAnsi="Cambria" w:cs="Calibri Light"/>
          <w:color w:val="000000"/>
          <w:sz w:val="20"/>
          <w:szCs w:val="20"/>
          <w:lang w:val="es-ES"/>
        </w:rPr>
        <w:t>rensa 150/16 de la CIDH, publicado el 18 de octubre de 2016.</w:t>
      </w:r>
    </w:p>
    <w:p w14:paraId="3D0177F6" w14:textId="77777777" w:rsidR="007547B4" w:rsidRPr="005B0CA2" w:rsidRDefault="007547B4" w:rsidP="007547B4">
      <w:pPr>
        <w:spacing w:after="0" w:line="240" w:lineRule="auto"/>
        <w:ind w:left="720"/>
        <w:jc w:val="both"/>
        <w:rPr>
          <w:rFonts w:ascii="Cambria" w:hAnsi="Cambria" w:cs="Calibri Light"/>
          <w:bCs/>
          <w:color w:val="000000"/>
          <w:sz w:val="20"/>
          <w:szCs w:val="20"/>
          <w:lang w:val="es-ES"/>
        </w:rPr>
      </w:pPr>
    </w:p>
    <w:p w14:paraId="7C63FCB1" w14:textId="77777777" w:rsidR="007547B4" w:rsidRPr="005B0CA2" w:rsidRDefault="007547B4" w:rsidP="005D3131">
      <w:pPr>
        <w:numPr>
          <w:ilvl w:val="0"/>
          <w:numId w:val="8"/>
        </w:numPr>
        <w:spacing w:after="0" w:line="240" w:lineRule="auto"/>
        <w:ind w:left="0" w:firstLine="720"/>
        <w:jc w:val="both"/>
        <w:rPr>
          <w:rFonts w:ascii="Cambria" w:hAnsi="Cambria" w:cs="Calibri Light"/>
          <w:bCs/>
          <w:color w:val="000000"/>
          <w:sz w:val="20"/>
          <w:szCs w:val="20"/>
          <w:lang w:val="es-ES"/>
        </w:rPr>
      </w:pPr>
      <w:r w:rsidRPr="005B0CA2">
        <w:rPr>
          <w:rFonts w:ascii="Cambria" w:hAnsi="Cambria" w:cs="Calibri Light"/>
          <w:bCs/>
          <w:color w:val="000000"/>
          <w:sz w:val="20"/>
          <w:szCs w:val="20"/>
          <w:lang w:val="es-ES"/>
        </w:rPr>
        <w:t xml:space="preserve">En 2020, el Estado solicitó a la Comisión ordenar el archivo del presente caso, en virtud de que, en su criterio, los hechos que motivaron el </w:t>
      </w:r>
      <w:r w:rsidR="007C7D82" w:rsidRPr="005B0CA2">
        <w:rPr>
          <w:rFonts w:ascii="Cambria" w:hAnsi="Cambria" w:cs="Calibri Light"/>
          <w:bCs/>
          <w:color w:val="000000"/>
          <w:sz w:val="20"/>
          <w:szCs w:val="20"/>
          <w:lang w:val="es-ES"/>
        </w:rPr>
        <w:t>Informe de Fondo No. 59/01</w:t>
      </w:r>
      <w:r w:rsidRPr="005B0CA2">
        <w:rPr>
          <w:rFonts w:ascii="Cambria" w:hAnsi="Cambria" w:cs="Calibri Light"/>
          <w:bCs/>
          <w:color w:val="000000"/>
          <w:sz w:val="20"/>
          <w:szCs w:val="20"/>
          <w:lang w:val="es-ES"/>
        </w:rPr>
        <w:t xml:space="preserve"> desaparecieron y por la notoria falta de actividad procesal de la parte peticionaria</w:t>
      </w:r>
      <w:r w:rsidR="007C7D82" w:rsidRPr="005B0CA2">
        <w:rPr>
          <w:rFonts w:ascii="Cambria" w:hAnsi="Cambria" w:cs="Calibri Light"/>
          <w:bCs/>
          <w:color w:val="000000"/>
          <w:sz w:val="20"/>
          <w:szCs w:val="20"/>
          <w:lang w:val="es-ES"/>
        </w:rPr>
        <w:t xml:space="preserve"> por 25 años</w:t>
      </w:r>
      <w:r w:rsidRPr="005B0CA2">
        <w:rPr>
          <w:rFonts w:ascii="Cambria" w:hAnsi="Cambria" w:cs="Calibri Light"/>
          <w:bCs/>
          <w:color w:val="000000"/>
          <w:sz w:val="20"/>
          <w:szCs w:val="20"/>
          <w:lang w:val="es-ES"/>
        </w:rPr>
        <w:t xml:space="preserve">. Al respecto, el Estado señaló que, de acuerdo con la Resolución 1/06, </w:t>
      </w:r>
      <w:r w:rsidR="007C7D82" w:rsidRPr="005B0CA2">
        <w:rPr>
          <w:rFonts w:ascii="Cambria" w:hAnsi="Cambria" w:cs="Calibri Light"/>
          <w:bCs/>
          <w:color w:val="000000"/>
          <w:sz w:val="20"/>
          <w:szCs w:val="20"/>
          <w:lang w:val="es-ES"/>
        </w:rPr>
        <w:t>la Comisión</w:t>
      </w:r>
      <w:r w:rsidRPr="005B0CA2">
        <w:rPr>
          <w:rFonts w:ascii="Cambria" w:hAnsi="Cambria" w:cs="Calibri Light"/>
          <w:bCs/>
          <w:color w:val="000000"/>
          <w:sz w:val="20"/>
          <w:szCs w:val="20"/>
          <w:lang w:val="es-ES"/>
        </w:rPr>
        <w:t xml:space="preserve"> reconoció un error material sobre los hechos del caso expuestos en el </w:t>
      </w:r>
      <w:r w:rsidR="007C7D82" w:rsidRPr="005B0CA2">
        <w:rPr>
          <w:rFonts w:ascii="Cambria" w:hAnsi="Cambria" w:cs="Calibri Light"/>
          <w:bCs/>
          <w:color w:val="000000"/>
          <w:sz w:val="20"/>
          <w:szCs w:val="20"/>
          <w:lang w:val="es-ES"/>
        </w:rPr>
        <w:t xml:space="preserve">referido </w:t>
      </w:r>
      <w:r w:rsidRPr="005B0CA2">
        <w:rPr>
          <w:rFonts w:ascii="Cambria" w:hAnsi="Cambria" w:cs="Calibri Light"/>
          <w:bCs/>
          <w:color w:val="000000"/>
          <w:sz w:val="20"/>
          <w:szCs w:val="20"/>
          <w:lang w:val="es-ES"/>
        </w:rPr>
        <w:t>informe de fondo</w:t>
      </w:r>
      <w:r w:rsidR="007C7D82" w:rsidRPr="005B0CA2">
        <w:rPr>
          <w:rFonts w:ascii="Cambria" w:hAnsi="Cambria" w:cs="Calibri Light"/>
          <w:bCs/>
          <w:color w:val="000000"/>
          <w:sz w:val="20"/>
          <w:szCs w:val="20"/>
          <w:lang w:val="es-ES"/>
        </w:rPr>
        <w:t>,</w:t>
      </w:r>
      <w:r w:rsidRPr="005B0CA2">
        <w:rPr>
          <w:rFonts w:ascii="Cambria" w:hAnsi="Cambria" w:cs="Calibri Light"/>
          <w:bCs/>
          <w:color w:val="000000"/>
          <w:sz w:val="20"/>
          <w:szCs w:val="20"/>
          <w:lang w:val="es-ES"/>
        </w:rPr>
        <w:t xml:space="preserve"> dado que </w:t>
      </w:r>
      <w:r w:rsidRPr="005B0CA2">
        <w:rPr>
          <w:rFonts w:ascii="Cambria" w:hAnsi="Cambria" w:cs="Calibri Light"/>
          <w:color w:val="000000"/>
          <w:sz w:val="20"/>
          <w:szCs w:val="20"/>
          <w:lang w:val="es-ES"/>
        </w:rPr>
        <w:t>Remigio Domingo Morales y Rafael Sánchez no fueron víctimas de ejecución extrajudicial. El Estado señaló, a pesar de dicho error material, la Comisión no corrigió las reparaciones establecidas en el informe de fondo</w:t>
      </w:r>
      <w:r w:rsidR="007C7D82" w:rsidRPr="005B0CA2">
        <w:rPr>
          <w:rFonts w:ascii="Cambria" w:hAnsi="Cambria" w:cs="Calibri Light"/>
          <w:color w:val="000000"/>
          <w:sz w:val="20"/>
          <w:szCs w:val="20"/>
          <w:lang w:val="es-ES"/>
        </w:rPr>
        <w:t xml:space="preserve"> e </w:t>
      </w:r>
      <w:r w:rsidRPr="005B0CA2">
        <w:rPr>
          <w:rFonts w:ascii="Cambria" w:hAnsi="Cambria" w:cs="Calibri Light"/>
          <w:color w:val="000000"/>
          <w:sz w:val="20"/>
          <w:szCs w:val="20"/>
          <w:lang w:val="es-ES"/>
        </w:rPr>
        <w:t>indicó que la buena fe, como condición para cumplir con un tratado internacional, no opera de manera unilateral para aplicarse a los Estados, y que es un principio que atañe a todos los sujetos de derecho internacional</w:t>
      </w:r>
      <w:r w:rsidR="007C7D82" w:rsidRPr="005B0CA2">
        <w:rPr>
          <w:rFonts w:ascii="Cambria" w:hAnsi="Cambria" w:cs="Calibri Light"/>
          <w:color w:val="000000"/>
          <w:sz w:val="20"/>
          <w:szCs w:val="20"/>
          <w:lang w:val="es-ES"/>
        </w:rPr>
        <w:t>.</w:t>
      </w:r>
      <w:r w:rsidRPr="005B0CA2">
        <w:rPr>
          <w:rFonts w:ascii="Cambria" w:hAnsi="Cambria" w:cs="Calibri Light"/>
          <w:color w:val="000000"/>
          <w:sz w:val="20"/>
          <w:szCs w:val="20"/>
          <w:lang w:val="es-ES"/>
        </w:rPr>
        <w:t xml:space="preserve"> </w:t>
      </w:r>
      <w:r w:rsidR="007C7D82" w:rsidRPr="005B0CA2">
        <w:rPr>
          <w:rFonts w:ascii="Cambria" w:hAnsi="Cambria" w:cs="Calibri Light"/>
          <w:color w:val="000000"/>
          <w:sz w:val="20"/>
          <w:szCs w:val="20"/>
          <w:lang w:val="es-ES"/>
        </w:rPr>
        <w:t>Además, e</w:t>
      </w:r>
      <w:r w:rsidRPr="005B0CA2">
        <w:rPr>
          <w:rFonts w:ascii="Cambria" w:hAnsi="Cambria" w:cs="Calibri Light"/>
          <w:color w:val="000000"/>
          <w:sz w:val="20"/>
          <w:szCs w:val="20"/>
          <w:lang w:val="es-ES"/>
        </w:rPr>
        <w:t xml:space="preserve">l Estado </w:t>
      </w:r>
      <w:r w:rsidR="007C7D82" w:rsidRPr="005B0CA2">
        <w:rPr>
          <w:rFonts w:ascii="Cambria" w:hAnsi="Cambria" w:cs="Calibri Light"/>
          <w:color w:val="000000"/>
          <w:sz w:val="20"/>
          <w:szCs w:val="20"/>
          <w:lang w:val="es-ES"/>
        </w:rPr>
        <w:t>manifestó</w:t>
      </w:r>
      <w:r w:rsidRPr="005B0CA2">
        <w:rPr>
          <w:rFonts w:ascii="Cambria" w:hAnsi="Cambria" w:cs="Calibri Light"/>
          <w:color w:val="000000"/>
          <w:sz w:val="20"/>
          <w:szCs w:val="20"/>
          <w:lang w:val="es-ES"/>
        </w:rPr>
        <w:t xml:space="preserve"> que la CIDH solicitó información para constatar las supuestas violaciones de derechos humanos de las dos víctimas sobre quienes versó la rectificación</w:t>
      </w:r>
      <w:r w:rsidR="007C7D82" w:rsidRPr="005B0CA2">
        <w:rPr>
          <w:rFonts w:ascii="Cambria" w:hAnsi="Cambria" w:cs="Calibri Light"/>
          <w:color w:val="000000"/>
          <w:sz w:val="20"/>
          <w:szCs w:val="20"/>
          <w:lang w:val="es-ES"/>
        </w:rPr>
        <w:t>, a pesar de que no existió ejecución extrajudicial en su contra</w:t>
      </w:r>
      <w:r w:rsidRPr="005B0CA2">
        <w:rPr>
          <w:rFonts w:ascii="Cambria" w:hAnsi="Cambria" w:cs="Calibri Light"/>
          <w:color w:val="000000"/>
          <w:sz w:val="20"/>
          <w:szCs w:val="20"/>
          <w:lang w:val="es-ES"/>
        </w:rPr>
        <w:t>.</w:t>
      </w:r>
      <w:r w:rsidR="007C7D82" w:rsidRPr="005B0CA2">
        <w:rPr>
          <w:rFonts w:ascii="Cambria" w:hAnsi="Cambria" w:cs="Calibri Light"/>
          <w:color w:val="000000"/>
          <w:sz w:val="20"/>
          <w:szCs w:val="20"/>
          <w:lang w:val="es-ES"/>
        </w:rPr>
        <w:t xml:space="preserve"> Manifestó que la consecuencia “lógica, técnica y legal” de tal rectificación debió haber sido que la Comisión modificara los restantes apartados del informe de fondo, “en el sentido que las motivaciones y las recomendaciones fueran congruentes con la tesis de que Remigio Domingo Morales y Rafael Sánchez no fueron víctimas de ejecución extrajudicial”. De acuerdo con el Estado, el Informe de Fondo No. 59/01 quedó sin materia, puesto que las conclusiones y recomendaciones se infieren de premisas que no responden a la realidad fáctica por lo que, en </w:t>
      </w:r>
      <w:r w:rsidR="007C7D82" w:rsidRPr="005B0CA2">
        <w:rPr>
          <w:rFonts w:ascii="Cambria" w:hAnsi="Cambria" w:cs="Calibri Light"/>
          <w:color w:val="000000"/>
          <w:sz w:val="20"/>
          <w:szCs w:val="20"/>
          <w:lang w:val="es-ES"/>
        </w:rPr>
        <w:lastRenderedPageBreak/>
        <w:t>su criterio, se fundamentan en hechos inexactos y falsos.</w:t>
      </w:r>
      <w:r w:rsidRPr="005B0CA2">
        <w:rPr>
          <w:rFonts w:ascii="Cambria" w:hAnsi="Cambria" w:cs="Calibri Light"/>
          <w:color w:val="000000"/>
          <w:sz w:val="20"/>
          <w:szCs w:val="20"/>
          <w:lang w:val="es-ES"/>
        </w:rPr>
        <w:t xml:space="preserve"> </w:t>
      </w:r>
      <w:r w:rsidR="00107614" w:rsidRPr="005B0CA2">
        <w:rPr>
          <w:rFonts w:ascii="Cambria" w:hAnsi="Cambria" w:cs="Calibri Light"/>
          <w:color w:val="000000"/>
          <w:sz w:val="20"/>
          <w:szCs w:val="20"/>
          <w:lang w:val="es-ES"/>
        </w:rPr>
        <w:t xml:space="preserve">En 2021, el Estado reiteró la información remitida con anterioridad. </w:t>
      </w:r>
    </w:p>
    <w:p w14:paraId="22E21AD2" w14:textId="77777777" w:rsidR="00B60CAA" w:rsidRPr="005B0CA2" w:rsidRDefault="00B60CAA" w:rsidP="005D3131">
      <w:pPr>
        <w:spacing w:after="0" w:line="240" w:lineRule="auto"/>
        <w:ind w:left="720"/>
        <w:jc w:val="both"/>
        <w:rPr>
          <w:rFonts w:ascii="Cambria" w:hAnsi="Cambria" w:cs="Calibri Light"/>
          <w:b/>
          <w:color w:val="000000"/>
          <w:sz w:val="20"/>
          <w:szCs w:val="20"/>
          <w:lang w:val="es-ES"/>
        </w:rPr>
      </w:pPr>
    </w:p>
    <w:p w14:paraId="572BC254" w14:textId="77777777" w:rsidR="00B60CAA" w:rsidRPr="005B0CA2" w:rsidRDefault="00107614" w:rsidP="005D3131">
      <w:pPr>
        <w:numPr>
          <w:ilvl w:val="0"/>
          <w:numId w:val="8"/>
        </w:numPr>
        <w:spacing w:after="0" w:line="240" w:lineRule="auto"/>
        <w:ind w:left="0" w:firstLine="720"/>
        <w:jc w:val="both"/>
        <w:rPr>
          <w:rFonts w:ascii="Cambria" w:hAnsi="Cambria" w:cs="Calibri Light"/>
          <w:b/>
          <w:color w:val="000000"/>
          <w:sz w:val="20"/>
          <w:szCs w:val="20"/>
          <w:lang w:val="es-ES"/>
        </w:rPr>
      </w:pPr>
      <w:r w:rsidRPr="005B0CA2">
        <w:rPr>
          <w:rFonts w:ascii="Cambria" w:hAnsi="Cambria" w:cs="Calibri Light"/>
          <w:color w:val="000000"/>
          <w:sz w:val="20"/>
          <w:lang w:val="es-ES"/>
        </w:rPr>
        <w:t xml:space="preserve"> </w:t>
      </w:r>
      <w:r w:rsidR="00B60CAA" w:rsidRPr="005B0CA2">
        <w:rPr>
          <w:rFonts w:ascii="Cambria" w:hAnsi="Cambria" w:cs="Calibri Light"/>
          <w:color w:val="000000"/>
          <w:sz w:val="20"/>
          <w:lang w:val="es-ES"/>
        </w:rPr>
        <w:t xml:space="preserve">En relación con la solicitud del Estado de archivar el presente caso debido a la alegada inactividad procesal de los peticionarios, </w:t>
      </w:r>
      <w:r w:rsidR="00B60CAA" w:rsidRPr="005B0CA2">
        <w:rPr>
          <w:rFonts w:ascii="Cambria" w:hAnsi="Cambria"/>
          <w:color w:val="000000"/>
          <w:sz w:val="20"/>
          <w:szCs w:val="20"/>
          <w:lang w:val="es-ES"/>
        </w:rPr>
        <w:t xml:space="preserve">la CIDH </w:t>
      </w:r>
      <w:r w:rsidR="00C712D0" w:rsidRPr="005B0CA2">
        <w:rPr>
          <w:rFonts w:ascii="Cambria" w:hAnsi="Cambria"/>
          <w:color w:val="000000"/>
          <w:sz w:val="20"/>
          <w:szCs w:val="20"/>
          <w:lang w:val="es-ES"/>
        </w:rPr>
        <w:t>reitera</w:t>
      </w:r>
      <w:r w:rsidR="00B60CAA" w:rsidRPr="005B0CA2">
        <w:rPr>
          <w:rFonts w:ascii="Cambria" w:hAnsi="Cambria"/>
          <w:color w:val="000000"/>
          <w:sz w:val="20"/>
          <w:szCs w:val="20"/>
          <w:lang w:val="es-ES"/>
        </w:rPr>
        <w:t xml:space="preserve"> que la rectificación del Informe </w:t>
      </w:r>
      <w:r w:rsidR="00E37250" w:rsidRPr="005B0CA2">
        <w:rPr>
          <w:rFonts w:ascii="Cambria" w:hAnsi="Cambria" w:cs="Calibri Light"/>
          <w:color w:val="000000"/>
          <w:sz w:val="20"/>
          <w:szCs w:val="20"/>
          <w:lang w:val="es-ES"/>
        </w:rPr>
        <w:t>Nº</w:t>
      </w:r>
      <w:r w:rsidR="00B60CAA" w:rsidRPr="005B0CA2">
        <w:rPr>
          <w:rFonts w:ascii="Cambria" w:hAnsi="Cambria"/>
          <w:color w:val="000000"/>
          <w:sz w:val="20"/>
          <w:szCs w:val="20"/>
          <w:lang w:val="es-ES"/>
        </w:rPr>
        <w:t xml:space="preserve"> 59/01 sobre los hechos del caso 10.626 o la alegada inactividad procesal de las víctimas no excluye al Estado de Guatemala de cumplir con el deber de reparar adecuadamente a las víctimas del presente caso y realizar todos los esfuerzos para cumplir con las recomendaciones formuladas en el Informe de Fondo </w:t>
      </w:r>
      <w:r w:rsidR="00E37250" w:rsidRPr="005B0CA2">
        <w:rPr>
          <w:rFonts w:ascii="Cambria" w:hAnsi="Cambria" w:cs="Calibri Light"/>
          <w:color w:val="000000"/>
          <w:sz w:val="20"/>
          <w:szCs w:val="20"/>
          <w:lang w:val="es-ES"/>
        </w:rPr>
        <w:t>Nº</w:t>
      </w:r>
      <w:r w:rsidR="00B60CAA" w:rsidRPr="005B0CA2">
        <w:rPr>
          <w:rFonts w:ascii="Cambria" w:hAnsi="Cambria"/>
          <w:color w:val="000000"/>
          <w:sz w:val="20"/>
          <w:szCs w:val="20"/>
          <w:lang w:val="es-ES"/>
        </w:rPr>
        <w:t xml:space="preserve"> 59/01. </w:t>
      </w:r>
      <w:r w:rsidR="00C712D0" w:rsidRPr="005B0CA2">
        <w:rPr>
          <w:rFonts w:ascii="Cambria" w:hAnsi="Cambria"/>
          <w:color w:val="000000"/>
          <w:sz w:val="20"/>
          <w:szCs w:val="20"/>
          <w:lang w:val="es-ES"/>
        </w:rPr>
        <w:t xml:space="preserve">Al respecto, la Comisión señala que, aunque la Resolución </w:t>
      </w:r>
      <w:r w:rsidR="00C712D0" w:rsidRPr="005B0CA2">
        <w:rPr>
          <w:rFonts w:ascii="Cambria" w:hAnsi="Cambria" w:cs="Calibri Light"/>
          <w:color w:val="000000"/>
          <w:sz w:val="20"/>
          <w:szCs w:val="20"/>
          <w:lang w:val="es-ES"/>
        </w:rPr>
        <w:t>Nº</w:t>
      </w:r>
      <w:r w:rsidR="00C712D0" w:rsidRPr="005B0CA2">
        <w:rPr>
          <w:rFonts w:ascii="Cambria" w:hAnsi="Cambria"/>
          <w:color w:val="000000"/>
          <w:sz w:val="20"/>
          <w:szCs w:val="20"/>
          <w:lang w:val="es-ES"/>
        </w:rPr>
        <w:t xml:space="preserve"> 1/06 rectificó el Informe de Fondo </w:t>
      </w:r>
      <w:r w:rsidR="00C712D0" w:rsidRPr="005B0CA2">
        <w:rPr>
          <w:rFonts w:ascii="Cambria" w:hAnsi="Cambria" w:cs="Calibri Light"/>
          <w:color w:val="000000"/>
          <w:sz w:val="20"/>
          <w:szCs w:val="20"/>
          <w:lang w:val="es-ES"/>
        </w:rPr>
        <w:t>Nº 59/01</w:t>
      </w:r>
      <w:r w:rsidR="003A3DD2" w:rsidRPr="005B0CA2">
        <w:rPr>
          <w:rFonts w:ascii="Cambria" w:hAnsi="Cambria" w:cs="Calibri Light"/>
          <w:color w:val="000000"/>
          <w:sz w:val="20"/>
          <w:szCs w:val="20"/>
          <w:lang w:val="es-ES"/>
        </w:rPr>
        <w:t xml:space="preserve"> en el sentido de </w:t>
      </w:r>
      <w:r w:rsidR="003A3DD2" w:rsidRPr="005B0CA2">
        <w:rPr>
          <w:rFonts w:ascii="Cambria" w:hAnsi="Cambria"/>
          <w:color w:val="000000"/>
          <w:sz w:val="20"/>
          <w:szCs w:val="20"/>
          <w:lang w:val="es-CO"/>
        </w:rPr>
        <w:t>declarar que el 28 de junio de 1990, los señores Remigio Domingo Morales y Rafael Sánchez fueron detenidos por miembros de las Patrullas de Autodefensa Civil siendo el mismo día conducidos al Hospital de Huehuetenango para ser atendidos por heridas múltiples corto contundentes que presentaban, egresando ambos del hospital el día 3 de julio de 1990</w:t>
      </w:r>
      <w:r w:rsidR="00C712D0" w:rsidRPr="005B0CA2">
        <w:rPr>
          <w:rFonts w:ascii="Cambria" w:hAnsi="Cambria" w:cs="Calibri Light"/>
          <w:color w:val="000000"/>
          <w:sz w:val="20"/>
          <w:szCs w:val="20"/>
          <w:lang w:val="es-ES"/>
        </w:rPr>
        <w:t xml:space="preserve">, </w:t>
      </w:r>
      <w:r w:rsidR="003A3DD2" w:rsidRPr="005B0CA2">
        <w:rPr>
          <w:rFonts w:ascii="Cambria" w:hAnsi="Cambria" w:cs="Calibri Light"/>
          <w:color w:val="000000"/>
          <w:sz w:val="20"/>
          <w:szCs w:val="20"/>
          <w:lang w:val="es-ES"/>
        </w:rPr>
        <w:t xml:space="preserve">también </w:t>
      </w:r>
      <w:r w:rsidR="00C712D0" w:rsidRPr="005B0CA2">
        <w:rPr>
          <w:rFonts w:ascii="Cambria" w:hAnsi="Cambria" w:cs="Calibri Light"/>
          <w:color w:val="000000"/>
          <w:sz w:val="20"/>
          <w:szCs w:val="20"/>
          <w:lang w:val="es-ES"/>
        </w:rPr>
        <w:t xml:space="preserve">declaró que el Estado de Guatemala violó el derecho a la integridad física en perjuicio de </w:t>
      </w:r>
      <w:r w:rsidR="003A3DD2" w:rsidRPr="005B0CA2">
        <w:rPr>
          <w:rFonts w:ascii="Cambria" w:hAnsi="Cambria" w:cs="Calibri Light"/>
          <w:color w:val="000000"/>
          <w:sz w:val="20"/>
          <w:szCs w:val="20"/>
          <w:lang w:val="es-ES"/>
        </w:rPr>
        <w:t>ambas víctimas</w:t>
      </w:r>
      <w:r w:rsidR="00C712D0" w:rsidRPr="005B0CA2">
        <w:rPr>
          <w:rFonts w:ascii="Cambria" w:hAnsi="Cambria" w:cs="Calibri Light"/>
          <w:color w:val="000000"/>
          <w:sz w:val="20"/>
          <w:szCs w:val="20"/>
          <w:lang w:val="es-ES"/>
        </w:rPr>
        <w:t xml:space="preserve">. Lo anterior implica que la rectificación del Informe de Fondo Nº 59/01 dejó en firme las recomendaciones emitidas, bajo el entendido de que sí se violó la integridad física de ambas víctimas. </w:t>
      </w:r>
      <w:r w:rsidRPr="005B0CA2">
        <w:rPr>
          <w:rFonts w:ascii="Cambria" w:hAnsi="Cambria" w:cs="Calibri Light"/>
          <w:color w:val="000000"/>
          <w:sz w:val="20"/>
          <w:szCs w:val="20"/>
          <w:lang w:val="es-ES"/>
        </w:rPr>
        <w:t>Asimismo, dejó incólumes las recomendaciones que habían sido emitidas respecto de las demás víctimas.</w:t>
      </w:r>
    </w:p>
    <w:p w14:paraId="44CAFAC4" w14:textId="77777777" w:rsidR="00B60CAA" w:rsidRPr="005B0CA2" w:rsidRDefault="00B60CAA" w:rsidP="005D3131">
      <w:pPr>
        <w:spacing w:after="0" w:line="240" w:lineRule="auto"/>
        <w:ind w:left="720"/>
        <w:jc w:val="both"/>
        <w:rPr>
          <w:rFonts w:ascii="Cambria" w:hAnsi="Cambria" w:cs="Calibri Light"/>
          <w:b/>
          <w:color w:val="000000"/>
          <w:sz w:val="20"/>
          <w:szCs w:val="20"/>
          <w:lang w:val="es-ES"/>
        </w:rPr>
      </w:pPr>
    </w:p>
    <w:p w14:paraId="3A02FA69" w14:textId="77777777" w:rsidR="00B60CAA" w:rsidRPr="005B0CA2" w:rsidRDefault="00107614" w:rsidP="005D3131">
      <w:pPr>
        <w:numPr>
          <w:ilvl w:val="0"/>
          <w:numId w:val="8"/>
        </w:numPr>
        <w:spacing w:after="0" w:line="240" w:lineRule="auto"/>
        <w:ind w:left="0" w:firstLine="720"/>
        <w:jc w:val="both"/>
        <w:rPr>
          <w:rFonts w:ascii="Cambria" w:hAnsi="Cambria" w:cs="Calibri Light"/>
          <w:b/>
          <w:color w:val="000000"/>
          <w:sz w:val="20"/>
          <w:szCs w:val="20"/>
          <w:lang w:val="es-ES"/>
        </w:rPr>
      </w:pPr>
      <w:r w:rsidRPr="005B0CA2">
        <w:rPr>
          <w:rFonts w:ascii="Cambria" w:hAnsi="Cambria" w:cs="Calibri Light"/>
          <w:color w:val="000000"/>
          <w:sz w:val="20"/>
          <w:lang w:val="es-ES"/>
        </w:rPr>
        <w:t>La Comisión reitera que</w:t>
      </w:r>
      <w:r w:rsidR="00B60CAA" w:rsidRPr="005B0CA2">
        <w:rPr>
          <w:rFonts w:ascii="Cambria" w:hAnsi="Cambria" w:cs="Calibri Light"/>
          <w:color w:val="000000"/>
          <w:sz w:val="20"/>
          <w:lang w:val="es-ES"/>
        </w:rPr>
        <w:t xml:space="preserve"> la jurisprudencia interamericana ha establecido que, </w:t>
      </w:r>
      <w:r w:rsidR="00B60CAA" w:rsidRPr="005B0CA2">
        <w:rPr>
          <w:rFonts w:ascii="Cambria" w:hAnsi="Cambria" w:cs="Cambria"/>
          <w:color w:val="000000"/>
          <w:sz w:val="20"/>
          <w:szCs w:val="20"/>
          <w:lang w:val="es-ES"/>
        </w:rPr>
        <w:t>en virtud del principio de buena fe, consagrado en el artículo 31.1 de la Convención de Viena, cuando</w:t>
      </w:r>
      <w:r w:rsidR="00E3620A" w:rsidRPr="005B0CA2">
        <w:rPr>
          <w:rFonts w:ascii="Cambria" w:hAnsi="Cambria" w:cs="Cambria"/>
          <w:color w:val="000000"/>
          <w:sz w:val="20"/>
          <w:szCs w:val="20"/>
          <w:lang w:val="es-ES"/>
        </w:rPr>
        <w:t xml:space="preserve"> el</w:t>
      </w:r>
      <w:r w:rsidR="00B60CAA" w:rsidRPr="005B0CA2">
        <w:rPr>
          <w:rFonts w:ascii="Cambria" w:hAnsi="Cambria" w:cs="Cambria"/>
          <w:color w:val="000000"/>
          <w:sz w:val="20"/>
          <w:szCs w:val="20"/>
          <w:lang w:val="es-ES"/>
        </w:rPr>
        <w:t xml:space="preserve"> Estado suscribe y ratifica un tratado internacional, especialmente si trata de derechos humanos, como es el caso de la Convención Americana, tiene la obligación de realizar sus mejores esfuerzos para aplicar las recomendaciones de un órgano de protección como la Comisión Interamericana que es, además, uno de los órganos principales de la Organización de los Estados Americanos. Asimismo, el artículo 33 de la Convención Americana dispone que la Comisión Interamericana es un órgano competente junto con la Corte “para conocer de los asuntos relacionados con el cumplimiento de los compromisos contraídos por los </w:t>
      </w:r>
      <w:proofErr w:type="gramStart"/>
      <w:r w:rsidR="00B60CAA" w:rsidRPr="005B0CA2">
        <w:rPr>
          <w:rFonts w:ascii="Cambria" w:hAnsi="Cambria" w:cs="Cambria"/>
          <w:color w:val="000000"/>
          <w:sz w:val="20"/>
          <w:szCs w:val="20"/>
          <w:lang w:val="es-ES"/>
        </w:rPr>
        <w:t>Estados Partes</w:t>
      </w:r>
      <w:proofErr w:type="gramEnd"/>
      <w:r w:rsidR="00B60CAA" w:rsidRPr="005B0CA2">
        <w:rPr>
          <w:rFonts w:ascii="Cambria" w:hAnsi="Cambria" w:cs="Cambria"/>
          <w:color w:val="000000"/>
          <w:sz w:val="20"/>
          <w:szCs w:val="20"/>
          <w:lang w:val="es-ES"/>
        </w:rPr>
        <w:t>”, por lo que, al ratificar dicha Convención, los Estados Partes se comprometen a atender las recomendaciones que la Comisión aprueba en sus informes.</w:t>
      </w:r>
      <w:r w:rsidR="00B60CAA" w:rsidRPr="005B0CA2">
        <w:rPr>
          <w:rStyle w:val="FootnoteReference"/>
          <w:rFonts w:ascii="Cambria" w:hAnsi="Cambria" w:cs="Cambria"/>
          <w:color w:val="000000"/>
          <w:sz w:val="20"/>
          <w:szCs w:val="20"/>
          <w:lang w:val="es-ES"/>
        </w:rPr>
        <w:footnoteReference w:id="1"/>
      </w:r>
      <w:r w:rsidR="00B60CAA" w:rsidRPr="005B0CA2">
        <w:rPr>
          <w:rFonts w:ascii="Cambria" w:hAnsi="Cambria" w:cs="Cambria"/>
          <w:color w:val="000000"/>
          <w:sz w:val="20"/>
          <w:szCs w:val="20"/>
          <w:lang w:val="es-ES"/>
        </w:rPr>
        <w:t xml:space="preserve"> </w:t>
      </w:r>
    </w:p>
    <w:p w14:paraId="1F4D5361" w14:textId="77777777" w:rsidR="00B60CAA" w:rsidRPr="005B0CA2" w:rsidRDefault="00B60CAA" w:rsidP="005D3131">
      <w:pPr>
        <w:spacing w:after="0" w:line="240" w:lineRule="auto"/>
        <w:ind w:left="720"/>
        <w:jc w:val="both"/>
        <w:rPr>
          <w:rFonts w:ascii="Cambria" w:hAnsi="Cambria" w:cs="Calibri Light"/>
          <w:b/>
          <w:color w:val="000000"/>
          <w:sz w:val="20"/>
          <w:szCs w:val="20"/>
          <w:lang w:val="es-ES"/>
        </w:rPr>
      </w:pPr>
    </w:p>
    <w:p w14:paraId="748483C8" w14:textId="77777777" w:rsidR="00B60CAA" w:rsidRPr="005B0CA2" w:rsidRDefault="00B60CAA" w:rsidP="005D3131">
      <w:pPr>
        <w:numPr>
          <w:ilvl w:val="0"/>
          <w:numId w:val="8"/>
        </w:numPr>
        <w:spacing w:after="0" w:line="240" w:lineRule="auto"/>
        <w:ind w:left="0" w:firstLine="720"/>
        <w:jc w:val="both"/>
        <w:rPr>
          <w:rFonts w:ascii="Cambria" w:hAnsi="Cambria" w:cs="Calibri Light"/>
          <w:b/>
          <w:color w:val="000000"/>
          <w:sz w:val="20"/>
          <w:szCs w:val="20"/>
          <w:lang w:val="es-ES"/>
        </w:rPr>
      </w:pPr>
      <w:r w:rsidRPr="005B0CA2">
        <w:rPr>
          <w:rFonts w:ascii="Cambria" w:hAnsi="Cambria"/>
          <w:color w:val="000000"/>
          <w:sz w:val="20"/>
          <w:szCs w:val="20"/>
          <w:lang w:val="es-ES"/>
        </w:rPr>
        <w:t xml:space="preserve">En virtud de lo anterior, la CIDH estima que la rectificación del Informe </w:t>
      </w:r>
      <w:r w:rsidR="00992AB7" w:rsidRPr="005B0CA2">
        <w:rPr>
          <w:rFonts w:ascii="Cambria" w:hAnsi="Cambria" w:cs="Calibri Light"/>
          <w:color w:val="000000"/>
          <w:sz w:val="20"/>
          <w:szCs w:val="20"/>
          <w:lang w:val="es-ES"/>
        </w:rPr>
        <w:t>Nº</w:t>
      </w:r>
      <w:r w:rsidR="00992AB7" w:rsidRPr="005B0CA2">
        <w:rPr>
          <w:rFonts w:ascii="Cambria" w:hAnsi="Cambria"/>
          <w:color w:val="000000"/>
          <w:sz w:val="20"/>
          <w:szCs w:val="20"/>
          <w:lang w:val="es-ES"/>
        </w:rPr>
        <w:t xml:space="preserve"> </w:t>
      </w:r>
      <w:r w:rsidRPr="005B0CA2">
        <w:rPr>
          <w:rFonts w:ascii="Cambria" w:hAnsi="Cambria"/>
          <w:color w:val="000000"/>
          <w:sz w:val="20"/>
          <w:szCs w:val="20"/>
          <w:lang w:val="es-ES"/>
        </w:rPr>
        <w:t xml:space="preserve">59/01 sobre los hechos del </w:t>
      </w:r>
      <w:r w:rsidR="00992AB7" w:rsidRPr="005B0CA2">
        <w:rPr>
          <w:rFonts w:ascii="Cambria" w:hAnsi="Cambria"/>
          <w:color w:val="000000"/>
          <w:sz w:val="20"/>
          <w:szCs w:val="20"/>
          <w:lang w:val="es-ES"/>
        </w:rPr>
        <w:t>C</w:t>
      </w:r>
      <w:r w:rsidRPr="005B0CA2">
        <w:rPr>
          <w:rFonts w:ascii="Cambria" w:hAnsi="Cambria"/>
          <w:color w:val="000000"/>
          <w:sz w:val="20"/>
          <w:szCs w:val="20"/>
          <w:lang w:val="es-ES"/>
        </w:rPr>
        <w:t xml:space="preserve">aso 10.626 o la alegada inactividad procesal de las víctimas no excluyen al Estado de Guatemala de cumplir con el deber de reparar adecuadamente a las víctimas del presente caso y realizar todos los esfuerzos para cumplir con las recomendaciones formuladas en el Informe de Fondo </w:t>
      </w:r>
      <w:r w:rsidR="00992AB7" w:rsidRPr="005B0CA2">
        <w:rPr>
          <w:rFonts w:ascii="Cambria" w:hAnsi="Cambria" w:cs="Calibri Light"/>
          <w:color w:val="000000"/>
          <w:sz w:val="20"/>
          <w:szCs w:val="20"/>
          <w:lang w:val="es-ES"/>
        </w:rPr>
        <w:t>Nº</w:t>
      </w:r>
      <w:r w:rsidR="00992AB7" w:rsidRPr="005B0CA2">
        <w:rPr>
          <w:rFonts w:ascii="Cambria" w:hAnsi="Cambria"/>
          <w:color w:val="000000"/>
          <w:sz w:val="20"/>
          <w:szCs w:val="20"/>
          <w:lang w:val="es-ES"/>
        </w:rPr>
        <w:t xml:space="preserve"> </w:t>
      </w:r>
      <w:r w:rsidRPr="005B0CA2">
        <w:rPr>
          <w:rFonts w:ascii="Cambria" w:hAnsi="Cambria"/>
          <w:color w:val="000000"/>
          <w:sz w:val="20"/>
          <w:szCs w:val="20"/>
          <w:lang w:val="es-ES"/>
        </w:rPr>
        <w:t xml:space="preserve">59/01. </w:t>
      </w:r>
      <w:r w:rsidR="00C22871" w:rsidRPr="005B0CA2">
        <w:rPr>
          <w:rFonts w:ascii="Cambria" w:hAnsi="Cambria"/>
          <w:color w:val="000000"/>
          <w:sz w:val="20"/>
          <w:szCs w:val="20"/>
          <w:lang w:val="es-ES"/>
        </w:rPr>
        <w:t>Con base en lo anterior y a</w:t>
      </w:r>
      <w:r w:rsidR="003A3DD2" w:rsidRPr="005B0CA2">
        <w:rPr>
          <w:rFonts w:ascii="Cambria" w:hAnsi="Cambria" w:cs="Calibri Light"/>
          <w:color w:val="000000"/>
          <w:sz w:val="20"/>
          <w:szCs w:val="20"/>
          <w:lang w:val="es-ES"/>
        </w:rPr>
        <w:t>nte la ausencia de información actualizada sobre el nivel de cumplimiento de las recomendaciones, la CIDH reitera, a continuación, el análisis del cumplimiento y las conclusiones realizadas en su Informe Anual 20</w:t>
      </w:r>
      <w:r w:rsidR="00107614" w:rsidRPr="005B0CA2">
        <w:rPr>
          <w:rFonts w:ascii="Cambria" w:hAnsi="Cambria" w:cs="Calibri Light"/>
          <w:color w:val="000000"/>
          <w:sz w:val="20"/>
          <w:szCs w:val="20"/>
          <w:lang w:val="es-ES"/>
        </w:rPr>
        <w:t>20</w:t>
      </w:r>
      <w:r w:rsidR="003A3DD2" w:rsidRPr="005B0CA2">
        <w:rPr>
          <w:rFonts w:ascii="Cambria" w:hAnsi="Cambria" w:cs="Calibri Light"/>
          <w:color w:val="000000"/>
          <w:sz w:val="20"/>
          <w:szCs w:val="20"/>
          <w:lang w:val="es-ES"/>
        </w:rPr>
        <w:t>.</w:t>
      </w:r>
    </w:p>
    <w:p w14:paraId="1AC07DCE" w14:textId="77777777" w:rsidR="00B60CAA" w:rsidRPr="005B0CA2" w:rsidRDefault="00B60CAA" w:rsidP="005D3131">
      <w:pPr>
        <w:spacing w:after="0" w:line="240" w:lineRule="auto"/>
        <w:ind w:left="720"/>
        <w:jc w:val="both"/>
        <w:rPr>
          <w:rFonts w:ascii="Cambria" w:hAnsi="Cambria" w:cs="Calibri Light"/>
          <w:b/>
          <w:color w:val="000000"/>
          <w:sz w:val="20"/>
          <w:szCs w:val="20"/>
          <w:lang w:val="es-ES"/>
        </w:rPr>
      </w:pPr>
    </w:p>
    <w:p w14:paraId="65A6FBE9" w14:textId="77777777" w:rsidR="00B60CAA" w:rsidRPr="005B0CA2" w:rsidRDefault="00C80FF7" w:rsidP="005D3131">
      <w:pPr>
        <w:numPr>
          <w:ilvl w:val="0"/>
          <w:numId w:val="8"/>
        </w:numPr>
        <w:spacing w:after="0" w:line="240" w:lineRule="auto"/>
        <w:ind w:left="0" w:firstLine="720"/>
        <w:jc w:val="both"/>
        <w:rPr>
          <w:rFonts w:ascii="Cambria" w:hAnsi="Cambria" w:cs="Calibri Light"/>
          <w:b/>
          <w:color w:val="000000"/>
          <w:sz w:val="20"/>
          <w:szCs w:val="20"/>
          <w:lang w:val="es-ES"/>
        </w:rPr>
      </w:pPr>
      <w:r w:rsidRPr="005B0CA2">
        <w:rPr>
          <w:rFonts w:ascii="Cambria" w:hAnsi="Cambria" w:cs="Calibri Light"/>
          <w:b/>
          <w:color w:val="000000"/>
          <w:sz w:val="20"/>
          <w:szCs w:val="20"/>
          <w:lang w:val="es-ES"/>
        </w:rPr>
        <w:t xml:space="preserve">En relación con la primera recomendación, </w:t>
      </w:r>
      <w:r w:rsidRPr="005B0CA2">
        <w:rPr>
          <w:rFonts w:ascii="Cambria" w:hAnsi="Cambria" w:cs="Calibri Light"/>
          <w:color w:val="000000"/>
          <w:sz w:val="20"/>
          <w:szCs w:val="20"/>
          <w:lang w:val="es-ES"/>
        </w:rPr>
        <w:t>en 201</w:t>
      </w:r>
      <w:r w:rsidR="00E3620A" w:rsidRPr="005B0CA2">
        <w:rPr>
          <w:rFonts w:ascii="Cambria" w:hAnsi="Cambria" w:cs="Calibri Light"/>
          <w:color w:val="000000"/>
          <w:sz w:val="20"/>
          <w:szCs w:val="20"/>
          <w:lang w:val="es-ES"/>
        </w:rPr>
        <w:t>9</w:t>
      </w:r>
      <w:r w:rsidRPr="005B0CA2">
        <w:rPr>
          <w:rFonts w:ascii="Cambria" w:hAnsi="Cambria" w:cs="Calibri Light"/>
          <w:color w:val="000000"/>
          <w:sz w:val="20"/>
          <w:szCs w:val="20"/>
          <w:lang w:val="es-ES"/>
        </w:rPr>
        <w:t xml:space="preserve">, </w:t>
      </w:r>
      <w:r w:rsidR="009B4C18" w:rsidRPr="005B0CA2">
        <w:rPr>
          <w:rFonts w:ascii="Cambria" w:hAnsi="Cambria" w:cs="Calibri Light"/>
          <w:color w:val="000000"/>
          <w:sz w:val="20"/>
          <w:szCs w:val="20"/>
          <w:lang w:val="es-ES"/>
        </w:rPr>
        <w:t>ni</w:t>
      </w:r>
      <w:r w:rsidR="004D252C" w:rsidRPr="005B0CA2">
        <w:rPr>
          <w:rFonts w:ascii="Cambria" w:hAnsi="Cambria" w:cs="Calibri Light"/>
          <w:color w:val="000000"/>
          <w:sz w:val="20"/>
          <w:szCs w:val="20"/>
          <w:lang w:val="es-ES"/>
        </w:rPr>
        <w:t xml:space="preserve"> Estado </w:t>
      </w:r>
      <w:r w:rsidR="009B4C18" w:rsidRPr="005B0CA2">
        <w:rPr>
          <w:rFonts w:ascii="Cambria" w:hAnsi="Cambria" w:cs="Calibri Light"/>
          <w:color w:val="000000"/>
          <w:sz w:val="20"/>
          <w:szCs w:val="20"/>
          <w:lang w:val="es-ES"/>
        </w:rPr>
        <w:t>ni los peticionarios presentaron</w:t>
      </w:r>
      <w:r w:rsidRPr="005B0CA2">
        <w:rPr>
          <w:rFonts w:ascii="Cambria" w:hAnsi="Cambria" w:cs="Calibri Light"/>
          <w:color w:val="000000"/>
          <w:sz w:val="20"/>
          <w:szCs w:val="20"/>
          <w:lang w:val="es-ES"/>
        </w:rPr>
        <w:t xml:space="preserve"> informaci</w:t>
      </w:r>
      <w:r w:rsidR="007C430C" w:rsidRPr="005B0CA2">
        <w:rPr>
          <w:rFonts w:ascii="Cambria" w:hAnsi="Cambria" w:cs="Calibri Light"/>
          <w:color w:val="000000"/>
          <w:sz w:val="20"/>
          <w:szCs w:val="20"/>
          <w:lang w:val="es-ES"/>
        </w:rPr>
        <w:t xml:space="preserve">ón </w:t>
      </w:r>
      <w:r w:rsidR="004D252C" w:rsidRPr="005B0CA2">
        <w:rPr>
          <w:rFonts w:ascii="Cambria" w:hAnsi="Cambria" w:cs="Calibri Light"/>
          <w:color w:val="000000"/>
          <w:sz w:val="20"/>
          <w:szCs w:val="20"/>
          <w:lang w:val="es-ES"/>
        </w:rPr>
        <w:t xml:space="preserve">relevante </w:t>
      </w:r>
      <w:r w:rsidR="007C430C" w:rsidRPr="005B0CA2">
        <w:rPr>
          <w:rFonts w:ascii="Cambria" w:hAnsi="Cambria" w:cs="Calibri Light"/>
          <w:color w:val="000000"/>
          <w:sz w:val="20"/>
          <w:szCs w:val="20"/>
          <w:lang w:val="es-ES"/>
        </w:rPr>
        <w:t>sobre acciones implementadas para su cumplimiento</w:t>
      </w:r>
      <w:r w:rsidRPr="005B0CA2">
        <w:rPr>
          <w:rFonts w:ascii="Cambria" w:hAnsi="Cambria" w:cs="Calibri Light"/>
          <w:color w:val="000000"/>
          <w:sz w:val="20"/>
          <w:szCs w:val="20"/>
          <w:lang w:val="es-ES"/>
        </w:rPr>
        <w:t>. En tal virtud, la CIDH</w:t>
      </w:r>
      <w:r w:rsidR="005F5BE2" w:rsidRPr="005B0CA2">
        <w:rPr>
          <w:rFonts w:ascii="Cambria" w:hAnsi="Cambria" w:cs="Calibri Light"/>
          <w:color w:val="000000"/>
          <w:sz w:val="20"/>
          <w:szCs w:val="20"/>
          <w:lang w:val="es-ES"/>
        </w:rPr>
        <w:t xml:space="preserve"> </w:t>
      </w:r>
      <w:r w:rsidR="007C430C" w:rsidRPr="005B0CA2">
        <w:rPr>
          <w:rFonts w:ascii="Cambria" w:hAnsi="Cambria" w:cs="Calibri Light"/>
          <w:color w:val="000000"/>
          <w:sz w:val="20"/>
          <w:szCs w:val="20"/>
          <w:lang w:val="es-ES"/>
        </w:rPr>
        <w:t xml:space="preserve">insta al Estado y a los representantes de las víctimas a presentar información actualizada, y concluye </w:t>
      </w:r>
      <w:r w:rsidRPr="005B0CA2">
        <w:rPr>
          <w:rFonts w:ascii="Cambria" w:hAnsi="Cambria" w:cs="Calibri Light"/>
          <w:color w:val="000000"/>
          <w:sz w:val="20"/>
          <w:szCs w:val="20"/>
          <w:lang w:val="es-ES"/>
        </w:rPr>
        <w:t xml:space="preserve">que esta recomendación se encuentra pendiente de cumplimiento. </w:t>
      </w:r>
    </w:p>
    <w:p w14:paraId="521AFCB3" w14:textId="77777777" w:rsidR="00B60CAA" w:rsidRPr="005B0CA2" w:rsidRDefault="00B60CAA" w:rsidP="005D3131">
      <w:pPr>
        <w:spacing w:after="0" w:line="240" w:lineRule="auto"/>
        <w:ind w:left="720"/>
        <w:jc w:val="both"/>
        <w:rPr>
          <w:rFonts w:ascii="Cambria" w:hAnsi="Cambria" w:cs="Calibri Light"/>
          <w:b/>
          <w:color w:val="000000"/>
          <w:sz w:val="20"/>
          <w:szCs w:val="20"/>
          <w:lang w:val="es-ES"/>
        </w:rPr>
      </w:pPr>
    </w:p>
    <w:p w14:paraId="705D3DCF" w14:textId="77777777" w:rsidR="00834EBC" w:rsidRPr="005B0CA2" w:rsidRDefault="00C31B4F" w:rsidP="005D3131">
      <w:pPr>
        <w:numPr>
          <w:ilvl w:val="0"/>
          <w:numId w:val="8"/>
        </w:numPr>
        <w:spacing w:after="0" w:line="240" w:lineRule="auto"/>
        <w:ind w:left="0" w:firstLine="720"/>
        <w:jc w:val="both"/>
        <w:rPr>
          <w:rFonts w:ascii="Cambria" w:hAnsi="Cambria" w:cs="Calibri Light"/>
          <w:b/>
          <w:color w:val="000000"/>
          <w:sz w:val="20"/>
          <w:szCs w:val="20"/>
          <w:lang w:val="es-ES"/>
        </w:rPr>
      </w:pPr>
      <w:r w:rsidRPr="005B0CA2">
        <w:rPr>
          <w:rFonts w:ascii="Cambria" w:hAnsi="Cambria" w:cs="Calibri Light"/>
          <w:b/>
          <w:color w:val="000000"/>
          <w:sz w:val="20"/>
          <w:szCs w:val="20"/>
          <w:lang w:val="es-ES"/>
        </w:rPr>
        <w:t>En relación con la</w:t>
      </w:r>
      <w:r w:rsidR="007547B4" w:rsidRPr="005B0CA2">
        <w:rPr>
          <w:rFonts w:ascii="Cambria" w:hAnsi="Cambria" w:cs="Calibri Light"/>
          <w:b/>
          <w:color w:val="000000"/>
          <w:sz w:val="20"/>
          <w:szCs w:val="20"/>
          <w:lang w:val="es-ES"/>
        </w:rPr>
        <w:t>s</w:t>
      </w:r>
      <w:r w:rsidRPr="005B0CA2">
        <w:rPr>
          <w:rFonts w:ascii="Cambria" w:hAnsi="Cambria" w:cs="Calibri Light"/>
          <w:b/>
          <w:color w:val="000000"/>
          <w:sz w:val="20"/>
          <w:szCs w:val="20"/>
          <w:lang w:val="es-ES"/>
        </w:rPr>
        <w:t xml:space="preserve"> recomendaci</w:t>
      </w:r>
      <w:r w:rsidR="00C80FF7" w:rsidRPr="005B0CA2">
        <w:rPr>
          <w:rFonts w:ascii="Cambria" w:hAnsi="Cambria" w:cs="Calibri Light"/>
          <w:b/>
          <w:color w:val="000000"/>
          <w:sz w:val="20"/>
          <w:szCs w:val="20"/>
          <w:lang w:val="es-ES"/>
        </w:rPr>
        <w:t>ones</w:t>
      </w:r>
      <w:r w:rsidRPr="005B0CA2">
        <w:rPr>
          <w:rFonts w:ascii="Cambria" w:hAnsi="Cambria" w:cs="Calibri Light"/>
          <w:b/>
          <w:color w:val="000000"/>
          <w:sz w:val="20"/>
          <w:szCs w:val="20"/>
          <w:lang w:val="es-ES"/>
        </w:rPr>
        <w:t xml:space="preserve"> 2 y 3,</w:t>
      </w:r>
      <w:r w:rsidRPr="005B0CA2">
        <w:rPr>
          <w:rFonts w:ascii="Cambria" w:hAnsi="Cambria" w:cs="Calibri Light"/>
          <w:color w:val="000000"/>
          <w:sz w:val="20"/>
          <w:szCs w:val="20"/>
          <w:lang w:val="es-ES"/>
        </w:rPr>
        <w:t xml:space="preserve"> en años a</w:t>
      </w:r>
      <w:r w:rsidR="001636D0" w:rsidRPr="005B0CA2">
        <w:rPr>
          <w:rFonts w:ascii="Cambria" w:hAnsi="Cambria" w:cs="Calibri Light"/>
          <w:color w:val="000000"/>
          <w:sz w:val="20"/>
          <w:szCs w:val="20"/>
          <w:lang w:val="es-ES"/>
        </w:rPr>
        <w:t>nterior</w:t>
      </w:r>
      <w:r w:rsidRPr="005B0CA2">
        <w:rPr>
          <w:rFonts w:ascii="Cambria" w:hAnsi="Cambria" w:cs="Calibri Light"/>
          <w:color w:val="000000"/>
          <w:sz w:val="20"/>
          <w:szCs w:val="20"/>
          <w:lang w:val="es-ES"/>
        </w:rPr>
        <w:t xml:space="preserve">es, </w:t>
      </w:r>
      <w:r w:rsidR="001636D0" w:rsidRPr="005B0CA2">
        <w:rPr>
          <w:rFonts w:ascii="Cambria" w:hAnsi="Cambria" w:cs="Calibri Light"/>
          <w:color w:val="000000"/>
          <w:sz w:val="20"/>
          <w:szCs w:val="20"/>
          <w:lang w:val="es-ES"/>
        </w:rPr>
        <w:t xml:space="preserve">la CIDH había sido informada sobre la firma de un “Acuerdo de Cumplimiento de Recomendaciones” respecto </w:t>
      </w:r>
      <w:r w:rsidR="00DD56AC" w:rsidRPr="005B0CA2">
        <w:rPr>
          <w:rFonts w:ascii="Cambria" w:hAnsi="Cambria" w:cs="Calibri Light"/>
          <w:color w:val="000000"/>
          <w:sz w:val="20"/>
          <w:szCs w:val="20"/>
          <w:lang w:val="es-ES"/>
        </w:rPr>
        <w:t xml:space="preserve">a </w:t>
      </w:r>
      <w:r w:rsidR="001636D0" w:rsidRPr="005B0CA2">
        <w:rPr>
          <w:rFonts w:ascii="Cambria" w:hAnsi="Cambria" w:cs="Calibri Light"/>
          <w:color w:val="000000"/>
          <w:sz w:val="20"/>
          <w:szCs w:val="20"/>
          <w:lang w:val="es-ES"/>
        </w:rPr>
        <w:t xml:space="preserve">dos de las peticiones acumuladas en el Informe de Fondo </w:t>
      </w:r>
      <w:r w:rsidR="00992AB7" w:rsidRPr="005B0CA2">
        <w:rPr>
          <w:rFonts w:ascii="Cambria" w:hAnsi="Cambria" w:cs="Calibri Light"/>
          <w:color w:val="000000"/>
          <w:sz w:val="20"/>
          <w:szCs w:val="20"/>
          <w:lang w:val="es-ES"/>
        </w:rPr>
        <w:t>Nº 59/01, los C</w:t>
      </w:r>
      <w:r w:rsidR="001636D0" w:rsidRPr="005B0CA2">
        <w:rPr>
          <w:rFonts w:ascii="Cambria" w:hAnsi="Cambria" w:cs="Calibri Light"/>
          <w:color w:val="000000"/>
          <w:sz w:val="20"/>
          <w:szCs w:val="20"/>
          <w:lang w:val="es-ES"/>
        </w:rPr>
        <w:t>asos 10.627 (</w:t>
      </w:r>
      <w:r w:rsidR="001636D0" w:rsidRPr="005B0CA2">
        <w:rPr>
          <w:rFonts w:ascii="Cambria" w:hAnsi="Cambria" w:cs="Calibri Light"/>
          <w:bCs/>
          <w:color w:val="000000"/>
          <w:sz w:val="20"/>
          <w:szCs w:val="20"/>
          <w:lang w:val="es-ES"/>
        </w:rPr>
        <w:t xml:space="preserve">Pedro Tiu Cac) y 11.198 (José María Ixcaya Pixtay y otros). </w:t>
      </w:r>
      <w:r w:rsidR="001636D0" w:rsidRPr="005B0CA2">
        <w:rPr>
          <w:rFonts w:ascii="Cambria" w:hAnsi="Cambria" w:cs="Calibri Light"/>
          <w:color w:val="000000"/>
          <w:sz w:val="20"/>
          <w:szCs w:val="20"/>
          <w:lang w:val="es-ES"/>
        </w:rPr>
        <w:t xml:space="preserve">En cumplimiento de este Acuerdo, durante 2015, el Estado entregó las indemnizaciones acordadas a los familiares de </w:t>
      </w:r>
      <w:r w:rsidR="001636D0" w:rsidRPr="005B0CA2">
        <w:rPr>
          <w:rFonts w:ascii="Cambria" w:hAnsi="Cambria" w:cs="Calibri Light"/>
          <w:bCs/>
          <w:color w:val="000000"/>
          <w:sz w:val="20"/>
          <w:szCs w:val="20"/>
          <w:lang w:val="es-ES"/>
        </w:rPr>
        <w:t xml:space="preserve">Pedro Tiu Cac. Posteriormente, </w:t>
      </w:r>
      <w:r w:rsidR="001636D0" w:rsidRPr="005B0CA2">
        <w:rPr>
          <w:rFonts w:ascii="Cambria" w:hAnsi="Cambria"/>
          <w:color w:val="000000"/>
          <w:sz w:val="20"/>
          <w:szCs w:val="20"/>
          <w:lang w:val="es-ES" w:eastAsia="pt-BR"/>
        </w:rPr>
        <w:t xml:space="preserve">el 21 de diciembre de 2006, el Estado presentó disculpas a la familia </w:t>
      </w:r>
      <w:proofErr w:type="gramStart"/>
      <w:r w:rsidR="001636D0" w:rsidRPr="005B0CA2">
        <w:rPr>
          <w:rFonts w:ascii="Cambria" w:hAnsi="Cambria"/>
          <w:color w:val="000000"/>
          <w:sz w:val="20"/>
          <w:szCs w:val="20"/>
          <w:lang w:val="es-ES" w:eastAsia="pt-BR"/>
        </w:rPr>
        <w:t>del mismo</w:t>
      </w:r>
      <w:proofErr w:type="gramEnd"/>
      <w:r w:rsidR="001636D0" w:rsidRPr="005B0CA2">
        <w:rPr>
          <w:rFonts w:ascii="Cambria" w:hAnsi="Cambria"/>
          <w:color w:val="000000"/>
          <w:sz w:val="20"/>
          <w:szCs w:val="20"/>
          <w:lang w:val="es-ES" w:eastAsia="pt-BR"/>
        </w:rPr>
        <w:t xml:space="preserve"> en forma privada y el 29 de julio de 2007, realizó un acto de colocación y develación de una plaqueta conmemorativa en la Iglesia Parroquial del Municipio de Santa María de Chiquimula, Departamen</w:t>
      </w:r>
      <w:r w:rsidR="00992AB7" w:rsidRPr="005B0CA2">
        <w:rPr>
          <w:rFonts w:ascii="Cambria" w:hAnsi="Cambria"/>
          <w:color w:val="000000"/>
          <w:sz w:val="20"/>
          <w:szCs w:val="20"/>
          <w:lang w:val="es-ES" w:eastAsia="pt-BR"/>
        </w:rPr>
        <w:t>to de Totonicapán. Respecto el Ca</w:t>
      </w:r>
      <w:r w:rsidR="001636D0" w:rsidRPr="005B0CA2">
        <w:rPr>
          <w:rFonts w:ascii="Cambria" w:hAnsi="Cambria"/>
          <w:color w:val="000000"/>
          <w:sz w:val="20"/>
          <w:szCs w:val="20"/>
          <w:lang w:val="es-ES" w:eastAsia="pt-BR"/>
        </w:rPr>
        <w:t xml:space="preserve">so 11.198, el 18 de febrero de 2005, el Estado reconoció su responsabilidad institucional por la violación del derecho a la vida, a la libertad personal, a la integridad personal a las garantías judiciales y protección judicial en perjuicio de José María Ixcaya Pixtay, José Vicente García, Mateo Sarat Ixcoy, Celestino Julaj Vicente, Miguel Tzoy Calel, Pedro Raguez, Pablo Ajiataz, </w:t>
      </w:r>
      <w:r w:rsidR="001636D0" w:rsidRPr="005B0CA2">
        <w:rPr>
          <w:rFonts w:ascii="Cambria" w:hAnsi="Cambria"/>
          <w:color w:val="000000"/>
          <w:sz w:val="20"/>
          <w:szCs w:val="20"/>
          <w:lang w:val="es-ES" w:eastAsia="pt-BR"/>
        </w:rPr>
        <w:lastRenderedPageBreak/>
        <w:t xml:space="preserve">Manuel Ajiataz Chivalan, Catrino Chanchavac Larios, Miguel Tiu Imul, Camilo Ajquí Gimon y Juan Tzunux Us. Asimismo, reparó económicamente a los familiares de estas víctimas, quedando pendiente la entrega de la reparación a los familiares de Mateo Sarat Ixcoy, Camilo Ajquí Gimon y Juan Tzunux Us. </w:t>
      </w:r>
      <w:proofErr w:type="gramStart"/>
      <w:r w:rsidR="001636D0" w:rsidRPr="005B0CA2">
        <w:rPr>
          <w:rFonts w:ascii="Cambria" w:hAnsi="Cambria"/>
          <w:color w:val="000000"/>
          <w:sz w:val="20"/>
          <w:szCs w:val="20"/>
          <w:lang w:val="es-ES" w:eastAsia="pt-BR"/>
        </w:rPr>
        <w:t>En relación a</w:t>
      </w:r>
      <w:proofErr w:type="gramEnd"/>
      <w:r w:rsidR="001636D0" w:rsidRPr="005B0CA2">
        <w:rPr>
          <w:rFonts w:ascii="Cambria" w:hAnsi="Cambria"/>
          <w:color w:val="000000"/>
          <w:sz w:val="20"/>
          <w:szCs w:val="20"/>
          <w:lang w:val="es-ES" w:eastAsia="pt-BR"/>
        </w:rPr>
        <w:t xml:space="preserve"> las medidas de dignificación, quedaría pendiente la entrega de la plaqueta conmemorativa respecto a Miguel Tiu Imul</w:t>
      </w:r>
      <w:r w:rsidR="001636D0" w:rsidRPr="005B0CA2">
        <w:rPr>
          <w:rStyle w:val="FootnoteReference"/>
          <w:rFonts w:ascii="Cambria" w:hAnsi="Cambria"/>
          <w:color w:val="000000"/>
          <w:sz w:val="20"/>
          <w:szCs w:val="20"/>
          <w:lang w:val="es-ES" w:eastAsia="pt-BR"/>
        </w:rPr>
        <w:footnoteReference w:id="2"/>
      </w:r>
      <w:r w:rsidR="001636D0" w:rsidRPr="005B0CA2">
        <w:rPr>
          <w:rFonts w:ascii="Cambria" w:hAnsi="Cambria"/>
          <w:color w:val="000000"/>
          <w:sz w:val="20"/>
          <w:szCs w:val="20"/>
          <w:lang w:val="es-ES" w:eastAsia="pt-BR"/>
        </w:rPr>
        <w:t>.</w:t>
      </w:r>
    </w:p>
    <w:p w14:paraId="441925C9" w14:textId="77777777" w:rsidR="00834EBC" w:rsidRPr="005B0CA2" w:rsidRDefault="00834EBC" w:rsidP="005D3131">
      <w:pPr>
        <w:spacing w:after="0" w:line="240" w:lineRule="auto"/>
        <w:ind w:left="720"/>
        <w:jc w:val="both"/>
        <w:rPr>
          <w:rFonts w:ascii="Cambria" w:hAnsi="Cambria" w:cs="Calibri Light"/>
          <w:b/>
          <w:color w:val="000000"/>
          <w:sz w:val="20"/>
          <w:szCs w:val="20"/>
          <w:lang w:val="es-ES"/>
        </w:rPr>
      </w:pPr>
    </w:p>
    <w:p w14:paraId="13CB65F7" w14:textId="77777777" w:rsidR="00834EBC" w:rsidRPr="005B0CA2" w:rsidRDefault="00992AB7" w:rsidP="005D3131">
      <w:pPr>
        <w:numPr>
          <w:ilvl w:val="0"/>
          <w:numId w:val="8"/>
        </w:numPr>
        <w:spacing w:after="0" w:line="240" w:lineRule="auto"/>
        <w:ind w:left="0" w:firstLine="720"/>
        <w:jc w:val="both"/>
        <w:rPr>
          <w:rFonts w:ascii="Cambria" w:hAnsi="Cambria" w:cs="Calibri Light"/>
          <w:b/>
          <w:color w:val="000000"/>
          <w:sz w:val="20"/>
          <w:szCs w:val="20"/>
          <w:lang w:val="es-ES"/>
        </w:rPr>
      </w:pPr>
      <w:r w:rsidRPr="005B0CA2">
        <w:rPr>
          <w:rFonts w:ascii="Cambria" w:hAnsi="Cambria" w:cs="Calibri Light"/>
          <w:color w:val="000000"/>
          <w:sz w:val="20"/>
          <w:szCs w:val="20"/>
          <w:lang w:val="es-ES"/>
        </w:rPr>
        <w:t>En relación con los C</w:t>
      </w:r>
      <w:r w:rsidR="001636D0" w:rsidRPr="005B0CA2">
        <w:rPr>
          <w:rFonts w:ascii="Cambria" w:hAnsi="Cambria" w:cs="Calibri Light"/>
          <w:color w:val="000000"/>
          <w:sz w:val="20"/>
          <w:szCs w:val="20"/>
          <w:lang w:val="es-ES"/>
        </w:rPr>
        <w:t xml:space="preserve">asos </w:t>
      </w:r>
      <w:r w:rsidR="001636D0" w:rsidRPr="005B0CA2">
        <w:rPr>
          <w:rFonts w:ascii="Cambria" w:hAnsi="Cambria"/>
          <w:bCs/>
          <w:color w:val="000000"/>
          <w:sz w:val="20"/>
          <w:szCs w:val="20"/>
          <w:lang w:val="es-ES"/>
        </w:rPr>
        <w:t xml:space="preserve">10.901 (Antulio Delgado), 10.751 (Juan Galicia Hernández y otros) y 10.799 (Catalino Chochoy y otros), la CIDH advierte que el Estado de Guatemala no ha realizado ninguna acción tendiente a cumplir las recomendaciones formuladas </w:t>
      </w:r>
      <w:r w:rsidR="00C80FF7" w:rsidRPr="005B0CA2">
        <w:rPr>
          <w:rFonts w:ascii="Cambria" w:hAnsi="Cambria"/>
          <w:bCs/>
          <w:color w:val="000000"/>
          <w:sz w:val="20"/>
          <w:szCs w:val="20"/>
          <w:lang w:val="es-ES"/>
        </w:rPr>
        <w:t>en el Informe de Fondo</w:t>
      </w:r>
      <w:r w:rsidR="001636D0" w:rsidRPr="005B0CA2">
        <w:rPr>
          <w:rFonts w:ascii="Cambria" w:hAnsi="Cambria"/>
          <w:color w:val="000000"/>
          <w:sz w:val="20"/>
          <w:szCs w:val="20"/>
          <w:lang w:val="es-ES"/>
        </w:rPr>
        <w:t xml:space="preserve">. </w:t>
      </w:r>
      <w:r w:rsidR="00834EBC" w:rsidRPr="005B0CA2">
        <w:rPr>
          <w:rFonts w:ascii="Cambria" w:hAnsi="Cambria"/>
          <w:color w:val="000000"/>
          <w:sz w:val="20"/>
          <w:szCs w:val="20"/>
          <w:lang w:val="es-ES"/>
        </w:rPr>
        <w:t xml:space="preserve">Asimismo, </w:t>
      </w:r>
      <w:r w:rsidR="00834EBC" w:rsidRPr="005B0CA2">
        <w:rPr>
          <w:rFonts w:ascii="Cambria" w:hAnsi="Cambria" w:cs="Calibri Light"/>
          <w:color w:val="000000"/>
          <w:sz w:val="20"/>
          <w:szCs w:val="20"/>
          <w:lang w:val="es-ES"/>
        </w:rPr>
        <w:t>el 28 d</w:t>
      </w:r>
      <w:r w:rsidRPr="005B0CA2">
        <w:rPr>
          <w:rFonts w:ascii="Cambria" w:hAnsi="Cambria" w:cs="Calibri Light"/>
          <w:color w:val="000000"/>
          <w:sz w:val="20"/>
          <w:szCs w:val="20"/>
          <w:lang w:val="es-ES"/>
        </w:rPr>
        <w:t>e octubre de 2015, respecto el C</w:t>
      </w:r>
      <w:r w:rsidR="00834EBC" w:rsidRPr="005B0CA2">
        <w:rPr>
          <w:rFonts w:ascii="Cambria" w:hAnsi="Cambria" w:cs="Calibri Light"/>
          <w:color w:val="000000"/>
          <w:sz w:val="20"/>
          <w:szCs w:val="20"/>
          <w:lang w:val="es-ES"/>
        </w:rPr>
        <w:t>aso 10.626 (Remigio Domingo Morales y Rafael Sánchez) el Estado expresó que no había causa alguna para otorgar una reparación a los familiares de dichas personas toda vez que no fueron víctimas de ejecución extrajudicial</w:t>
      </w:r>
      <w:r w:rsidR="00834EBC" w:rsidRPr="005B0CA2">
        <w:rPr>
          <w:rStyle w:val="FootnoteReference"/>
          <w:rFonts w:ascii="Cambria" w:hAnsi="Cambria" w:cs="Calibri Light"/>
          <w:color w:val="000000"/>
          <w:sz w:val="20"/>
          <w:szCs w:val="20"/>
          <w:lang w:val="es-ES"/>
        </w:rPr>
        <w:footnoteReference w:id="3"/>
      </w:r>
      <w:r w:rsidR="00834EBC" w:rsidRPr="005B0CA2">
        <w:rPr>
          <w:rFonts w:ascii="Cambria" w:hAnsi="Cambria" w:cs="Calibri Light"/>
          <w:color w:val="000000"/>
          <w:sz w:val="20"/>
          <w:szCs w:val="20"/>
          <w:lang w:val="es-ES"/>
        </w:rPr>
        <w:t>.</w:t>
      </w:r>
    </w:p>
    <w:p w14:paraId="7D137551" w14:textId="77777777" w:rsidR="00834EBC" w:rsidRPr="005B0CA2" w:rsidRDefault="00834EBC" w:rsidP="005D3131">
      <w:pPr>
        <w:spacing w:after="0" w:line="240" w:lineRule="auto"/>
        <w:ind w:left="720"/>
        <w:jc w:val="both"/>
        <w:rPr>
          <w:rFonts w:ascii="Cambria" w:hAnsi="Cambria" w:cs="Calibri Light"/>
          <w:b/>
          <w:color w:val="000000"/>
          <w:sz w:val="20"/>
          <w:szCs w:val="20"/>
          <w:lang w:val="es-ES"/>
        </w:rPr>
      </w:pPr>
    </w:p>
    <w:p w14:paraId="6E88944B" w14:textId="77777777" w:rsidR="007D7E10" w:rsidRPr="005B0CA2" w:rsidRDefault="007D7E10" w:rsidP="005D3131">
      <w:pPr>
        <w:numPr>
          <w:ilvl w:val="0"/>
          <w:numId w:val="8"/>
        </w:numPr>
        <w:spacing w:after="0" w:line="240" w:lineRule="auto"/>
        <w:ind w:left="0" w:firstLine="720"/>
        <w:jc w:val="both"/>
        <w:rPr>
          <w:rFonts w:ascii="Cambria" w:hAnsi="Cambria" w:cs="Calibri Light"/>
          <w:color w:val="000000"/>
          <w:sz w:val="20"/>
          <w:szCs w:val="20"/>
          <w:lang w:val="es-ES"/>
        </w:rPr>
      </w:pPr>
      <w:r w:rsidRPr="005B0CA2">
        <w:rPr>
          <w:rFonts w:ascii="Cambria" w:hAnsi="Cambria" w:cs="Calibri Light"/>
          <w:color w:val="000000"/>
          <w:sz w:val="20"/>
          <w:szCs w:val="20"/>
          <w:lang w:val="es-ES"/>
        </w:rPr>
        <w:t xml:space="preserve">A partir de la información disponible, la CIDH </w:t>
      </w:r>
      <w:r w:rsidR="00E94310" w:rsidRPr="005B0CA2">
        <w:rPr>
          <w:rFonts w:ascii="Cambria" w:hAnsi="Cambria" w:cs="Calibri Light"/>
          <w:color w:val="000000"/>
          <w:sz w:val="20"/>
          <w:szCs w:val="20"/>
          <w:lang w:val="es-ES"/>
        </w:rPr>
        <w:t>observa</w:t>
      </w:r>
      <w:r w:rsidRPr="005B0CA2">
        <w:rPr>
          <w:rFonts w:ascii="Cambria" w:hAnsi="Cambria" w:cs="Calibri Light"/>
          <w:color w:val="000000"/>
          <w:sz w:val="20"/>
          <w:szCs w:val="20"/>
          <w:lang w:val="es-ES"/>
        </w:rPr>
        <w:t xml:space="preserve"> que no todas las víctimas del caso han sido reparadas adecuadamente. </w:t>
      </w:r>
      <w:r w:rsidR="00EE27FA" w:rsidRPr="005B0CA2">
        <w:rPr>
          <w:rFonts w:ascii="Cambria" w:hAnsi="Cambria" w:cs="Arial"/>
          <w:color w:val="000000"/>
          <w:sz w:val="20"/>
          <w:szCs w:val="20"/>
          <w:lang w:val="es-ES"/>
        </w:rPr>
        <w:t>La Comisión Interamericana recuerda que es un principio de Derecho Internacional que toda violación de una obligación internacional que haya producido un daño comporta el deber de repararlo adecuadamente. En efecto, el artículo 63.1 de la Convención Americana contiene una norma consuetudinaria que constituye uno de los principios fundamentales del Derecho Internacional contemporáneo sobre la responsabilidad de los Estados. Al producirse un hecho ilícito imputable a un Estado, surge la responsabilidad internacional de éste por la violación de la norma internacional, con el consecuente deber de hacer cesar las consecuencias de la viol</w:t>
      </w:r>
      <w:r w:rsidR="00992AB7" w:rsidRPr="005B0CA2">
        <w:rPr>
          <w:rFonts w:ascii="Cambria" w:hAnsi="Cambria" w:cs="Arial"/>
          <w:color w:val="000000"/>
          <w:sz w:val="20"/>
          <w:szCs w:val="20"/>
          <w:lang w:val="es-ES"/>
        </w:rPr>
        <w:t>ación y reparar el daño causado</w:t>
      </w:r>
      <w:r w:rsidR="00EE27FA" w:rsidRPr="005B0CA2">
        <w:rPr>
          <w:rStyle w:val="FootnoteReference"/>
          <w:rFonts w:ascii="Cambria" w:hAnsi="Cambria" w:cs="Arial"/>
          <w:color w:val="000000"/>
          <w:sz w:val="20"/>
          <w:szCs w:val="20"/>
          <w:lang w:val="es-ES"/>
        </w:rPr>
        <w:footnoteReference w:id="4"/>
      </w:r>
      <w:r w:rsidR="00992AB7" w:rsidRPr="005B0CA2">
        <w:rPr>
          <w:rFonts w:ascii="Cambria" w:hAnsi="Cambria" w:cs="Arial"/>
          <w:color w:val="000000"/>
          <w:sz w:val="20"/>
          <w:szCs w:val="20"/>
          <w:lang w:val="es-ES"/>
        </w:rPr>
        <w:t>.</w:t>
      </w:r>
      <w:r w:rsidR="00EE27FA" w:rsidRPr="005B0CA2">
        <w:rPr>
          <w:rFonts w:ascii="Cambria" w:hAnsi="Cambria" w:cs="Arial"/>
          <w:color w:val="000000"/>
          <w:sz w:val="20"/>
          <w:szCs w:val="20"/>
          <w:lang w:val="es-ES"/>
        </w:rPr>
        <w:t xml:space="preserve"> </w:t>
      </w:r>
      <w:r w:rsidRPr="005B0CA2">
        <w:rPr>
          <w:rFonts w:ascii="Cambria" w:hAnsi="Cambria" w:cs="Arial"/>
          <w:color w:val="000000"/>
          <w:sz w:val="20"/>
          <w:szCs w:val="20"/>
          <w:lang w:val="es-ES"/>
        </w:rPr>
        <w:t>En tal virtud, la CIDH concluye que las recomendaciones 2 y 3, se encuentran parcialmente cumplidas.</w:t>
      </w:r>
    </w:p>
    <w:p w14:paraId="08ADE26F" w14:textId="77777777" w:rsidR="007D7E10" w:rsidRPr="005B0CA2" w:rsidRDefault="007D7E10" w:rsidP="005D3131">
      <w:pPr>
        <w:pStyle w:val="ListParagraph"/>
        <w:spacing w:after="0" w:line="240" w:lineRule="auto"/>
        <w:rPr>
          <w:rFonts w:ascii="Cambria" w:hAnsi="Cambria" w:cs="Calibri Light"/>
          <w:b/>
          <w:color w:val="000000"/>
          <w:sz w:val="20"/>
          <w:szCs w:val="20"/>
          <w:lang w:val="es-ES"/>
        </w:rPr>
      </w:pPr>
    </w:p>
    <w:p w14:paraId="11D46011" w14:textId="77777777" w:rsidR="0031612B" w:rsidRPr="005B0CA2" w:rsidRDefault="007D7E10" w:rsidP="005D3131">
      <w:pPr>
        <w:numPr>
          <w:ilvl w:val="0"/>
          <w:numId w:val="8"/>
        </w:numPr>
        <w:spacing w:after="0" w:line="240" w:lineRule="auto"/>
        <w:ind w:left="0" w:firstLine="720"/>
        <w:jc w:val="both"/>
        <w:rPr>
          <w:rFonts w:ascii="Cambria" w:hAnsi="Cambria" w:cs="Calibri Light"/>
          <w:color w:val="000000"/>
          <w:sz w:val="20"/>
          <w:szCs w:val="20"/>
          <w:lang w:val="es-ES"/>
        </w:rPr>
      </w:pPr>
      <w:r w:rsidRPr="005B0CA2">
        <w:rPr>
          <w:rFonts w:ascii="Cambria" w:hAnsi="Cambria" w:cs="Calibri Light"/>
          <w:b/>
          <w:color w:val="000000"/>
          <w:sz w:val="20"/>
          <w:szCs w:val="20"/>
          <w:lang w:val="es-ES"/>
        </w:rPr>
        <w:t xml:space="preserve">En relación con la recomendación cuarta, </w:t>
      </w:r>
      <w:r w:rsidRPr="005B0CA2">
        <w:rPr>
          <w:rFonts w:ascii="Cambria" w:hAnsi="Cambria" w:cs="Calibri Light"/>
          <w:color w:val="000000"/>
          <w:sz w:val="20"/>
          <w:szCs w:val="20"/>
          <w:lang w:val="es-ES"/>
        </w:rPr>
        <w:t>el 8 de octubre de 2013, el Estado reiteró a la CIDH que las Patrullas de Autodefensa Civil (PAC) fueron disueltas por el Decreto 143-96 del Congreso de la República de Guatemala de fecha 28 de noviembre de 1996 y que el proceso de desarme de las PAC había sido verificado por la Procuraduría de Derechos Humanos</w:t>
      </w:r>
      <w:r w:rsidR="0031612B" w:rsidRPr="005B0CA2">
        <w:rPr>
          <w:rFonts w:ascii="Cambria" w:hAnsi="Cambria" w:cs="Calibri Light"/>
          <w:color w:val="000000"/>
          <w:sz w:val="20"/>
          <w:szCs w:val="20"/>
          <w:lang w:val="es-ES"/>
        </w:rPr>
        <w:t xml:space="preserve"> y por la Misión de Verificación de</w:t>
      </w:r>
      <w:r w:rsidR="00107614" w:rsidRPr="005B0CA2">
        <w:rPr>
          <w:rFonts w:ascii="Cambria" w:hAnsi="Cambria" w:cs="Calibri Light"/>
          <w:color w:val="000000"/>
          <w:sz w:val="20"/>
          <w:szCs w:val="20"/>
          <w:lang w:val="es-ES"/>
        </w:rPr>
        <w:t xml:space="preserve"> </w:t>
      </w:r>
      <w:r w:rsidR="0031612B" w:rsidRPr="005B0CA2">
        <w:rPr>
          <w:rFonts w:ascii="Cambria" w:hAnsi="Cambria" w:cs="Calibri Light"/>
          <w:color w:val="000000"/>
          <w:sz w:val="20"/>
          <w:szCs w:val="20"/>
          <w:lang w:val="es-ES"/>
        </w:rPr>
        <w:t>las Naciones Unidas en Guatemala (MINUGUA)</w:t>
      </w:r>
      <w:r w:rsidR="00992AB7" w:rsidRPr="005B0CA2">
        <w:rPr>
          <w:rStyle w:val="FootnoteReference"/>
          <w:rFonts w:ascii="Cambria" w:hAnsi="Cambria" w:cs="Calibri Light"/>
          <w:color w:val="000000"/>
          <w:sz w:val="20"/>
          <w:szCs w:val="20"/>
          <w:lang w:val="es-ES"/>
        </w:rPr>
        <w:footnoteReference w:id="5"/>
      </w:r>
      <w:r w:rsidR="00992AB7" w:rsidRPr="005B0CA2">
        <w:rPr>
          <w:rFonts w:ascii="Cambria" w:hAnsi="Cambria" w:cs="Calibri Light"/>
          <w:color w:val="000000"/>
          <w:sz w:val="20"/>
          <w:szCs w:val="20"/>
          <w:lang w:val="es-ES"/>
        </w:rPr>
        <w:t>.</w:t>
      </w:r>
    </w:p>
    <w:p w14:paraId="1B76384E" w14:textId="77777777" w:rsidR="00083955" w:rsidRPr="005B0CA2" w:rsidRDefault="00083955" w:rsidP="005D3131">
      <w:pPr>
        <w:spacing w:after="0" w:line="240" w:lineRule="auto"/>
        <w:ind w:left="720"/>
        <w:jc w:val="both"/>
        <w:rPr>
          <w:rFonts w:ascii="Cambria" w:hAnsi="Cambria" w:cs="Calibri Light"/>
          <w:color w:val="000000"/>
          <w:sz w:val="20"/>
          <w:szCs w:val="20"/>
          <w:lang w:val="es-ES"/>
        </w:rPr>
      </w:pPr>
    </w:p>
    <w:p w14:paraId="215AD0CB" w14:textId="77777777" w:rsidR="0031612B" w:rsidRPr="005B0CA2" w:rsidRDefault="000975EC" w:rsidP="005D3131">
      <w:pPr>
        <w:numPr>
          <w:ilvl w:val="0"/>
          <w:numId w:val="8"/>
        </w:numPr>
        <w:spacing w:after="0" w:line="240" w:lineRule="auto"/>
        <w:ind w:left="0" w:firstLine="720"/>
        <w:jc w:val="both"/>
        <w:rPr>
          <w:rFonts w:ascii="Cambria" w:hAnsi="Cambria" w:cs="Calibri Light"/>
          <w:color w:val="000000"/>
          <w:sz w:val="20"/>
          <w:szCs w:val="20"/>
          <w:lang w:val="es-ES"/>
        </w:rPr>
      </w:pPr>
      <w:r w:rsidRPr="005B0CA2">
        <w:rPr>
          <w:rFonts w:ascii="Cambria" w:hAnsi="Cambria" w:cs="Calibri Light"/>
          <w:color w:val="000000"/>
          <w:sz w:val="20"/>
          <w:szCs w:val="20"/>
          <w:lang w:val="es-ES"/>
        </w:rPr>
        <w:t xml:space="preserve">Desde hace varios años, en el marco de sus funciones de monitoreo geográfico y de país, la CIDH no ha recibido información que indique </w:t>
      </w:r>
      <w:r w:rsidRPr="005B0CA2">
        <w:rPr>
          <w:rFonts w:ascii="Cambria" w:hAnsi="Cambria" w:cs="Arial"/>
          <w:color w:val="000000"/>
          <w:sz w:val="20"/>
          <w:szCs w:val="20"/>
          <w:lang w:val="es-ES"/>
        </w:rPr>
        <w:t>l</w:t>
      </w:r>
      <w:r w:rsidR="00083955" w:rsidRPr="005B0CA2">
        <w:rPr>
          <w:rFonts w:ascii="Cambria" w:hAnsi="Cambria" w:cs="Arial"/>
          <w:color w:val="000000"/>
          <w:sz w:val="20"/>
          <w:szCs w:val="20"/>
          <w:lang w:val="es-ES"/>
        </w:rPr>
        <w:t>a</w:t>
      </w:r>
      <w:r w:rsidRPr="005B0CA2">
        <w:rPr>
          <w:rFonts w:ascii="Cambria" w:hAnsi="Cambria" w:cs="Arial"/>
          <w:color w:val="000000"/>
          <w:sz w:val="20"/>
          <w:szCs w:val="20"/>
          <w:lang w:val="es-ES"/>
        </w:rPr>
        <w:t xml:space="preserve"> operación o</w:t>
      </w:r>
      <w:r w:rsidR="00083955" w:rsidRPr="005B0CA2">
        <w:rPr>
          <w:rFonts w:ascii="Cambria" w:hAnsi="Cambria" w:cs="Arial"/>
          <w:color w:val="000000"/>
          <w:sz w:val="20"/>
          <w:szCs w:val="20"/>
          <w:lang w:val="es-ES"/>
        </w:rPr>
        <w:t xml:space="preserve"> reorganización de</w:t>
      </w:r>
      <w:r w:rsidRPr="005B0CA2">
        <w:rPr>
          <w:rFonts w:ascii="Cambria" w:hAnsi="Cambria" w:cs="Arial"/>
          <w:color w:val="000000"/>
          <w:sz w:val="20"/>
          <w:szCs w:val="20"/>
          <w:lang w:val="es-ES"/>
        </w:rPr>
        <w:t xml:space="preserve"> las PAC en Guatemala. En este sentido, l</w:t>
      </w:r>
      <w:r w:rsidRPr="005B0CA2">
        <w:rPr>
          <w:rFonts w:ascii="Cambria" w:hAnsi="Cambria" w:cs="Calibri Light"/>
          <w:color w:val="000000"/>
          <w:sz w:val="20"/>
          <w:szCs w:val="20"/>
          <w:lang w:val="es-ES"/>
        </w:rPr>
        <w:t>a CIDH saluda la información proporcionada por el Estado guatemalteco sobre la disolución de dichas estructuras y concluye que</w:t>
      </w:r>
      <w:r w:rsidR="0031612B" w:rsidRPr="005B0CA2">
        <w:rPr>
          <w:rFonts w:ascii="Cambria" w:hAnsi="Cambria" w:cs="Calibri Light"/>
          <w:color w:val="000000"/>
          <w:sz w:val="20"/>
          <w:szCs w:val="20"/>
          <w:lang w:val="es-ES"/>
        </w:rPr>
        <w:t xml:space="preserve"> la Recomendación cuarta fue cumplida totalmente. </w:t>
      </w:r>
      <w:r w:rsidR="00083955" w:rsidRPr="005B0CA2">
        <w:rPr>
          <w:rFonts w:ascii="Cambria" w:hAnsi="Cambria" w:cs="Calibri Light"/>
          <w:color w:val="000000"/>
          <w:sz w:val="20"/>
          <w:szCs w:val="20"/>
          <w:lang w:val="es-ES"/>
        </w:rPr>
        <w:t xml:space="preserve"> </w:t>
      </w:r>
    </w:p>
    <w:p w14:paraId="3408C806" w14:textId="77777777" w:rsidR="00083955" w:rsidRPr="005B0CA2" w:rsidRDefault="00083955" w:rsidP="005D3131">
      <w:pPr>
        <w:spacing w:after="0" w:line="240" w:lineRule="auto"/>
        <w:jc w:val="both"/>
        <w:rPr>
          <w:rFonts w:ascii="Cambria" w:hAnsi="Cambria" w:cs="Calibri Light"/>
          <w:color w:val="000000"/>
          <w:sz w:val="20"/>
          <w:szCs w:val="20"/>
          <w:lang w:val="es-ES"/>
        </w:rPr>
      </w:pPr>
    </w:p>
    <w:p w14:paraId="4FEE6492" w14:textId="77777777" w:rsidR="00850DC2" w:rsidRPr="005B0CA2" w:rsidRDefault="007D7E10" w:rsidP="005D3131">
      <w:pPr>
        <w:numPr>
          <w:ilvl w:val="0"/>
          <w:numId w:val="8"/>
        </w:numPr>
        <w:spacing w:after="0" w:line="240" w:lineRule="auto"/>
        <w:ind w:left="0" w:firstLine="720"/>
        <w:jc w:val="both"/>
        <w:rPr>
          <w:rFonts w:ascii="Cambria" w:hAnsi="Cambria" w:cs="Calibri Light"/>
          <w:color w:val="000000"/>
          <w:sz w:val="20"/>
          <w:szCs w:val="20"/>
          <w:lang w:val="es-ES"/>
        </w:rPr>
      </w:pPr>
      <w:r w:rsidRPr="005B0CA2">
        <w:rPr>
          <w:rFonts w:ascii="Cambria" w:hAnsi="Cambria" w:cs="Calibri Light"/>
          <w:b/>
          <w:color w:val="000000"/>
          <w:sz w:val="20"/>
          <w:szCs w:val="20"/>
          <w:lang w:val="es-ES"/>
        </w:rPr>
        <w:t>Respecto a la quinta recomendación</w:t>
      </w:r>
      <w:r w:rsidRPr="005B0CA2">
        <w:rPr>
          <w:rFonts w:ascii="Cambria" w:hAnsi="Cambria" w:cs="Calibri Light"/>
          <w:color w:val="000000"/>
          <w:sz w:val="20"/>
          <w:szCs w:val="20"/>
          <w:lang w:val="es-ES"/>
        </w:rPr>
        <w:t>,</w:t>
      </w:r>
      <w:r w:rsidR="00850DC2" w:rsidRPr="005B0CA2">
        <w:rPr>
          <w:rFonts w:ascii="Cambria" w:hAnsi="Cambria" w:cs="Calibri Light"/>
          <w:color w:val="000000"/>
          <w:sz w:val="20"/>
          <w:szCs w:val="20"/>
          <w:lang w:val="es-ES"/>
        </w:rPr>
        <w:t xml:space="preserve"> en 2013,</w:t>
      </w:r>
      <w:r w:rsidRPr="005B0CA2">
        <w:rPr>
          <w:rFonts w:ascii="Cambria" w:hAnsi="Cambria" w:cs="Calibri Light"/>
          <w:color w:val="000000"/>
          <w:sz w:val="20"/>
          <w:szCs w:val="20"/>
          <w:lang w:val="es-ES"/>
        </w:rPr>
        <w:t xml:space="preserve"> el Estado manifestó “que está organizado para garantizar a todos sus habitantes el goce de sus derechos y libertades, preceptuados en la Constitución Política de Guatemala [y], que constituyen el imperativo ético-jurídico del ordenamiento jurídico interno”. En este sentido, señaló que “garantiza el derecho de libertad de expresión de todas las personas que se encuentren en el territorio nacional”. </w:t>
      </w:r>
    </w:p>
    <w:p w14:paraId="07951F71" w14:textId="77777777" w:rsidR="00850DC2" w:rsidRPr="005B0CA2" w:rsidRDefault="00850DC2" w:rsidP="005D3131">
      <w:pPr>
        <w:spacing w:after="0" w:line="240" w:lineRule="auto"/>
        <w:ind w:left="720"/>
        <w:jc w:val="both"/>
        <w:rPr>
          <w:rFonts w:ascii="Cambria" w:hAnsi="Cambria" w:cs="Calibri Light"/>
          <w:color w:val="000000"/>
          <w:sz w:val="20"/>
          <w:szCs w:val="20"/>
          <w:lang w:val="es-ES"/>
        </w:rPr>
      </w:pPr>
    </w:p>
    <w:p w14:paraId="7EE3E2D3" w14:textId="77777777" w:rsidR="00850DC2" w:rsidRPr="005B0CA2" w:rsidRDefault="00850DC2" w:rsidP="005D3131">
      <w:pPr>
        <w:numPr>
          <w:ilvl w:val="0"/>
          <w:numId w:val="8"/>
        </w:numPr>
        <w:spacing w:after="0" w:line="240" w:lineRule="auto"/>
        <w:ind w:left="0" w:firstLine="720"/>
        <w:jc w:val="both"/>
        <w:rPr>
          <w:rFonts w:ascii="Cambria" w:hAnsi="Cambria" w:cs="Calibri Light"/>
          <w:color w:val="000000"/>
          <w:sz w:val="20"/>
          <w:szCs w:val="20"/>
          <w:lang w:val="es-ES"/>
        </w:rPr>
      </w:pPr>
      <w:r w:rsidRPr="005B0CA2">
        <w:rPr>
          <w:rFonts w:ascii="Cambria" w:hAnsi="Cambria" w:cs="Calibri Light"/>
          <w:color w:val="000000"/>
          <w:sz w:val="20"/>
          <w:szCs w:val="20"/>
          <w:lang w:val="es-ES"/>
        </w:rPr>
        <w:t xml:space="preserve">La CIDH toma nota de la información proporcionada en años anteriores. No obstante, la CIDH invita a las autoridades guatemaltecas a ampliar la información </w:t>
      </w:r>
      <w:r w:rsidRPr="005B0CA2">
        <w:rPr>
          <w:rFonts w:ascii="Cambria" w:hAnsi="Cambria"/>
          <w:color w:val="000000"/>
          <w:sz w:val="20"/>
          <w:szCs w:val="20"/>
          <w:lang w:val="es-ES"/>
        </w:rPr>
        <w:t xml:space="preserve">sobre las acciones tomadas para promover los principios establecidos en la “Declaración sobre el derecho y el deber de los individuos, los grupos y las instituciones, de promover y proteger los derechos humanos y las libertades fundamentales universalmente reconocidos" adoptada por Naciones Unidas, así como las medidas necesarias para que se respete la libertad de expresión de quienes han asumido la tarea de trabajar por el respeto de los derechos fundamentales, y para </w:t>
      </w:r>
      <w:r w:rsidRPr="005B0CA2">
        <w:rPr>
          <w:rFonts w:ascii="Cambria" w:hAnsi="Cambria"/>
          <w:color w:val="000000"/>
          <w:sz w:val="20"/>
          <w:szCs w:val="20"/>
          <w:lang w:val="es-ES"/>
        </w:rPr>
        <w:lastRenderedPageBreak/>
        <w:t>que se proteja su vida e integridad personal. En consecuencia, la CIDH concluye que la recomendación quinta se encuentra pendiente de cumplimiento.</w:t>
      </w:r>
    </w:p>
    <w:p w14:paraId="0781C260" w14:textId="77777777" w:rsidR="001636D0" w:rsidRPr="005B0CA2" w:rsidRDefault="001636D0" w:rsidP="005D3131">
      <w:pPr>
        <w:spacing w:after="0" w:line="240" w:lineRule="auto"/>
        <w:jc w:val="both"/>
        <w:rPr>
          <w:rFonts w:ascii="Cambria" w:hAnsi="Cambria"/>
          <w:color w:val="000000"/>
          <w:sz w:val="20"/>
          <w:szCs w:val="20"/>
          <w:lang w:val="es-ES"/>
        </w:rPr>
      </w:pPr>
    </w:p>
    <w:p w14:paraId="180A8AF5" w14:textId="77777777" w:rsidR="001636D0" w:rsidRPr="005B0CA2" w:rsidRDefault="00F30C2F" w:rsidP="00F30C2F">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5B0CA2">
        <w:rPr>
          <w:rFonts w:ascii="Cambria" w:hAnsi="Cambria" w:cs="Calibri Light"/>
          <w:b/>
          <w:color w:val="000000"/>
          <w:sz w:val="20"/>
          <w:szCs w:val="20"/>
          <w:lang w:val="es-ES"/>
        </w:rPr>
        <w:t>Nivel</w:t>
      </w:r>
      <w:r w:rsidR="001636D0" w:rsidRPr="005B0CA2">
        <w:rPr>
          <w:rFonts w:ascii="Cambria" w:hAnsi="Cambria" w:cs="Calibri Light"/>
          <w:b/>
          <w:color w:val="000000"/>
          <w:sz w:val="20"/>
          <w:szCs w:val="20"/>
          <w:lang w:val="es-ES"/>
        </w:rPr>
        <w:t xml:space="preserve"> del cumplimiento del caso </w:t>
      </w:r>
    </w:p>
    <w:p w14:paraId="6781A7AD" w14:textId="77777777" w:rsidR="001636D0" w:rsidRPr="005B0CA2" w:rsidRDefault="001636D0" w:rsidP="005D3131">
      <w:pPr>
        <w:spacing w:after="0" w:line="240" w:lineRule="auto"/>
        <w:jc w:val="both"/>
        <w:rPr>
          <w:rFonts w:ascii="Cambria" w:hAnsi="Cambria" w:cs="Calibri Light"/>
          <w:color w:val="000000"/>
          <w:sz w:val="20"/>
          <w:szCs w:val="20"/>
          <w:lang w:val="es-ES"/>
        </w:rPr>
      </w:pPr>
    </w:p>
    <w:p w14:paraId="740A8D68" w14:textId="77777777" w:rsidR="001636D0" w:rsidRPr="005B0CA2" w:rsidRDefault="001636D0" w:rsidP="005D3131">
      <w:pPr>
        <w:numPr>
          <w:ilvl w:val="0"/>
          <w:numId w:val="8"/>
        </w:numPr>
        <w:spacing w:after="0" w:line="240" w:lineRule="auto"/>
        <w:ind w:left="0" w:firstLine="720"/>
        <w:jc w:val="both"/>
        <w:rPr>
          <w:rFonts w:ascii="Cambria" w:hAnsi="Cambria" w:cs="Calibri Light"/>
          <w:color w:val="000000"/>
          <w:sz w:val="20"/>
          <w:lang w:val="es-ES"/>
        </w:rPr>
      </w:pPr>
      <w:r w:rsidRPr="005B0CA2">
        <w:rPr>
          <w:rFonts w:ascii="Cambria" w:hAnsi="Cambria" w:cs="Calibri Light"/>
          <w:color w:val="000000"/>
          <w:sz w:val="20"/>
          <w:lang w:val="es-ES"/>
        </w:rPr>
        <w:t xml:space="preserve">Por lo anterior, la Comisión concluye que el caso se encuentra </w:t>
      </w:r>
      <w:r w:rsidR="00850DC2" w:rsidRPr="005B0CA2">
        <w:rPr>
          <w:rFonts w:ascii="Cambria" w:hAnsi="Cambria" w:cs="Calibri Light"/>
          <w:color w:val="000000"/>
          <w:sz w:val="20"/>
          <w:lang w:val="es-ES"/>
        </w:rPr>
        <w:t>parcialmente cumplido</w:t>
      </w:r>
      <w:r w:rsidRPr="005B0CA2">
        <w:rPr>
          <w:rFonts w:ascii="Cambria" w:hAnsi="Cambria" w:cs="Calibri Light"/>
          <w:color w:val="000000"/>
          <w:sz w:val="20"/>
          <w:lang w:val="es-ES"/>
        </w:rPr>
        <w:t>. En consecuencia, la CIDH seguirá supervisando el cumplimiento de las Recomendaciones 1, 2, 3, 4, y 5. Además, llama al Estado de Guatemala a realizar los esfuerzos necesarios para contactar a la totalidad de los representantes de las víctimas del presente caso y a avanzar en las gestiones necesarias para dar cumplimiento a las recomendaciones formulada</w:t>
      </w:r>
      <w:r w:rsidR="00CD7A71" w:rsidRPr="005B0CA2">
        <w:rPr>
          <w:rFonts w:ascii="Cambria" w:hAnsi="Cambria" w:cs="Calibri Light"/>
          <w:color w:val="000000"/>
          <w:sz w:val="20"/>
          <w:lang w:val="es-ES"/>
        </w:rPr>
        <w:t>s por la CIDH en su Informe de F</w:t>
      </w:r>
      <w:r w:rsidRPr="005B0CA2">
        <w:rPr>
          <w:rFonts w:ascii="Cambria" w:hAnsi="Cambria" w:cs="Calibri Light"/>
          <w:color w:val="000000"/>
          <w:sz w:val="20"/>
          <w:lang w:val="es-ES"/>
        </w:rPr>
        <w:t xml:space="preserve">ondo </w:t>
      </w:r>
      <w:r w:rsidR="00CD7A71" w:rsidRPr="005B0CA2">
        <w:rPr>
          <w:rFonts w:ascii="Cambria" w:hAnsi="Cambria" w:cs="Calibri Light"/>
          <w:color w:val="000000"/>
          <w:sz w:val="20"/>
          <w:lang w:val="es-ES"/>
        </w:rPr>
        <w:t xml:space="preserve">Nº </w:t>
      </w:r>
      <w:r w:rsidRPr="005B0CA2">
        <w:rPr>
          <w:rFonts w:ascii="Cambria" w:hAnsi="Cambria" w:cs="Calibri Light"/>
          <w:color w:val="000000"/>
          <w:sz w:val="20"/>
          <w:lang w:val="es-ES"/>
        </w:rPr>
        <w:t>59/01.</w:t>
      </w:r>
    </w:p>
    <w:p w14:paraId="53DFCEC2" w14:textId="77777777" w:rsidR="001636D0" w:rsidRPr="005B0CA2" w:rsidRDefault="001636D0" w:rsidP="005D3131">
      <w:pPr>
        <w:pStyle w:val="ListParagraph"/>
        <w:spacing w:after="0" w:line="240" w:lineRule="auto"/>
        <w:ind w:left="1080"/>
        <w:jc w:val="both"/>
        <w:rPr>
          <w:rFonts w:ascii="Cambria" w:hAnsi="Cambria" w:cs="Calibri Light"/>
          <w:b/>
          <w:color w:val="000000"/>
          <w:sz w:val="20"/>
          <w:lang w:val="es-ES"/>
        </w:rPr>
      </w:pPr>
    </w:p>
    <w:p w14:paraId="4C0BCB9B" w14:textId="77777777" w:rsidR="001636D0" w:rsidRPr="005B0CA2" w:rsidRDefault="00AB07C6" w:rsidP="00F30C2F">
      <w:pPr>
        <w:pStyle w:val="ListParagraph"/>
        <w:numPr>
          <w:ilvl w:val="0"/>
          <w:numId w:val="1"/>
        </w:numPr>
        <w:spacing w:after="0" w:line="240" w:lineRule="auto"/>
        <w:ind w:left="1440"/>
        <w:jc w:val="both"/>
        <w:rPr>
          <w:rFonts w:ascii="Cambria" w:hAnsi="Cambria" w:cs="Calibri Light"/>
          <w:b/>
          <w:color w:val="000000"/>
          <w:sz w:val="20"/>
          <w:lang w:val="es-ES"/>
        </w:rPr>
      </w:pPr>
      <w:r w:rsidRPr="005B0CA2">
        <w:rPr>
          <w:rFonts w:ascii="Cambria" w:hAnsi="Cambria" w:cs="Calibri Light"/>
          <w:b/>
          <w:color w:val="000000"/>
          <w:sz w:val="20"/>
          <w:lang w:val="es-ES"/>
        </w:rPr>
        <w:t>Resultados</w:t>
      </w:r>
      <w:r w:rsidR="001636D0" w:rsidRPr="005B0CA2">
        <w:rPr>
          <w:rFonts w:ascii="Cambria" w:hAnsi="Cambria" w:cs="Calibri Light"/>
          <w:b/>
          <w:color w:val="000000"/>
          <w:sz w:val="20"/>
          <w:lang w:val="es-ES"/>
        </w:rPr>
        <w:t xml:space="preserve"> individual</w:t>
      </w:r>
      <w:r w:rsidRPr="005B0CA2">
        <w:rPr>
          <w:rFonts w:ascii="Cambria" w:hAnsi="Cambria" w:cs="Calibri Light"/>
          <w:b/>
          <w:color w:val="000000"/>
          <w:sz w:val="20"/>
          <w:lang w:val="es-ES"/>
        </w:rPr>
        <w:t>es</w:t>
      </w:r>
      <w:r w:rsidR="001636D0" w:rsidRPr="005B0CA2">
        <w:rPr>
          <w:rFonts w:ascii="Cambria" w:hAnsi="Cambria" w:cs="Calibri Light"/>
          <w:b/>
          <w:color w:val="000000"/>
          <w:sz w:val="20"/>
          <w:lang w:val="es-ES"/>
        </w:rPr>
        <w:t xml:space="preserve"> y estructural</w:t>
      </w:r>
      <w:r w:rsidRPr="005B0CA2">
        <w:rPr>
          <w:rFonts w:ascii="Cambria" w:hAnsi="Cambria" w:cs="Calibri Light"/>
          <w:b/>
          <w:color w:val="000000"/>
          <w:sz w:val="20"/>
          <w:lang w:val="es-ES"/>
        </w:rPr>
        <w:t>es</w:t>
      </w:r>
      <w:r w:rsidR="001636D0" w:rsidRPr="005B0CA2">
        <w:rPr>
          <w:rFonts w:ascii="Cambria" w:hAnsi="Cambria" w:cs="Calibri Light"/>
          <w:b/>
          <w:color w:val="000000"/>
          <w:sz w:val="20"/>
          <w:lang w:val="es-ES"/>
        </w:rPr>
        <w:t xml:space="preserve"> del caso </w:t>
      </w:r>
    </w:p>
    <w:p w14:paraId="7B8EDF0F" w14:textId="77777777" w:rsidR="001636D0" w:rsidRPr="005B0CA2" w:rsidRDefault="001636D0" w:rsidP="005D3131">
      <w:pPr>
        <w:spacing w:after="0" w:line="240" w:lineRule="auto"/>
        <w:jc w:val="both"/>
        <w:rPr>
          <w:rFonts w:ascii="Cambria" w:hAnsi="Cambria" w:cs="Calibri Light"/>
          <w:b/>
          <w:color w:val="000000"/>
          <w:sz w:val="20"/>
          <w:lang w:val="es-ES"/>
        </w:rPr>
      </w:pPr>
    </w:p>
    <w:p w14:paraId="331035EA" w14:textId="77777777" w:rsidR="00AB07C6" w:rsidRPr="005B0CA2" w:rsidRDefault="00AB07C6" w:rsidP="00AB07C6">
      <w:pPr>
        <w:numPr>
          <w:ilvl w:val="0"/>
          <w:numId w:val="8"/>
        </w:numPr>
        <w:spacing w:after="0" w:line="240" w:lineRule="auto"/>
        <w:ind w:left="0" w:firstLine="720"/>
        <w:jc w:val="both"/>
        <w:rPr>
          <w:rFonts w:ascii="Cambria" w:hAnsi="Cambria" w:cs="Calibri"/>
          <w:color w:val="000000"/>
          <w:sz w:val="20"/>
          <w:szCs w:val="20"/>
          <w:lang w:val="es-ES"/>
        </w:rPr>
      </w:pPr>
      <w:r w:rsidRPr="005B0CA2">
        <w:rPr>
          <w:rFonts w:ascii="Cambria" w:hAnsi="Cambria" w:cs="Calibri Light"/>
          <w:color w:val="000000"/>
          <w:sz w:val="20"/>
          <w:szCs w:val="20"/>
          <w:lang w:val="es-ES"/>
        </w:rPr>
        <w:t>En esta sección se destaca</w:t>
      </w:r>
      <w:r w:rsidR="00A8776D" w:rsidRPr="005B0CA2">
        <w:rPr>
          <w:rFonts w:ascii="Cambria" w:hAnsi="Cambria" w:cs="Calibri Light"/>
          <w:color w:val="000000"/>
          <w:sz w:val="20"/>
          <w:szCs w:val="20"/>
          <w:lang w:val="es-ES"/>
        </w:rPr>
        <w:t>n</w:t>
      </w:r>
      <w:r w:rsidRPr="005B0CA2">
        <w:rPr>
          <w:rFonts w:ascii="Cambria" w:hAnsi="Cambria" w:cs="Calibri Light"/>
          <w:color w:val="000000"/>
          <w:sz w:val="20"/>
          <w:szCs w:val="20"/>
          <w:lang w:val="es-ES"/>
        </w:rPr>
        <w:t xml:space="preserve"> los resultados individuales y estructurales del caso informados por las partes.</w:t>
      </w:r>
    </w:p>
    <w:p w14:paraId="0FF12867" w14:textId="77777777" w:rsidR="00AB07C6" w:rsidRPr="005B0CA2" w:rsidRDefault="00AB07C6" w:rsidP="005D3131">
      <w:pPr>
        <w:spacing w:after="0" w:line="240" w:lineRule="auto"/>
        <w:jc w:val="both"/>
        <w:rPr>
          <w:rFonts w:ascii="Cambria" w:hAnsi="Cambria" w:cs="Calibri Light"/>
          <w:b/>
          <w:color w:val="000000"/>
          <w:sz w:val="20"/>
          <w:lang w:val="es-ES"/>
        </w:rPr>
      </w:pPr>
    </w:p>
    <w:p w14:paraId="31A7BB74" w14:textId="77777777" w:rsidR="001636D0" w:rsidRPr="005B0CA2" w:rsidRDefault="00AB07C6" w:rsidP="00AB07C6">
      <w:pPr>
        <w:pStyle w:val="ListParagraph"/>
        <w:numPr>
          <w:ilvl w:val="0"/>
          <w:numId w:val="4"/>
        </w:numPr>
        <w:spacing w:after="0" w:line="240" w:lineRule="auto"/>
        <w:ind w:left="1440" w:hanging="720"/>
        <w:jc w:val="both"/>
        <w:rPr>
          <w:rFonts w:ascii="Cambria" w:hAnsi="Cambria" w:cs="Calibri Light"/>
          <w:b/>
          <w:color w:val="000000"/>
          <w:sz w:val="20"/>
          <w:lang w:val="es-ES"/>
        </w:rPr>
      </w:pPr>
      <w:r w:rsidRPr="005B0CA2">
        <w:rPr>
          <w:rFonts w:ascii="Cambria" w:hAnsi="Cambria" w:cs="Calibri Light"/>
          <w:b/>
          <w:color w:val="000000"/>
          <w:sz w:val="20"/>
          <w:lang w:val="es-ES"/>
        </w:rPr>
        <w:t>Resultados</w:t>
      </w:r>
      <w:r w:rsidR="001636D0" w:rsidRPr="005B0CA2">
        <w:rPr>
          <w:rFonts w:ascii="Cambria" w:hAnsi="Cambria" w:cs="Calibri Light"/>
          <w:b/>
          <w:color w:val="000000"/>
          <w:sz w:val="20"/>
          <w:lang w:val="es-ES"/>
        </w:rPr>
        <w:t xml:space="preserve"> individual</w:t>
      </w:r>
      <w:r w:rsidRPr="005B0CA2">
        <w:rPr>
          <w:rFonts w:ascii="Cambria" w:hAnsi="Cambria" w:cs="Calibri Light"/>
          <w:b/>
          <w:color w:val="000000"/>
          <w:sz w:val="20"/>
          <w:lang w:val="es-ES"/>
        </w:rPr>
        <w:t>es</w:t>
      </w:r>
      <w:r w:rsidR="001636D0" w:rsidRPr="005B0CA2">
        <w:rPr>
          <w:rFonts w:ascii="Cambria" w:hAnsi="Cambria" w:cs="Calibri Light"/>
          <w:b/>
          <w:color w:val="000000"/>
          <w:sz w:val="20"/>
          <w:lang w:val="es-ES"/>
        </w:rPr>
        <w:t xml:space="preserve"> del caso</w:t>
      </w:r>
    </w:p>
    <w:p w14:paraId="0ACF2849" w14:textId="77777777" w:rsidR="001636D0" w:rsidRPr="005B0CA2" w:rsidRDefault="001636D0" w:rsidP="005D3131">
      <w:pPr>
        <w:spacing w:after="0" w:line="240" w:lineRule="auto"/>
        <w:jc w:val="both"/>
        <w:rPr>
          <w:rFonts w:ascii="Cambria" w:hAnsi="Cambria" w:cs="Calibri Light"/>
          <w:b/>
          <w:color w:val="000000"/>
          <w:sz w:val="20"/>
          <w:lang w:val="es-ES"/>
        </w:rPr>
      </w:pPr>
    </w:p>
    <w:p w14:paraId="48493583" w14:textId="77777777" w:rsidR="001636D0" w:rsidRPr="005B0CA2" w:rsidRDefault="001636D0" w:rsidP="005D3131">
      <w:pPr>
        <w:spacing w:after="0" w:line="240" w:lineRule="auto"/>
        <w:jc w:val="both"/>
        <w:rPr>
          <w:rFonts w:ascii="Cambria" w:hAnsi="Cambria" w:cs="Calibri Light"/>
          <w:i/>
          <w:color w:val="000000"/>
          <w:sz w:val="20"/>
          <w:lang w:val="es-ES"/>
        </w:rPr>
      </w:pPr>
      <w:r w:rsidRPr="005B0CA2">
        <w:rPr>
          <w:rFonts w:ascii="Cambria" w:hAnsi="Cambria" w:cs="Calibri Light"/>
          <w:i/>
          <w:color w:val="000000"/>
          <w:sz w:val="20"/>
          <w:lang w:val="es-ES"/>
        </w:rPr>
        <w:t>Medidas de compensación pecuniaria</w:t>
      </w:r>
    </w:p>
    <w:p w14:paraId="3B96B6E3" w14:textId="77777777" w:rsidR="001636D0" w:rsidRPr="005B0CA2" w:rsidRDefault="001636D0" w:rsidP="005D3131">
      <w:pPr>
        <w:numPr>
          <w:ilvl w:val="0"/>
          <w:numId w:val="10"/>
        </w:numPr>
        <w:spacing w:after="0" w:line="240" w:lineRule="auto"/>
        <w:jc w:val="both"/>
        <w:rPr>
          <w:rFonts w:ascii="Cambria" w:hAnsi="Cambria" w:cs="Calibri Light"/>
          <w:color w:val="000000"/>
          <w:sz w:val="20"/>
          <w:lang w:val="es-ES"/>
        </w:rPr>
      </w:pPr>
      <w:r w:rsidRPr="005B0CA2">
        <w:rPr>
          <w:rFonts w:ascii="Cambria" w:hAnsi="Cambria" w:cs="Calibri Light"/>
          <w:color w:val="000000"/>
          <w:sz w:val="20"/>
          <w:lang w:val="es-ES"/>
        </w:rPr>
        <w:t xml:space="preserve">En 2015 la CIDH recibió información sobre la indemnización a favor de los familiares de </w:t>
      </w:r>
      <w:r w:rsidRPr="005B0CA2">
        <w:rPr>
          <w:rFonts w:ascii="Cambria" w:hAnsi="Cambria" w:cs="Calibri Light"/>
          <w:bCs/>
          <w:color w:val="000000"/>
          <w:sz w:val="20"/>
          <w:lang w:val="es-ES"/>
        </w:rPr>
        <w:t xml:space="preserve">Pedro Tiu Cac, </w:t>
      </w:r>
      <w:r w:rsidRPr="005B0CA2">
        <w:rPr>
          <w:rFonts w:ascii="Cambria" w:hAnsi="Cambria"/>
          <w:color w:val="000000"/>
          <w:sz w:val="20"/>
          <w:lang w:val="es-ES" w:eastAsia="pt-BR"/>
        </w:rPr>
        <w:t>José María Ixcaya Pixtay, José Vicente García, Mateo Sarat Ixcoy, Celestino Julaj Vicente, Miguel Tzoy Calel, Pedro Raguez, Pablo Ajiataz, Manuel Ajiataz Chivalan, Catrino Chanchavac Larios, Miguel Tiu Imul. El Estado no especificó los montos de la reparación.</w:t>
      </w:r>
    </w:p>
    <w:p w14:paraId="1FF2E335" w14:textId="77777777" w:rsidR="001636D0" w:rsidRPr="005B0CA2" w:rsidRDefault="001636D0" w:rsidP="005D3131">
      <w:pPr>
        <w:spacing w:after="0" w:line="240" w:lineRule="auto"/>
        <w:jc w:val="both"/>
        <w:rPr>
          <w:rFonts w:ascii="Cambria" w:hAnsi="Cambria" w:cs="Calibri Light"/>
          <w:b/>
          <w:i/>
          <w:color w:val="000000"/>
          <w:sz w:val="20"/>
          <w:lang w:val="es-ES"/>
        </w:rPr>
      </w:pPr>
    </w:p>
    <w:p w14:paraId="44031955" w14:textId="77777777" w:rsidR="001636D0" w:rsidRPr="005B0CA2" w:rsidRDefault="001636D0" w:rsidP="005D3131">
      <w:pPr>
        <w:spacing w:after="0" w:line="240" w:lineRule="auto"/>
        <w:jc w:val="both"/>
        <w:rPr>
          <w:rFonts w:ascii="Cambria" w:hAnsi="Cambria" w:cs="Calibri Light"/>
          <w:i/>
          <w:color w:val="000000"/>
          <w:sz w:val="20"/>
          <w:lang w:val="es-ES"/>
        </w:rPr>
      </w:pPr>
      <w:r w:rsidRPr="005B0CA2">
        <w:rPr>
          <w:rFonts w:ascii="Cambria" w:hAnsi="Cambria" w:cs="Calibri Light"/>
          <w:i/>
          <w:color w:val="000000"/>
          <w:sz w:val="20"/>
          <w:lang w:val="es-ES"/>
        </w:rPr>
        <w:t>Medidas de satisfacción</w:t>
      </w:r>
    </w:p>
    <w:p w14:paraId="45EFAABE" w14:textId="77777777" w:rsidR="001636D0" w:rsidRPr="005B0CA2" w:rsidRDefault="001636D0" w:rsidP="005D3131">
      <w:pPr>
        <w:pStyle w:val="NoSpacing"/>
        <w:numPr>
          <w:ilvl w:val="0"/>
          <w:numId w:val="9"/>
        </w:numPr>
        <w:jc w:val="both"/>
        <w:rPr>
          <w:rFonts w:ascii="Cambria" w:eastAsia="Times New Roman" w:hAnsi="Cambria"/>
          <w:color w:val="000000"/>
          <w:sz w:val="20"/>
          <w:lang w:val="es-ES" w:eastAsia="pt-BR"/>
        </w:rPr>
      </w:pPr>
      <w:r w:rsidRPr="005B0CA2">
        <w:rPr>
          <w:rFonts w:ascii="Cambria" w:eastAsia="Times New Roman" w:hAnsi="Cambria"/>
          <w:color w:val="000000"/>
          <w:sz w:val="20"/>
          <w:lang w:val="es-ES" w:eastAsia="pt-BR"/>
        </w:rPr>
        <w:t xml:space="preserve">Acto de disculpas a los familiares de José María Ixcaya Pictay, a solicitud de los peticionarios se realizó en un acto privado el 14 de julio de 2005 al que asistió, en representación del Estado, el </w:t>
      </w:r>
      <w:proofErr w:type="gramStart"/>
      <w:r w:rsidRPr="005B0CA2">
        <w:rPr>
          <w:rFonts w:ascii="Cambria" w:eastAsia="Times New Roman" w:hAnsi="Cambria"/>
          <w:color w:val="000000"/>
          <w:sz w:val="20"/>
          <w:lang w:val="es-ES" w:eastAsia="pt-BR"/>
        </w:rPr>
        <w:t>Presidente</w:t>
      </w:r>
      <w:proofErr w:type="gramEnd"/>
      <w:r w:rsidRPr="005B0CA2">
        <w:rPr>
          <w:rFonts w:ascii="Cambria" w:eastAsia="Times New Roman" w:hAnsi="Cambria"/>
          <w:color w:val="000000"/>
          <w:sz w:val="20"/>
          <w:lang w:val="es-ES" w:eastAsia="pt-BR"/>
        </w:rPr>
        <w:t xml:space="preserve"> de COPREDEH, quién además entregó a los familiares de la víctima una carta suscrita por el Vicepresidente de la República que contenía un mensaje de solidaridad para la familia. En la misma nota, el Estado informó que la placa conmemorativa destinada a honrar la memoria de la víctima, a solicitud de sus familiares, fue colocada y develada el 14 de julio de 2005 en Sololá. </w:t>
      </w:r>
    </w:p>
    <w:p w14:paraId="16762533" w14:textId="77777777" w:rsidR="001636D0" w:rsidRPr="005B0CA2" w:rsidRDefault="001636D0" w:rsidP="005D3131">
      <w:pPr>
        <w:pStyle w:val="NoSpacing"/>
        <w:numPr>
          <w:ilvl w:val="0"/>
          <w:numId w:val="9"/>
        </w:numPr>
        <w:jc w:val="both"/>
        <w:rPr>
          <w:rFonts w:ascii="Cambria" w:eastAsia="Times New Roman" w:hAnsi="Cambria"/>
          <w:color w:val="000000"/>
          <w:sz w:val="20"/>
          <w:lang w:val="es-ES" w:eastAsia="pt-BR"/>
        </w:rPr>
      </w:pPr>
      <w:r w:rsidRPr="005B0CA2">
        <w:rPr>
          <w:rFonts w:ascii="Cambria" w:eastAsia="Times New Roman" w:hAnsi="Cambria"/>
          <w:color w:val="000000"/>
          <w:sz w:val="20"/>
          <w:lang w:val="es-ES" w:eastAsia="pt-BR"/>
        </w:rPr>
        <w:t>El 18 de febrero de 2005, el Estado de Guatemala reconoció su responsabilidad institucional, por la violación de los derechos de María Ixcaya Pictay, José Vicente García, Mateo Sarat Ixcoy, Celestino Julaj Vicente, Miguel Calel, Pedro Raguez, Pablo Ajiataz, Manuel Ajiataz Chivalan, Catrino Chanchavac Larios, Miguel Tau Imul, Camilo Ajquí Gimon y Juan Tzunux Us.</w:t>
      </w:r>
    </w:p>
    <w:p w14:paraId="4D7DD7C3" w14:textId="77777777" w:rsidR="001636D0" w:rsidRPr="005B0CA2" w:rsidRDefault="001636D0" w:rsidP="005D3131">
      <w:pPr>
        <w:spacing w:after="0" w:line="240" w:lineRule="auto"/>
        <w:jc w:val="both"/>
        <w:rPr>
          <w:rFonts w:ascii="Cambria" w:hAnsi="Cambria" w:cs="Calibri Light"/>
          <w:i/>
          <w:color w:val="000000"/>
          <w:sz w:val="20"/>
          <w:lang w:val="es-ES"/>
        </w:rPr>
      </w:pPr>
    </w:p>
    <w:p w14:paraId="6FCB438E" w14:textId="77777777" w:rsidR="001636D0" w:rsidRPr="005B0CA2" w:rsidRDefault="00850DC2" w:rsidP="00DC176B">
      <w:pPr>
        <w:pStyle w:val="ListParagraph"/>
        <w:numPr>
          <w:ilvl w:val="0"/>
          <w:numId w:val="4"/>
        </w:numPr>
        <w:spacing w:after="0" w:line="240" w:lineRule="auto"/>
        <w:ind w:left="1440" w:hanging="720"/>
        <w:jc w:val="both"/>
        <w:rPr>
          <w:rFonts w:ascii="Cambria" w:hAnsi="Cambria" w:cs="Calibri Light"/>
          <w:b/>
          <w:color w:val="000000"/>
          <w:sz w:val="20"/>
          <w:lang w:val="es-ES"/>
        </w:rPr>
      </w:pPr>
      <w:r w:rsidRPr="005B0CA2">
        <w:rPr>
          <w:rFonts w:ascii="Cambria" w:hAnsi="Cambria" w:cs="Calibri Light"/>
          <w:b/>
          <w:color w:val="000000"/>
          <w:sz w:val="20"/>
          <w:lang w:val="es-ES"/>
        </w:rPr>
        <w:t>Resultado</w:t>
      </w:r>
      <w:r w:rsidR="00DC176B" w:rsidRPr="005B0CA2">
        <w:rPr>
          <w:rFonts w:ascii="Cambria" w:hAnsi="Cambria" w:cs="Calibri Light"/>
          <w:b/>
          <w:color w:val="000000"/>
          <w:sz w:val="20"/>
          <w:lang w:val="es-ES"/>
        </w:rPr>
        <w:t>s</w:t>
      </w:r>
      <w:r w:rsidRPr="005B0CA2">
        <w:rPr>
          <w:rFonts w:ascii="Cambria" w:hAnsi="Cambria" w:cs="Calibri Light"/>
          <w:b/>
          <w:color w:val="000000"/>
          <w:sz w:val="20"/>
          <w:lang w:val="es-ES"/>
        </w:rPr>
        <w:t xml:space="preserve"> </w:t>
      </w:r>
      <w:r w:rsidR="001636D0" w:rsidRPr="005B0CA2">
        <w:rPr>
          <w:rFonts w:ascii="Cambria" w:hAnsi="Cambria" w:cs="Calibri Light"/>
          <w:b/>
          <w:color w:val="000000"/>
          <w:sz w:val="20"/>
          <w:lang w:val="es-ES"/>
        </w:rPr>
        <w:t>estructural</w:t>
      </w:r>
      <w:r w:rsidR="00DC176B" w:rsidRPr="005B0CA2">
        <w:rPr>
          <w:rFonts w:ascii="Cambria" w:hAnsi="Cambria" w:cs="Calibri Light"/>
          <w:b/>
          <w:color w:val="000000"/>
          <w:sz w:val="20"/>
          <w:lang w:val="es-ES"/>
        </w:rPr>
        <w:t>es</w:t>
      </w:r>
      <w:r w:rsidR="001636D0" w:rsidRPr="005B0CA2">
        <w:rPr>
          <w:rFonts w:ascii="Cambria" w:hAnsi="Cambria" w:cs="Calibri Light"/>
          <w:b/>
          <w:color w:val="000000"/>
          <w:sz w:val="20"/>
          <w:lang w:val="es-ES"/>
        </w:rPr>
        <w:t xml:space="preserve"> del caso</w:t>
      </w:r>
    </w:p>
    <w:p w14:paraId="63EB981E" w14:textId="77777777" w:rsidR="001636D0" w:rsidRPr="005B0CA2" w:rsidRDefault="001636D0" w:rsidP="005D3131">
      <w:pPr>
        <w:spacing w:after="0" w:line="240" w:lineRule="auto"/>
        <w:rPr>
          <w:rFonts w:ascii="Cambria" w:hAnsi="Cambria"/>
          <w:color w:val="000000"/>
          <w:sz w:val="20"/>
          <w:lang w:val="es-ES"/>
        </w:rPr>
      </w:pPr>
    </w:p>
    <w:p w14:paraId="6037A8B6" w14:textId="77777777" w:rsidR="00375675" w:rsidRPr="005B0CA2" w:rsidRDefault="00AB07C6" w:rsidP="00375675">
      <w:pPr>
        <w:spacing w:after="0" w:line="240" w:lineRule="auto"/>
        <w:jc w:val="both"/>
        <w:rPr>
          <w:rFonts w:ascii="Cambria" w:hAnsi="Cambria" w:cs="Calibri Light"/>
          <w:i/>
          <w:color w:val="000000"/>
          <w:sz w:val="20"/>
          <w:szCs w:val="20"/>
          <w:lang w:val="es-ES"/>
        </w:rPr>
      </w:pPr>
      <w:r w:rsidRPr="005B0CA2">
        <w:rPr>
          <w:rFonts w:ascii="Cambria" w:hAnsi="Cambria" w:cs="Calibri Light"/>
          <w:i/>
          <w:color w:val="000000"/>
          <w:sz w:val="20"/>
          <w:szCs w:val="20"/>
          <w:lang w:val="es-ES"/>
        </w:rPr>
        <w:t>Legislación/Normativa</w:t>
      </w:r>
    </w:p>
    <w:p w14:paraId="52504AF2" w14:textId="77777777" w:rsidR="00375675" w:rsidRPr="005B0CA2" w:rsidRDefault="00375675" w:rsidP="00375675">
      <w:pPr>
        <w:numPr>
          <w:ilvl w:val="0"/>
          <w:numId w:val="14"/>
        </w:numPr>
        <w:spacing w:after="0" w:line="240" w:lineRule="auto"/>
        <w:jc w:val="both"/>
        <w:rPr>
          <w:rFonts w:ascii="Cambria" w:hAnsi="Cambria" w:cs="Calibri Light"/>
          <w:color w:val="000000"/>
          <w:sz w:val="20"/>
          <w:szCs w:val="20"/>
          <w:lang w:val="es-ES"/>
        </w:rPr>
      </w:pPr>
      <w:r w:rsidRPr="005B0CA2">
        <w:rPr>
          <w:rFonts w:ascii="Cambria" w:hAnsi="Cambria" w:cs="Calibri Light"/>
          <w:color w:val="000000"/>
          <w:sz w:val="20"/>
          <w:szCs w:val="20"/>
          <w:lang w:val="es-ES"/>
        </w:rPr>
        <w:t xml:space="preserve">El Decreto </w:t>
      </w:r>
      <w:r w:rsidR="007F699C" w:rsidRPr="005B0CA2">
        <w:rPr>
          <w:rFonts w:ascii="Cambria" w:hAnsi="Cambria" w:cs="Calibri Light"/>
          <w:color w:val="000000"/>
          <w:sz w:val="20"/>
          <w:szCs w:val="20"/>
          <w:lang w:val="es-ES"/>
        </w:rPr>
        <w:t xml:space="preserve">Nº </w:t>
      </w:r>
      <w:r w:rsidRPr="005B0CA2">
        <w:rPr>
          <w:rFonts w:ascii="Cambria" w:hAnsi="Cambria" w:cs="Calibri Light"/>
          <w:color w:val="000000"/>
          <w:sz w:val="20"/>
          <w:szCs w:val="20"/>
          <w:lang w:val="es-ES"/>
        </w:rPr>
        <w:t>143-96 del Congreso de la República de Guatemala de fecha 28 de noviembre de 1996 que disuelve las patrullas de autodefensa civil.</w:t>
      </w:r>
    </w:p>
    <w:p w14:paraId="6D581747" w14:textId="77777777" w:rsidR="001636D0" w:rsidRPr="005B0CA2" w:rsidRDefault="001636D0" w:rsidP="005D3131">
      <w:pPr>
        <w:spacing w:after="0" w:line="240" w:lineRule="auto"/>
        <w:rPr>
          <w:rFonts w:ascii="Cambria" w:hAnsi="Cambria"/>
          <w:color w:val="000000"/>
          <w:lang w:val="es-ES"/>
        </w:rPr>
      </w:pPr>
    </w:p>
    <w:p w14:paraId="6781F82D" w14:textId="77777777" w:rsidR="003A4802" w:rsidRPr="005B0CA2" w:rsidRDefault="003A4802" w:rsidP="005D3131">
      <w:pPr>
        <w:spacing w:after="0" w:line="240" w:lineRule="auto"/>
        <w:rPr>
          <w:color w:val="000000"/>
          <w:lang w:val="es-ES"/>
        </w:rPr>
      </w:pPr>
    </w:p>
    <w:sectPr w:rsidR="003A4802" w:rsidRPr="005B0CA2" w:rsidSect="007E4ED5">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280D" w14:textId="77777777" w:rsidR="00675352" w:rsidRDefault="00675352" w:rsidP="00A343FF">
      <w:pPr>
        <w:spacing w:after="0" w:line="240" w:lineRule="auto"/>
      </w:pPr>
      <w:r>
        <w:separator/>
      </w:r>
    </w:p>
  </w:endnote>
  <w:endnote w:type="continuationSeparator" w:id="0">
    <w:p w14:paraId="5417B71E" w14:textId="77777777" w:rsidR="00675352" w:rsidRDefault="00675352"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A72A" w14:textId="77777777" w:rsidR="00A72869" w:rsidRPr="00EB77FF" w:rsidRDefault="00A72869">
    <w:pPr>
      <w:pStyle w:val="Footer"/>
      <w:jc w:val="center"/>
      <w:rPr>
        <w:sz w:val="16"/>
      </w:rPr>
    </w:pPr>
    <w:r w:rsidRPr="00EB77FF">
      <w:rPr>
        <w:sz w:val="16"/>
      </w:rPr>
      <w:fldChar w:fldCharType="begin"/>
    </w:r>
    <w:r w:rsidRPr="00EB77FF">
      <w:rPr>
        <w:sz w:val="16"/>
      </w:rPr>
      <w:instrText xml:space="preserve"> PAGE   \* MERGEFORMAT </w:instrText>
    </w:r>
    <w:r w:rsidRPr="00EB77FF">
      <w:rPr>
        <w:sz w:val="16"/>
      </w:rPr>
      <w:fldChar w:fldCharType="separate"/>
    </w:r>
    <w:r w:rsidR="00AC05D4">
      <w:rPr>
        <w:noProof/>
        <w:sz w:val="16"/>
      </w:rPr>
      <w:t>2</w:t>
    </w:r>
    <w:r w:rsidRPr="00EB77FF">
      <w:rPr>
        <w:noProof/>
        <w:sz w:val="16"/>
      </w:rPr>
      <w:fldChar w:fldCharType="end"/>
    </w:r>
  </w:p>
  <w:p w14:paraId="6EDFCB73"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1539" w14:textId="77777777" w:rsidR="00D13990" w:rsidRPr="003A4802" w:rsidRDefault="00D13990" w:rsidP="003A4802">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0438" w14:textId="77777777" w:rsidR="00675352" w:rsidRDefault="00675352" w:rsidP="00A343FF">
      <w:pPr>
        <w:spacing w:after="0" w:line="240" w:lineRule="auto"/>
      </w:pPr>
      <w:r>
        <w:separator/>
      </w:r>
    </w:p>
  </w:footnote>
  <w:footnote w:type="continuationSeparator" w:id="0">
    <w:p w14:paraId="208BA0AC" w14:textId="77777777" w:rsidR="00675352" w:rsidRDefault="00675352" w:rsidP="00A343FF">
      <w:pPr>
        <w:spacing w:after="0" w:line="240" w:lineRule="auto"/>
      </w:pPr>
      <w:r>
        <w:continuationSeparator/>
      </w:r>
    </w:p>
  </w:footnote>
  <w:footnote w:id="1">
    <w:p w14:paraId="0FCBF21F" w14:textId="77777777" w:rsidR="00B60CAA" w:rsidRPr="00667BBF" w:rsidRDefault="00B60CAA" w:rsidP="00AE54C6">
      <w:pPr>
        <w:pStyle w:val="FootnoteText"/>
        <w:spacing w:after="120"/>
        <w:ind w:firstLine="720"/>
        <w:jc w:val="both"/>
        <w:rPr>
          <w:rFonts w:ascii="Cambria" w:hAnsi="Cambria" w:cs="Cambria"/>
          <w:color w:val="000000"/>
          <w:sz w:val="16"/>
          <w:szCs w:val="16"/>
          <w:lang w:val="es-ES"/>
        </w:rPr>
      </w:pPr>
      <w:r w:rsidRPr="00667BBF">
        <w:rPr>
          <w:rStyle w:val="FootnoteReference"/>
          <w:rFonts w:ascii="Cambria" w:hAnsi="Cambria" w:cs="Cambria"/>
          <w:color w:val="000000"/>
          <w:sz w:val="16"/>
          <w:szCs w:val="16"/>
        </w:rPr>
        <w:footnoteRef/>
      </w:r>
      <w:r w:rsidRPr="00667BBF">
        <w:rPr>
          <w:rFonts w:ascii="Cambria" w:hAnsi="Cambria" w:cs="Cambria"/>
          <w:color w:val="000000"/>
          <w:sz w:val="16"/>
          <w:szCs w:val="16"/>
          <w:lang w:val="pt-BR"/>
        </w:rPr>
        <w:t xml:space="preserve"> Corte IDH. </w:t>
      </w:r>
      <w:hyperlink r:id="rId1" w:history="1">
        <w:r w:rsidRPr="00667BBF">
          <w:rPr>
            <w:rStyle w:val="Hyperlink"/>
            <w:rFonts w:ascii="Cambria" w:hAnsi="Cambria" w:cs="Cambria"/>
            <w:color w:val="000000"/>
            <w:sz w:val="16"/>
            <w:szCs w:val="16"/>
            <w:lang w:val="pt-BR"/>
          </w:rPr>
          <w:t xml:space="preserve">Caso Loayza Tamayo Vs. </w:t>
        </w:r>
        <w:r w:rsidRPr="00667BBF">
          <w:rPr>
            <w:rStyle w:val="Hyperlink"/>
            <w:rFonts w:ascii="Cambria" w:hAnsi="Cambria" w:cs="Cambria"/>
            <w:color w:val="000000"/>
            <w:sz w:val="16"/>
            <w:szCs w:val="16"/>
            <w:lang w:val="es-US"/>
          </w:rPr>
          <w:t>Perú</w:t>
        </w:r>
      </w:hyperlink>
      <w:r w:rsidRPr="00667BBF">
        <w:rPr>
          <w:rFonts w:ascii="Cambria" w:hAnsi="Cambria" w:cs="Cambria"/>
          <w:color w:val="000000"/>
          <w:sz w:val="16"/>
          <w:szCs w:val="16"/>
          <w:lang w:val="es-US"/>
        </w:rPr>
        <w:t>. Sentencia de 27 de noviembre de 1998. Serie C No. 42, párrs. 79-81.</w:t>
      </w:r>
    </w:p>
  </w:footnote>
  <w:footnote w:id="2">
    <w:p w14:paraId="1E14485C" w14:textId="77777777" w:rsidR="001636D0" w:rsidRPr="00667BBF" w:rsidRDefault="001636D0" w:rsidP="00AE54C6">
      <w:pPr>
        <w:pStyle w:val="FootnoteText"/>
        <w:spacing w:after="120"/>
        <w:ind w:firstLine="720"/>
        <w:jc w:val="both"/>
        <w:rPr>
          <w:rFonts w:ascii="Cambria" w:hAnsi="Cambria"/>
          <w:color w:val="000000"/>
          <w:sz w:val="16"/>
          <w:szCs w:val="16"/>
          <w:lang w:val="es-ES"/>
        </w:rPr>
      </w:pPr>
      <w:r w:rsidRPr="00667BBF">
        <w:rPr>
          <w:rStyle w:val="FootnoteReference"/>
          <w:rFonts w:ascii="Cambria" w:hAnsi="Cambria"/>
          <w:color w:val="000000"/>
          <w:sz w:val="16"/>
          <w:szCs w:val="16"/>
        </w:rPr>
        <w:footnoteRef/>
      </w:r>
      <w:r w:rsidRPr="00667BBF">
        <w:rPr>
          <w:rFonts w:ascii="Cambria" w:hAnsi="Cambria"/>
          <w:color w:val="000000"/>
          <w:sz w:val="16"/>
          <w:szCs w:val="16"/>
          <w:lang w:val="es-US"/>
        </w:rPr>
        <w:t xml:space="preserve"> </w:t>
      </w:r>
      <w:r w:rsidRPr="00667BBF">
        <w:rPr>
          <w:rFonts w:ascii="Cambria" w:hAnsi="Cambria"/>
          <w:color w:val="000000"/>
          <w:sz w:val="16"/>
          <w:szCs w:val="16"/>
          <w:lang w:val="es-ES"/>
        </w:rPr>
        <w:t xml:space="preserve">CIDH, Informe Anual 2006, </w:t>
      </w:r>
      <w:hyperlink r:id="rId2" w:history="1">
        <w:r w:rsidRPr="00667BBF">
          <w:rPr>
            <w:rStyle w:val="Hyperlink"/>
            <w:rFonts w:ascii="Cambria" w:hAnsi="Cambria"/>
            <w:color w:val="000000"/>
            <w:sz w:val="16"/>
            <w:szCs w:val="16"/>
            <w:lang w:val="es-ES"/>
          </w:rPr>
          <w:t>Capítulo III, Sección D: Estado del Cumplimiento de las Recomendaciones de la CIDH</w:t>
        </w:r>
      </w:hyperlink>
      <w:r w:rsidRPr="00667BBF">
        <w:rPr>
          <w:rFonts w:ascii="Cambria" w:hAnsi="Cambria"/>
          <w:color w:val="000000"/>
          <w:sz w:val="16"/>
          <w:szCs w:val="16"/>
          <w:lang w:val="es-ES"/>
        </w:rPr>
        <w:t>, párrs. 279-291.</w:t>
      </w:r>
    </w:p>
  </w:footnote>
  <w:footnote w:id="3">
    <w:p w14:paraId="0B28B4A3" w14:textId="77777777" w:rsidR="00834EBC" w:rsidRPr="00667BBF" w:rsidRDefault="00834EBC" w:rsidP="00AE54C6">
      <w:pPr>
        <w:spacing w:after="120" w:line="240" w:lineRule="auto"/>
        <w:ind w:firstLine="720"/>
        <w:jc w:val="both"/>
        <w:rPr>
          <w:rFonts w:ascii="Cambria" w:hAnsi="Cambria"/>
          <w:color w:val="000000"/>
          <w:sz w:val="16"/>
          <w:szCs w:val="16"/>
          <w:lang w:val="es-ES"/>
        </w:rPr>
      </w:pPr>
      <w:r w:rsidRPr="00667BBF">
        <w:rPr>
          <w:rStyle w:val="FootnoteReference"/>
          <w:rFonts w:ascii="Cambria" w:hAnsi="Cambria"/>
          <w:color w:val="000000"/>
          <w:sz w:val="16"/>
          <w:szCs w:val="16"/>
        </w:rPr>
        <w:footnoteRef/>
      </w:r>
      <w:r w:rsidRPr="00667BBF">
        <w:rPr>
          <w:rFonts w:ascii="Cambria" w:hAnsi="Cambria"/>
          <w:color w:val="000000"/>
          <w:sz w:val="16"/>
          <w:szCs w:val="16"/>
          <w:lang w:val="es-US"/>
        </w:rPr>
        <w:t xml:space="preserve"> </w:t>
      </w:r>
      <w:r w:rsidRPr="00667BBF">
        <w:rPr>
          <w:rFonts w:ascii="Cambria" w:hAnsi="Cambria"/>
          <w:color w:val="000000"/>
          <w:sz w:val="16"/>
          <w:szCs w:val="16"/>
          <w:lang w:val="es-ES"/>
        </w:rPr>
        <w:t xml:space="preserve">CIDH, Informe Anual 2017, </w:t>
      </w:r>
      <w:hyperlink r:id="rId3" w:history="1">
        <w:r w:rsidRPr="00667BBF">
          <w:rPr>
            <w:rStyle w:val="Hyperlink"/>
            <w:rFonts w:ascii="Cambria" w:hAnsi="Cambria"/>
            <w:color w:val="000000"/>
            <w:sz w:val="16"/>
            <w:szCs w:val="16"/>
            <w:lang w:val="es-ES"/>
          </w:rPr>
          <w:t>Capítulo II, Sección F: Estado del cumplimiento de las recomendaciones de la CIDH</w:t>
        </w:r>
      </w:hyperlink>
      <w:r w:rsidRPr="00667BBF">
        <w:rPr>
          <w:rFonts w:ascii="Cambria" w:hAnsi="Cambria"/>
          <w:color w:val="000000"/>
          <w:sz w:val="16"/>
          <w:szCs w:val="16"/>
          <w:lang w:val="es-ES"/>
        </w:rPr>
        <w:t>, párr. 1406.</w:t>
      </w:r>
    </w:p>
  </w:footnote>
  <w:footnote w:id="4">
    <w:p w14:paraId="33A68212" w14:textId="77777777" w:rsidR="00EE27FA" w:rsidRPr="00667BBF" w:rsidRDefault="00EE27FA" w:rsidP="00AE54C6">
      <w:pPr>
        <w:pStyle w:val="FootnoteText"/>
        <w:spacing w:after="120"/>
        <w:ind w:firstLine="720"/>
        <w:jc w:val="both"/>
        <w:rPr>
          <w:rFonts w:ascii="Cambria" w:hAnsi="Cambria"/>
          <w:color w:val="000000"/>
          <w:sz w:val="16"/>
          <w:szCs w:val="16"/>
          <w:lang w:val="es-US"/>
        </w:rPr>
      </w:pPr>
      <w:r w:rsidRPr="00667BBF">
        <w:rPr>
          <w:rStyle w:val="FootnoteReference"/>
          <w:rFonts w:ascii="Cambria" w:hAnsi="Cambria"/>
          <w:color w:val="000000"/>
          <w:sz w:val="16"/>
          <w:szCs w:val="16"/>
        </w:rPr>
        <w:footnoteRef/>
      </w:r>
      <w:r w:rsidRPr="00667BBF">
        <w:rPr>
          <w:rFonts w:ascii="Cambria" w:hAnsi="Cambria"/>
          <w:color w:val="000000"/>
          <w:sz w:val="16"/>
          <w:szCs w:val="16"/>
          <w:lang w:val="pt-BR"/>
        </w:rPr>
        <w:t xml:space="preserve"> </w:t>
      </w:r>
      <w:r w:rsidRPr="00667BBF">
        <w:rPr>
          <w:rFonts w:ascii="Cambria" w:hAnsi="Cambria"/>
          <w:color w:val="000000"/>
          <w:sz w:val="16"/>
          <w:szCs w:val="16"/>
          <w:lang w:val="pt-BR"/>
        </w:rPr>
        <w:t xml:space="preserve">Corte </w:t>
      </w:r>
      <w:r w:rsidRPr="00667BBF">
        <w:rPr>
          <w:rFonts w:ascii="Cambria" w:hAnsi="Cambria"/>
          <w:color w:val="000000"/>
          <w:sz w:val="16"/>
          <w:szCs w:val="16"/>
          <w:lang w:val="pt-BR"/>
        </w:rPr>
        <w:t xml:space="preserve">IDH. </w:t>
      </w:r>
      <w:hyperlink r:id="rId4" w:history="1">
        <w:r w:rsidRPr="00667BBF">
          <w:rPr>
            <w:rStyle w:val="Hyperlink"/>
            <w:rFonts w:ascii="Cambria" w:hAnsi="Cambria"/>
            <w:color w:val="000000"/>
            <w:sz w:val="16"/>
            <w:szCs w:val="16"/>
            <w:lang w:val="pt-BR"/>
          </w:rPr>
          <w:t xml:space="preserve">Caso Molina Theissen Vs. </w:t>
        </w:r>
        <w:r w:rsidRPr="00667BBF">
          <w:rPr>
            <w:rStyle w:val="Hyperlink"/>
            <w:rFonts w:ascii="Cambria" w:hAnsi="Cambria"/>
            <w:color w:val="000000"/>
            <w:sz w:val="16"/>
            <w:szCs w:val="16"/>
            <w:lang w:val="es-US"/>
          </w:rPr>
          <w:t>Guatemala. Sentencia de 3 de julio de 2004</w:t>
        </w:r>
      </w:hyperlink>
      <w:r w:rsidRPr="00667BBF">
        <w:rPr>
          <w:rFonts w:ascii="Cambria" w:hAnsi="Cambria"/>
          <w:color w:val="000000"/>
          <w:sz w:val="16"/>
          <w:szCs w:val="16"/>
          <w:lang w:val="es-US"/>
        </w:rPr>
        <w:t xml:space="preserve">. </w:t>
      </w:r>
      <w:r w:rsidRPr="00667BBF">
        <w:rPr>
          <w:rFonts w:ascii="Cambria" w:hAnsi="Cambria"/>
          <w:color w:val="000000"/>
          <w:sz w:val="16"/>
          <w:szCs w:val="16"/>
          <w:lang w:val="pt-BR"/>
        </w:rPr>
        <w:t>Serie C No. 108, párr</w:t>
      </w:r>
      <w:r w:rsidR="00A8776D" w:rsidRPr="00667BBF">
        <w:rPr>
          <w:rFonts w:ascii="Cambria" w:hAnsi="Cambria"/>
          <w:color w:val="000000"/>
          <w:sz w:val="16"/>
          <w:szCs w:val="16"/>
          <w:lang w:val="pt-BR"/>
        </w:rPr>
        <w:t>.</w:t>
      </w:r>
      <w:r w:rsidRPr="00667BBF">
        <w:rPr>
          <w:rFonts w:ascii="Cambria" w:hAnsi="Cambria"/>
          <w:color w:val="000000"/>
          <w:sz w:val="16"/>
          <w:szCs w:val="16"/>
          <w:lang w:val="pt-BR"/>
        </w:rPr>
        <w:t xml:space="preserve"> 40.</w:t>
      </w:r>
    </w:p>
  </w:footnote>
  <w:footnote w:id="5">
    <w:p w14:paraId="15D8B080" w14:textId="77777777" w:rsidR="00992AB7" w:rsidRPr="00667BBF" w:rsidRDefault="00992AB7" w:rsidP="00992AB7">
      <w:pPr>
        <w:pStyle w:val="FootnoteText"/>
        <w:ind w:firstLine="720"/>
        <w:rPr>
          <w:color w:val="000000"/>
          <w:lang w:val="es-US"/>
        </w:rPr>
      </w:pPr>
      <w:r w:rsidRPr="00667BBF">
        <w:rPr>
          <w:rStyle w:val="FootnoteReference"/>
          <w:color w:val="000000"/>
        </w:rPr>
        <w:footnoteRef/>
      </w:r>
      <w:r w:rsidRPr="00667BBF">
        <w:rPr>
          <w:color w:val="000000"/>
          <w:lang w:val="es-US"/>
        </w:rPr>
        <w:t xml:space="preserve"> </w:t>
      </w:r>
      <w:r w:rsidRPr="00667BBF">
        <w:rPr>
          <w:rFonts w:ascii="Cambria" w:hAnsi="Cambria"/>
          <w:color w:val="000000"/>
          <w:sz w:val="16"/>
          <w:szCs w:val="16"/>
          <w:lang w:val="es-ES"/>
        </w:rPr>
        <w:t xml:space="preserve">CIDH, Informe Anual 2017, </w:t>
      </w:r>
      <w:hyperlink r:id="rId5" w:history="1">
        <w:r w:rsidRPr="00667BBF">
          <w:rPr>
            <w:rStyle w:val="Hyperlink"/>
            <w:rFonts w:ascii="Cambria" w:hAnsi="Cambria"/>
            <w:color w:val="000000"/>
            <w:sz w:val="16"/>
            <w:szCs w:val="16"/>
            <w:lang w:val="es-ES"/>
          </w:rPr>
          <w:t>Capítulo II, Sección F: Estado del cumplimiento de las recomendaciones de la CIDH</w:t>
        </w:r>
      </w:hyperlink>
      <w:r w:rsidRPr="00667BBF">
        <w:rPr>
          <w:rFonts w:ascii="Cambria" w:hAnsi="Cambria"/>
          <w:color w:val="000000"/>
          <w:sz w:val="16"/>
          <w:szCs w:val="16"/>
          <w:lang w:val="es-ES"/>
        </w:rPr>
        <w:t>, párr. 1403.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4A90" w14:textId="77777777" w:rsidR="00F73A8C" w:rsidRPr="00ED1EBA" w:rsidRDefault="00F73A8C" w:rsidP="00F73A8C">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61824" behindDoc="0" locked="0" layoutInCell="1" allowOverlap="1" wp14:anchorId="50822068" wp14:editId="2B22188A">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14290B" wp14:editId="5E776CB3">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Cs w:val="28"/>
      </w:rPr>
      <w:t xml:space="preserve">                      </w:t>
    </w:r>
  </w:p>
  <w:p w14:paraId="52884313" w14:textId="77777777" w:rsidR="00F73A8C" w:rsidRPr="00D56DC4" w:rsidRDefault="00F73A8C" w:rsidP="00F73A8C">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800" behindDoc="0" locked="0" layoutInCell="1" allowOverlap="1" wp14:anchorId="269209D6" wp14:editId="4B90256B">
              <wp:simplePos x="0" y="0"/>
              <wp:positionH relativeFrom="column">
                <wp:posOffset>-5080</wp:posOffset>
              </wp:positionH>
              <wp:positionV relativeFrom="paragraph">
                <wp:posOffset>174133</wp:posOffset>
              </wp:positionV>
              <wp:extent cx="6148358" cy="0"/>
              <wp:effectExtent l="0" t="0" r="11430" b="12700"/>
              <wp:wrapNone/>
              <wp:docPr id="4" name="Straight Connector 4"/>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D57B8"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C049" w14:textId="6C5F65CF" w:rsidR="00BE3D33" w:rsidRDefault="00F73A8C" w:rsidP="00BE3D33">
    <w:pPr>
      <w:pStyle w:val="Header"/>
      <w:spacing w:line="216" w:lineRule="auto"/>
      <w:rPr>
        <w:rFonts w:ascii="Arial" w:hAnsi="Arial" w:cs="Arial"/>
        <w:color w:val="3B3838"/>
        <w:sz w:val="28"/>
        <w:szCs w:val="28"/>
        <w:lang w:val="es-ES"/>
      </w:rPr>
    </w:pPr>
    <w:r>
      <w:rPr>
        <w:noProof/>
      </w:rPr>
      <w:drawing>
        <wp:anchor distT="0" distB="0" distL="114300" distR="114300" simplePos="0" relativeHeight="251657728" behindDoc="0" locked="0" layoutInCell="1" allowOverlap="1" wp14:anchorId="4EFD004B" wp14:editId="186817A2">
          <wp:simplePos x="0" y="0"/>
          <wp:positionH relativeFrom="column">
            <wp:posOffset>4088765</wp:posOffset>
          </wp:positionH>
          <wp:positionV relativeFrom="paragraph">
            <wp:posOffset>72390</wp:posOffset>
          </wp:positionV>
          <wp:extent cx="2183130" cy="508635"/>
          <wp:effectExtent l="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5B011A88" wp14:editId="33E78F58">
              <wp:simplePos x="0" y="0"/>
              <wp:positionH relativeFrom="column">
                <wp:posOffset>-166370</wp:posOffset>
              </wp:positionH>
              <wp:positionV relativeFrom="paragraph">
                <wp:posOffset>48895</wp:posOffset>
              </wp:positionV>
              <wp:extent cx="2936875" cy="66484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268C23F6" w14:textId="45D9C398" w:rsidR="00BE3D33" w:rsidRDefault="00F73A8C" w:rsidP="00BE3D33">
                          <w:r w:rsidRPr="00AD498E">
                            <w:rPr>
                              <w:noProof/>
                            </w:rPr>
                            <w:drawing>
                              <wp:inline distT="0" distB="0" distL="0" distR="0" wp14:anchorId="519A5B68" wp14:editId="38C3AD3D">
                                <wp:extent cx="2019300" cy="466725"/>
                                <wp:effectExtent l="0" t="0" r="0" b="0"/>
                                <wp:docPr id="2"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011A88"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268C23F6" w14:textId="45D9C398" w:rsidR="00BE3D33" w:rsidRDefault="00F73A8C" w:rsidP="00BE3D33">
                    <w:r w:rsidRPr="00AD498E">
                      <w:rPr>
                        <w:noProof/>
                      </w:rPr>
                      <w:drawing>
                        <wp:inline distT="0" distB="0" distL="0" distR="0" wp14:anchorId="519A5B68" wp14:editId="38C3AD3D">
                          <wp:extent cx="2019300" cy="466725"/>
                          <wp:effectExtent l="0" t="0" r="0" b="0"/>
                          <wp:docPr id="2"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v:textbox>
            </v:shape>
          </w:pict>
        </mc:Fallback>
      </mc:AlternateContent>
    </w:r>
    <w:r w:rsidR="00BE3D33" w:rsidRPr="00AD498E">
      <w:rPr>
        <w:rFonts w:ascii="Arial" w:hAnsi="Arial" w:cs="Arial"/>
        <w:color w:val="3B3838"/>
        <w:sz w:val="28"/>
        <w:szCs w:val="28"/>
        <w:lang w:val="es-ES"/>
      </w:rPr>
      <w:softHyphen/>
    </w:r>
    <w:r w:rsidR="00BE3D33" w:rsidRPr="00AD498E">
      <w:rPr>
        <w:rFonts w:ascii="Arial" w:hAnsi="Arial" w:cs="Arial"/>
        <w:color w:val="3B3838"/>
        <w:sz w:val="28"/>
        <w:szCs w:val="28"/>
        <w:lang w:val="es-ES"/>
      </w:rPr>
      <w:softHyphen/>
    </w:r>
    <w:r w:rsidR="00BE3D33" w:rsidRPr="00AD498E">
      <w:rPr>
        <w:rFonts w:ascii="Arial" w:hAnsi="Arial" w:cs="Arial"/>
        <w:color w:val="3B3838"/>
        <w:sz w:val="28"/>
        <w:szCs w:val="28"/>
        <w:lang w:val="es-ES"/>
      </w:rPr>
      <w:softHyphen/>
    </w:r>
  </w:p>
  <w:p w14:paraId="3F3F6784" w14:textId="77777777" w:rsidR="00BE3D33" w:rsidRPr="00AD498E" w:rsidRDefault="00BE3D33" w:rsidP="00BE3D33">
    <w:pPr>
      <w:pStyle w:val="Header"/>
      <w:spacing w:line="216" w:lineRule="auto"/>
      <w:rPr>
        <w:rFonts w:ascii="Arial" w:hAnsi="Arial" w:cs="Arial"/>
        <w:color w:val="3B3838"/>
        <w:sz w:val="28"/>
        <w:szCs w:val="28"/>
        <w:lang w:val="es-ES"/>
      </w:rPr>
    </w:pPr>
  </w:p>
  <w:p w14:paraId="7E73193A" w14:textId="77777777" w:rsidR="00BE3D33" w:rsidRDefault="00BE3D33" w:rsidP="00BE3D33">
    <w:pPr>
      <w:pStyle w:val="Header"/>
      <w:spacing w:line="216" w:lineRule="auto"/>
      <w:rPr>
        <w:rFonts w:ascii="Arial" w:hAnsi="Arial" w:cs="Arial"/>
        <w:b/>
        <w:bCs/>
        <w:color w:val="404040"/>
        <w:sz w:val="44"/>
        <w:szCs w:val="44"/>
        <w:lang w:val="es-ES"/>
      </w:rPr>
    </w:pPr>
  </w:p>
  <w:p w14:paraId="209BC3F4" w14:textId="22E1C610" w:rsidR="00D13990" w:rsidRPr="00BE3D33" w:rsidRDefault="00F73A8C" w:rsidP="00BE3D33">
    <w:pPr>
      <w:pStyle w:val="Header"/>
      <w:spacing w:line="216" w:lineRule="auto"/>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56704" behindDoc="0" locked="0" layoutInCell="1" allowOverlap="1" wp14:anchorId="5463B2B7" wp14:editId="2063773B">
              <wp:simplePos x="0" y="0"/>
              <wp:positionH relativeFrom="column">
                <wp:posOffset>-5715</wp:posOffset>
              </wp:positionH>
              <wp:positionV relativeFrom="paragraph">
                <wp:posOffset>167639</wp:posOffset>
              </wp:positionV>
              <wp:extent cx="61480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CFCAC7"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" strokecolor="#262626" strokeweight="1.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03F"/>
    <w:multiLevelType w:val="hybridMultilevel"/>
    <w:tmpl w:val="285CBF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D053E"/>
    <w:multiLevelType w:val="hybridMultilevel"/>
    <w:tmpl w:val="7AD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16DFF"/>
    <w:multiLevelType w:val="hybridMultilevel"/>
    <w:tmpl w:val="199AB0DE"/>
    <w:lvl w:ilvl="0" w:tplc="E6029664">
      <w:start w:val="1"/>
      <w:numFmt w:val="decimal"/>
      <w:lvlText w:val="%1."/>
      <w:lvlJc w:val="left"/>
      <w:pPr>
        <w:ind w:left="45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F5AA9"/>
    <w:multiLevelType w:val="hybridMultilevel"/>
    <w:tmpl w:val="061808E4"/>
    <w:lvl w:ilvl="0" w:tplc="0409000F">
      <w:start w:val="1"/>
      <w:numFmt w:val="decimal"/>
      <w:lvlText w:val="%1."/>
      <w:lvlJc w:val="left"/>
      <w:pPr>
        <w:ind w:left="18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EE1DAB"/>
    <w:multiLevelType w:val="hybridMultilevel"/>
    <w:tmpl w:val="C574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F92"/>
    <w:multiLevelType w:val="hybridMultilevel"/>
    <w:tmpl w:val="84A2E3F8"/>
    <w:lvl w:ilvl="0" w:tplc="3CE8F428">
      <w:start w:val="1"/>
      <w:numFmt w:val="decimal"/>
      <w:lvlText w:val="%1."/>
      <w:lvlJc w:val="left"/>
      <w:pPr>
        <w:ind w:left="2070" w:hanging="360"/>
      </w:pPr>
      <w:rPr>
        <w:rFonts w:hint="default"/>
        <w:b w:val="0"/>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D7654"/>
    <w:multiLevelType w:val="hybridMultilevel"/>
    <w:tmpl w:val="598E020E"/>
    <w:lvl w:ilvl="0" w:tplc="0409000F">
      <w:start w:val="1"/>
      <w:numFmt w:val="decimal"/>
      <w:lvlText w:val="%1."/>
      <w:lvlJc w:val="left"/>
      <w:pPr>
        <w:ind w:left="99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D8453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534E7A"/>
    <w:multiLevelType w:val="hybridMultilevel"/>
    <w:tmpl w:val="F2A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2E5"/>
    <w:multiLevelType w:val="hybridMultilevel"/>
    <w:tmpl w:val="53AC71AA"/>
    <w:lvl w:ilvl="0" w:tplc="ACA83A3E">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D23DB"/>
    <w:multiLevelType w:val="hybridMultilevel"/>
    <w:tmpl w:val="84A2E3F8"/>
    <w:lvl w:ilvl="0" w:tplc="3CE8F428">
      <w:start w:val="1"/>
      <w:numFmt w:val="decimal"/>
      <w:lvlText w:val="%1."/>
      <w:lvlJc w:val="left"/>
      <w:pPr>
        <w:ind w:left="2070" w:hanging="360"/>
      </w:pPr>
      <w:rPr>
        <w:rFonts w:hint="default"/>
        <w:b w:val="0"/>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A3E42"/>
    <w:multiLevelType w:val="hybridMultilevel"/>
    <w:tmpl w:val="795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834D4"/>
    <w:multiLevelType w:val="hybridMultilevel"/>
    <w:tmpl w:val="E9AA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36348"/>
    <w:multiLevelType w:val="hybridMultilevel"/>
    <w:tmpl w:val="830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C3776"/>
    <w:multiLevelType w:val="hybridMultilevel"/>
    <w:tmpl w:val="F718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12"/>
  </w:num>
  <w:num w:numId="12">
    <w:abstractNumId w:val="6"/>
  </w:num>
  <w:num w:numId="13">
    <w:abstractNumId w:val="3"/>
  </w:num>
  <w:num w:numId="14">
    <w:abstractNumId w:val="9"/>
  </w:num>
  <w:num w:numId="15">
    <w:abstractNumId w:val="8"/>
  </w:num>
  <w:num w:numId="16">
    <w:abstractNumId w:val="0"/>
  </w:num>
  <w:num w:numId="17">
    <w:abstractNumId w:val="17"/>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ES" w:vendorID="64" w:dllVersion="131078" w:nlCheck="1" w:checkStyle="0"/>
  <w:activeWritingStyle w:appName="MSWord" w:lang="es-US" w:vendorID="64" w:dllVersion="131078" w:nlCheck="1" w:checkStyle="0"/>
  <w:activeWritingStyle w:appName="MSWord" w:lang="es-VE" w:vendorID="64" w:dllVersion="131078" w:nlCheck="1" w:checkStyle="1"/>
  <w:activeWritingStyle w:appName="MSWord" w:lang="es-ES_tradnl" w:vendorID="64" w:dllVersion="131078" w:nlCheck="1" w:checkStyle="0"/>
  <w:activeWritingStyle w:appName="MSWord" w:lang="es-PE"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UY" w:vendorID="64" w:dllVersion="131078"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s-CO" w:vendorID="64" w:dllVersion="0" w:nlCheck="1" w:checkStyle="0"/>
  <w:activeWritingStyle w:appName="MSWord" w:lang="es-CO"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27C6"/>
    <w:rsid w:val="0001720F"/>
    <w:rsid w:val="000270DF"/>
    <w:rsid w:val="0005228B"/>
    <w:rsid w:val="0006625E"/>
    <w:rsid w:val="00083955"/>
    <w:rsid w:val="00091BB3"/>
    <w:rsid w:val="000975EC"/>
    <w:rsid w:val="000A1D48"/>
    <w:rsid w:val="000E0627"/>
    <w:rsid w:val="00107614"/>
    <w:rsid w:val="001636D0"/>
    <w:rsid w:val="00183E9A"/>
    <w:rsid w:val="001C0A6D"/>
    <w:rsid w:val="001D32FA"/>
    <w:rsid w:val="001E7985"/>
    <w:rsid w:val="001F495A"/>
    <w:rsid w:val="0021669C"/>
    <w:rsid w:val="00217A39"/>
    <w:rsid w:val="00217A7D"/>
    <w:rsid w:val="0022501E"/>
    <w:rsid w:val="00227B9D"/>
    <w:rsid w:val="00250058"/>
    <w:rsid w:val="00251CAC"/>
    <w:rsid w:val="002622D4"/>
    <w:rsid w:val="002709AC"/>
    <w:rsid w:val="002905A2"/>
    <w:rsid w:val="002A39B2"/>
    <w:rsid w:val="002B0B2A"/>
    <w:rsid w:val="002B26ED"/>
    <w:rsid w:val="002E1BC9"/>
    <w:rsid w:val="00301425"/>
    <w:rsid w:val="0031612B"/>
    <w:rsid w:val="00375675"/>
    <w:rsid w:val="0037635B"/>
    <w:rsid w:val="00386DD8"/>
    <w:rsid w:val="00393310"/>
    <w:rsid w:val="00395397"/>
    <w:rsid w:val="003968BF"/>
    <w:rsid w:val="003A3DD2"/>
    <w:rsid w:val="003A4802"/>
    <w:rsid w:val="003A670A"/>
    <w:rsid w:val="003C1AA2"/>
    <w:rsid w:val="003E3690"/>
    <w:rsid w:val="004066A9"/>
    <w:rsid w:val="00467F94"/>
    <w:rsid w:val="00491A9F"/>
    <w:rsid w:val="004A15BA"/>
    <w:rsid w:val="004B40BF"/>
    <w:rsid w:val="004D252C"/>
    <w:rsid w:val="004D3F77"/>
    <w:rsid w:val="004D7999"/>
    <w:rsid w:val="004E193E"/>
    <w:rsid w:val="004F4D0E"/>
    <w:rsid w:val="005022C4"/>
    <w:rsid w:val="00514BF4"/>
    <w:rsid w:val="005172F7"/>
    <w:rsid w:val="005222F3"/>
    <w:rsid w:val="00540BB4"/>
    <w:rsid w:val="00570DF9"/>
    <w:rsid w:val="00585373"/>
    <w:rsid w:val="0058688A"/>
    <w:rsid w:val="00590BCD"/>
    <w:rsid w:val="005B0CA2"/>
    <w:rsid w:val="005B23B6"/>
    <w:rsid w:val="005C1D6B"/>
    <w:rsid w:val="005C3412"/>
    <w:rsid w:val="005C5563"/>
    <w:rsid w:val="005D065D"/>
    <w:rsid w:val="005D0DC5"/>
    <w:rsid w:val="005D3131"/>
    <w:rsid w:val="005F03FE"/>
    <w:rsid w:val="005F4AAA"/>
    <w:rsid w:val="005F5BE2"/>
    <w:rsid w:val="00604132"/>
    <w:rsid w:val="00604F1C"/>
    <w:rsid w:val="006608F5"/>
    <w:rsid w:val="00667BBF"/>
    <w:rsid w:val="0067148F"/>
    <w:rsid w:val="00675352"/>
    <w:rsid w:val="006964C0"/>
    <w:rsid w:val="006A1BFE"/>
    <w:rsid w:val="006A2418"/>
    <w:rsid w:val="006F0429"/>
    <w:rsid w:val="006F5E16"/>
    <w:rsid w:val="00700CD0"/>
    <w:rsid w:val="007547B4"/>
    <w:rsid w:val="007714BC"/>
    <w:rsid w:val="00796EB2"/>
    <w:rsid w:val="007A07E9"/>
    <w:rsid w:val="007C2CC3"/>
    <w:rsid w:val="007C351D"/>
    <w:rsid w:val="007C430C"/>
    <w:rsid w:val="007C7D82"/>
    <w:rsid w:val="007D543E"/>
    <w:rsid w:val="007D7E10"/>
    <w:rsid w:val="007E4ED5"/>
    <w:rsid w:val="007F5F4E"/>
    <w:rsid w:val="007F699C"/>
    <w:rsid w:val="00803D22"/>
    <w:rsid w:val="00807BAA"/>
    <w:rsid w:val="00810C15"/>
    <w:rsid w:val="00834EBC"/>
    <w:rsid w:val="00850DC2"/>
    <w:rsid w:val="00853BB1"/>
    <w:rsid w:val="008550EF"/>
    <w:rsid w:val="00861C71"/>
    <w:rsid w:val="00880019"/>
    <w:rsid w:val="00891BA9"/>
    <w:rsid w:val="008B5170"/>
    <w:rsid w:val="008B68BF"/>
    <w:rsid w:val="008C0DC4"/>
    <w:rsid w:val="008C77AE"/>
    <w:rsid w:val="008F0421"/>
    <w:rsid w:val="009331A5"/>
    <w:rsid w:val="009517A0"/>
    <w:rsid w:val="009641AD"/>
    <w:rsid w:val="00992AB7"/>
    <w:rsid w:val="009A596B"/>
    <w:rsid w:val="009B4C18"/>
    <w:rsid w:val="009C4D87"/>
    <w:rsid w:val="009E24E3"/>
    <w:rsid w:val="00A07AE1"/>
    <w:rsid w:val="00A1630D"/>
    <w:rsid w:val="00A25CA7"/>
    <w:rsid w:val="00A31492"/>
    <w:rsid w:val="00A343FF"/>
    <w:rsid w:val="00A37C23"/>
    <w:rsid w:val="00A41353"/>
    <w:rsid w:val="00A72869"/>
    <w:rsid w:val="00A8776D"/>
    <w:rsid w:val="00AB07C6"/>
    <w:rsid w:val="00AB125E"/>
    <w:rsid w:val="00AC05D4"/>
    <w:rsid w:val="00AE1B0F"/>
    <w:rsid w:val="00AE3552"/>
    <w:rsid w:val="00AE54C6"/>
    <w:rsid w:val="00AF0867"/>
    <w:rsid w:val="00B056D9"/>
    <w:rsid w:val="00B2161A"/>
    <w:rsid w:val="00B4492F"/>
    <w:rsid w:val="00B60CAA"/>
    <w:rsid w:val="00B639C4"/>
    <w:rsid w:val="00B66822"/>
    <w:rsid w:val="00B806AC"/>
    <w:rsid w:val="00B807F0"/>
    <w:rsid w:val="00B93993"/>
    <w:rsid w:val="00BA05B2"/>
    <w:rsid w:val="00BA1FE2"/>
    <w:rsid w:val="00BE3D33"/>
    <w:rsid w:val="00C00176"/>
    <w:rsid w:val="00C04C07"/>
    <w:rsid w:val="00C10476"/>
    <w:rsid w:val="00C22871"/>
    <w:rsid w:val="00C31B4F"/>
    <w:rsid w:val="00C54C57"/>
    <w:rsid w:val="00C556AF"/>
    <w:rsid w:val="00C556E1"/>
    <w:rsid w:val="00C712D0"/>
    <w:rsid w:val="00C715BA"/>
    <w:rsid w:val="00C76B7F"/>
    <w:rsid w:val="00C80FF7"/>
    <w:rsid w:val="00C960FF"/>
    <w:rsid w:val="00CA2777"/>
    <w:rsid w:val="00CA6EC4"/>
    <w:rsid w:val="00CC4274"/>
    <w:rsid w:val="00CD7A71"/>
    <w:rsid w:val="00D05BCC"/>
    <w:rsid w:val="00D13990"/>
    <w:rsid w:val="00D222B7"/>
    <w:rsid w:val="00D2293C"/>
    <w:rsid w:val="00D33610"/>
    <w:rsid w:val="00D5166A"/>
    <w:rsid w:val="00D56C84"/>
    <w:rsid w:val="00D60F30"/>
    <w:rsid w:val="00D82E91"/>
    <w:rsid w:val="00D95E24"/>
    <w:rsid w:val="00DC0921"/>
    <w:rsid w:val="00DC176B"/>
    <w:rsid w:val="00DD56AC"/>
    <w:rsid w:val="00DF0FE5"/>
    <w:rsid w:val="00E04605"/>
    <w:rsid w:val="00E2031A"/>
    <w:rsid w:val="00E24DFC"/>
    <w:rsid w:val="00E3040C"/>
    <w:rsid w:val="00E3620A"/>
    <w:rsid w:val="00E37250"/>
    <w:rsid w:val="00E662E0"/>
    <w:rsid w:val="00E719DC"/>
    <w:rsid w:val="00E72B81"/>
    <w:rsid w:val="00E94310"/>
    <w:rsid w:val="00EA30E7"/>
    <w:rsid w:val="00EB77FF"/>
    <w:rsid w:val="00ED30FB"/>
    <w:rsid w:val="00ED4C58"/>
    <w:rsid w:val="00EE27FA"/>
    <w:rsid w:val="00EF1BD7"/>
    <w:rsid w:val="00F06E69"/>
    <w:rsid w:val="00F25948"/>
    <w:rsid w:val="00F30C2F"/>
    <w:rsid w:val="00F52F31"/>
    <w:rsid w:val="00F54F60"/>
    <w:rsid w:val="00F64E62"/>
    <w:rsid w:val="00F66FEE"/>
    <w:rsid w:val="00F73A8C"/>
    <w:rsid w:val="00F8197C"/>
    <w:rsid w:val="00FB3460"/>
    <w:rsid w:val="00FC66C2"/>
    <w:rsid w:val="00FE50A0"/>
    <w:rsid w:val="00FF43D4"/>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70A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514BF4"/>
    <w:pPr>
      <w:ind w:left="720"/>
      <w:contextualSpacing/>
    </w:pPr>
  </w:style>
  <w:style w:type="character" w:styleId="Hyperlink">
    <w:name w:val="Hyperlink"/>
    <w:uiPriority w:val="99"/>
    <w:unhideWhenUsed/>
    <w:rsid w:val="00514BF4"/>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Ca"/>
    <w:basedOn w:val="Normal"/>
    <w:link w:val="FootnoteTextChar"/>
    <w:unhideWhenUsed/>
    <w:qFormat/>
    <w:rsid w:val="00C76B7F"/>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C76B7F"/>
    <w:rPr>
      <w:rFonts w:ascii="Times New Roman" w:hAnsi="Times New Roman"/>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C76B7F"/>
    <w:rPr>
      <w:vertAlign w:val="superscript"/>
    </w:rPr>
  </w:style>
  <w:style w:type="paragraph" w:customStyle="1" w:styleId="Appelnotedebasde">
    <w:name w:val="Appel note de bas de..."/>
    <w:basedOn w:val="Normal"/>
    <w:link w:val="FootnoteReference"/>
    <w:uiPriority w:val="99"/>
    <w:rsid w:val="00C76B7F"/>
    <w:pPr>
      <w:spacing w:after="160" w:line="240" w:lineRule="exact"/>
    </w:pPr>
    <w:rPr>
      <w:sz w:val="20"/>
      <w:szCs w:val="20"/>
      <w:vertAlign w:val="superscript"/>
    </w:rPr>
  </w:style>
  <w:style w:type="character" w:styleId="FollowedHyperlink">
    <w:name w:val="FollowedHyperlink"/>
    <w:uiPriority w:val="99"/>
    <w:semiHidden/>
    <w:unhideWhenUsed/>
    <w:rsid w:val="008C77AE"/>
    <w:rPr>
      <w:color w:val="954F72"/>
      <w:u w:val="single"/>
    </w:rPr>
  </w:style>
  <w:style w:type="character" w:styleId="CommentReference">
    <w:name w:val="annotation reference"/>
    <w:uiPriority w:val="99"/>
    <w:semiHidden/>
    <w:unhideWhenUsed/>
    <w:rsid w:val="00A07AE1"/>
    <w:rPr>
      <w:sz w:val="16"/>
      <w:szCs w:val="16"/>
    </w:rPr>
  </w:style>
  <w:style w:type="numbering" w:styleId="111111">
    <w:name w:val="Outline List 2"/>
    <w:basedOn w:val="NoList"/>
    <w:uiPriority w:val="99"/>
    <w:semiHidden/>
    <w:unhideWhenUsed/>
    <w:rsid w:val="00AE54C6"/>
    <w:pPr>
      <w:numPr>
        <w:numId w:val="15"/>
      </w:numPr>
    </w:pPr>
  </w:style>
  <w:style w:type="paragraph" w:styleId="CommentText">
    <w:name w:val="annotation text"/>
    <w:basedOn w:val="Normal"/>
    <w:link w:val="CommentTextChar"/>
    <w:uiPriority w:val="99"/>
    <w:semiHidden/>
    <w:unhideWhenUsed/>
    <w:rsid w:val="00A07AE1"/>
    <w:rPr>
      <w:sz w:val="20"/>
      <w:szCs w:val="20"/>
    </w:rPr>
  </w:style>
  <w:style w:type="character" w:customStyle="1" w:styleId="CommentTextChar">
    <w:name w:val="Comment Text Char"/>
    <w:basedOn w:val="DefaultParagraphFont"/>
    <w:link w:val="CommentText"/>
    <w:uiPriority w:val="99"/>
    <w:semiHidden/>
    <w:rsid w:val="00A07AE1"/>
  </w:style>
  <w:style w:type="paragraph" w:styleId="CommentSubject">
    <w:name w:val="annotation subject"/>
    <w:basedOn w:val="CommentText"/>
    <w:next w:val="CommentText"/>
    <w:link w:val="CommentSubjectChar"/>
    <w:uiPriority w:val="99"/>
    <w:semiHidden/>
    <w:unhideWhenUsed/>
    <w:rsid w:val="00A07AE1"/>
    <w:rPr>
      <w:b/>
      <w:bCs/>
    </w:rPr>
  </w:style>
  <w:style w:type="character" w:customStyle="1" w:styleId="CommentSubjectChar">
    <w:name w:val="Comment Subject Char"/>
    <w:link w:val="CommentSubject"/>
    <w:uiPriority w:val="99"/>
    <w:semiHidden/>
    <w:rsid w:val="00A07AE1"/>
    <w:rPr>
      <w:b/>
      <w:bCs/>
    </w:rPr>
  </w:style>
  <w:style w:type="character" w:customStyle="1" w:styleId="ListParagraphChar">
    <w:name w:val="List Paragraph Char"/>
    <w:aliases w:val="Párrafo de lista1 Char,List Paragraph1 Char,Colorful List - Accent 11 Char,List Paragraph11 Char,Colorful List - Accent 1 Char"/>
    <w:link w:val="ListParagraph"/>
    <w:uiPriority w:val="34"/>
    <w:qFormat/>
    <w:locked/>
    <w:rsid w:val="003A3D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11408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idh.oas.org/Resoluciones/reso.1.06.sp.htm" TargetMode="External"/><Relationship Id="rId4" Type="http://schemas.openxmlformats.org/officeDocument/2006/relationships/styles" Target="styles.xml"/><Relationship Id="rId9" Type="http://schemas.openxmlformats.org/officeDocument/2006/relationships/hyperlink" Target="http://www.cidh.oas.org/annualrep/2000sp/CapituloIII/Fondo/Guatemala10.626.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www.cidh.oas.org/annualrep/2006sp/cap3d1.2006.sp.htm" TargetMode="External"/><Relationship Id="rId1" Type="http://schemas.openxmlformats.org/officeDocument/2006/relationships/hyperlink" Target="http://www.corteidh.or.cr/docs/casos/articulos/seriec_33_esp.pdf"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corteidh.or.cr/docs/casos/articulos/seriec_108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0729C26-2B0B-4463-8B81-1ACA4D37C8B3}">
  <ds:schemaRefs>
    <ds:schemaRef ds:uri="http://schemas.openxmlformats.org/officeDocument/2006/bibliography"/>
  </ds:schemaRefs>
</ds:datastoreItem>
</file>

<file path=customXml/itemProps2.xml><?xml version="1.0" encoding="utf-8"?>
<ds:datastoreItem xmlns:ds="http://schemas.openxmlformats.org/officeDocument/2006/customXml" ds:itemID="{A29CE7F9-FA32-421A-B2B3-06304219F8E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22747</CharactersWithSpaces>
  <SharedDoc>false</SharedDoc>
  <HLinks>
    <vt:vector size="42" baseType="variant">
      <vt:variant>
        <vt:i4>2490478</vt:i4>
      </vt:variant>
      <vt:variant>
        <vt:i4>3</vt:i4>
      </vt:variant>
      <vt:variant>
        <vt:i4>0</vt:i4>
      </vt:variant>
      <vt:variant>
        <vt:i4>5</vt:i4>
      </vt:variant>
      <vt:variant>
        <vt:lpwstr>https://www.cidh.oas.org/Resoluciones/reso.1.06.sp.htm</vt:lpwstr>
      </vt:variant>
      <vt:variant>
        <vt:lpwstr/>
      </vt:variant>
      <vt:variant>
        <vt:i4>6750320</vt:i4>
      </vt:variant>
      <vt:variant>
        <vt:i4>0</vt:i4>
      </vt:variant>
      <vt:variant>
        <vt:i4>0</vt:i4>
      </vt:variant>
      <vt:variant>
        <vt:i4>5</vt:i4>
      </vt:variant>
      <vt:variant>
        <vt:lpwstr>http://www.cidh.oas.org/annualrep/2000sp/CapituloIII/Fondo/Guatemala10.626.htm</vt:lpwstr>
      </vt:variant>
      <vt:variant>
        <vt:lpwstr/>
      </vt:variant>
      <vt:variant>
        <vt:i4>3276841</vt:i4>
      </vt:variant>
      <vt:variant>
        <vt:i4>12</vt:i4>
      </vt:variant>
      <vt:variant>
        <vt:i4>0</vt:i4>
      </vt:variant>
      <vt:variant>
        <vt:i4>5</vt:i4>
      </vt:variant>
      <vt:variant>
        <vt:lpwstr>http://www.oas.org/es/cidh/docs/anual/2017/docs/IA2017cap.2-es.pdf</vt:lpwstr>
      </vt:variant>
      <vt:variant>
        <vt:lpwstr/>
      </vt:variant>
      <vt:variant>
        <vt:i4>5242973</vt:i4>
      </vt:variant>
      <vt:variant>
        <vt:i4>9</vt:i4>
      </vt:variant>
      <vt:variant>
        <vt:i4>0</vt:i4>
      </vt:variant>
      <vt:variant>
        <vt:i4>5</vt:i4>
      </vt:variant>
      <vt:variant>
        <vt:lpwstr>http://www.corteidh.or.cr/docs/casos/articulos/seriec_108_esp.pdf</vt:lpwstr>
      </vt:variant>
      <vt:variant>
        <vt:lpwstr/>
      </vt:variant>
      <vt:variant>
        <vt:i4>3276841</vt:i4>
      </vt:variant>
      <vt:variant>
        <vt:i4>6</vt:i4>
      </vt:variant>
      <vt:variant>
        <vt:i4>0</vt:i4>
      </vt:variant>
      <vt:variant>
        <vt:i4>5</vt:i4>
      </vt:variant>
      <vt:variant>
        <vt:lpwstr>http://www.oas.org/es/cidh/docs/anual/2017/docs/IA2017cap.2-es.pdf</vt:lpwstr>
      </vt:variant>
      <vt:variant>
        <vt:lpwstr/>
      </vt:variant>
      <vt:variant>
        <vt:i4>2949152</vt:i4>
      </vt:variant>
      <vt:variant>
        <vt:i4>3</vt:i4>
      </vt:variant>
      <vt:variant>
        <vt:i4>0</vt:i4>
      </vt:variant>
      <vt:variant>
        <vt:i4>5</vt:i4>
      </vt:variant>
      <vt:variant>
        <vt:lpwstr>http://www.cidh.oas.org/annualrep/2006sp/cap3d1.2006.sp.htm</vt:lpwstr>
      </vt:variant>
      <vt:variant>
        <vt:lpwstr/>
      </vt:variant>
      <vt:variant>
        <vt:i4>3539044</vt:i4>
      </vt:variant>
      <vt:variant>
        <vt:i4>0</vt:i4>
      </vt:variant>
      <vt:variant>
        <vt:i4>0</vt:i4>
      </vt:variant>
      <vt:variant>
        <vt:i4>5</vt:i4>
      </vt:variant>
      <vt:variant>
        <vt:lpwstr>http://www.corteidh.or.cr/docs/casos/articulos/seriec_33_esp.pdf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2022-03-22T15:05:00Z</dcterms:created>
  <dcterms:modified xsi:type="dcterms:W3CDTF">2022-03-22T15:05:00Z</dcterms:modified>
</cp:coreProperties>
</file>