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0542" w14:textId="77777777" w:rsidR="009C1E23" w:rsidRPr="00D160E3" w:rsidRDefault="009C1E23" w:rsidP="009C1E23">
      <w:pPr>
        <w:pStyle w:val="Header"/>
        <w:rPr>
          <w:rFonts w:ascii="Cambria" w:hAnsi="Cambria"/>
          <w:b/>
          <w:sz w:val="20"/>
          <w:szCs w:val="20"/>
          <w:lang w:val="es-ES"/>
        </w:rPr>
      </w:pPr>
    </w:p>
    <w:p w14:paraId="43A1A43F" w14:textId="77777777" w:rsidR="009C1E23" w:rsidRPr="00C97448" w:rsidRDefault="009C1E23" w:rsidP="009C1E23">
      <w:pPr>
        <w:pStyle w:val="Header"/>
        <w:jc w:val="center"/>
        <w:rPr>
          <w:rFonts w:ascii="Cambria" w:hAnsi="Cambria"/>
          <w:sz w:val="20"/>
          <w:szCs w:val="20"/>
          <w:lang w:val="es-ES"/>
        </w:rPr>
      </w:pPr>
      <w:r w:rsidRPr="00C97448">
        <w:rPr>
          <w:rFonts w:ascii="Cambria" w:hAnsi="Cambria"/>
          <w:b/>
          <w:sz w:val="20"/>
          <w:szCs w:val="20"/>
          <w:lang w:val="es-ES"/>
        </w:rPr>
        <w:t xml:space="preserve">FICHA DE SEGUIMIENTO DEL INFORME </w:t>
      </w:r>
      <w:proofErr w:type="spellStart"/>
      <w:r w:rsidRPr="00C97448">
        <w:rPr>
          <w:rFonts w:ascii="Cambria" w:hAnsi="Cambria"/>
          <w:b/>
          <w:sz w:val="20"/>
          <w:szCs w:val="20"/>
          <w:lang w:val="es-ES"/>
        </w:rPr>
        <w:t>Nº</w:t>
      </w:r>
      <w:proofErr w:type="spellEnd"/>
      <w:r w:rsidRPr="00C97448">
        <w:rPr>
          <w:rFonts w:ascii="Cambria" w:hAnsi="Cambria"/>
          <w:b/>
          <w:sz w:val="20"/>
          <w:szCs w:val="20"/>
          <w:lang w:val="es-ES"/>
        </w:rPr>
        <w:t xml:space="preserve"> 78/02</w:t>
      </w:r>
    </w:p>
    <w:p w14:paraId="2B26D49D" w14:textId="77777777" w:rsidR="009C1E23" w:rsidRPr="00C97448" w:rsidRDefault="009C1E23" w:rsidP="009C1E23">
      <w:pPr>
        <w:jc w:val="center"/>
        <w:rPr>
          <w:rFonts w:ascii="Cambria" w:hAnsi="Cambria"/>
          <w:b/>
          <w:sz w:val="20"/>
          <w:szCs w:val="20"/>
          <w:lang w:val="es-ES"/>
        </w:rPr>
      </w:pPr>
      <w:r w:rsidRPr="00C97448">
        <w:rPr>
          <w:rFonts w:ascii="Cambria" w:hAnsi="Cambria"/>
          <w:b/>
          <w:sz w:val="20"/>
          <w:szCs w:val="20"/>
          <w:lang w:val="es-ES"/>
        </w:rPr>
        <w:t>CASO 11.335</w:t>
      </w:r>
    </w:p>
    <w:p w14:paraId="0BB748B4" w14:textId="77777777" w:rsidR="009C1E23" w:rsidRPr="00C97448" w:rsidRDefault="009C1E23" w:rsidP="009C1E23">
      <w:pPr>
        <w:jc w:val="center"/>
        <w:rPr>
          <w:rFonts w:ascii="Cambria" w:hAnsi="Cambria"/>
          <w:b/>
          <w:sz w:val="20"/>
          <w:szCs w:val="20"/>
          <w:lang w:val="es-ES"/>
        </w:rPr>
      </w:pPr>
      <w:r w:rsidRPr="00C97448">
        <w:rPr>
          <w:rFonts w:ascii="Cambria" w:hAnsi="Cambria"/>
          <w:b/>
          <w:sz w:val="20"/>
          <w:szCs w:val="20"/>
          <w:lang w:val="es-ES"/>
        </w:rPr>
        <w:t xml:space="preserve"> GUY MALARY</w:t>
      </w:r>
    </w:p>
    <w:p w14:paraId="116CE7AD" w14:textId="77777777" w:rsidR="009C1E23" w:rsidRPr="00C97448" w:rsidRDefault="009C1E23" w:rsidP="009C1E23">
      <w:pPr>
        <w:jc w:val="center"/>
        <w:rPr>
          <w:rFonts w:ascii="Cambria" w:hAnsi="Cambria"/>
          <w:b/>
          <w:sz w:val="20"/>
          <w:szCs w:val="20"/>
          <w:lang w:val="es-ES"/>
        </w:rPr>
      </w:pPr>
      <w:r w:rsidRPr="00C97448">
        <w:rPr>
          <w:rFonts w:ascii="Cambria" w:hAnsi="Cambria"/>
          <w:b/>
          <w:sz w:val="20"/>
          <w:szCs w:val="20"/>
          <w:lang w:val="es-ES"/>
        </w:rPr>
        <w:t>(Haití)</w:t>
      </w:r>
    </w:p>
    <w:p w14:paraId="1A0099DD" w14:textId="77777777" w:rsidR="009C1E23" w:rsidRPr="00C97448" w:rsidRDefault="009C1E23" w:rsidP="009C1E23">
      <w:pPr>
        <w:jc w:val="center"/>
        <w:rPr>
          <w:rFonts w:ascii="Cambria" w:hAnsi="Cambria"/>
          <w:sz w:val="20"/>
          <w:szCs w:val="20"/>
          <w:lang w:val="es-ES"/>
        </w:rPr>
      </w:pPr>
    </w:p>
    <w:p w14:paraId="241B67BD" w14:textId="77777777" w:rsidR="009C1E23" w:rsidRPr="00C97448" w:rsidRDefault="009C1E23" w:rsidP="009C1E23">
      <w:pPr>
        <w:pStyle w:val="NoSpacing"/>
        <w:numPr>
          <w:ilvl w:val="0"/>
          <w:numId w:val="15"/>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Resumen del caso </w:t>
      </w:r>
    </w:p>
    <w:p w14:paraId="4A6776D5" w14:textId="77777777" w:rsidR="009C1E23" w:rsidRPr="00C97448" w:rsidRDefault="009C1E23" w:rsidP="009C1E23">
      <w:pPr>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C1E23" w:rsidRPr="009023C7" w14:paraId="507DA36B" w14:textId="77777777" w:rsidTr="5072B55E">
        <w:trPr>
          <w:jc w:val="center"/>
        </w:trPr>
        <w:tc>
          <w:tcPr>
            <w:tcW w:w="9576" w:type="dxa"/>
            <w:shd w:val="clear" w:color="auto" w:fill="F2F2F2" w:themeFill="background1" w:themeFillShade="F2"/>
          </w:tcPr>
          <w:p w14:paraId="7E46938E" w14:textId="77777777" w:rsidR="009C1E23" w:rsidRPr="00C97448" w:rsidRDefault="009C1E23" w:rsidP="00B61D5E">
            <w:pPr>
              <w:spacing w:before="120"/>
              <w:rPr>
                <w:rFonts w:ascii="Cambria" w:hAnsi="Cambria"/>
                <w:b/>
                <w:sz w:val="20"/>
                <w:szCs w:val="20"/>
                <w:lang w:val="es-ES"/>
              </w:rPr>
            </w:pPr>
            <w:r w:rsidRPr="00C97448">
              <w:rPr>
                <w:rFonts w:ascii="Cambria" w:hAnsi="Cambria"/>
                <w:b/>
                <w:sz w:val="20"/>
                <w:szCs w:val="20"/>
                <w:lang w:val="es-ES"/>
              </w:rPr>
              <w:t xml:space="preserve">Víctima (s): </w:t>
            </w:r>
            <w:r w:rsidRPr="00C97448">
              <w:rPr>
                <w:rFonts w:ascii="Cambria" w:hAnsi="Cambria"/>
                <w:sz w:val="20"/>
                <w:szCs w:val="20"/>
                <w:lang w:val="es-ES"/>
              </w:rPr>
              <w:t xml:space="preserve">Guy </w:t>
            </w:r>
            <w:proofErr w:type="spellStart"/>
            <w:r w:rsidRPr="00C97448">
              <w:rPr>
                <w:rFonts w:ascii="Cambria" w:hAnsi="Cambria"/>
                <w:sz w:val="20"/>
                <w:szCs w:val="20"/>
                <w:lang w:val="es-ES"/>
              </w:rPr>
              <w:t>Malary</w:t>
            </w:r>
            <w:proofErr w:type="spellEnd"/>
          </w:p>
          <w:p w14:paraId="7497A80B" w14:textId="77777777" w:rsidR="009C1E23" w:rsidRPr="00C97448" w:rsidRDefault="009C1E23" w:rsidP="00B61D5E">
            <w:pPr>
              <w:rPr>
                <w:rFonts w:ascii="Cambria" w:hAnsi="Cambria"/>
                <w:b/>
                <w:sz w:val="20"/>
                <w:szCs w:val="20"/>
                <w:lang w:val="es-ES"/>
              </w:rPr>
            </w:pPr>
            <w:r w:rsidRPr="00C97448">
              <w:rPr>
                <w:rFonts w:ascii="Cambria" w:hAnsi="Cambria"/>
                <w:b/>
                <w:sz w:val="20"/>
                <w:szCs w:val="20"/>
                <w:lang w:val="es-ES"/>
              </w:rPr>
              <w:t>Peticionario (s):</w:t>
            </w:r>
            <w:r w:rsidRPr="00C97448">
              <w:rPr>
                <w:rFonts w:ascii="Cambria" w:hAnsi="Cambria"/>
                <w:sz w:val="20"/>
                <w:szCs w:val="20"/>
                <w:lang w:val="es-ES"/>
              </w:rPr>
              <w:t xml:space="preserve"> Natalie L. Reid (</w:t>
            </w:r>
            <w:proofErr w:type="spellStart"/>
            <w:r w:rsidRPr="00C97448">
              <w:rPr>
                <w:rFonts w:ascii="Cambria" w:hAnsi="Cambria"/>
                <w:sz w:val="20"/>
                <w:szCs w:val="20"/>
                <w:lang w:val="es-ES"/>
              </w:rPr>
              <w:t>Debevoise</w:t>
            </w:r>
            <w:proofErr w:type="spellEnd"/>
            <w:r w:rsidRPr="00C97448">
              <w:rPr>
                <w:rFonts w:ascii="Cambria" w:hAnsi="Cambria"/>
                <w:sz w:val="20"/>
                <w:szCs w:val="20"/>
                <w:lang w:val="es-ES"/>
              </w:rPr>
              <w:t xml:space="preserve"> &amp; </w:t>
            </w:r>
            <w:proofErr w:type="spellStart"/>
            <w:r w:rsidRPr="00C97448">
              <w:rPr>
                <w:rFonts w:ascii="Cambria" w:hAnsi="Cambria"/>
                <w:sz w:val="20"/>
                <w:szCs w:val="20"/>
                <w:lang w:val="es-ES"/>
              </w:rPr>
              <w:t>Plimpton</w:t>
            </w:r>
            <w:proofErr w:type="spellEnd"/>
            <w:r w:rsidRPr="00C97448">
              <w:rPr>
                <w:rFonts w:ascii="Cambria" w:hAnsi="Cambria"/>
                <w:sz w:val="20"/>
                <w:szCs w:val="20"/>
                <w:lang w:val="es-ES"/>
              </w:rPr>
              <w:t>)</w:t>
            </w:r>
          </w:p>
          <w:p w14:paraId="791698C4" w14:textId="77777777" w:rsidR="009C1E23" w:rsidRPr="00C97448" w:rsidRDefault="009C1E23" w:rsidP="00B61D5E">
            <w:pPr>
              <w:rPr>
                <w:rFonts w:ascii="Cambria" w:hAnsi="Cambria"/>
                <w:sz w:val="20"/>
                <w:szCs w:val="20"/>
                <w:lang w:val="es-ES"/>
              </w:rPr>
            </w:pPr>
            <w:r w:rsidRPr="00C97448">
              <w:rPr>
                <w:rFonts w:ascii="Cambria" w:hAnsi="Cambria"/>
                <w:b/>
                <w:sz w:val="20"/>
                <w:szCs w:val="20"/>
                <w:lang w:val="es-ES"/>
              </w:rPr>
              <w:t xml:space="preserve">Estado: </w:t>
            </w:r>
            <w:r w:rsidRPr="00C97448">
              <w:rPr>
                <w:rFonts w:ascii="Cambria" w:hAnsi="Cambria"/>
                <w:sz w:val="20"/>
                <w:szCs w:val="20"/>
                <w:lang w:val="es-ES"/>
              </w:rPr>
              <w:t>Haití</w:t>
            </w:r>
          </w:p>
          <w:p w14:paraId="72EF9142" w14:textId="77777777" w:rsidR="009C1E23" w:rsidRPr="00C97448" w:rsidRDefault="009C1E23" w:rsidP="00B61D5E">
            <w:pPr>
              <w:rPr>
                <w:rFonts w:ascii="Cambria" w:hAnsi="Cambria"/>
                <w:sz w:val="20"/>
                <w:szCs w:val="20"/>
                <w:lang w:val="es-ES"/>
              </w:rPr>
            </w:pPr>
            <w:r w:rsidRPr="00C97448">
              <w:rPr>
                <w:rFonts w:ascii="Cambria" w:hAnsi="Cambria"/>
                <w:b/>
                <w:sz w:val="20"/>
                <w:szCs w:val="20"/>
                <w:lang w:val="es-ES"/>
              </w:rPr>
              <w:t xml:space="preserve">Informe de Fondo </w:t>
            </w:r>
            <w:proofErr w:type="spellStart"/>
            <w:r w:rsidRPr="00C97448">
              <w:rPr>
                <w:rFonts w:ascii="Cambria" w:hAnsi="Cambria"/>
                <w:b/>
                <w:sz w:val="20"/>
                <w:szCs w:val="20"/>
                <w:lang w:val="es-ES"/>
              </w:rPr>
              <w:t>Nº</w:t>
            </w:r>
            <w:proofErr w:type="spellEnd"/>
            <w:r w:rsidRPr="00C97448">
              <w:rPr>
                <w:rFonts w:ascii="Cambria" w:hAnsi="Cambria"/>
                <w:b/>
                <w:sz w:val="20"/>
                <w:szCs w:val="20"/>
                <w:lang w:val="es-ES"/>
              </w:rPr>
              <w:t xml:space="preserve">: </w:t>
            </w:r>
            <w:hyperlink r:id="rId8" w:history="1">
              <w:r w:rsidRPr="00C97448">
                <w:rPr>
                  <w:rStyle w:val="Hyperlink"/>
                  <w:rFonts w:ascii="Cambria" w:hAnsi="Cambria"/>
                  <w:color w:val="auto"/>
                  <w:sz w:val="20"/>
                  <w:szCs w:val="20"/>
                  <w:lang w:val="es-ES"/>
                </w:rPr>
                <w:t>78/02</w:t>
              </w:r>
            </w:hyperlink>
            <w:r w:rsidRPr="00C97448">
              <w:rPr>
                <w:rFonts w:ascii="Cambria" w:hAnsi="Cambria"/>
                <w:sz w:val="20"/>
                <w:szCs w:val="20"/>
                <w:lang w:val="es-ES"/>
              </w:rPr>
              <w:t xml:space="preserve">, publicado el 27 de diciembre de 2002 </w:t>
            </w:r>
          </w:p>
          <w:p w14:paraId="6BA48D21" w14:textId="3223C4A5" w:rsidR="009C1E23" w:rsidRPr="00C97448" w:rsidRDefault="009C1E23" w:rsidP="00B61D5E">
            <w:pPr>
              <w:rPr>
                <w:rFonts w:ascii="Cambria" w:hAnsi="Cambria"/>
                <w:sz w:val="20"/>
                <w:szCs w:val="20"/>
                <w:lang w:val="es-ES"/>
              </w:rPr>
            </w:pPr>
            <w:r w:rsidRPr="5072B55E">
              <w:rPr>
                <w:rFonts w:ascii="Cambria" w:hAnsi="Cambria"/>
                <w:b/>
                <w:bCs/>
                <w:sz w:val="20"/>
                <w:szCs w:val="20"/>
                <w:lang w:val="es-ES"/>
              </w:rPr>
              <w:t xml:space="preserve">Informe de Admisibilidad </w:t>
            </w:r>
            <w:proofErr w:type="spellStart"/>
            <w:r w:rsidRPr="5072B55E">
              <w:rPr>
                <w:rFonts w:ascii="Cambria" w:hAnsi="Cambria"/>
                <w:b/>
                <w:bCs/>
                <w:sz w:val="20"/>
                <w:szCs w:val="20"/>
                <w:lang w:val="es-ES"/>
              </w:rPr>
              <w:t>Nº</w:t>
            </w:r>
            <w:proofErr w:type="spellEnd"/>
            <w:r w:rsidRPr="5072B55E">
              <w:rPr>
                <w:rFonts w:ascii="Cambria" w:hAnsi="Cambria"/>
                <w:b/>
                <w:bCs/>
                <w:sz w:val="20"/>
                <w:szCs w:val="20"/>
                <w:lang w:val="es-ES"/>
              </w:rPr>
              <w:t xml:space="preserve">: </w:t>
            </w:r>
            <w:hyperlink r:id="rId9">
              <w:r w:rsidRPr="5072B55E">
                <w:rPr>
                  <w:rStyle w:val="Hyperlink"/>
                  <w:rFonts w:ascii="Cambria" w:hAnsi="Cambria"/>
                  <w:color w:val="auto"/>
                  <w:sz w:val="20"/>
                  <w:szCs w:val="20"/>
                  <w:lang w:val="es-ES"/>
                </w:rPr>
                <w:t>113/00</w:t>
              </w:r>
            </w:hyperlink>
            <w:r w:rsidRPr="5072B55E">
              <w:rPr>
                <w:rFonts w:ascii="Cambria" w:hAnsi="Cambria"/>
                <w:sz w:val="20"/>
                <w:szCs w:val="20"/>
                <w:lang w:val="es-ES"/>
              </w:rPr>
              <w:t>, emitido el 4 de diciembre de 2000</w:t>
            </w:r>
          </w:p>
          <w:p w14:paraId="22C72A72" w14:textId="77777777" w:rsidR="009C1E23" w:rsidRPr="00C97448" w:rsidRDefault="009C1E23" w:rsidP="00B61D5E">
            <w:pPr>
              <w:spacing w:after="120"/>
              <w:jc w:val="both"/>
              <w:rPr>
                <w:rFonts w:ascii="Cambria" w:hAnsi="Cambria"/>
                <w:b/>
                <w:sz w:val="20"/>
                <w:szCs w:val="20"/>
                <w:lang w:val="es-ES"/>
              </w:rPr>
            </w:pPr>
            <w:r w:rsidRPr="00C97448">
              <w:rPr>
                <w:rFonts w:ascii="Cambria" w:hAnsi="Cambria"/>
                <w:b/>
                <w:sz w:val="20"/>
                <w:szCs w:val="20"/>
                <w:lang w:val="es-ES"/>
              </w:rPr>
              <w:t xml:space="preserve">Temas: </w:t>
            </w:r>
            <w:r w:rsidRPr="00C97448">
              <w:rPr>
                <w:rFonts w:ascii="Cambria" w:hAnsi="Cambria"/>
                <w:sz w:val="20"/>
                <w:szCs w:val="20"/>
                <w:lang w:val="es-ES"/>
              </w:rPr>
              <w:t xml:space="preserve">Derecho a la Vida / Ejecuciones Sumarias, Extrajudiciales o Arbitrarias / Garantías Judiciales / Protección Judicial / Investigación y Debida Diligencia / Deber de Adoptar Medidas y Disposiciones de Derecho Interno.     </w:t>
            </w:r>
            <w:r w:rsidRPr="00C97448">
              <w:rPr>
                <w:rFonts w:ascii="Cambria" w:hAnsi="Cambria"/>
                <w:b/>
                <w:sz w:val="20"/>
                <w:szCs w:val="20"/>
                <w:lang w:val="es-ES"/>
              </w:rPr>
              <w:t xml:space="preserve"> </w:t>
            </w:r>
          </w:p>
          <w:p w14:paraId="4DB409D7" w14:textId="77777777" w:rsidR="009C1E23" w:rsidRPr="00C97448" w:rsidRDefault="009C1E23" w:rsidP="00B61D5E">
            <w:pPr>
              <w:tabs>
                <w:tab w:val="num" w:pos="720"/>
              </w:tabs>
              <w:spacing w:after="120"/>
              <w:jc w:val="both"/>
              <w:rPr>
                <w:rFonts w:ascii="Cambria" w:hAnsi="Cambria"/>
                <w:sz w:val="20"/>
                <w:szCs w:val="20"/>
                <w:lang w:val="es-ES"/>
              </w:rPr>
            </w:pPr>
            <w:r w:rsidRPr="00C97448">
              <w:rPr>
                <w:rFonts w:ascii="Cambria" w:hAnsi="Cambria"/>
                <w:b/>
                <w:sz w:val="20"/>
                <w:szCs w:val="20"/>
                <w:lang w:val="es-ES"/>
              </w:rPr>
              <w:t xml:space="preserve">Hechos: </w:t>
            </w:r>
            <w:r w:rsidRPr="00C97448">
              <w:rPr>
                <w:rFonts w:ascii="Cambria" w:hAnsi="Cambria"/>
                <w:sz w:val="20"/>
                <w:szCs w:val="20"/>
                <w:lang w:val="es-ES"/>
              </w:rPr>
              <w:t xml:space="preserve">El case se refiere a la ejecución extrajudicial del señor Guy </w:t>
            </w:r>
            <w:proofErr w:type="spellStart"/>
            <w:r w:rsidRPr="00C97448">
              <w:rPr>
                <w:rFonts w:ascii="Cambria" w:hAnsi="Cambria"/>
                <w:sz w:val="20"/>
                <w:szCs w:val="20"/>
                <w:lang w:val="es-ES"/>
              </w:rPr>
              <w:t>Malary</w:t>
            </w:r>
            <w:proofErr w:type="spellEnd"/>
            <w:r w:rsidRPr="00C97448">
              <w:rPr>
                <w:rFonts w:ascii="Cambria" w:hAnsi="Cambria"/>
                <w:sz w:val="20"/>
                <w:szCs w:val="20"/>
                <w:lang w:val="es-ES"/>
              </w:rPr>
              <w:t xml:space="preserve"> en la ciudad de Puerto Príncipe el 14 de octubre de 1993 por individuos, con la participación de agentes de seguridad del Estado, y al hecho de que el Estado haitiano no investigó adecuadamente los hechos, no identificó a las personas responsables y no les sancionó. El señor Guy </w:t>
            </w:r>
            <w:proofErr w:type="spellStart"/>
            <w:r w:rsidRPr="00C97448">
              <w:rPr>
                <w:rFonts w:ascii="Cambria" w:hAnsi="Cambria"/>
                <w:sz w:val="20"/>
                <w:szCs w:val="20"/>
                <w:lang w:val="es-ES"/>
              </w:rPr>
              <w:t>Malary</w:t>
            </w:r>
            <w:proofErr w:type="spellEnd"/>
            <w:r w:rsidRPr="00C97448">
              <w:rPr>
                <w:rFonts w:ascii="Cambria" w:hAnsi="Cambria"/>
                <w:sz w:val="20"/>
                <w:szCs w:val="20"/>
                <w:lang w:val="es-ES"/>
              </w:rPr>
              <w:t xml:space="preserve"> fue nombrado el </w:t>
            </w:r>
            <w:proofErr w:type="gramStart"/>
            <w:r w:rsidRPr="00C97448">
              <w:rPr>
                <w:rFonts w:ascii="Cambria" w:hAnsi="Cambria"/>
                <w:sz w:val="20"/>
                <w:szCs w:val="20"/>
                <w:lang w:val="es-ES"/>
              </w:rPr>
              <w:t>Ministro</w:t>
            </w:r>
            <w:proofErr w:type="gramEnd"/>
            <w:r w:rsidRPr="00C97448">
              <w:rPr>
                <w:rFonts w:ascii="Cambria" w:hAnsi="Cambria"/>
                <w:sz w:val="20"/>
                <w:szCs w:val="20"/>
                <w:lang w:val="es-ES"/>
              </w:rPr>
              <w:t xml:space="preserve"> de Justicia por el Presidente Jean-Bertrand </w:t>
            </w:r>
            <w:proofErr w:type="spellStart"/>
            <w:r w:rsidRPr="00C97448">
              <w:rPr>
                <w:rFonts w:ascii="Cambria" w:hAnsi="Cambria"/>
                <w:sz w:val="20"/>
                <w:szCs w:val="20"/>
                <w:lang w:val="es-ES"/>
              </w:rPr>
              <w:t>Aristide</w:t>
            </w:r>
            <w:proofErr w:type="spellEnd"/>
            <w:r w:rsidRPr="00C97448">
              <w:rPr>
                <w:rFonts w:ascii="Cambria" w:hAnsi="Cambria"/>
                <w:sz w:val="20"/>
                <w:szCs w:val="20"/>
                <w:lang w:val="es-ES"/>
              </w:rPr>
              <w:t xml:space="preserve"> durante su primer mandato y continuó ejerciendo dicho cargo durante el gobierno militar de facto de Raoul </w:t>
            </w:r>
            <w:proofErr w:type="spellStart"/>
            <w:r w:rsidRPr="00C97448">
              <w:rPr>
                <w:rFonts w:ascii="Cambria" w:hAnsi="Cambria"/>
                <w:sz w:val="20"/>
                <w:szCs w:val="20"/>
                <w:lang w:val="es-ES"/>
              </w:rPr>
              <w:t>Cédras</w:t>
            </w:r>
            <w:proofErr w:type="spellEnd"/>
            <w:r w:rsidRPr="00C97448">
              <w:rPr>
                <w:rFonts w:ascii="Cambria" w:hAnsi="Cambria"/>
                <w:sz w:val="20"/>
                <w:szCs w:val="20"/>
                <w:lang w:val="es-ES"/>
              </w:rPr>
              <w:t>.</w:t>
            </w:r>
          </w:p>
          <w:p w14:paraId="0EEA6050" w14:textId="77777777" w:rsidR="009C1E23" w:rsidRPr="00C97448" w:rsidRDefault="009C1E23" w:rsidP="00B61D5E">
            <w:pPr>
              <w:spacing w:after="120"/>
              <w:jc w:val="both"/>
              <w:rPr>
                <w:rFonts w:ascii="Cambria" w:hAnsi="Cambria"/>
                <w:b/>
                <w:sz w:val="20"/>
                <w:szCs w:val="20"/>
                <w:lang w:val="es-ES"/>
              </w:rPr>
            </w:pPr>
            <w:r w:rsidRPr="00C97448">
              <w:rPr>
                <w:rFonts w:ascii="Cambria" w:hAnsi="Cambria"/>
                <w:b/>
                <w:sz w:val="20"/>
                <w:szCs w:val="20"/>
                <w:lang w:val="es-ES"/>
              </w:rPr>
              <w:t xml:space="preserve">Derechos violados: </w:t>
            </w:r>
            <w:r w:rsidRPr="00C97448">
              <w:rPr>
                <w:rFonts w:ascii="Cambria" w:hAnsi="Cambria"/>
                <w:sz w:val="20"/>
                <w:szCs w:val="20"/>
                <w:lang w:val="es-ES"/>
              </w:rPr>
              <w:t xml:space="preserve">La Comisión concluyó que: a) El Estado haitiano  violó el derecho a la vida consagrado en el artículo 4 de la Convención Americana en perjuicio del señor Guy </w:t>
            </w:r>
            <w:proofErr w:type="spellStart"/>
            <w:r w:rsidRPr="00C97448">
              <w:rPr>
                <w:rFonts w:ascii="Cambria" w:hAnsi="Cambria"/>
                <w:sz w:val="20"/>
                <w:szCs w:val="20"/>
                <w:lang w:val="es-ES"/>
              </w:rPr>
              <w:t>Malary</w:t>
            </w:r>
            <w:proofErr w:type="spellEnd"/>
            <w:r w:rsidRPr="00C97448">
              <w:rPr>
                <w:rFonts w:ascii="Cambria" w:hAnsi="Cambria"/>
                <w:sz w:val="20"/>
                <w:szCs w:val="20"/>
                <w:lang w:val="es-ES"/>
              </w:rPr>
              <w:t xml:space="preserve">; b) El Estado haitiano violó los derechos a las garantías judiciales y la protección judicial consagrados en los artículos 8(1) y 25 de la Convención Americana en perjuicio de los familiares del señor Guy </w:t>
            </w:r>
            <w:proofErr w:type="spellStart"/>
            <w:r w:rsidRPr="00C97448">
              <w:rPr>
                <w:rFonts w:ascii="Cambria" w:hAnsi="Cambria"/>
                <w:sz w:val="20"/>
                <w:szCs w:val="20"/>
                <w:lang w:val="es-ES"/>
              </w:rPr>
              <w:t>Malary</w:t>
            </w:r>
            <w:proofErr w:type="spellEnd"/>
            <w:r w:rsidRPr="00C97448">
              <w:rPr>
                <w:rFonts w:ascii="Cambria" w:hAnsi="Cambria"/>
                <w:sz w:val="20"/>
                <w:szCs w:val="20"/>
                <w:lang w:val="es-ES"/>
              </w:rPr>
              <w:t xml:space="preserve">; c) Las violaciones antes mencionadas involucran que el Estado haitiano incumplió la obligación general de respetar y garantizar los derechos prevista en el artículo 1(1) del citado instrumento internacional, en perjuicio del señor Guy </w:t>
            </w:r>
            <w:proofErr w:type="spellStart"/>
            <w:r w:rsidRPr="00C97448">
              <w:rPr>
                <w:rFonts w:ascii="Cambria" w:hAnsi="Cambria"/>
                <w:sz w:val="20"/>
                <w:szCs w:val="20"/>
                <w:lang w:val="es-ES"/>
              </w:rPr>
              <w:t>Malary</w:t>
            </w:r>
            <w:proofErr w:type="spellEnd"/>
            <w:r w:rsidRPr="00C97448">
              <w:rPr>
                <w:rFonts w:ascii="Cambria" w:hAnsi="Cambria"/>
                <w:sz w:val="20"/>
                <w:szCs w:val="20"/>
                <w:lang w:val="es-ES"/>
              </w:rPr>
              <w:t xml:space="preserve"> y de sus familiares, y el Estado haitiano está obligado a investigar los hechos, sancionar a los responsables y reparar las consecuencias de esas violaciones e indemnizar a los familiares del señor </w:t>
            </w:r>
            <w:proofErr w:type="spellStart"/>
            <w:r w:rsidRPr="00C97448">
              <w:rPr>
                <w:rFonts w:ascii="Cambria" w:hAnsi="Cambria"/>
                <w:sz w:val="20"/>
                <w:szCs w:val="20"/>
                <w:lang w:val="es-ES"/>
              </w:rPr>
              <w:t>Malary</w:t>
            </w:r>
            <w:proofErr w:type="spellEnd"/>
            <w:r w:rsidRPr="00C97448">
              <w:rPr>
                <w:rFonts w:ascii="Cambria" w:hAnsi="Cambria"/>
                <w:sz w:val="20"/>
                <w:szCs w:val="20"/>
                <w:lang w:val="es-ES"/>
              </w:rPr>
              <w:t>.</w:t>
            </w:r>
          </w:p>
        </w:tc>
      </w:tr>
    </w:tbl>
    <w:p w14:paraId="7EF32F36" w14:textId="77777777" w:rsidR="009C1E23" w:rsidRPr="00C97448" w:rsidRDefault="009C1E23" w:rsidP="009C1E23">
      <w:pPr>
        <w:ind w:left="180"/>
        <w:rPr>
          <w:rFonts w:ascii="Cambria" w:hAnsi="Cambria"/>
          <w:sz w:val="20"/>
          <w:szCs w:val="20"/>
          <w:lang w:val="es-ES"/>
        </w:rPr>
      </w:pPr>
    </w:p>
    <w:p w14:paraId="526727AC" w14:textId="77777777" w:rsidR="009C1E23" w:rsidRPr="00C97448" w:rsidRDefault="009C1E23" w:rsidP="009C1E23">
      <w:pPr>
        <w:pStyle w:val="NoSpacing"/>
        <w:numPr>
          <w:ilvl w:val="0"/>
          <w:numId w:val="15"/>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Recomendaciones </w:t>
      </w:r>
    </w:p>
    <w:p w14:paraId="5A69D177" w14:textId="77777777" w:rsidR="009C1E23" w:rsidRPr="00C97448" w:rsidRDefault="009C1E23" w:rsidP="009C1E23">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9C1E23" w:rsidRPr="009023C7" w14:paraId="48F1BCD9" w14:textId="77777777" w:rsidTr="00B61D5E">
        <w:tc>
          <w:tcPr>
            <w:tcW w:w="7290" w:type="dxa"/>
            <w:shd w:val="clear" w:color="auto" w:fill="auto"/>
            <w:vAlign w:val="center"/>
          </w:tcPr>
          <w:p w14:paraId="2895B639" w14:textId="77777777" w:rsidR="009C1E23" w:rsidRPr="00C469B7" w:rsidRDefault="009C1E23" w:rsidP="00B61D5E">
            <w:pPr>
              <w:jc w:val="center"/>
              <w:rPr>
                <w:rFonts w:ascii="Cambria" w:hAnsi="Cambria" w:cs="Calibri Light"/>
                <w:b/>
                <w:sz w:val="18"/>
                <w:szCs w:val="18"/>
                <w:lang w:val="es-ES"/>
              </w:rPr>
            </w:pPr>
            <w:r w:rsidRPr="00C469B7">
              <w:rPr>
                <w:rFonts w:ascii="Cambria" w:hAnsi="Cambria" w:cs="Calibri Light"/>
                <w:b/>
                <w:sz w:val="18"/>
                <w:szCs w:val="18"/>
                <w:lang w:val="es-ES"/>
              </w:rPr>
              <w:t>Recomendaciones</w:t>
            </w:r>
          </w:p>
        </w:tc>
        <w:tc>
          <w:tcPr>
            <w:tcW w:w="2250" w:type="dxa"/>
            <w:shd w:val="clear" w:color="auto" w:fill="auto"/>
            <w:vAlign w:val="center"/>
          </w:tcPr>
          <w:p w14:paraId="127C6314" w14:textId="319311F1" w:rsidR="009C1E23" w:rsidRPr="00C469B7" w:rsidRDefault="009C1E23" w:rsidP="00B61D5E">
            <w:pPr>
              <w:jc w:val="center"/>
              <w:rPr>
                <w:rFonts w:ascii="Cambria" w:hAnsi="Cambria" w:cs="Calibri Light"/>
                <w:b/>
                <w:sz w:val="18"/>
                <w:szCs w:val="18"/>
                <w:lang w:val="es-ES"/>
              </w:rPr>
            </w:pPr>
            <w:r w:rsidRPr="00C469B7">
              <w:rPr>
                <w:rFonts w:ascii="Cambria" w:hAnsi="Cambria" w:cs="Calibri Light"/>
                <w:b/>
                <w:sz w:val="18"/>
                <w:szCs w:val="18"/>
                <w:lang w:val="es-ES"/>
              </w:rPr>
              <w:t xml:space="preserve">Estado de cumplimiento en el </w:t>
            </w:r>
            <w:r w:rsidR="00CA190C" w:rsidRPr="00C469B7">
              <w:rPr>
                <w:rFonts w:ascii="Cambria" w:hAnsi="Cambria" w:cs="Calibri Light"/>
                <w:b/>
                <w:color w:val="000000" w:themeColor="text1"/>
                <w:sz w:val="18"/>
                <w:szCs w:val="18"/>
                <w:lang w:val="es-ES"/>
              </w:rPr>
              <w:t>2021</w:t>
            </w:r>
          </w:p>
        </w:tc>
      </w:tr>
      <w:tr w:rsidR="009C1E23" w:rsidRPr="00C469B7" w14:paraId="281FE005" w14:textId="77777777" w:rsidTr="00B61D5E">
        <w:tc>
          <w:tcPr>
            <w:tcW w:w="7290" w:type="dxa"/>
            <w:shd w:val="clear" w:color="auto" w:fill="auto"/>
          </w:tcPr>
          <w:p w14:paraId="7CE6AEB7" w14:textId="77777777" w:rsidR="009C1E23" w:rsidRPr="00C469B7" w:rsidRDefault="009C1E23" w:rsidP="00B61D5E">
            <w:pPr>
              <w:pStyle w:val="BodyTextIndent2"/>
              <w:jc w:val="both"/>
              <w:rPr>
                <w:rFonts w:ascii="Cambria" w:hAnsi="Cambria"/>
                <w:sz w:val="18"/>
                <w:szCs w:val="18"/>
                <w:lang w:val="es-ES"/>
              </w:rPr>
            </w:pPr>
            <w:r w:rsidRPr="00C469B7">
              <w:rPr>
                <w:rFonts w:ascii="Cambria" w:hAnsi="Cambria"/>
                <w:sz w:val="18"/>
                <w:szCs w:val="18"/>
                <w:lang w:val="es-ES"/>
              </w:rPr>
              <w:t xml:space="preserve">1. Que lleve a cabo una investigación judicial de manera completa, rápida, imparcial y efectiva en la jurisdicción penal ordinaria haitiana para determinar la responsabilidad de todos los autores de la violación del derecho a la vida del señor Guy </w:t>
            </w:r>
            <w:proofErr w:type="spellStart"/>
            <w:r w:rsidRPr="00C469B7">
              <w:rPr>
                <w:rFonts w:ascii="Cambria" w:hAnsi="Cambria"/>
                <w:sz w:val="18"/>
                <w:szCs w:val="18"/>
                <w:lang w:val="es-ES"/>
              </w:rPr>
              <w:t>Malary</w:t>
            </w:r>
            <w:proofErr w:type="spellEnd"/>
            <w:r w:rsidRPr="00C469B7">
              <w:rPr>
                <w:rFonts w:ascii="Cambria" w:hAnsi="Cambria"/>
                <w:sz w:val="18"/>
                <w:szCs w:val="18"/>
                <w:lang w:val="es-ES"/>
              </w:rPr>
              <w:t xml:space="preserve"> y sancione a todos los responsables.</w:t>
            </w:r>
          </w:p>
        </w:tc>
        <w:tc>
          <w:tcPr>
            <w:tcW w:w="2250" w:type="dxa"/>
            <w:shd w:val="clear" w:color="auto" w:fill="auto"/>
            <w:vAlign w:val="center"/>
          </w:tcPr>
          <w:p w14:paraId="38C9932C" w14:textId="77777777" w:rsidR="009C1E23" w:rsidRPr="00C469B7" w:rsidRDefault="009C1E23" w:rsidP="00B61D5E">
            <w:pPr>
              <w:jc w:val="center"/>
              <w:rPr>
                <w:rFonts w:ascii="Cambria" w:hAnsi="Cambria" w:cs="Calibri Light"/>
                <w:sz w:val="18"/>
                <w:szCs w:val="18"/>
                <w:lang w:val="es-ES"/>
              </w:rPr>
            </w:pPr>
            <w:r w:rsidRPr="00C469B7">
              <w:rPr>
                <w:rFonts w:ascii="Cambria" w:hAnsi="Cambria" w:cs="Calibri Light"/>
                <w:sz w:val="18"/>
                <w:szCs w:val="18"/>
                <w:lang w:val="es-ES"/>
              </w:rPr>
              <w:t>Pendiente de cumplimiento</w:t>
            </w:r>
          </w:p>
        </w:tc>
      </w:tr>
      <w:tr w:rsidR="009C1E23" w:rsidRPr="00C469B7" w14:paraId="56B86330" w14:textId="77777777" w:rsidTr="00B61D5E">
        <w:tc>
          <w:tcPr>
            <w:tcW w:w="7290" w:type="dxa"/>
            <w:shd w:val="clear" w:color="auto" w:fill="auto"/>
          </w:tcPr>
          <w:p w14:paraId="69E1DBE8" w14:textId="77777777" w:rsidR="009C1E23" w:rsidRPr="00C469B7" w:rsidRDefault="009C1E23" w:rsidP="00B61D5E">
            <w:pPr>
              <w:jc w:val="both"/>
              <w:rPr>
                <w:rFonts w:ascii="Cambria" w:hAnsi="Cambria"/>
                <w:sz w:val="18"/>
                <w:szCs w:val="18"/>
                <w:lang w:val="es-ES"/>
              </w:rPr>
            </w:pPr>
            <w:r w:rsidRPr="00C469B7">
              <w:rPr>
                <w:rFonts w:ascii="Cambria" w:hAnsi="Cambria"/>
                <w:sz w:val="18"/>
                <w:szCs w:val="18"/>
                <w:lang w:val="es-ES"/>
              </w:rPr>
              <w:t>2. Que otorgue una reparación integral a los familiares de las víctimas, entre otras, el pago de una indemnización justa.</w:t>
            </w:r>
          </w:p>
        </w:tc>
        <w:tc>
          <w:tcPr>
            <w:tcW w:w="2250" w:type="dxa"/>
            <w:shd w:val="clear" w:color="auto" w:fill="auto"/>
            <w:vAlign w:val="center"/>
          </w:tcPr>
          <w:p w14:paraId="18BE470C" w14:textId="77777777" w:rsidR="009C1E23" w:rsidRPr="00C469B7" w:rsidRDefault="009C1E23" w:rsidP="00B61D5E">
            <w:pPr>
              <w:jc w:val="center"/>
              <w:rPr>
                <w:rFonts w:ascii="Cambria" w:hAnsi="Cambria" w:cs="Calibri Light"/>
                <w:b/>
                <w:sz w:val="18"/>
                <w:szCs w:val="18"/>
                <w:lang w:val="es-ES"/>
              </w:rPr>
            </w:pPr>
            <w:r w:rsidRPr="00C469B7">
              <w:rPr>
                <w:rFonts w:ascii="Cambria" w:hAnsi="Cambria" w:cs="Calibri Light"/>
                <w:sz w:val="18"/>
                <w:szCs w:val="18"/>
                <w:lang w:val="es-ES"/>
              </w:rPr>
              <w:t>Pendiente de cumplimiento</w:t>
            </w:r>
          </w:p>
        </w:tc>
      </w:tr>
      <w:tr w:rsidR="009C1E23" w:rsidRPr="00C469B7" w14:paraId="6881B3D4" w14:textId="77777777" w:rsidTr="00B61D5E">
        <w:tc>
          <w:tcPr>
            <w:tcW w:w="7290" w:type="dxa"/>
            <w:shd w:val="clear" w:color="auto" w:fill="auto"/>
          </w:tcPr>
          <w:p w14:paraId="7AC1FB61" w14:textId="77777777" w:rsidR="009C1E23" w:rsidRPr="00C469B7" w:rsidRDefault="009C1E23" w:rsidP="00B61D5E">
            <w:pPr>
              <w:jc w:val="both"/>
              <w:rPr>
                <w:rFonts w:ascii="Cambria" w:hAnsi="Cambria"/>
                <w:sz w:val="18"/>
                <w:szCs w:val="18"/>
                <w:lang w:val="es-ES"/>
              </w:rPr>
            </w:pPr>
            <w:r w:rsidRPr="00C469B7">
              <w:rPr>
                <w:rFonts w:ascii="Cambria" w:hAnsi="Cambria"/>
                <w:sz w:val="18"/>
                <w:szCs w:val="18"/>
                <w:lang w:val="es-ES"/>
              </w:rPr>
              <w:t>3. Que adopte las medidas necesarias para que las autoridades competentes responsables de las investigaciones judiciales conduzcan los procesos penales de acuerdo con los instrumentos internacionales en materia de derechos humanos.</w:t>
            </w:r>
          </w:p>
        </w:tc>
        <w:tc>
          <w:tcPr>
            <w:tcW w:w="2250" w:type="dxa"/>
            <w:shd w:val="clear" w:color="auto" w:fill="auto"/>
            <w:vAlign w:val="center"/>
          </w:tcPr>
          <w:p w14:paraId="7ED5BB5C" w14:textId="77777777" w:rsidR="009C1E23" w:rsidRPr="00C469B7" w:rsidRDefault="009C1E23" w:rsidP="00B61D5E">
            <w:pPr>
              <w:jc w:val="center"/>
              <w:rPr>
                <w:rFonts w:ascii="Cambria" w:hAnsi="Cambria" w:cs="Calibri Light"/>
                <w:b/>
                <w:sz w:val="18"/>
                <w:szCs w:val="18"/>
                <w:lang w:val="es-ES"/>
              </w:rPr>
            </w:pPr>
            <w:r w:rsidRPr="00C469B7">
              <w:rPr>
                <w:rFonts w:ascii="Cambria" w:hAnsi="Cambria" w:cs="Calibri Light"/>
                <w:sz w:val="18"/>
                <w:szCs w:val="18"/>
                <w:lang w:val="es-ES"/>
              </w:rPr>
              <w:t>Pendiente de cumplimiento</w:t>
            </w:r>
          </w:p>
        </w:tc>
      </w:tr>
    </w:tbl>
    <w:p w14:paraId="52DCAC26" w14:textId="77777777" w:rsidR="009C1E23" w:rsidRPr="00C469B7" w:rsidRDefault="009C1E23" w:rsidP="009C1E23">
      <w:pPr>
        <w:jc w:val="both"/>
        <w:rPr>
          <w:rFonts w:ascii="Cambria" w:hAnsi="Cambria" w:cs="Calibri Light"/>
          <w:sz w:val="20"/>
          <w:szCs w:val="20"/>
          <w:lang w:val="es-ES"/>
        </w:rPr>
      </w:pPr>
    </w:p>
    <w:p w14:paraId="76C5095D" w14:textId="77777777" w:rsidR="009C1E23" w:rsidRPr="00C469B7" w:rsidRDefault="009C1E23" w:rsidP="009C1E23">
      <w:pPr>
        <w:pStyle w:val="ListParagraph"/>
        <w:numPr>
          <w:ilvl w:val="0"/>
          <w:numId w:val="15"/>
        </w:numPr>
        <w:ind w:firstLine="0"/>
        <w:jc w:val="both"/>
        <w:rPr>
          <w:rFonts w:ascii="Cambria" w:hAnsi="Cambria" w:cs="Calibri Light"/>
          <w:b/>
          <w:sz w:val="20"/>
          <w:szCs w:val="20"/>
          <w:lang w:val="es-ES"/>
        </w:rPr>
      </w:pPr>
      <w:r w:rsidRPr="00C469B7">
        <w:rPr>
          <w:rFonts w:ascii="Cambria" w:hAnsi="Cambria"/>
          <w:b/>
          <w:sz w:val="20"/>
          <w:szCs w:val="20"/>
          <w:lang w:val="es-ES"/>
        </w:rPr>
        <w:t>Actividad Procesal</w:t>
      </w:r>
    </w:p>
    <w:p w14:paraId="000533A5" w14:textId="77777777" w:rsidR="009C1E23" w:rsidRPr="00C469B7" w:rsidRDefault="009C1E23" w:rsidP="009C1E23">
      <w:pPr>
        <w:jc w:val="both"/>
        <w:rPr>
          <w:rFonts w:ascii="Cambria" w:hAnsi="Cambria" w:cs="Calibri Light"/>
          <w:sz w:val="20"/>
          <w:szCs w:val="20"/>
          <w:lang w:val="es-ES"/>
        </w:rPr>
      </w:pPr>
    </w:p>
    <w:p w14:paraId="629AE1FC" w14:textId="62D7B60B" w:rsidR="009C1E23" w:rsidRPr="00C97448" w:rsidRDefault="009C1E23" w:rsidP="009C1E23">
      <w:pPr>
        <w:pStyle w:val="ListParagraph"/>
        <w:numPr>
          <w:ilvl w:val="0"/>
          <w:numId w:val="21"/>
        </w:numPr>
        <w:ind w:left="0" w:firstLine="720"/>
        <w:jc w:val="both"/>
        <w:rPr>
          <w:rFonts w:ascii="Cambria" w:hAnsi="Cambria" w:cs="Calibri Light"/>
          <w:color w:val="000000" w:themeColor="text1"/>
          <w:sz w:val="20"/>
          <w:szCs w:val="20"/>
          <w:lang w:val="es-ES"/>
        </w:rPr>
      </w:pPr>
      <w:r w:rsidRPr="5072B55E">
        <w:rPr>
          <w:rFonts w:ascii="Cambria" w:hAnsi="Cambria" w:cs="Calibri Light"/>
          <w:color w:val="000000" w:themeColor="text1"/>
          <w:sz w:val="20"/>
          <w:szCs w:val="20"/>
          <w:lang w:val="es-ES"/>
        </w:rPr>
        <w:t>En 202</w:t>
      </w:r>
      <w:r w:rsidR="43D8F674" w:rsidRPr="5072B55E">
        <w:rPr>
          <w:rFonts w:ascii="Cambria" w:hAnsi="Cambria" w:cs="Calibri Light"/>
          <w:color w:val="000000" w:themeColor="text1"/>
          <w:sz w:val="20"/>
          <w:szCs w:val="20"/>
          <w:lang w:val="es-ES"/>
        </w:rPr>
        <w:t>1</w:t>
      </w:r>
      <w:r w:rsidRPr="5072B55E">
        <w:rPr>
          <w:rFonts w:ascii="Cambria" w:hAnsi="Cambria" w:cs="Calibri Light"/>
          <w:color w:val="000000" w:themeColor="text1"/>
          <w:sz w:val="20"/>
          <w:szCs w:val="20"/>
          <w:lang w:val="es-ES"/>
        </w:rPr>
        <w:t>, la CIDH solicitó información actualizada sobre el cumplimiento de las recomendaciones al Estado y a los peticionarios el 1</w:t>
      </w:r>
      <w:r w:rsidR="00CA190C" w:rsidRPr="5072B55E">
        <w:rPr>
          <w:rFonts w:ascii="Cambria" w:hAnsi="Cambria" w:cs="Calibri Light"/>
          <w:color w:val="000000" w:themeColor="text1"/>
          <w:sz w:val="20"/>
          <w:szCs w:val="20"/>
          <w:lang w:val="es-ES"/>
        </w:rPr>
        <w:t xml:space="preserve">6 </w:t>
      </w:r>
      <w:r w:rsidRPr="5072B55E">
        <w:rPr>
          <w:rFonts w:ascii="Cambria" w:hAnsi="Cambria" w:cs="Calibri Light"/>
          <w:color w:val="000000" w:themeColor="text1"/>
          <w:sz w:val="20"/>
          <w:szCs w:val="20"/>
          <w:lang w:val="es-ES"/>
        </w:rPr>
        <w:t>de agosto.</w:t>
      </w:r>
      <w:r w:rsidR="00CA190C" w:rsidRPr="5072B55E">
        <w:rPr>
          <w:rFonts w:ascii="Cambria" w:hAnsi="Cambria" w:cs="Calibri Light"/>
          <w:color w:val="000000" w:themeColor="text1"/>
          <w:sz w:val="20"/>
          <w:szCs w:val="20"/>
          <w:lang w:val="es-ES"/>
        </w:rPr>
        <w:t xml:space="preserve"> </w:t>
      </w:r>
      <w:r w:rsidRPr="5072B55E">
        <w:rPr>
          <w:rFonts w:ascii="Cambria" w:hAnsi="Cambria" w:cs="Calibri Light"/>
          <w:color w:val="000000" w:themeColor="text1"/>
          <w:sz w:val="20"/>
          <w:szCs w:val="20"/>
          <w:lang w:val="es-ES"/>
        </w:rPr>
        <w:t xml:space="preserve"> A la fecha de cierre de este informe, </w:t>
      </w:r>
      <w:r w:rsidRPr="5072B55E">
        <w:rPr>
          <w:rFonts w:ascii="Cambria" w:hAnsi="Cambria"/>
          <w:color w:val="000000" w:themeColor="text1"/>
          <w:sz w:val="20"/>
          <w:szCs w:val="20"/>
          <w:lang w:val="es-ES"/>
        </w:rPr>
        <w:t xml:space="preserve">la Comisión no había recibido dicha información de ninguna de las partes. </w:t>
      </w:r>
      <w:r w:rsidRPr="5072B55E">
        <w:rPr>
          <w:rFonts w:ascii="Cambria" w:eastAsia="Times New Roman" w:hAnsi="Cambria" w:cs="Calibri Light"/>
          <w:color w:val="000000" w:themeColor="text1"/>
          <w:sz w:val="20"/>
          <w:szCs w:val="20"/>
          <w:lang w:val="es-CO"/>
        </w:rPr>
        <w:t xml:space="preserve">La Comisión observa con preocupación que el </w:t>
      </w:r>
      <w:r w:rsidRPr="5072B55E">
        <w:rPr>
          <w:rFonts w:ascii="Cambria" w:eastAsia="Times New Roman" w:hAnsi="Cambria" w:cs="Calibri Light"/>
          <w:color w:val="000000" w:themeColor="text1"/>
          <w:sz w:val="20"/>
          <w:szCs w:val="20"/>
          <w:lang w:val="es-CO"/>
        </w:rPr>
        <w:lastRenderedPageBreak/>
        <w:t xml:space="preserve">Estado no ha presentado información sobre las medidas adoptadas para implementar las recomendaciones contenidas en el Informe de Fondo </w:t>
      </w:r>
      <w:proofErr w:type="spellStart"/>
      <w:r w:rsidRPr="5072B55E">
        <w:rPr>
          <w:rFonts w:ascii="Cambria" w:eastAsia="Times New Roman" w:hAnsi="Cambria" w:cs="Calibri Light"/>
          <w:color w:val="000000" w:themeColor="text1"/>
          <w:sz w:val="20"/>
          <w:szCs w:val="20"/>
          <w:lang w:val="es-CO"/>
        </w:rPr>
        <w:t>Nº</w:t>
      </w:r>
      <w:proofErr w:type="spellEnd"/>
      <w:r w:rsidRPr="5072B55E">
        <w:rPr>
          <w:rFonts w:ascii="Cambria" w:eastAsia="Times New Roman" w:hAnsi="Cambria" w:cs="Calibri Light"/>
          <w:color w:val="000000" w:themeColor="text1"/>
          <w:sz w:val="20"/>
          <w:szCs w:val="20"/>
          <w:lang w:val="es-CO"/>
        </w:rPr>
        <w:t xml:space="preserve"> 78/02 desde su publicación, en 2002, y los peticionarios, desde el 2003. </w:t>
      </w:r>
    </w:p>
    <w:p w14:paraId="6ADC5E5B" w14:textId="77777777" w:rsidR="009C1E23" w:rsidRPr="00C97448" w:rsidRDefault="009C1E23" w:rsidP="009C1E23">
      <w:pPr>
        <w:jc w:val="both"/>
        <w:rPr>
          <w:rFonts w:ascii="Cambria" w:hAnsi="Cambria" w:cs="Calibri Light"/>
          <w:sz w:val="20"/>
          <w:szCs w:val="20"/>
          <w:lang w:val="es-ES"/>
        </w:rPr>
      </w:pPr>
    </w:p>
    <w:p w14:paraId="231CC0A5" w14:textId="77777777" w:rsidR="009C1E23" w:rsidRPr="00C97448" w:rsidRDefault="009C1E23" w:rsidP="009C1E23">
      <w:pPr>
        <w:pStyle w:val="ListParagraph"/>
        <w:numPr>
          <w:ilvl w:val="0"/>
          <w:numId w:val="15"/>
        </w:numPr>
        <w:ind w:firstLine="0"/>
        <w:jc w:val="both"/>
        <w:rPr>
          <w:rFonts w:ascii="Cambria" w:hAnsi="Cambria" w:cs="Calibri Light"/>
          <w:b/>
          <w:sz w:val="20"/>
          <w:szCs w:val="20"/>
          <w:lang w:val="es-ES"/>
        </w:rPr>
      </w:pPr>
      <w:r w:rsidRPr="00C97448">
        <w:rPr>
          <w:rFonts w:ascii="Cambria" w:hAnsi="Cambria" w:cs="Calibri Light"/>
          <w:b/>
          <w:sz w:val="20"/>
          <w:szCs w:val="20"/>
          <w:lang w:val="es-ES"/>
        </w:rPr>
        <w:t>Análisis relativo a la información proporcionada</w:t>
      </w:r>
    </w:p>
    <w:p w14:paraId="21174FE3" w14:textId="77777777" w:rsidR="009C1E23" w:rsidRPr="00C97448" w:rsidRDefault="009C1E23" w:rsidP="009C1E23">
      <w:pPr>
        <w:jc w:val="both"/>
        <w:rPr>
          <w:rFonts w:ascii="Cambria" w:hAnsi="Cambria" w:cs="Calibri Light"/>
          <w:sz w:val="20"/>
          <w:szCs w:val="20"/>
          <w:lang w:val="es-ES"/>
        </w:rPr>
      </w:pPr>
    </w:p>
    <w:p w14:paraId="1660780E" w14:textId="359D04EE" w:rsidR="009C1E23" w:rsidRPr="00C97448" w:rsidRDefault="009C1E23" w:rsidP="009C1E23">
      <w:pPr>
        <w:pStyle w:val="ListParagraph"/>
        <w:numPr>
          <w:ilvl w:val="0"/>
          <w:numId w:val="21"/>
        </w:numPr>
        <w:ind w:left="0" w:firstLine="720"/>
        <w:jc w:val="both"/>
        <w:rPr>
          <w:rFonts w:ascii="Cambria" w:hAnsi="Cambria" w:cs="Calibri Light"/>
          <w:color w:val="000000" w:themeColor="text1"/>
          <w:sz w:val="20"/>
          <w:szCs w:val="20"/>
          <w:lang w:val="es-ES"/>
        </w:rPr>
      </w:pPr>
      <w:r w:rsidRPr="5072B55E">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w:t>
      </w:r>
      <w:r w:rsidR="5F02478C" w:rsidRPr="5072B55E">
        <w:rPr>
          <w:rFonts w:ascii="Cambria" w:hAnsi="Cambria" w:cs="Calibri Light"/>
          <w:color w:val="000000" w:themeColor="text1"/>
          <w:sz w:val="20"/>
          <w:szCs w:val="20"/>
          <w:lang w:val="es-ES"/>
        </w:rPr>
        <w:t>20</w:t>
      </w:r>
      <w:r w:rsidRPr="5072B55E">
        <w:rPr>
          <w:rFonts w:ascii="Cambria" w:hAnsi="Cambria" w:cs="Calibri Light"/>
          <w:color w:val="000000" w:themeColor="text1"/>
          <w:sz w:val="20"/>
          <w:szCs w:val="20"/>
          <w:lang w:val="es-ES"/>
        </w:rPr>
        <w:t>.</w:t>
      </w:r>
    </w:p>
    <w:p w14:paraId="0DEA7A98" w14:textId="77777777" w:rsidR="009C1E23" w:rsidRPr="00C97448" w:rsidRDefault="009C1E23" w:rsidP="009C1E23">
      <w:pPr>
        <w:pStyle w:val="ListParagraph"/>
        <w:jc w:val="both"/>
        <w:rPr>
          <w:rFonts w:ascii="Cambria" w:hAnsi="Cambria" w:cs="Calibri Light"/>
          <w:sz w:val="20"/>
          <w:szCs w:val="20"/>
          <w:lang w:val="es-ES"/>
        </w:rPr>
      </w:pPr>
    </w:p>
    <w:p w14:paraId="776DD3F6" w14:textId="77777777" w:rsidR="009C1E23" w:rsidRPr="00C97448" w:rsidRDefault="009C1E23" w:rsidP="009C1E23">
      <w:pPr>
        <w:pStyle w:val="ListParagraph"/>
        <w:numPr>
          <w:ilvl w:val="0"/>
          <w:numId w:val="15"/>
        </w:numPr>
        <w:ind w:firstLine="0"/>
        <w:jc w:val="both"/>
        <w:rPr>
          <w:rFonts w:ascii="Cambria" w:hAnsi="Cambria" w:cs="Calibri Light"/>
          <w:b/>
          <w:sz w:val="20"/>
          <w:szCs w:val="20"/>
          <w:lang w:val="es-ES"/>
        </w:rPr>
      </w:pPr>
      <w:r w:rsidRPr="00C97448">
        <w:rPr>
          <w:rFonts w:ascii="Cambria" w:hAnsi="Cambria" w:cs="Calibri Light"/>
          <w:b/>
          <w:sz w:val="20"/>
          <w:szCs w:val="20"/>
          <w:lang w:val="es-ES"/>
        </w:rPr>
        <w:t>Análisis del cumplimiento de las recomendaciones</w:t>
      </w:r>
    </w:p>
    <w:p w14:paraId="4B696DCA" w14:textId="77777777" w:rsidR="009C1E23" w:rsidRPr="00C97448" w:rsidRDefault="009C1E23" w:rsidP="009C1E23">
      <w:pPr>
        <w:jc w:val="both"/>
        <w:rPr>
          <w:rFonts w:ascii="Cambria" w:hAnsi="Cambria" w:cs="Calibri Light"/>
          <w:sz w:val="20"/>
          <w:szCs w:val="20"/>
          <w:lang w:val="es-ES"/>
        </w:rPr>
      </w:pPr>
    </w:p>
    <w:p w14:paraId="26A5CE1A" w14:textId="77777777" w:rsidR="009C1E23" w:rsidRPr="00C97448" w:rsidRDefault="009C1E23" w:rsidP="009C1E23">
      <w:pPr>
        <w:pStyle w:val="ListParagraph"/>
        <w:numPr>
          <w:ilvl w:val="0"/>
          <w:numId w:val="21"/>
        </w:numPr>
        <w:ind w:left="0" w:firstLine="720"/>
        <w:jc w:val="both"/>
        <w:rPr>
          <w:rFonts w:ascii="Cambria" w:hAnsi="Cambria" w:cs="Calibri Light"/>
          <w:sz w:val="20"/>
          <w:szCs w:val="20"/>
          <w:lang w:val="es-ES"/>
        </w:rPr>
      </w:pPr>
      <w:r w:rsidRPr="00C97448">
        <w:rPr>
          <w:rFonts w:ascii="Cambria" w:hAnsi="Cambria" w:cs="Calibri Light"/>
          <w:b/>
          <w:sz w:val="20"/>
          <w:szCs w:val="20"/>
          <w:lang w:val="es-ES"/>
        </w:rPr>
        <w:t>En relación con la primera recomendación</w:t>
      </w:r>
      <w:r w:rsidRPr="00C97448">
        <w:rPr>
          <w:rFonts w:ascii="Cambria" w:hAnsi="Cambria" w:cs="Calibri Light"/>
          <w:sz w:val="20"/>
          <w:szCs w:val="20"/>
          <w:lang w:val="es-ES"/>
        </w:rPr>
        <w:t>,</w:t>
      </w:r>
      <w:r w:rsidRPr="00C97448">
        <w:rPr>
          <w:rFonts w:ascii="Cambria" w:hAnsi="Cambria" w:cs="Calibri Light"/>
          <w:b/>
          <w:sz w:val="20"/>
          <w:szCs w:val="20"/>
          <w:lang w:val="es-ES"/>
        </w:rPr>
        <w:t xml:space="preserve"> </w:t>
      </w:r>
      <w:r w:rsidRPr="00C97448">
        <w:rPr>
          <w:rFonts w:ascii="Cambria" w:hAnsi="Cambria" w:cs="Calibri Light"/>
          <w:sz w:val="20"/>
          <w:szCs w:val="20"/>
          <w:lang w:val="es-ES"/>
        </w:rPr>
        <w:t xml:space="preserve">el Estado no ha presentado información específica sobre acciones adoptadas para cumplir con esta recomendación. Sin embargo, durante las dos visitas </w:t>
      </w:r>
      <w:r w:rsidRPr="00C97448">
        <w:rPr>
          <w:rFonts w:ascii="Cambria" w:hAnsi="Cambria" w:cs="Calibri Light"/>
          <w:i/>
          <w:sz w:val="20"/>
          <w:szCs w:val="20"/>
          <w:lang w:val="es-ES"/>
        </w:rPr>
        <w:t xml:space="preserve">in loco </w:t>
      </w:r>
      <w:r w:rsidRPr="00C97448">
        <w:rPr>
          <w:rFonts w:ascii="Cambria" w:hAnsi="Cambria" w:cs="Calibri Light"/>
          <w:sz w:val="20"/>
          <w:szCs w:val="20"/>
          <w:lang w:val="es-ES"/>
        </w:rPr>
        <w:t>de la Comisión realizadas al país en el 2002, representantes del Estado expresaron a la delegación de la CIDH su voluntad a investigar</w:t>
      </w:r>
      <w:r w:rsidRPr="00C97448">
        <w:rPr>
          <w:rStyle w:val="FootnoteReference"/>
          <w:rFonts w:ascii="Cambria" w:hAnsi="Cambria" w:cs="Calibri Light"/>
          <w:sz w:val="20"/>
          <w:szCs w:val="20"/>
          <w:lang w:val="es-ES"/>
        </w:rPr>
        <w:footnoteReference w:id="1"/>
      </w:r>
      <w:r w:rsidRPr="00C97448">
        <w:rPr>
          <w:rFonts w:ascii="Cambria" w:hAnsi="Cambria" w:cs="Calibri Light"/>
          <w:sz w:val="20"/>
          <w:szCs w:val="20"/>
          <w:lang w:val="es-ES"/>
        </w:rPr>
        <w:t>.</w:t>
      </w:r>
    </w:p>
    <w:p w14:paraId="41E08E9E" w14:textId="77777777" w:rsidR="009C1E23" w:rsidRPr="00C97448" w:rsidRDefault="009C1E23" w:rsidP="009C1E23">
      <w:pPr>
        <w:pStyle w:val="ListParagraph"/>
        <w:jc w:val="both"/>
        <w:rPr>
          <w:rFonts w:ascii="Cambria" w:hAnsi="Cambria" w:cs="Calibri Light"/>
          <w:sz w:val="20"/>
          <w:szCs w:val="20"/>
          <w:lang w:val="es-ES"/>
        </w:rPr>
      </w:pPr>
    </w:p>
    <w:p w14:paraId="5ECC0EB3" w14:textId="77777777" w:rsidR="009C1E23" w:rsidRPr="00C97448" w:rsidRDefault="009C1E23" w:rsidP="009C1E23">
      <w:pPr>
        <w:pStyle w:val="ListParagraph"/>
        <w:numPr>
          <w:ilvl w:val="0"/>
          <w:numId w:val="21"/>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En 2003, los peticionarios informaron que el Estado aún no ha conducido una investigación imparcial o efectiva sobre la muerte del señor </w:t>
      </w:r>
      <w:proofErr w:type="spellStart"/>
      <w:r w:rsidRPr="00C97448">
        <w:rPr>
          <w:rFonts w:ascii="Cambria" w:hAnsi="Cambria" w:cs="Calibri Light"/>
          <w:sz w:val="20"/>
          <w:szCs w:val="20"/>
          <w:lang w:val="es-ES"/>
        </w:rPr>
        <w:t>Malary</w:t>
      </w:r>
      <w:proofErr w:type="spellEnd"/>
      <w:r w:rsidRPr="00C97448">
        <w:rPr>
          <w:rFonts w:ascii="Cambria" w:hAnsi="Cambria" w:cs="Calibri Light"/>
          <w:sz w:val="20"/>
          <w:szCs w:val="20"/>
          <w:lang w:val="es-ES"/>
        </w:rPr>
        <w:t xml:space="preserve"> y que no ha llevado ante la justicia a los responsables del crimen. </w:t>
      </w:r>
    </w:p>
    <w:p w14:paraId="555CD7EC" w14:textId="77777777" w:rsidR="009C1E23" w:rsidRPr="00C97448" w:rsidRDefault="009C1E23" w:rsidP="009C1E23">
      <w:pPr>
        <w:pStyle w:val="ListParagraph"/>
        <w:rPr>
          <w:rFonts w:ascii="Cambria" w:hAnsi="Cambria" w:cs="Calibri Light"/>
          <w:sz w:val="20"/>
          <w:szCs w:val="20"/>
          <w:lang w:val="es-ES"/>
        </w:rPr>
      </w:pPr>
    </w:p>
    <w:p w14:paraId="65D44BFA" w14:textId="77777777" w:rsidR="009C1E23" w:rsidRPr="00C97448" w:rsidRDefault="009C1E23" w:rsidP="009C1E23">
      <w:pPr>
        <w:pStyle w:val="ListParagraph"/>
        <w:numPr>
          <w:ilvl w:val="0"/>
          <w:numId w:val="21"/>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La Comisión señala que no ha recibido información detallada y actualizada sobre las medidas adoptadas por el Estado para llevar a cabo una investigación completa, rápida, imparcial y efectiva en el ámbito de la jurisdicción penal ordinaria de Haití a fin de establecer la responsabilidad de los autores de la violación del derecho a la vida del señor Guy </w:t>
      </w:r>
      <w:proofErr w:type="spellStart"/>
      <w:r w:rsidRPr="00C97448">
        <w:rPr>
          <w:rFonts w:ascii="Cambria" w:hAnsi="Cambria" w:cs="Calibri Light"/>
          <w:sz w:val="20"/>
          <w:szCs w:val="20"/>
          <w:lang w:val="es-ES"/>
        </w:rPr>
        <w:t>Malary</w:t>
      </w:r>
      <w:proofErr w:type="spellEnd"/>
      <w:r w:rsidRPr="00C97448">
        <w:rPr>
          <w:rFonts w:ascii="Cambria" w:hAnsi="Cambria" w:cs="Calibri Light"/>
          <w:sz w:val="20"/>
          <w:szCs w:val="20"/>
          <w:lang w:val="es-ES"/>
        </w:rPr>
        <w:t xml:space="preserve"> y sancionar a los responsables. La Comisión insta al Estado a adoptar medidas para realizar esta investigación. Por lo anterior, la CIDH considera que la Recomendación 1 se encuentra pendiente de cumplimiento. </w:t>
      </w:r>
    </w:p>
    <w:p w14:paraId="1C73AE75" w14:textId="77777777" w:rsidR="009C1E23" w:rsidRPr="00C97448" w:rsidRDefault="009C1E23" w:rsidP="009C1E23">
      <w:pPr>
        <w:pStyle w:val="ListParagraph"/>
        <w:jc w:val="both"/>
        <w:rPr>
          <w:rFonts w:ascii="Cambria" w:hAnsi="Cambria" w:cs="Calibri Light"/>
          <w:b/>
          <w:sz w:val="20"/>
          <w:szCs w:val="20"/>
          <w:lang w:val="es-ES"/>
        </w:rPr>
      </w:pPr>
    </w:p>
    <w:p w14:paraId="1CF882EA" w14:textId="77777777" w:rsidR="009C1E23" w:rsidRPr="00C97448" w:rsidRDefault="009C1E23" w:rsidP="009C1E23">
      <w:pPr>
        <w:pStyle w:val="ListParagraph"/>
        <w:numPr>
          <w:ilvl w:val="0"/>
          <w:numId w:val="21"/>
        </w:numPr>
        <w:ind w:left="0" w:firstLine="720"/>
        <w:jc w:val="both"/>
        <w:rPr>
          <w:rFonts w:ascii="Cambria" w:hAnsi="Cambria" w:cs="Calibri Light"/>
          <w:b/>
          <w:sz w:val="20"/>
          <w:szCs w:val="20"/>
          <w:lang w:val="es-ES"/>
        </w:rPr>
      </w:pPr>
      <w:r w:rsidRPr="00C97448">
        <w:rPr>
          <w:rFonts w:ascii="Cambria" w:hAnsi="Cambria" w:cs="Calibri Light"/>
          <w:b/>
          <w:sz w:val="20"/>
          <w:szCs w:val="20"/>
          <w:lang w:val="es-ES"/>
        </w:rPr>
        <w:t>Respecto de la segunda recomendación</w:t>
      </w:r>
      <w:r w:rsidRPr="00C97448">
        <w:rPr>
          <w:rFonts w:ascii="Cambria" w:hAnsi="Cambria" w:cs="Calibri Light"/>
          <w:sz w:val="20"/>
          <w:szCs w:val="20"/>
          <w:lang w:val="es-ES"/>
        </w:rPr>
        <w:t>,</w:t>
      </w:r>
      <w:r w:rsidRPr="00C97448">
        <w:rPr>
          <w:rFonts w:ascii="Cambria" w:hAnsi="Cambria" w:cs="Calibri Light"/>
          <w:b/>
          <w:sz w:val="20"/>
          <w:szCs w:val="20"/>
          <w:lang w:val="es-ES"/>
        </w:rPr>
        <w:t xml:space="preserve"> </w:t>
      </w:r>
      <w:r w:rsidRPr="00C97448">
        <w:rPr>
          <w:rFonts w:ascii="Cambria" w:hAnsi="Cambria" w:cs="Calibri Light"/>
          <w:sz w:val="20"/>
          <w:szCs w:val="20"/>
          <w:lang w:val="es-ES"/>
        </w:rPr>
        <w:t xml:space="preserve">el Estado no ha presentado información específica sobre acciones adoptadas para cumplir con esta recomendación. Sin embargo, durante las dos visitas </w:t>
      </w:r>
      <w:r w:rsidRPr="00C97448">
        <w:rPr>
          <w:rFonts w:ascii="Cambria" w:hAnsi="Cambria" w:cs="Calibri Light"/>
          <w:i/>
          <w:sz w:val="20"/>
          <w:szCs w:val="20"/>
          <w:lang w:val="es-ES"/>
        </w:rPr>
        <w:t xml:space="preserve">in loco </w:t>
      </w:r>
      <w:r w:rsidRPr="00C97448">
        <w:rPr>
          <w:rFonts w:ascii="Cambria" w:hAnsi="Cambria" w:cs="Calibri Light"/>
          <w:sz w:val="20"/>
          <w:szCs w:val="20"/>
          <w:lang w:val="es-ES"/>
        </w:rPr>
        <w:t>de la Comisión realizadas al país en el 2002, representantes del Estado expresaron a la delegación de la CIDH su voluntad de indemnizar a los familiares de la víctima</w:t>
      </w:r>
      <w:r w:rsidRPr="00C97448">
        <w:rPr>
          <w:rStyle w:val="FootnoteReference"/>
          <w:rFonts w:ascii="Cambria" w:hAnsi="Cambria" w:cs="Calibri Light"/>
          <w:sz w:val="20"/>
          <w:szCs w:val="20"/>
          <w:lang w:val="es-ES"/>
        </w:rPr>
        <w:footnoteReference w:id="2"/>
      </w:r>
      <w:r w:rsidRPr="00C97448">
        <w:rPr>
          <w:rFonts w:ascii="Cambria" w:hAnsi="Cambria" w:cs="Calibri Light"/>
          <w:sz w:val="20"/>
          <w:szCs w:val="20"/>
          <w:lang w:val="es-ES"/>
        </w:rPr>
        <w:t xml:space="preserve">. </w:t>
      </w:r>
    </w:p>
    <w:p w14:paraId="04C31EA2" w14:textId="77777777" w:rsidR="009C1E23" w:rsidRPr="00C97448" w:rsidRDefault="009C1E23" w:rsidP="009C1E23">
      <w:pPr>
        <w:pStyle w:val="ListParagraph"/>
        <w:rPr>
          <w:rFonts w:ascii="Cambria" w:hAnsi="Cambria" w:cs="Calibri Light"/>
          <w:sz w:val="20"/>
          <w:szCs w:val="20"/>
          <w:lang w:val="es-ES"/>
        </w:rPr>
      </w:pPr>
    </w:p>
    <w:p w14:paraId="4C7AD53D" w14:textId="77777777" w:rsidR="009C1E23" w:rsidRPr="00C97448" w:rsidRDefault="009C1E23" w:rsidP="009C1E23">
      <w:pPr>
        <w:pStyle w:val="ListParagraph"/>
        <w:numPr>
          <w:ilvl w:val="0"/>
          <w:numId w:val="21"/>
        </w:numPr>
        <w:ind w:left="0" w:firstLine="720"/>
        <w:jc w:val="both"/>
        <w:rPr>
          <w:rFonts w:ascii="Cambria" w:hAnsi="Cambria" w:cs="Calibri Light"/>
          <w:b/>
          <w:sz w:val="20"/>
          <w:szCs w:val="20"/>
          <w:lang w:val="es-ES"/>
        </w:rPr>
      </w:pPr>
      <w:r w:rsidRPr="00C97448">
        <w:rPr>
          <w:rFonts w:ascii="Cambria" w:hAnsi="Cambria" w:cs="Calibri Light"/>
          <w:sz w:val="20"/>
          <w:szCs w:val="20"/>
          <w:lang w:val="es-ES"/>
        </w:rPr>
        <w:t>En 2003, los peticionarios informaron que el Estado aún no ha compensado a los familiares de la víctima</w:t>
      </w:r>
      <w:r w:rsidRPr="00C97448">
        <w:rPr>
          <w:rStyle w:val="FootnoteReference"/>
          <w:rFonts w:ascii="Cambria" w:hAnsi="Cambria" w:cs="Calibri Light"/>
          <w:sz w:val="20"/>
          <w:szCs w:val="20"/>
          <w:lang w:val="es-ES"/>
        </w:rPr>
        <w:footnoteReference w:id="3"/>
      </w:r>
      <w:r w:rsidRPr="00C97448">
        <w:rPr>
          <w:rFonts w:ascii="Cambria" w:hAnsi="Cambria" w:cs="Calibri Light"/>
          <w:sz w:val="20"/>
          <w:szCs w:val="20"/>
          <w:lang w:val="es-ES"/>
        </w:rPr>
        <w:t>.</w:t>
      </w:r>
    </w:p>
    <w:p w14:paraId="1F535B54" w14:textId="77777777" w:rsidR="009C1E23" w:rsidRPr="00C97448" w:rsidRDefault="009C1E23" w:rsidP="009C1E23">
      <w:pPr>
        <w:pStyle w:val="ListParagraph"/>
        <w:jc w:val="both"/>
        <w:rPr>
          <w:rFonts w:ascii="Cambria" w:hAnsi="Cambria" w:cs="Calibri Light"/>
          <w:b/>
          <w:sz w:val="20"/>
          <w:szCs w:val="20"/>
          <w:lang w:val="es-ES"/>
        </w:rPr>
      </w:pPr>
    </w:p>
    <w:p w14:paraId="5BE37B02" w14:textId="77777777" w:rsidR="009C1E23" w:rsidRPr="00C97448" w:rsidRDefault="009C1E23" w:rsidP="009C1E23">
      <w:pPr>
        <w:pStyle w:val="ListParagraph"/>
        <w:numPr>
          <w:ilvl w:val="0"/>
          <w:numId w:val="21"/>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La Comisión observa que no ha recibido información sobre las acciones realizadas por el Estado para la reparación plena a los familiares de la víctima. Por lo anterior, la CIDH considera que la Recomendación 2 se encuentra pendiente de cumplimiento. </w:t>
      </w:r>
    </w:p>
    <w:p w14:paraId="40F2DF3B" w14:textId="77777777" w:rsidR="009C1E23" w:rsidRPr="00C97448" w:rsidRDefault="009C1E23" w:rsidP="009C1E23">
      <w:pPr>
        <w:pStyle w:val="ListParagraph"/>
        <w:rPr>
          <w:rFonts w:ascii="Cambria" w:hAnsi="Cambria" w:cs="Calibri Light"/>
          <w:b/>
          <w:sz w:val="20"/>
          <w:szCs w:val="20"/>
          <w:lang w:val="es-ES"/>
        </w:rPr>
      </w:pPr>
    </w:p>
    <w:p w14:paraId="406ABCAA" w14:textId="77777777" w:rsidR="009C1E23" w:rsidRPr="00C97448" w:rsidRDefault="009C1E23" w:rsidP="009C1E23">
      <w:pPr>
        <w:pStyle w:val="ListParagraph"/>
        <w:numPr>
          <w:ilvl w:val="0"/>
          <w:numId w:val="21"/>
        </w:numPr>
        <w:ind w:left="0" w:firstLine="720"/>
        <w:jc w:val="both"/>
        <w:rPr>
          <w:rFonts w:ascii="Cambria" w:hAnsi="Cambria" w:cs="Calibri Light"/>
          <w:sz w:val="20"/>
          <w:szCs w:val="20"/>
          <w:lang w:val="es-ES"/>
        </w:rPr>
      </w:pPr>
      <w:r w:rsidRPr="00C97448">
        <w:rPr>
          <w:rFonts w:ascii="Cambria" w:hAnsi="Cambria" w:cs="Calibri Light"/>
          <w:b/>
          <w:sz w:val="20"/>
          <w:szCs w:val="20"/>
          <w:lang w:val="es-ES"/>
        </w:rPr>
        <w:t>En relación con la tercera recomendación</w:t>
      </w:r>
      <w:r w:rsidRPr="00C97448">
        <w:rPr>
          <w:rFonts w:ascii="Cambria" w:hAnsi="Cambria" w:cs="Calibri Light"/>
          <w:sz w:val="20"/>
          <w:szCs w:val="20"/>
          <w:lang w:val="es-ES"/>
        </w:rPr>
        <w:t>, ninguna de las partes ha presentado información específica sobre el cumplimiento de esta recomendación.</w:t>
      </w:r>
    </w:p>
    <w:p w14:paraId="59D4A49E" w14:textId="77777777" w:rsidR="009C1E23" w:rsidRPr="00C97448" w:rsidRDefault="009C1E23" w:rsidP="009C1E23">
      <w:pPr>
        <w:pStyle w:val="ListParagraph"/>
        <w:rPr>
          <w:rFonts w:ascii="Cambria" w:hAnsi="Cambria" w:cs="Calibri Light"/>
          <w:sz w:val="20"/>
          <w:szCs w:val="20"/>
          <w:lang w:val="es-ES"/>
        </w:rPr>
      </w:pPr>
    </w:p>
    <w:p w14:paraId="4DBC1997" w14:textId="77777777" w:rsidR="009C1E23" w:rsidRPr="00C97448" w:rsidRDefault="009C1E23" w:rsidP="009C1E23">
      <w:pPr>
        <w:pStyle w:val="ListParagraph"/>
        <w:numPr>
          <w:ilvl w:val="0"/>
          <w:numId w:val="21"/>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La Comisión señala que no ha recibido información sobre las medidas adoptadas por el Estado para llevar a cabo programas dirigidos a las autoridades competentes responsables por las investigaciones judiciales y procesos auxiliares, a fin de que éstos realicen procedimientos penales de conformidad con los instrumentos internacionales en materia de derechos humanos. Por lo anterior, la CIDH considera que la Recomendación 3 se encuentra pendiente de cumplimiento. </w:t>
      </w:r>
    </w:p>
    <w:p w14:paraId="442E87AD" w14:textId="77777777" w:rsidR="009C1E23" w:rsidRPr="00C97448" w:rsidRDefault="009C1E23" w:rsidP="009C1E23">
      <w:pPr>
        <w:pStyle w:val="ListParagraph"/>
        <w:rPr>
          <w:rFonts w:ascii="Cambria" w:hAnsi="Cambria" w:cs="Calibri Light"/>
          <w:sz w:val="20"/>
          <w:szCs w:val="20"/>
          <w:lang w:val="es-ES"/>
        </w:rPr>
      </w:pPr>
    </w:p>
    <w:p w14:paraId="4817DF2C" w14:textId="77777777" w:rsidR="009C1E23" w:rsidRPr="00C97448" w:rsidRDefault="009C1E23" w:rsidP="009C1E23">
      <w:pPr>
        <w:jc w:val="both"/>
        <w:rPr>
          <w:rFonts w:ascii="Cambria" w:hAnsi="Cambria" w:cs="Calibri Light"/>
          <w:sz w:val="20"/>
          <w:szCs w:val="20"/>
          <w:lang w:val="es-ES"/>
        </w:rPr>
      </w:pPr>
    </w:p>
    <w:p w14:paraId="56D98754" w14:textId="77777777" w:rsidR="009C1E23" w:rsidRPr="00C97448" w:rsidRDefault="009C1E23" w:rsidP="009C1E23">
      <w:pPr>
        <w:pStyle w:val="ListParagraph"/>
        <w:jc w:val="both"/>
        <w:rPr>
          <w:rFonts w:ascii="Cambria" w:hAnsi="Cambria"/>
          <w:sz w:val="20"/>
          <w:szCs w:val="20"/>
          <w:lang w:val="es-ES"/>
        </w:rPr>
      </w:pPr>
    </w:p>
    <w:p w14:paraId="72299461" w14:textId="77777777" w:rsidR="009C1E23" w:rsidRPr="00C97448" w:rsidRDefault="009C1E23" w:rsidP="009C1E23">
      <w:pPr>
        <w:pStyle w:val="ListParagraph"/>
        <w:numPr>
          <w:ilvl w:val="0"/>
          <w:numId w:val="15"/>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Nivel del cumplimiento del caso </w:t>
      </w:r>
    </w:p>
    <w:p w14:paraId="402E3889" w14:textId="77777777" w:rsidR="009C1E23" w:rsidRPr="00C97448" w:rsidRDefault="009C1E23" w:rsidP="009C1E23">
      <w:pPr>
        <w:jc w:val="both"/>
        <w:rPr>
          <w:rFonts w:ascii="Cambria" w:hAnsi="Cambria" w:cs="Calibri Light"/>
          <w:sz w:val="20"/>
          <w:szCs w:val="20"/>
          <w:lang w:val="es-ES"/>
        </w:rPr>
      </w:pPr>
    </w:p>
    <w:p w14:paraId="483BBDCE" w14:textId="77777777" w:rsidR="009C1E23" w:rsidRPr="00C97448" w:rsidRDefault="009C1E23" w:rsidP="009C1E23">
      <w:pPr>
        <w:pStyle w:val="ListParagraph"/>
        <w:numPr>
          <w:ilvl w:val="0"/>
          <w:numId w:val="21"/>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Por lo anterior, la Comisión concluye que el nivel de cumplimiento del caso es pendiente. En consecuencia, la CIDH seguirá supervisando el cumplimiento de las Recomendaciones 1, 2 y 3. </w:t>
      </w:r>
    </w:p>
    <w:p w14:paraId="36ED601A" w14:textId="77777777" w:rsidR="009C1E23" w:rsidRPr="00C97448" w:rsidRDefault="009C1E23" w:rsidP="009C1E23">
      <w:pPr>
        <w:jc w:val="both"/>
        <w:rPr>
          <w:rFonts w:ascii="Cambria" w:hAnsi="Cambria" w:cs="Calibri Light"/>
          <w:sz w:val="20"/>
          <w:szCs w:val="20"/>
          <w:lang w:val="es-ES"/>
        </w:rPr>
      </w:pPr>
    </w:p>
    <w:p w14:paraId="4B8C9E3C" w14:textId="77777777" w:rsidR="009C1E23" w:rsidRPr="00C97448" w:rsidRDefault="009C1E23" w:rsidP="009C1E23">
      <w:pPr>
        <w:pStyle w:val="ListParagraph"/>
        <w:numPr>
          <w:ilvl w:val="0"/>
          <w:numId w:val="21"/>
        </w:numPr>
        <w:ind w:left="0" w:firstLine="720"/>
        <w:jc w:val="both"/>
        <w:rPr>
          <w:rFonts w:ascii="Cambria" w:hAnsi="Cambria"/>
          <w:sz w:val="20"/>
          <w:szCs w:val="20"/>
          <w:lang w:val="es-ES"/>
        </w:rPr>
      </w:pPr>
      <w:r w:rsidRPr="00C97448">
        <w:rPr>
          <w:rFonts w:ascii="Cambria" w:hAnsi="Cambria" w:cs="Calibri Light"/>
          <w:sz w:val="20"/>
          <w:szCs w:val="20"/>
          <w:lang w:val="es-ES"/>
        </w:rPr>
        <w:t xml:space="preserve">La Comisión insta al Estado a que adopte las medidas necesarias para cumplir con las recomendaciones contenidas en el Informe de Fondo </w:t>
      </w:r>
      <w:proofErr w:type="spellStart"/>
      <w:r w:rsidRPr="00C97448">
        <w:rPr>
          <w:rFonts w:ascii="Cambria" w:hAnsi="Cambria" w:cs="Calibri Light"/>
          <w:sz w:val="20"/>
          <w:szCs w:val="20"/>
          <w:lang w:val="es-ES"/>
        </w:rPr>
        <w:t>Nº</w:t>
      </w:r>
      <w:proofErr w:type="spellEnd"/>
      <w:r w:rsidRPr="00C97448">
        <w:rPr>
          <w:rFonts w:ascii="Cambria" w:hAnsi="Cambria" w:cs="Calibri Light"/>
          <w:sz w:val="20"/>
          <w:szCs w:val="20"/>
          <w:lang w:val="es-ES"/>
        </w:rPr>
        <w:t xml:space="preserve"> 78/02 y que suministre a la Comisión información detallada y actualizada sobre estas medidas. Al mismo tiempo, la CIDH invita a la parte peticionaria a presentar información sobre las acciones adoptadas por el Estado para cumplir con las recomendaciones.    </w:t>
      </w:r>
    </w:p>
    <w:p w14:paraId="6C9F4700" w14:textId="77777777" w:rsidR="009C1E23" w:rsidRPr="00C97448" w:rsidRDefault="009C1E23" w:rsidP="009C1E23">
      <w:pPr>
        <w:jc w:val="both"/>
        <w:rPr>
          <w:rFonts w:ascii="Cambria" w:hAnsi="Cambria"/>
          <w:sz w:val="20"/>
          <w:szCs w:val="20"/>
          <w:lang w:val="es-ES"/>
        </w:rPr>
      </w:pPr>
    </w:p>
    <w:p w14:paraId="3573B7B9" w14:textId="77777777" w:rsidR="009C1E23" w:rsidRPr="00C97448" w:rsidRDefault="009C1E23" w:rsidP="009C1E23">
      <w:pPr>
        <w:pStyle w:val="ListParagraph"/>
        <w:numPr>
          <w:ilvl w:val="0"/>
          <w:numId w:val="15"/>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Resultados individuales y estructurales del caso </w:t>
      </w:r>
    </w:p>
    <w:p w14:paraId="335BFD43" w14:textId="77777777" w:rsidR="009C1E23" w:rsidRPr="00C97448" w:rsidRDefault="009C1E23" w:rsidP="009C1E23">
      <w:pPr>
        <w:pStyle w:val="ListParagraph"/>
        <w:rPr>
          <w:rFonts w:ascii="Cambria" w:hAnsi="Cambria"/>
          <w:b/>
          <w:sz w:val="20"/>
          <w:szCs w:val="20"/>
          <w:lang w:val="es-ES"/>
        </w:rPr>
      </w:pPr>
    </w:p>
    <w:p w14:paraId="6B0FD0FF" w14:textId="77777777" w:rsidR="009C1E23" w:rsidRPr="00C97448" w:rsidRDefault="009C1E23" w:rsidP="009C1E23">
      <w:pPr>
        <w:pStyle w:val="ListParagraph"/>
        <w:numPr>
          <w:ilvl w:val="0"/>
          <w:numId w:val="21"/>
        </w:numPr>
        <w:ind w:left="0" w:firstLine="720"/>
        <w:jc w:val="both"/>
        <w:rPr>
          <w:rFonts w:ascii="Cambria" w:hAnsi="Cambria"/>
          <w:sz w:val="20"/>
          <w:szCs w:val="20"/>
          <w:lang w:val="es-ES"/>
        </w:rPr>
      </w:pPr>
      <w:r w:rsidRPr="00C97448">
        <w:rPr>
          <w:rFonts w:ascii="Cambria" w:hAnsi="Cambria"/>
          <w:sz w:val="20"/>
          <w:szCs w:val="20"/>
          <w:lang w:val="es-ES"/>
        </w:rPr>
        <w:t xml:space="preserve">Dado que este caso se encuentra pendiente de cumplimiento, no hay resultados individuales o estructurales informados por las partes. </w:t>
      </w:r>
    </w:p>
    <w:p w14:paraId="58D1C8C9" w14:textId="77777777" w:rsidR="009C1E23" w:rsidRPr="00D160E3" w:rsidRDefault="009C1E23" w:rsidP="009C1E23">
      <w:pPr>
        <w:jc w:val="both"/>
        <w:rPr>
          <w:rFonts w:ascii="Cambria" w:hAnsi="Cambria"/>
          <w:sz w:val="20"/>
          <w:szCs w:val="20"/>
          <w:lang w:val="es-ES"/>
        </w:rPr>
      </w:pPr>
    </w:p>
    <w:p w14:paraId="0310B47E" w14:textId="77777777" w:rsidR="009C1E23" w:rsidRPr="00D160E3" w:rsidRDefault="009C1E23" w:rsidP="009C1E23">
      <w:pPr>
        <w:rPr>
          <w:rFonts w:ascii="Cambria" w:hAnsi="Cambria"/>
          <w:sz w:val="20"/>
          <w:szCs w:val="20"/>
          <w:lang w:val="es-ES"/>
        </w:rPr>
      </w:pPr>
    </w:p>
    <w:p w14:paraId="32E907B6" w14:textId="77777777" w:rsidR="009C1E23" w:rsidRPr="00D160E3" w:rsidRDefault="009C1E23" w:rsidP="009C1E23">
      <w:pPr>
        <w:rPr>
          <w:rFonts w:ascii="Cambria" w:hAnsi="Cambria"/>
          <w:sz w:val="20"/>
          <w:szCs w:val="20"/>
          <w:lang w:val="es-ES"/>
        </w:rPr>
      </w:pPr>
    </w:p>
    <w:p w14:paraId="30D9A4F7" w14:textId="77777777" w:rsidR="009C1E23" w:rsidRPr="00D160E3" w:rsidRDefault="009C1E23" w:rsidP="009C1E23">
      <w:pPr>
        <w:rPr>
          <w:rFonts w:ascii="Cambria" w:hAnsi="Cambria"/>
          <w:sz w:val="20"/>
          <w:szCs w:val="20"/>
          <w:lang w:val="es-ES"/>
        </w:rPr>
      </w:pPr>
    </w:p>
    <w:p w14:paraId="289A6C07" w14:textId="77777777" w:rsidR="009C1E23" w:rsidRPr="00D160E3" w:rsidRDefault="009C1E23" w:rsidP="009C1E23">
      <w:pPr>
        <w:rPr>
          <w:rFonts w:ascii="Cambria" w:hAnsi="Cambria"/>
          <w:sz w:val="20"/>
          <w:szCs w:val="20"/>
          <w:lang w:val="es-ES"/>
        </w:rPr>
      </w:pPr>
    </w:p>
    <w:p w14:paraId="472F0948" w14:textId="77777777" w:rsidR="009C1E23" w:rsidRPr="00D160E3" w:rsidRDefault="009C1E23" w:rsidP="009C1E23">
      <w:pPr>
        <w:rPr>
          <w:rFonts w:ascii="Cambria" w:hAnsi="Cambria"/>
          <w:sz w:val="20"/>
          <w:szCs w:val="20"/>
          <w:lang w:val="es-ES"/>
        </w:rPr>
      </w:pPr>
    </w:p>
    <w:p w14:paraId="74BEBC34" w14:textId="77777777" w:rsidR="009C1E23" w:rsidRPr="009C1E23" w:rsidRDefault="009C1E23" w:rsidP="009C1E23">
      <w:pPr>
        <w:rPr>
          <w:lang w:val="es-ES"/>
        </w:rPr>
      </w:pPr>
    </w:p>
    <w:sectPr w:rsidR="009C1E23" w:rsidRPr="009C1E23"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1141" w14:textId="77777777" w:rsidR="003E0604" w:rsidRDefault="003E0604" w:rsidP="00672733">
      <w:r>
        <w:separator/>
      </w:r>
    </w:p>
  </w:endnote>
  <w:endnote w:type="continuationSeparator" w:id="0">
    <w:p w14:paraId="5758B25C" w14:textId="77777777" w:rsidR="003E0604" w:rsidRDefault="003E060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4B68" w14:textId="77777777" w:rsidR="003E0604" w:rsidRDefault="003E0604" w:rsidP="00672733">
      <w:r>
        <w:separator/>
      </w:r>
    </w:p>
  </w:footnote>
  <w:footnote w:type="continuationSeparator" w:id="0">
    <w:p w14:paraId="490DD77C" w14:textId="77777777" w:rsidR="003E0604" w:rsidRDefault="003E0604" w:rsidP="00672733">
      <w:r>
        <w:continuationSeparator/>
      </w:r>
    </w:p>
  </w:footnote>
  <w:footnote w:id="1">
    <w:p w14:paraId="7283E698" w14:textId="77777777" w:rsidR="009C1E23" w:rsidRPr="007940C1" w:rsidRDefault="009C1E23" w:rsidP="009C1E23">
      <w:pPr>
        <w:pStyle w:val="FootnoteText"/>
        <w:spacing w:after="120"/>
        <w:ind w:firstLine="720"/>
        <w:jc w:val="both"/>
        <w:rPr>
          <w:rFonts w:ascii="Cambria" w:hAnsi="Cambria"/>
          <w:sz w:val="16"/>
          <w:szCs w:val="16"/>
          <w:lang w:val="es-UY"/>
        </w:rPr>
      </w:pPr>
      <w:r w:rsidRPr="007940C1">
        <w:rPr>
          <w:rStyle w:val="FootnoteReference"/>
          <w:rFonts w:ascii="Cambria" w:hAnsi="Cambria"/>
          <w:sz w:val="16"/>
          <w:szCs w:val="16"/>
        </w:rPr>
        <w:footnoteRef/>
      </w:r>
      <w:r w:rsidRPr="007940C1">
        <w:rPr>
          <w:rFonts w:ascii="Cambria" w:hAnsi="Cambria"/>
          <w:sz w:val="16"/>
          <w:szCs w:val="16"/>
          <w:lang w:val="es-UY"/>
        </w:rPr>
        <w:t xml:space="preserve"> CIDH, </w:t>
      </w:r>
      <w:hyperlink r:id="rId1" w:history="1">
        <w:r w:rsidRPr="007940C1">
          <w:rPr>
            <w:rStyle w:val="Hyperlink"/>
            <w:rFonts w:ascii="Cambria" w:hAnsi="Cambria"/>
            <w:color w:val="auto"/>
            <w:sz w:val="16"/>
            <w:szCs w:val="16"/>
            <w:lang w:val="es-UY"/>
          </w:rPr>
          <w:t>Caso 11.335, Informe de Fondo N</w:t>
        </w:r>
        <w:r w:rsidRPr="007940C1">
          <w:rPr>
            <w:rStyle w:val="Hyperlink"/>
            <w:rFonts w:ascii="Cambria" w:hAnsi="Cambria"/>
            <w:color w:val="auto"/>
            <w:sz w:val="16"/>
            <w:szCs w:val="16"/>
            <w:lang w:val="es-ES"/>
          </w:rPr>
          <w:t>º</w:t>
        </w:r>
        <w:r w:rsidRPr="007940C1">
          <w:rPr>
            <w:rStyle w:val="Hyperlink"/>
            <w:rFonts w:ascii="Cambria" w:hAnsi="Cambria"/>
            <w:color w:val="auto"/>
            <w:sz w:val="16"/>
            <w:szCs w:val="16"/>
            <w:lang w:val="es-UY"/>
          </w:rPr>
          <w:t xml:space="preserve"> 78/02, Guy </w:t>
        </w:r>
        <w:proofErr w:type="spellStart"/>
        <w:r w:rsidRPr="007940C1">
          <w:rPr>
            <w:rStyle w:val="Hyperlink"/>
            <w:rFonts w:ascii="Cambria" w:hAnsi="Cambria"/>
            <w:color w:val="auto"/>
            <w:sz w:val="16"/>
            <w:szCs w:val="16"/>
            <w:lang w:val="es-UY"/>
          </w:rPr>
          <w:t>Malary</w:t>
        </w:r>
        <w:proofErr w:type="spellEnd"/>
        <w:r w:rsidRPr="007940C1">
          <w:rPr>
            <w:rStyle w:val="Hyperlink"/>
            <w:rFonts w:ascii="Cambria" w:hAnsi="Cambria"/>
            <w:color w:val="auto"/>
            <w:sz w:val="16"/>
            <w:szCs w:val="16"/>
            <w:lang w:val="es-UY"/>
          </w:rPr>
          <w:t xml:space="preserve"> (Haití)</w:t>
        </w:r>
      </w:hyperlink>
      <w:r w:rsidRPr="007940C1">
        <w:rPr>
          <w:rFonts w:ascii="Cambria" w:hAnsi="Cambria"/>
          <w:sz w:val="16"/>
          <w:szCs w:val="16"/>
          <w:lang w:val="es-UY"/>
        </w:rPr>
        <w:t>, párr. 98.</w:t>
      </w:r>
    </w:p>
  </w:footnote>
  <w:footnote w:id="2">
    <w:p w14:paraId="49325472" w14:textId="77777777" w:rsidR="009C1E23" w:rsidRPr="007940C1" w:rsidRDefault="009C1E23" w:rsidP="009C1E23">
      <w:pPr>
        <w:pStyle w:val="FootnoteText"/>
        <w:spacing w:after="120"/>
        <w:ind w:firstLine="720"/>
        <w:jc w:val="both"/>
        <w:rPr>
          <w:rFonts w:ascii="Cambria" w:hAnsi="Cambria"/>
          <w:sz w:val="16"/>
          <w:szCs w:val="16"/>
          <w:lang w:val="es-US"/>
        </w:rPr>
      </w:pPr>
      <w:r w:rsidRPr="007940C1">
        <w:rPr>
          <w:rStyle w:val="FootnoteReference"/>
          <w:rFonts w:ascii="Cambria" w:hAnsi="Cambria"/>
          <w:sz w:val="16"/>
          <w:szCs w:val="16"/>
        </w:rPr>
        <w:footnoteRef/>
      </w:r>
      <w:r w:rsidRPr="007940C1">
        <w:rPr>
          <w:rFonts w:ascii="Cambria" w:hAnsi="Cambria"/>
          <w:sz w:val="16"/>
          <w:szCs w:val="16"/>
          <w:lang w:val="es-UY"/>
        </w:rPr>
        <w:t xml:space="preserve"> CIDH, </w:t>
      </w:r>
      <w:hyperlink r:id="rId2" w:history="1">
        <w:r w:rsidRPr="007940C1">
          <w:rPr>
            <w:rStyle w:val="Hyperlink"/>
            <w:rFonts w:ascii="Cambria" w:hAnsi="Cambria"/>
            <w:color w:val="auto"/>
            <w:sz w:val="16"/>
            <w:szCs w:val="16"/>
            <w:lang w:val="es-UY"/>
          </w:rPr>
          <w:t xml:space="preserve">Caso 11.335, Informe de Fondo </w:t>
        </w:r>
        <w:proofErr w:type="spellStart"/>
        <w:r w:rsidRPr="007940C1">
          <w:rPr>
            <w:rStyle w:val="Hyperlink"/>
            <w:rFonts w:ascii="Cambria" w:hAnsi="Cambria"/>
            <w:color w:val="auto"/>
            <w:sz w:val="16"/>
            <w:szCs w:val="16"/>
            <w:lang w:val="es-UY"/>
          </w:rPr>
          <w:t>Nº</w:t>
        </w:r>
        <w:proofErr w:type="spellEnd"/>
        <w:r w:rsidRPr="007940C1">
          <w:rPr>
            <w:rStyle w:val="Hyperlink"/>
            <w:rFonts w:ascii="Cambria" w:hAnsi="Cambria"/>
            <w:color w:val="auto"/>
            <w:sz w:val="16"/>
            <w:szCs w:val="16"/>
            <w:lang w:val="es-UY"/>
          </w:rPr>
          <w:t xml:space="preserve"> 78/02, Guy </w:t>
        </w:r>
        <w:proofErr w:type="spellStart"/>
        <w:r w:rsidRPr="007940C1">
          <w:rPr>
            <w:rStyle w:val="Hyperlink"/>
            <w:rFonts w:ascii="Cambria" w:hAnsi="Cambria"/>
            <w:color w:val="auto"/>
            <w:sz w:val="16"/>
            <w:szCs w:val="16"/>
            <w:lang w:val="es-UY"/>
          </w:rPr>
          <w:t>Malary</w:t>
        </w:r>
        <w:proofErr w:type="spellEnd"/>
        <w:r w:rsidRPr="007940C1">
          <w:rPr>
            <w:rStyle w:val="Hyperlink"/>
            <w:rFonts w:ascii="Cambria" w:hAnsi="Cambria"/>
            <w:color w:val="auto"/>
            <w:sz w:val="16"/>
            <w:szCs w:val="16"/>
            <w:lang w:val="es-UY"/>
          </w:rPr>
          <w:t xml:space="preserve"> (Haití)</w:t>
        </w:r>
      </w:hyperlink>
      <w:r w:rsidRPr="007940C1">
        <w:rPr>
          <w:rFonts w:ascii="Cambria" w:hAnsi="Cambria"/>
          <w:sz w:val="16"/>
          <w:szCs w:val="16"/>
          <w:lang w:val="es-UY"/>
        </w:rPr>
        <w:t xml:space="preserve">, párr. </w:t>
      </w:r>
      <w:r w:rsidRPr="007940C1">
        <w:rPr>
          <w:rFonts w:ascii="Cambria" w:hAnsi="Cambria"/>
          <w:sz w:val="16"/>
          <w:szCs w:val="16"/>
          <w:lang w:val="es-US"/>
        </w:rPr>
        <w:t>98.</w:t>
      </w:r>
    </w:p>
  </w:footnote>
  <w:footnote w:id="3">
    <w:p w14:paraId="2ADE83BD" w14:textId="77777777" w:rsidR="009C1E23" w:rsidRPr="005B1D6C" w:rsidRDefault="009C1E23" w:rsidP="009C1E23">
      <w:pPr>
        <w:spacing w:after="120"/>
        <w:ind w:firstLine="720"/>
        <w:jc w:val="both"/>
        <w:rPr>
          <w:lang w:val="es-ES"/>
        </w:rPr>
      </w:pPr>
      <w:r w:rsidRPr="007940C1">
        <w:rPr>
          <w:rStyle w:val="FootnoteReference"/>
          <w:rFonts w:ascii="Cambria" w:hAnsi="Cambria"/>
          <w:sz w:val="16"/>
          <w:szCs w:val="16"/>
        </w:rPr>
        <w:footnoteRef/>
      </w:r>
      <w:r w:rsidRPr="007940C1">
        <w:rPr>
          <w:rFonts w:ascii="Cambria" w:hAnsi="Cambria"/>
          <w:sz w:val="16"/>
          <w:szCs w:val="16"/>
          <w:lang w:val="es-ES"/>
        </w:rPr>
        <w:t xml:space="preserve"> CIDH, Informe Anual 2003, </w:t>
      </w:r>
      <w:hyperlink r:id="rId3" w:history="1">
        <w:r w:rsidRPr="007940C1">
          <w:rPr>
            <w:rStyle w:val="Hyperlink"/>
            <w:rFonts w:ascii="Cambria" w:hAnsi="Cambria"/>
            <w:color w:val="auto"/>
            <w:sz w:val="16"/>
            <w:szCs w:val="16"/>
            <w:lang w:val="es-ES"/>
          </w:rPr>
          <w:t>Capítulo III, Sección D: Estado del cumplimiento de las recomendaciones de la CIDH</w:t>
        </w:r>
      </w:hyperlink>
      <w:r w:rsidRPr="007940C1">
        <w:rPr>
          <w:rFonts w:ascii="Cambria" w:hAnsi="Cambria"/>
          <w:sz w:val="16"/>
          <w:szCs w:val="16"/>
          <w:lang w:val="es-ES"/>
        </w:rPr>
        <w:t xml:space="preserve">, párr. 182.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1B9"/>
    <w:multiLevelType w:val="hybridMultilevel"/>
    <w:tmpl w:val="283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D23DB"/>
    <w:multiLevelType w:val="hybridMultilevel"/>
    <w:tmpl w:val="6242DF96"/>
    <w:lvl w:ilvl="0" w:tplc="199855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B7C6B"/>
    <w:multiLevelType w:val="hybridMultilevel"/>
    <w:tmpl w:val="8272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C655D2"/>
    <w:multiLevelType w:val="hybridMultilevel"/>
    <w:tmpl w:val="9AD8EED2"/>
    <w:lvl w:ilvl="0" w:tplc="F48AE3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546336764">
    <w:abstractNumId w:val="7"/>
  </w:num>
  <w:num w:numId="2" w16cid:durableId="1971663754">
    <w:abstractNumId w:val="20"/>
  </w:num>
  <w:num w:numId="3" w16cid:durableId="322973092">
    <w:abstractNumId w:val="12"/>
  </w:num>
  <w:num w:numId="4" w16cid:durableId="2034499682">
    <w:abstractNumId w:val="4"/>
  </w:num>
  <w:num w:numId="5" w16cid:durableId="1667592230">
    <w:abstractNumId w:val="3"/>
  </w:num>
  <w:num w:numId="6" w16cid:durableId="13918768">
    <w:abstractNumId w:val="6"/>
  </w:num>
  <w:num w:numId="7" w16cid:durableId="507018215">
    <w:abstractNumId w:val="1"/>
  </w:num>
  <w:num w:numId="8" w16cid:durableId="766537648">
    <w:abstractNumId w:val="11"/>
  </w:num>
  <w:num w:numId="9" w16cid:durableId="404693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7503278">
    <w:abstractNumId w:val="0"/>
  </w:num>
  <w:num w:numId="11" w16cid:durableId="1687752925">
    <w:abstractNumId w:val="10"/>
  </w:num>
  <w:num w:numId="12" w16cid:durableId="267853984">
    <w:abstractNumId w:val="8"/>
  </w:num>
  <w:num w:numId="13" w16cid:durableId="24335879">
    <w:abstractNumId w:val="18"/>
  </w:num>
  <w:num w:numId="14" w16cid:durableId="77022525">
    <w:abstractNumId w:val="13"/>
  </w:num>
  <w:num w:numId="15" w16cid:durableId="1162549772">
    <w:abstractNumId w:val="17"/>
  </w:num>
  <w:num w:numId="16" w16cid:durableId="1981229033">
    <w:abstractNumId w:val="19"/>
  </w:num>
  <w:num w:numId="17" w16cid:durableId="1864054014">
    <w:abstractNumId w:val="14"/>
  </w:num>
  <w:num w:numId="18" w16cid:durableId="1542129770">
    <w:abstractNumId w:val="9"/>
  </w:num>
  <w:num w:numId="19" w16cid:durableId="182864602">
    <w:abstractNumId w:val="15"/>
  </w:num>
  <w:num w:numId="20" w16cid:durableId="2075396223">
    <w:abstractNumId w:val="2"/>
  </w:num>
  <w:num w:numId="21" w16cid:durableId="10118787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5386"/>
    <w:rsid w:val="00045E5E"/>
    <w:rsid w:val="000B5E1D"/>
    <w:rsid w:val="00105B23"/>
    <w:rsid w:val="00181DA0"/>
    <w:rsid w:val="001949EE"/>
    <w:rsid w:val="002248FB"/>
    <w:rsid w:val="00234E64"/>
    <w:rsid w:val="002B4428"/>
    <w:rsid w:val="002E337B"/>
    <w:rsid w:val="00322720"/>
    <w:rsid w:val="003E0604"/>
    <w:rsid w:val="00453115"/>
    <w:rsid w:val="00471472"/>
    <w:rsid w:val="004758C9"/>
    <w:rsid w:val="0048723C"/>
    <w:rsid w:val="00500FDE"/>
    <w:rsid w:val="00566CD0"/>
    <w:rsid w:val="00637ED3"/>
    <w:rsid w:val="006638E5"/>
    <w:rsid w:val="00672733"/>
    <w:rsid w:val="006B1F24"/>
    <w:rsid w:val="007B7BB1"/>
    <w:rsid w:val="007C4DCE"/>
    <w:rsid w:val="008463D3"/>
    <w:rsid w:val="008818B0"/>
    <w:rsid w:val="008861D6"/>
    <w:rsid w:val="009023C7"/>
    <w:rsid w:val="009C1E23"/>
    <w:rsid w:val="00A211C8"/>
    <w:rsid w:val="00B9625C"/>
    <w:rsid w:val="00BD17B0"/>
    <w:rsid w:val="00BF7A78"/>
    <w:rsid w:val="00C469B7"/>
    <w:rsid w:val="00CA190C"/>
    <w:rsid w:val="00D56DC4"/>
    <w:rsid w:val="00E042FE"/>
    <w:rsid w:val="00E516AB"/>
    <w:rsid w:val="00E90CB3"/>
    <w:rsid w:val="00EA0262"/>
    <w:rsid w:val="00EC61E3"/>
    <w:rsid w:val="00ED0AAA"/>
    <w:rsid w:val="00ED1EBA"/>
    <w:rsid w:val="00F41E7E"/>
    <w:rsid w:val="00F6143D"/>
    <w:rsid w:val="00FE0BCB"/>
    <w:rsid w:val="166CAA55"/>
    <w:rsid w:val="43D8F674"/>
    <w:rsid w:val="5072B55E"/>
    <w:rsid w:val="5F02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2B4428"/>
    <w:pPr>
      <w:spacing w:after="160" w:line="240" w:lineRule="exact"/>
    </w:pPr>
    <w:rPr>
      <w:vertAlign w:val="superscript"/>
    </w:rPr>
  </w:style>
  <w:style w:type="character" w:styleId="Hyperlink">
    <w:name w:val="Hyperlink"/>
    <w:uiPriority w:val="99"/>
    <w:unhideWhenUsed/>
    <w:rsid w:val="002B442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B4428"/>
  </w:style>
  <w:style w:type="paragraph" w:styleId="NoSpacing">
    <w:name w:val="No Spacing"/>
    <w:link w:val="NoSpacingChar"/>
    <w:uiPriority w:val="1"/>
    <w:qFormat/>
    <w:rsid w:val="002B4428"/>
    <w:rPr>
      <w:rFonts w:ascii="Calibri" w:eastAsia="Calibri" w:hAnsi="Calibri" w:cs="Times New Roman"/>
      <w:sz w:val="22"/>
      <w:szCs w:val="22"/>
      <w:lang w:val="pt-BR"/>
    </w:rPr>
  </w:style>
  <w:style w:type="paragraph" w:customStyle="1" w:styleId="Default">
    <w:name w:val="Default"/>
    <w:rsid w:val="007B7BB1"/>
    <w:pPr>
      <w:autoSpaceDE w:val="0"/>
      <w:autoSpaceDN w:val="0"/>
      <w:adjustRightInd w:val="0"/>
    </w:pPr>
    <w:rPr>
      <w:rFonts w:ascii="Cambria" w:hAnsi="Cambria" w:cs="Cambria"/>
      <w:color w:val="000000"/>
    </w:rPr>
  </w:style>
  <w:style w:type="paragraph" w:styleId="EndnoteText">
    <w:name w:val="endnote text"/>
    <w:basedOn w:val="Normal"/>
    <w:link w:val="EndnoteTextChar"/>
    <w:semiHidden/>
    <w:rsid w:val="00A211C8"/>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211C8"/>
    <w:rPr>
      <w:rFonts w:ascii="Times New Roman" w:eastAsia="Times New Roman" w:hAnsi="Times New Roman" w:cs="Times New Roman"/>
      <w:lang w:val="pt-BR" w:eastAsia="pt-BR"/>
    </w:rPr>
  </w:style>
  <w:style w:type="character" w:customStyle="1" w:styleId="NoSpacingChar">
    <w:name w:val="No Spacing Char"/>
    <w:link w:val="NoSpacing"/>
    <w:uiPriority w:val="1"/>
    <w:rsid w:val="001949EE"/>
    <w:rPr>
      <w:rFonts w:ascii="Calibri" w:eastAsia="Calibri" w:hAnsi="Calibri" w:cs="Times New Roman"/>
      <w:sz w:val="22"/>
      <w:szCs w:val="22"/>
      <w:lang w:val="pt-BR"/>
    </w:rPr>
  </w:style>
  <w:style w:type="paragraph" w:styleId="BodyTextIndent2">
    <w:name w:val="Body Text Indent 2"/>
    <w:basedOn w:val="Normal"/>
    <w:link w:val="BodyTextIndent2Char"/>
    <w:uiPriority w:val="99"/>
    <w:semiHidden/>
    <w:unhideWhenUsed/>
    <w:rsid w:val="009C1E23"/>
    <w:pPr>
      <w:spacing w:before="100" w:beforeAutospacing="1" w:after="100" w:afterAutospacing="1"/>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9C1E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2sp/Haiti.1133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0sp/CapituloIII/Admisible/Haiti11.335.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3sp/cap.3f.htm" TargetMode="External"/><Relationship Id="rId2" Type="http://schemas.openxmlformats.org/officeDocument/2006/relationships/hyperlink" Target="http://cidh.org/annualrep/2002eng/Haiti.11335.htm" TargetMode="External"/><Relationship Id="rId1" Type="http://schemas.openxmlformats.org/officeDocument/2006/relationships/hyperlink" Target="http://cidh.org/annualrep/2002eng/Haiti.11335.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2022-04-21T14:07:00Z</dcterms:created>
  <dcterms:modified xsi:type="dcterms:W3CDTF">2022-04-21T14:07:00Z</dcterms:modified>
</cp:coreProperties>
</file>