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648F" w14:textId="77777777" w:rsidR="00893DBD" w:rsidRDefault="00893DBD" w:rsidP="6AFFB094">
      <w:pPr>
        <w:pStyle w:val="Header"/>
        <w:jc w:val="center"/>
        <w:rPr>
          <w:rFonts w:ascii="Cambria" w:hAnsi="Cambria"/>
          <w:b/>
          <w:bCs/>
          <w:color w:val="000000" w:themeColor="text1"/>
          <w:sz w:val="20"/>
          <w:szCs w:val="20"/>
          <w:lang w:val="es-ES"/>
        </w:rPr>
      </w:pPr>
    </w:p>
    <w:p w14:paraId="32A6811D" w14:textId="77777777" w:rsidR="00BB56C4" w:rsidRPr="003434C5" w:rsidRDefault="00893DBD" w:rsidP="6AFFB094">
      <w:pPr>
        <w:pStyle w:val="Header"/>
        <w:jc w:val="center"/>
        <w:rPr>
          <w:color w:val="000000" w:themeColor="text1"/>
          <w:lang w:val="es-ES"/>
        </w:rPr>
      </w:pPr>
      <w:r w:rsidRPr="6AFFB094">
        <w:rPr>
          <w:rFonts w:ascii="Cambria" w:hAnsi="Cambria"/>
          <w:b/>
          <w:bCs/>
          <w:color w:val="000000" w:themeColor="text1"/>
          <w:lang w:val="es-ES"/>
        </w:rPr>
        <w:t xml:space="preserve">FICHA DE SEGUIMIENTO DEL INFORME </w:t>
      </w:r>
      <w:proofErr w:type="spellStart"/>
      <w:r w:rsidRPr="6AFFB094">
        <w:rPr>
          <w:rFonts w:ascii="Cambria" w:hAnsi="Cambria"/>
          <w:b/>
          <w:bCs/>
          <w:color w:val="000000" w:themeColor="text1"/>
          <w:lang w:val="es-ES"/>
        </w:rPr>
        <w:t>Nº</w:t>
      </w:r>
      <w:proofErr w:type="spellEnd"/>
      <w:r w:rsidRPr="6AFFB094">
        <w:rPr>
          <w:rFonts w:ascii="Cambria" w:hAnsi="Cambria"/>
          <w:b/>
          <w:bCs/>
          <w:color w:val="000000" w:themeColor="text1"/>
          <w:lang w:val="es-ES"/>
        </w:rPr>
        <w:t xml:space="preserve"> 12/14</w:t>
      </w:r>
    </w:p>
    <w:p w14:paraId="38B41418" w14:textId="77777777" w:rsidR="00BB56C4" w:rsidRPr="003434C5" w:rsidRDefault="00893DBD" w:rsidP="6AFFB094">
      <w:pPr>
        <w:spacing w:after="0" w:line="240" w:lineRule="auto"/>
        <w:jc w:val="center"/>
        <w:rPr>
          <w:rFonts w:ascii="Cambria" w:hAnsi="Cambria"/>
          <w:b/>
          <w:bCs/>
          <w:color w:val="000000" w:themeColor="text1"/>
          <w:lang w:val="es-ES"/>
        </w:rPr>
      </w:pPr>
      <w:r w:rsidRPr="6AFFB094">
        <w:rPr>
          <w:rFonts w:ascii="Cambria" w:hAnsi="Cambria"/>
          <w:b/>
          <w:bCs/>
          <w:color w:val="000000" w:themeColor="text1"/>
          <w:lang w:val="es-ES"/>
        </w:rPr>
        <w:t>C</w:t>
      </w:r>
      <w:r w:rsidR="00074498" w:rsidRPr="6AFFB094">
        <w:rPr>
          <w:rFonts w:ascii="Cambria" w:hAnsi="Cambria"/>
          <w:b/>
          <w:bCs/>
          <w:color w:val="000000" w:themeColor="text1"/>
          <w:lang w:val="es-ES"/>
        </w:rPr>
        <w:t>ASO</w:t>
      </w:r>
      <w:r w:rsidRPr="6AFFB094">
        <w:rPr>
          <w:rFonts w:ascii="Cambria" w:hAnsi="Cambria"/>
          <w:b/>
          <w:bCs/>
          <w:color w:val="000000" w:themeColor="text1"/>
          <w:lang w:val="es-ES"/>
        </w:rPr>
        <w:t xml:space="preserve"> 12.231</w:t>
      </w:r>
    </w:p>
    <w:p w14:paraId="6F73BF66" w14:textId="77777777" w:rsidR="00BB56C4" w:rsidRPr="003434C5" w:rsidRDefault="00074498" w:rsidP="6AFFB094">
      <w:pPr>
        <w:spacing w:after="0" w:line="240" w:lineRule="auto"/>
        <w:jc w:val="center"/>
        <w:rPr>
          <w:rFonts w:ascii="Cambria" w:hAnsi="Cambria"/>
          <w:b/>
          <w:bCs/>
          <w:color w:val="000000" w:themeColor="text1"/>
          <w:lang w:val="es-ES"/>
        </w:rPr>
      </w:pPr>
      <w:r w:rsidRPr="6AFFB094">
        <w:rPr>
          <w:rFonts w:ascii="Cambria" w:hAnsi="Cambria"/>
          <w:b/>
          <w:bCs/>
          <w:color w:val="000000" w:themeColor="text1"/>
          <w:lang w:val="es-ES"/>
        </w:rPr>
        <w:t>PETER CASH</w:t>
      </w:r>
    </w:p>
    <w:p w14:paraId="46828E5C" w14:textId="77777777" w:rsidR="00BB56C4" w:rsidRPr="003434C5" w:rsidRDefault="00BB56C4" w:rsidP="6AFFB094">
      <w:pPr>
        <w:spacing w:after="0" w:line="240" w:lineRule="auto"/>
        <w:jc w:val="center"/>
        <w:rPr>
          <w:rFonts w:ascii="Cambria" w:hAnsi="Cambria"/>
          <w:b/>
          <w:bCs/>
          <w:color w:val="000000" w:themeColor="text1"/>
          <w:lang w:val="es-ES"/>
        </w:rPr>
      </w:pPr>
      <w:r w:rsidRPr="6AFFB094">
        <w:rPr>
          <w:rFonts w:ascii="Cambria" w:hAnsi="Cambria"/>
          <w:b/>
          <w:bCs/>
          <w:color w:val="000000" w:themeColor="text1"/>
          <w:lang w:val="es-ES"/>
        </w:rPr>
        <w:t>(</w:t>
      </w:r>
      <w:r w:rsidR="003E7F8D" w:rsidRPr="6AFFB094">
        <w:rPr>
          <w:rFonts w:ascii="Cambria" w:hAnsi="Cambria"/>
          <w:b/>
          <w:bCs/>
          <w:color w:val="000000" w:themeColor="text1"/>
          <w:lang w:val="es-ES"/>
        </w:rPr>
        <w:t xml:space="preserve">Las </w:t>
      </w:r>
      <w:r w:rsidRPr="6AFFB094">
        <w:rPr>
          <w:rFonts w:ascii="Cambria" w:hAnsi="Cambria"/>
          <w:b/>
          <w:bCs/>
          <w:color w:val="000000" w:themeColor="text1"/>
          <w:lang w:val="es-ES"/>
        </w:rPr>
        <w:t>Bahamas</w:t>
      </w:r>
      <w:r w:rsidR="003E7F8D" w:rsidRPr="6AFFB094">
        <w:rPr>
          <w:rFonts w:ascii="Cambria" w:hAnsi="Cambria"/>
          <w:b/>
          <w:bCs/>
          <w:color w:val="000000" w:themeColor="text1"/>
          <w:lang w:val="es-ES"/>
        </w:rPr>
        <w:t xml:space="preserve"> (Commonwealth de)</w:t>
      </w:r>
      <w:r w:rsidRPr="6AFFB094">
        <w:rPr>
          <w:rFonts w:ascii="Cambria" w:hAnsi="Cambria"/>
          <w:b/>
          <w:bCs/>
          <w:color w:val="000000" w:themeColor="text1"/>
          <w:lang w:val="es-ES"/>
        </w:rPr>
        <w:t>)</w:t>
      </w:r>
    </w:p>
    <w:p w14:paraId="199C4541" w14:textId="77777777" w:rsidR="00BB56C4" w:rsidRPr="003434C5" w:rsidRDefault="00BB56C4" w:rsidP="6AFFB094">
      <w:pPr>
        <w:tabs>
          <w:tab w:val="left" w:pos="7317"/>
        </w:tabs>
        <w:spacing w:after="0" w:line="240" w:lineRule="auto"/>
        <w:jc w:val="both"/>
        <w:rPr>
          <w:rFonts w:ascii="Cambria" w:hAnsi="Cambria"/>
          <w:color w:val="000000" w:themeColor="text1"/>
          <w:sz w:val="20"/>
          <w:szCs w:val="20"/>
          <w:lang w:val="es-ES"/>
        </w:rPr>
      </w:pPr>
      <w:r w:rsidRPr="003434C5">
        <w:rPr>
          <w:rFonts w:ascii="Cambria" w:hAnsi="Cambria"/>
          <w:sz w:val="20"/>
          <w:szCs w:val="20"/>
          <w:lang w:val="es-ES"/>
        </w:rPr>
        <w:tab/>
      </w:r>
    </w:p>
    <w:p w14:paraId="1B197C52" w14:textId="77777777" w:rsidR="00BB56C4" w:rsidRPr="003434C5" w:rsidRDefault="00BB56C4" w:rsidP="6AFFB094">
      <w:pPr>
        <w:pStyle w:val="NoSpacing"/>
        <w:numPr>
          <w:ilvl w:val="0"/>
          <w:numId w:val="18"/>
        </w:numPr>
        <w:ind w:left="1440" w:hanging="720"/>
        <w:jc w:val="both"/>
        <w:rPr>
          <w:rFonts w:ascii="Cambria" w:hAnsi="Cambria" w:cs="Calibri Light"/>
          <w:b/>
          <w:bCs/>
          <w:color w:val="000000" w:themeColor="text1"/>
          <w:sz w:val="20"/>
          <w:szCs w:val="20"/>
          <w:lang w:val="es-ES"/>
        </w:rPr>
      </w:pPr>
      <w:r w:rsidRPr="6AFFB094">
        <w:rPr>
          <w:rFonts w:ascii="Cambria" w:hAnsi="Cambria" w:cs="Calibri Light"/>
          <w:b/>
          <w:bCs/>
          <w:color w:val="000000" w:themeColor="text1"/>
          <w:sz w:val="20"/>
          <w:szCs w:val="20"/>
          <w:lang w:val="es-ES"/>
        </w:rPr>
        <w:t xml:space="preserve">Resumen del caso </w:t>
      </w:r>
    </w:p>
    <w:p w14:paraId="3BC327FC" w14:textId="77777777" w:rsidR="00BB56C4" w:rsidRPr="003434C5" w:rsidRDefault="00BB56C4" w:rsidP="6AFFB094">
      <w:pPr>
        <w:spacing w:after="0" w:line="240" w:lineRule="auto"/>
        <w:ind w:left="1080"/>
        <w:jc w:val="both"/>
        <w:rPr>
          <w:rFonts w:ascii="Cambria" w:hAnsi="Cambria" w:cs="Calibri Light"/>
          <w:color w:val="000000" w:themeColor="text1"/>
          <w:sz w:val="20"/>
          <w:szCs w:val="20"/>
          <w:lang w:val="es-ES"/>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35"/>
      </w:tblGrid>
      <w:tr w:rsidR="00BB56C4" w:rsidRPr="00CE53C2" w14:paraId="2E707327" w14:textId="77777777" w:rsidTr="6AFFB094">
        <w:trPr>
          <w:jc w:val="center"/>
        </w:trPr>
        <w:tc>
          <w:tcPr>
            <w:tcW w:w="9535" w:type="dxa"/>
            <w:shd w:val="clear" w:color="auto" w:fill="F2F2F2" w:themeFill="background1" w:themeFillShade="F2"/>
          </w:tcPr>
          <w:p w14:paraId="48E1D25A" w14:textId="77777777" w:rsidR="00BB56C4" w:rsidRPr="003434C5" w:rsidRDefault="00BB56C4" w:rsidP="6AFFB094">
            <w:pPr>
              <w:spacing w:before="120" w:after="0" w:line="240" w:lineRule="auto"/>
              <w:jc w:val="both"/>
              <w:rPr>
                <w:rFonts w:ascii="Cambria" w:hAnsi="Cambria"/>
                <w:color w:val="000000" w:themeColor="text1"/>
                <w:sz w:val="20"/>
                <w:szCs w:val="20"/>
                <w:lang w:val="es-ES"/>
              </w:rPr>
            </w:pPr>
            <w:r w:rsidRPr="6AFFB094">
              <w:rPr>
                <w:rFonts w:ascii="Cambria" w:hAnsi="Cambria"/>
                <w:b/>
                <w:bCs/>
                <w:color w:val="000000" w:themeColor="text1"/>
                <w:sz w:val="20"/>
                <w:szCs w:val="20"/>
                <w:lang w:val="es-ES"/>
              </w:rPr>
              <w:t xml:space="preserve">Víctima (s): </w:t>
            </w:r>
            <w:r w:rsidRPr="6AFFB094">
              <w:rPr>
                <w:rFonts w:ascii="Cambria" w:hAnsi="Cambria"/>
                <w:color w:val="000000" w:themeColor="text1"/>
                <w:sz w:val="20"/>
                <w:szCs w:val="20"/>
                <w:lang w:val="es-ES"/>
              </w:rPr>
              <w:t>Peter Cash</w:t>
            </w:r>
          </w:p>
          <w:p w14:paraId="1A4F9E70" w14:textId="77777777" w:rsidR="00BB56C4" w:rsidRPr="003434C5" w:rsidRDefault="00BB56C4" w:rsidP="6AFFB094">
            <w:pPr>
              <w:spacing w:after="0" w:line="240" w:lineRule="auto"/>
              <w:jc w:val="both"/>
              <w:rPr>
                <w:rFonts w:ascii="Cambria" w:hAnsi="Cambria"/>
                <w:b/>
                <w:bCs/>
                <w:color w:val="000000" w:themeColor="text1"/>
                <w:sz w:val="20"/>
                <w:szCs w:val="20"/>
                <w:lang w:val="es-ES"/>
              </w:rPr>
            </w:pPr>
            <w:r w:rsidRPr="6AFFB094">
              <w:rPr>
                <w:rFonts w:ascii="Cambria" w:hAnsi="Cambria"/>
                <w:b/>
                <w:bCs/>
                <w:color w:val="000000" w:themeColor="text1"/>
                <w:sz w:val="20"/>
                <w:szCs w:val="20"/>
                <w:lang w:val="es-ES"/>
              </w:rPr>
              <w:t xml:space="preserve">Peticionario (s): </w:t>
            </w:r>
            <w:r w:rsidRPr="6AFFB094">
              <w:rPr>
                <w:rFonts w:ascii="Cambria" w:hAnsi="Cambria"/>
                <w:color w:val="000000" w:themeColor="text1"/>
                <w:sz w:val="20"/>
                <w:szCs w:val="20"/>
                <w:lang w:val="es-ES"/>
              </w:rPr>
              <w:t xml:space="preserve">Mr. Richard </w:t>
            </w:r>
            <w:proofErr w:type="spellStart"/>
            <w:r w:rsidRPr="6AFFB094">
              <w:rPr>
                <w:rFonts w:ascii="Cambria" w:hAnsi="Cambria"/>
                <w:color w:val="000000" w:themeColor="text1"/>
                <w:sz w:val="20"/>
                <w:szCs w:val="20"/>
                <w:lang w:val="es-ES"/>
              </w:rPr>
              <w:t>Sallybanks</w:t>
            </w:r>
            <w:proofErr w:type="spellEnd"/>
          </w:p>
          <w:p w14:paraId="7B7DFD0F" w14:textId="77777777" w:rsidR="00BB56C4" w:rsidRPr="003434C5" w:rsidRDefault="00BB56C4" w:rsidP="6AFFB094">
            <w:pPr>
              <w:spacing w:after="0" w:line="240" w:lineRule="auto"/>
              <w:jc w:val="both"/>
              <w:rPr>
                <w:rFonts w:ascii="Cambria" w:hAnsi="Cambria"/>
                <w:color w:val="000000" w:themeColor="text1"/>
                <w:sz w:val="20"/>
                <w:szCs w:val="20"/>
                <w:lang w:val="es-ES"/>
              </w:rPr>
            </w:pPr>
            <w:r w:rsidRPr="6AFFB094">
              <w:rPr>
                <w:rFonts w:ascii="Cambria" w:hAnsi="Cambria"/>
                <w:b/>
                <w:bCs/>
                <w:color w:val="000000" w:themeColor="text1"/>
                <w:sz w:val="20"/>
                <w:szCs w:val="20"/>
                <w:lang w:val="es-ES"/>
              </w:rPr>
              <w:t xml:space="preserve">Estado: </w:t>
            </w:r>
            <w:r w:rsidR="003E7F8D" w:rsidRPr="6AFFB094">
              <w:rPr>
                <w:rFonts w:ascii="Cambria" w:hAnsi="Cambria"/>
                <w:color w:val="000000" w:themeColor="text1"/>
                <w:sz w:val="20"/>
                <w:szCs w:val="20"/>
                <w:lang w:val="es-ES"/>
              </w:rPr>
              <w:t>Las</w:t>
            </w:r>
            <w:r w:rsidR="003E7F8D" w:rsidRPr="6AFFB094">
              <w:rPr>
                <w:rFonts w:ascii="Cambria" w:hAnsi="Cambria"/>
                <w:b/>
                <w:bCs/>
                <w:color w:val="000000" w:themeColor="text1"/>
                <w:sz w:val="20"/>
                <w:szCs w:val="20"/>
                <w:lang w:val="es-ES"/>
              </w:rPr>
              <w:t xml:space="preserve"> </w:t>
            </w:r>
            <w:r w:rsidRPr="6AFFB094">
              <w:rPr>
                <w:rFonts w:ascii="Cambria" w:hAnsi="Cambria"/>
                <w:color w:val="000000" w:themeColor="text1"/>
                <w:sz w:val="20"/>
                <w:szCs w:val="20"/>
                <w:lang w:val="es-ES"/>
              </w:rPr>
              <w:t xml:space="preserve">Bahamas (Commonwealth </w:t>
            </w:r>
            <w:r w:rsidR="003E7F8D" w:rsidRPr="6AFFB094">
              <w:rPr>
                <w:rFonts w:ascii="Cambria" w:hAnsi="Cambria"/>
                <w:color w:val="000000" w:themeColor="text1"/>
                <w:sz w:val="20"/>
                <w:szCs w:val="20"/>
                <w:lang w:val="es-ES"/>
              </w:rPr>
              <w:t>de</w:t>
            </w:r>
            <w:r w:rsidRPr="6AFFB094">
              <w:rPr>
                <w:rFonts w:ascii="Cambria" w:hAnsi="Cambria"/>
                <w:color w:val="000000" w:themeColor="text1"/>
                <w:sz w:val="20"/>
                <w:szCs w:val="20"/>
                <w:lang w:val="es-ES"/>
              </w:rPr>
              <w:t>)</w:t>
            </w:r>
          </w:p>
          <w:p w14:paraId="2B622881" w14:textId="77777777" w:rsidR="00BB56C4" w:rsidRPr="003434C5" w:rsidRDefault="00BB56C4" w:rsidP="6AFFB094">
            <w:pPr>
              <w:spacing w:after="0" w:line="240" w:lineRule="auto"/>
              <w:jc w:val="both"/>
              <w:rPr>
                <w:rFonts w:ascii="Cambria" w:hAnsi="Cambria"/>
                <w:color w:val="000000" w:themeColor="text1"/>
                <w:sz w:val="20"/>
                <w:szCs w:val="20"/>
                <w:lang w:val="es-ES"/>
              </w:rPr>
            </w:pPr>
            <w:r w:rsidRPr="6AFFB094">
              <w:rPr>
                <w:rFonts w:ascii="Cambria" w:hAnsi="Cambria"/>
                <w:b/>
                <w:bCs/>
                <w:color w:val="000000" w:themeColor="text1"/>
                <w:sz w:val="20"/>
                <w:szCs w:val="20"/>
                <w:lang w:val="es-ES"/>
              </w:rPr>
              <w:t xml:space="preserve">Informe de Fondo </w:t>
            </w:r>
            <w:proofErr w:type="spellStart"/>
            <w:r w:rsidRPr="6AFFB094">
              <w:rPr>
                <w:rFonts w:ascii="Cambria" w:hAnsi="Cambria"/>
                <w:b/>
                <w:bCs/>
                <w:color w:val="000000" w:themeColor="text1"/>
                <w:sz w:val="20"/>
                <w:szCs w:val="20"/>
                <w:lang w:val="es-ES"/>
              </w:rPr>
              <w:t>Nº</w:t>
            </w:r>
            <w:proofErr w:type="spellEnd"/>
            <w:r w:rsidRPr="6AFFB094">
              <w:rPr>
                <w:rFonts w:ascii="Cambria" w:hAnsi="Cambria"/>
                <w:b/>
                <w:bCs/>
                <w:color w:val="000000" w:themeColor="text1"/>
                <w:sz w:val="20"/>
                <w:szCs w:val="20"/>
                <w:lang w:val="es-ES"/>
              </w:rPr>
              <w:t xml:space="preserve">: </w:t>
            </w:r>
            <w:hyperlink r:id="rId8">
              <w:r w:rsidRPr="6AFFB094">
                <w:rPr>
                  <w:rStyle w:val="Hyperlink"/>
                  <w:rFonts w:ascii="Cambria" w:hAnsi="Cambria"/>
                  <w:color w:val="000000" w:themeColor="text1"/>
                  <w:sz w:val="20"/>
                  <w:szCs w:val="20"/>
                  <w:lang w:val="es-ES"/>
                </w:rPr>
                <w:t>12/14,</w:t>
              </w:r>
            </w:hyperlink>
            <w:r w:rsidRPr="6AFFB094">
              <w:rPr>
                <w:rFonts w:ascii="Cambria" w:hAnsi="Cambria"/>
                <w:color w:val="000000" w:themeColor="text1"/>
                <w:sz w:val="20"/>
                <w:szCs w:val="20"/>
                <w:lang w:val="es-ES"/>
              </w:rPr>
              <w:t xml:space="preserve"> publicado en 2 de abril de 2014</w:t>
            </w:r>
          </w:p>
          <w:p w14:paraId="6FB8A0AC" w14:textId="77777777" w:rsidR="00BB56C4" w:rsidRPr="003434C5" w:rsidRDefault="00BB56C4" w:rsidP="6AFFB094">
            <w:pPr>
              <w:spacing w:after="0" w:line="240" w:lineRule="auto"/>
              <w:jc w:val="both"/>
              <w:rPr>
                <w:rFonts w:ascii="Cambria" w:hAnsi="Cambria"/>
                <w:color w:val="000000" w:themeColor="text1"/>
                <w:sz w:val="20"/>
                <w:szCs w:val="20"/>
                <w:lang w:val="es-ES"/>
              </w:rPr>
            </w:pPr>
            <w:r w:rsidRPr="6AFFB094">
              <w:rPr>
                <w:rFonts w:ascii="Cambria" w:hAnsi="Cambria"/>
                <w:b/>
                <w:bCs/>
                <w:color w:val="000000" w:themeColor="text1"/>
                <w:sz w:val="20"/>
                <w:szCs w:val="20"/>
                <w:lang w:val="es-ES"/>
              </w:rPr>
              <w:t xml:space="preserve">Informe de Admisibilidad: </w:t>
            </w:r>
            <w:r w:rsidRPr="6AFFB094">
              <w:rPr>
                <w:rFonts w:ascii="Cambria" w:hAnsi="Cambria"/>
                <w:color w:val="000000" w:themeColor="text1"/>
                <w:sz w:val="20"/>
                <w:szCs w:val="20"/>
                <w:lang w:val="es-ES"/>
              </w:rPr>
              <w:t xml:space="preserve">Analizado junto con el Informe de Fondo </w:t>
            </w:r>
            <w:proofErr w:type="spellStart"/>
            <w:r w:rsidRPr="6AFFB094">
              <w:rPr>
                <w:rFonts w:ascii="Cambria" w:hAnsi="Cambria"/>
                <w:color w:val="000000" w:themeColor="text1"/>
                <w:sz w:val="20"/>
                <w:szCs w:val="20"/>
                <w:lang w:val="es-ES"/>
              </w:rPr>
              <w:t>Nº</w:t>
            </w:r>
            <w:proofErr w:type="spellEnd"/>
            <w:r w:rsidRPr="6AFFB094">
              <w:rPr>
                <w:rFonts w:ascii="Cambria" w:hAnsi="Cambria"/>
                <w:color w:val="000000" w:themeColor="text1"/>
                <w:sz w:val="20"/>
                <w:szCs w:val="20"/>
                <w:lang w:val="es-ES"/>
              </w:rPr>
              <w:t>. 12/14</w:t>
            </w:r>
          </w:p>
          <w:p w14:paraId="18F8CF16" w14:textId="77777777" w:rsidR="00BB56C4" w:rsidRPr="003434C5" w:rsidRDefault="00BB56C4" w:rsidP="6AFFB094">
            <w:pPr>
              <w:spacing w:after="0" w:line="240" w:lineRule="auto"/>
              <w:jc w:val="both"/>
              <w:rPr>
                <w:rFonts w:ascii="Cambria" w:hAnsi="Cambria"/>
                <w:b/>
                <w:bCs/>
                <w:color w:val="000000" w:themeColor="text1"/>
                <w:sz w:val="20"/>
                <w:szCs w:val="20"/>
                <w:lang w:val="es-ES"/>
              </w:rPr>
            </w:pPr>
            <w:r w:rsidRPr="6AFFB094">
              <w:rPr>
                <w:rFonts w:ascii="Cambria" w:hAnsi="Cambria"/>
                <w:b/>
                <w:bCs/>
                <w:color w:val="000000" w:themeColor="text1"/>
                <w:sz w:val="20"/>
                <w:szCs w:val="20"/>
                <w:lang w:val="es-ES"/>
              </w:rPr>
              <w:t xml:space="preserve">Medidas cautelares: </w:t>
            </w:r>
            <w:r w:rsidRPr="6AFFB094">
              <w:rPr>
                <w:rFonts w:ascii="Cambria" w:hAnsi="Cambria"/>
                <w:color w:val="000000" w:themeColor="text1"/>
                <w:sz w:val="20"/>
                <w:szCs w:val="20"/>
                <w:lang w:val="es-ES"/>
              </w:rPr>
              <w:t>Otorgada en 18 de noviembre de 1999</w:t>
            </w:r>
          </w:p>
          <w:p w14:paraId="1C2D4859" w14:textId="77777777" w:rsidR="00BB56C4" w:rsidRPr="003434C5" w:rsidRDefault="00BB56C4" w:rsidP="6AFFB094">
            <w:pPr>
              <w:spacing w:after="120" w:line="240" w:lineRule="auto"/>
              <w:jc w:val="both"/>
              <w:rPr>
                <w:rFonts w:ascii="Cambria" w:hAnsi="Cambria"/>
                <w:b/>
                <w:bCs/>
                <w:color w:val="000000" w:themeColor="text1"/>
                <w:sz w:val="20"/>
                <w:szCs w:val="20"/>
                <w:lang w:val="es-ES"/>
              </w:rPr>
            </w:pPr>
            <w:r w:rsidRPr="6AFFB094">
              <w:rPr>
                <w:rFonts w:ascii="Cambria" w:hAnsi="Cambria"/>
                <w:b/>
                <w:bCs/>
                <w:color w:val="000000" w:themeColor="text1"/>
                <w:sz w:val="20"/>
                <w:szCs w:val="20"/>
                <w:lang w:val="es-ES"/>
              </w:rPr>
              <w:t xml:space="preserve">Temas: </w:t>
            </w:r>
            <w:r w:rsidR="00672933" w:rsidRPr="6AFFB094">
              <w:rPr>
                <w:rFonts w:ascii="Cambria" w:eastAsia="Times New Roman" w:hAnsi="Cambria"/>
                <w:color w:val="000000" w:themeColor="text1"/>
                <w:sz w:val="20"/>
                <w:szCs w:val="20"/>
                <w:lang w:val="es-MX" w:eastAsia="es-MX"/>
              </w:rPr>
              <w:t>Deber de Adoptar Medidas y Disposiciones de Derecho Interno</w:t>
            </w:r>
            <w:r w:rsidR="00672933" w:rsidRPr="6AFFB094">
              <w:rPr>
                <w:rFonts w:ascii="Cambria" w:hAnsi="Cambria"/>
                <w:color w:val="000000" w:themeColor="text1"/>
                <w:sz w:val="20"/>
                <w:szCs w:val="20"/>
                <w:lang w:val="es-ES"/>
              </w:rPr>
              <w:t xml:space="preserve"> / Derecho a la Vida / Derecho a la Integridad Personal / Derecho a la Libertad Personal / Garantías Judiciales / Protección Judicial / Pena de Muerte / Condiciones de Detención / </w:t>
            </w:r>
            <w:r w:rsidR="00672933" w:rsidRPr="6AFFB094">
              <w:rPr>
                <w:rFonts w:ascii="Cambria" w:eastAsia="Times New Roman" w:hAnsi="Cambria"/>
                <w:color w:val="000000" w:themeColor="text1"/>
                <w:sz w:val="20"/>
                <w:szCs w:val="20"/>
                <w:lang w:val="es-MX" w:eastAsia="es-MX"/>
              </w:rPr>
              <w:t>Tortura, Tratos Crueles, Inhumanos y/o Degradantes / Detención Arbitraria</w:t>
            </w:r>
          </w:p>
          <w:p w14:paraId="103D5181" w14:textId="77777777" w:rsidR="00BB56C4" w:rsidRPr="003434C5" w:rsidRDefault="00BB56C4" w:rsidP="6AFFB094">
            <w:pPr>
              <w:spacing w:after="120" w:line="240" w:lineRule="auto"/>
              <w:jc w:val="both"/>
              <w:rPr>
                <w:rFonts w:ascii="Cambria" w:hAnsi="Cambria"/>
                <w:color w:val="000000" w:themeColor="text1"/>
                <w:sz w:val="20"/>
                <w:szCs w:val="20"/>
                <w:lang w:val="es-ES"/>
              </w:rPr>
            </w:pPr>
            <w:r w:rsidRPr="6AFFB094">
              <w:rPr>
                <w:rFonts w:ascii="Cambria" w:hAnsi="Cambria"/>
                <w:b/>
                <w:bCs/>
                <w:color w:val="000000" w:themeColor="text1"/>
                <w:sz w:val="20"/>
                <w:szCs w:val="20"/>
                <w:lang w:val="es-ES"/>
              </w:rPr>
              <w:t xml:space="preserve">Hechos: </w:t>
            </w:r>
            <w:r w:rsidR="007548AC" w:rsidRPr="6AFFB094">
              <w:rPr>
                <w:rFonts w:ascii="Cambria" w:hAnsi="Cambria"/>
                <w:color w:val="000000" w:themeColor="text1"/>
                <w:sz w:val="20"/>
                <w:szCs w:val="20"/>
                <w:lang w:val="es-ES"/>
              </w:rPr>
              <w:t xml:space="preserve">Este caso corresponde al señor </w:t>
            </w:r>
            <w:r w:rsidRPr="6AFFB094">
              <w:rPr>
                <w:rFonts w:ascii="Cambria" w:hAnsi="Cambria"/>
                <w:color w:val="000000" w:themeColor="text1"/>
                <w:sz w:val="20"/>
                <w:szCs w:val="20"/>
                <w:lang w:val="es-ES"/>
              </w:rPr>
              <w:t xml:space="preserve">Peter Cash, </w:t>
            </w:r>
            <w:r w:rsidR="007548AC" w:rsidRPr="6AFFB094">
              <w:rPr>
                <w:rFonts w:ascii="Cambria" w:hAnsi="Cambria"/>
                <w:color w:val="000000" w:themeColor="text1"/>
                <w:sz w:val="20"/>
                <w:szCs w:val="20"/>
                <w:lang w:val="es-ES"/>
              </w:rPr>
              <w:t xml:space="preserve">ciudadano de Bahamas, quien fue condenado por el </w:t>
            </w:r>
            <w:r w:rsidR="00367FC8" w:rsidRPr="6AFFB094">
              <w:rPr>
                <w:rFonts w:ascii="Cambria" w:hAnsi="Cambria"/>
                <w:color w:val="000000" w:themeColor="text1"/>
                <w:sz w:val="20"/>
                <w:szCs w:val="20"/>
                <w:lang w:val="es-ES"/>
              </w:rPr>
              <w:t>homicidio</w:t>
            </w:r>
            <w:r w:rsidR="007548AC" w:rsidRPr="6AFFB094">
              <w:rPr>
                <w:rFonts w:ascii="Cambria" w:hAnsi="Cambria"/>
                <w:color w:val="000000" w:themeColor="text1"/>
                <w:sz w:val="20"/>
                <w:szCs w:val="20"/>
                <w:lang w:val="es-ES"/>
              </w:rPr>
              <w:t xml:space="preserve"> de </w:t>
            </w:r>
            <w:r w:rsidRPr="6AFFB094">
              <w:rPr>
                <w:rFonts w:ascii="Cambria" w:hAnsi="Cambria"/>
                <w:color w:val="000000" w:themeColor="text1"/>
                <w:sz w:val="20"/>
                <w:szCs w:val="20"/>
                <w:lang w:val="es-ES"/>
              </w:rPr>
              <w:t xml:space="preserve">Joyce Elaine Adderley, </w:t>
            </w:r>
            <w:r w:rsidR="00CE5C6C" w:rsidRPr="6AFFB094">
              <w:rPr>
                <w:rFonts w:ascii="Cambria" w:hAnsi="Cambria"/>
                <w:color w:val="000000" w:themeColor="text1"/>
                <w:sz w:val="20"/>
                <w:szCs w:val="20"/>
                <w:lang w:val="es-ES"/>
              </w:rPr>
              <w:t xml:space="preserve">primordialmente </w:t>
            </w:r>
            <w:r w:rsidR="004A6837" w:rsidRPr="6AFFB094">
              <w:rPr>
                <w:rFonts w:ascii="Cambria" w:hAnsi="Cambria"/>
                <w:color w:val="000000" w:themeColor="text1"/>
                <w:sz w:val="20"/>
                <w:szCs w:val="20"/>
                <w:lang w:val="es-ES"/>
              </w:rPr>
              <w:t>por</w:t>
            </w:r>
            <w:r w:rsidR="00CE5C6C" w:rsidRPr="6AFFB094">
              <w:rPr>
                <w:rFonts w:ascii="Cambria" w:hAnsi="Cambria"/>
                <w:color w:val="000000" w:themeColor="text1"/>
                <w:sz w:val="20"/>
                <w:szCs w:val="20"/>
                <w:lang w:val="es-ES"/>
              </w:rPr>
              <w:t xml:space="preserve"> su confesión</w:t>
            </w:r>
            <w:r w:rsidR="004A6837" w:rsidRPr="6AFFB094">
              <w:rPr>
                <w:rFonts w:ascii="Cambria" w:hAnsi="Cambria"/>
                <w:color w:val="000000" w:themeColor="text1"/>
                <w:sz w:val="20"/>
                <w:szCs w:val="20"/>
                <w:lang w:val="es-ES"/>
              </w:rPr>
              <w:t xml:space="preserve"> obtenida mediante el uso de la fuerza, y sentenciado a muerte obliga</w:t>
            </w:r>
            <w:r w:rsidR="0074203F" w:rsidRPr="6AFFB094">
              <w:rPr>
                <w:rFonts w:ascii="Cambria" w:hAnsi="Cambria"/>
                <w:color w:val="000000" w:themeColor="text1"/>
                <w:sz w:val="20"/>
                <w:szCs w:val="20"/>
                <w:lang w:val="es-ES"/>
              </w:rPr>
              <w:t>t</w:t>
            </w:r>
            <w:r w:rsidR="004A6837" w:rsidRPr="6AFFB094">
              <w:rPr>
                <w:rFonts w:ascii="Cambria" w:hAnsi="Cambria"/>
                <w:color w:val="000000" w:themeColor="text1"/>
                <w:sz w:val="20"/>
                <w:szCs w:val="20"/>
                <w:lang w:val="es-ES"/>
              </w:rPr>
              <w:t xml:space="preserve">oria en la </w:t>
            </w:r>
            <w:r w:rsidR="00845F3F" w:rsidRPr="6AFFB094">
              <w:rPr>
                <w:rFonts w:ascii="Cambria" w:hAnsi="Cambria"/>
                <w:color w:val="000000" w:themeColor="text1"/>
                <w:sz w:val="20"/>
                <w:szCs w:val="20"/>
                <w:lang w:val="es-ES"/>
              </w:rPr>
              <w:t>cárcel</w:t>
            </w:r>
            <w:r w:rsidR="004A6837" w:rsidRPr="6AFFB094">
              <w:rPr>
                <w:rFonts w:ascii="Cambria" w:hAnsi="Cambria"/>
                <w:color w:val="000000" w:themeColor="text1"/>
                <w:sz w:val="20"/>
                <w:szCs w:val="20"/>
                <w:lang w:val="es-ES"/>
              </w:rPr>
              <w:t xml:space="preserve"> de Fox Hill en </w:t>
            </w:r>
            <w:r w:rsidR="00845F3F" w:rsidRPr="6AFFB094">
              <w:rPr>
                <w:rFonts w:ascii="Cambria" w:hAnsi="Cambria"/>
                <w:color w:val="000000" w:themeColor="text1"/>
                <w:sz w:val="20"/>
                <w:szCs w:val="20"/>
                <w:lang w:val="es-ES"/>
              </w:rPr>
              <w:t xml:space="preserve">Las </w:t>
            </w:r>
            <w:r w:rsidR="004A6837" w:rsidRPr="6AFFB094">
              <w:rPr>
                <w:rFonts w:ascii="Cambria" w:hAnsi="Cambria"/>
                <w:color w:val="000000" w:themeColor="text1"/>
                <w:sz w:val="20"/>
                <w:szCs w:val="20"/>
                <w:lang w:val="es-ES"/>
              </w:rPr>
              <w:t xml:space="preserve">Bahamas. Durante su detención el señor Cash </w:t>
            </w:r>
            <w:r w:rsidR="007A5299" w:rsidRPr="6AFFB094">
              <w:rPr>
                <w:rFonts w:ascii="Cambria" w:hAnsi="Cambria"/>
                <w:color w:val="000000" w:themeColor="text1"/>
                <w:sz w:val="20"/>
                <w:szCs w:val="20"/>
                <w:lang w:val="es-ES"/>
              </w:rPr>
              <w:t>sufrió tortura y malos tratos</w:t>
            </w:r>
            <w:r w:rsidRPr="6AFFB094">
              <w:rPr>
                <w:rFonts w:ascii="Cambria" w:hAnsi="Cambria"/>
                <w:color w:val="000000" w:themeColor="text1"/>
                <w:sz w:val="20"/>
                <w:szCs w:val="20"/>
                <w:lang w:val="es-ES"/>
              </w:rPr>
              <w:t xml:space="preserve">. </w:t>
            </w:r>
          </w:p>
          <w:p w14:paraId="1B6C8D2B" w14:textId="77777777" w:rsidR="00BB56C4" w:rsidRPr="003434C5" w:rsidRDefault="00BB56C4" w:rsidP="6AFFB094">
            <w:pPr>
              <w:spacing w:after="120" w:line="240" w:lineRule="auto"/>
              <w:jc w:val="both"/>
              <w:rPr>
                <w:rFonts w:ascii="Cambria" w:hAnsi="Cambria"/>
                <w:color w:val="000000" w:themeColor="text1"/>
                <w:sz w:val="20"/>
                <w:szCs w:val="20"/>
                <w:lang w:val="es-ES"/>
              </w:rPr>
            </w:pPr>
            <w:r w:rsidRPr="6AFFB094">
              <w:rPr>
                <w:rFonts w:ascii="Cambria" w:hAnsi="Cambria"/>
                <w:b/>
                <w:bCs/>
                <w:color w:val="000000" w:themeColor="text1"/>
                <w:sz w:val="20"/>
                <w:szCs w:val="20"/>
                <w:lang w:val="es-ES"/>
              </w:rPr>
              <w:t xml:space="preserve">Derechos violados: </w:t>
            </w:r>
            <w:r w:rsidRPr="6AFFB094">
              <w:rPr>
                <w:rFonts w:ascii="Cambria" w:hAnsi="Cambria"/>
                <w:color w:val="000000" w:themeColor="text1"/>
                <w:sz w:val="20"/>
                <w:szCs w:val="20"/>
                <w:lang w:val="es-ES"/>
              </w:rPr>
              <w:t>La Comisión concluyó que el Estado de Bahamas era responsable de: a) la violación de los artículos II, XVIII y XXVI por no otorgar al señor Cash un derecho efectivo a la amnistía, al indulto o a la conmutación de la sentencia; b) la violación de los artículos XVIII y XXVI por no impedir ni reparar el uso de confesiones obtenidas por la fuerza en el proceso penal que se le instruyó; c) la violación de los artículos I, XXV y XXVI por someterlo, o permitir que se le sometiera, a tortura; d) la violación de los artículos XVIII y XXVI por no otorgarle asistencia letrada para iniciar una acción de constitucionalidad; y e) la violación del artículo XXV por violar el derecho del señor Cash a ser juzgado sin demora injustificada.</w:t>
            </w:r>
          </w:p>
        </w:tc>
      </w:tr>
    </w:tbl>
    <w:p w14:paraId="2AFE726A" w14:textId="77777777" w:rsidR="00BB56C4" w:rsidRPr="003434C5" w:rsidRDefault="00BB56C4" w:rsidP="6AFFB094">
      <w:pPr>
        <w:spacing w:after="0" w:line="240" w:lineRule="auto"/>
        <w:ind w:left="180"/>
        <w:jc w:val="both"/>
        <w:rPr>
          <w:rFonts w:ascii="Cambria" w:hAnsi="Cambria"/>
          <w:color w:val="000000" w:themeColor="text1"/>
          <w:sz w:val="20"/>
          <w:szCs w:val="20"/>
          <w:lang w:val="es-ES"/>
        </w:rPr>
      </w:pPr>
    </w:p>
    <w:p w14:paraId="7E781EC7" w14:textId="77777777" w:rsidR="00BB56C4" w:rsidRPr="003434C5" w:rsidRDefault="00BB56C4" w:rsidP="6AFFB094">
      <w:pPr>
        <w:numPr>
          <w:ilvl w:val="0"/>
          <w:numId w:val="18"/>
        </w:numPr>
        <w:spacing w:after="0" w:line="240" w:lineRule="auto"/>
        <w:ind w:firstLine="0"/>
        <w:jc w:val="both"/>
        <w:rPr>
          <w:rFonts w:ascii="Cambria" w:hAnsi="Cambria" w:cs="Calibri Light"/>
          <w:b/>
          <w:bCs/>
          <w:color w:val="000000" w:themeColor="text1"/>
          <w:sz w:val="20"/>
          <w:szCs w:val="20"/>
          <w:lang w:val="es-ES"/>
        </w:rPr>
      </w:pPr>
      <w:r w:rsidRPr="6AFFB094">
        <w:rPr>
          <w:rFonts w:ascii="Cambria" w:hAnsi="Cambria" w:cs="Calibri Light"/>
          <w:b/>
          <w:bCs/>
          <w:color w:val="000000" w:themeColor="text1"/>
          <w:sz w:val="20"/>
          <w:szCs w:val="20"/>
          <w:lang w:val="es-ES"/>
        </w:rPr>
        <w:t>Recomendaciones</w:t>
      </w:r>
    </w:p>
    <w:p w14:paraId="6141A310" w14:textId="77777777" w:rsidR="00BB56C4" w:rsidRPr="003434C5" w:rsidRDefault="00BB56C4" w:rsidP="6AFFB094">
      <w:pPr>
        <w:spacing w:after="0" w:line="240" w:lineRule="auto"/>
        <w:ind w:left="1080"/>
        <w:jc w:val="both"/>
        <w:rPr>
          <w:rFonts w:ascii="Cambria" w:hAnsi="Cambria" w:cs="Calibri Light"/>
          <w:color w:val="000000" w:themeColor="text1"/>
          <w:sz w:val="20"/>
          <w:szCs w:val="20"/>
          <w:lang w:val="es-E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BB56C4" w:rsidRPr="00CE53C2" w14:paraId="584ADDFB" w14:textId="77777777" w:rsidTr="6AFFB094">
        <w:trPr>
          <w:trHeight w:val="119"/>
        </w:trPr>
        <w:tc>
          <w:tcPr>
            <w:tcW w:w="7290" w:type="dxa"/>
            <w:shd w:val="clear" w:color="auto" w:fill="auto"/>
            <w:vAlign w:val="center"/>
          </w:tcPr>
          <w:p w14:paraId="2E1996DF" w14:textId="77777777" w:rsidR="00BB56C4" w:rsidRPr="003434C5" w:rsidRDefault="00BB56C4" w:rsidP="6AFFB094">
            <w:pPr>
              <w:spacing w:after="0" w:line="240" w:lineRule="auto"/>
              <w:jc w:val="center"/>
              <w:rPr>
                <w:rFonts w:ascii="Cambria" w:hAnsi="Cambria" w:cs="Calibri Light"/>
                <w:b/>
                <w:bCs/>
                <w:color w:val="000000" w:themeColor="text1"/>
                <w:sz w:val="18"/>
                <w:szCs w:val="18"/>
                <w:lang w:val="es-ES"/>
              </w:rPr>
            </w:pPr>
            <w:r w:rsidRPr="6AFFB094">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26BDBEBB" w14:textId="18D405A3" w:rsidR="00BB56C4" w:rsidRPr="003434C5" w:rsidRDefault="00BB56C4" w:rsidP="6AFFB094">
            <w:pPr>
              <w:spacing w:after="0" w:line="240" w:lineRule="auto"/>
              <w:jc w:val="center"/>
              <w:rPr>
                <w:rFonts w:ascii="Cambria" w:hAnsi="Cambria" w:cs="Calibri Light"/>
                <w:b/>
                <w:bCs/>
                <w:color w:val="000000" w:themeColor="text1"/>
                <w:sz w:val="18"/>
                <w:szCs w:val="18"/>
                <w:lang w:val="es-ES"/>
              </w:rPr>
            </w:pPr>
            <w:r w:rsidRPr="6AFFB094">
              <w:rPr>
                <w:rFonts w:ascii="Cambria" w:hAnsi="Cambria" w:cs="Calibri Light"/>
                <w:b/>
                <w:bCs/>
                <w:color w:val="000000" w:themeColor="text1"/>
                <w:sz w:val="18"/>
                <w:szCs w:val="18"/>
                <w:lang w:val="es-ES"/>
              </w:rPr>
              <w:t>E</w:t>
            </w:r>
            <w:r w:rsidR="00623426" w:rsidRPr="6AFFB094">
              <w:rPr>
                <w:rFonts w:ascii="Cambria" w:hAnsi="Cambria" w:cs="Calibri Light"/>
                <w:b/>
                <w:bCs/>
                <w:color w:val="000000" w:themeColor="text1"/>
                <w:sz w:val="18"/>
                <w:szCs w:val="18"/>
                <w:lang w:val="es-ES"/>
              </w:rPr>
              <w:t>stado de cumplimiento en el 20</w:t>
            </w:r>
            <w:r w:rsidR="00001481" w:rsidRPr="6AFFB094">
              <w:rPr>
                <w:rFonts w:ascii="Cambria" w:hAnsi="Cambria" w:cs="Calibri Light"/>
                <w:b/>
                <w:bCs/>
                <w:color w:val="000000" w:themeColor="text1"/>
                <w:sz w:val="18"/>
                <w:szCs w:val="18"/>
                <w:lang w:val="es-ES"/>
              </w:rPr>
              <w:t>21</w:t>
            </w:r>
          </w:p>
        </w:tc>
      </w:tr>
      <w:tr w:rsidR="00BB56C4" w:rsidRPr="003434C5" w14:paraId="6657D361" w14:textId="77777777" w:rsidTr="6AFFB094">
        <w:trPr>
          <w:trHeight w:val="638"/>
        </w:trPr>
        <w:tc>
          <w:tcPr>
            <w:tcW w:w="7290" w:type="dxa"/>
            <w:shd w:val="clear" w:color="auto" w:fill="auto"/>
          </w:tcPr>
          <w:p w14:paraId="4B32BC0D" w14:textId="77777777" w:rsidR="00BB56C4" w:rsidRPr="003434C5" w:rsidRDefault="00BB56C4" w:rsidP="6AFFB094">
            <w:pPr>
              <w:spacing w:after="0" w:line="240" w:lineRule="auto"/>
              <w:jc w:val="both"/>
              <w:rPr>
                <w:rFonts w:ascii="Cambria" w:hAnsi="Cambria" w:cs="Calibri Light"/>
                <w:color w:val="000000" w:themeColor="text1"/>
                <w:sz w:val="18"/>
                <w:szCs w:val="18"/>
                <w:lang w:val="es-ES"/>
              </w:rPr>
            </w:pPr>
            <w:r w:rsidRPr="6AFFB094">
              <w:rPr>
                <w:rFonts w:ascii="Cambria" w:hAnsi="Cambria" w:cs="Calibri Light"/>
                <w:color w:val="000000" w:themeColor="text1"/>
                <w:sz w:val="18"/>
                <w:szCs w:val="18"/>
                <w:lang w:val="es-ES"/>
              </w:rPr>
              <w:t xml:space="preserve">1. </w:t>
            </w:r>
            <w:r w:rsidRPr="6AFFB094">
              <w:rPr>
                <w:rFonts w:ascii="Cambria" w:hAnsi="Cambria"/>
                <w:color w:val="000000" w:themeColor="text1"/>
                <w:sz w:val="18"/>
                <w:szCs w:val="18"/>
                <w:lang w:val="es-ES"/>
              </w:rPr>
              <w:t>Otorgue una reparación efectiva, que incluya un nuevo juicio al Señor Cash, de acuerdo con las protecciones judiciales de la Declaración Americana, o que, en su defecto, disponga el indulto o la conmutación de la sentencia.</w:t>
            </w:r>
          </w:p>
        </w:tc>
        <w:tc>
          <w:tcPr>
            <w:tcW w:w="2250" w:type="dxa"/>
            <w:shd w:val="clear" w:color="auto" w:fill="auto"/>
            <w:vAlign w:val="center"/>
          </w:tcPr>
          <w:p w14:paraId="74651EB4" w14:textId="5ECE084F" w:rsidR="00BB56C4" w:rsidRPr="003434C5" w:rsidRDefault="00BB56C4" w:rsidP="6AFFB094">
            <w:pPr>
              <w:spacing w:after="0" w:line="240" w:lineRule="auto"/>
              <w:jc w:val="center"/>
              <w:rPr>
                <w:rFonts w:ascii="Cambria" w:hAnsi="Cambria" w:cs="Calibri Light"/>
                <w:b/>
                <w:bCs/>
                <w:color w:val="000000" w:themeColor="text1"/>
                <w:sz w:val="18"/>
                <w:szCs w:val="18"/>
                <w:lang w:val="es-ES"/>
              </w:rPr>
            </w:pPr>
            <w:r w:rsidRPr="6AFFB094">
              <w:rPr>
                <w:rFonts w:ascii="Cambria" w:hAnsi="Cambria" w:cs="Calibri"/>
                <w:color w:val="000000" w:themeColor="text1"/>
                <w:sz w:val="18"/>
                <w:szCs w:val="18"/>
                <w:lang w:val="es-ES"/>
              </w:rPr>
              <w:t>Cumplimiento total</w:t>
            </w:r>
            <w:r w:rsidR="00BD7C18" w:rsidRPr="003434C5">
              <w:rPr>
                <w:rStyle w:val="FootnoteReference"/>
                <w:rFonts w:ascii="Cambria" w:hAnsi="Cambria"/>
                <w:color w:val="000000"/>
                <w:lang w:val="es-ES"/>
              </w:rPr>
              <w:footnoteReference w:id="1"/>
            </w:r>
          </w:p>
        </w:tc>
      </w:tr>
      <w:tr w:rsidR="00BB56C4" w:rsidRPr="003434C5" w14:paraId="4D444884" w14:textId="77777777" w:rsidTr="6AFFB094">
        <w:trPr>
          <w:trHeight w:val="489"/>
        </w:trPr>
        <w:tc>
          <w:tcPr>
            <w:tcW w:w="7290" w:type="dxa"/>
            <w:shd w:val="clear" w:color="auto" w:fill="auto"/>
          </w:tcPr>
          <w:p w14:paraId="525510F8" w14:textId="77777777" w:rsidR="00BB56C4" w:rsidRPr="003434C5" w:rsidRDefault="00BB56C4" w:rsidP="6AFFB094">
            <w:pPr>
              <w:spacing w:after="0" w:line="240" w:lineRule="auto"/>
              <w:jc w:val="both"/>
              <w:rPr>
                <w:rFonts w:ascii="Cambria" w:hAnsi="Cambria" w:cs="Calibri Light"/>
                <w:color w:val="000000" w:themeColor="text1"/>
                <w:sz w:val="18"/>
                <w:szCs w:val="18"/>
                <w:lang w:val="es-ES"/>
              </w:rPr>
            </w:pPr>
            <w:r w:rsidRPr="6AFFB094">
              <w:rPr>
                <w:rFonts w:ascii="Cambria" w:hAnsi="Cambria" w:cs="Calibri Light"/>
                <w:color w:val="000000" w:themeColor="text1"/>
                <w:sz w:val="18"/>
                <w:szCs w:val="18"/>
                <w:lang w:val="es-ES"/>
              </w:rPr>
              <w:t xml:space="preserve">2. </w:t>
            </w:r>
            <w:r w:rsidRPr="6AFFB094">
              <w:rPr>
                <w:rFonts w:ascii="Cambria" w:hAnsi="Cambria"/>
                <w:color w:val="000000" w:themeColor="text1"/>
                <w:sz w:val="18"/>
                <w:szCs w:val="18"/>
                <w:lang w:val="es-ES"/>
              </w:rPr>
              <w:t>Realice una investigación para identificar a los funcionarios judiciales involucrados en el ataque contra el Señor Cash para arrancarle confesiones y les aplique el debido castigo que disponga la ley</w:t>
            </w:r>
          </w:p>
        </w:tc>
        <w:tc>
          <w:tcPr>
            <w:tcW w:w="2250" w:type="dxa"/>
            <w:shd w:val="clear" w:color="auto" w:fill="auto"/>
            <w:vAlign w:val="center"/>
          </w:tcPr>
          <w:p w14:paraId="2478E70B" w14:textId="77777777" w:rsidR="00BB56C4" w:rsidRPr="003434C5" w:rsidRDefault="00BB56C4" w:rsidP="6AFFB094">
            <w:pPr>
              <w:spacing w:after="0" w:line="240" w:lineRule="auto"/>
              <w:jc w:val="center"/>
              <w:rPr>
                <w:rFonts w:ascii="Cambria" w:hAnsi="Cambria" w:cs="Calibri Light"/>
                <w:b/>
                <w:bCs/>
                <w:color w:val="000000" w:themeColor="text1"/>
                <w:sz w:val="18"/>
                <w:szCs w:val="18"/>
                <w:lang w:val="es-ES"/>
              </w:rPr>
            </w:pPr>
            <w:r w:rsidRPr="6AFFB094">
              <w:rPr>
                <w:rFonts w:ascii="Cambria" w:hAnsi="Cambria" w:cs="Calibri"/>
                <w:color w:val="000000" w:themeColor="text1"/>
                <w:sz w:val="18"/>
                <w:szCs w:val="18"/>
                <w:lang w:val="es-ES"/>
              </w:rPr>
              <w:t xml:space="preserve">Pendiente de cumplimiento </w:t>
            </w:r>
          </w:p>
        </w:tc>
      </w:tr>
      <w:tr w:rsidR="00BB56C4" w:rsidRPr="003434C5" w14:paraId="7BD504E9" w14:textId="77777777" w:rsidTr="6AFFB094">
        <w:trPr>
          <w:trHeight w:val="396"/>
        </w:trPr>
        <w:tc>
          <w:tcPr>
            <w:tcW w:w="7290" w:type="dxa"/>
            <w:shd w:val="clear" w:color="auto" w:fill="auto"/>
          </w:tcPr>
          <w:p w14:paraId="4F9EE0A5" w14:textId="77777777" w:rsidR="00BB56C4" w:rsidRPr="003434C5" w:rsidRDefault="00BB56C4" w:rsidP="6AFFB094">
            <w:pPr>
              <w:spacing w:after="0" w:line="240" w:lineRule="auto"/>
              <w:jc w:val="both"/>
              <w:rPr>
                <w:rFonts w:ascii="Cambria" w:hAnsi="Cambria" w:cs="Calibri Light"/>
                <w:color w:val="000000" w:themeColor="text1"/>
                <w:sz w:val="18"/>
                <w:szCs w:val="18"/>
                <w:lang w:val="es-ES"/>
              </w:rPr>
            </w:pPr>
            <w:r w:rsidRPr="6AFFB094">
              <w:rPr>
                <w:rFonts w:ascii="Cambria" w:hAnsi="Cambria" w:cs="Calibri Light"/>
                <w:color w:val="000000" w:themeColor="text1"/>
                <w:sz w:val="18"/>
                <w:szCs w:val="18"/>
                <w:lang w:val="es-ES"/>
              </w:rPr>
              <w:t xml:space="preserve">3. </w:t>
            </w:r>
            <w:r w:rsidRPr="6AFFB094">
              <w:rPr>
                <w:rFonts w:ascii="Cambria" w:hAnsi="Cambria"/>
                <w:color w:val="000000" w:themeColor="text1"/>
                <w:sz w:val="18"/>
                <w:szCs w:val="18"/>
                <w:lang w:val="es-ES"/>
              </w:rPr>
              <w:t>Adopte medidas para indemnizar al Señor Cash por el sufrimiento ocasionado por la violación de sus derechos, en particular, el derecho a la seguridad personal, el derecho a un trato humano estando bajo custodia y el derecho a la protección contra un castigo cruel, degradante o inusual</w:t>
            </w:r>
          </w:p>
        </w:tc>
        <w:tc>
          <w:tcPr>
            <w:tcW w:w="2250" w:type="dxa"/>
            <w:shd w:val="clear" w:color="auto" w:fill="auto"/>
            <w:vAlign w:val="center"/>
          </w:tcPr>
          <w:p w14:paraId="1D1CFAFA" w14:textId="77777777" w:rsidR="00BB56C4" w:rsidRPr="003434C5" w:rsidRDefault="00BB56C4" w:rsidP="6AFFB094">
            <w:pPr>
              <w:spacing w:after="0" w:line="240" w:lineRule="auto"/>
              <w:jc w:val="center"/>
              <w:rPr>
                <w:rFonts w:ascii="Cambria" w:hAnsi="Cambria" w:cs="Calibri Light"/>
                <w:b/>
                <w:bCs/>
                <w:color w:val="000000" w:themeColor="text1"/>
                <w:sz w:val="18"/>
                <w:szCs w:val="18"/>
                <w:lang w:val="es-ES"/>
              </w:rPr>
            </w:pPr>
            <w:r w:rsidRPr="6AFFB094">
              <w:rPr>
                <w:rFonts w:ascii="Cambria" w:hAnsi="Cambria" w:cs="Calibri"/>
                <w:color w:val="000000" w:themeColor="text1"/>
                <w:sz w:val="18"/>
                <w:szCs w:val="18"/>
                <w:lang w:val="es-ES"/>
              </w:rPr>
              <w:t xml:space="preserve">Pendiente de cumplimiento </w:t>
            </w:r>
          </w:p>
        </w:tc>
      </w:tr>
      <w:tr w:rsidR="00BB56C4" w:rsidRPr="003434C5" w14:paraId="24607046" w14:textId="77777777" w:rsidTr="6AFFB094">
        <w:trPr>
          <w:trHeight w:val="683"/>
        </w:trPr>
        <w:tc>
          <w:tcPr>
            <w:tcW w:w="7290" w:type="dxa"/>
            <w:shd w:val="clear" w:color="auto" w:fill="auto"/>
          </w:tcPr>
          <w:p w14:paraId="362A5269" w14:textId="5217F988" w:rsidR="00BB56C4" w:rsidRPr="003434C5" w:rsidRDefault="00BB56C4" w:rsidP="6AFFB094">
            <w:pPr>
              <w:spacing w:after="0" w:line="240" w:lineRule="auto"/>
              <w:jc w:val="both"/>
              <w:rPr>
                <w:rFonts w:ascii="Cambria" w:hAnsi="Cambria" w:cs="Calibri Light"/>
                <w:color w:val="000000" w:themeColor="text1"/>
                <w:sz w:val="18"/>
                <w:szCs w:val="18"/>
                <w:lang w:val="es-ES"/>
              </w:rPr>
            </w:pPr>
            <w:r w:rsidRPr="6AFFB094">
              <w:rPr>
                <w:rFonts w:ascii="Cambria" w:hAnsi="Cambria" w:cs="Calibri Light"/>
                <w:color w:val="000000" w:themeColor="text1"/>
                <w:sz w:val="18"/>
                <w:szCs w:val="18"/>
                <w:lang w:val="es-ES"/>
              </w:rPr>
              <w:t xml:space="preserve">4. </w:t>
            </w:r>
            <w:r w:rsidRPr="6AFFB094">
              <w:rPr>
                <w:rFonts w:ascii="Cambria" w:hAnsi="Cambria"/>
                <w:color w:val="000000" w:themeColor="text1"/>
                <w:sz w:val="18"/>
                <w:szCs w:val="18"/>
                <w:lang w:val="es-ES"/>
              </w:rPr>
              <w:t xml:space="preserve">Adopte las medidas legislativas y de otra índole necesarias para garantizar la efectiva vigencia en Las Bahamas de los derechos consagrados en los artículos I, XXV y XXVI de la </w:t>
            </w:r>
            <w:r w:rsidRPr="6AFFB094">
              <w:rPr>
                <w:rFonts w:ascii="Cambria" w:hAnsi="Cambria"/>
                <w:color w:val="000000" w:themeColor="text1"/>
                <w:sz w:val="18"/>
                <w:szCs w:val="18"/>
                <w:lang w:val="es-ES"/>
              </w:rPr>
              <w:lastRenderedPageBreak/>
              <w:t>Declaración Americana a la seguridad personal y a un trato humano, así como el derecho a no ser objeto de un castigo cruel, degradante o inusual estando bajo custodia</w:t>
            </w:r>
            <w:r w:rsidR="00FA1672" w:rsidRPr="6AFFB094">
              <w:rPr>
                <w:rFonts w:ascii="Cambria" w:hAnsi="Cambria"/>
                <w:color w:val="000000" w:themeColor="text1"/>
                <w:sz w:val="18"/>
                <w:szCs w:val="18"/>
                <w:lang w:val="es-ES"/>
              </w:rPr>
              <w:t>.</w:t>
            </w:r>
          </w:p>
        </w:tc>
        <w:tc>
          <w:tcPr>
            <w:tcW w:w="2250" w:type="dxa"/>
            <w:shd w:val="clear" w:color="auto" w:fill="auto"/>
            <w:vAlign w:val="center"/>
          </w:tcPr>
          <w:p w14:paraId="10A8520D" w14:textId="2FD26010" w:rsidR="00BB56C4" w:rsidRPr="003434C5" w:rsidRDefault="009D7241" w:rsidP="6AFFB094">
            <w:pPr>
              <w:spacing w:after="0" w:line="240" w:lineRule="auto"/>
              <w:jc w:val="center"/>
              <w:rPr>
                <w:rFonts w:ascii="Cambria" w:hAnsi="Cambria" w:cs="Calibri Light"/>
                <w:b/>
                <w:bCs/>
                <w:color w:val="000000" w:themeColor="text1"/>
                <w:sz w:val="18"/>
                <w:szCs w:val="18"/>
                <w:lang w:val="es-ES"/>
              </w:rPr>
            </w:pPr>
            <w:r w:rsidRPr="6AFFB094">
              <w:rPr>
                <w:rFonts w:ascii="Cambria" w:hAnsi="Cambria" w:cs="Calibri"/>
                <w:color w:val="000000" w:themeColor="text1"/>
                <w:sz w:val="18"/>
                <w:szCs w:val="18"/>
                <w:lang w:val="es-ES"/>
              </w:rPr>
              <w:lastRenderedPageBreak/>
              <w:t>Cumplimiento parcial</w:t>
            </w:r>
          </w:p>
        </w:tc>
      </w:tr>
      <w:tr w:rsidR="00BB56C4" w:rsidRPr="003434C5" w14:paraId="450C94CD" w14:textId="77777777" w:rsidTr="6AFFB094">
        <w:trPr>
          <w:trHeight w:val="679"/>
        </w:trPr>
        <w:tc>
          <w:tcPr>
            <w:tcW w:w="7290" w:type="dxa"/>
            <w:shd w:val="clear" w:color="auto" w:fill="auto"/>
          </w:tcPr>
          <w:p w14:paraId="22C00612" w14:textId="77777777" w:rsidR="00BB56C4" w:rsidRPr="003434C5" w:rsidRDefault="00BB56C4" w:rsidP="6AFFB094">
            <w:pPr>
              <w:spacing w:after="0" w:line="240" w:lineRule="auto"/>
              <w:jc w:val="both"/>
              <w:rPr>
                <w:rFonts w:ascii="Cambria" w:hAnsi="Cambria" w:cs="Calibri Light"/>
                <w:color w:val="000000" w:themeColor="text1"/>
                <w:sz w:val="18"/>
                <w:szCs w:val="18"/>
                <w:lang w:val="es-ES"/>
              </w:rPr>
            </w:pPr>
            <w:r w:rsidRPr="6AFFB094">
              <w:rPr>
                <w:rFonts w:ascii="Cambria" w:hAnsi="Cambria" w:cs="Calibri Light"/>
                <w:color w:val="000000" w:themeColor="text1"/>
                <w:sz w:val="18"/>
                <w:szCs w:val="18"/>
                <w:lang w:val="es-ES"/>
              </w:rPr>
              <w:t>5.</w:t>
            </w:r>
            <w:r w:rsidRPr="6AFFB094">
              <w:rPr>
                <w:rFonts w:ascii="Cambria" w:hAnsi="Cambria"/>
                <w:color w:val="000000" w:themeColor="text1"/>
                <w:sz w:val="18"/>
                <w:szCs w:val="18"/>
                <w:lang w:val="es-ES"/>
              </w:rPr>
              <w:t xml:space="preserve"> Adopte las medidas legislativas y de otra índole necesarias para garantizar que la pena de muerte sea impuesta con respeto por los derechos y libertades garantizadas por la Declaración Americana, incluidos, en particular, los consagrados en los artículos I, XXV, y XXVI, y garantice que nadie sea sentenciado a muerte en Las Bahamas mediante una ley de sentencia obligatoria.</w:t>
            </w:r>
          </w:p>
        </w:tc>
        <w:tc>
          <w:tcPr>
            <w:tcW w:w="2250" w:type="dxa"/>
            <w:shd w:val="clear" w:color="auto" w:fill="auto"/>
            <w:vAlign w:val="center"/>
          </w:tcPr>
          <w:p w14:paraId="3BB5B5CF" w14:textId="1F3CE3F2" w:rsidR="00BB56C4" w:rsidRPr="00B61635" w:rsidRDefault="00C211D4" w:rsidP="6AFFB094">
            <w:pPr>
              <w:spacing w:after="0" w:line="240" w:lineRule="auto"/>
              <w:jc w:val="center"/>
              <w:rPr>
                <w:rFonts w:ascii="Cambria" w:hAnsi="Cambria" w:cs="Calibri Light"/>
                <w:b/>
                <w:bCs/>
                <w:color w:val="000000" w:themeColor="text1"/>
                <w:sz w:val="18"/>
                <w:szCs w:val="18"/>
                <w:lang w:val="es-ES"/>
              </w:rPr>
            </w:pPr>
            <w:r w:rsidRPr="6AFFB094">
              <w:rPr>
                <w:rFonts w:ascii="Cambria" w:hAnsi="Cambria" w:cs="Calibri"/>
                <w:color w:val="000000" w:themeColor="text1"/>
                <w:sz w:val="18"/>
                <w:szCs w:val="18"/>
                <w:lang w:val="es-ES"/>
              </w:rPr>
              <w:t xml:space="preserve">Cumplimiento </w:t>
            </w:r>
            <w:r w:rsidR="0011565B" w:rsidRPr="6AFFB094">
              <w:rPr>
                <w:rFonts w:ascii="Cambria" w:hAnsi="Cambria" w:cs="Calibri"/>
                <w:color w:val="000000" w:themeColor="text1"/>
                <w:sz w:val="18"/>
                <w:szCs w:val="18"/>
                <w:lang w:val="es-ES"/>
              </w:rPr>
              <w:t>total</w:t>
            </w:r>
            <w:r w:rsidR="00BB56C4" w:rsidRPr="6AFFB094">
              <w:rPr>
                <w:rFonts w:ascii="Cambria" w:hAnsi="Cambria" w:cs="Calibri"/>
                <w:color w:val="000000" w:themeColor="text1"/>
                <w:sz w:val="18"/>
                <w:szCs w:val="18"/>
                <w:lang w:val="es-ES"/>
              </w:rPr>
              <w:t xml:space="preserve"> </w:t>
            </w:r>
          </w:p>
        </w:tc>
      </w:tr>
      <w:tr w:rsidR="00BB56C4" w:rsidRPr="003434C5" w14:paraId="7DFB2D61" w14:textId="77777777" w:rsidTr="6AFFB094">
        <w:trPr>
          <w:trHeight w:val="585"/>
        </w:trPr>
        <w:tc>
          <w:tcPr>
            <w:tcW w:w="7290" w:type="dxa"/>
            <w:shd w:val="clear" w:color="auto" w:fill="auto"/>
          </w:tcPr>
          <w:p w14:paraId="0EB544B5" w14:textId="77777777" w:rsidR="00BB56C4" w:rsidRPr="003434C5" w:rsidRDefault="00BB56C4" w:rsidP="6AFFB094">
            <w:pPr>
              <w:spacing w:after="0" w:line="240" w:lineRule="auto"/>
              <w:jc w:val="both"/>
              <w:rPr>
                <w:rFonts w:ascii="Cambria" w:hAnsi="Cambria" w:cs="Calibri Light"/>
                <w:color w:val="000000" w:themeColor="text1"/>
                <w:sz w:val="18"/>
                <w:szCs w:val="18"/>
                <w:lang w:val="es-ES"/>
              </w:rPr>
            </w:pPr>
            <w:r w:rsidRPr="6AFFB094">
              <w:rPr>
                <w:rFonts w:ascii="Cambria" w:hAnsi="Cambria" w:cs="Calibri Light"/>
                <w:color w:val="000000" w:themeColor="text1"/>
                <w:sz w:val="18"/>
                <w:szCs w:val="18"/>
                <w:lang w:val="es-ES"/>
              </w:rPr>
              <w:t xml:space="preserve">6. </w:t>
            </w:r>
            <w:r w:rsidRPr="6AFFB094">
              <w:rPr>
                <w:rFonts w:ascii="Cambria" w:hAnsi="Cambria"/>
                <w:color w:val="000000" w:themeColor="text1"/>
                <w:sz w:val="18"/>
                <w:szCs w:val="18"/>
                <w:lang w:val="es-ES"/>
              </w:rPr>
              <w:t>Adopte las medidas legislativas y de otra índole necesaria para garantizar la efectiva vigencia en Las Bahamas del derecho dispuesto en el artículo XXIV de la Declaración Americana a solicitar la amnistía, el indulto o la conmutación de la sentencia</w:t>
            </w:r>
          </w:p>
        </w:tc>
        <w:tc>
          <w:tcPr>
            <w:tcW w:w="2250" w:type="dxa"/>
            <w:shd w:val="clear" w:color="auto" w:fill="auto"/>
            <w:vAlign w:val="center"/>
          </w:tcPr>
          <w:p w14:paraId="5B198B20" w14:textId="1551EB4C" w:rsidR="00BB56C4" w:rsidRPr="00B61635" w:rsidRDefault="009A6929" w:rsidP="6AFFB094">
            <w:pPr>
              <w:spacing w:after="0" w:line="240" w:lineRule="auto"/>
              <w:jc w:val="center"/>
              <w:rPr>
                <w:rFonts w:ascii="Cambria" w:hAnsi="Cambria" w:cs="Calibri Light"/>
                <w:b/>
                <w:bCs/>
                <w:color w:val="000000" w:themeColor="text1"/>
                <w:sz w:val="18"/>
                <w:szCs w:val="18"/>
                <w:lang w:val="es-ES"/>
              </w:rPr>
            </w:pPr>
            <w:r w:rsidRPr="6AFFB094">
              <w:rPr>
                <w:rFonts w:ascii="Cambria" w:hAnsi="Cambria" w:cs="Calibri"/>
                <w:color w:val="000000" w:themeColor="text1"/>
                <w:sz w:val="18"/>
                <w:szCs w:val="18"/>
                <w:lang w:val="es-ES"/>
              </w:rPr>
              <w:t>Cumplimiento pendiente</w:t>
            </w:r>
            <w:r w:rsidR="00FB363C" w:rsidRPr="6AFFB094">
              <w:rPr>
                <w:rFonts w:ascii="Cambria" w:hAnsi="Cambria" w:cs="Calibri"/>
                <w:color w:val="000000" w:themeColor="text1"/>
                <w:sz w:val="18"/>
                <w:szCs w:val="18"/>
                <w:lang w:val="es-ES"/>
              </w:rPr>
              <w:t xml:space="preserve"> </w:t>
            </w:r>
          </w:p>
        </w:tc>
      </w:tr>
      <w:tr w:rsidR="00BB56C4" w:rsidRPr="003434C5" w14:paraId="2B2311ED" w14:textId="77777777" w:rsidTr="6AFFB094">
        <w:trPr>
          <w:trHeight w:val="683"/>
        </w:trPr>
        <w:tc>
          <w:tcPr>
            <w:tcW w:w="7290" w:type="dxa"/>
            <w:shd w:val="clear" w:color="auto" w:fill="auto"/>
          </w:tcPr>
          <w:p w14:paraId="2808CB84" w14:textId="77777777" w:rsidR="00BB56C4" w:rsidRPr="003434C5" w:rsidRDefault="00BB56C4" w:rsidP="6AFFB094">
            <w:pPr>
              <w:spacing w:after="0" w:line="240" w:lineRule="auto"/>
              <w:jc w:val="both"/>
              <w:rPr>
                <w:rFonts w:ascii="Cambria" w:hAnsi="Cambria" w:cs="Calibri Light"/>
                <w:color w:val="000000" w:themeColor="text1"/>
                <w:sz w:val="18"/>
                <w:szCs w:val="18"/>
                <w:lang w:val="es-ES"/>
              </w:rPr>
            </w:pPr>
            <w:r w:rsidRPr="6AFFB094">
              <w:rPr>
                <w:rFonts w:ascii="Cambria" w:hAnsi="Cambria" w:cs="Calibri Light"/>
                <w:color w:val="000000" w:themeColor="text1"/>
                <w:sz w:val="18"/>
                <w:szCs w:val="18"/>
                <w:lang w:val="es-ES"/>
              </w:rPr>
              <w:t xml:space="preserve">7. </w:t>
            </w:r>
            <w:r w:rsidRPr="6AFFB094">
              <w:rPr>
                <w:rFonts w:ascii="Cambria" w:hAnsi="Cambria"/>
                <w:color w:val="000000" w:themeColor="text1"/>
                <w:sz w:val="18"/>
                <w:szCs w:val="18"/>
                <w:lang w:val="es-ES"/>
              </w:rPr>
              <w:t>Adopte las medidas legislativas y de otra índole necesarias para garantizar la efectiva vigencia en Bahamas del derecho a una audiencia imparcial, conforme al artículo XXVI de la Declaración Americana y del derecho a la protección judicial dispuesto en el artículo XVIII de la Convención Americana, en relación con el recurso a acciones constitucionales.</w:t>
            </w:r>
          </w:p>
        </w:tc>
        <w:tc>
          <w:tcPr>
            <w:tcW w:w="2250" w:type="dxa"/>
            <w:shd w:val="clear" w:color="auto" w:fill="auto"/>
            <w:vAlign w:val="center"/>
          </w:tcPr>
          <w:p w14:paraId="7474425E" w14:textId="2F644097" w:rsidR="00BB56C4" w:rsidRPr="00B61635" w:rsidRDefault="00D10667" w:rsidP="6AFFB094">
            <w:pPr>
              <w:spacing w:after="0" w:line="240" w:lineRule="auto"/>
              <w:jc w:val="center"/>
              <w:rPr>
                <w:rFonts w:ascii="Cambria" w:hAnsi="Cambria" w:cs="Calibri Light"/>
                <w:b/>
                <w:bCs/>
                <w:color w:val="000000" w:themeColor="text1"/>
                <w:sz w:val="18"/>
                <w:szCs w:val="18"/>
                <w:lang w:val="es-ES"/>
              </w:rPr>
            </w:pPr>
            <w:r w:rsidRPr="6AFFB094">
              <w:rPr>
                <w:rFonts w:ascii="Cambria" w:hAnsi="Cambria" w:cs="Calibri"/>
                <w:color w:val="000000" w:themeColor="text1"/>
                <w:sz w:val="18"/>
                <w:szCs w:val="18"/>
                <w:lang w:val="es-ES"/>
              </w:rPr>
              <w:t>Cumplimiento parcial sustancial</w:t>
            </w:r>
          </w:p>
        </w:tc>
      </w:tr>
      <w:tr w:rsidR="00BB56C4" w:rsidRPr="003434C5" w14:paraId="0A1371C5" w14:textId="77777777" w:rsidTr="6AFFB094">
        <w:trPr>
          <w:trHeight w:val="683"/>
        </w:trPr>
        <w:tc>
          <w:tcPr>
            <w:tcW w:w="7290" w:type="dxa"/>
            <w:shd w:val="clear" w:color="auto" w:fill="auto"/>
          </w:tcPr>
          <w:p w14:paraId="7B737BA6" w14:textId="77777777" w:rsidR="00BB56C4" w:rsidRPr="003434C5" w:rsidRDefault="00BB56C4" w:rsidP="6AFFB094">
            <w:pPr>
              <w:spacing w:after="0" w:line="240" w:lineRule="auto"/>
              <w:jc w:val="both"/>
              <w:rPr>
                <w:rFonts w:ascii="Cambria" w:hAnsi="Cambria" w:cs="Calibri Light"/>
                <w:color w:val="000000" w:themeColor="text1"/>
                <w:sz w:val="18"/>
                <w:szCs w:val="18"/>
                <w:lang w:val="es-ES"/>
              </w:rPr>
            </w:pPr>
            <w:r w:rsidRPr="6AFFB094">
              <w:rPr>
                <w:rFonts w:ascii="Cambria" w:hAnsi="Cambria" w:cs="Calibri Light"/>
                <w:color w:val="000000" w:themeColor="text1"/>
                <w:sz w:val="18"/>
                <w:szCs w:val="18"/>
                <w:lang w:val="es-ES"/>
              </w:rPr>
              <w:t xml:space="preserve">8. </w:t>
            </w:r>
            <w:r w:rsidRPr="6AFFB094">
              <w:rPr>
                <w:rFonts w:ascii="Cambria" w:hAnsi="Cambria"/>
                <w:color w:val="000000" w:themeColor="text1"/>
                <w:sz w:val="18"/>
                <w:szCs w:val="18"/>
                <w:lang w:val="es-ES"/>
              </w:rPr>
              <w:t>Adopte las medidas legislativas y de otra índole necesarias para garantizar la efectiva vigencia en Las Bahamas del derecho a una audiencia justa e imparcial consagrado en los artículos XVIII y XXVI de la Declaración Americana.</w:t>
            </w:r>
          </w:p>
        </w:tc>
        <w:tc>
          <w:tcPr>
            <w:tcW w:w="2250" w:type="dxa"/>
            <w:shd w:val="clear" w:color="auto" w:fill="auto"/>
            <w:vAlign w:val="center"/>
          </w:tcPr>
          <w:p w14:paraId="185B853F" w14:textId="5D81E0EA" w:rsidR="00BB56C4" w:rsidRPr="00B61635" w:rsidRDefault="001B3DE1" w:rsidP="6AFFB094">
            <w:pPr>
              <w:spacing w:after="0" w:line="240" w:lineRule="auto"/>
              <w:jc w:val="center"/>
              <w:rPr>
                <w:rFonts w:ascii="Cambria" w:hAnsi="Cambria" w:cs="Calibri Light"/>
                <w:b/>
                <w:bCs/>
                <w:color w:val="000000" w:themeColor="text1"/>
                <w:sz w:val="18"/>
                <w:szCs w:val="18"/>
                <w:lang w:val="es-ES"/>
              </w:rPr>
            </w:pPr>
            <w:r w:rsidRPr="6AFFB094">
              <w:rPr>
                <w:rFonts w:ascii="Cambria" w:hAnsi="Cambria" w:cs="Calibri"/>
                <w:color w:val="000000" w:themeColor="text1"/>
                <w:sz w:val="18"/>
                <w:szCs w:val="18"/>
                <w:lang w:val="es-ES"/>
              </w:rPr>
              <w:t>Cumplimiento parcial sustancial</w:t>
            </w:r>
          </w:p>
        </w:tc>
      </w:tr>
      <w:tr w:rsidR="00BB56C4" w:rsidRPr="003434C5" w14:paraId="359724AF" w14:textId="77777777" w:rsidTr="6AFFB094">
        <w:trPr>
          <w:trHeight w:val="728"/>
        </w:trPr>
        <w:tc>
          <w:tcPr>
            <w:tcW w:w="7290" w:type="dxa"/>
            <w:shd w:val="clear" w:color="auto" w:fill="auto"/>
          </w:tcPr>
          <w:p w14:paraId="270048AB" w14:textId="77777777" w:rsidR="00BB56C4" w:rsidRPr="003434C5" w:rsidRDefault="00BB56C4" w:rsidP="6AFFB094">
            <w:pPr>
              <w:spacing w:after="0" w:line="240" w:lineRule="auto"/>
              <w:jc w:val="both"/>
              <w:rPr>
                <w:rFonts w:ascii="Cambria" w:hAnsi="Cambria" w:cs="Calibri Light"/>
                <w:color w:val="000000" w:themeColor="text1"/>
                <w:sz w:val="18"/>
                <w:szCs w:val="18"/>
                <w:lang w:val="es-ES"/>
              </w:rPr>
            </w:pPr>
            <w:r w:rsidRPr="6AFFB094">
              <w:rPr>
                <w:rFonts w:ascii="Cambria" w:hAnsi="Cambria" w:cs="Calibri Light"/>
                <w:color w:val="000000" w:themeColor="text1"/>
                <w:sz w:val="18"/>
                <w:szCs w:val="18"/>
                <w:lang w:val="es-ES"/>
              </w:rPr>
              <w:t>9.</w:t>
            </w:r>
            <w:r w:rsidRPr="6AFFB094">
              <w:rPr>
                <w:rFonts w:ascii="Cambria" w:hAnsi="Cambria"/>
                <w:color w:val="000000" w:themeColor="text1"/>
                <w:sz w:val="18"/>
                <w:szCs w:val="18"/>
                <w:lang w:val="es-ES"/>
              </w:rPr>
              <w:t xml:space="preserve"> Adopte las medidas legislativas y de otra índole necesaria para garantizar la plena vigencia en Las Bahamas del derecho consagrado en el artículo XXV de la Declaración Americana a ser juzgado sin demora injustificada.</w:t>
            </w:r>
          </w:p>
        </w:tc>
        <w:tc>
          <w:tcPr>
            <w:tcW w:w="2250" w:type="dxa"/>
            <w:shd w:val="clear" w:color="auto" w:fill="auto"/>
            <w:vAlign w:val="center"/>
          </w:tcPr>
          <w:p w14:paraId="50F08124" w14:textId="4956EB80" w:rsidR="00BB56C4" w:rsidRPr="00B61635" w:rsidRDefault="00720065" w:rsidP="6AFFB094">
            <w:pPr>
              <w:spacing w:after="0" w:line="240" w:lineRule="auto"/>
              <w:jc w:val="center"/>
              <w:rPr>
                <w:rFonts w:ascii="Cambria" w:hAnsi="Cambria" w:cs="Calibri Light"/>
                <w:b/>
                <w:bCs/>
                <w:color w:val="000000" w:themeColor="text1"/>
                <w:sz w:val="18"/>
                <w:szCs w:val="18"/>
                <w:lang w:val="es-ES"/>
              </w:rPr>
            </w:pPr>
            <w:r w:rsidRPr="6AFFB094">
              <w:rPr>
                <w:rFonts w:ascii="Cambria" w:hAnsi="Cambria" w:cs="Calibri"/>
                <w:color w:val="000000" w:themeColor="text1"/>
                <w:sz w:val="18"/>
                <w:szCs w:val="18"/>
                <w:lang w:val="es-ES"/>
              </w:rPr>
              <w:t>Cumplimiento parcial</w:t>
            </w:r>
          </w:p>
        </w:tc>
      </w:tr>
    </w:tbl>
    <w:p w14:paraId="026728EA" w14:textId="77777777" w:rsidR="00BB56C4" w:rsidRPr="003434C5" w:rsidRDefault="00BB56C4" w:rsidP="6AFFB094">
      <w:pPr>
        <w:spacing w:after="0" w:line="240" w:lineRule="auto"/>
        <w:jc w:val="both"/>
        <w:rPr>
          <w:rFonts w:ascii="Cambria" w:hAnsi="Cambria" w:cs="Calibri Light"/>
          <w:color w:val="000000" w:themeColor="text1"/>
          <w:sz w:val="18"/>
          <w:szCs w:val="18"/>
          <w:lang w:val="es-ES"/>
        </w:rPr>
      </w:pPr>
    </w:p>
    <w:p w14:paraId="4A995C98" w14:textId="77777777" w:rsidR="00BB56C4" w:rsidRPr="003434C5" w:rsidRDefault="00BB56C4" w:rsidP="6AFFB094">
      <w:pPr>
        <w:pStyle w:val="ListParagraph"/>
        <w:numPr>
          <w:ilvl w:val="0"/>
          <w:numId w:val="18"/>
        </w:numPr>
        <w:spacing w:after="0" w:line="240" w:lineRule="auto"/>
        <w:ind w:firstLine="0"/>
        <w:jc w:val="both"/>
        <w:rPr>
          <w:rFonts w:ascii="Cambria" w:hAnsi="Cambria" w:cs="Calibri Light"/>
          <w:b/>
          <w:bCs/>
          <w:color w:val="000000" w:themeColor="text1"/>
          <w:sz w:val="20"/>
          <w:szCs w:val="20"/>
          <w:lang w:val="es-ES"/>
        </w:rPr>
      </w:pPr>
      <w:r w:rsidRPr="6AFFB094">
        <w:rPr>
          <w:rFonts w:ascii="Cambria" w:hAnsi="Cambria"/>
          <w:b/>
          <w:bCs/>
          <w:color w:val="000000" w:themeColor="text1"/>
          <w:sz w:val="20"/>
          <w:szCs w:val="20"/>
          <w:lang w:val="es-ES"/>
        </w:rPr>
        <w:t>Actividad Procesal</w:t>
      </w:r>
    </w:p>
    <w:p w14:paraId="788206EA" w14:textId="77777777" w:rsidR="00BB56C4" w:rsidRPr="003434C5" w:rsidRDefault="00BB56C4" w:rsidP="6AFFB094">
      <w:pPr>
        <w:pStyle w:val="ListParagraph"/>
        <w:spacing w:after="0" w:line="240" w:lineRule="auto"/>
        <w:ind w:left="1077"/>
        <w:jc w:val="both"/>
        <w:rPr>
          <w:rFonts w:ascii="Cambria" w:hAnsi="Cambria" w:cs="Calibri Light"/>
          <w:color w:val="000000" w:themeColor="text1"/>
          <w:sz w:val="20"/>
          <w:szCs w:val="20"/>
          <w:lang w:val="es-ES"/>
        </w:rPr>
      </w:pPr>
    </w:p>
    <w:p w14:paraId="38CF354C" w14:textId="62F90254" w:rsidR="009A1F4C" w:rsidRPr="00B61635" w:rsidRDefault="009A1F4C" w:rsidP="009A1F4C">
      <w:pPr>
        <w:pStyle w:val="ListParagraph"/>
        <w:numPr>
          <w:ilvl w:val="0"/>
          <w:numId w:val="12"/>
        </w:numPr>
        <w:spacing w:after="0" w:line="240" w:lineRule="auto"/>
        <w:ind w:left="0" w:firstLine="634"/>
        <w:jc w:val="both"/>
        <w:rPr>
          <w:rFonts w:ascii="Cambria" w:hAnsi="Cambria" w:cs="Calibri Light"/>
          <w:color w:val="000000" w:themeColor="text1"/>
          <w:sz w:val="20"/>
          <w:szCs w:val="20"/>
          <w:lang w:val="es-ES"/>
        </w:rPr>
      </w:pPr>
      <w:r w:rsidRPr="6AFFB094">
        <w:rPr>
          <w:rFonts w:ascii="Cambria" w:hAnsi="Cambria" w:cs="Calibri Light"/>
          <w:color w:val="000000" w:themeColor="text1"/>
          <w:sz w:val="20"/>
          <w:szCs w:val="20"/>
          <w:lang w:val="es-ES"/>
        </w:rPr>
        <w:t>En 2021, la CIDH solicitó al Estado información actualizada sobre el cumplimiento de las recomendaciones emitidas en el Informe de Fondo N</w:t>
      </w:r>
      <w:r w:rsidR="00B61635" w:rsidRPr="6AFFB094">
        <w:rPr>
          <w:rFonts w:ascii="Cambria" w:hAnsi="Cambria" w:cs="Calibri Light"/>
          <w:color w:val="000000" w:themeColor="text1"/>
          <w:sz w:val="20"/>
          <w:szCs w:val="20"/>
          <w:lang w:val="es-ES"/>
        </w:rPr>
        <w:t>o.</w:t>
      </w:r>
      <w:r w:rsidRPr="6AFFB094">
        <w:rPr>
          <w:rFonts w:ascii="Cambria" w:hAnsi="Cambria" w:cs="Calibri Light"/>
          <w:color w:val="000000" w:themeColor="text1"/>
          <w:sz w:val="20"/>
          <w:szCs w:val="20"/>
          <w:lang w:val="es-ES"/>
        </w:rPr>
        <w:t xml:space="preserve"> 12/14 el 16 de agosto. Dicha información fue presentada a la Comisión el 17 de agosto de 2021.</w:t>
      </w:r>
    </w:p>
    <w:p w14:paraId="2C7C4E16" w14:textId="77777777" w:rsidR="009A1F4C" w:rsidRPr="00B61635" w:rsidRDefault="009A1F4C" w:rsidP="002B578F">
      <w:pPr>
        <w:pStyle w:val="ListParagraph"/>
        <w:spacing w:after="0" w:line="240" w:lineRule="auto"/>
        <w:ind w:left="634"/>
        <w:jc w:val="both"/>
        <w:rPr>
          <w:rFonts w:ascii="Cambria" w:hAnsi="Cambria" w:cs="Calibri Light"/>
          <w:color w:val="000000" w:themeColor="text1"/>
          <w:sz w:val="20"/>
          <w:szCs w:val="20"/>
          <w:lang w:val="es-ES"/>
        </w:rPr>
      </w:pPr>
    </w:p>
    <w:p w14:paraId="3E98C2A2" w14:textId="1589E2EA" w:rsidR="009A1F4C" w:rsidRPr="00B61635" w:rsidRDefault="009A1F4C" w:rsidP="009A1F4C">
      <w:pPr>
        <w:pStyle w:val="ListParagraph"/>
        <w:numPr>
          <w:ilvl w:val="0"/>
          <w:numId w:val="12"/>
        </w:numPr>
        <w:spacing w:after="0" w:line="240" w:lineRule="auto"/>
        <w:ind w:left="0" w:firstLine="634"/>
        <w:jc w:val="both"/>
        <w:rPr>
          <w:rFonts w:ascii="Cambria" w:hAnsi="Cambria" w:cs="Calibri Light"/>
          <w:color w:val="000000" w:themeColor="text1"/>
          <w:sz w:val="20"/>
          <w:szCs w:val="20"/>
          <w:lang w:val="es-ES"/>
        </w:rPr>
      </w:pPr>
      <w:r w:rsidRPr="6AFFB094">
        <w:rPr>
          <w:rFonts w:ascii="Cambria" w:hAnsi="Cambria"/>
          <w:color w:val="000000" w:themeColor="text1"/>
          <w:sz w:val="20"/>
          <w:szCs w:val="20"/>
          <w:lang w:val="es-US" w:eastAsia="pt-BR"/>
        </w:rPr>
        <w:t>El 16 de agosto de 2021, la CIDH solicitó información actualizada a la parte peticionaria sobre el cumplimiento de las recomendaciones emitidas en el Informe de Fondo N</w:t>
      </w:r>
      <w:r w:rsidR="00B61635" w:rsidRPr="6AFFB094">
        <w:rPr>
          <w:rFonts w:ascii="Cambria" w:hAnsi="Cambria"/>
          <w:color w:val="000000" w:themeColor="text1"/>
          <w:sz w:val="20"/>
          <w:szCs w:val="20"/>
          <w:lang w:val="es-US" w:eastAsia="pt-BR"/>
        </w:rPr>
        <w:t>o.</w:t>
      </w:r>
      <w:r w:rsidRPr="6AFFB094">
        <w:rPr>
          <w:rFonts w:ascii="Cambria" w:hAnsi="Cambria"/>
          <w:color w:val="000000" w:themeColor="text1"/>
          <w:sz w:val="20"/>
          <w:szCs w:val="20"/>
          <w:lang w:val="es-US" w:eastAsia="pt-BR"/>
        </w:rPr>
        <w:t xml:space="preserve"> 12/14. A la fecha de cierre del presente informe, la parte peticionaria no había proporcionado esta información</w:t>
      </w:r>
      <w:r w:rsidR="009B25AD" w:rsidRPr="6AFFB094">
        <w:rPr>
          <w:rFonts w:ascii="Cambria" w:hAnsi="Cambria"/>
          <w:color w:val="000000" w:themeColor="text1"/>
          <w:sz w:val="20"/>
          <w:szCs w:val="20"/>
          <w:lang w:val="es-US" w:eastAsia="pt-BR"/>
        </w:rPr>
        <w:t>.</w:t>
      </w:r>
    </w:p>
    <w:p w14:paraId="31AA6DFD" w14:textId="77777777" w:rsidR="00206C15" w:rsidRPr="003434C5" w:rsidRDefault="00206C15" w:rsidP="6AFFB094">
      <w:pPr>
        <w:spacing w:after="0" w:line="240" w:lineRule="auto"/>
        <w:jc w:val="both"/>
        <w:rPr>
          <w:rFonts w:ascii="Cambria" w:hAnsi="Cambria" w:cs="Calibri Light"/>
          <w:color w:val="000000" w:themeColor="text1"/>
          <w:sz w:val="20"/>
          <w:szCs w:val="20"/>
          <w:lang w:val="es-ES"/>
        </w:rPr>
      </w:pPr>
    </w:p>
    <w:p w14:paraId="724A6091" w14:textId="77777777" w:rsidR="00BB56C4" w:rsidRPr="003434C5" w:rsidRDefault="00AE18C1" w:rsidP="6AFFB094">
      <w:pPr>
        <w:pStyle w:val="ListParagraph"/>
        <w:numPr>
          <w:ilvl w:val="0"/>
          <w:numId w:val="18"/>
        </w:numPr>
        <w:spacing w:after="0" w:line="240" w:lineRule="auto"/>
        <w:ind w:firstLine="0"/>
        <w:jc w:val="both"/>
        <w:rPr>
          <w:rFonts w:ascii="Cambria" w:hAnsi="Cambria" w:cs="Calibri Light"/>
          <w:b/>
          <w:bCs/>
          <w:color w:val="000000" w:themeColor="text1"/>
          <w:sz w:val="20"/>
          <w:szCs w:val="20"/>
          <w:lang w:val="es-ES"/>
        </w:rPr>
      </w:pPr>
      <w:r w:rsidRPr="6AFFB094">
        <w:rPr>
          <w:rFonts w:ascii="Cambria" w:hAnsi="Cambria" w:cs="Calibri Light"/>
          <w:b/>
          <w:bCs/>
          <w:color w:val="000000" w:themeColor="text1"/>
          <w:sz w:val="20"/>
          <w:szCs w:val="20"/>
          <w:lang w:val="es-ES"/>
        </w:rPr>
        <w:t>Análisis relativo</w:t>
      </w:r>
      <w:r w:rsidR="00BB56C4" w:rsidRPr="6AFFB094">
        <w:rPr>
          <w:rFonts w:ascii="Cambria" w:hAnsi="Cambria" w:cs="Calibri Light"/>
          <w:b/>
          <w:bCs/>
          <w:color w:val="000000" w:themeColor="text1"/>
          <w:sz w:val="20"/>
          <w:szCs w:val="20"/>
          <w:lang w:val="es-ES"/>
        </w:rPr>
        <w:t xml:space="preserve"> a</w:t>
      </w:r>
      <w:r w:rsidR="00C5357E" w:rsidRPr="6AFFB094">
        <w:rPr>
          <w:rFonts w:ascii="Cambria" w:hAnsi="Cambria" w:cs="Calibri Light"/>
          <w:b/>
          <w:bCs/>
          <w:color w:val="000000" w:themeColor="text1"/>
          <w:sz w:val="20"/>
          <w:szCs w:val="20"/>
          <w:lang w:val="es-ES"/>
        </w:rPr>
        <w:t xml:space="preserve"> la</w:t>
      </w:r>
      <w:r w:rsidR="00BB56C4" w:rsidRPr="6AFFB094">
        <w:rPr>
          <w:rFonts w:ascii="Cambria" w:hAnsi="Cambria" w:cs="Calibri Light"/>
          <w:b/>
          <w:bCs/>
          <w:color w:val="000000" w:themeColor="text1"/>
          <w:sz w:val="20"/>
          <w:szCs w:val="20"/>
          <w:lang w:val="es-ES"/>
        </w:rPr>
        <w:t xml:space="preserve"> información proporcionada</w:t>
      </w:r>
    </w:p>
    <w:p w14:paraId="2A679CD4" w14:textId="77777777" w:rsidR="00BB56C4" w:rsidRPr="003434C5" w:rsidRDefault="00BB56C4" w:rsidP="6AFFB094">
      <w:pPr>
        <w:shd w:val="clear" w:color="auto" w:fill="FFFFFF" w:themeFill="background1"/>
        <w:spacing w:after="0" w:line="240" w:lineRule="auto"/>
        <w:jc w:val="both"/>
        <w:rPr>
          <w:rFonts w:ascii="Cambria" w:hAnsi="Cambria" w:cs="Calibri Light"/>
          <w:color w:val="000000" w:themeColor="text1"/>
          <w:sz w:val="20"/>
          <w:szCs w:val="20"/>
          <w:lang w:val="es-ES"/>
        </w:rPr>
      </w:pPr>
    </w:p>
    <w:p w14:paraId="61E09629" w14:textId="0286FEA4" w:rsidR="009A1F4C" w:rsidRPr="00B61635" w:rsidRDefault="009A1F4C" w:rsidP="00A0089F">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bookmarkStart w:id="0" w:name="_Hlk768274"/>
      <w:r w:rsidRPr="6AFFB094">
        <w:rPr>
          <w:rFonts w:ascii="Cambria" w:eastAsia="Cambria" w:hAnsi="Cambria" w:cs="Cambria"/>
          <w:color w:val="000000" w:themeColor="text1"/>
          <w:sz w:val="20"/>
          <w:szCs w:val="20"/>
          <w:lang w:val="es-CO"/>
        </w:rPr>
        <w:t>La Comisión considera que la información proporcionada por el Estado en 2021 es relevante sobre medidas adoptadas relativas al cumplimiento de las recomendaciones emitidas en el Informe de Fondo N</w:t>
      </w:r>
      <w:r w:rsidR="00E26C80" w:rsidRPr="6AFFB094">
        <w:rPr>
          <w:rFonts w:ascii="Cambria" w:eastAsia="Cambria" w:hAnsi="Cambria" w:cs="Cambria"/>
          <w:color w:val="000000" w:themeColor="text1"/>
          <w:sz w:val="20"/>
          <w:szCs w:val="20"/>
          <w:lang w:val="es-CO"/>
        </w:rPr>
        <w:t>o.</w:t>
      </w:r>
      <w:r w:rsidRPr="6AFFB094">
        <w:rPr>
          <w:rFonts w:ascii="Cambria" w:eastAsia="Cambria" w:hAnsi="Cambria" w:cs="Cambria"/>
          <w:color w:val="000000" w:themeColor="text1"/>
          <w:sz w:val="20"/>
          <w:szCs w:val="20"/>
          <w:lang w:val="es-CO"/>
        </w:rPr>
        <w:t xml:space="preserve"> 12/14. La Comisión valora que el Estado hubiese presentado información respecto al cumplimiento de las recomendaciones después de 9 nueves años. </w:t>
      </w:r>
    </w:p>
    <w:p w14:paraId="5A156D93" w14:textId="77777777" w:rsidR="009A1F4C" w:rsidRPr="00B61635" w:rsidRDefault="009A1F4C" w:rsidP="009A1F4C">
      <w:pPr>
        <w:pStyle w:val="ListParagraph"/>
        <w:spacing w:after="0" w:line="240" w:lineRule="auto"/>
        <w:jc w:val="both"/>
        <w:rPr>
          <w:rFonts w:ascii="Cambria" w:hAnsi="Cambria" w:cs="Calibri Light"/>
          <w:color w:val="000000" w:themeColor="text1"/>
          <w:sz w:val="20"/>
          <w:szCs w:val="20"/>
          <w:lang w:val="es-ES"/>
        </w:rPr>
      </w:pPr>
    </w:p>
    <w:p w14:paraId="2CE89D98" w14:textId="2C1FE6DB" w:rsidR="00A0089F" w:rsidRPr="00B61635" w:rsidRDefault="009A1F4C" w:rsidP="00A0089F">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6AFFB094">
        <w:rPr>
          <w:rFonts w:ascii="Cambria" w:hAnsi="Cambria" w:cs="Calibri Light"/>
          <w:color w:val="000000" w:themeColor="text1"/>
          <w:sz w:val="20"/>
          <w:szCs w:val="20"/>
          <w:lang w:val="es-ES"/>
        </w:rPr>
        <w:t xml:space="preserve">En 2021, la parte peticionaria no proporcionó la información solicitada. La Comisión observa con preocupación que la parte peticionaria no ha presentado información sobre las medidas adoptadas por el Estado para implementar las recomendaciones desde </w:t>
      </w:r>
      <w:r w:rsidR="00E26C80" w:rsidRPr="6AFFB094">
        <w:rPr>
          <w:rFonts w:ascii="Cambria" w:hAnsi="Cambria" w:cs="Calibri Light"/>
          <w:color w:val="000000" w:themeColor="text1"/>
          <w:sz w:val="20"/>
          <w:szCs w:val="20"/>
          <w:lang w:val="es-ES"/>
        </w:rPr>
        <w:t>la publicación del Informe de Fondo No. 12/14</w:t>
      </w:r>
      <w:r w:rsidR="00206C15" w:rsidRPr="6AFFB094">
        <w:rPr>
          <w:rFonts w:ascii="Cambria" w:hAnsi="Cambria" w:cs="Calibri Light"/>
          <w:color w:val="000000" w:themeColor="text1"/>
          <w:sz w:val="20"/>
          <w:szCs w:val="20"/>
          <w:lang w:val="es-ES"/>
        </w:rPr>
        <w:t xml:space="preserve">. </w:t>
      </w:r>
      <w:bookmarkEnd w:id="0"/>
    </w:p>
    <w:p w14:paraId="027C7731" w14:textId="77777777" w:rsidR="00BB56C4" w:rsidRPr="009A1F4C" w:rsidRDefault="00BB56C4" w:rsidP="6AFFB094">
      <w:pPr>
        <w:shd w:val="clear" w:color="auto" w:fill="FFFFFF" w:themeFill="background1"/>
        <w:spacing w:after="0" w:line="240" w:lineRule="auto"/>
        <w:jc w:val="both"/>
        <w:rPr>
          <w:rFonts w:ascii="Cambria" w:hAnsi="Cambria" w:cs="Calibri Light"/>
          <w:color w:val="000000" w:themeColor="text1"/>
          <w:sz w:val="20"/>
          <w:szCs w:val="20"/>
          <w:lang w:val="es-ES"/>
        </w:rPr>
      </w:pPr>
    </w:p>
    <w:p w14:paraId="7BF5363D" w14:textId="77777777" w:rsidR="00BB56C4" w:rsidRPr="003434C5" w:rsidRDefault="00BB56C4" w:rsidP="6AFFB094">
      <w:pPr>
        <w:pStyle w:val="ListParagraph"/>
        <w:numPr>
          <w:ilvl w:val="0"/>
          <w:numId w:val="18"/>
        </w:numPr>
        <w:shd w:val="clear" w:color="auto" w:fill="FFFFFF" w:themeFill="background1"/>
        <w:spacing w:after="0" w:line="240" w:lineRule="auto"/>
        <w:ind w:firstLine="0"/>
        <w:jc w:val="both"/>
        <w:rPr>
          <w:rFonts w:ascii="Cambria" w:hAnsi="Cambria" w:cs="Calibri Light"/>
          <w:color w:val="000000" w:themeColor="text1"/>
          <w:sz w:val="20"/>
          <w:szCs w:val="20"/>
          <w:lang w:val="es-ES"/>
        </w:rPr>
      </w:pPr>
      <w:r w:rsidRPr="6AFFB094">
        <w:rPr>
          <w:rFonts w:ascii="Cambria" w:hAnsi="Cambria" w:cs="Calibri Light"/>
          <w:b/>
          <w:bCs/>
          <w:color w:val="000000" w:themeColor="text1"/>
          <w:sz w:val="20"/>
          <w:szCs w:val="20"/>
          <w:lang w:val="es-ES"/>
        </w:rPr>
        <w:t>Análisis del cumplimiento de las recomendaciones</w:t>
      </w:r>
    </w:p>
    <w:p w14:paraId="630E5FC3" w14:textId="4DBF80AA" w:rsidR="00BB56C4" w:rsidRPr="003434C5" w:rsidRDefault="00BB56C4" w:rsidP="6AFFB094">
      <w:pPr>
        <w:shd w:val="clear" w:color="auto" w:fill="FFFFFF" w:themeFill="background1"/>
        <w:spacing w:after="0" w:line="240" w:lineRule="auto"/>
        <w:jc w:val="both"/>
        <w:rPr>
          <w:rFonts w:ascii="Cambria" w:hAnsi="Cambria" w:cs="Calibri Light"/>
          <w:color w:val="000000" w:themeColor="text1"/>
          <w:sz w:val="20"/>
          <w:szCs w:val="20"/>
          <w:lang w:val="es-ES"/>
        </w:rPr>
      </w:pPr>
    </w:p>
    <w:p w14:paraId="116CBF15" w14:textId="450AE78E" w:rsidR="00B22EA1" w:rsidRPr="00192180" w:rsidRDefault="00B22EA1" w:rsidP="6AFFB094">
      <w:pPr>
        <w:pStyle w:val="ListParagraph"/>
        <w:numPr>
          <w:ilvl w:val="0"/>
          <w:numId w:val="12"/>
        </w:numPr>
        <w:shd w:val="clear" w:color="auto" w:fill="FFFFFF" w:themeFill="background1"/>
        <w:spacing w:after="0" w:line="240" w:lineRule="auto"/>
        <w:ind w:left="0" w:firstLine="720"/>
        <w:jc w:val="both"/>
        <w:rPr>
          <w:rFonts w:ascii="Cambria" w:hAnsi="Cambria" w:cs="Calibri Light"/>
          <w:color w:val="000000" w:themeColor="text1"/>
          <w:sz w:val="20"/>
          <w:szCs w:val="20"/>
          <w:lang w:val="es-ES"/>
        </w:rPr>
      </w:pPr>
      <w:r w:rsidRPr="6AFFB094">
        <w:rPr>
          <w:rFonts w:ascii="Cambria" w:hAnsi="Cambria" w:cs="Calibri Light"/>
          <w:b/>
          <w:bCs/>
          <w:color w:val="000000" w:themeColor="text1"/>
          <w:sz w:val="20"/>
          <w:szCs w:val="20"/>
          <w:lang w:val="es-ES"/>
        </w:rPr>
        <w:t xml:space="preserve">Con respecto a la </w:t>
      </w:r>
      <w:r w:rsidR="006436E0" w:rsidRPr="6AFFB094">
        <w:rPr>
          <w:rFonts w:ascii="Cambria" w:hAnsi="Cambria" w:cs="Calibri Light"/>
          <w:b/>
          <w:bCs/>
          <w:color w:val="000000" w:themeColor="text1"/>
          <w:sz w:val="20"/>
          <w:szCs w:val="20"/>
          <w:lang w:val="es-ES"/>
        </w:rPr>
        <w:t>segunda</w:t>
      </w:r>
      <w:r w:rsidRPr="6AFFB094">
        <w:rPr>
          <w:rFonts w:ascii="Cambria" w:hAnsi="Cambria" w:cs="Calibri Light"/>
          <w:b/>
          <w:bCs/>
          <w:color w:val="000000" w:themeColor="text1"/>
          <w:sz w:val="20"/>
          <w:szCs w:val="20"/>
          <w:lang w:val="es-ES"/>
        </w:rPr>
        <w:t xml:space="preserve"> recomendación</w:t>
      </w:r>
      <w:r w:rsidRPr="6AFFB094">
        <w:rPr>
          <w:rFonts w:ascii="Cambria" w:hAnsi="Cambria" w:cs="Calibri Light"/>
          <w:color w:val="000000" w:themeColor="text1"/>
          <w:sz w:val="20"/>
          <w:szCs w:val="20"/>
          <w:lang w:val="es-ES"/>
        </w:rPr>
        <w:t xml:space="preserve">, en 2021, el Estado </w:t>
      </w:r>
      <w:r w:rsidR="00192180" w:rsidRPr="6AFFB094">
        <w:rPr>
          <w:rFonts w:ascii="Cambria" w:hAnsi="Cambria" w:cs="Calibri Light"/>
          <w:color w:val="000000" w:themeColor="text1"/>
          <w:sz w:val="20"/>
          <w:szCs w:val="20"/>
          <w:lang w:val="es-ES"/>
        </w:rPr>
        <w:t xml:space="preserve">no proporcionó </w:t>
      </w:r>
      <w:r w:rsidR="006436E0" w:rsidRPr="6AFFB094">
        <w:rPr>
          <w:rFonts w:ascii="Cambria" w:hAnsi="Cambria" w:cs="Calibri Light"/>
          <w:color w:val="000000" w:themeColor="text1"/>
          <w:sz w:val="20"/>
          <w:szCs w:val="20"/>
          <w:lang w:val="es-ES"/>
        </w:rPr>
        <w:t>datos sobre avances</w:t>
      </w:r>
      <w:r w:rsidR="00192180" w:rsidRPr="6AFFB094">
        <w:rPr>
          <w:rFonts w:ascii="Cambria" w:hAnsi="Cambria" w:cs="Calibri Light"/>
          <w:color w:val="000000" w:themeColor="text1"/>
          <w:sz w:val="20"/>
          <w:szCs w:val="20"/>
          <w:lang w:val="es-ES"/>
        </w:rPr>
        <w:t xml:space="preserve"> relativ</w:t>
      </w:r>
      <w:r w:rsidR="006436E0" w:rsidRPr="6AFFB094">
        <w:rPr>
          <w:rFonts w:ascii="Cambria" w:hAnsi="Cambria" w:cs="Calibri Light"/>
          <w:color w:val="000000" w:themeColor="text1"/>
          <w:sz w:val="20"/>
          <w:szCs w:val="20"/>
          <w:lang w:val="es-ES"/>
        </w:rPr>
        <w:t>os</w:t>
      </w:r>
      <w:r w:rsidR="00192180" w:rsidRPr="6AFFB094">
        <w:rPr>
          <w:rFonts w:ascii="Cambria" w:hAnsi="Cambria" w:cs="Calibri Light"/>
          <w:color w:val="000000" w:themeColor="text1"/>
          <w:sz w:val="20"/>
          <w:szCs w:val="20"/>
          <w:lang w:val="es-ES"/>
        </w:rPr>
        <w:t xml:space="preserve"> a su cumplimiento</w:t>
      </w:r>
      <w:r w:rsidR="006436E0" w:rsidRPr="6AFFB094">
        <w:rPr>
          <w:rFonts w:ascii="Cambria" w:hAnsi="Cambria" w:cs="Calibri Light"/>
          <w:color w:val="000000" w:themeColor="text1"/>
          <w:sz w:val="20"/>
          <w:szCs w:val="20"/>
          <w:lang w:val="es-ES"/>
        </w:rPr>
        <w:t xml:space="preserve"> y señaló que estaba buscando adquirir información adicional.</w:t>
      </w:r>
    </w:p>
    <w:p w14:paraId="4906BD48" w14:textId="77777777" w:rsidR="00192180" w:rsidRPr="00192180" w:rsidRDefault="00192180" w:rsidP="6AFFB094">
      <w:pPr>
        <w:pStyle w:val="ListParagraph"/>
        <w:shd w:val="clear" w:color="auto" w:fill="FFFFFF" w:themeFill="background1"/>
        <w:spacing w:after="0" w:line="240" w:lineRule="auto"/>
        <w:jc w:val="both"/>
        <w:rPr>
          <w:rFonts w:ascii="Cambria" w:hAnsi="Cambria" w:cs="Calibri Light"/>
          <w:color w:val="000000" w:themeColor="text1"/>
          <w:sz w:val="20"/>
          <w:szCs w:val="20"/>
          <w:lang w:val="es-ES"/>
        </w:rPr>
      </w:pPr>
    </w:p>
    <w:p w14:paraId="5568BA50" w14:textId="7D6EBA2B" w:rsidR="00192180" w:rsidRPr="00192180" w:rsidRDefault="006436E0" w:rsidP="6AFFB094">
      <w:pPr>
        <w:pStyle w:val="ListParagraph"/>
        <w:numPr>
          <w:ilvl w:val="0"/>
          <w:numId w:val="12"/>
        </w:numPr>
        <w:shd w:val="clear" w:color="auto" w:fill="FFFFFF" w:themeFill="background1"/>
        <w:spacing w:after="0" w:line="240" w:lineRule="auto"/>
        <w:ind w:left="0" w:firstLine="720"/>
        <w:jc w:val="both"/>
        <w:rPr>
          <w:rFonts w:ascii="Cambria" w:hAnsi="Cambria" w:cs="Calibri Light"/>
          <w:color w:val="000000" w:themeColor="text1"/>
          <w:sz w:val="20"/>
          <w:szCs w:val="20"/>
          <w:lang w:val="es-ES"/>
        </w:rPr>
      </w:pPr>
      <w:r w:rsidRPr="6AFFB094">
        <w:rPr>
          <w:rFonts w:ascii="Cambria" w:hAnsi="Cambria" w:cs="Calibri Light"/>
          <w:color w:val="000000" w:themeColor="text1"/>
          <w:sz w:val="20"/>
          <w:szCs w:val="20"/>
          <w:lang w:val="es-ES"/>
        </w:rPr>
        <w:t xml:space="preserve">La Comisión invita al Estado a proporcionar información relativa al cumplimiento de esta recomendación. </w:t>
      </w:r>
      <w:r w:rsidR="00192180" w:rsidRPr="6AFFB094">
        <w:rPr>
          <w:rFonts w:ascii="Cambria" w:hAnsi="Cambria" w:cs="Calibri Light"/>
          <w:color w:val="000000" w:themeColor="text1"/>
          <w:sz w:val="20"/>
          <w:szCs w:val="20"/>
          <w:lang w:val="es-ES"/>
        </w:rPr>
        <w:t>Ante la ausencia de</w:t>
      </w:r>
      <w:r w:rsidRPr="6AFFB094">
        <w:rPr>
          <w:rFonts w:ascii="Cambria" w:hAnsi="Cambria" w:cs="Calibri Light"/>
          <w:color w:val="000000" w:themeColor="text1"/>
          <w:sz w:val="20"/>
          <w:szCs w:val="20"/>
          <w:lang w:val="es-ES"/>
        </w:rPr>
        <w:t xml:space="preserve"> esta</w:t>
      </w:r>
      <w:r w:rsidR="00192180" w:rsidRPr="6AFFB094">
        <w:rPr>
          <w:rFonts w:ascii="Cambria" w:hAnsi="Cambria" w:cs="Calibri Light"/>
          <w:color w:val="000000" w:themeColor="text1"/>
          <w:sz w:val="20"/>
          <w:szCs w:val="20"/>
          <w:lang w:val="es-ES"/>
        </w:rPr>
        <w:t xml:space="preserve"> información, la Comisión considera que</w:t>
      </w:r>
      <w:r w:rsidRPr="6AFFB094">
        <w:rPr>
          <w:rFonts w:ascii="Cambria" w:hAnsi="Cambria" w:cs="Calibri Light"/>
          <w:color w:val="000000" w:themeColor="text1"/>
          <w:sz w:val="20"/>
          <w:szCs w:val="20"/>
          <w:lang w:val="es-ES"/>
        </w:rPr>
        <w:t xml:space="preserve"> esta recomendación</w:t>
      </w:r>
      <w:r w:rsidR="00192180" w:rsidRPr="6AFFB094">
        <w:rPr>
          <w:rFonts w:ascii="Cambria" w:hAnsi="Cambria" w:cs="Calibri Light"/>
          <w:color w:val="000000" w:themeColor="text1"/>
          <w:sz w:val="20"/>
          <w:szCs w:val="20"/>
          <w:lang w:val="es-ES"/>
        </w:rPr>
        <w:t xml:space="preserve"> </w:t>
      </w:r>
      <w:r w:rsidR="00B61635" w:rsidRPr="6AFFB094">
        <w:rPr>
          <w:rFonts w:ascii="Cambria" w:hAnsi="Cambria" w:cs="Calibri Light"/>
          <w:color w:val="000000" w:themeColor="text1"/>
          <w:sz w:val="20"/>
          <w:szCs w:val="20"/>
          <w:lang w:val="es-ES"/>
        </w:rPr>
        <w:t>continúa</w:t>
      </w:r>
      <w:r w:rsidR="00A1138B" w:rsidRPr="6AFFB094">
        <w:rPr>
          <w:rFonts w:ascii="Cambria" w:hAnsi="Cambria" w:cs="Calibri Light"/>
          <w:color w:val="000000" w:themeColor="text1"/>
          <w:sz w:val="20"/>
          <w:szCs w:val="20"/>
          <w:lang w:val="es-ES"/>
        </w:rPr>
        <w:t xml:space="preserve"> pendiente de cumplimiento</w:t>
      </w:r>
      <w:r w:rsidR="00192180" w:rsidRPr="6AFFB094">
        <w:rPr>
          <w:rFonts w:ascii="Cambria" w:hAnsi="Cambria" w:cs="Calibri Light"/>
          <w:color w:val="000000" w:themeColor="text1"/>
          <w:sz w:val="20"/>
          <w:szCs w:val="20"/>
          <w:lang w:val="es-ES"/>
        </w:rPr>
        <w:t xml:space="preserve">. </w:t>
      </w:r>
    </w:p>
    <w:p w14:paraId="1CA69F8C" w14:textId="77777777" w:rsidR="00192180" w:rsidRPr="00192180" w:rsidRDefault="00192180" w:rsidP="6AFFB094">
      <w:pPr>
        <w:shd w:val="clear" w:color="auto" w:fill="FFFFFF" w:themeFill="background1"/>
        <w:spacing w:after="0" w:line="240" w:lineRule="auto"/>
        <w:jc w:val="both"/>
        <w:rPr>
          <w:rFonts w:ascii="Cambria" w:hAnsi="Cambria" w:cs="Calibri Light"/>
          <w:color w:val="000000" w:themeColor="text1"/>
          <w:sz w:val="20"/>
          <w:szCs w:val="20"/>
          <w:lang w:val="es-ES"/>
        </w:rPr>
      </w:pPr>
    </w:p>
    <w:p w14:paraId="78E8031D" w14:textId="30EFE0E6" w:rsidR="00B22EA1" w:rsidRPr="00015970" w:rsidRDefault="00B22EA1" w:rsidP="6AFFB094">
      <w:pPr>
        <w:pStyle w:val="ListParagraph"/>
        <w:numPr>
          <w:ilvl w:val="0"/>
          <w:numId w:val="12"/>
        </w:numPr>
        <w:shd w:val="clear" w:color="auto" w:fill="FFFFFF" w:themeFill="background1"/>
        <w:spacing w:after="0" w:line="240" w:lineRule="auto"/>
        <w:ind w:left="0" w:firstLine="720"/>
        <w:jc w:val="both"/>
        <w:rPr>
          <w:rFonts w:ascii="Cambria" w:hAnsi="Cambria" w:cs="Calibri Light"/>
          <w:color w:val="000000" w:themeColor="text1"/>
          <w:sz w:val="20"/>
          <w:szCs w:val="20"/>
          <w:lang w:val="es-CO"/>
        </w:rPr>
      </w:pPr>
      <w:r w:rsidRPr="6AFFB094">
        <w:rPr>
          <w:rFonts w:ascii="Cambria" w:hAnsi="Cambria" w:cs="Calibri Light"/>
          <w:b/>
          <w:bCs/>
          <w:color w:val="000000" w:themeColor="text1"/>
          <w:sz w:val="20"/>
          <w:szCs w:val="20"/>
          <w:lang w:val="es-CO"/>
        </w:rPr>
        <w:t>Con respecto a la tercera recomendación,</w:t>
      </w:r>
      <w:r w:rsidRPr="6AFFB094">
        <w:rPr>
          <w:rFonts w:ascii="Cambria" w:hAnsi="Cambria" w:cs="Calibri Light"/>
          <w:color w:val="000000" w:themeColor="text1"/>
          <w:sz w:val="20"/>
          <w:szCs w:val="20"/>
          <w:lang w:val="es-CO"/>
        </w:rPr>
        <w:t xml:space="preserve"> en 2021, </w:t>
      </w:r>
      <w:r w:rsidRPr="6AFFB094">
        <w:rPr>
          <w:rFonts w:ascii="Cambria" w:hAnsi="Cambria" w:cs="Calibri Light"/>
          <w:color w:val="000000" w:themeColor="text1"/>
          <w:sz w:val="20"/>
          <w:szCs w:val="20"/>
          <w:lang w:val="es-ES"/>
        </w:rPr>
        <w:t xml:space="preserve">el Estado indicó que rechaza la recomendación </w:t>
      </w:r>
      <w:r w:rsidR="00A06632" w:rsidRPr="6AFFB094">
        <w:rPr>
          <w:rFonts w:ascii="Cambria" w:hAnsi="Cambria" w:cs="Calibri Light"/>
          <w:color w:val="000000" w:themeColor="text1"/>
          <w:sz w:val="20"/>
          <w:szCs w:val="20"/>
          <w:lang w:val="es-ES"/>
        </w:rPr>
        <w:t>de</w:t>
      </w:r>
      <w:r w:rsidRPr="6AFFB094">
        <w:rPr>
          <w:rFonts w:ascii="Cambria" w:hAnsi="Cambria" w:cs="Calibri Light"/>
          <w:color w:val="000000" w:themeColor="text1"/>
          <w:sz w:val="20"/>
          <w:szCs w:val="20"/>
          <w:lang w:val="es-ES"/>
        </w:rPr>
        <w:t xml:space="preserve"> </w:t>
      </w:r>
      <w:r w:rsidR="00B61635" w:rsidRPr="6AFFB094">
        <w:rPr>
          <w:rFonts w:ascii="Cambria" w:hAnsi="Cambria" w:cs="Calibri Light"/>
          <w:color w:val="000000" w:themeColor="text1"/>
          <w:sz w:val="20"/>
          <w:szCs w:val="20"/>
          <w:lang w:val="es-ES"/>
        </w:rPr>
        <w:t>indemnizar</w:t>
      </w:r>
      <w:r w:rsidR="00A06632" w:rsidRPr="6AFFB094">
        <w:rPr>
          <w:rFonts w:ascii="Cambria" w:hAnsi="Cambria" w:cs="Calibri Light"/>
          <w:color w:val="000000" w:themeColor="text1"/>
          <w:sz w:val="20"/>
          <w:szCs w:val="20"/>
          <w:lang w:val="es-ES"/>
        </w:rPr>
        <w:t xml:space="preserve"> a la víctima</w:t>
      </w:r>
      <w:r w:rsidRPr="6AFFB094">
        <w:rPr>
          <w:rFonts w:ascii="Cambria" w:hAnsi="Cambria" w:cs="Calibri Light"/>
          <w:color w:val="000000" w:themeColor="text1"/>
          <w:sz w:val="20"/>
          <w:szCs w:val="20"/>
          <w:lang w:val="es-CO"/>
        </w:rPr>
        <w:t xml:space="preserve">. </w:t>
      </w:r>
    </w:p>
    <w:p w14:paraId="1A8BE925" w14:textId="77777777" w:rsidR="00B22EA1" w:rsidRPr="00015970" w:rsidRDefault="00B22EA1" w:rsidP="6AFFB094">
      <w:pPr>
        <w:pStyle w:val="Default"/>
        <w:jc w:val="both"/>
        <w:rPr>
          <w:rFonts w:cs="Calibri Light"/>
          <w:color w:val="000000" w:themeColor="text1"/>
          <w:sz w:val="20"/>
          <w:szCs w:val="20"/>
          <w:lang w:val="es-CO"/>
        </w:rPr>
      </w:pPr>
      <w:bookmarkStart w:id="1" w:name="_Hlk85199679"/>
    </w:p>
    <w:bookmarkEnd w:id="1"/>
    <w:p w14:paraId="1948836A" w14:textId="5EC33BC5" w:rsidR="00A06632" w:rsidRPr="0049674C" w:rsidRDefault="00A06632" w:rsidP="00A06632">
      <w:pPr>
        <w:pStyle w:val="Default"/>
        <w:numPr>
          <w:ilvl w:val="0"/>
          <w:numId w:val="12"/>
        </w:numPr>
        <w:ind w:left="0" w:firstLine="720"/>
        <w:jc w:val="both"/>
        <w:rPr>
          <w:rStyle w:val="eop"/>
          <w:rFonts w:cs="Calibri Light"/>
          <w:color w:val="000000" w:themeColor="text1"/>
          <w:sz w:val="20"/>
          <w:szCs w:val="20"/>
          <w:lang w:val="es-ES"/>
        </w:rPr>
      </w:pPr>
      <w:r w:rsidRPr="6AFFB094">
        <w:rPr>
          <w:rStyle w:val="normaltextrun"/>
          <w:color w:val="000000" w:themeColor="text1"/>
          <w:sz w:val="20"/>
          <w:szCs w:val="20"/>
          <w:lang w:val="es-ES"/>
        </w:rPr>
        <w:lastRenderedPageBreak/>
        <w:t>En relación con el otorgamiento de una reparación integral a las víctimas de violaciones a los derechos humanos</w:t>
      </w:r>
      <w:r w:rsidR="00B61635" w:rsidRPr="6AFFB094">
        <w:rPr>
          <w:rStyle w:val="normaltextrun"/>
          <w:color w:val="000000" w:themeColor="text1"/>
          <w:sz w:val="20"/>
          <w:szCs w:val="20"/>
          <w:lang w:val="es-ES"/>
        </w:rPr>
        <w:t xml:space="preserve"> que incluya una indemnización</w:t>
      </w:r>
      <w:r w:rsidRPr="6AFFB094">
        <w:rPr>
          <w:rStyle w:val="normaltextrun"/>
          <w:color w:val="000000" w:themeColor="text1"/>
          <w:sz w:val="20"/>
          <w:szCs w:val="20"/>
          <w:lang w:val="es-ES"/>
        </w:rPr>
        <w:t>, la CIDH recuerda que, de acuerdo con los principios del derecho internacional, todo incumplimiento de una obligación internacional que ocasione un perjuicio da lugar al deber de repararlo de manera adecuada</w:t>
      </w:r>
      <w:r w:rsidRPr="6AFFB094">
        <w:rPr>
          <w:rStyle w:val="superscript"/>
          <w:color w:val="000000" w:themeColor="text1"/>
          <w:sz w:val="16"/>
          <w:szCs w:val="16"/>
          <w:vertAlign w:val="superscript"/>
          <w:lang w:val="es-ES"/>
        </w:rPr>
        <w:t>12</w:t>
      </w:r>
      <w:r w:rsidRPr="6AFFB094">
        <w:rPr>
          <w:rStyle w:val="normaltextrun"/>
          <w:color w:val="000000" w:themeColor="text1"/>
          <w:sz w:val="20"/>
          <w:szCs w:val="20"/>
          <w:lang w:val="es-ES"/>
        </w:rPr>
        <w:t>. De conformidad con la jurisprudencia del sistema interamericano, las víctimas de violaciones de derechos humanos tienen derecho a percibir una reparación adecuada por el daño sufrido, la cual debe concretarse en medidas individuales para restituir, indemnizar y rehabilitar a la víctima, así como medidas de satisfacción y garantías de que no se repitan tales actos</w:t>
      </w:r>
      <w:r w:rsidRPr="6AFFB094">
        <w:rPr>
          <w:rStyle w:val="superscript"/>
          <w:color w:val="000000" w:themeColor="text1"/>
          <w:sz w:val="16"/>
          <w:szCs w:val="16"/>
          <w:vertAlign w:val="superscript"/>
          <w:lang w:val="es-ES"/>
        </w:rPr>
        <w:t>13</w:t>
      </w:r>
      <w:r w:rsidRPr="6AFFB094">
        <w:rPr>
          <w:rStyle w:val="normaltextrun"/>
          <w:color w:val="000000" w:themeColor="text1"/>
          <w:sz w:val="20"/>
          <w:szCs w:val="20"/>
          <w:lang w:val="es-ES"/>
        </w:rPr>
        <w:t>. </w:t>
      </w:r>
      <w:r w:rsidRPr="6AFFB094">
        <w:rPr>
          <w:rStyle w:val="eop"/>
          <w:color w:val="000000" w:themeColor="text1"/>
          <w:sz w:val="20"/>
          <w:szCs w:val="20"/>
          <w:lang w:val="es-CO"/>
        </w:rPr>
        <w:t> </w:t>
      </w:r>
    </w:p>
    <w:p w14:paraId="0DE6395A" w14:textId="77777777" w:rsidR="00A06632" w:rsidRPr="0049674C" w:rsidRDefault="00A06632" w:rsidP="00A06632">
      <w:pPr>
        <w:pStyle w:val="Default"/>
        <w:jc w:val="both"/>
        <w:rPr>
          <w:rStyle w:val="normaltextrun"/>
          <w:rFonts w:cs="Calibri Light"/>
          <w:color w:val="000000" w:themeColor="text1"/>
          <w:sz w:val="20"/>
          <w:szCs w:val="20"/>
          <w:lang w:val="es-ES"/>
        </w:rPr>
      </w:pPr>
    </w:p>
    <w:p w14:paraId="5037F680" w14:textId="4396F2E4" w:rsidR="00623BE9" w:rsidRPr="0090732B" w:rsidRDefault="00A06632" w:rsidP="6AFFB094">
      <w:pPr>
        <w:pStyle w:val="Default"/>
        <w:numPr>
          <w:ilvl w:val="0"/>
          <w:numId w:val="12"/>
        </w:numPr>
        <w:ind w:left="0" w:firstLine="720"/>
        <w:jc w:val="both"/>
        <w:rPr>
          <w:rFonts w:cs="Calibri Light"/>
          <w:color w:val="000000" w:themeColor="text1"/>
          <w:sz w:val="20"/>
          <w:szCs w:val="20"/>
          <w:lang w:val="es-ES"/>
        </w:rPr>
      </w:pPr>
      <w:r w:rsidRPr="6AFFB094">
        <w:rPr>
          <w:rStyle w:val="normaltextrun"/>
          <w:color w:val="000000" w:themeColor="text1"/>
          <w:sz w:val="20"/>
          <w:szCs w:val="20"/>
          <w:lang w:val="es-ES"/>
        </w:rPr>
        <w:t>A partir de lo anterior y de acuerdo con el principio de participación de las víctimas, la Comisión considera indispensable que la evaluación del cumplimiento de esta recomendación tenga en cuenta la perspectiva de las víctimas y sus representantes </w:t>
      </w:r>
      <w:r w:rsidRPr="6AFFB094">
        <w:rPr>
          <w:rStyle w:val="normaltextrun"/>
          <w:color w:val="000000" w:themeColor="text1"/>
          <w:sz w:val="20"/>
          <w:szCs w:val="20"/>
          <w:lang w:val="es-CO"/>
        </w:rPr>
        <w:t xml:space="preserve">sobre las acciones adoptadas por parte del Estado para cumplir con esta recomendación y que, además, esta perspectiva sea debidamente tenida en cuenta por el Estado al momento de determinar las medidas a implementar para garantizar a las víctimas una reparación integral de los daños causados. </w:t>
      </w:r>
      <w:r w:rsidR="00B61635" w:rsidRPr="6AFFB094">
        <w:rPr>
          <w:rStyle w:val="normaltextrun"/>
          <w:color w:val="000000" w:themeColor="text1"/>
          <w:sz w:val="20"/>
          <w:szCs w:val="20"/>
          <w:lang w:val="es-CO"/>
        </w:rPr>
        <w:t xml:space="preserve">En este sentido, la Comisión invita a ambas partes a aportar información relativa a avances en el cumplimiento de esta recomendación. </w:t>
      </w:r>
      <w:r w:rsidRPr="6AFFB094">
        <w:rPr>
          <w:color w:val="000000" w:themeColor="text1"/>
          <w:sz w:val="20"/>
          <w:szCs w:val="20"/>
          <w:lang w:val="es-CO"/>
        </w:rPr>
        <w:t xml:space="preserve">En vista de lo anterior, la Comisión considera que </w:t>
      </w:r>
      <w:r w:rsidR="0090732B" w:rsidRPr="6AFFB094">
        <w:rPr>
          <w:color w:val="000000" w:themeColor="text1"/>
          <w:sz w:val="20"/>
          <w:szCs w:val="20"/>
          <w:lang w:val="es-CO"/>
        </w:rPr>
        <w:t xml:space="preserve">esta recomendación continúa pendiente de cumplimiento. </w:t>
      </w:r>
    </w:p>
    <w:p w14:paraId="5CE060C6" w14:textId="77777777" w:rsidR="0090732B" w:rsidRPr="009D7241" w:rsidRDefault="0090732B" w:rsidP="6AFFB094">
      <w:pPr>
        <w:pStyle w:val="Default"/>
        <w:jc w:val="both"/>
        <w:rPr>
          <w:rFonts w:cs="Calibri Light"/>
          <w:color w:val="000000" w:themeColor="text1"/>
          <w:sz w:val="20"/>
          <w:szCs w:val="20"/>
          <w:lang w:val="es-ES"/>
        </w:rPr>
      </w:pPr>
    </w:p>
    <w:p w14:paraId="268D3C22" w14:textId="77777777" w:rsidR="009D7241" w:rsidRPr="00C602F0" w:rsidRDefault="00623BE9" w:rsidP="6AFFB094">
      <w:pPr>
        <w:pStyle w:val="Default"/>
        <w:numPr>
          <w:ilvl w:val="0"/>
          <w:numId w:val="12"/>
        </w:numPr>
        <w:ind w:left="0" w:firstLine="720"/>
        <w:jc w:val="both"/>
        <w:rPr>
          <w:rFonts w:cs="Calibri Light"/>
          <w:color w:val="000000" w:themeColor="text1"/>
          <w:sz w:val="20"/>
          <w:szCs w:val="20"/>
          <w:lang w:val="es-ES"/>
        </w:rPr>
      </w:pPr>
      <w:r w:rsidRPr="6AFFB094">
        <w:rPr>
          <w:rFonts w:cs="Calibri Light"/>
          <w:b/>
          <w:bCs/>
          <w:color w:val="000000" w:themeColor="text1"/>
          <w:sz w:val="20"/>
          <w:szCs w:val="20"/>
          <w:lang w:val="es-ES"/>
        </w:rPr>
        <w:t>Con respecto a la cuarta recomendación</w:t>
      </w:r>
      <w:r w:rsidRPr="6AFFB094">
        <w:rPr>
          <w:rFonts w:cs="Calibri Light"/>
          <w:color w:val="000000" w:themeColor="text1"/>
          <w:sz w:val="20"/>
          <w:szCs w:val="20"/>
          <w:lang w:val="es-ES"/>
        </w:rPr>
        <w:t xml:space="preserve">, </w:t>
      </w:r>
      <w:bookmarkStart w:id="2" w:name="_Hlk89267575"/>
      <w:r w:rsidR="009D7241" w:rsidRPr="6AFFB094">
        <w:rPr>
          <w:rFonts w:cs="Calibri Light"/>
          <w:color w:val="000000" w:themeColor="text1"/>
          <w:sz w:val="20"/>
          <w:szCs w:val="20"/>
          <w:lang w:val="es-ES"/>
        </w:rPr>
        <w:t>en 2021, el Estado informó que se ha emprendido una iniciativa para la transformación del Departamento de Servicios Correccionales de las Bahamas, por lo que a lo largo de los años, ha habido mejoras en infraestructura y en medidas de rehabilitación, aunque reconoció que persiste la necesidad de seguir mejorando en materia de infraestructura, por lo que se han aprovechado las oportunidades para forjar vínculos con homólogos internacionales y para continuar con la implementación de estándares internacionales. Al respecto, informó que algunas de las mejoras de la infraestructura incluyen la creación de un de admisión central (</w:t>
      </w:r>
      <w:r w:rsidR="009D7241" w:rsidRPr="6AFFB094">
        <w:rPr>
          <w:rFonts w:cs="Calibri Light"/>
          <w:i/>
          <w:iCs/>
          <w:color w:val="000000" w:themeColor="text1"/>
          <w:sz w:val="20"/>
          <w:szCs w:val="20"/>
          <w:lang w:val="es-ES"/>
        </w:rPr>
        <w:t xml:space="preserve">Central </w:t>
      </w:r>
      <w:proofErr w:type="spellStart"/>
      <w:r w:rsidR="009D7241" w:rsidRPr="6AFFB094">
        <w:rPr>
          <w:rFonts w:cs="Calibri Light"/>
          <w:i/>
          <w:iCs/>
          <w:color w:val="000000" w:themeColor="text1"/>
          <w:sz w:val="20"/>
          <w:szCs w:val="20"/>
          <w:lang w:val="es-ES"/>
        </w:rPr>
        <w:t>Intake</w:t>
      </w:r>
      <w:proofErr w:type="spellEnd"/>
      <w:r w:rsidR="009D7241" w:rsidRPr="6AFFB094">
        <w:rPr>
          <w:rFonts w:cs="Calibri Light"/>
          <w:i/>
          <w:iCs/>
          <w:color w:val="000000" w:themeColor="text1"/>
          <w:sz w:val="20"/>
          <w:szCs w:val="20"/>
          <w:lang w:val="es-ES"/>
        </w:rPr>
        <w:t xml:space="preserve"> </w:t>
      </w:r>
      <w:proofErr w:type="spellStart"/>
      <w:r w:rsidR="009D7241" w:rsidRPr="6AFFB094">
        <w:rPr>
          <w:rFonts w:cs="Calibri Light"/>
          <w:i/>
          <w:iCs/>
          <w:color w:val="000000" w:themeColor="text1"/>
          <w:sz w:val="20"/>
          <w:szCs w:val="20"/>
          <w:lang w:val="es-ES"/>
        </w:rPr>
        <w:t>Facility</w:t>
      </w:r>
      <w:proofErr w:type="spellEnd"/>
      <w:r w:rsidR="009D7241" w:rsidRPr="6AFFB094">
        <w:rPr>
          <w:rFonts w:cs="Calibri Light"/>
          <w:color w:val="000000" w:themeColor="text1"/>
          <w:sz w:val="20"/>
          <w:szCs w:val="20"/>
          <w:lang w:val="es-ES"/>
        </w:rPr>
        <w:t>) y un sistema estandarizado de clasificación de reclusos (</w:t>
      </w:r>
      <w:proofErr w:type="spellStart"/>
      <w:r w:rsidR="009D7241" w:rsidRPr="6AFFB094">
        <w:rPr>
          <w:rFonts w:cs="Calibri Light"/>
          <w:i/>
          <w:iCs/>
          <w:color w:val="000000" w:themeColor="text1"/>
          <w:sz w:val="20"/>
          <w:szCs w:val="20"/>
          <w:lang w:val="es-ES"/>
        </w:rPr>
        <w:t>Inmate</w:t>
      </w:r>
      <w:proofErr w:type="spellEnd"/>
      <w:r w:rsidR="009D7241" w:rsidRPr="6AFFB094">
        <w:rPr>
          <w:rFonts w:cs="Calibri Light"/>
          <w:i/>
          <w:iCs/>
          <w:color w:val="000000" w:themeColor="text1"/>
          <w:sz w:val="20"/>
          <w:szCs w:val="20"/>
          <w:lang w:val="es-ES"/>
        </w:rPr>
        <w:t xml:space="preserve"> </w:t>
      </w:r>
      <w:proofErr w:type="spellStart"/>
      <w:r w:rsidR="009D7241" w:rsidRPr="6AFFB094">
        <w:rPr>
          <w:rFonts w:cs="Calibri Light"/>
          <w:i/>
          <w:iCs/>
          <w:color w:val="000000" w:themeColor="text1"/>
          <w:sz w:val="20"/>
          <w:szCs w:val="20"/>
          <w:lang w:val="es-ES"/>
        </w:rPr>
        <w:t>Classification</w:t>
      </w:r>
      <w:proofErr w:type="spellEnd"/>
      <w:r w:rsidR="009D7241" w:rsidRPr="6AFFB094">
        <w:rPr>
          <w:rFonts w:cs="Calibri Light"/>
          <w:i/>
          <w:iCs/>
          <w:color w:val="000000" w:themeColor="text1"/>
          <w:sz w:val="20"/>
          <w:szCs w:val="20"/>
          <w:lang w:val="es-ES"/>
        </w:rPr>
        <w:t xml:space="preserve"> </w:t>
      </w:r>
      <w:proofErr w:type="spellStart"/>
      <w:r w:rsidR="009D7241" w:rsidRPr="6AFFB094">
        <w:rPr>
          <w:rFonts w:cs="Calibri Light"/>
          <w:i/>
          <w:iCs/>
          <w:color w:val="000000" w:themeColor="text1"/>
          <w:sz w:val="20"/>
          <w:szCs w:val="20"/>
          <w:lang w:val="es-ES"/>
        </w:rPr>
        <w:t>System</w:t>
      </w:r>
      <w:proofErr w:type="spellEnd"/>
      <w:r w:rsidR="009D7241" w:rsidRPr="6AFFB094">
        <w:rPr>
          <w:rFonts w:cs="Calibri Light"/>
          <w:color w:val="000000" w:themeColor="text1"/>
          <w:sz w:val="20"/>
          <w:szCs w:val="20"/>
          <w:lang w:val="es-ES"/>
        </w:rPr>
        <w:t>).</w:t>
      </w:r>
    </w:p>
    <w:p w14:paraId="13489D60" w14:textId="77777777" w:rsidR="009D7241" w:rsidRPr="00FE2A2B" w:rsidRDefault="009D7241" w:rsidP="6AFFB094">
      <w:pPr>
        <w:pStyle w:val="Default"/>
        <w:jc w:val="both"/>
        <w:rPr>
          <w:rFonts w:cs="Calibri Light"/>
          <w:color w:val="000000" w:themeColor="text1"/>
          <w:sz w:val="20"/>
          <w:szCs w:val="20"/>
          <w:lang w:val="es-ES"/>
        </w:rPr>
      </w:pPr>
    </w:p>
    <w:p w14:paraId="63CA281E" w14:textId="77777777" w:rsidR="009D7241" w:rsidRPr="00F81E1A" w:rsidRDefault="009D7241" w:rsidP="6AFFB094">
      <w:pPr>
        <w:pStyle w:val="Default"/>
        <w:numPr>
          <w:ilvl w:val="0"/>
          <w:numId w:val="12"/>
        </w:numPr>
        <w:ind w:left="0" w:firstLine="720"/>
        <w:jc w:val="both"/>
        <w:rPr>
          <w:rFonts w:cs="Calibri Light"/>
          <w:color w:val="000000" w:themeColor="text1"/>
          <w:sz w:val="20"/>
          <w:szCs w:val="20"/>
          <w:lang w:val="es-ES"/>
        </w:rPr>
      </w:pPr>
      <w:r w:rsidRPr="6AFFB094">
        <w:rPr>
          <w:rFonts w:cs="Calibri Light"/>
          <w:color w:val="000000" w:themeColor="text1"/>
          <w:sz w:val="20"/>
          <w:szCs w:val="20"/>
          <w:lang w:val="es-ES"/>
        </w:rPr>
        <w:t>También en 2021, en lo que se refiere a medidas de rehabilitación, el Estado señaló que uno de los objetivos del Departamento de Servicios Correccionales es reducir la reincidencia mediante la rehabilitación e integración de los delincuentes. Dentro de estas iniciativas, destacó la finalización del Instituto de Formación Penitenciaria (</w:t>
      </w:r>
      <w:proofErr w:type="spellStart"/>
      <w:r w:rsidRPr="6AFFB094">
        <w:rPr>
          <w:rFonts w:cs="Calibri Light"/>
          <w:i/>
          <w:iCs/>
          <w:color w:val="000000" w:themeColor="text1"/>
          <w:sz w:val="20"/>
          <w:szCs w:val="20"/>
          <w:lang w:val="es-ES"/>
        </w:rPr>
        <w:t>Correctional</w:t>
      </w:r>
      <w:proofErr w:type="spellEnd"/>
      <w:r w:rsidRPr="6AFFB094">
        <w:rPr>
          <w:rFonts w:cs="Calibri Light"/>
          <w:i/>
          <w:iCs/>
          <w:color w:val="000000" w:themeColor="text1"/>
          <w:sz w:val="20"/>
          <w:szCs w:val="20"/>
          <w:lang w:val="es-ES"/>
        </w:rPr>
        <w:t xml:space="preserve"> Training </w:t>
      </w:r>
      <w:proofErr w:type="spellStart"/>
      <w:r w:rsidRPr="6AFFB094">
        <w:rPr>
          <w:rFonts w:cs="Calibri Light"/>
          <w:i/>
          <w:iCs/>
          <w:color w:val="000000" w:themeColor="text1"/>
          <w:sz w:val="20"/>
          <w:szCs w:val="20"/>
          <w:lang w:val="es-ES"/>
        </w:rPr>
        <w:t>Institute</w:t>
      </w:r>
      <w:proofErr w:type="spellEnd"/>
      <w:r w:rsidRPr="6AFFB094">
        <w:rPr>
          <w:rFonts w:cs="Calibri Light"/>
          <w:color w:val="000000" w:themeColor="text1"/>
          <w:sz w:val="20"/>
          <w:szCs w:val="20"/>
          <w:lang w:val="es-ES"/>
        </w:rPr>
        <w:t xml:space="preserve">), que proporciona a los reclusos la educación que les permita obtener un empleo cuando sean puestos en libertad; la ampliación de la capacidad del Programa </w:t>
      </w:r>
      <w:proofErr w:type="gramStart"/>
      <w:r w:rsidRPr="6AFFB094">
        <w:rPr>
          <w:rFonts w:cs="Calibri Light"/>
          <w:color w:val="000000" w:themeColor="text1"/>
          <w:sz w:val="20"/>
          <w:szCs w:val="20"/>
          <w:lang w:val="es-ES"/>
        </w:rPr>
        <w:t>Extra Mural</w:t>
      </w:r>
      <w:proofErr w:type="gramEnd"/>
      <w:r w:rsidRPr="6AFFB094">
        <w:rPr>
          <w:rFonts w:cs="Calibri Light"/>
          <w:color w:val="000000" w:themeColor="text1"/>
          <w:sz w:val="20"/>
          <w:szCs w:val="20"/>
          <w:lang w:val="es-ES"/>
        </w:rPr>
        <w:t>, la introducción de la Feria Anual de Empleo, y la inauguración del Programa de Desarrollo Basado en Fe y Carácter. Finalmente, el Estado indicó que alguna de la formación ofrecida a los reclusos es en las áreas de mecánica de automóviles, comunicaciones básicas, lectura, matemáticas, carpintería, informática básica, cerámica, soldadura, cosmetología y certificados juveniles de Bahamas en inglés y matemáticas. Concluyó diciendo que la política del Gobierno es garantizar que la mayoría de los reclusos tengan acceso a una formación orientada a equiparlos para su reinserción en la comunidad.</w:t>
      </w:r>
    </w:p>
    <w:p w14:paraId="5D71E23C" w14:textId="77777777" w:rsidR="009D7241" w:rsidRPr="00F81E1A" w:rsidRDefault="009D7241" w:rsidP="6AFFB094">
      <w:pPr>
        <w:pStyle w:val="Default"/>
        <w:ind w:left="720"/>
        <w:jc w:val="both"/>
        <w:rPr>
          <w:rFonts w:cs="Calibri Light"/>
          <w:color w:val="000000" w:themeColor="text1"/>
          <w:sz w:val="20"/>
          <w:szCs w:val="20"/>
          <w:lang w:val="es-ES"/>
        </w:rPr>
      </w:pPr>
    </w:p>
    <w:p w14:paraId="750101BE" w14:textId="491EE479" w:rsidR="009D7241" w:rsidRPr="00D26CDC" w:rsidRDefault="00FD568D" w:rsidP="6AFFB094">
      <w:pPr>
        <w:pStyle w:val="Default"/>
        <w:numPr>
          <w:ilvl w:val="0"/>
          <w:numId w:val="12"/>
        </w:numPr>
        <w:ind w:left="0" w:firstLine="720"/>
        <w:jc w:val="both"/>
        <w:rPr>
          <w:rFonts w:cs="Calibri Light"/>
          <w:color w:val="000000" w:themeColor="text1"/>
          <w:sz w:val="20"/>
          <w:szCs w:val="20"/>
          <w:lang w:val="es-ES"/>
        </w:rPr>
      </w:pPr>
      <w:r w:rsidRPr="6AFFB094">
        <w:rPr>
          <w:rFonts w:cs="Calibri Light"/>
          <w:color w:val="000000" w:themeColor="text1"/>
          <w:sz w:val="20"/>
          <w:szCs w:val="20"/>
          <w:lang w:val="es-ES"/>
        </w:rPr>
        <w:t xml:space="preserve">La Comisión valora positivamente la información remitida por el Estado y considera que estas medidas están encaminadas a avanzar en </w:t>
      </w:r>
      <w:r w:rsidRPr="6AFFB094">
        <w:rPr>
          <w:rFonts w:eastAsia="Times New Roman"/>
          <w:color w:val="000000" w:themeColor="text1"/>
          <w:sz w:val="20"/>
          <w:szCs w:val="20"/>
          <w:lang w:val="es-ES"/>
        </w:rPr>
        <w:t xml:space="preserve">brindar un tratamiento humano y a garantizar que no se reciba un castigo cruel, infamante o inusitado en los centros de reclusión del país. Con miras a que se determine un nivel más avanzado en el cumplimiento de esta recomendación, la Comisión solicita información sobre el funcionamiento del </w:t>
      </w:r>
      <w:r w:rsidRPr="6AFFB094">
        <w:rPr>
          <w:rFonts w:cs="Calibri Light"/>
          <w:color w:val="000000" w:themeColor="text1"/>
          <w:sz w:val="20"/>
          <w:szCs w:val="20"/>
          <w:lang w:val="es-ES"/>
        </w:rPr>
        <w:t>centro de admisión central (</w:t>
      </w:r>
      <w:r w:rsidRPr="6AFFB094">
        <w:rPr>
          <w:rFonts w:cs="Calibri Light"/>
          <w:i/>
          <w:iCs/>
          <w:color w:val="000000" w:themeColor="text1"/>
          <w:sz w:val="20"/>
          <w:szCs w:val="20"/>
          <w:lang w:val="es-ES"/>
        </w:rPr>
        <w:t xml:space="preserve">Central </w:t>
      </w:r>
      <w:proofErr w:type="spellStart"/>
      <w:r w:rsidRPr="6AFFB094">
        <w:rPr>
          <w:rFonts w:cs="Calibri Light"/>
          <w:i/>
          <w:iCs/>
          <w:color w:val="000000" w:themeColor="text1"/>
          <w:sz w:val="20"/>
          <w:szCs w:val="20"/>
          <w:lang w:val="es-ES"/>
        </w:rPr>
        <w:t>Intake</w:t>
      </w:r>
      <w:proofErr w:type="spellEnd"/>
      <w:r w:rsidRPr="6AFFB094">
        <w:rPr>
          <w:rFonts w:cs="Calibri Light"/>
          <w:i/>
          <w:iCs/>
          <w:color w:val="000000" w:themeColor="text1"/>
          <w:sz w:val="20"/>
          <w:szCs w:val="20"/>
          <w:lang w:val="es-ES"/>
        </w:rPr>
        <w:t xml:space="preserve"> </w:t>
      </w:r>
      <w:proofErr w:type="spellStart"/>
      <w:r w:rsidRPr="6AFFB094">
        <w:rPr>
          <w:rFonts w:cs="Calibri Light"/>
          <w:i/>
          <w:iCs/>
          <w:color w:val="000000" w:themeColor="text1"/>
          <w:sz w:val="20"/>
          <w:szCs w:val="20"/>
          <w:lang w:val="es-ES"/>
        </w:rPr>
        <w:t>Facility</w:t>
      </w:r>
      <w:proofErr w:type="spellEnd"/>
      <w:r w:rsidRPr="6AFFB094">
        <w:rPr>
          <w:rFonts w:cs="Calibri Light"/>
          <w:color w:val="000000" w:themeColor="text1"/>
          <w:sz w:val="20"/>
          <w:szCs w:val="20"/>
          <w:lang w:val="es-ES"/>
        </w:rPr>
        <w:t>) y del sistema estandarizado de clasificación de reclusos (</w:t>
      </w:r>
      <w:proofErr w:type="spellStart"/>
      <w:r w:rsidRPr="6AFFB094">
        <w:rPr>
          <w:rFonts w:cs="Calibri Light"/>
          <w:i/>
          <w:iCs/>
          <w:color w:val="000000" w:themeColor="text1"/>
          <w:sz w:val="20"/>
          <w:szCs w:val="20"/>
          <w:lang w:val="es-ES"/>
        </w:rPr>
        <w:t>Inmate</w:t>
      </w:r>
      <w:proofErr w:type="spellEnd"/>
      <w:r w:rsidRPr="6AFFB094">
        <w:rPr>
          <w:rFonts w:cs="Calibri Light"/>
          <w:i/>
          <w:iCs/>
          <w:color w:val="000000" w:themeColor="text1"/>
          <w:sz w:val="20"/>
          <w:szCs w:val="20"/>
          <w:lang w:val="es-ES"/>
        </w:rPr>
        <w:t xml:space="preserve"> </w:t>
      </w:r>
      <w:proofErr w:type="spellStart"/>
      <w:r w:rsidRPr="6AFFB094">
        <w:rPr>
          <w:rFonts w:cs="Calibri Light"/>
          <w:i/>
          <w:iCs/>
          <w:color w:val="000000" w:themeColor="text1"/>
          <w:sz w:val="20"/>
          <w:szCs w:val="20"/>
          <w:lang w:val="es-ES"/>
        </w:rPr>
        <w:t>Classification</w:t>
      </w:r>
      <w:proofErr w:type="spellEnd"/>
      <w:r w:rsidRPr="6AFFB094">
        <w:rPr>
          <w:rFonts w:cs="Calibri Light"/>
          <w:i/>
          <w:iCs/>
          <w:color w:val="000000" w:themeColor="text1"/>
          <w:sz w:val="20"/>
          <w:szCs w:val="20"/>
          <w:lang w:val="es-ES"/>
        </w:rPr>
        <w:t xml:space="preserve"> </w:t>
      </w:r>
      <w:proofErr w:type="spellStart"/>
      <w:r w:rsidRPr="6AFFB094">
        <w:rPr>
          <w:rFonts w:cs="Calibri Light"/>
          <w:i/>
          <w:iCs/>
          <w:color w:val="000000" w:themeColor="text1"/>
          <w:sz w:val="20"/>
          <w:szCs w:val="20"/>
          <w:lang w:val="es-ES"/>
        </w:rPr>
        <w:t>System</w:t>
      </w:r>
      <w:proofErr w:type="spellEnd"/>
      <w:r w:rsidRPr="6AFFB094">
        <w:rPr>
          <w:rFonts w:cs="Calibri Light"/>
          <w:i/>
          <w:iCs/>
          <w:color w:val="000000" w:themeColor="text1"/>
          <w:sz w:val="20"/>
          <w:szCs w:val="20"/>
          <w:lang w:val="es-ES"/>
        </w:rPr>
        <w:t xml:space="preserve">) </w:t>
      </w:r>
      <w:r w:rsidRPr="6AFFB094">
        <w:rPr>
          <w:rFonts w:cs="Calibri Light"/>
          <w:color w:val="000000" w:themeColor="text1"/>
          <w:sz w:val="20"/>
          <w:szCs w:val="20"/>
          <w:lang w:val="es-ES"/>
        </w:rPr>
        <w:t xml:space="preserve">con miras a entender de qué manera estas medidas contribuyen a garantizar la recomendación. Asimismo, solicita detalles sobre las medidas adoptadas en materia de infraestructura -especialmente respecto de condiciones de alojamiento, higiene, ventilación, luz y ejercicio para las personas reclusas-, el número de centros de reclusión intervenidos, los que aún faltan por intervenir, la fecha de realización de las mejoras e información que señale en qué han consistido las intervenciones. Adicionalmente, la Comisión solicita información que permita verificar medidas dirigidas a prevenir actos de violencia al interior de los centros de reclusión por parte del personal de vigilancia. </w:t>
      </w:r>
      <w:r w:rsidRPr="6AFFB094">
        <w:rPr>
          <w:color w:val="000000" w:themeColor="text1"/>
          <w:sz w:val="20"/>
          <w:szCs w:val="20"/>
          <w:lang w:val="es-CO"/>
        </w:rPr>
        <w:t>En vista de lo anterior, la Comisión observa que las partes han aportado información relevante para actualizar el estado de cumplimiento de esta recomendación y considera que el nivel de dicha recomendación es parcial</w:t>
      </w:r>
      <w:r w:rsidR="009D7241" w:rsidRPr="6AFFB094">
        <w:rPr>
          <w:color w:val="000000" w:themeColor="text1"/>
          <w:sz w:val="20"/>
          <w:szCs w:val="20"/>
          <w:lang w:val="es-CO"/>
        </w:rPr>
        <w:t>.</w:t>
      </w:r>
    </w:p>
    <w:bookmarkEnd w:id="2"/>
    <w:p w14:paraId="42D0EF28" w14:textId="7AB78B6B" w:rsidR="00623BE9" w:rsidRPr="00D26CDC" w:rsidRDefault="00623BE9" w:rsidP="6AFFB094">
      <w:pPr>
        <w:pStyle w:val="Default"/>
        <w:jc w:val="both"/>
        <w:rPr>
          <w:rFonts w:cs="Calibri Light"/>
          <w:color w:val="000000" w:themeColor="text1"/>
          <w:sz w:val="20"/>
          <w:szCs w:val="20"/>
          <w:lang w:val="es-ES"/>
        </w:rPr>
      </w:pPr>
    </w:p>
    <w:p w14:paraId="77548304" w14:textId="77777777" w:rsidR="000114CD" w:rsidRPr="00346E20" w:rsidRDefault="00623BE9" w:rsidP="6AFFB094">
      <w:pPr>
        <w:pStyle w:val="Default"/>
        <w:numPr>
          <w:ilvl w:val="0"/>
          <w:numId w:val="12"/>
        </w:numPr>
        <w:ind w:left="0" w:firstLine="720"/>
        <w:jc w:val="both"/>
        <w:rPr>
          <w:rFonts w:cs="Calibri Light"/>
          <w:color w:val="000000" w:themeColor="text1"/>
          <w:sz w:val="20"/>
          <w:szCs w:val="20"/>
          <w:lang w:val="es-ES"/>
        </w:rPr>
      </w:pPr>
      <w:r w:rsidRPr="6AFFB094">
        <w:rPr>
          <w:rFonts w:cs="Calibri Light"/>
          <w:b/>
          <w:bCs/>
          <w:color w:val="000000" w:themeColor="text1"/>
          <w:sz w:val="20"/>
          <w:szCs w:val="20"/>
          <w:lang w:val="es-ES"/>
        </w:rPr>
        <w:lastRenderedPageBreak/>
        <w:t>Con respecto a la quinta recomendación,</w:t>
      </w:r>
      <w:r w:rsidRPr="6AFFB094">
        <w:rPr>
          <w:rFonts w:cs="Calibri Light"/>
          <w:color w:val="000000" w:themeColor="text1"/>
          <w:sz w:val="20"/>
          <w:szCs w:val="20"/>
          <w:lang w:val="es-ES"/>
        </w:rPr>
        <w:t xml:space="preserve"> </w:t>
      </w:r>
      <w:bookmarkStart w:id="3" w:name="_Hlk85359765"/>
      <w:bookmarkStart w:id="4" w:name="_Hlk89267443"/>
      <w:r w:rsidR="000114CD" w:rsidRPr="6AFFB094">
        <w:rPr>
          <w:rFonts w:cs="Calibri Light"/>
          <w:color w:val="000000" w:themeColor="text1"/>
          <w:sz w:val="20"/>
          <w:szCs w:val="20"/>
          <w:lang w:val="es-ES"/>
        </w:rPr>
        <w:t xml:space="preserve">en 2021, el Estado señaló que se modificó la legislación penal del país por la decisión adoptada en el caso </w:t>
      </w:r>
      <w:bookmarkStart w:id="5" w:name="_Hlk85359801"/>
      <w:proofErr w:type="spellStart"/>
      <w:r w:rsidR="000114CD" w:rsidRPr="6AFFB094">
        <w:rPr>
          <w:rFonts w:cs="Calibri Light"/>
          <w:i/>
          <w:iCs/>
          <w:color w:val="000000" w:themeColor="text1"/>
          <w:sz w:val="20"/>
          <w:szCs w:val="20"/>
          <w:lang w:val="es-ES"/>
        </w:rPr>
        <w:t>Bowe</w:t>
      </w:r>
      <w:proofErr w:type="spellEnd"/>
      <w:r w:rsidR="000114CD" w:rsidRPr="6AFFB094">
        <w:rPr>
          <w:rFonts w:cs="Calibri Light"/>
          <w:i/>
          <w:iCs/>
          <w:color w:val="000000" w:themeColor="text1"/>
          <w:sz w:val="20"/>
          <w:szCs w:val="20"/>
          <w:lang w:val="es-ES"/>
        </w:rPr>
        <w:t xml:space="preserve"> and </w:t>
      </w:r>
      <w:proofErr w:type="spellStart"/>
      <w:r w:rsidR="000114CD" w:rsidRPr="6AFFB094">
        <w:rPr>
          <w:rFonts w:cs="Calibri Light"/>
          <w:i/>
          <w:iCs/>
          <w:color w:val="000000" w:themeColor="text1"/>
          <w:sz w:val="20"/>
          <w:szCs w:val="20"/>
          <w:lang w:val="es-ES"/>
        </w:rPr>
        <w:t>Another</w:t>
      </w:r>
      <w:proofErr w:type="spellEnd"/>
      <w:r w:rsidR="000114CD" w:rsidRPr="6AFFB094">
        <w:rPr>
          <w:rFonts w:cs="Calibri Light"/>
          <w:i/>
          <w:iCs/>
          <w:color w:val="000000" w:themeColor="text1"/>
          <w:sz w:val="20"/>
          <w:szCs w:val="20"/>
          <w:lang w:val="es-ES"/>
        </w:rPr>
        <w:t xml:space="preserve"> v. Queen [2006]</w:t>
      </w:r>
      <w:r w:rsidR="000114CD" w:rsidRPr="6AFFB094">
        <w:rPr>
          <w:rFonts w:cs="Calibri Light"/>
          <w:color w:val="000000" w:themeColor="text1"/>
          <w:sz w:val="20"/>
          <w:szCs w:val="20"/>
          <w:lang w:val="es-ES"/>
        </w:rPr>
        <w:t xml:space="preserve">, en la que el </w:t>
      </w:r>
      <w:r w:rsidR="000114CD" w:rsidRPr="6AFFB094">
        <w:rPr>
          <w:rFonts w:cs="Calibri Light"/>
          <w:i/>
          <w:iCs/>
          <w:color w:val="000000" w:themeColor="text1"/>
          <w:sz w:val="20"/>
          <w:szCs w:val="20"/>
          <w:lang w:val="es-ES"/>
        </w:rPr>
        <w:t xml:space="preserve">Judicial </w:t>
      </w:r>
      <w:proofErr w:type="spellStart"/>
      <w:r w:rsidR="000114CD" w:rsidRPr="6AFFB094">
        <w:rPr>
          <w:rFonts w:cs="Calibri Light"/>
          <w:i/>
          <w:iCs/>
          <w:color w:val="000000" w:themeColor="text1"/>
          <w:sz w:val="20"/>
          <w:szCs w:val="20"/>
          <w:lang w:val="es-ES"/>
        </w:rPr>
        <w:t>Committee</w:t>
      </w:r>
      <w:proofErr w:type="spellEnd"/>
      <w:r w:rsidR="000114CD" w:rsidRPr="6AFFB094">
        <w:rPr>
          <w:rFonts w:cs="Calibri Light"/>
          <w:i/>
          <w:iCs/>
          <w:color w:val="000000" w:themeColor="text1"/>
          <w:sz w:val="20"/>
          <w:szCs w:val="20"/>
          <w:lang w:val="es-ES"/>
        </w:rPr>
        <w:t xml:space="preserve"> of </w:t>
      </w:r>
      <w:proofErr w:type="spellStart"/>
      <w:r w:rsidR="000114CD" w:rsidRPr="6AFFB094">
        <w:rPr>
          <w:rFonts w:cs="Calibri Light"/>
          <w:i/>
          <w:iCs/>
          <w:color w:val="000000" w:themeColor="text1"/>
          <w:sz w:val="20"/>
          <w:szCs w:val="20"/>
          <w:lang w:val="es-ES"/>
        </w:rPr>
        <w:t>the</w:t>
      </w:r>
      <w:proofErr w:type="spellEnd"/>
      <w:r w:rsidR="000114CD" w:rsidRPr="6AFFB094">
        <w:rPr>
          <w:rFonts w:cs="Calibri Light"/>
          <w:i/>
          <w:iCs/>
          <w:color w:val="000000" w:themeColor="text1"/>
          <w:sz w:val="20"/>
          <w:szCs w:val="20"/>
          <w:lang w:val="es-ES"/>
        </w:rPr>
        <w:t xml:space="preserve"> </w:t>
      </w:r>
      <w:proofErr w:type="spellStart"/>
      <w:r w:rsidR="000114CD" w:rsidRPr="6AFFB094">
        <w:rPr>
          <w:rFonts w:cs="Calibri Light"/>
          <w:i/>
          <w:iCs/>
          <w:color w:val="000000" w:themeColor="text1"/>
          <w:sz w:val="20"/>
          <w:szCs w:val="20"/>
          <w:lang w:val="es-ES"/>
        </w:rPr>
        <w:t>Privy</w:t>
      </w:r>
      <w:proofErr w:type="spellEnd"/>
      <w:r w:rsidR="000114CD" w:rsidRPr="6AFFB094">
        <w:rPr>
          <w:rFonts w:cs="Calibri Light"/>
          <w:i/>
          <w:iCs/>
          <w:color w:val="000000" w:themeColor="text1"/>
          <w:sz w:val="20"/>
          <w:szCs w:val="20"/>
          <w:lang w:val="es-ES"/>
        </w:rPr>
        <w:t xml:space="preserve"> Council</w:t>
      </w:r>
      <w:r w:rsidR="000114CD" w:rsidRPr="6AFFB094">
        <w:rPr>
          <w:rFonts w:cs="Calibri Light"/>
          <w:color w:val="000000" w:themeColor="text1"/>
          <w:sz w:val="20"/>
          <w:szCs w:val="20"/>
          <w:lang w:val="es-ES"/>
        </w:rPr>
        <w:t xml:space="preserve"> admitió la impugnación a la constitucionalidad de la pena de muerte obligatoria por asesinato, por contravenir la prohibición constitucional de las penas inhumanas y degradantes por su falta de individualización</w:t>
      </w:r>
      <w:bookmarkEnd w:id="5"/>
      <w:r w:rsidR="000114CD" w:rsidRPr="6AFFB094">
        <w:rPr>
          <w:rFonts w:cs="Calibri Light"/>
          <w:color w:val="000000" w:themeColor="text1"/>
          <w:sz w:val="20"/>
          <w:szCs w:val="20"/>
          <w:lang w:val="es-ES"/>
        </w:rPr>
        <w:t>. En consecuencia, todas las personas que habían sido condenadas a muerte antes de la decisión en el mencionado caso obtuvieron una revisión de su sentencia, decisión que benefició a los peticionarios de este informe. El Estado afirmó que ha venido adoptando medidas progresivas para conmutar las penas de muerte por las de cadena perpetua.</w:t>
      </w:r>
    </w:p>
    <w:p w14:paraId="003326C5" w14:textId="77777777" w:rsidR="000114CD" w:rsidRPr="00DB5D64" w:rsidRDefault="000114CD" w:rsidP="6AFFB094">
      <w:pPr>
        <w:pStyle w:val="Default"/>
        <w:ind w:left="720"/>
        <w:jc w:val="both"/>
        <w:rPr>
          <w:rFonts w:cs="Calibri Light"/>
          <w:color w:val="000000" w:themeColor="text1"/>
          <w:sz w:val="20"/>
          <w:szCs w:val="20"/>
          <w:lang w:val="es-ES"/>
        </w:rPr>
      </w:pPr>
    </w:p>
    <w:p w14:paraId="4562FFD9" w14:textId="77777777" w:rsidR="000114CD" w:rsidRPr="00DB5D64" w:rsidRDefault="000114CD" w:rsidP="6AFFB094">
      <w:pPr>
        <w:pStyle w:val="Default"/>
        <w:numPr>
          <w:ilvl w:val="0"/>
          <w:numId w:val="12"/>
        </w:numPr>
        <w:ind w:left="0" w:firstLine="720"/>
        <w:jc w:val="both"/>
        <w:rPr>
          <w:rFonts w:cs="Calibri Light"/>
          <w:color w:val="000000" w:themeColor="text1"/>
          <w:sz w:val="20"/>
          <w:szCs w:val="20"/>
          <w:lang w:val="es-ES"/>
        </w:rPr>
      </w:pPr>
      <w:r w:rsidRPr="6AFFB094">
        <w:rPr>
          <w:rFonts w:cs="Calibri Light"/>
          <w:color w:val="000000" w:themeColor="text1"/>
          <w:sz w:val="20"/>
          <w:szCs w:val="20"/>
          <w:lang w:val="es-ES"/>
        </w:rPr>
        <w:t xml:space="preserve">Al respecto, en 2021, el Estado precisó que, a raíz de la decisión en el caso </w:t>
      </w:r>
      <w:proofErr w:type="spellStart"/>
      <w:r w:rsidRPr="6AFFB094">
        <w:rPr>
          <w:rFonts w:cs="Calibri Light"/>
          <w:i/>
          <w:iCs/>
          <w:color w:val="000000" w:themeColor="text1"/>
          <w:sz w:val="20"/>
          <w:szCs w:val="20"/>
          <w:lang w:val="es-ES"/>
        </w:rPr>
        <w:t>Bowe</w:t>
      </w:r>
      <w:proofErr w:type="spellEnd"/>
      <w:r w:rsidRPr="6AFFB094">
        <w:rPr>
          <w:rFonts w:cs="Calibri Light"/>
          <w:i/>
          <w:iCs/>
          <w:color w:val="000000" w:themeColor="text1"/>
          <w:sz w:val="20"/>
          <w:szCs w:val="20"/>
          <w:lang w:val="es-ES"/>
        </w:rPr>
        <w:t xml:space="preserve">, </w:t>
      </w:r>
      <w:r w:rsidRPr="6AFFB094">
        <w:rPr>
          <w:rFonts w:cs="Calibri Light"/>
          <w:color w:val="000000" w:themeColor="text1"/>
          <w:sz w:val="20"/>
          <w:szCs w:val="20"/>
          <w:lang w:val="es-ES"/>
        </w:rPr>
        <w:t xml:space="preserve">se adoptaron medidas legislativas como: 1) Derogar y sustituir la pena de muerte obligatoria en el Código Penal (Ley de Enmienda) en 2011 y crear directrices para reevaluar las sentencias en las condenas por homicidio; 2) Por la decisión del caso </w:t>
      </w:r>
      <w:proofErr w:type="spellStart"/>
      <w:r w:rsidRPr="6AFFB094">
        <w:rPr>
          <w:rFonts w:cs="Calibri Light"/>
          <w:i/>
          <w:iCs/>
          <w:color w:val="000000" w:themeColor="text1"/>
          <w:sz w:val="20"/>
          <w:szCs w:val="20"/>
          <w:lang w:val="es-ES"/>
        </w:rPr>
        <w:t>Tido</w:t>
      </w:r>
      <w:proofErr w:type="spellEnd"/>
      <w:r w:rsidRPr="6AFFB094">
        <w:rPr>
          <w:rFonts w:cs="Calibri Light"/>
          <w:i/>
          <w:iCs/>
          <w:color w:val="000000" w:themeColor="text1"/>
          <w:sz w:val="20"/>
          <w:szCs w:val="20"/>
          <w:lang w:val="es-ES"/>
        </w:rPr>
        <w:t xml:space="preserve"> v </w:t>
      </w:r>
      <w:proofErr w:type="spellStart"/>
      <w:r w:rsidRPr="6AFFB094">
        <w:rPr>
          <w:rFonts w:cs="Calibri Light"/>
          <w:i/>
          <w:iCs/>
          <w:color w:val="000000" w:themeColor="text1"/>
          <w:sz w:val="20"/>
          <w:szCs w:val="20"/>
          <w:lang w:val="es-ES"/>
        </w:rPr>
        <w:t>The</w:t>
      </w:r>
      <w:proofErr w:type="spellEnd"/>
      <w:r w:rsidRPr="6AFFB094">
        <w:rPr>
          <w:rFonts w:cs="Calibri Light"/>
          <w:i/>
          <w:iCs/>
          <w:color w:val="000000" w:themeColor="text1"/>
          <w:sz w:val="20"/>
          <w:szCs w:val="20"/>
          <w:lang w:val="es-ES"/>
        </w:rPr>
        <w:t xml:space="preserve"> Queen [2011]</w:t>
      </w:r>
      <w:r w:rsidRPr="6AFFB094">
        <w:rPr>
          <w:rFonts w:cs="Calibri Light"/>
          <w:color w:val="000000" w:themeColor="text1"/>
          <w:sz w:val="20"/>
          <w:szCs w:val="20"/>
          <w:lang w:val="es-ES"/>
        </w:rPr>
        <w:t xml:space="preserve">, el </w:t>
      </w:r>
      <w:proofErr w:type="spellStart"/>
      <w:r w:rsidRPr="6AFFB094">
        <w:rPr>
          <w:rFonts w:cs="Calibri Light"/>
          <w:i/>
          <w:iCs/>
          <w:color w:val="000000" w:themeColor="text1"/>
          <w:sz w:val="20"/>
          <w:szCs w:val="20"/>
          <w:lang w:val="es-ES"/>
        </w:rPr>
        <w:t>Privy</w:t>
      </w:r>
      <w:proofErr w:type="spellEnd"/>
      <w:r w:rsidRPr="6AFFB094">
        <w:rPr>
          <w:rFonts w:cs="Calibri Light"/>
          <w:i/>
          <w:iCs/>
          <w:color w:val="000000" w:themeColor="text1"/>
          <w:sz w:val="20"/>
          <w:szCs w:val="20"/>
          <w:lang w:val="es-ES"/>
        </w:rPr>
        <w:t xml:space="preserve"> Council</w:t>
      </w:r>
      <w:r w:rsidRPr="6AFFB094">
        <w:rPr>
          <w:rFonts w:cs="Calibri Light"/>
          <w:color w:val="000000" w:themeColor="text1"/>
          <w:sz w:val="20"/>
          <w:szCs w:val="20"/>
          <w:lang w:val="es-ES"/>
        </w:rPr>
        <w:t xml:space="preserve"> estableció los criterios y estándares judiciales para la imposición de la pena de muerte sólo en los casos en los que los hechos del delito son los más extremos y excepcionales, a partir de la aplicación del test denominado “</w:t>
      </w:r>
      <w:proofErr w:type="spellStart"/>
      <w:r w:rsidRPr="6AFFB094">
        <w:rPr>
          <w:rFonts w:cs="Calibri Light"/>
          <w:i/>
          <w:iCs/>
          <w:color w:val="000000" w:themeColor="text1"/>
          <w:sz w:val="20"/>
          <w:szCs w:val="20"/>
          <w:lang w:val="es-ES"/>
        </w:rPr>
        <w:t>worst</w:t>
      </w:r>
      <w:proofErr w:type="spellEnd"/>
      <w:r w:rsidRPr="6AFFB094">
        <w:rPr>
          <w:rFonts w:cs="Calibri Light"/>
          <w:i/>
          <w:iCs/>
          <w:color w:val="000000" w:themeColor="text1"/>
          <w:sz w:val="20"/>
          <w:szCs w:val="20"/>
          <w:lang w:val="es-ES"/>
        </w:rPr>
        <w:t xml:space="preserve"> of </w:t>
      </w:r>
      <w:proofErr w:type="spellStart"/>
      <w:r w:rsidRPr="6AFFB094">
        <w:rPr>
          <w:rFonts w:cs="Calibri Light"/>
          <w:i/>
          <w:iCs/>
          <w:color w:val="000000" w:themeColor="text1"/>
          <w:sz w:val="20"/>
          <w:szCs w:val="20"/>
          <w:lang w:val="es-ES"/>
        </w:rPr>
        <w:t>the</w:t>
      </w:r>
      <w:proofErr w:type="spellEnd"/>
      <w:r w:rsidRPr="6AFFB094">
        <w:rPr>
          <w:rFonts w:cs="Calibri Light"/>
          <w:i/>
          <w:iCs/>
          <w:color w:val="000000" w:themeColor="text1"/>
          <w:sz w:val="20"/>
          <w:szCs w:val="20"/>
          <w:lang w:val="es-ES"/>
        </w:rPr>
        <w:t xml:space="preserve"> </w:t>
      </w:r>
      <w:proofErr w:type="spellStart"/>
      <w:r w:rsidRPr="6AFFB094">
        <w:rPr>
          <w:rFonts w:cs="Calibri Light"/>
          <w:i/>
          <w:iCs/>
          <w:color w:val="000000" w:themeColor="text1"/>
          <w:sz w:val="20"/>
          <w:szCs w:val="20"/>
          <w:lang w:val="es-ES"/>
        </w:rPr>
        <w:t>worst</w:t>
      </w:r>
      <w:proofErr w:type="spellEnd"/>
      <w:r w:rsidRPr="6AFFB094">
        <w:rPr>
          <w:rFonts w:cs="Calibri Light"/>
          <w:color w:val="000000" w:themeColor="text1"/>
          <w:sz w:val="20"/>
          <w:szCs w:val="20"/>
          <w:lang w:val="es-ES"/>
        </w:rPr>
        <w:t xml:space="preserve">” </w:t>
      </w:r>
      <w:proofErr w:type="spellStart"/>
      <w:r w:rsidRPr="6AFFB094">
        <w:rPr>
          <w:rFonts w:cs="Calibri Light"/>
          <w:color w:val="000000" w:themeColor="text1"/>
          <w:sz w:val="20"/>
          <w:szCs w:val="20"/>
          <w:lang w:val="es-ES"/>
        </w:rPr>
        <w:t>or</w:t>
      </w:r>
      <w:proofErr w:type="spellEnd"/>
      <w:r w:rsidRPr="6AFFB094">
        <w:rPr>
          <w:rFonts w:cs="Calibri Light"/>
          <w:color w:val="000000" w:themeColor="text1"/>
          <w:sz w:val="20"/>
          <w:szCs w:val="20"/>
          <w:lang w:val="es-ES"/>
        </w:rPr>
        <w:t xml:space="preserve"> “</w:t>
      </w:r>
      <w:proofErr w:type="spellStart"/>
      <w:r w:rsidRPr="6AFFB094">
        <w:rPr>
          <w:rFonts w:cs="Calibri Light"/>
          <w:i/>
          <w:iCs/>
          <w:color w:val="000000" w:themeColor="text1"/>
          <w:sz w:val="20"/>
          <w:szCs w:val="20"/>
          <w:lang w:val="es-ES"/>
        </w:rPr>
        <w:t>the</w:t>
      </w:r>
      <w:proofErr w:type="spellEnd"/>
      <w:r w:rsidRPr="6AFFB094">
        <w:rPr>
          <w:rFonts w:cs="Calibri Light"/>
          <w:i/>
          <w:iCs/>
          <w:color w:val="000000" w:themeColor="text1"/>
          <w:sz w:val="20"/>
          <w:szCs w:val="20"/>
          <w:lang w:val="es-ES"/>
        </w:rPr>
        <w:t xml:space="preserve"> </w:t>
      </w:r>
      <w:proofErr w:type="spellStart"/>
      <w:r w:rsidRPr="6AFFB094">
        <w:rPr>
          <w:rFonts w:cs="Calibri Light"/>
          <w:i/>
          <w:iCs/>
          <w:color w:val="000000" w:themeColor="text1"/>
          <w:sz w:val="20"/>
          <w:szCs w:val="20"/>
          <w:lang w:val="es-ES"/>
        </w:rPr>
        <w:t>rarest</w:t>
      </w:r>
      <w:proofErr w:type="spellEnd"/>
      <w:r w:rsidRPr="6AFFB094">
        <w:rPr>
          <w:rFonts w:cs="Calibri Light"/>
          <w:i/>
          <w:iCs/>
          <w:color w:val="000000" w:themeColor="text1"/>
          <w:sz w:val="20"/>
          <w:szCs w:val="20"/>
          <w:lang w:val="es-ES"/>
        </w:rPr>
        <w:t xml:space="preserve"> of rare</w:t>
      </w:r>
      <w:r w:rsidRPr="6AFFB094">
        <w:rPr>
          <w:rFonts w:cs="Calibri Light"/>
          <w:color w:val="000000" w:themeColor="text1"/>
          <w:sz w:val="20"/>
          <w:szCs w:val="20"/>
          <w:lang w:val="es-ES"/>
        </w:rPr>
        <w:t>”.</w:t>
      </w:r>
      <w:bookmarkEnd w:id="3"/>
    </w:p>
    <w:p w14:paraId="01FE0F17" w14:textId="77777777" w:rsidR="000114CD" w:rsidRPr="008F5592" w:rsidRDefault="000114CD" w:rsidP="6AFFB094">
      <w:pPr>
        <w:pStyle w:val="Default"/>
        <w:jc w:val="both"/>
        <w:rPr>
          <w:rFonts w:cs="Calibri Light"/>
          <w:color w:val="000000" w:themeColor="text1"/>
          <w:sz w:val="20"/>
          <w:szCs w:val="20"/>
          <w:lang w:val="es-ES"/>
        </w:rPr>
      </w:pPr>
    </w:p>
    <w:p w14:paraId="0A958C66" w14:textId="518B74CA" w:rsidR="000114CD" w:rsidRPr="00476B6E" w:rsidRDefault="000114CD" w:rsidP="6AFFB094">
      <w:pPr>
        <w:pStyle w:val="Default"/>
        <w:numPr>
          <w:ilvl w:val="0"/>
          <w:numId w:val="12"/>
        </w:numPr>
        <w:ind w:left="0" w:firstLine="720"/>
        <w:jc w:val="both"/>
        <w:rPr>
          <w:rFonts w:cs="Calibri Light"/>
          <w:color w:val="000000" w:themeColor="text1"/>
          <w:sz w:val="20"/>
          <w:szCs w:val="20"/>
          <w:lang w:val="es-ES"/>
        </w:rPr>
      </w:pPr>
      <w:r w:rsidRPr="6AFFB094">
        <w:rPr>
          <w:color w:val="000000" w:themeColor="text1"/>
          <w:sz w:val="20"/>
          <w:szCs w:val="20"/>
          <w:lang w:val="es-CO"/>
        </w:rPr>
        <w:t>La Comisión toma nota de la información proporcionada por el Estado y valora positivamente que haya adoptado las medidas para garantizar que la pena de muerte no sea impuesta en virtud de una ley de sentencia obligatoria y acoge con satisfacción la información presentada con respecto a la revisión progresiva de las sentencias de penas de muerte, lo que ha llevado a la conmutación de la pena en muchos casos. A falta de información proporcionada por la parte peticionaria desde el año 20</w:t>
      </w:r>
      <w:r w:rsidR="005C545B" w:rsidRPr="6AFFB094">
        <w:rPr>
          <w:color w:val="000000" w:themeColor="text1"/>
          <w:sz w:val="20"/>
          <w:szCs w:val="20"/>
          <w:lang w:val="es-CO"/>
        </w:rPr>
        <w:t>14</w:t>
      </w:r>
      <w:r w:rsidRPr="6AFFB094">
        <w:rPr>
          <w:rFonts w:cs="Calibri Light"/>
          <w:color w:val="000000" w:themeColor="text1"/>
          <w:sz w:val="20"/>
          <w:szCs w:val="20"/>
          <w:lang w:val="es-ES"/>
        </w:rPr>
        <w:t>,</w:t>
      </w:r>
      <w:r w:rsidRPr="6AFFB094">
        <w:rPr>
          <w:color w:val="000000" w:themeColor="text1"/>
          <w:sz w:val="20"/>
          <w:szCs w:val="20"/>
          <w:lang w:val="es-CO"/>
        </w:rPr>
        <w:t xml:space="preserve"> la Comisión observa que el Estado ha aportado información relevante para actualizar el estado de cumplimiento de esta recomendación y considera que el nivel de dicha recomendación es total</w:t>
      </w:r>
      <w:r w:rsidRPr="6AFFB094">
        <w:rPr>
          <w:color w:val="000000" w:themeColor="text1"/>
          <w:sz w:val="20"/>
          <w:szCs w:val="20"/>
          <w:lang w:val="es-ES"/>
        </w:rPr>
        <w:t xml:space="preserve">.  </w:t>
      </w:r>
    </w:p>
    <w:p w14:paraId="41E21253" w14:textId="2637CA86" w:rsidR="00CD3A1F" w:rsidRPr="00CD3A1F" w:rsidRDefault="00CD3A1F" w:rsidP="6AFFB094">
      <w:pPr>
        <w:pStyle w:val="ListParagraph"/>
        <w:shd w:val="clear" w:color="auto" w:fill="FFFFFF" w:themeFill="background1"/>
        <w:spacing w:after="0" w:line="240" w:lineRule="auto"/>
        <w:jc w:val="both"/>
        <w:rPr>
          <w:rFonts w:cs="Calibri Light"/>
          <w:color w:val="000000" w:themeColor="text1"/>
          <w:sz w:val="20"/>
          <w:szCs w:val="20"/>
          <w:lang w:val="es-ES"/>
        </w:rPr>
      </w:pPr>
    </w:p>
    <w:p w14:paraId="0A4B99D5" w14:textId="77777777" w:rsidR="009A6929" w:rsidRPr="00E2280A" w:rsidRDefault="00CD3A1F" w:rsidP="6AFFB094">
      <w:pPr>
        <w:pStyle w:val="Default"/>
        <w:numPr>
          <w:ilvl w:val="0"/>
          <w:numId w:val="12"/>
        </w:numPr>
        <w:ind w:left="0" w:firstLine="720"/>
        <w:jc w:val="both"/>
        <w:rPr>
          <w:rFonts w:cs="Calibri Light"/>
          <w:color w:val="000000" w:themeColor="text1"/>
          <w:sz w:val="20"/>
          <w:szCs w:val="20"/>
          <w:lang w:val="es-ES"/>
        </w:rPr>
      </w:pPr>
      <w:r w:rsidRPr="6AFFB094">
        <w:rPr>
          <w:rFonts w:cs="Calibri Light"/>
          <w:b/>
          <w:bCs/>
          <w:color w:val="000000" w:themeColor="text1"/>
          <w:sz w:val="20"/>
          <w:szCs w:val="20"/>
          <w:lang w:val="es-ES"/>
        </w:rPr>
        <w:t xml:space="preserve">En relación con la sexta recomendación, </w:t>
      </w:r>
      <w:r w:rsidR="009A6929" w:rsidRPr="6AFFB094">
        <w:rPr>
          <w:rFonts w:cs="Calibri Light"/>
          <w:color w:val="000000" w:themeColor="text1"/>
          <w:sz w:val="20"/>
          <w:szCs w:val="20"/>
          <w:lang w:val="es-ES"/>
        </w:rPr>
        <w:t xml:space="preserve">en 2021, el Estado indicó que las medidas legislativas recomendadas ya están previstas en la Constitución de Bahamas, concretamente en su artículo 90, según el cual el Gobernador General se encuentra facultado para: a) conceder el indulto a cualquier persona condenada por cualquier delito contra la ley de las Bahamas; b) conceder a cualquier persona una prórroga en la ejecución de la pena, ya sea de forma indefinida o por un tiempo determinado; c) sustituir la pena impuesta por otra menos severa; d) perdonar la totalidad o una parte de cualquier condena. Además, precisó que los artículos 91 y 92 siguientes prevén un Comité Consultivo para asesorar al </w:t>
      </w:r>
      <w:proofErr w:type="gramStart"/>
      <w:r w:rsidR="009A6929" w:rsidRPr="6AFFB094">
        <w:rPr>
          <w:rFonts w:cs="Calibri Light"/>
          <w:color w:val="000000" w:themeColor="text1"/>
          <w:sz w:val="20"/>
          <w:szCs w:val="20"/>
          <w:lang w:val="es-ES"/>
        </w:rPr>
        <w:t>Ministro</w:t>
      </w:r>
      <w:proofErr w:type="gramEnd"/>
      <w:r w:rsidR="009A6929" w:rsidRPr="6AFFB094">
        <w:rPr>
          <w:rFonts w:cs="Calibri Light"/>
          <w:color w:val="000000" w:themeColor="text1"/>
          <w:sz w:val="20"/>
          <w:szCs w:val="20"/>
          <w:lang w:val="es-ES"/>
        </w:rPr>
        <w:t xml:space="preserve"> en el ejercicio de las facultades descritas en el artículo 90. </w:t>
      </w:r>
    </w:p>
    <w:p w14:paraId="115925C5" w14:textId="77777777" w:rsidR="009A6929" w:rsidRPr="00EB11AD" w:rsidRDefault="009A6929" w:rsidP="6AFFB094">
      <w:pPr>
        <w:pStyle w:val="Default"/>
        <w:jc w:val="both"/>
        <w:rPr>
          <w:rFonts w:cs="Calibri Light"/>
          <w:color w:val="000000" w:themeColor="text1"/>
          <w:sz w:val="20"/>
          <w:szCs w:val="20"/>
          <w:lang w:val="es-ES"/>
        </w:rPr>
      </w:pPr>
    </w:p>
    <w:p w14:paraId="2D022C33" w14:textId="029488EF" w:rsidR="009A6929" w:rsidRPr="009A6929" w:rsidRDefault="009A6929" w:rsidP="6AFFB094">
      <w:pPr>
        <w:pStyle w:val="Default"/>
        <w:numPr>
          <w:ilvl w:val="0"/>
          <w:numId w:val="12"/>
        </w:numPr>
        <w:ind w:left="0" w:firstLine="720"/>
        <w:jc w:val="both"/>
        <w:rPr>
          <w:rFonts w:cs="Calibri Light"/>
          <w:color w:val="000000" w:themeColor="text1"/>
          <w:sz w:val="20"/>
          <w:szCs w:val="20"/>
          <w:lang w:val="es-ES"/>
        </w:rPr>
      </w:pPr>
      <w:r w:rsidRPr="6AFFB094">
        <w:rPr>
          <w:rFonts w:cs="Calibri Light"/>
          <w:color w:val="000000" w:themeColor="text1"/>
          <w:sz w:val="20"/>
          <w:szCs w:val="20"/>
          <w:lang w:val="es-ES"/>
        </w:rPr>
        <w:t xml:space="preserve">La Comisión toma nota de la información proporcionada por el Estado. Sin embargo, observa que esta información había sido remitida con anterioridad a la publicación del Informe de Fondo de este caso, por lo que solicita al Estado proporcionar información que dé cuenta de medidas adoptadas con posterioridad a esta publicación para avanzar en el cumplimiento de la recomendación.  Para este efecto, la Comisión invita al Estado a tomar en consideración el Informe de Fondo del presente caso y, particularmente, las consideraciones emitidas en sus párrafos 76 a 82 que analizan por qué la información proporcionada por el Estado no implica la implementación de esta recomendación. Al respecto, la Comisión reitera que el cumplimiento de esta recomendación podrá avanzar en la medida en que se le proporcione información sobre cómo se garantiza en Bahamas que las personas condenadas tengan una oportunidad efectiva y adecuada para presentar peticiones ante autoridades competentes sobre amnistía, indulto o conmutación de la pena y para participar de estos procesos, ser informados de la oportunidad en que la autoridad competente considerará el caso, presentar sus argumentos y obtener una decisión sobre estas solicitudes en un plazo razonable antes de su ejecución. </w:t>
      </w:r>
      <w:r w:rsidRPr="6AFFB094">
        <w:rPr>
          <w:color w:val="000000" w:themeColor="text1"/>
          <w:sz w:val="20"/>
          <w:szCs w:val="20"/>
          <w:lang w:val="es-CO"/>
        </w:rPr>
        <w:t>En vista de que todavía no cuenta con esta información, la Comisión observa que esta recomendación continúa pendiente de cumplimiento</w:t>
      </w:r>
      <w:r w:rsidR="00CD3A1F" w:rsidRPr="6AFFB094">
        <w:rPr>
          <w:color w:val="000000" w:themeColor="text1"/>
          <w:sz w:val="20"/>
          <w:szCs w:val="20"/>
          <w:lang w:val="es-ES"/>
        </w:rPr>
        <w:t xml:space="preserve">.  </w:t>
      </w:r>
    </w:p>
    <w:p w14:paraId="15F5F98D" w14:textId="77777777" w:rsidR="00D10667" w:rsidRPr="00D10667" w:rsidRDefault="00D10667" w:rsidP="6AFFB094">
      <w:pPr>
        <w:pStyle w:val="Default"/>
        <w:jc w:val="both"/>
        <w:rPr>
          <w:rFonts w:cs="Calibri Light"/>
          <w:color w:val="000000" w:themeColor="text1"/>
          <w:sz w:val="20"/>
          <w:szCs w:val="20"/>
          <w:lang w:val="es-ES"/>
        </w:rPr>
      </w:pPr>
    </w:p>
    <w:p w14:paraId="20DE6D66" w14:textId="3CDDE61C" w:rsidR="00D10667" w:rsidRDefault="00D10667" w:rsidP="6AFFB094">
      <w:pPr>
        <w:pStyle w:val="Default"/>
        <w:numPr>
          <w:ilvl w:val="0"/>
          <w:numId w:val="12"/>
        </w:numPr>
        <w:ind w:left="0" w:firstLine="720"/>
        <w:jc w:val="both"/>
        <w:rPr>
          <w:rFonts w:cs="Calibri Light"/>
          <w:color w:val="000000" w:themeColor="text1"/>
          <w:sz w:val="20"/>
          <w:szCs w:val="20"/>
          <w:lang w:val="es-ES"/>
        </w:rPr>
      </w:pPr>
      <w:r w:rsidRPr="6AFFB094">
        <w:rPr>
          <w:rFonts w:cs="Calibri Light"/>
          <w:b/>
          <w:bCs/>
          <w:color w:val="000000" w:themeColor="text1"/>
          <w:sz w:val="20"/>
          <w:szCs w:val="20"/>
          <w:lang w:val="es-ES"/>
        </w:rPr>
        <w:t>En relación con la</w:t>
      </w:r>
      <w:r w:rsidR="001B3DE1" w:rsidRPr="6AFFB094">
        <w:rPr>
          <w:rFonts w:cs="Calibri Light"/>
          <w:b/>
          <w:bCs/>
          <w:color w:val="000000" w:themeColor="text1"/>
          <w:sz w:val="20"/>
          <w:szCs w:val="20"/>
          <w:lang w:val="es-ES"/>
        </w:rPr>
        <w:t>s recomendaciones</w:t>
      </w:r>
      <w:r w:rsidRPr="6AFFB094">
        <w:rPr>
          <w:rFonts w:cs="Calibri Light"/>
          <w:b/>
          <w:bCs/>
          <w:color w:val="000000" w:themeColor="text1"/>
          <w:sz w:val="20"/>
          <w:szCs w:val="20"/>
          <w:lang w:val="es-ES"/>
        </w:rPr>
        <w:t xml:space="preserve"> séptima</w:t>
      </w:r>
      <w:r w:rsidR="001B3DE1" w:rsidRPr="6AFFB094">
        <w:rPr>
          <w:rFonts w:cs="Calibri Light"/>
          <w:b/>
          <w:bCs/>
          <w:color w:val="000000" w:themeColor="text1"/>
          <w:sz w:val="20"/>
          <w:szCs w:val="20"/>
          <w:lang w:val="es-ES"/>
        </w:rPr>
        <w:t xml:space="preserve"> y octava</w:t>
      </w:r>
      <w:r w:rsidRPr="6AFFB094">
        <w:rPr>
          <w:rFonts w:cs="Calibri Light"/>
          <w:b/>
          <w:bCs/>
          <w:color w:val="000000" w:themeColor="text1"/>
          <w:sz w:val="20"/>
          <w:szCs w:val="20"/>
          <w:lang w:val="es-ES"/>
        </w:rPr>
        <w:t xml:space="preserve">, </w:t>
      </w:r>
      <w:bookmarkStart w:id="6" w:name="_Hlk90387079"/>
      <w:r w:rsidRPr="6AFFB094">
        <w:rPr>
          <w:rFonts w:cs="Calibri Light"/>
          <w:color w:val="000000" w:themeColor="text1"/>
          <w:sz w:val="20"/>
          <w:szCs w:val="20"/>
          <w:lang w:val="es-ES"/>
        </w:rPr>
        <w:t>en 2021, el Estado expuso que las disposiciones constitucionales existentes no sólo garantizan el derecho a la protección de la ley, sino que hacen valer estos derechos por medio de reparaciones (</w:t>
      </w:r>
      <w:proofErr w:type="spellStart"/>
      <w:r w:rsidRPr="6AFFB094">
        <w:rPr>
          <w:rFonts w:cs="Calibri Light"/>
          <w:i/>
          <w:iCs/>
          <w:color w:val="000000" w:themeColor="text1"/>
          <w:sz w:val="20"/>
          <w:szCs w:val="20"/>
          <w:lang w:val="es-ES"/>
        </w:rPr>
        <w:t>redress</w:t>
      </w:r>
      <w:proofErr w:type="spellEnd"/>
      <w:r w:rsidRPr="6AFFB094">
        <w:rPr>
          <w:rFonts w:cs="Calibri Light"/>
          <w:color w:val="000000" w:themeColor="text1"/>
          <w:sz w:val="20"/>
          <w:szCs w:val="20"/>
          <w:lang w:val="es-ES"/>
        </w:rPr>
        <w:t>).</w:t>
      </w:r>
      <w:r w:rsidRPr="6AFFB094">
        <w:rPr>
          <w:rFonts w:cs="Calibri Light"/>
          <w:b/>
          <w:bCs/>
          <w:color w:val="000000" w:themeColor="text1"/>
          <w:sz w:val="20"/>
          <w:szCs w:val="20"/>
          <w:lang w:val="es-ES"/>
        </w:rPr>
        <w:t xml:space="preserve"> </w:t>
      </w:r>
      <w:r w:rsidRPr="6AFFB094">
        <w:rPr>
          <w:rFonts w:cs="Calibri Light"/>
          <w:color w:val="000000" w:themeColor="text1"/>
          <w:sz w:val="20"/>
          <w:szCs w:val="20"/>
          <w:lang w:val="es-ES"/>
        </w:rPr>
        <w:t xml:space="preserve">Mencionó que el artículo 20 constitucional prevé la protección de la ley para cualquier persona acusada de un delito penal y garantiza el derecho a un juicio justo en un plazo razonable en una corte independiente e imparcial establecida por la ley. Por su parte, el artículo 28 </w:t>
      </w:r>
      <w:r w:rsidRPr="6AFFB094">
        <w:rPr>
          <w:rFonts w:cs="Calibri Light"/>
          <w:color w:val="000000" w:themeColor="text1"/>
          <w:sz w:val="20"/>
          <w:szCs w:val="20"/>
          <w:lang w:val="es-ES"/>
        </w:rPr>
        <w:lastRenderedPageBreak/>
        <w:t xml:space="preserve">establece que cualquier persona puede recurrir a la </w:t>
      </w:r>
      <w:r w:rsidRPr="6AFFB094">
        <w:rPr>
          <w:rFonts w:cs="Calibri Light"/>
          <w:i/>
          <w:iCs/>
          <w:color w:val="000000" w:themeColor="text1"/>
          <w:sz w:val="20"/>
          <w:szCs w:val="20"/>
          <w:lang w:val="es-ES"/>
        </w:rPr>
        <w:t xml:space="preserve">Supreme </w:t>
      </w:r>
      <w:proofErr w:type="spellStart"/>
      <w:r w:rsidRPr="6AFFB094">
        <w:rPr>
          <w:rFonts w:cs="Calibri Light"/>
          <w:i/>
          <w:iCs/>
          <w:color w:val="000000" w:themeColor="text1"/>
          <w:sz w:val="20"/>
          <w:szCs w:val="20"/>
          <w:lang w:val="es-ES"/>
        </w:rPr>
        <w:t>Court</w:t>
      </w:r>
      <w:proofErr w:type="spellEnd"/>
      <w:r w:rsidRPr="6AFFB094">
        <w:rPr>
          <w:rFonts w:cs="Calibri Light"/>
          <w:i/>
          <w:iCs/>
          <w:color w:val="000000" w:themeColor="text1"/>
          <w:sz w:val="20"/>
          <w:szCs w:val="20"/>
          <w:lang w:val="es-ES"/>
        </w:rPr>
        <w:t xml:space="preserve"> </w:t>
      </w:r>
      <w:r w:rsidRPr="6AFFB094">
        <w:rPr>
          <w:rFonts w:cs="Calibri Light"/>
          <w:color w:val="000000" w:themeColor="text1"/>
          <w:sz w:val="20"/>
          <w:szCs w:val="20"/>
          <w:lang w:val="es-ES"/>
        </w:rPr>
        <w:t xml:space="preserve">cuando su derecho fundamental haya sido, esté siendo o pueda ser vulnerado. </w:t>
      </w:r>
    </w:p>
    <w:p w14:paraId="1017A7D1" w14:textId="77777777" w:rsidR="00D10667" w:rsidRPr="00E2280A" w:rsidRDefault="00D10667" w:rsidP="6AFFB094">
      <w:pPr>
        <w:pStyle w:val="Default"/>
        <w:jc w:val="both"/>
        <w:rPr>
          <w:rFonts w:cs="Calibri Light"/>
          <w:color w:val="000000" w:themeColor="text1"/>
          <w:sz w:val="20"/>
          <w:szCs w:val="20"/>
          <w:lang w:val="es-ES"/>
        </w:rPr>
      </w:pPr>
    </w:p>
    <w:p w14:paraId="717C8727" w14:textId="1A9512CA" w:rsidR="008314EB" w:rsidRDefault="00D10667" w:rsidP="6AFFB094">
      <w:pPr>
        <w:pStyle w:val="Default"/>
        <w:numPr>
          <w:ilvl w:val="0"/>
          <w:numId w:val="12"/>
        </w:numPr>
        <w:ind w:left="0" w:firstLine="720"/>
        <w:jc w:val="both"/>
        <w:rPr>
          <w:rFonts w:cs="Calibri Light"/>
          <w:color w:val="000000" w:themeColor="text1"/>
          <w:sz w:val="20"/>
          <w:szCs w:val="20"/>
          <w:lang w:val="es-ES"/>
        </w:rPr>
      </w:pPr>
      <w:r w:rsidRPr="6AFFB094">
        <w:rPr>
          <w:rFonts w:cs="Calibri Light"/>
          <w:color w:val="000000" w:themeColor="text1"/>
          <w:sz w:val="20"/>
          <w:szCs w:val="20"/>
          <w:lang w:val="es-ES"/>
        </w:rPr>
        <w:t xml:space="preserve">Igualmente, en 2021, el Estado indicó que, en la actualidad, Bahamas no tiene requisitos técnicos estatutarios que regulen o restrinjan cómo se inician estas solicitudes y que el acceso a los tribunales para hacer valer los derechos fundamentales ha sido interpretado libremente por los tribunales (al respecto, citó la decisión del </w:t>
      </w:r>
      <w:proofErr w:type="spellStart"/>
      <w:r w:rsidRPr="6AFFB094">
        <w:rPr>
          <w:rFonts w:cs="Calibri Light"/>
          <w:i/>
          <w:iCs/>
          <w:color w:val="000000" w:themeColor="text1"/>
          <w:sz w:val="20"/>
          <w:szCs w:val="20"/>
          <w:lang w:val="es-ES"/>
        </w:rPr>
        <w:t>Privy</w:t>
      </w:r>
      <w:proofErr w:type="spellEnd"/>
      <w:r w:rsidRPr="6AFFB094">
        <w:rPr>
          <w:rFonts w:cs="Calibri Light"/>
          <w:i/>
          <w:iCs/>
          <w:color w:val="000000" w:themeColor="text1"/>
          <w:sz w:val="20"/>
          <w:szCs w:val="20"/>
          <w:lang w:val="es-ES"/>
        </w:rPr>
        <w:t xml:space="preserve"> Council</w:t>
      </w:r>
      <w:r w:rsidRPr="6AFFB094">
        <w:rPr>
          <w:rFonts w:cs="Calibri Light"/>
          <w:color w:val="000000" w:themeColor="text1"/>
          <w:sz w:val="20"/>
          <w:szCs w:val="20"/>
          <w:lang w:val="es-ES"/>
        </w:rPr>
        <w:t xml:space="preserve"> en el caso de Olive Casey </w:t>
      </w:r>
      <w:proofErr w:type="spellStart"/>
      <w:r w:rsidRPr="6AFFB094">
        <w:rPr>
          <w:rFonts w:cs="Calibri Light"/>
          <w:color w:val="000000" w:themeColor="text1"/>
          <w:sz w:val="20"/>
          <w:szCs w:val="20"/>
          <w:lang w:val="es-ES"/>
        </w:rPr>
        <w:t>Jaundoo</w:t>
      </w:r>
      <w:proofErr w:type="spellEnd"/>
      <w:r w:rsidRPr="6AFFB094">
        <w:rPr>
          <w:rFonts w:cs="Calibri Light"/>
          <w:color w:val="000000" w:themeColor="text1"/>
          <w:sz w:val="20"/>
          <w:szCs w:val="20"/>
          <w:lang w:val="es-ES"/>
        </w:rPr>
        <w:t xml:space="preserve"> y A.G de Guyana). En dicho caso, el tribunal sostuvo que, dado que ni el Parlamento ni la autoridad normativa del Tribunal Supremo habían ejercido su poder para establecer disposiciones con respecto a la práctica y el procedimiento, el método no estaba condicionado y el derecho era lo suficientemente amplio como para cubrir la aplicación de cualquier forma de procedimiento por el que se pudiera acudir al Alto Tribunal para invocar sus competencias.</w:t>
      </w:r>
    </w:p>
    <w:p w14:paraId="63FE8F85" w14:textId="77777777" w:rsidR="008314EB" w:rsidRPr="008314EB" w:rsidRDefault="008314EB" w:rsidP="6AFFB094">
      <w:pPr>
        <w:pStyle w:val="Default"/>
        <w:jc w:val="both"/>
        <w:rPr>
          <w:rFonts w:cs="Calibri Light"/>
          <w:color w:val="000000" w:themeColor="text1"/>
          <w:sz w:val="20"/>
          <w:szCs w:val="20"/>
          <w:lang w:val="es-ES"/>
        </w:rPr>
      </w:pPr>
    </w:p>
    <w:p w14:paraId="4C3EAACF" w14:textId="7D9B7C5A" w:rsidR="008314EB" w:rsidRDefault="00D10667" w:rsidP="6AFFB094">
      <w:pPr>
        <w:pStyle w:val="Default"/>
        <w:numPr>
          <w:ilvl w:val="0"/>
          <w:numId w:val="12"/>
        </w:numPr>
        <w:ind w:left="0" w:firstLine="720"/>
        <w:jc w:val="both"/>
        <w:rPr>
          <w:rFonts w:cs="Calibri Light"/>
          <w:color w:val="000000" w:themeColor="text1"/>
          <w:sz w:val="20"/>
          <w:szCs w:val="20"/>
          <w:lang w:val="es-ES"/>
        </w:rPr>
      </w:pPr>
      <w:r w:rsidRPr="6AFFB094">
        <w:rPr>
          <w:rFonts w:cs="Calibri Light"/>
          <w:color w:val="000000" w:themeColor="text1"/>
          <w:sz w:val="20"/>
          <w:szCs w:val="20"/>
          <w:lang w:val="es-ES"/>
        </w:rPr>
        <w:t xml:space="preserve">Por otro lado, también en 2021, el Estado aseguró que el artículo 20(d) de la Constitución establece que las personas acusadas de un delito pueden defenderse ante un tribunal por medio de un representante legal, ya sea con cargo al </w:t>
      </w:r>
      <w:proofErr w:type="gramStart"/>
      <w:r w:rsidRPr="6AFFB094">
        <w:rPr>
          <w:rFonts w:cs="Calibri Light"/>
          <w:color w:val="000000" w:themeColor="text1"/>
          <w:sz w:val="20"/>
          <w:szCs w:val="20"/>
          <w:lang w:val="es-ES"/>
        </w:rPr>
        <w:t>erario público</w:t>
      </w:r>
      <w:proofErr w:type="gramEnd"/>
      <w:r w:rsidRPr="6AFFB094">
        <w:rPr>
          <w:rFonts w:cs="Calibri Light"/>
          <w:color w:val="000000" w:themeColor="text1"/>
          <w:sz w:val="20"/>
          <w:szCs w:val="20"/>
          <w:lang w:val="es-ES"/>
        </w:rPr>
        <w:t xml:space="preserve"> o en virtud de una ley en vigor en las Bahamas</w:t>
      </w:r>
      <w:r w:rsidR="008314EB" w:rsidRPr="6AFFB094">
        <w:rPr>
          <w:rFonts w:cs="Calibri Light"/>
          <w:color w:val="000000" w:themeColor="text1"/>
          <w:sz w:val="20"/>
          <w:szCs w:val="20"/>
          <w:lang w:val="es-ES"/>
        </w:rPr>
        <w:t>. Al respecto, el Estado señaló que las enmiendas estatuarias amplían la clase de personas que pueden optar por la representación legal a expensas del Estado, tanto en el Tribunal Suprem</w:t>
      </w:r>
      <w:r w:rsidR="00AF1BBB" w:rsidRPr="6AFFB094">
        <w:rPr>
          <w:rFonts w:cs="Calibri Light"/>
          <w:color w:val="000000" w:themeColor="text1"/>
          <w:sz w:val="20"/>
          <w:szCs w:val="20"/>
          <w:lang w:val="es-ES"/>
        </w:rPr>
        <w:t>o</w:t>
      </w:r>
      <w:r w:rsidR="008314EB" w:rsidRPr="6AFFB094">
        <w:rPr>
          <w:rFonts w:cs="Calibri Light"/>
          <w:color w:val="000000" w:themeColor="text1"/>
          <w:sz w:val="20"/>
          <w:szCs w:val="20"/>
          <w:lang w:val="es-ES"/>
        </w:rPr>
        <w:t xml:space="preserve"> como en el Tribunal de Apelación. Indicó que el artículo</w:t>
      </w:r>
      <w:r w:rsidRPr="6AFFB094">
        <w:rPr>
          <w:rFonts w:cs="Calibri Light"/>
          <w:color w:val="000000" w:themeColor="text1"/>
          <w:sz w:val="20"/>
          <w:szCs w:val="20"/>
          <w:lang w:val="es-ES"/>
        </w:rPr>
        <w:t xml:space="preserve"> 194 del Código de Procedimiento Penal</w:t>
      </w:r>
      <w:r w:rsidR="008314EB" w:rsidRPr="6AFFB094">
        <w:rPr>
          <w:rFonts w:cs="Calibri Light"/>
          <w:color w:val="000000" w:themeColor="text1"/>
          <w:sz w:val="20"/>
          <w:szCs w:val="20"/>
          <w:lang w:val="es-ES"/>
        </w:rPr>
        <w:t xml:space="preserve"> faculta al Tribunal Supremo a que cuando un acusado no tenga dinero para contratar un abogado le sea asignado</w:t>
      </w:r>
      <w:r w:rsidR="00AF1BBB" w:rsidRPr="6AFFB094">
        <w:rPr>
          <w:rFonts w:cs="Calibri Light"/>
          <w:color w:val="000000" w:themeColor="text1"/>
          <w:sz w:val="20"/>
          <w:szCs w:val="20"/>
          <w:lang w:val="es-ES"/>
        </w:rPr>
        <w:t xml:space="preserve"> su defensa</w:t>
      </w:r>
      <w:r w:rsidR="008314EB" w:rsidRPr="6AFFB094">
        <w:rPr>
          <w:rFonts w:cs="Calibri Light"/>
          <w:color w:val="000000" w:themeColor="text1"/>
          <w:sz w:val="20"/>
          <w:szCs w:val="20"/>
          <w:lang w:val="es-ES"/>
        </w:rPr>
        <w:t>, a expensas de recursos públicos. Señaló que</w:t>
      </w:r>
      <w:r w:rsidRPr="6AFFB094">
        <w:rPr>
          <w:rFonts w:cs="Calibri Light"/>
          <w:color w:val="000000" w:themeColor="text1"/>
          <w:sz w:val="20"/>
          <w:szCs w:val="20"/>
          <w:lang w:val="es-ES"/>
        </w:rPr>
        <w:t xml:space="preserve"> el artículo 19 (2) de la Ley del Tribunal de Apelación</w:t>
      </w:r>
      <w:r w:rsidR="008314EB" w:rsidRPr="6AFFB094">
        <w:rPr>
          <w:rFonts w:cs="Calibri Light"/>
          <w:color w:val="000000" w:themeColor="text1"/>
          <w:sz w:val="20"/>
          <w:szCs w:val="20"/>
          <w:lang w:val="es-ES"/>
        </w:rPr>
        <w:t xml:space="preserve"> establece disposiciones similares</w:t>
      </w:r>
      <w:r w:rsidRPr="6AFFB094">
        <w:rPr>
          <w:rFonts w:cs="Calibri Light"/>
          <w:color w:val="000000" w:themeColor="text1"/>
          <w:sz w:val="20"/>
          <w:szCs w:val="20"/>
          <w:lang w:val="es-ES"/>
        </w:rPr>
        <w:t xml:space="preserve">. El Estado además refirió que existe un Consultorio de Asistencia Jurídica que proporciona asistencia para la defensa de personas que no se pueden permitir una representación legal, y en 2017, se estableció la Oficina de Defensores Públicos para mejorar la calidad de la representación de personas acusadas de delitos, oficina que proporciona un grupo de representantes legales financiados con fondos públicos. </w:t>
      </w:r>
      <w:bookmarkEnd w:id="4"/>
    </w:p>
    <w:p w14:paraId="7734C71E" w14:textId="77777777" w:rsidR="008314EB" w:rsidRDefault="008314EB" w:rsidP="6AFFB094">
      <w:pPr>
        <w:pStyle w:val="Default"/>
        <w:ind w:left="720"/>
        <w:jc w:val="both"/>
        <w:rPr>
          <w:rFonts w:cs="Calibri Light"/>
          <w:color w:val="000000" w:themeColor="text1"/>
          <w:sz w:val="20"/>
          <w:szCs w:val="20"/>
          <w:lang w:val="es-ES"/>
        </w:rPr>
      </w:pPr>
    </w:p>
    <w:p w14:paraId="4F2F2E7F" w14:textId="05A272D8" w:rsidR="007A5C66" w:rsidRPr="008314EB" w:rsidRDefault="007A5C66" w:rsidP="6AFFB094">
      <w:pPr>
        <w:pStyle w:val="Default"/>
        <w:numPr>
          <w:ilvl w:val="0"/>
          <w:numId w:val="12"/>
        </w:numPr>
        <w:ind w:left="0" w:firstLine="720"/>
        <w:jc w:val="both"/>
        <w:rPr>
          <w:rStyle w:val="eop"/>
          <w:rFonts w:cs="Calibri Light"/>
          <w:color w:val="000000" w:themeColor="text1"/>
          <w:sz w:val="20"/>
          <w:szCs w:val="20"/>
          <w:lang w:val="es-ES"/>
        </w:rPr>
      </w:pPr>
      <w:r w:rsidRPr="6AFFB094">
        <w:rPr>
          <w:rStyle w:val="normaltextrun"/>
          <w:color w:val="000000" w:themeColor="text1"/>
          <w:sz w:val="20"/>
          <w:szCs w:val="20"/>
          <w:shd w:val="clear" w:color="auto" w:fill="FFFFFF"/>
          <w:lang w:val="es-ES"/>
        </w:rPr>
        <w:t>La Comisión</w:t>
      </w:r>
      <w:r w:rsidRPr="6AFFB094">
        <w:rPr>
          <w:rStyle w:val="normaltextrun"/>
          <w:color w:val="000000" w:themeColor="text1"/>
          <w:sz w:val="20"/>
          <w:szCs w:val="20"/>
          <w:shd w:val="clear" w:color="auto" w:fill="FFFFFF"/>
          <w:lang w:val="es-CO"/>
        </w:rPr>
        <w:t xml:space="preserve"> nota que la Constitución </w:t>
      </w:r>
      <w:r w:rsidR="00AF1BBB" w:rsidRPr="6AFFB094">
        <w:rPr>
          <w:rStyle w:val="normaltextrun"/>
          <w:color w:val="000000" w:themeColor="text1"/>
          <w:sz w:val="20"/>
          <w:szCs w:val="20"/>
          <w:shd w:val="clear" w:color="auto" w:fill="FFFFFF"/>
          <w:lang w:val="es-CO"/>
        </w:rPr>
        <w:t xml:space="preserve">y la legislación </w:t>
      </w:r>
      <w:r w:rsidRPr="6AFFB094">
        <w:rPr>
          <w:rStyle w:val="normaltextrun"/>
          <w:color w:val="000000" w:themeColor="text1"/>
          <w:sz w:val="20"/>
          <w:szCs w:val="20"/>
          <w:shd w:val="clear" w:color="auto" w:fill="FFFFFF"/>
          <w:lang w:val="es-CO"/>
        </w:rPr>
        <w:t>de Bahamas </w:t>
      </w:r>
      <w:r w:rsidR="00203954" w:rsidRPr="6AFFB094">
        <w:rPr>
          <w:rStyle w:val="normaltextrun"/>
          <w:color w:val="000000" w:themeColor="text1"/>
          <w:sz w:val="20"/>
          <w:szCs w:val="20"/>
          <w:shd w:val="clear" w:color="auto" w:fill="FFFFFF"/>
          <w:lang w:val="es-CO"/>
        </w:rPr>
        <w:t>incluye</w:t>
      </w:r>
      <w:r w:rsidRPr="6AFFB094">
        <w:rPr>
          <w:rStyle w:val="normaltextrun"/>
          <w:color w:val="000000" w:themeColor="text1"/>
          <w:sz w:val="20"/>
          <w:szCs w:val="20"/>
          <w:shd w:val="clear" w:color="auto" w:fill="FFFFFF"/>
          <w:lang w:val="es-CO"/>
        </w:rPr>
        <w:t xml:space="preserve"> componentes de los derechos a una audiencia imparcial y a la protección judicial</w:t>
      </w:r>
      <w:r w:rsidR="00AF1BBB" w:rsidRPr="6AFFB094">
        <w:rPr>
          <w:rStyle w:val="normaltextrun"/>
          <w:color w:val="000000" w:themeColor="text1"/>
          <w:sz w:val="20"/>
          <w:szCs w:val="20"/>
          <w:shd w:val="clear" w:color="auto" w:fill="FFFFFF"/>
          <w:lang w:val="es-CO"/>
        </w:rPr>
        <w:t xml:space="preserve"> y </w:t>
      </w:r>
      <w:r w:rsidRPr="6AFFB094">
        <w:rPr>
          <w:rStyle w:val="normaltextrun"/>
          <w:color w:val="000000" w:themeColor="text1"/>
          <w:sz w:val="20"/>
          <w:szCs w:val="20"/>
          <w:shd w:val="clear" w:color="auto" w:fill="FFFFFF"/>
          <w:lang w:val="es-CO"/>
        </w:rPr>
        <w:t>valora positivamente la información remitida por el Estado en cuanto a la posibilidad de tener representación legal para que las personas acusadas de un delito se defiendan ante un tribunal. Al respecto, la CIDH considera que las medidas reportadas por el Estado están encaminadas a garantizar en Bahamas el derecho a una audiencia imparcial y el derecho a la protección judicial, en los términos del Informe de Fondo </w:t>
      </w:r>
      <w:proofErr w:type="spellStart"/>
      <w:r w:rsidRPr="6AFFB094">
        <w:rPr>
          <w:rStyle w:val="normaltextrun"/>
          <w:color w:val="000000" w:themeColor="text1"/>
          <w:sz w:val="20"/>
          <w:szCs w:val="20"/>
          <w:shd w:val="clear" w:color="auto" w:fill="FFFFFF"/>
          <w:lang w:val="es-CO"/>
        </w:rPr>
        <w:t>Nº</w:t>
      </w:r>
      <w:proofErr w:type="spellEnd"/>
      <w:r w:rsidRPr="6AFFB094">
        <w:rPr>
          <w:rStyle w:val="normaltextrun"/>
          <w:color w:val="000000" w:themeColor="text1"/>
          <w:sz w:val="20"/>
          <w:szCs w:val="20"/>
          <w:shd w:val="clear" w:color="auto" w:fill="FFFFFF"/>
          <w:lang w:val="es-CO"/>
        </w:rPr>
        <w:t> 12/14, bajo el entendido de que estas medidas</w:t>
      </w:r>
      <w:r w:rsidR="00203954" w:rsidRPr="6AFFB094">
        <w:rPr>
          <w:rStyle w:val="normaltextrun"/>
          <w:color w:val="000000" w:themeColor="text1"/>
          <w:sz w:val="20"/>
          <w:szCs w:val="20"/>
          <w:shd w:val="clear" w:color="auto" w:fill="FFFFFF"/>
          <w:lang w:val="es-CO"/>
        </w:rPr>
        <w:t xml:space="preserve"> se refieren al acceso </w:t>
      </w:r>
      <w:r w:rsidRPr="6AFFB094">
        <w:rPr>
          <w:rStyle w:val="normaltextrun"/>
          <w:color w:val="000000" w:themeColor="text1"/>
          <w:sz w:val="20"/>
          <w:szCs w:val="20"/>
          <w:shd w:val="clear" w:color="auto" w:fill="FFFFFF"/>
          <w:lang w:val="es-CO"/>
        </w:rPr>
        <w:t>a asistencia letrada ante tribunales. Con miras a dar por cumplida esta recomendación, la Comisión invita al Estado a proporcionar información específica que permita evaluar la implementación de </w:t>
      </w:r>
      <w:r w:rsidR="00AF1BBB" w:rsidRPr="6AFFB094">
        <w:rPr>
          <w:rStyle w:val="normaltextrun"/>
          <w:color w:val="000000" w:themeColor="text1"/>
          <w:sz w:val="20"/>
          <w:szCs w:val="20"/>
          <w:shd w:val="clear" w:color="auto" w:fill="FFFFFF"/>
          <w:lang w:val="es-CO"/>
        </w:rPr>
        <w:t>las</w:t>
      </w:r>
      <w:r w:rsidRPr="6AFFB094">
        <w:rPr>
          <w:rStyle w:val="normaltextrun"/>
          <w:color w:val="000000" w:themeColor="text1"/>
          <w:sz w:val="20"/>
          <w:szCs w:val="20"/>
          <w:shd w:val="clear" w:color="auto" w:fill="FFFFFF"/>
          <w:lang w:val="es-CO"/>
        </w:rPr>
        <w:t xml:space="preserve"> medidas constitucionales y legales</w:t>
      </w:r>
      <w:r w:rsidR="00AF1BBB" w:rsidRPr="6AFFB094">
        <w:rPr>
          <w:rStyle w:val="normaltextrun"/>
          <w:color w:val="000000" w:themeColor="text1"/>
          <w:sz w:val="20"/>
          <w:szCs w:val="20"/>
          <w:shd w:val="clear" w:color="auto" w:fill="FFFFFF"/>
          <w:lang w:val="es-CO"/>
        </w:rPr>
        <w:t xml:space="preserve"> reportadas</w:t>
      </w:r>
      <w:r w:rsidR="00A83C3F" w:rsidRPr="6AFFB094">
        <w:rPr>
          <w:rStyle w:val="normaltextrun"/>
          <w:color w:val="000000" w:themeColor="text1"/>
          <w:sz w:val="20"/>
          <w:szCs w:val="20"/>
          <w:shd w:val="clear" w:color="auto" w:fill="FFFFFF"/>
          <w:lang w:val="es-CO"/>
        </w:rPr>
        <w:t xml:space="preserve">. Específicamente, será útil proporcionar información que explique cómo en la práctica cualquier persona </w:t>
      </w:r>
      <w:r w:rsidR="00AF1BBB" w:rsidRPr="6AFFB094">
        <w:rPr>
          <w:rStyle w:val="normaltextrun"/>
          <w:color w:val="000000" w:themeColor="text1"/>
          <w:sz w:val="20"/>
          <w:szCs w:val="20"/>
          <w:shd w:val="clear" w:color="auto" w:fill="FFFFFF"/>
          <w:lang w:val="es-CO"/>
        </w:rPr>
        <w:t>acusada de cometer un delito puede acceder</w:t>
      </w:r>
      <w:r w:rsidR="00A83C3F" w:rsidRPr="6AFFB094">
        <w:rPr>
          <w:rStyle w:val="normaltextrun"/>
          <w:color w:val="000000" w:themeColor="text1"/>
          <w:sz w:val="20"/>
          <w:szCs w:val="20"/>
          <w:shd w:val="clear" w:color="auto" w:fill="FFFFFF"/>
          <w:lang w:val="es-CO"/>
        </w:rPr>
        <w:t xml:space="preserve"> a esta asistencia letrada</w:t>
      </w:r>
      <w:r w:rsidR="00AF1BBB" w:rsidRPr="6AFFB094">
        <w:rPr>
          <w:rStyle w:val="normaltextrun"/>
          <w:color w:val="000000" w:themeColor="text1"/>
          <w:sz w:val="20"/>
          <w:szCs w:val="20"/>
          <w:shd w:val="clear" w:color="auto" w:fill="FFFFFF"/>
          <w:lang w:val="es-CO"/>
        </w:rPr>
        <w:t>, así como</w:t>
      </w:r>
      <w:r w:rsidR="00A83C3F" w:rsidRPr="6AFFB094">
        <w:rPr>
          <w:rStyle w:val="normaltextrun"/>
          <w:color w:val="000000" w:themeColor="text1"/>
          <w:sz w:val="20"/>
          <w:szCs w:val="20"/>
          <w:shd w:val="clear" w:color="auto" w:fill="FFFFFF"/>
          <w:lang w:val="es-CO"/>
        </w:rPr>
        <w:t xml:space="preserve"> otra información que demuestre el efectivo </w:t>
      </w:r>
      <w:r w:rsidRPr="6AFFB094">
        <w:rPr>
          <w:rStyle w:val="normaltextrun"/>
          <w:color w:val="000000" w:themeColor="text1"/>
          <w:sz w:val="20"/>
          <w:szCs w:val="20"/>
          <w:shd w:val="clear" w:color="auto" w:fill="FFFFFF"/>
          <w:lang w:val="es-CO"/>
        </w:rPr>
        <w:t>funcionamiento del Consultorio de Asistencia Jurídica y de la Oficina de Defensores Públicos</w:t>
      </w:r>
      <w:r w:rsidR="00A83C3F" w:rsidRPr="6AFFB094">
        <w:rPr>
          <w:rStyle w:val="normaltextrun"/>
          <w:color w:val="000000" w:themeColor="text1"/>
          <w:sz w:val="20"/>
          <w:szCs w:val="20"/>
          <w:shd w:val="clear" w:color="auto" w:fill="FFFFFF"/>
          <w:lang w:val="es-CO"/>
        </w:rPr>
        <w:t xml:space="preserve"> para garantizar este derecho</w:t>
      </w:r>
      <w:r w:rsidRPr="6AFFB094">
        <w:rPr>
          <w:rStyle w:val="normaltextrun"/>
          <w:color w:val="000000" w:themeColor="text1"/>
          <w:sz w:val="20"/>
          <w:szCs w:val="20"/>
          <w:shd w:val="clear" w:color="auto" w:fill="FFFFFF"/>
          <w:lang w:val="es-CO"/>
        </w:rPr>
        <w:t>. Asimismo, invita a la parte peticionaria a manifestar su posición respecto a las medidas reportadas por el Estado para cumplir con esta</w:t>
      </w:r>
      <w:r w:rsidR="005350CA" w:rsidRPr="6AFFB094">
        <w:rPr>
          <w:rStyle w:val="normaltextrun"/>
          <w:color w:val="000000" w:themeColor="text1"/>
          <w:sz w:val="20"/>
          <w:szCs w:val="20"/>
          <w:shd w:val="clear" w:color="auto" w:fill="FFFFFF"/>
          <w:lang w:val="es-CO"/>
        </w:rPr>
        <w:t>s</w:t>
      </w:r>
      <w:r w:rsidRPr="6AFFB094">
        <w:rPr>
          <w:rStyle w:val="normaltextrun"/>
          <w:color w:val="000000" w:themeColor="text1"/>
          <w:sz w:val="20"/>
          <w:szCs w:val="20"/>
          <w:shd w:val="clear" w:color="auto" w:fill="FFFFFF"/>
          <w:lang w:val="es-CO"/>
        </w:rPr>
        <w:t xml:space="preserve"> recomendaci</w:t>
      </w:r>
      <w:r w:rsidR="005350CA" w:rsidRPr="6AFFB094">
        <w:rPr>
          <w:rStyle w:val="normaltextrun"/>
          <w:color w:val="000000" w:themeColor="text1"/>
          <w:sz w:val="20"/>
          <w:szCs w:val="20"/>
          <w:shd w:val="clear" w:color="auto" w:fill="FFFFFF"/>
          <w:lang w:val="es-CO"/>
        </w:rPr>
        <w:t>ones</w:t>
      </w:r>
      <w:r w:rsidRPr="6AFFB094">
        <w:rPr>
          <w:rStyle w:val="normaltextrun"/>
          <w:color w:val="000000" w:themeColor="text1"/>
          <w:sz w:val="20"/>
          <w:szCs w:val="20"/>
          <w:shd w:val="clear" w:color="auto" w:fill="FFFFFF"/>
          <w:lang w:val="es-CO"/>
        </w:rPr>
        <w:t xml:space="preserve">. En vista de lo anterior, la Comisión observa que el Estado ha aportado información relevante para actualizar el estado de cumplimiento de </w:t>
      </w:r>
      <w:r w:rsidR="005350CA" w:rsidRPr="6AFFB094">
        <w:rPr>
          <w:rStyle w:val="normaltextrun"/>
          <w:color w:val="000000" w:themeColor="text1"/>
          <w:sz w:val="20"/>
          <w:szCs w:val="20"/>
          <w:shd w:val="clear" w:color="auto" w:fill="FFFFFF"/>
          <w:lang w:val="es-CO"/>
        </w:rPr>
        <w:t>ambas recomendaciones</w:t>
      </w:r>
      <w:r w:rsidRPr="6AFFB094">
        <w:rPr>
          <w:rStyle w:val="normaltextrun"/>
          <w:color w:val="000000" w:themeColor="text1"/>
          <w:sz w:val="20"/>
          <w:szCs w:val="20"/>
          <w:shd w:val="clear" w:color="auto" w:fill="FFFFFF"/>
          <w:lang w:val="es-CO"/>
        </w:rPr>
        <w:t xml:space="preserve"> y considera que </w:t>
      </w:r>
      <w:r w:rsidR="005350CA" w:rsidRPr="6AFFB094">
        <w:rPr>
          <w:rStyle w:val="normaltextrun"/>
          <w:color w:val="000000" w:themeColor="text1"/>
          <w:sz w:val="20"/>
          <w:szCs w:val="20"/>
          <w:shd w:val="clear" w:color="auto" w:fill="FFFFFF"/>
          <w:lang w:val="es-CO"/>
        </w:rPr>
        <w:t>su</w:t>
      </w:r>
      <w:r w:rsidRPr="6AFFB094">
        <w:rPr>
          <w:rStyle w:val="normaltextrun"/>
          <w:color w:val="000000" w:themeColor="text1"/>
          <w:sz w:val="20"/>
          <w:szCs w:val="20"/>
          <w:shd w:val="clear" w:color="auto" w:fill="FFFFFF"/>
          <w:lang w:val="es-CO"/>
        </w:rPr>
        <w:t xml:space="preserve"> nivel </w:t>
      </w:r>
      <w:r w:rsidR="005350CA" w:rsidRPr="6AFFB094">
        <w:rPr>
          <w:rStyle w:val="normaltextrun"/>
          <w:color w:val="000000" w:themeColor="text1"/>
          <w:sz w:val="20"/>
          <w:szCs w:val="20"/>
          <w:shd w:val="clear" w:color="auto" w:fill="FFFFFF"/>
          <w:lang w:val="es-CO"/>
        </w:rPr>
        <w:t>de cumplimiento</w:t>
      </w:r>
      <w:r w:rsidRPr="6AFFB094">
        <w:rPr>
          <w:rStyle w:val="normaltextrun"/>
          <w:color w:val="000000" w:themeColor="text1"/>
          <w:sz w:val="20"/>
          <w:szCs w:val="20"/>
          <w:shd w:val="clear" w:color="auto" w:fill="FFFFFF"/>
          <w:lang w:val="es-CO"/>
        </w:rPr>
        <w:t xml:space="preserve"> es</w:t>
      </w:r>
      <w:r w:rsidR="00D45705" w:rsidRPr="6AFFB094">
        <w:rPr>
          <w:rStyle w:val="normaltextrun"/>
          <w:color w:val="000000" w:themeColor="text1"/>
          <w:sz w:val="20"/>
          <w:szCs w:val="20"/>
          <w:shd w:val="clear" w:color="auto" w:fill="FFFFFF"/>
          <w:lang w:val="es-CO"/>
        </w:rPr>
        <w:t xml:space="preserve"> parcial sustancial</w:t>
      </w:r>
      <w:bookmarkEnd w:id="6"/>
      <w:r w:rsidR="00D45705" w:rsidRPr="6AFFB094">
        <w:rPr>
          <w:rStyle w:val="normaltextrun"/>
          <w:color w:val="000000" w:themeColor="text1"/>
          <w:sz w:val="20"/>
          <w:szCs w:val="20"/>
          <w:shd w:val="clear" w:color="auto" w:fill="FFFFFF"/>
          <w:lang w:val="es-CO"/>
        </w:rPr>
        <w:t>.</w:t>
      </w:r>
      <w:r w:rsidRPr="6AFFB094">
        <w:rPr>
          <w:rStyle w:val="eop"/>
          <w:color w:val="000000" w:themeColor="text1"/>
          <w:sz w:val="20"/>
          <w:szCs w:val="20"/>
          <w:shd w:val="clear" w:color="auto" w:fill="FFFFFF"/>
          <w:lang w:val="es-CO"/>
        </w:rPr>
        <w:t> </w:t>
      </w:r>
    </w:p>
    <w:p w14:paraId="0323E942" w14:textId="7BCBA6EA" w:rsidR="00623BE9" w:rsidRDefault="00623BE9" w:rsidP="6AFFB094">
      <w:pPr>
        <w:pStyle w:val="Default"/>
        <w:jc w:val="both"/>
        <w:rPr>
          <w:rFonts w:cs="Calibri Light"/>
          <w:color w:val="000000" w:themeColor="text1"/>
          <w:sz w:val="20"/>
          <w:szCs w:val="20"/>
          <w:lang w:val="es-ES"/>
        </w:rPr>
      </w:pPr>
    </w:p>
    <w:p w14:paraId="6FF13CAC" w14:textId="14B17C36" w:rsidR="009B25AD" w:rsidRDefault="00771592" w:rsidP="6AFFB094">
      <w:pPr>
        <w:pStyle w:val="Default"/>
        <w:numPr>
          <w:ilvl w:val="0"/>
          <w:numId w:val="12"/>
        </w:numPr>
        <w:ind w:left="0" w:firstLine="720"/>
        <w:jc w:val="both"/>
        <w:rPr>
          <w:rFonts w:cs="Calibri Light"/>
          <w:color w:val="000000" w:themeColor="text1"/>
          <w:sz w:val="20"/>
          <w:szCs w:val="20"/>
          <w:lang w:val="es-ES"/>
        </w:rPr>
      </w:pPr>
      <w:bookmarkStart w:id="7" w:name="_Hlk85359942"/>
      <w:r w:rsidRPr="6AFFB094">
        <w:rPr>
          <w:rFonts w:cs="Calibri Light"/>
          <w:b/>
          <w:bCs/>
          <w:color w:val="000000" w:themeColor="text1"/>
          <w:sz w:val="20"/>
          <w:szCs w:val="20"/>
          <w:lang w:val="es-ES"/>
        </w:rPr>
        <w:t>En relación con la novena recomendación,</w:t>
      </w:r>
      <w:r w:rsidRPr="6AFFB094">
        <w:rPr>
          <w:rFonts w:cs="Calibri Light"/>
          <w:color w:val="000000" w:themeColor="text1"/>
          <w:sz w:val="20"/>
          <w:szCs w:val="20"/>
          <w:lang w:val="es-ES"/>
        </w:rPr>
        <w:t xml:space="preserve"> </w:t>
      </w:r>
      <w:bookmarkStart w:id="8" w:name="_Hlk89267557"/>
      <w:r w:rsidR="00B6028D" w:rsidRPr="6AFFB094">
        <w:rPr>
          <w:rFonts w:cs="Calibri Light"/>
          <w:color w:val="000000" w:themeColor="text1"/>
          <w:sz w:val="20"/>
          <w:szCs w:val="20"/>
          <w:lang w:val="es-ES"/>
        </w:rPr>
        <w:t>en 2021, el Estado afirmó que existen varias medidas de carácter legislativo y administrativo que buscan garantizar el derecho a ser juzgado sin retrasos indebidos, dentro de las que destacó: a) enmiendas para permitir la presentación de una acusación voluntaria (</w:t>
      </w:r>
      <w:proofErr w:type="spellStart"/>
      <w:r w:rsidR="00B6028D" w:rsidRPr="6AFFB094">
        <w:rPr>
          <w:i/>
          <w:iCs/>
          <w:color w:val="000000" w:themeColor="text1"/>
          <w:sz w:val="20"/>
          <w:szCs w:val="20"/>
          <w:lang w:val="es-CO"/>
        </w:rPr>
        <w:t>Voluntary</w:t>
      </w:r>
      <w:proofErr w:type="spellEnd"/>
      <w:r w:rsidR="00B6028D" w:rsidRPr="6AFFB094">
        <w:rPr>
          <w:i/>
          <w:iCs/>
          <w:color w:val="000000" w:themeColor="text1"/>
          <w:sz w:val="20"/>
          <w:szCs w:val="20"/>
          <w:lang w:val="es-CO"/>
        </w:rPr>
        <w:t xml:space="preserve"> Bill of </w:t>
      </w:r>
      <w:proofErr w:type="spellStart"/>
      <w:r w:rsidR="00B6028D" w:rsidRPr="6AFFB094">
        <w:rPr>
          <w:i/>
          <w:iCs/>
          <w:color w:val="000000" w:themeColor="text1"/>
          <w:sz w:val="20"/>
          <w:szCs w:val="20"/>
          <w:lang w:val="es-CO"/>
        </w:rPr>
        <w:t>Indictment</w:t>
      </w:r>
      <w:proofErr w:type="spellEnd"/>
      <w:r w:rsidR="00B6028D" w:rsidRPr="6AFFB094">
        <w:rPr>
          <w:color w:val="000000" w:themeColor="text1"/>
          <w:sz w:val="20"/>
          <w:szCs w:val="20"/>
          <w:lang w:val="es-CO"/>
        </w:rPr>
        <w:t xml:space="preserve"> - </w:t>
      </w:r>
      <w:r w:rsidR="00B6028D" w:rsidRPr="6AFFB094">
        <w:rPr>
          <w:rFonts w:cs="Calibri Light"/>
          <w:color w:val="000000" w:themeColor="text1"/>
          <w:sz w:val="20"/>
          <w:szCs w:val="20"/>
          <w:lang w:val="es-ES"/>
        </w:rPr>
        <w:t>VBI) como alternativa al trámite de Investigación Preliminar, con el fin de acelerar los juicios, prevista en las reglas de 2021 la Corte Suprema (</w:t>
      </w:r>
      <w:r w:rsidR="00B6028D" w:rsidRPr="6AFFB094">
        <w:rPr>
          <w:rFonts w:cs="Calibri Light"/>
          <w:i/>
          <w:iCs/>
          <w:color w:val="000000" w:themeColor="text1"/>
          <w:sz w:val="20"/>
          <w:szCs w:val="20"/>
          <w:lang w:val="es-ES"/>
        </w:rPr>
        <w:t xml:space="preserve">Supreme </w:t>
      </w:r>
      <w:proofErr w:type="spellStart"/>
      <w:r w:rsidR="00B6028D" w:rsidRPr="6AFFB094">
        <w:rPr>
          <w:rFonts w:cs="Calibri Light"/>
          <w:i/>
          <w:iCs/>
          <w:color w:val="000000" w:themeColor="text1"/>
          <w:sz w:val="20"/>
          <w:szCs w:val="20"/>
          <w:lang w:val="es-ES"/>
        </w:rPr>
        <w:t>Court</w:t>
      </w:r>
      <w:proofErr w:type="spellEnd"/>
      <w:r w:rsidR="00B6028D" w:rsidRPr="6AFFB094">
        <w:rPr>
          <w:rFonts w:cs="Calibri Light"/>
          <w:i/>
          <w:iCs/>
          <w:color w:val="000000" w:themeColor="text1"/>
          <w:sz w:val="20"/>
          <w:szCs w:val="20"/>
          <w:lang w:val="es-ES"/>
        </w:rPr>
        <w:t>)</w:t>
      </w:r>
      <w:r w:rsidR="00B6028D" w:rsidRPr="6AFFB094">
        <w:rPr>
          <w:rFonts w:cs="Calibri Light"/>
          <w:color w:val="000000" w:themeColor="text1"/>
          <w:sz w:val="20"/>
          <w:szCs w:val="20"/>
          <w:lang w:val="es-ES"/>
        </w:rPr>
        <w:t xml:space="preserve">; b) la modificación de la Ley de Fianzas que prevé que una persona acusada de un delito sea juzgada en un plazo de tres años a partir de la fecha de su arresto y que establece la opción de que se le conceda la libertad bajo fianza, aun cuando se le imputen delitos graves; c) introducción de la iniciativa </w:t>
      </w:r>
      <w:r w:rsidR="00B6028D" w:rsidRPr="6AFFB094">
        <w:rPr>
          <w:rFonts w:cs="Calibri Light"/>
          <w:i/>
          <w:iCs/>
          <w:color w:val="000000" w:themeColor="text1"/>
          <w:sz w:val="20"/>
          <w:szCs w:val="20"/>
          <w:lang w:val="es-ES"/>
        </w:rPr>
        <w:t xml:space="preserve">Swift </w:t>
      </w:r>
      <w:proofErr w:type="spellStart"/>
      <w:r w:rsidR="00B6028D" w:rsidRPr="6AFFB094">
        <w:rPr>
          <w:rFonts w:cs="Calibri Light"/>
          <w:i/>
          <w:iCs/>
          <w:color w:val="000000" w:themeColor="text1"/>
          <w:sz w:val="20"/>
          <w:szCs w:val="20"/>
          <w:lang w:val="es-ES"/>
        </w:rPr>
        <w:t>Justice</w:t>
      </w:r>
      <w:proofErr w:type="spellEnd"/>
      <w:r w:rsidR="00B6028D" w:rsidRPr="6AFFB094">
        <w:rPr>
          <w:rFonts w:cs="Calibri Light"/>
          <w:i/>
          <w:iCs/>
          <w:color w:val="000000" w:themeColor="text1"/>
          <w:sz w:val="20"/>
          <w:szCs w:val="20"/>
          <w:lang w:val="es-ES"/>
        </w:rPr>
        <w:t xml:space="preserve">, </w:t>
      </w:r>
      <w:r w:rsidR="00B6028D" w:rsidRPr="6AFFB094">
        <w:rPr>
          <w:rFonts w:cs="Calibri Light"/>
          <w:color w:val="000000" w:themeColor="text1"/>
          <w:sz w:val="20"/>
          <w:szCs w:val="20"/>
          <w:lang w:val="es-ES"/>
        </w:rPr>
        <w:t>con el objetivo de reducir la acumulación de casos y aumentar la velocidad y la eficiencia del sistema de justicia, asegurando que los crímenes sean investigados en debida forma y que los juicios inicien y se procesen en un tiempo razonable. De acuerdo con el Estado, esta iniciativa ha dado lugar a: (i) un mayor uso de la VBI; (</w:t>
      </w:r>
      <w:proofErr w:type="spellStart"/>
      <w:r w:rsidR="00B6028D" w:rsidRPr="6AFFB094">
        <w:rPr>
          <w:rFonts w:cs="Calibri Light"/>
          <w:color w:val="000000" w:themeColor="text1"/>
          <w:sz w:val="20"/>
          <w:szCs w:val="20"/>
          <w:lang w:val="es-ES"/>
        </w:rPr>
        <w:t>ii</w:t>
      </w:r>
      <w:proofErr w:type="spellEnd"/>
      <w:r w:rsidR="00B6028D" w:rsidRPr="6AFFB094">
        <w:rPr>
          <w:rFonts w:cs="Calibri Light"/>
          <w:color w:val="000000" w:themeColor="text1"/>
          <w:sz w:val="20"/>
          <w:szCs w:val="20"/>
          <w:lang w:val="es-ES"/>
        </w:rPr>
        <w:t xml:space="preserve">) una mayor cooperación entre la policía, los fiscales y otros agentes del proceso de justicia penal; </w:t>
      </w:r>
      <w:proofErr w:type="spellStart"/>
      <w:r w:rsidR="00B6028D" w:rsidRPr="6AFFB094">
        <w:rPr>
          <w:rFonts w:cs="Calibri Light"/>
          <w:color w:val="000000" w:themeColor="text1"/>
          <w:sz w:val="20"/>
          <w:szCs w:val="20"/>
          <w:lang w:val="es-ES"/>
        </w:rPr>
        <w:t>iii</w:t>
      </w:r>
      <w:proofErr w:type="spellEnd"/>
      <w:r w:rsidR="00B6028D" w:rsidRPr="6AFFB094">
        <w:rPr>
          <w:rFonts w:cs="Calibri Light"/>
          <w:color w:val="000000" w:themeColor="text1"/>
          <w:sz w:val="20"/>
          <w:szCs w:val="20"/>
          <w:lang w:val="es-ES"/>
        </w:rPr>
        <w:t xml:space="preserve">) el uso del sistema de justicia integrado que </w:t>
      </w:r>
      <w:r w:rsidR="00B6028D" w:rsidRPr="6AFFB094">
        <w:rPr>
          <w:rFonts w:cs="Calibri Light"/>
          <w:color w:val="000000" w:themeColor="text1"/>
          <w:sz w:val="20"/>
          <w:szCs w:val="20"/>
          <w:lang w:val="es-ES"/>
        </w:rPr>
        <w:lastRenderedPageBreak/>
        <w:t>proporciona un sistema de información para gestionar casos graves (especialmente los asesinatos); (</w:t>
      </w:r>
      <w:proofErr w:type="spellStart"/>
      <w:r w:rsidR="00B6028D" w:rsidRPr="6AFFB094">
        <w:rPr>
          <w:rFonts w:cs="Calibri Light"/>
          <w:color w:val="000000" w:themeColor="text1"/>
          <w:sz w:val="20"/>
          <w:szCs w:val="20"/>
          <w:lang w:val="es-ES"/>
        </w:rPr>
        <w:t>iv</w:t>
      </w:r>
      <w:proofErr w:type="spellEnd"/>
      <w:r w:rsidR="00B6028D" w:rsidRPr="6AFFB094">
        <w:rPr>
          <w:rFonts w:cs="Calibri Light"/>
          <w:color w:val="000000" w:themeColor="text1"/>
          <w:sz w:val="20"/>
          <w:szCs w:val="20"/>
          <w:lang w:val="es-ES"/>
        </w:rPr>
        <w:t>) la mejora del sistema de información judicial; (v) el uso de equipos de gestión de proyectos y casos de la Oficina del Director de la Fiscalía; y (vi) el establecimiento de más tribunales penales.</w:t>
      </w:r>
    </w:p>
    <w:p w14:paraId="77F6E27B" w14:textId="77777777" w:rsidR="009B25AD" w:rsidRDefault="009B25AD" w:rsidP="6AFFB094">
      <w:pPr>
        <w:pStyle w:val="Default"/>
        <w:ind w:left="720"/>
        <w:jc w:val="both"/>
        <w:rPr>
          <w:rFonts w:cs="Calibri Light"/>
          <w:color w:val="000000" w:themeColor="text1"/>
          <w:sz w:val="20"/>
          <w:szCs w:val="20"/>
          <w:lang w:val="es-ES"/>
        </w:rPr>
      </w:pPr>
    </w:p>
    <w:p w14:paraId="3B71BE9C" w14:textId="6BB09281" w:rsidR="00771592" w:rsidRPr="009B25AD" w:rsidRDefault="00B6028D" w:rsidP="6AFFB094">
      <w:pPr>
        <w:pStyle w:val="Default"/>
        <w:numPr>
          <w:ilvl w:val="0"/>
          <w:numId w:val="12"/>
        </w:numPr>
        <w:ind w:left="0" w:firstLine="720"/>
        <w:jc w:val="both"/>
        <w:rPr>
          <w:rFonts w:cs="Calibri Light"/>
          <w:color w:val="000000" w:themeColor="text1"/>
          <w:sz w:val="20"/>
          <w:szCs w:val="20"/>
          <w:lang w:val="es-ES"/>
        </w:rPr>
      </w:pPr>
      <w:r w:rsidRPr="6AFFB094">
        <w:rPr>
          <w:rFonts w:cs="Calibri Light"/>
          <w:color w:val="000000" w:themeColor="text1"/>
          <w:sz w:val="20"/>
          <w:szCs w:val="20"/>
          <w:lang w:val="es-ES"/>
        </w:rPr>
        <w:t xml:space="preserve">La Comisión valora positivamente la información proporcionada por el Estado de Bahamas respecto a las medidas que han permitido garantizar el derecho a ser juzgado sin dilaciones injustificadas. Asimismo, valora que haya especificado las contribuciones de la iniciativa </w:t>
      </w:r>
      <w:r w:rsidRPr="6AFFB094">
        <w:rPr>
          <w:rFonts w:cs="Calibri Light"/>
          <w:i/>
          <w:iCs/>
          <w:color w:val="000000" w:themeColor="text1"/>
          <w:sz w:val="20"/>
          <w:szCs w:val="20"/>
          <w:lang w:val="es-ES"/>
        </w:rPr>
        <w:t xml:space="preserve">Swift </w:t>
      </w:r>
      <w:proofErr w:type="spellStart"/>
      <w:r w:rsidRPr="6AFFB094">
        <w:rPr>
          <w:rFonts w:cs="Calibri Light"/>
          <w:i/>
          <w:iCs/>
          <w:color w:val="000000" w:themeColor="text1"/>
          <w:sz w:val="20"/>
          <w:szCs w:val="20"/>
          <w:lang w:val="es-ES"/>
        </w:rPr>
        <w:t>Justice</w:t>
      </w:r>
      <w:proofErr w:type="spellEnd"/>
      <w:r w:rsidRPr="6AFFB094">
        <w:rPr>
          <w:rFonts w:cs="Calibri Light"/>
          <w:color w:val="000000" w:themeColor="text1"/>
          <w:sz w:val="20"/>
          <w:szCs w:val="20"/>
          <w:lang w:val="es-ES"/>
        </w:rPr>
        <w:t xml:space="preserve">. Con miras a determinar un incremento en el nivel de cumplimiento de esta recomendación, la Comisión solicita al Estado información que demuestre de qué manera estas medidas han contribuido en la práctica a que el derecho a ser juzgado sin dilaciones injustificadas sea plenamente garantizado, así como información sobre otras medidas dirigidas a este propósito. Igualmente, la CIDH solicita información adicional que permita entender, con más detalles, el funcionamiento de las figuras del </w:t>
      </w:r>
      <w:proofErr w:type="spellStart"/>
      <w:r w:rsidRPr="6AFFB094">
        <w:rPr>
          <w:rFonts w:cs="Calibri Light"/>
          <w:i/>
          <w:iCs/>
          <w:color w:val="000000" w:themeColor="text1"/>
          <w:sz w:val="20"/>
          <w:szCs w:val="20"/>
          <w:lang w:val="es-ES"/>
        </w:rPr>
        <w:t>Voluntary</w:t>
      </w:r>
      <w:proofErr w:type="spellEnd"/>
      <w:r w:rsidRPr="6AFFB094">
        <w:rPr>
          <w:rFonts w:cs="Calibri Light"/>
          <w:i/>
          <w:iCs/>
          <w:color w:val="000000" w:themeColor="text1"/>
          <w:sz w:val="20"/>
          <w:szCs w:val="20"/>
          <w:lang w:val="es-ES"/>
        </w:rPr>
        <w:t xml:space="preserve"> Bill of </w:t>
      </w:r>
      <w:proofErr w:type="spellStart"/>
      <w:r w:rsidRPr="6AFFB094">
        <w:rPr>
          <w:rFonts w:cs="Calibri Light"/>
          <w:i/>
          <w:iCs/>
          <w:color w:val="000000" w:themeColor="text1"/>
          <w:sz w:val="20"/>
          <w:szCs w:val="20"/>
          <w:lang w:val="es-ES"/>
        </w:rPr>
        <w:t>Indictment</w:t>
      </w:r>
      <w:proofErr w:type="spellEnd"/>
      <w:r w:rsidRPr="6AFFB094">
        <w:rPr>
          <w:rFonts w:cs="Calibri Light"/>
          <w:color w:val="000000" w:themeColor="text1"/>
          <w:sz w:val="20"/>
          <w:szCs w:val="20"/>
          <w:lang w:val="es-ES"/>
        </w:rPr>
        <w:t xml:space="preserve">; la ley de fianzas, y la iniciativa </w:t>
      </w:r>
      <w:r w:rsidRPr="6AFFB094">
        <w:rPr>
          <w:rFonts w:cs="Calibri Light"/>
          <w:i/>
          <w:iCs/>
          <w:color w:val="000000" w:themeColor="text1"/>
          <w:sz w:val="20"/>
          <w:szCs w:val="20"/>
          <w:lang w:val="es-ES"/>
        </w:rPr>
        <w:t xml:space="preserve">Swift </w:t>
      </w:r>
      <w:proofErr w:type="spellStart"/>
      <w:r w:rsidRPr="6AFFB094">
        <w:rPr>
          <w:rFonts w:cs="Calibri Light"/>
          <w:i/>
          <w:iCs/>
          <w:color w:val="000000" w:themeColor="text1"/>
          <w:sz w:val="20"/>
          <w:szCs w:val="20"/>
          <w:lang w:val="es-ES"/>
        </w:rPr>
        <w:t>Justice</w:t>
      </w:r>
      <w:proofErr w:type="spellEnd"/>
      <w:r w:rsidRPr="6AFFB094">
        <w:rPr>
          <w:rFonts w:cs="Calibri Light"/>
          <w:i/>
          <w:iCs/>
          <w:color w:val="000000" w:themeColor="text1"/>
          <w:sz w:val="20"/>
          <w:szCs w:val="20"/>
          <w:lang w:val="es-ES"/>
        </w:rPr>
        <w:t xml:space="preserve"> </w:t>
      </w:r>
      <w:r w:rsidRPr="6AFFB094">
        <w:rPr>
          <w:rFonts w:cs="Calibri Light"/>
          <w:color w:val="000000" w:themeColor="text1"/>
          <w:sz w:val="20"/>
          <w:szCs w:val="20"/>
          <w:lang w:val="es-ES"/>
        </w:rPr>
        <w:t xml:space="preserve">en torno a la garantía a ser juzgado sin dilaciones injustificadas. </w:t>
      </w:r>
      <w:r w:rsidRPr="6AFFB094">
        <w:rPr>
          <w:color w:val="000000" w:themeColor="text1"/>
          <w:sz w:val="20"/>
          <w:szCs w:val="20"/>
          <w:lang w:val="es-CO"/>
        </w:rPr>
        <w:t>En vista de lo anterior, la Comisión observa que las partes han aportado información relevante para actualizar el estado de cumplimiento de esta recomendación y considera que el nivel de dicha recomendación es</w:t>
      </w:r>
      <w:r w:rsidR="00D45705" w:rsidRPr="6AFFB094">
        <w:rPr>
          <w:color w:val="000000" w:themeColor="text1"/>
          <w:sz w:val="20"/>
          <w:szCs w:val="20"/>
          <w:lang w:val="es-CO"/>
        </w:rPr>
        <w:t xml:space="preserve"> parcial.</w:t>
      </w:r>
    </w:p>
    <w:bookmarkEnd w:id="7"/>
    <w:bookmarkEnd w:id="8"/>
    <w:p w14:paraId="1962E6CA" w14:textId="77777777" w:rsidR="00D26CDC" w:rsidRPr="003434C5" w:rsidRDefault="00D26CDC" w:rsidP="6AFFB094">
      <w:pPr>
        <w:shd w:val="clear" w:color="auto" w:fill="FFFFFF" w:themeFill="background1"/>
        <w:spacing w:after="0" w:line="240" w:lineRule="auto"/>
        <w:jc w:val="both"/>
        <w:rPr>
          <w:rFonts w:ascii="Cambria" w:hAnsi="Cambria" w:cs="Calibri Light"/>
          <w:color w:val="000000" w:themeColor="text1"/>
          <w:sz w:val="20"/>
          <w:szCs w:val="20"/>
          <w:lang w:val="es-ES"/>
        </w:rPr>
      </w:pPr>
    </w:p>
    <w:p w14:paraId="3CEE11C7" w14:textId="77777777" w:rsidR="00BB56C4" w:rsidRPr="003434C5" w:rsidRDefault="00BB56C4" w:rsidP="6AFFB094">
      <w:pPr>
        <w:pStyle w:val="ListParagraph"/>
        <w:numPr>
          <w:ilvl w:val="0"/>
          <w:numId w:val="18"/>
        </w:numPr>
        <w:spacing w:after="0" w:line="240" w:lineRule="auto"/>
        <w:ind w:firstLine="0"/>
        <w:jc w:val="both"/>
        <w:rPr>
          <w:rFonts w:ascii="Cambria" w:hAnsi="Cambria" w:cs="Calibri Light"/>
          <w:b/>
          <w:bCs/>
          <w:color w:val="000000" w:themeColor="text1"/>
          <w:sz w:val="20"/>
          <w:szCs w:val="20"/>
          <w:lang w:val="es-ES"/>
        </w:rPr>
      </w:pPr>
      <w:r w:rsidRPr="6AFFB094">
        <w:rPr>
          <w:rFonts w:ascii="Cambria" w:hAnsi="Cambria" w:cs="Calibri Light"/>
          <w:b/>
          <w:bCs/>
          <w:color w:val="000000" w:themeColor="text1"/>
          <w:sz w:val="20"/>
          <w:szCs w:val="20"/>
          <w:lang w:val="es-ES"/>
        </w:rPr>
        <w:t xml:space="preserve">Nivel del cumplimiento del caso </w:t>
      </w:r>
    </w:p>
    <w:p w14:paraId="142CCBF3" w14:textId="77777777" w:rsidR="00BB56C4" w:rsidRPr="003434C5" w:rsidRDefault="00BB56C4" w:rsidP="6AFFB094">
      <w:pPr>
        <w:pStyle w:val="ListParagraph"/>
        <w:shd w:val="clear" w:color="auto" w:fill="FFFFFF" w:themeFill="background1"/>
        <w:spacing w:after="0" w:line="240" w:lineRule="auto"/>
        <w:jc w:val="both"/>
        <w:rPr>
          <w:rFonts w:ascii="Cambria" w:hAnsi="Cambria" w:cs="Calibri Light"/>
          <w:color w:val="000000" w:themeColor="text1"/>
          <w:sz w:val="20"/>
          <w:szCs w:val="20"/>
          <w:lang w:val="es-ES"/>
        </w:rPr>
      </w:pPr>
    </w:p>
    <w:p w14:paraId="1598D5CA" w14:textId="76E270A1" w:rsidR="00BB56C4" w:rsidRPr="00771592" w:rsidRDefault="00BB56C4" w:rsidP="6AFFB094">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6AFFB094">
        <w:rPr>
          <w:rFonts w:ascii="Cambria" w:hAnsi="Cambria" w:cs="Calibri Light"/>
          <w:color w:val="000000" w:themeColor="text1"/>
          <w:sz w:val="20"/>
          <w:szCs w:val="20"/>
          <w:lang w:val="es-ES"/>
        </w:rPr>
        <w:t>Por lo anterior, la Comisión concluye que el nivel de cumplimiento del caso es parcial. En consecuencia, la CIDH seguirá supervisando el cumplimiento de las Recomendaciones 2</w:t>
      </w:r>
      <w:r w:rsidR="000015A5" w:rsidRPr="6AFFB094">
        <w:rPr>
          <w:rFonts w:ascii="Cambria" w:hAnsi="Cambria" w:cs="Calibri Light"/>
          <w:color w:val="000000" w:themeColor="text1"/>
          <w:sz w:val="20"/>
          <w:szCs w:val="20"/>
          <w:lang w:val="es-ES"/>
        </w:rPr>
        <w:t xml:space="preserve"> a</w:t>
      </w:r>
      <w:r w:rsidR="007D4C58" w:rsidRPr="6AFFB094">
        <w:rPr>
          <w:rFonts w:ascii="Cambria" w:hAnsi="Cambria" w:cs="Calibri Light"/>
          <w:color w:val="000000" w:themeColor="text1"/>
          <w:sz w:val="20"/>
          <w:szCs w:val="20"/>
          <w:lang w:val="es-ES"/>
        </w:rPr>
        <w:t xml:space="preserve"> la 4 y de la 6 a </w:t>
      </w:r>
      <w:r w:rsidR="000015A5" w:rsidRPr="6AFFB094">
        <w:rPr>
          <w:rFonts w:ascii="Cambria" w:hAnsi="Cambria" w:cs="Calibri Light"/>
          <w:color w:val="000000" w:themeColor="text1"/>
          <w:sz w:val="20"/>
          <w:szCs w:val="20"/>
          <w:lang w:val="es-ES"/>
        </w:rPr>
        <w:t>la</w:t>
      </w:r>
      <w:r w:rsidRPr="6AFFB094">
        <w:rPr>
          <w:rFonts w:ascii="Cambria" w:hAnsi="Cambria" w:cs="Calibri Light"/>
          <w:color w:val="000000" w:themeColor="text1"/>
          <w:sz w:val="20"/>
          <w:szCs w:val="20"/>
          <w:lang w:val="es-ES"/>
        </w:rPr>
        <w:t xml:space="preserve"> 9.</w:t>
      </w:r>
    </w:p>
    <w:p w14:paraId="234E55D1" w14:textId="77777777" w:rsidR="00BB56C4" w:rsidRPr="00771592" w:rsidRDefault="00BB56C4" w:rsidP="6AFFB094">
      <w:pPr>
        <w:pStyle w:val="ListParagraph"/>
        <w:spacing w:after="0" w:line="240" w:lineRule="auto"/>
        <w:ind w:left="0" w:firstLine="720"/>
        <w:jc w:val="both"/>
        <w:rPr>
          <w:rFonts w:ascii="Cambria" w:hAnsi="Cambria" w:cs="Calibri Light"/>
          <w:color w:val="000000" w:themeColor="text1"/>
          <w:sz w:val="20"/>
          <w:szCs w:val="20"/>
          <w:lang w:val="es-ES"/>
        </w:rPr>
      </w:pPr>
    </w:p>
    <w:p w14:paraId="0F3EE595" w14:textId="536241B0" w:rsidR="00BB56C4" w:rsidRPr="00771592" w:rsidRDefault="00BA66A7" w:rsidP="6AFFB094">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6AFFB094">
        <w:rPr>
          <w:rFonts w:ascii="Cambria" w:hAnsi="Cambria" w:cs="Calibri Light"/>
          <w:color w:val="000000" w:themeColor="text1"/>
          <w:sz w:val="20"/>
          <w:szCs w:val="20"/>
          <w:lang w:val="es-ES"/>
        </w:rPr>
        <w:t xml:space="preserve">La Comisión </w:t>
      </w:r>
      <w:r w:rsidR="0030412B" w:rsidRPr="6AFFB094">
        <w:rPr>
          <w:rFonts w:ascii="Cambria" w:hAnsi="Cambria" w:cs="Calibri Light"/>
          <w:color w:val="000000" w:themeColor="text1"/>
          <w:sz w:val="20"/>
          <w:szCs w:val="20"/>
          <w:lang w:val="es-ES"/>
        </w:rPr>
        <w:t>llama</w:t>
      </w:r>
      <w:r w:rsidRPr="6AFFB094">
        <w:rPr>
          <w:rFonts w:ascii="Cambria" w:hAnsi="Cambria" w:cs="Calibri Light"/>
          <w:color w:val="000000" w:themeColor="text1"/>
          <w:sz w:val="20"/>
          <w:szCs w:val="20"/>
          <w:lang w:val="es-ES"/>
        </w:rPr>
        <w:t xml:space="preserve"> a l</w:t>
      </w:r>
      <w:r w:rsidR="00771592" w:rsidRPr="6AFFB094">
        <w:rPr>
          <w:rFonts w:ascii="Cambria" w:hAnsi="Cambria" w:cs="Calibri Light"/>
          <w:color w:val="000000" w:themeColor="text1"/>
          <w:sz w:val="20"/>
          <w:szCs w:val="20"/>
          <w:lang w:val="es-ES"/>
        </w:rPr>
        <w:t xml:space="preserve">a parte peticionaria </w:t>
      </w:r>
      <w:r w:rsidRPr="6AFFB094">
        <w:rPr>
          <w:rFonts w:ascii="Cambria" w:hAnsi="Cambria" w:cs="Calibri Light"/>
          <w:color w:val="000000" w:themeColor="text1"/>
          <w:sz w:val="20"/>
          <w:szCs w:val="20"/>
          <w:lang w:val="es-ES"/>
        </w:rPr>
        <w:t>a que suministre informaci</w:t>
      </w:r>
      <w:r w:rsidR="009065FE" w:rsidRPr="6AFFB094">
        <w:rPr>
          <w:rFonts w:ascii="Cambria" w:hAnsi="Cambria" w:cs="Calibri Light"/>
          <w:color w:val="000000" w:themeColor="text1"/>
          <w:sz w:val="20"/>
          <w:szCs w:val="20"/>
          <w:lang w:val="es-ES"/>
        </w:rPr>
        <w:t>ó</w:t>
      </w:r>
      <w:r w:rsidRPr="6AFFB094">
        <w:rPr>
          <w:rFonts w:ascii="Cambria" w:hAnsi="Cambria" w:cs="Calibri Light"/>
          <w:color w:val="000000" w:themeColor="text1"/>
          <w:sz w:val="20"/>
          <w:szCs w:val="20"/>
          <w:lang w:val="es-ES"/>
        </w:rPr>
        <w:t>n detallada sobre las medidas adop</w:t>
      </w:r>
      <w:r w:rsidR="009065FE" w:rsidRPr="6AFFB094">
        <w:rPr>
          <w:rFonts w:ascii="Cambria" w:hAnsi="Cambria" w:cs="Calibri Light"/>
          <w:color w:val="000000" w:themeColor="text1"/>
          <w:sz w:val="20"/>
          <w:szCs w:val="20"/>
          <w:lang w:val="es-ES"/>
        </w:rPr>
        <w:t>t</w:t>
      </w:r>
      <w:r w:rsidRPr="6AFFB094">
        <w:rPr>
          <w:rFonts w:ascii="Cambria" w:hAnsi="Cambria" w:cs="Calibri Light"/>
          <w:color w:val="000000" w:themeColor="text1"/>
          <w:sz w:val="20"/>
          <w:szCs w:val="20"/>
          <w:lang w:val="es-ES"/>
        </w:rPr>
        <w:t>adas po</w:t>
      </w:r>
      <w:r w:rsidR="009065FE" w:rsidRPr="6AFFB094">
        <w:rPr>
          <w:rFonts w:ascii="Cambria" w:hAnsi="Cambria" w:cs="Calibri Light"/>
          <w:color w:val="000000" w:themeColor="text1"/>
          <w:sz w:val="20"/>
          <w:szCs w:val="20"/>
          <w:lang w:val="es-ES"/>
        </w:rPr>
        <w:t>r</w:t>
      </w:r>
      <w:r w:rsidRPr="6AFFB094">
        <w:rPr>
          <w:rFonts w:ascii="Cambria" w:hAnsi="Cambria" w:cs="Calibri Light"/>
          <w:color w:val="000000" w:themeColor="text1"/>
          <w:sz w:val="20"/>
          <w:szCs w:val="20"/>
          <w:lang w:val="es-ES"/>
        </w:rPr>
        <w:t xml:space="preserve"> el Estado con r</w:t>
      </w:r>
      <w:r w:rsidR="009065FE" w:rsidRPr="6AFFB094">
        <w:rPr>
          <w:rFonts w:ascii="Cambria" w:hAnsi="Cambria" w:cs="Calibri Light"/>
          <w:color w:val="000000" w:themeColor="text1"/>
          <w:sz w:val="20"/>
          <w:szCs w:val="20"/>
          <w:lang w:val="es-ES"/>
        </w:rPr>
        <w:t>e</w:t>
      </w:r>
      <w:r w:rsidRPr="6AFFB094">
        <w:rPr>
          <w:rFonts w:ascii="Cambria" w:hAnsi="Cambria" w:cs="Calibri Light"/>
          <w:color w:val="000000" w:themeColor="text1"/>
          <w:sz w:val="20"/>
          <w:szCs w:val="20"/>
          <w:lang w:val="es-ES"/>
        </w:rPr>
        <w:t>specto a las recomendaciones mencionadas</w:t>
      </w:r>
      <w:r w:rsidR="00BB56C4" w:rsidRPr="6AFFB094">
        <w:rPr>
          <w:rFonts w:ascii="Cambria" w:hAnsi="Cambria" w:cs="Calibri Light"/>
          <w:color w:val="000000" w:themeColor="text1"/>
          <w:sz w:val="20"/>
          <w:szCs w:val="20"/>
          <w:lang w:val="es-ES"/>
        </w:rPr>
        <w:t>.</w:t>
      </w:r>
    </w:p>
    <w:p w14:paraId="0641E0AD" w14:textId="775BCCAC" w:rsidR="002C5AAD" w:rsidRDefault="00BB56C4" w:rsidP="6AFFB094">
      <w:pPr>
        <w:pStyle w:val="ListParagraph"/>
        <w:spacing w:after="0" w:line="240" w:lineRule="auto"/>
        <w:ind w:left="90" w:firstLine="720"/>
        <w:jc w:val="both"/>
        <w:rPr>
          <w:rFonts w:ascii="Cambria" w:hAnsi="Cambria" w:cs="Calibri Light"/>
          <w:color w:val="000000" w:themeColor="text1"/>
          <w:sz w:val="20"/>
          <w:szCs w:val="20"/>
          <w:lang w:val="es-ES"/>
        </w:rPr>
      </w:pPr>
      <w:r w:rsidRPr="6AFFB094">
        <w:rPr>
          <w:rFonts w:ascii="Cambria" w:hAnsi="Cambria" w:cs="Calibri Light"/>
          <w:color w:val="000000" w:themeColor="text1"/>
          <w:sz w:val="20"/>
          <w:szCs w:val="20"/>
          <w:lang w:val="es-ES"/>
        </w:rPr>
        <w:t xml:space="preserve"> </w:t>
      </w:r>
    </w:p>
    <w:p w14:paraId="17C7E862" w14:textId="77777777" w:rsidR="009D7241" w:rsidRPr="00771592" w:rsidRDefault="009D7241" w:rsidP="6AFFB094">
      <w:pPr>
        <w:pStyle w:val="ListParagraph"/>
        <w:spacing w:after="0" w:line="240" w:lineRule="auto"/>
        <w:ind w:left="90" w:firstLine="720"/>
        <w:jc w:val="both"/>
        <w:rPr>
          <w:rFonts w:ascii="Cambria" w:hAnsi="Cambria" w:cs="Calibri Light"/>
          <w:color w:val="000000" w:themeColor="text1"/>
          <w:sz w:val="20"/>
          <w:szCs w:val="20"/>
          <w:lang w:val="es-ES"/>
        </w:rPr>
      </w:pPr>
    </w:p>
    <w:p w14:paraId="6B23F1F2" w14:textId="77777777" w:rsidR="00BB56C4" w:rsidRPr="003434C5" w:rsidRDefault="00BB56C4" w:rsidP="6AFFB094">
      <w:pPr>
        <w:pStyle w:val="ListParagraph"/>
        <w:numPr>
          <w:ilvl w:val="0"/>
          <w:numId w:val="18"/>
        </w:numPr>
        <w:spacing w:after="0" w:line="240" w:lineRule="auto"/>
        <w:ind w:firstLine="0"/>
        <w:jc w:val="both"/>
        <w:rPr>
          <w:rFonts w:ascii="Cambria" w:hAnsi="Cambria" w:cs="Calibri Light"/>
          <w:b/>
          <w:bCs/>
          <w:color w:val="000000" w:themeColor="text1"/>
          <w:sz w:val="20"/>
          <w:szCs w:val="20"/>
          <w:lang w:val="es-ES"/>
        </w:rPr>
      </w:pPr>
      <w:r w:rsidRPr="6AFFB094">
        <w:rPr>
          <w:rFonts w:ascii="Cambria" w:hAnsi="Cambria" w:cs="Calibri Light"/>
          <w:b/>
          <w:bCs/>
          <w:color w:val="000000" w:themeColor="text1"/>
          <w:sz w:val="20"/>
          <w:szCs w:val="20"/>
          <w:lang w:val="es-ES"/>
        </w:rPr>
        <w:t xml:space="preserve">Resultados individuales y estructurales del caso </w:t>
      </w:r>
    </w:p>
    <w:p w14:paraId="5D05C188" w14:textId="77777777" w:rsidR="00BB56C4" w:rsidRPr="003434C5" w:rsidRDefault="00BB56C4" w:rsidP="6AFFB094">
      <w:pPr>
        <w:shd w:val="clear" w:color="auto" w:fill="FFFFFF" w:themeFill="background1"/>
        <w:spacing w:after="0" w:line="240" w:lineRule="auto"/>
        <w:ind w:left="90" w:firstLine="720"/>
        <w:jc w:val="both"/>
        <w:rPr>
          <w:rFonts w:ascii="Cambria" w:hAnsi="Cambria"/>
          <w:color w:val="000000" w:themeColor="text1"/>
          <w:sz w:val="20"/>
          <w:szCs w:val="20"/>
          <w:lang w:val="es-ES"/>
        </w:rPr>
      </w:pPr>
    </w:p>
    <w:p w14:paraId="40DE588C" w14:textId="77777777" w:rsidR="00BB56C4" w:rsidRPr="003434C5" w:rsidRDefault="00BB56C4" w:rsidP="6AFFB094">
      <w:pPr>
        <w:pStyle w:val="ListParagraph"/>
        <w:numPr>
          <w:ilvl w:val="0"/>
          <w:numId w:val="12"/>
        </w:numPr>
        <w:spacing w:after="0" w:line="240" w:lineRule="auto"/>
        <w:ind w:left="0" w:firstLine="720"/>
        <w:jc w:val="both"/>
        <w:rPr>
          <w:b/>
          <w:bCs/>
          <w:color w:val="000000" w:themeColor="text1"/>
          <w:sz w:val="20"/>
          <w:szCs w:val="20"/>
          <w:lang w:val="es-ES"/>
        </w:rPr>
      </w:pPr>
      <w:r w:rsidRPr="6AFFB094">
        <w:rPr>
          <w:rFonts w:ascii="Cambria" w:hAnsi="Cambria" w:cs="Calibri Light"/>
          <w:color w:val="000000" w:themeColor="text1"/>
          <w:sz w:val="20"/>
          <w:szCs w:val="20"/>
          <w:lang w:val="es-ES"/>
        </w:rPr>
        <w:t>En esta sección se destaca</w:t>
      </w:r>
      <w:r w:rsidR="0026166B" w:rsidRPr="6AFFB094">
        <w:rPr>
          <w:rFonts w:ascii="Cambria" w:hAnsi="Cambria" w:cs="Calibri Light"/>
          <w:color w:val="000000" w:themeColor="text1"/>
          <w:sz w:val="20"/>
          <w:szCs w:val="20"/>
          <w:lang w:val="es-ES"/>
        </w:rPr>
        <w:t>n</w:t>
      </w:r>
      <w:r w:rsidRPr="6AFFB094">
        <w:rPr>
          <w:rFonts w:ascii="Cambria" w:hAnsi="Cambria" w:cs="Calibri Light"/>
          <w:color w:val="000000" w:themeColor="text1"/>
          <w:sz w:val="20"/>
          <w:szCs w:val="20"/>
          <w:lang w:val="es-ES"/>
        </w:rPr>
        <w:t xml:space="preserve"> los resultados individuales y estructurales del caso informados por las partes. </w:t>
      </w:r>
    </w:p>
    <w:p w14:paraId="2CF7BA0B" w14:textId="77777777" w:rsidR="00BB56C4" w:rsidRPr="003434C5" w:rsidRDefault="00BB56C4" w:rsidP="6AFFB094">
      <w:pPr>
        <w:pStyle w:val="ListParagraph"/>
        <w:spacing w:after="0" w:line="240" w:lineRule="auto"/>
        <w:rPr>
          <w:rFonts w:ascii="Cambria" w:hAnsi="Cambria"/>
          <w:b/>
          <w:bCs/>
          <w:color w:val="000000" w:themeColor="text1"/>
          <w:sz w:val="20"/>
          <w:szCs w:val="20"/>
          <w:lang w:val="es-ES"/>
        </w:rPr>
      </w:pPr>
    </w:p>
    <w:p w14:paraId="36A900E7" w14:textId="77777777" w:rsidR="00BB56C4" w:rsidRPr="003434C5" w:rsidRDefault="00BB56C4" w:rsidP="6AFFB094">
      <w:pPr>
        <w:pStyle w:val="ListParagraph"/>
        <w:numPr>
          <w:ilvl w:val="0"/>
          <w:numId w:val="20"/>
        </w:numPr>
        <w:spacing w:after="0" w:line="240" w:lineRule="auto"/>
        <w:ind w:firstLine="0"/>
        <w:jc w:val="both"/>
        <w:rPr>
          <w:rFonts w:ascii="Cambria" w:hAnsi="Cambria" w:cs="Calibri Light"/>
          <w:b/>
          <w:bCs/>
          <w:color w:val="000000" w:themeColor="text1"/>
          <w:sz w:val="20"/>
          <w:szCs w:val="20"/>
          <w:lang w:val="es-ES"/>
        </w:rPr>
      </w:pPr>
      <w:r w:rsidRPr="6AFFB094">
        <w:rPr>
          <w:rFonts w:ascii="Cambria" w:hAnsi="Cambria" w:cs="Calibri Light"/>
          <w:b/>
          <w:bCs/>
          <w:color w:val="000000" w:themeColor="text1"/>
          <w:sz w:val="20"/>
          <w:szCs w:val="20"/>
          <w:lang w:val="es-ES"/>
        </w:rPr>
        <w:t>Resultados individuales del caso</w:t>
      </w:r>
    </w:p>
    <w:p w14:paraId="0C946DA5" w14:textId="77777777" w:rsidR="00BB56C4" w:rsidRPr="003434C5" w:rsidRDefault="00BB56C4" w:rsidP="6AFFB094">
      <w:pPr>
        <w:spacing w:after="0" w:line="240" w:lineRule="auto"/>
        <w:rPr>
          <w:rFonts w:ascii="Cambria" w:hAnsi="Cambria"/>
          <w:color w:val="000000" w:themeColor="text1"/>
          <w:sz w:val="20"/>
          <w:szCs w:val="20"/>
          <w:lang w:val="es-ES"/>
        </w:rPr>
      </w:pPr>
    </w:p>
    <w:p w14:paraId="353F109C" w14:textId="77777777" w:rsidR="00BB56C4" w:rsidRPr="003434C5" w:rsidRDefault="00BB56C4" w:rsidP="6AFFB094">
      <w:pPr>
        <w:pStyle w:val="Default"/>
        <w:jc w:val="both"/>
        <w:rPr>
          <w:color w:val="000000" w:themeColor="text1"/>
          <w:sz w:val="20"/>
          <w:szCs w:val="20"/>
          <w:lang w:val="es-ES"/>
        </w:rPr>
      </w:pPr>
      <w:r w:rsidRPr="6AFFB094">
        <w:rPr>
          <w:i/>
          <w:iCs/>
          <w:color w:val="000000" w:themeColor="text1"/>
          <w:sz w:val="20"/>
          <w:szCs w:val="20"/>
          <w:lang w:val="es-ES"/>
        </w:rPr>
        <w:t>Medidas de restitución en el ejercicio del derecho</w:t>
      </w:r>
      <w:r w:rsidRPr="6AFFB094">
        <w:rPr>
          <w:color w:val="000000" w:themeColor="text1"/>
          <w:sz w:val="20"/>
          <w:szCs w:val="20"/>
          <w:lang w:val="es-ES"/>
        </w:rPr>
        <w:t xml:space="preserve"> </w:t>
      </w:r>
    </w:p>
    <w:p w14:paraId="4F6CF6F4" w14:textId="77777777" w:rsidR="00BB56C4" w:rsidRPr="003434C5" w:rsidRDefault="009065FE" w:rsidP="6AFFB094">
      <w:pPr>
        <w:pStyle w:val="ListParagraph"/>
        <w:numPr>
          <w:ilvl w:val="0"/>
          <w:numId w:val="31"/>
        </w:numPr>
        <w:spacing w:after="0" w:line="240" w:lineRule="auto"/>
        <w:jc w:val="both"/>
        <w:rPr>
          <w:rFonts w:ascii="Cambria" w:hAnsi="Cambria"/>
          <w:b/>
          <w:bCs/>
          <w:color w:val="000000" w:themeColor="text1"/>
          <w:sz w:val="20"/>
          <w:szCs w:val="20"/>
          <w:lang w:val="es-ES"/>
        </w:rPr>
      </w:pPr>
      <w:r w:rsidRPr="6AFFB094">
        <w:rPr>
          <w:rFonts w:ascii="Cambria" w:hAnsi="Cambria" w:cs="Calibri Light"/>
          <w:color w:val="000000" w:themeColor="text1"/>
          <w:sz w:val="20"/>
          <w:szCs w:val="20"/>
          <w:lang w:val="es-ES"/>
        </w:rPr>
        <w:t xml:space="preserve">La sentencia del señor </w:t>
      </w:r>
      <w:r w:rsidR="00BB56C4" w:rsidRPr="6AFFB094">
        <w:rPr>
          <w:rFonts w:ascii="Cambria" w:hAnsi="Cambria" w:cs="Calibri Light"/>
          <w:color w:val="000000" w:themeColor="text1"/>
          <w:sz w:val="20"/>
          <w:szCs w:val="20"/>
          <w:lang w:val="es-ES"/>
        </w:rPr>
        <w:t xml:space="preserve">Cash </w:t>
      </w:r>
      <w:r w:rsidRPr="6AFFB094">
        <w:rPr>
          <w:rFonts w:ascii="Cambria" w:hAnsi="Cambria" w:cs="Calibri Light"/>
          <w:color w:val="000000" w:themeColor="text1"/>
          <w:sz w:val="20"/>
          <w:szCs w:val="20"/>
          <w:lang w:val="es-ES"/>
        </w:rPr>
        <w:t>fue declarada nula en noviembre de 2011 y</w:t>
      </w:r>
      <w:r w:rsidR="00B90217" w:rsidRPr="6AFFB094">
        <w:rPr>
          <w:rFonts w:ascii="Cambria" w:hAnsi="Cambria" w:cs="Calibri Light"/>
          <w:color w:val="000000" w:themeColor="text1"/>
          <w:sz w:val="20"/>
          <w:szCs w:val="20"/>
          <w:lang w:val="es-ES"/>
        </w:rPr>
        <w:t xml:space="preserve"> el mismo</w:t>
      </w:r>
      <w:r w:rsidRPr="6AFFB094">
        <w:rPr>
          <w:rFonts w:ascii="Cambria" w:hAnsi="Cambria" w:cs="Calibri Light"/>
          <w:color w:val="000000" w:themeColor="text1"/>
          <w:sz w:val="20"/>
          <w:szCs w:val="20"/>
          <w:lang w:val="es-ES"/>
        </w:rPr>
        <w:t xml:space="preserve"> fue sentenciado nuevamente a 30 años de prisión, el 20 de abril de 2012</w:t>
      </w:r>
      <w:r w:rsidR="00BB56C4" w:rsidRPr="6AFFB094">
        <w:rPr>
          <w:rFonts w:ascii="Cambria" w:hAnsi="Cambria" w:cs="Calibri Light"/>
          <w:color w:val="000000" w:themeColor="text1"/>
          <w:sz w:val="20"/>
          <w:szCs w:val="20"/>
          <w:lang w:val="es-ES"/>
        </w:rPr>
        <w:t>.</w:t>
      </w:r>
    </w:p>
    <w:p w14:paraId="224AD705" w14:textId="77777777" w:rsidR="00BB56C4" w:rsidRPr="003434C5" w:rsidRDefault="00BB56C4" w:rsidP="6AFFB094">
      <w:pPr>
        <w:spacing w:after="0" w:line="240" w:lineRule="auto"/>
        <w:jc w:val="both"/>
        <w:rPr>
          <w:rFonts w:ascii="Cambria" w:hAnsi="Cambria" w:cs="Calibri Light"/>
          <w:color w:val="000000" w:themeColor="text1"/>
          <w:sz w:val="20"/>
          <w:szCs w:val="20"/>
          <w:lang w:val="es-ES"/>
        </w:rPr>
      </w:pPr>
    </w:p>
    <w:p w14:paraId="2C278F45" w14:textId="77777777" w:rsidR="00BB56C4" w:rsidRPr="003434C5" w:rsidRDefault="00BB56C4" w:rsidP="6AFFB094">
      <w:pPr>
        <w:pStyle w:val="ListParagraph"/>
        <w:numPr>
          <w:ilvl w:val="0"/>
          <w:numId w:val="20"/>
        </w:numPr>
        <w:spacing w:after="0" w:line="240" w:lineRule="auto"/>
        <w:ind w:firstLine="0"/>
        <w:jc w:val="both"/>
        <w:rPr>
          <w:rFonts w:ascii="Cambria" w:hAnsi="Cambria" w:cs="Calibri Light"/>
          <w:b/>
          <w:bCs/>
          <w:color w:val="000000" w:themeColor="text1"/>
          <w:sz w:val="20"/>
          <w:szCs w:val="20"/>
          <w:lang w:val="es-ES"/>
        </w:rPr>
      </w:pPr>
      <w:r w:rsidRPr="6AFFB094">
        <w:rPr>
          <w:rFonts w:ascii="Cambria" w:hAnsi="Cambria" w:cs="Calibri Light"/>
          <w:b/>
          <w:bCs/>
          <w:color w:val="000000" w:themeColor="text1"/>
          <w:sz w:val="20"/>
          <w:szCs w:val="20"/>
          <w:lang w:val="es-ES"/>
        </w:rPr>
        <w:t>Resultados estructurales del caso</w:t>
      </w:r>
    </w:p>
    <w:p w14:paraId="04B0033E" w14:textId="77777777" w:rsidR="00BB56C4" w:rsidRPr="003434C5" w:rsidRDefault="00BB56C4" w:rsidP="6AFFB094">
      <w:pPr>
        <w:pStyle w:val="ListParagraph"/>
        <w:spacing w:after="0" w:line="240" w:lineRule="auto"/>
        <w:jc w:val="both"/>
        <w:rPr>
          <w:rFonts w:ascii="Cambria" w:hAnsi="Cambria"/>
          <w:b/>
          <w:bCs/>
          <w:color w:val="000000" w:themeColor="text1"/>
          <w:sz w:val="20"/>
          <w:szCs w:val="20"/>
          <w:lang w:val="es-ES"/>
        </w:rPr>
      </w:pPr>
    </w:p>
    <w:p w14:paraId="40CBFD8D" w14:textId="77777777" w:rsidR="00D26CDC" w:rsidRPr="000C5ED7" w:rsidRDefault="00D26CDC" w:rsidP="6AFFB094">
      <w:pPr>
        <w:spacing w:after="0"/>
        <w:rPr>
          <w:rFonts w:ascii="Cambria" w:hAnsi="Cambria"/>
          <w:i/>
          <w:iCs/>
          <w:color w:val="000000" w:themeColor="text1"/>
          <w:sz w:val="20"/>
          <w:szCs w:val="20"/>
          <w:lang w:val="es-ES"/>
        </w:rPr>
      </w:pPr>
      <w:bookmarkStart w:id="9" w:name="_Hlk89267631"/>
      <w:r w:rsidRPr="6AFFB094">
        <w:rPr>
          <w:rFonts w:ascii="Cambria" w:hAnsi="Cambria"/>
          <w:i/>
          <w:iCs/>
          <w:color w:val="000000" w:themeColor="text1"/>
          <w:sz w:val="20"/>
          <w:szCs w:val="20"/>
          <w:lang w:val="es-ES"/>
        </w:rPr>
        <w:t>Legislación/Normativa</w:t>
      </w:r>
    </w:p>
    <w:p w14:paraId="6CCAE2C9" w14:textId="77777777" w:rsidR="00D26CDC" w:rsidRPr="0080395A" w:rsidRDefault="00D26CDC" w:rsidP="00D26CDC">
      <w:pPr>
        <w:pStyle w:val="ListParagraph"/>
        <w:numPr>
          <w:ilvl w:val="0"/>
          <w:numId w:val="35"/>
        </w:numPr>
        <w:spacing w:line="240" w:lineRule="auto"/>
        <w:jc w:val="both"/>
        <w:rPr>
          <w:rFonts w:ascii="Cambria" w:hAnsi="Cambria"/>
          <w:color w:val="000000" w:themeColor="text1"/>
          <w:sz w:val="20"/>
          <w:szCs w:val="20"/>
          <w:lang w:val="es-ES"/>
        </w:rPr>
      </w:pPr>
      <w:r w:rsidRPr="6AFFB094">
        <w:rPr>
          <w:rFonts w:ascii="Cambria" w:hAnsi="Cambria" w:cs="Calibri Light"/>
          <w:color w:val="000000" w:themeColor="text1"/>
          <w:sz w:val="20"/>
          <w:szCs w:val="20"/>
          <w:lang w:val="es-ES"/>
        </w:rPr>
        <w:t xml:space="preserve">Modificación a la legislación penal del país a raíz de la decisión del caso </w:t>
      </w:r>
      <w:proofErr w:type="spellStart"/>
      <w:r w:rsidRPr="6AFFB094">
        <w:rPr>
          <w:rFonts w:ascii="Cambria" w:hAnsi="Cambria" w:cs="Calibri Light"/>
          <w:i/>
          <w:iCs/>
          <w:color w:val="000000" w:themeColor="text1"/>
          <w:sz w:val="20"/>
          <w:szCs w:val="20"/>
          <w:lang w:val="es-ES"/>
        </w:rPr>
        <w:t>Bowe</w:t>
      </w:r>
      <w:proofErr w:type="spellEnd"/>
      <w:r w:rsidRPr="6AFFB094">
        <w:rPr>
          <w:rFonts w:ascii="Cambria" w:hAnsi="Cambria" w:cs="Calibri Light"/>
          <w:i/>
          <w:iCs/>
          <w:color w:val="000000" w:themeColor="text1"/>
          <w:sz w:val="20"/>
          <w:szCs w:val="20"/>
          <w:lang w:val="es-ES"/>
        </w:rPr>
        <w:t xml:space="preserve"> and </w:t>
      </w:r>
      <w:proofErr w:type="spellStart"/>
      <w:r w:rsidRPr="6AFFB094">
        <w:rPr>
          <w:rFonts w:ascii="Cambria" w:hAnsi="Cambria" w:cs="Calibri Light"/>
          <w:i/>
          <w:iCs/>
          <w:color w:val="000000" w:themeColor="text1"/>
          <w:sz w:val="20"/>
          <w:szCs w:val="20"/>
          <w:lang w:val="es-ES"/>
        </w:rPr>
        <w:t>Another</w:t>
      </w:r>
      <w:proofErr w:type="spellEnd"/>
      <w:r w:rsidRPr="6AFFB094">
        <w:rPr>
          <w:rFonts w:ascii="Cambria" w:hAnsi="Cambria" w:cs="Calibri Light"/>
          <w:i/>
          <w:iCs/>
          <w:color w:val="000000" w:themeColor="text1"/>
          <w:sz w:val="20"/>
          <w:szCs w:val="20"/>
          <w:lang w:val="es-ES"/>
        </w:rPr>
        <w:t xml:space="preserve"> v. Queen [2006]</w:t>
      </w:r>
      <w:r w:rsidRPr="6AFFB094">
        <w:rPr>
          <w:rFonts w:ascii="Cambria" w:hAnsi="Cambria" w:cs="Calibri Light"/>
          <w:color w:val="000000" w:themeColor="text1"/>
          <w:sz w:val="20"/>
          <w:szCs w:val="20"/>
          <w:lang w:val="es-ES"/>
        </w:rPr>
        <w:t xml:space="preserve">, en la que el </w:t>
      </w:r>
      <w:r w:rsidRPr="6AFFB094">
        <w:rPr>
          <w:rFonts w:ascii="Cambria" w:hAnsi="Cambria" w:cs="Calibri Light"/>
          <w:i/>
          <w:iCs/>
          <w:color w:val="000000" w:themeColor="text1"/>
          <w:sz w:val="20"/>
          <w:szCs w:val="20"/>
          <w:lang w:val="es-ES"/>
        </w:rPr>
        <w:t xml:space="preserve">Judicial </w:t>
      </w:r>
      <w:proofErr w:type="spellStart"/>
      <w:r w:rsidRPr="6AFFB094">
        <w:rPr>
          <w:rFonts w:ascii="Cambria" w:hAnsi="Cambria" w:cs="Calibri Light"/>
          <w:i/>
          <w:iCs/>
          <w:color w:val="000000" w:themeColor="text1"/>
          <w:sz w:val="20"/>
          <w:szCs w:val="20"/>
          <w:lang w:val="es-ES"/>
        </w:rPr>
        <w:t>Committee</w:t>
      </w:r>
      <w:proofErr w:type="spellEnd"/>
      <w:r w:rsidRPr="6AFFB094">
        <w:rPr>
          <w:rFonts w:ascii="Cambria" w:hAnsi="Cambria" w:cs="Calibri Light"/>
          <w:i/>
          <w:iCs/>
          <w:color w:val="000000" w:themeColor="text1"/>
          <w:sz w:val="20"/>
          <w:szCs w:val="20"/>
          <w:lang w:val="es-ES"/>
        </w:rPr>
        <w:t xml:space="preserve"> of </w:t>
      </w:r>
      <w:proofErr w:type="spellStart"/>
      <w:r w:rsidRPr="6AFFB094">
        <w:rPr>
          <w:rFonts w:ascii="Cambria" w:hAnsi="Cambria" w:cs="Calibri Light"/>
          <w:i/>
          <w:iCs/>
          <w:color w:val="000000" w:themeColor="text1"/>
          <w:sz w:val="20"/>
          <w:szCs w:val="20"/>
          <w:lang w:val="es-ES"/>
        </w:rPr>
        <w:t>the</w:t>
      </w:r>
      <w:proofErr w:type="spellEnd"/>
      <w:r w:rsidRPr="6AFFB094">
        <w:rPr>
          <w:rFonts w:ascii="Cambria" w:hAnsi="Cambria" w:cs="Calibri Light"/>
          <w:i/>
          <w:iCs/>
          <w:color w:val="000000" w:themeColor="text1"/>
          <w:sz w:val="20"/>
          <w:szCs w:val="20"/>
          <w:lang w:val="es-ES"/>
        </w:rPr>
        <w:t xml:space="preserve"> </w:t>
      </w:r>
      <w:proofErr w:type="spellStart"/>
      <w:r w:rsidRPr="6AFFB094">
        <w:rPr>
          <w:rFonts w:ascii="Cambria" w:hAnsi="Cambria" w:cs="Calibri Light"/>
          <w:i/>
          <w:iCs/>
          <w:color w:val="000000" w:themeColor="text1"/>
          <w:sz w:val="20"/>
          <w:szCs w:val="20"/>
          <w:lang w:val="es-ES"/>
        </w:rPr>
        <w:t>Privy</w:t>
      </w:r>
      <w:proofErr w:type="spellEnd"/>
      <w:r w:rsidRPr="6AFFB094">
        <w:rPr>
          <w:rFonts w:ascii="Cambria" w:hAnsi="Cambria" w:cs="Calibri Light"/>
          <w:i/>
          <w:iCs/>
          <w:color w:val="000000" w:themeColor="text1"/>
          <w:sz w:val="20"/>
          <w:szCs w:val="20"/>
          <w:lang w:val="es-ES"/>
        </w:rPr>
        <w:t xml:space="preserve"> Council</w:t>
      </w:r>
      <w:r w:rsidRPr="6AFFB094">
        <w:rPr>
          <w:rFonts w:ascii="Cambria" w:hAnsi="Cambria" w:cs="Calibri Light"/>
          <w:color w:val="000000" w:themeColor="text1"/>
          <w:sz w:val="20"/>
          <w:szCs w:val="20"/>
          <w:lang w:val="es-ES"/>
        </w:rPr>
        <w:t xml:space="preserve"> admitió la impugnación de la constitucionalidad de la pena de muerte obligatoria por asesinato por contravenir la prohibición constitucional de las penas inhumanas y degradantes por su falta de individualización. En consecuencia, las personas condenadas a muerte antes de la decisión obtuvieron una revisión de su sentencia.</w:t>
      </w:r>
    </w:p>
    <w:p w14:paraId="3E6B2DAF" w14:textId="77777777" w:rsidR="00D26CDC" w:rsidRDefault="00D26CDC" w:rsidP="6AFFB094">
      <w:pPr>
        <w:pStyle w:val="Default"/>
        <w:ind w:left="360"/>
        <w:jc w:val="both"/>
        <w:rPr>
          <w:rFonts w:cs="Calibri Light"/>
          <w:color w:val="000000" w:themeColor="text1"/>
          <w:sz w:val="20"/>
          <w:szCs w:val="20"/>
          <w:lang w:val="es-ES"/>
        </w:rPr>
      </w:pPr>
      <w:proofErr w:type="spellStart"/>
      <w:r w:rsidRPr="6AFFB094">
        <w:rPr>
          <w:rFonts w:cs="Calibri Light"/>
          <w:color w:val="000000" w:themeColor="text1"/>
          <w:sz w:val="20"/>
          <w:szCs w:val="20"/>
          <w:lang w:val="es-ES"/>
        </w:rPr>
        <w:t>Araíz</w:t>
      </w:r>
      <w:proofErr w:type="spellEnd"/>
      <w:r w:rsidRPr="6AFFB094">
        <w:rPr>
          <w:rFonts w:cs="Calibri Light"/>
          <w:color w:val="000000" w:themeColor="text1"/>
          <w:sz w:val="20"/>
          <w:szCs w:val="20"/>
          <w:lang w:val="es-ES"/>
        </w:rPr>
        <w:t xml:space="preserve"> de la decisión en el caso </w:t>
      </w:r>
      <w:proofErr w:type="spellStart"/>
      <w:r w:rsidRPr="6AFFB094">
        <w:rPr>
          <w:rFonts w:cs="Calibri Light"/>
          <w:i/>
          <w:iCs/>
          <w:color w:val="000000" w:themeColor="text1"/>
          <w:sz w:val="20"/>
          <w:szCs w:val="20"/>
          <w:lang w:val="es-ES"/>
        </w:rPr>
        <w:t>Bowe</w:t>
      </w:r>
      <w:proofErr w:type="spellEnd"/>
      <w:r w:rsidRPr="6AFFB094">
        <w:rPr>
          <w:rFonts w:cs="Calibri Light"/>
          <w:i/>
          <w:iCs/>
          <w:color w:val="000000" w:themeColor="text1"/>
          <w:sz w:val="20"/>
          <w:szCs w:val="20"/>
          <w:lang w:val="es-ES"/>
        </w:rPr>
        <w:t xml:space="preserve">, </w:t>
      </w:r>
      <w:r w:rsidRPr="6AFFB094">
        <w:rPr>
          <w:rFonts w:cs="Calibri Light"/>
          <w:color w:val="000000" w:themeColor="text1"/>
          <w:sz w:val="20"/>
          <w:szCs w:val="20"/>
          <w:lang w:val="es-ES"/>
        </w:rPr>
        <w:t xml:space="preserve">se adoptaron medidas legislativas como: </w:t>
      </w:r>
    </w:p>
    <w:p w14:paraId="30C4655F" w14:textId="77777777" w:rsidR="00D26CDC" w:rsidRDefault="00D26CDC" w:rsidP="6AFFB094">
      <w:pPr>
        <w:pStyle w:val="Default"/>
        <w:ind w:left="360"/>
        <w:jc w:val="both"/>
        <w:rPr>
          <w:rFonts w:cs="Calibri Light"/>
          <w:color w:val="000000" w:themeColor="text1"/>
          <w:sz w:val="20"/>
          <w:szCs w:val="20"/>
          <w:lang w:val="es-ES"/>
        </w:rPr>
      </w:pPr>
    </w:p>
    <w:p w14:paraId="7971BC55" w14:textId="77777777" w:rsidR="00D26CDC" w:rsidRDefault="00D26CDC" w:rsidP="6AFFB094">
      <w:pPr>
        <w:pStyle w:val="Default"/>
        <w:ind w:left="720"/>
        <w:jc w:val="both"/>
        <w:rPr>
          <w:rFonts w:cs="Calibri Light"/>
          <w:color w:val="000000" w:themeColor="text1"/>
          <w:sz w:val="20"/>
          <w:szCs w:val="20"/>
          <w:lang w:val="es-ES"/>
        </w:rPr>
      </w:pPr>
      <w:r w:rsidRPr="6AFFB094">
        <w:rPr>
          <w:rFonts w:cs="Calibri Light"/>
          <w:color w:val="000000" w:themeColor="text1"/>
          <w:sz w:val="20"/>
          <w:szCs w:val="20"/>
          <w:lang w:val="es-ES"/>
        </w:rPr>
        <w:t xml:space="preserve">1) Derogar y sustituir la pena de muerte obligatoria en el Código Penal (Ley de Enmienda) en 2011 y crear directrices para reevaluar las sentencias en las condenas por homicidio; </w:t>
      </w:r>
    </w:p>
    <w:p w14:paraId="1B530C61" w14:textId="77777777" w:rsidR="00D26CDC" w:rsidRDefault="00D26CDC" w:rsidP="6AFFB094">
      <w:pPr>
        <w:pStyle w:val="Default"/>
        <w:ind w:left="720"/>
        <w:jc w:val="both"/>
        <w:rPr>
          <w:rFonts w:cs="Calibri Light"/>
          <w:color w:val="000000" w:themeColor="text1"/>
          <w:sz w:val="20"/>
          <w:szCs w:val="20"/>
          <w:lang w:val="es-ES"/>
        </w:rPr>
      </w:pPr>
      <w:r w:rsidRPr="6AFFB094">
        <w:rPr>
          <w:rFonts w:cs="Calibri Light"/>
          <w:color w:val="000000" w:themeColor="text1"/>
          <w:sz w:val="20"/>
          <w:szCs w:val="20"/>
          <w:lang w:val="es-ES"/>
        </w:rPr>
        <w:t xml:space="preserve">2) Por la decisión en el caso </w:t>
      </w:r>
      <w:proofErr w:type="spellStart"/>
      <w:r w:rsidRPr="6AFFB094">
        <w:rPr>
          <w:rFonts w:cs="Calibri Light"/>
          <w:i/>
          <w:iCs/>
          <w:color w:val="000000" w:themeColor="text1"/>
          <w:sz w:val="20"/>
          <w:szCs w:val="20"/>
          <w:lang w:val="es-ES"/>
        </w:rPr>
        <w:t>Tido</w:t>
      </w:r>
      <w:proofErr w:type="spellEnd"/>
      <w:r w:rsidRPr="6AFFB094">
        <w:rPr>
          <w:rFonts w:cs="Calibri Light"/>
          <w:i/>
          <w:iCs/>
          <w:color w:val="000000" w:themeColor="text1"/>
          <w:sz w:val="20"/>
          <w:szCs w:val="20"/>
          <w:lang w:val="es-ES"/>
        </w:rPr>
        <w:t xml:space="preserve"> v </w:t>
      </w:r>
      <w:proofErr w:type="spellStart"/>
      <w:r w:rsidRPr="6AFFB094">
        <w:rPr>
          <w:rFonts w:cs="Calibri Light"/>
          <w:i/>
          <w:iCs/>
          <w:color w:val="000000" w:themeColor="text1"/>
          <w:sz w:val="20"/>
          <w:szCs w:val="20"/>
          <w:lang w:val="es-ES"/>
        </w:rPr>
        <w:t>The</w:t>
      </w:r>
      <w:proofErr w:type="spellEnd"/>
      <w:r w:rsidRPr="6AFFB094">
        <w:rPr>
          <w:rFonts w:cs="Calibri Light"/>
          <w:i/>
          <w:iCs/>
          <w:color w:val="000000" w:themeColor="text1"/>
          <w:sz w:val="20"/>
          <w:szCs w:val="20"/>
          <w:lang w:val="es-ES"/>
        </w:rPr>
        <w:t xml:space="preserve"> Queen [2011]</w:t>
      </w:r>
      <w:r w:rsidRPr="6AFFB094">
        <w:rPr>
          <w:rFonts w:cs="Calibri Light"/>
          <w:color w:val="000000" w:themeColor="text1"/>
          <w:sz w:val="20"/>
          <w:szCs w:val="20"/>
          <w:lang w:val="es-ES"/>
        </w:rPr>
        <w:t xml:space="preserve">, el </w:t>
      </w:r>
      <w:proofErr w:type="spellStart"/>
      <w:r w:rsidRPr="6AFFB094">
        <w:rPr>
          <w:rFonts w:cs="Calibri Light"/>
          <w:i/>
          <w:iCs/>
          <w:color w:val="000000" w:themeColor="text1"/>
          <w:sz w:val="20"/>
          <w:szCs w:val="20"/>
          <w:lang w:val="es-ES"/>
        </w:rPr>
        <w:t>Privy</w:t>
      </w:r>
      <w:proofErr w:type="spellEnd"/>
      <w:r w:rsidRPr="6AFFB094">
        <w:rPr>
          <w:rFonts w:cs="Calibri Light"/>
          <w:i/>
          <w:iCs/>
          <w:color w:val="000000" w:themeColor="text1"/>
          <w:sz w:val="20"/>
          <w:szCs w:val="20"/>
          <w:lang w:val="es-ES"/>
        </w:rPr>
        <w:t xml:space="preserve"> Council</w:t>
      </w:r>
      <w:r w:rsidRPr="6AFFB094">
        <w:rPr>
          <w:rFonts w:cs="Calibri Light"/>
          <w:color w:val="000000" w:themeColor="text1"/>
          <w:sz w:val="20"/>
          <w:szCs w:val="20"/>
          <w:lang w:val="es-ES"/>
        </w:rPr>
        <w:t xml:space="preserve"> estableció los criterios y estándares judiciales para la imposición de la pena de muerte sólo en los casos en los que los hechos del delito son los más extremos y excepcionales, a partir de la aplicación </w:t>
      </w:r>
      <w:proofErr w:type="gramStart"/>
      <w:r w:rsidRPr="6AFFB094">
        <w:rPr>
          <w:rFonts w:cs="Calibri Light"/>
          <w:color w:val="000000" w:themeColor="text1"/>
          <w:sz w:val="20"/>
          <w:szCs w:val="20"/>
          <w:lang w:val="es-ES"/>
        </w:rPr>
        <w:t>del test</w:t>
      </w:r>
      <w:proofErr w:type="gramEnd"/>
      <w:r w:rsidRPr="6AFFB094">
        <w:rPr>
          <w:rFonts w:cs="Calibri Light"/>
          <w:color w:val="000000" w:themeColor="text1"/>
          <w:sz w:val="20"/>
          <w:szCs w:val="20"/>
          <w:lang w:val="es-ES"/>
        </w:rPr>
        <w:t xml:space="preserve"> denominado “</w:t>
      </w:r>
      <w:proofErr w:type="spellStart"/>
      <w:r w:rsidRPr="6AFFB094">
        <w:rPr>
          <w:rFonts w:cs="Calibri Light"/>
          <w:i/>
          <w:iCs/>
          <w:color w:val="000000" w:themeColor="text1"/>
          <w:sz w:val="20"/>
          <w:szCs w:val="20"/>
          <w:lang w:val="es-ES"/>
        </w:rPr>
        <w:t>worst</w:t>
      </w:r>
      <w:proofErr w:type="spellEnd"/>
      <w:r w:rsidRPr="6AFFB094">
        <w:rPr>
          <w:rFonts w:cs="Calibri Light"/>
          <w:i/>
          <w:iCs/>
          <w:color w:val="000000" w:themeColor="text1"/>
          <w:sz w:val="20"/>
          <w:szCs w:val="20"/>
          <w:lang w:val="es-ES"/>
        </w:rPr>
        <w:t xml:space="preserve"> of </w:t>
      </w:r>
      <w:proofErr w:type="spellStart"/>
      <w:r w:rsidRPr="6AFFB094">
        <w:rPr>
          <w:rFonts w:cs="Calibri Light"/>
          <w:i/>
          <w:iCs/>
          <w:color w:val="000000" w:themeColor="text1"/>
          <w:sz w:val="20"/>
          <w:szCs w:val="20"/>
          <w:lang w:val="es-ES"/>
        </w:rPr>
        <w:t>the</w:t>
      </w:r>
      <w:proofErr w:type="spellEnd"/>
      <w:r w:rsidRPr="6AFFB094">
        <w:rPr>
          <w:rFonts w:cs="Calibri Light"/>
          <w:i/>
          <w:iCs/>
          <w:color w:val="000000" w:themeColor="text1"/>
          <w:sz w:val="20"/>
          <w:szCs w:val="20"/>
          <w:lang w:val="es-ES"/>
        </w:rPr>
        <w:t xml:space="preserve"> </w:t>
      </w:r>
      <w:proofErr w:type="spellStart"/>
      <w:r w:rsidRPr="6AFFB094">
        <w:rPr>
          <w:rFonts w:cs="Calibri Light"/>
          <w:i/>
          <w:iCs/>
          <w:color w:val="000000" w:themeColor="text1"/>
          <w:sz w:val="20"/>
          <w:szCs w:val="20"/>
          <w:lang w:val="es-ES"/>
        </w:rPr>
        <w:t>worst</w:t>
      </w:r>
      <w:proofErr w:type="spellEnd"/>
      <w:r w:rsidRPr="6AFFB094">
        <w:rPr>
          <w:rFonts w:cs="Calibri Light"/>
          <w:color w:val="000000" w:themeColor="text1"/>
          <w:sz w:val="20"/>
          <w:szCs w:val="20"/>
          <w:lang w:val="es-ES"/>
        </w:rPr>
        <w:t xml:space="preserve">” </w:t>
      </w:r>
      <w:proofErr w:type="spellStart"/>
      <w:r w:rsidRPr="6AFFB094">
        <w:rPr>
          <w:rFonts w:cs="Calibri Light"/>
          <w:color w:val="000000" w:themeColor="text1"/>
          <w:sz w:val="20"/>
          <w:szCs w:val="20"/>
          <w:lang w:val="es-ES"/>
        </w:rPr>
        <w:t>or</w:t>
      </w:r>
      <w:proofErr w:type="spellEnd"/>
      <w:r w:rsidRPr="6AFFB094">
        <w:rPr>
          <w:rFonts w:cs="Calibri Light"/>
          <w:color w:val="000000" w:themeColor="text1"/>
          <w:sz w:val="20"/>
          <w:szCs w:val="20"/>
          <w:lang w:val="es-ES"/>
        </w:rPr>
        <w:t xml:space="preserve"> “</w:t>
      </w:r>
      <w:proofErr w:type="spellStart"/>
      <w:r w:rsidRPr="6AFFB094">
        <w:rPr>
          <w:rFonts w:cs="Calibri Light"/>
          <w:i/>
          <w:iCs/>
          <w:color w:val="000000" w:themeColor="text1"/>
          <w:sz w:val="20"/>
          <w:szCs w:val="20"/>
          <w:lang w:val="es-ES"/>
        </w:rPr>
        <w:t>the</w:t>
      </w:r>
      <w:proofErr w:type="spellEnd"/>
      <w:r w:rsidRPr="6AFFB094">
        <w:rPr>
          <w:rFonts w:cs="Calibri Light"/>
          <w:i/>
          <w:iCs/>
          <w:color w:val="000000" w:themeColor="text1"/>
          <w:sz w:val="20"/>
          <w:szCs w:val="20"/>
          <w:lang w:val="es-ES"/>
        </w:rPr>
        <w:t xml:space="preserve"> </w:t>
      </w:r>
      <w:proofErr w:type="spellStart"/>
      <w:r w:rsidRPr="6AFFB094">
        <w:rPr>
          <w:rFonts w:cs="Calibri Light"/>
          <w:i/>
          <w:iCs/>
          <w:color w:val="000000" w:themeColor="text1"/>
          <w:sz w:val="20"/>
          <w:szCs w:val="20"/>
          <w:lang w:val="es-ES"/>
        </w:rPr>
        <w:t>rarest</w:t>
      </w:r>
      <w:proofErr w:type="spellEnd"/>
      <w:r w:rsidRPr="6AFFB094">
        <w:rPr>
          <w:rFonts w:cs="Calibri Light"/>
          <w:i/>
          <w:iCs/>
          <w:color w:val="000000" w:themeColor="text1"/>
          <w:sz w:val="20"/>
          <w:szCs w:val="20"/>
          <w:lang w:val="es-ES"/>
        </w:rPr>
        <w:t xml:space="preserve"> of rare</w:t>
      </w:r>
      <w:r w:rsidRPr="6AFFB094">
        <w:rPr>
          <w:rFonts w:cs="Calibri Light"/>
          <w:color w:val="000000" w:themeColor="text1"/>
          <w:sz w:val="20"/>
          <w:szCs w:val="20"/>
          <w:lang w:val="es-ES"/>
        </w:rPr>
        <w:t>”.</w:t>
      </w:r>
    </w:p>
    <w:bookmarkEnd w:id="9"/>
    <w:p w14:paraId="5C0EB6AF" w14:textId="77777777" w:rsidR="00D26CDC" w:rsidRDefault="00D26CDC" w:rsidP="6AFFB094">
      <w:pPr>
        <w:pStyle w:val="Default"/>
        <w:ind w:left="720"/>
        <w:jc w:val="both"/>
        <w:rPr>
          <w:rFonts w:cs="Calibri Light"/>
          <w:color w:val="000000" w:themeColor="text1"/>
          <w:sz w:val="20"/>
          <w:szCs w:val="20"/>
          <w:lang w:val="es-ES"/>
        </w:rPr>
      </w:pPr>
    </w:p>
    <w:p w14:paraId="3B83426C" w14:textId="77777777" w:rsidR="00D26CDC" w:rsidRPr="000C5ED7" w:rsidRDefault="00D26CDC" w:rsidP="6AFFB094">
      <w:pPr>
        <w:pStyle w:val="Default"/>
        <w:numPr>
          <w:ilvl w:val="0"/>
          <w:numId w:val="35"/>
        </w:numPr>
        <w:jc w:val="both"/>
        <w:rPr>
          <w:rFonts w:cs="Calibri Light"/>
          <w:color w:val="000000" w:themeColor="text1"/>
          <w:sz w:val="20"/>
          <w:szCs w:val="20"/>
          <w:lang w:val="es-ES"/>
        </w:rPr>
      </w:pPr>
      <w:r w:rsidRPr="6AFFB094">
        <w:rPr>
          <w:rFonts w:cs="Calibri Light"/>
          <w:color w:val="000000" w:themeColor="text1"/>
          <w:sz w:val="20"/>
          <w:szCs w:val="20"/>
          <w:lang w:val="es-ES"/>
        </w:rPr>
        <w:t xml:space="preserve">Artículos 20 y 29 constitucionales disponen la protección de la ley para cualquier persona acusada de un delito penal y garantiza el derecho a un juicio justo en un plazo razonable en una corte independiente e imparcial establecida por la ley, así como la opción de cualquier persona de recurrir a la </w:t>
      </w:r>
      <w:r w:rsidRPr="6AFFB094">
        <w:rPr>
          <w:rFonts w:cs="Calibri Light"/>
          <w:i/>
          <w:iCs/>
          <w:color w:val="000000" w:themeColor="text1"/>
          <w:sz w:val="20"/>
          <w:szCs w:val="20"/>
          <w:lang w:val="es-ES"/>
        </w:rPr>
        <w:t xml:space="preserve">Supreme </w:t>
      </w:r>
      <w:proofErr w:type="spellStart"/>
      <w:r w:rsidRPr="6AFFB094">
        <w:rPr>
          <w:rFonts w:cs="Calibri Light"/>
          <w:i/>
          <w:iCs/>
          <w:color w:val="000000" w:themeColor="text1"/>
          <w:sz w:val="20"/>
          <w:szCs w:val="20"/>
          <w:lang w:val="es-ES"/>
        </w:rPr>
        <w:t>Court</w:t>
      </w:r>
      <w:proofErr w:type="spellEnd"/>
      <w:r w:rsidRPr="6AFFB094">
        <w:rPr>
          <w:rFonts w:cs="Calibri Light"/>
          <w:i/>
          <w:iCs/>
          <w:color w:val="000000" w:themeColor="text1"/>
          <w:sz w:val="20"/>
          <w:szCs w:val="20"/>
          <w:lang w:val="es-ES"/>
        </w:rPr>
        <w:t xml:space="preserve"> </w:t>
      </w:r>
      <w:r w:rsidRPr="6AFFB094">
        <w:rPr>
          <w:rFonts w:cs="Calibri Light"/>
          <w:color w:val="000000" w:themeColor="text1"/>
          <w:sz w:val="20"/>
          <w:szCs w:val="20"/>
          <w:lang w:val="es-ES"/>
        </w:rPr>
        <w:t xml:space="preserve">cuando su derecho fundamental haya sido, esté siendo o pueda ser vulnerado. </w:t>
      </w:r>
    </w:p>
    <w:p w14:paraId="359803D3" w14:textId="77777777" w:rsidR="00D26CDC" w:rsidRDefault="00D26CDC" w:rsidP="6AFFB094">
      <w:pPr>
        <w:pStyle w:val="Default"/>
        <w:numPr>
          <w:ilvl w:val="0"/>
          <w:numId w:val="35"/>
        </w:numPr>
        <w:jc w:val="both"/>
        <w:rPr>
          <w:rFonts w:cs="Calibri Light"/>
          <w:color w:val="000000" w:themeColor="text1"/>
          <w:sz w:val="20"/>
          <w:szCs w:val="20"/>
          <w:lang w:val="es-ES"/>
        </w:rPr>
      </w:pPr>
      <w:r w:rsidRPr="6AFFB094">
        <w:rPr>
          <w:rFonts w:cs="Calibri Light"/>
          <w:color w:val="000000" w:themeColor="text1"/>
          <w:sz w:val="20"/>
          <w:szCs w:val="20"/>
          <w:lang w:val="es-ES"/>
        </w:rPr>
        <w:t xml:space="preserve">Artículo 20(d) de la Constitución establece que las personas acusadas de un delito pueden defenderse ante un tribunal por medio de un representante legal, ya sea con cargo al </w:t>
      </w:r>
      <w:proofErr w:type="gramStart"/>
      <w:r w:rsidRPr="6AFFB094">
        <w:rPr>
          <w:rFonts w:cs="Calibri Light"/>
          <w:color w:val="000000" w:themeColor="text1"/>
          <w:sz w:val="20"/>
          <w:szCs w:val="20"/>
          <w:lang w:val="es-ES"/>
        </w:rPr>
        <w:t>erario público</w:t>
      </w:r>
      <w:proofErr w:type="gramEnd"/>
      <w:r w:rsidRPr="6AFFB094">
        <w:rPr>
          <w:rFonts w:cs="Calibri Light"/>
          <w:color w:val="000000" w:themeColor="text1"/>
          <w:sz w:val="20"/>
          <w:szCs w:val="20"/>
          <w:lang w:val="es-ES"/>
        </w:rPr>
        <w:t xml:space="preserve"> o en virtud de una ley en vigor en las Bahamas, disposición que se desarrolla de manera similar en la sección 194 del Código de Procedimiento Penal y el artículo 19 (2) de la Ley del Tribunal de Apelación. </w:t>
      </w:r>
    </w:p>
    <w:p w14:paraId="23D78048" w14:textId="77777777" w:rsidR="00D26CDC" w:rsidRPr="00CB1A69" w:rsidRDefault="00D26CDC" w:rsidP="6AFFB094">
      <w:pPr>
        <w:pStyle w:val="ListParagraph"/>
        <w:numPr>
          <w:ilvl w:val="0"/>
          <w:numId w:val="35"/>
        </w:numPr>
        <w:jc w:val="both"/>
        <w:rPr>
          <w:rFonts w:ascii="Cambria" w:hAnsi="Cambria"/>
          <w:i/>
          <w:iCs/>
          <w:color w:val="000000" w:themeColor="text1"/>
          <w:sz w:val="20"/>
          <w:szCs w:val="20"/>
          <w:lang w:val="es-ES"/>
        </w:rPr>
      </w:pPr>
      <w:bookmarkStart w:id="10" w:name="_Hlk89267641"/>
      <w:r w:rsidRPr="6AFFB094">
        <w:rPr>
          <w:rFonts w:ascii="Cambria" w:hAnsi="Cambria" w:cs="Calibri Light"/>
          <w:color w:val="000000" w:themeColor="text1"/>
          <w:sz w:val="20"/>
          <w:szCs w:val="20"/>
          <w:lang w:val="es-ES"/>
        </w:rPr>
        <w:t>Enmiendas para permitir la presentación de una acusación voluntaria (</w:t>
      </w:r>
      <w:proofErr w:type="spellStart"/>
      <w:r w:rsidRPr="6AFFB094">
        <w:rPr>
          <w:rFonts w:ascii="Cambria" w:hAnsi="Cambria"/>
          <w:i/>
          <w:iCs/>
          <w:color w:val="000000" w:themeColor="text1"/>
          <w:sz w:val="20"/>
          <w:szCs w:val="20"/>
          <w:lang w:val="es-CO"/>
        </w:rPr>
        <w:t>Voluntary</w:t>
      </w:r>
      <w:proofErr w:type="spellEnd"/>
      <w:r w:rsidRPr="6AFFB094">
        <w:rPr>
          <w:rFonts w:ascii="Cambria" w:hAnsi="Cambria"/>
          <w:i/>
          <w:iCs/>
          <w:color w:val="000000" w:themeColor="text1"/>
          <w:sz w:val="20"/>
          <w:szCs w:val="20"/>
          <w:lang w:val="es-CO"/>
        </w:rPr>
        <w:t xml:space="preserve"> Bill of </w:t>
      </w:r>
      <w:proofErr w:type="spellStart"/>
      <w:r w:rsidRPr="6AFFB094">
        <w:rPr>
          <w:rFonts w:ascii="Cambria" w:hAnsi="Cambria"/>
          <w:i/>
          <w:iCs/>
          <w:color w:val="000000" w:themeColor="text1"/>
          <w:sz w:val="20"/>
          <w:szCs w:val="20"/>
          <w:lang w:val="es-CO"/>
        </w:rPr>
        <w:t>Indictment</w:t>
      </w:r>
      <w:proofErr w:type="spellEnd"/>
      <w:r w:rsidRPr="6AFFB094">
        <w:rPr>
          <w:rFonts w:ascii="Cambria" w:hAnsi="Cambria"/>
          <w:color w:val="000000" w:themeColor="text1"/>
          <w:sz w:val="20"/>
          <w:szCs w:val="20"/>
          <w:lang w:val="es-CO"/>
        </w:rPr>
        <w:t xml:space="preserve"> - </w:t>
      </w:r>
      <w:r w:rsidRPr="6AFFB094">
        <w:rPr>
          <w:rFonts w:ascii="Cambria" w:hAnsi="Cambria" w:cs="Calibri Light"/>
          <w:color w:val="000000" w:themeColor="text1"/>
          <w:sz w:val="20"/>
          <w:szCs w:val="20"/>
          <w:lang w:val="es-ES"/>
        </w:rPr>
        <w:t>VBI) como alternativa al trámite de Investigación Preliminar, con el fin de acelerar los juicios, prevista en las reglas de 2021 la Corte Suprema (</w:t>
      </w:r>
      <w:r w:rsidRPr="6AFFB094">
        <w:rPr>
          <w:rFonts w:ascii="Cambria" w:hAnsi="Cambria" w:cs="Calibri Light"/>
          <w:i/>
          <w:iCs/>
          <w:color w:val="000000" w:themeColor="text1"/>
          <w:sz w:val="20"/>
          <w:szCs w:val="20"/>
          <w:lang w:val="es-ES"/>
        </w:rPr>
        <w:t xml:space="preserve">Supreme </w:t>
      </w:r>
      <w:proofErr w:type="spellStart"/>
      <w:r w:rsidRPr="6AFFB094">
        <w:rPr>
          <w:rFonts w:ascii="Cambria" w:hAnsi="Cambria" w:cs="Calibri Light"/>
          <w:i/>
          <w:iCs/>
          <w:color w:val="000000" w:themeColor="text1"/>
          <w:sz w:val="20"/>
          <w:szCs w:val="20"/>
          <w:lang w:val="es-ES"/>
        </w:rPr>
        <w:t>Court</w:t>
      </w:r>
      <w:proofErr w:type="spellEnd"/>
      <w:r w:rsidRPr="6AFFB094">
        <w:rPr>
          <w:rFonts w:ascii="Cambria" w:hAnsi="Cambria" w:cs="Calibri Light"/>
          <w:i/>
          <w:iCs/>
          <w:color w:val="000000" w:themeColor="text1"/>
          <w:sz w:val="20"/>
          <w:szCs w:val="20"/>
          <w:lang w:val="es-ES"/>
        </w:rPr>
        <w:t>)</w:t>
      </w:r>
      <w:r w:rsidRPr="6AFFB094">
        <w:rPr>
          <w:rFonts w:ascii="Cambria" w:hAnsi="Cambria" w:cs="Calibri Light"/>
          <w:color w:val="000000" w:themeColor="text1"/>
          <w:sz w:val="20"/>
          <w:szCs w:val="20"/>
          <w:lang w:val="es-ES"/>
        </w:rPr>
        <w:t xml:space="preserve">; </w:t>
      </w:r>
    </w:p>
    <w:p w14:paraId="1D6120B3" w14:textId="77777777" w:rsidR="00D26CDC" w:rsidRPr="00CB1A69" w:rsidRDefault="00D26CDC" w:rsidP="6AFFB094">
      <w:pPr>
        <w:pStyle w:val="ListParagraph"/>
        <w:numPr>
          <w:ilvl w:val="0"/>
          <w:numId w:val="35"/>
        </w:numPr>
        <w:jc w:val="both"/>
        <w:rPr>
          <w:rFonts w:ascii="Cambria" w:hAnsi="Cambria"/>
          <w:i/>
          <w:iCs/>
          <w:color w:val="000000" w:themeColor="text1"/>
          <w:sz w:val="20"/>
          <w:szCs w:val="20"/>
          <w:lang w:val="es-ES"/>
        </w:rPr>
      </w:pPr>
      <w:r w:rsidRPr="6AFFB094">
        <w:rPr>
          <w:rFonts w:ascii="Cambria" w:hAnsi="Cambria" w:cs="Calibri Light"/>
          <w:color w:val="000000" w:themeColor="text1"/>
          <w:sz w:val="20"/>
          <w:szCs w:val="20"/>
          <w:lang w:val="es-ES"/>
        </w:rPr>
        <w:t>Modificación de la Ley de Fianzas que prevé que una persona acusada de un delito sea juzgada en un plazo de tres años a partir de la fecha de su arresto y que establece la opción de que se le conceda la libertad bajo fianza, aun cuando se le imputen delitos graves.</w:t>
      </w:r>
    </w:p>
    <w:bookmarkEnd w:id="10"/>
    <w:p w14:paraId="32304500" w14:textId="77777777" w:rsidR="00D26CDC" w:rsidRDefault="00D26CDC" w:rsidP="6AFFB094">
      <w:pPr>
        <w:spacing w:after="0"/>
        <w:rPr>
          <w:rFonts w:ascii="Cambria" w:hAnsi="Cambria"/>
          <w:i/>
          <w:iCs/>
          <w:color w:val="000000" w:themeColor="text1"/>
          <w:sz w:val="20"/>
          <w:szCs w:val="20"/>
          <w:lang w:val="es-ES"/>
        </w:rPr>
      </w:pPr>
      <w:r w:rsidRPr="6AFFB094">
        <w:rPr>
          <w:rFonts w:ascii="Cambria" w:hAnsi="Cambria"/>
          <w:i/>
          <w:iCs/>
          <w:color w:val="000000" w:themeColor="text1"/>
          <w:sz w:val="20"/>
          <w:szCs w:val="20"/>
          <w:lang w:val="es-ES"/>
        </w:rPr>
        <w:t>Fortalecimiento institucional</w:t>
      </w:r>
    </w:p>
    <w:p w14:paraId="00D3DFE7" w14:textId="77777777" w:rsidR="00D26CDC" w:rsidRDefault="00D26CDC" w:rsidP="6AFFB094">
      <w:pPr>
        <w:pStyle w:val="Default"/>
        <w:numPr>
          <w:ilvl w:val="0"/>
          <w:numId w:val="35"/>
        </w:numPr>
        <w:jc w:val="both"/>
        <w:rPr>
          <w:rFonts w:cs="Calibri Light"/>
          <w:color w:val="000000" w:themeColor="text1"/>
          <w:sz w:val="20"/>
          <w:szCs w:val="20"/>
          <w:lang w:val="es-ES"/>
        </w:rPr>
      </w:pPr>
      <w:r w:rsidRPr="6AFFB094">
        <w:rPr>
          <w:rFonts w:cs="Calibri Light"/>
          <w:color w:val="000000" w:themeColor="text1"/>
          <w:sz w:val="20"/>
          <w:szCs w:val="20"/>
          <w:lang w:val="es-ES"/>
        </w:rPr>
        <w:t xml:space="preserve">Consultorio de Asistencia Jurídica que proporciona asistencia para la defensa de personas que no se pueden permitir una representación legal. </w:t>
      </w:r>
    </w:p>
    <w:p w14:paraId="5B415EA8" w14:textId="77777777" w:rsidR="00D26CDC" w:rsidRDefault="00D26CDC" w:rsidP="6AFFB094">
      <w:pPr>
        <w:pStyle w:val="Default"/>
        <w:numPr>
          <w:ilvl w:val="0"/>
          <w:numId w:val="35"/>
        </w:numPr>
        <w:jc w:val="both"/>
        <w:rPr>
          <w:rFonts w:cs="Calibri Light"/>
          <w:color w:val="000000" w:themeColor="text1"/>
          <w:sz w:val="20"/>
          <w:szCs w:val="20"/>
          <w:lang w:val="es-ES"/>
        </w:rPr>
      </w:pPr>
      <w:r w:rsidRPr="6AFFB094">
        <w:rPr>
          <w:rFonts w:cs="Calibri Light"/>
          <w:color w:val="000000" w:themeColor="text1"/>
          <w:sz w:val="20"/>
          <w:szCs w:val="20"/>
          <w:lang w:val="es-ES"/>
        </w:rPr>
        <w:t xml:space="preserve">Oficina de Defensores Públicos, creada en 2017, para mejorar la calidad de la representación de personas acusadas de delitos, oficina que proporciona un grupo de representantes legales financiados con fondos públicos. </w:t>
      </w:r>
    </w:p>
    <w:p w14:paraId="75D946A5" w14:textId="77777777" w:rsidR="00D26CDC" w:rsidRDefault="00D26CDC" w:rsidP="6AFFB094">
      <w:pPr>
        <w:pStyle w:val="Default"/>
        <w:jc w:val="both"/>
        <w:rPr>
          <w:rFonts w:cs="Calibri Light"/>
          <w:color w:val="000000" w:themeColor="text1"/>
          <w:sz w:val="20"/>
          <w:szCs w:val="20"/>
          <w:lang w:val="es-ES"/>
        </w:rPr>
      </w:pPr>
    </w:p>
    <w:p w14:paraId="2B7817A9" w14:textId="77777777" w:rsidR="00D26CDC" w:rsidRPr="00DC2A3D" w:rsidRDefault="00D26CDC" w:rsidP="6AFFB094">
      <w:pPr>
        <w:pStyle w:val="Default"/>
        <w:jc w:val="both"/>
        <w:rPr>
          <w:rFonts w:cs="Calibri Light"/>
          <w:i/>
          <w:iCs/>
          <w:color w:val="000000" w:themeColor="text1"/>
          <w:sz w:val="20"/>
          <w:szCs w:val="20"/>
          <w:lang w:val="es-ES"/>
        </w:rPr>
      </w:pPr>
      <w:bookmarkStart w:id="11" w:name="_Hlk89267655"/>
      <w:r w:rsidRPr="6AFFB094">
        <w:rPr>
          <w:rFonts w:cs="Calibri Light"/>
          <w:i/>
          <w:iCs/>
          <w:color w:val="000000" w:themeColor="text1"/>
          <w:sz w:val="20"/>
          <w:szCs w:val="20"/>
          <w:lang w:val="es-ES"/>
        </w:rPr>
        <w:t>Políticas públicas</w:t>
      </w:r>
    </w:p>
    <w:p w14:paraId="393081A4" w14:textId="77777777" w:rsidR="00D26CDC" w:rsidRPr="00CB1A69" w:rsidRDefault="00D26CDC" w:rsidP="6AFFB094">
      <w:pPr>
        <w:pStyle w:val="ListParagraph"/>
        <w:numPr>
          <w:ilvl w:val="0"/>
          <w:numId w:val="35"/>
        </w:numPr>
        <w:jc w:val="both"/>
        <w:rPr>
          <w:rFonts w:ascii="Cambria" w:hAnsi="Cambria"/>
          <w:i/>
          <w:iCs/>
          <w:color w:val="000000" w:themeColor="text1"/>
          <w:sz w:val="20"/>
          <w:szCs w:val="20"/>
          <w:lang w:val="es-ES"/>
        </w:rPr>
      </w:pPr>
      <w:r w:rsidRPr="6AFFB094">
        <w:rPr>
          <w:rFonts w:ascii="Cambria" w:hAnsi="Cambria" w:cs="Calibri Light"/>
          <w:color w:val="000000" w:themeColor="text1"/>
          <w:sz w:val="20"/>
          <w:szCs w:val="20"/>
          <w:lang w:val="es-ES"/>
        </w:rPr>
        <w:t xml:space="preserve">Iniciativa </w:t>
      </w:r>
      <w:r w:rsidRPr="6AFFB094">
        <w:rPr>
          <w:rFonts w:ascii="Cambria" w:hAnsi="Cambria" w:cs="Calibri Light"/>
          <w:i/>
          <w:iCs/>
          <w:color w:val="000000" w:themeColor="text1"/>
          <w:sz w:val="20"/>
          <w:szCs w:val="20"/>
          <w:lang w:val="es-ES"/>
        </w:rPr>
        <w:t xml:space="preserve">Swift </w:t>
      </w:r>
      <w:proofErr w:type="spellStart"/>
      <w:r w:rsidRPr="6AFFB094">
        <w:rPr>
          <w:rFonts w:ascii="Cambria" w:hAnsi="Cambria" w:cs="Calibri Light"/>
          <w:i/>
          <w:iCs/>
          <w:color w:val="000000" w:themeColor="text1"/>
          <w:sz w:val="20"/>
          <w:szCs w:val="20"/>
          <w:lang w:val="es-ES"/>
        </w:rPr>
        <w:t>Justice</w:t>
      </w:r>
      <w:proofErr w:type="spellEnd"/>
      <w:r w:rsidRPr="6AFFB094">
        <w:rPr>
          <w:rFonts w:ascii="Cambria" w:hAnsi="Cambria" w:cs="Calibri Light"/>
          <w:i/>
          <w:iCs/>
          <w:color w:val="000000" w:themeColor="text1"/>
          <w:sz w:val="20"/>
          <w:szCs w:val="20"/>
          <w:lang w:val="es-ES"/>
        </w:rPr>
        <w:t xml:space="preserve">, </w:t>
      </w:r>
      <w:r w:rsidRPr="6AFFB094">
        <w:rPr>
          <w:rFonts w:ascii="Cambria" w:hAnsi="Cambria" w:cs="Calibri Light"/>
          <w:color w:val="000000" w:themeColor="text1"/>
          <w:sz w:val="20"/>
          <w:szCs w:val="20"/>
          <w:lang w:val="es-ES"/>
        </w:rPr>
        <w:t>con el objetivo de reducir la acumulación de casos y aumentar la velocidad y la eficiencia del sistema de justicia, asegurando que los crímenes sean investigados en debida forma y que los juicios inicien y se procesen en un tiempo razonable. De acuerdo con el Estado, esta iniciativa ha dado lugar a: (i) un mayor uso de la VBI; (</w:t>
      </w:r>
      <w:proofErr w:type="spellStart"/>
      <w:r w:rsidRPr="6AFFB094">
        <w:rPr>
          <w:rFonts w:ascii="Cambria" w:hAnsi="Cambria" w:cs="Calibri Light"/>
          <w:color w:val="000000" w:themeColor="text1"/>
          <w:sz w:val="20"/>
          <w:szCs w:val="20"/>
          <w:lang w:val="es-ES"/>
        </w:rPr>
        <w:t>ii</w:t>
      </w:r>
      <w:proofErr w:type="spellEnd"/>
      <w:r w:rsidRPr="6AFFB094">
        <w:rPr>
          <w:rFonts w:ascii="Cambria" w:hAnsi="Cambria" w:cs="Calibri Light"/>
          <w:color w:val="000000" w:themeColor="text1"/>
          <w:sz w:val="20"/>
          <w:szCs w:val="20"/>
          <w:lang w:val="es-ES"/>
        </w:rPr>
        <w:t xml:space="preserve">) una mayor cooperación entre la policía, los fiscales y otros agentes del proceso de justicia penal; </w:t>
      </w:r>
      <w:proofErr w:type="spellStart"/>
      <w:r w:rsidRPr="6AFFB094">
        <w:rPr>
          <w:rFonts w:ascii="Cambria" w:hAnsi="Cambria" w:cs="Calibri Light"/>
          <w:color w:val="000000" w:themeColor="text1"/>
          <w:sz w:val="20"/>
          <w:szCs w:val="20"/>
          <w:lang w:val="es-ES"/>
        </w:rPr>
        <w:t>iii</w:t>
      </w:r>
      <w:proofErr w:type="spellEnd"/>
      <w:r w:rsidRPr="6AFFB094">
        <w:rPr>
          <w:rFonts w:ascii="Cambria" w:hAnsi="Cambria" w:cs="Calibri Light"/>
          <w:color w:val="000000" w:themeColor="text1"/>
          <w:sz w:val="20"/>
          <w:szCs w:val="20"/>
          <w:lang w:val="es-ES"/>
        </w:rPr>
        <w:t>) el uso del sistema de justicia integrado que proporciona un sistema de información para gestionar casos graves (especialmente los asesinatos); (</w:t>
      </w:r>
      <w:proofErr w:type="spellStart"/>
      <w:r w:rsidRPr="6AFFB094">
        <w:rPr>
          <w:rFonts w:ascii="Cambria" w:hAnsi="Cambria" w:cs="Calibri Light"/>
          <w:color w:val="000000" w:themeColor="text1"/>
          <w:sz w:val="20"/>
          <w:szCs w:val="20"/>
          <w:lang w:val="es-ES"/>
        </w:rPr>
        <w:t>iv</w:t>
      </w:r>
      <w:proofErr w:type="spellEnd"/>
      <w:r w:rsidRPr="6AFFB094">
        <w:rPr>
          <w:rFonts w:ascii="Cambria" w:hAnsi="Cambria" w:cs="Calibri Light"/>
          <w:color w:val="000000" w:themeColor="text1"/>
          <w:sz w:val="20"/>
          <w:szCs w:val="20"/>
          <w:lang w:val="es-ES"/>
        </w:rPr>
        <w:t>) la mejora del sistema de información judicial; (v) el uso de equipos de gestión de proyectos y casos de la Oficina del Director de la Fiscalía; y (vi) el establecimiento de más tribunales penales.</w:t>
      </w:r>
    </w:p>
    <w:bookmarkEnd w:id="11"/>
    <w:p w14:paraId="10CEADB4" w14:textId="77777777" w:rsidR="00BB56C4" w:rsidRPr="00367A66" w:rsidRDefault="00BB56C4" w:rsidP="6AFFB094">
      <w:pPr>
        <w:pStyle w:val="ListParagraph"/>
        <w:spacing w:after="0" w:line="240" w:lineRule="auto"/>
        <w:jc w:val="both"/>
        <w:rPr>
          <w:rFonts w:ascii="Cambria" w:hAnsi="Cambria"/>
          <w:color w:val="000000" w:themeColor="text1"/>
          <w:sz w:val="20"/>
          <w:szCs w:val="20"/>
          <w:lang w:val="es-ES"/>
        </w:rPr>
      </w:pPr>
    </w:p>
    <w:p w14:paraId="63EA96CC" w14:textId="77777777" w:rsidR="00BB56C4" w:rsidRPr="00367A66" w:rsidRDefault="00BB56C4" w:rsidP="6AFFB094">
      <w:pPr>
        <w:rPr>
          <w:rFonts w:ascii="Cambria" w:hAnsi="Cambria"/>
          <w:color w:val="000000" w:themeColor="text1"/>
          <w:sz w:val="20"/>
          <w:szCs w:val="20"/>
          <w:lang w:val="es-ES"/>
        </w:rPr>
      </w:pPr>
    </w:p>
    <w:sectPr w:rsidR="00BB56C4" w:rsidRPr="00367A66" w:rsidSect="00893DBD">
      <w:headerReference w:type="default" r:id="rId9"/>
      <w:footerReference w:type="default" r:id="rId10"/>
      <w:headerReference w:type="first" r:id="rId11"/>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7C65" w14:textId="77777777" w:rsidR="00871B2D" w:rsidRDefault="00871B2D" w:rsidP="007B15E0">
      <w:pPr>
        <w:spacing w:after="0" w:line="240" w:lineRule="auto"/>
      </w:pPr>
      <w:r>
        <w:separator/>
      </w:r>
    </w:p>
  </w:endnote>
  <w:endnote w:type="continuationSeparator" w:id="0">
    <w:p w14:paraId="6C1C7330" w14:textId="77777777" w:rsidR="00871B2D" w:rsidRDefault="00871B2D"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964791"/>
      <w:docPartObj>
        <w:docPartGallery w:val="Page Numbers (Bottom of Page)"/>
        <w:docPartUnique/>
      </w:docPartObj>
    </w:sdtPr>
    <w:sdtEndPr>
      <w:rPr>
        <w:noProof/>
        <w:sz w:val="16"/>
        <w:szCs w:val="16"/>
      </w:rPr>
    </w:sdtEndPr>
    <w:sdtContent>
      <w:p w14:paraId="47EBAB13" w14:textId="3A163B1A" w:rsidR="005818F5" w:rsidRPr="00893DBD" w:rsidRDefault="005818F5" w:rsidP="00893DBD">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3434C5">
          <w:rPr>
            <w:noProof/>
            <w:sz w:val="16"/>
            <w:szCs w:val="16"/>
          </w:rPr>
          <w:t>2</w:t>
        </w:r>
        <w:r w:rsidRPr="00594FE3">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A914" w14:textId="77777777" w:rsidR="00871B2D" w:rsidRDefault="00871B2D" w:rsidP="007B15E0">
      <w:pPr>
        <w:spacing w:after="0" w:line="240" w:lineRule="auto"/>
      </w:pPr>
      <w:r>
        <w:separator/>
      </w:r>
    </w:p>
  </w:footnote>
  <w:footnote w:type="continuationSeparator" w:id="0">
    <w:p w14:paraId="2C202DA0" w14:textId="77777777" w:rsidR="00871B2D" w:rsidRDefault="00871B2D" w:rsidP="007B15E0">
      <w:pPr>
        <w:spacing w:after="0" w:line="240" w:lineRule="auto"/>
      </w:pPr>
      <w:r>
        <w:continuationSeparator/>
      </w:r>
    </w:p>
  </w:footnote>
  <w:footnote w:id="1">
    <w:p w14:paraId="2121AC2C" w14:textId="314C3692" w:rsidR="00BD7C18" w:rsidRPr="00BD7C18" w:rsidRDefault="00BD7C18" w:rsidP="00BD7C18">
      <w:pPr>
        <w:spacing w:after="120"/>
        <w:ind w:firstLine="720"/>
        <w:jc w:val="both"/>
        <w:rPr>
          <w:rFonts w:ascii="Cambria" w:hAnsi="Cambria"/>
          <w:sz w:val="16"/>
          <w:szCs w:val="16"/>
        </w:rPr>
      </w:pPr>
      <w:r w:rsidRPr="0089077C">
        <w:rPr>
          <w:rStyle w:val="FootnoteReference"/>
          <w:rFonts w:ascii="Cambria" w:hAnsi="Cambria"/>
          <w:sz w:val="16"/>
          <w:szCs w:val="16"/>
        </w:rPr>
        <w:footnoteRef/>
      </w:r>
      <w:r w:rsidRPr="0089077C">
        <w:rPr>
          <w:rFonts w:ascii="Cambria" w:hAnsi="Cambria"/>
          <w:sz w:val="16"/>
          <w:szCs w:val="16"/>
          <w:lang w:val="es-ES"/>
        </w:rPr>
        <w:t xml:space="preserve"> CIDH, </w:t>
      </w:r>
      <w:hyperlink r:id="rId1" w:history="1">
        <w:r w:rsidRPr="00BD7C18">
          <w:rPr>
            <w:rStyle w:val="Hyperlink"/>
            <w:rFonts w:ascii="Cambria" w:hAnsi="Cambria"/>
            <w:sz w:val="16"/>
            <w:szCs w:val="16"/>
            <w:lang w:val="es-ES"/>
          </w:rPr>
          <w:t>Informe Anual 2019, Capítulo II, Sección E: Estado del cumplimiento de las recomendaciones de la CIDH</w:t>
        </w:r>
      </w:hyperlink>
      <w:r w:rsidRPr="0089077C">
        <w:rPr>
          <w:rFonts w:ascii="Cambria" w:hAnsi="Cambria"/>
          <w:sz w:val="16"/>
          <w:szCs w:val="16"/>
          <w:lang w:val="es-ES"/>
        </w:rPr>
        <w:t xml:space="preserve">, párr. </w:t>
      </w:r>
      <w:r>
        <w:rPr>
          <w:rFonts w:ascii="Cambria" w:hAnsi="Cambria"/>
          <w:sz w:val="16"/>
          <w:szCs w:val="16"/>
        </w:rPr>
        <w:t>47</w:t>
      </w:r>
      <w:r w:rsidRPr="00BD7C18">
        <w:rPr>
          <w:rFonts w:ascii="Cambria" w:hAnsi="Cambri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AFC3" w14:textId="4973EBC0" w:rsidR="00CE53C2" w:rsidRDefault="00CE53C2" w:rsidP="00CE53C2">
    <w:pPr>
      <w:pStyle w:val="Header"/>
      <w:rPr>
        <w:rFonts w:ascii="Arial" w:hAnsi="Arial" w:cs="Arial"/>
        <w:color w:val="3B3838" w:themeColor="background2" w:themeShade="40"/>
        <w:szCs w:val="28"/>
      </w:rPr>
    </w:pPr>
    <w:r>
      <w:rPr>
        <w:noProof/>
      </w:rPr>
      <w:drawing>
        <wp:anchor distT="0" distB="0" distL="114300" distR="114300" simplePos="0" relativeHeight="251666944" behindDoc="0" locked="0" layoutInCell="1" allowOverlap="1" wp14:anchorId="57BEB3A9" wp14:editId="70DC2B3E">
          <wp:simplePos x="0" y="0"/>
          <wp:positionH relativeFrom="column">
            <wp:posOffset>4658995</wp:posOffset>
          </wp:positionH>
          <wp:positionV relativeFrom="paragraph">
            <wp:posOffset>-3175</wp:posOffset>
          </wp:positionV>
          <wp:extent cx="1485900" cy="346075"/>
          <wp:effectExtent l="0" t="0" r="0" b="0"/>
          <wp:wrapSquare wrapText="bothSides"/>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E897335" wp14:editId="660A0EFF">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Cs w:val="28"/>
      </w:rPr>
      <w:t xml:space="preserve">                      </w:t>
    </w:r>
  </w:p>
  <w:p w14:paraId="0D04C12E" w14:textId="62D8E26A" w:rsidR="00CE53C2" w:rsidRDefault="00CE53C2" w:rsidP="00CE53C2">
    <w:pPr>
      <w:pStyle w:val="Header"/>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5920" behindDoc="0" locked="0" layoutInCell="1" allowOverlap="1" wp14:anchorId="49FF3462" wp14:editId="601D65D7">
              <wp:simplePos x="0" y="0"/>
              <wp:positionH relativeFrom="column">
                <wp:posOffset>-5080</wp:posOffset>
              </wp:positionH>
              <wp:positionV relativeFrom="paragraph">
                <wp:posOffset>173990</wp:posOffset>
              </wp:positionV>
              <wp:extent cx="61480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D02D7" id="Straight Connector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122B" w14:textId="77777777" w:rsidR="00B33089" w:rsidRDefault="00B33089" w:rsidP="00B33089">
    <w:pPr>
      <w:pStyle w:val="Header"/>
      <w:spacing w:line="216" w:lineRule="auto"/>
      <w:ind w:hanging="2"/>
      <w:rPr>
        <w:rFonts w:ascii="Arial" w:hAnsi="Arial" w:cs="Arial"/>
        <w:color w:val="3B3838"/>
        <w:sz w:val="28"/>
        <w:szCs w:val="28"/>
        <w:lang w:val="es-ES"/>
      </w:rPr>
    </w:pPr>
    <w:r>
      <w:rPr>
        <w:noProof/>
      </w:rPr>
      <w:drawing>
        <wp:anchor distT="0" distB="0" distL="114300" distR="114300" simplePos="0" relativeHeight="251662848" behindDoc="0" locked="0" layoutInCell="1" allowOverlap="1" wp14:anchorId="58792CD2" wp14:editId="3BB96009">
          <wp:simplePos x="0" y="0"/>
          <wp:positionH relativeFrom="column">
            <wp:posOffset>4088765</wp:posOffset>
          </wp:positionH>
          <wp:positionV relativeFrom="paragraph">
            <wp:posOffset>72390</wp:posOffset>
          </wp:positionV>
          <wp:extent cx="2183130" cy="50863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51A61AC0" wp14:editId="6C5D1DA6">
              <wp:simplePos x="0" y="0"/>
              <wp:positionH relativeFrom="column">
                <wp:posOffset>-166370</wp:posOffset>
              </wp:positionH>
              <wp:positionV relativeFrom="paragraph">
                <wp:posOffset>48895</wp:posOffset>
              </wp:positionV>
              <wp:extent cx="2936875" cy="6648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7EB4835B" w14:textId="77777777" w:rsidR="00B33089" w:rsidRDefault="00B33089" w:rsidP="00B33089">
                          <w:pPr>
                            <w:ind w:hanging="2"/>
                          </w:pPr>
                          <w:r w:rsidRPr="00FA03C3">
                            <w:rPr>
                              <w:noProof/>
                            </w:rPr>
                            <w:drawing>
                              <wp:inline distT="0" distB="0" distL="0" distR="0" wp14:anchorId="6E202F78" wp14:editId="63CA00B5">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A61AC0"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7EB4835B" w14:textId="77777777" w:rsidR="00B33089" w:rsidRDefault="00B33089" w:rsidP="00B33089">
                    <w:pPr>
                      <w:ind w:hanging="2"/>
                    </w:pPr>
                    <w:r w:rsidRPr="00FA03C3">
                      <w:rPr>
                        <w:noProof/>
                      </w:rPr>
                      <w:drawing>
                        <wp:inline distT="0" distB="0" distL="0" distR="0" wp14:anchorId="6E202F78" wp14:editId="63CA00B5">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v:textbox>
            </v:shape>
          </w:pict>
        </mc:Fallback>
      </mc:AlternateConten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66E7E378" w14:textId="77777777" w:rsidR="00B33089" w:rsidRPr="00AD498E" w:rsidRDefault="00B33089" w:rsidP="00B33089">
    <w:pPr>
      <w:pStyle w:val="Header"/>
      <w:spacing w:line="216" w:lineRule="auto"/>
      <w:ind w:left="1" w:hanging="3"/>
      <w:rPr>
        <w:rFonts w:ascii="Arial" w:hAnsi="Arial" w:cs="Arial"/>
        <w:color w:val="3B3838"/>
        <w:sz w:val="28"/>
        <w:szCs w:val="28"/>
        <w:lang w:val="es-ES"/>
      </w:rPr>
    </w:pPr>
  </w:p>
  <w:p w14:paraId="690E695A" w14:textId="77777777" w:rsidR="00B33089" w:rsidRDefault="00B33089" w:rsidP="00B33089">
    <w:pPr>
      <w:pBdr>
        <w:top w:val="nil"/>
        <w:left w:val="nil"/>
        <w:bottom w:val="nil"/>
        <w:right w:val="nil"/>
        <w:between w:val="nil"/>
      </w:pBdr>
      <w:spacing w:after="0" w:line="240" w:lineRule="auto"/>
      <w:ind w:left="2" w:hanging="4"/>
      <w:rPr>
        <w:rFonts w:ascii="Arial" w:eastAsia="Arial" w:hAnsi="Arial" w:cs="Arial"/>
        <w:color w:val="404040"/>
        <w:sz w:val="44"/>
        <w:szCs w:val="44"/>
      </w:rPr>
    </w:pPr>
  </w:p>
  <w:p w14:paraId="6AD1BC3F" w14:textId="5FAE85F0" w:rsidR="00893DBD" w:rsidRPr="00B33089" w:rsidRDefault="00B33089" w:rsidP="00B33089">
    <w:pPr>
      <w:pBdr>
        <w:top w:val="nil"/>
        <w:left w:val="nil"/>
        <w:bottom w:val="nil"/>
        <w:right w:val="nil"/>
        <w:between w:val="nil"/>
      </w:pBdr>
      <w:spacing w:after="0" w:line="240" w:lineRule="auto"/>
      <w:rPr>
        <w:rFonts w:ascii="Arial" w:eastAsia="Arial" w:hAnsi="Arial" w:cs="Arial"/>
        <w:color w:val="404040"/>
        <w:sz w:val="44"/>
        <w:szCs w:val="44"/>
      </w:rPr>
    </w:pPr>
    <w:r>
      <w:rPr>
        <w:noProof/>
      </w:rPr>
      <mc:AlternateContent>
        <mc:Choice Requires="wps">
          <w:drawing>
            <wp:anchor distT="0" distB="0" distL="114300" distR="114300" simplePos="0" relativeHeight="251661824" behindDoc="0" locked="0" layoutInCell="1" hidden="0" allowOverlap="1" wp14:anchorId="4B476AB5" wp14:editId="0DD56FE8">
              <wp:simplePos x="0" y="0"/>
              <wp:positionH relativeFrom="column">
                <wp:posOffset>1</wp:posOffset>
              </wp:positionH>
              <wp:positionV relativeFrom="paragraph">
                <wp:posOffset>152400</wp:posOffset>
              </wp:positionV>
              <wp:extent cx="6148070" cy="15875"/>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271821" y="3780000"/>
                        <a:ext cx="6148358" cy="0"/>
                      </a:xfrm>
                      <a:prstGeom prst="straightConnector1">
                        <a:avLst/>
                      </a:prstGeom>
                      <a:noFill/>
                      <a:ln w="15875" cap="flat" cmpd="sng">
                        <a:solidFill>
                          <a:srgbClr val="000000"/>
                        </a:solidFill>
                        <a:prstDash val="solid"/>
                        <a:miter lim="800000"/>
                        <a:headEnd type="none" w="sm" len="sm"/>
                        <a:tailEnd type="none" w="sm" len="sm"/>
                      </a:ln>
                    </wps:spPr>
                    <wps:bodyPr/>
                  </wps:wsp>
                </a:graphicData>
              </a:graphic>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32477D8">
              <v:path fillok="f" arrowok="t" o:connecttype="none"/>
              <o:lock v:ext="edit" shapetype="t"/>
            </v:shapetype>
            <v:shape id="Straight Arrow Connector 1027" style="position:absolute;margin-left:0;margin-top:12pt;width:484.1pt;height:1.25pt;z-index:251661824;visibility:visible;mso-wrap-style:square;mso-wrap-distance-left:9pt;mso-wrap-distance-top:0;mso-wrap-distance-right:9pt;mso-wrap-distance-bottom:0;mso-position-horizontal:absolute;mso-position-horizontal-relative:text;mso-position-vertical:absolute;mso-position-vertical-relative:text"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">
              <v:stroke joinstyle="miter"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34104"/>
    <w:multiLevelType w:val="hybridMultilevel"/>
    <w:tmpl w:val="E144834E"/>
    <w:lvl w:ilvl="0" w:tplc="FFFFFFFF">
      <w:start w:val="1"/>
      <w:numFmt w:val="decimal"/>
      <w:lvlText w:val="%1."/>
      <w:lvlJc w:val="left"/>
      <w:pPr>
        <w:ind w:left="1437" w:hanging="360"/>
      </w:pPr>
      <w:rPr>
        <w:rFonts w:ascii="Cambria" w:eastAsia="Calibri" w:hAnsi="Cambria" w:cs="Calibri Light" w:hint="default"/>
        <w:b w:val="0"/>
        <w:sz w:val="20"/>
        <w:szCs w:val="20"/>
      </w:rPr>
    </w:lvl>
    <w:lvl w:ilvl="1" w:tplc="FFFFFFFF">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15"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11B09"/>
    <w:multiLevelType w:val="hybridMultilevel"/>
    <w:tmpl w:val="E892C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E4563C"/>
    <w:multiLevelType w:val="hybridMultilevel"/>
    <w:tmpl w:val="49BAF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00A47"/>
    <w:multiLevelType w:val="hybridMultilevel"/>
    <w:tmpl w:val="E696AA78"/>
    <w:lvl w:ilvl="0" w:tplc="5CFEE828">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2"/>
  </w:num>
  <w:num w:numId="4">
    <w:abstractNumId w:val="34"/>
  </w:num>
  <w:num w:numId="5">
    <w:abstractNumId w:val="1"/>
  </w:num>
  <w:num w:numId="6">
    <w:abstractNumId w:val="26"/>
  </w:num>
  <w:num w:numId="7">
    <w:abstractNumId w:val="28"/>
  </w:num>
  <w:num w:numId="8">
    <w:abstractNumId w:val="29"/>
  </w:num>
  <w:num w:numId="9">
    <w:abstractNumId w:val="30"/>
  </w:num>
  <w:num w:numId="10">
    <w:abstractNumId w:val="19"/>
  </w:num>
  <w:num w:numId="11">
    <w:abstractNumId w:val="15"/>
  </w:num>
  <w:num w:numId="12">
    <w:abstractNumId w:val="4"/>
  </w:num>
  <w:num w:numId="13">
    <w:abstractNumId w:val="16"/>
  </w:num>
  <w:num w:numId="14">
    <w:abstractNumId w:val="22"/>
  </w:num>
  <w:num w:numId="15">
    <w:abstractNumId w:val="20"/>
  </w:num>
  <w:num w:numId="16">
    <w:abstractNumId w:val="6"/>
  </w:num>
  <w:num w:numId="17">
    <w:abstractNumId w:val="7"/>
  </w:num>
  <w:num w:numId="18">
    <w:abstractNumId w:val="33"/>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5"/>
  </w:num>
  <w:num w:numId="24">
    <w:abstractNumId w:val="32"/>
  </w:num>
  <w:num w:numId="25">
    <w:abstractNumId w:val="18"/>
  </w:num>
  <w:num w:numId="26">
    <w:abstractNumId w:val="3"/>
  </w:num>
  <w:num w:numId="27">
    <w:abstractNumId w:val="23"/>
  </w:num>
  <w:num w:numId="28">
    <w:abstractNumId w:val="24"/>
  </w:num>
  <w:num w:numId="29">
    <w:abstractNumId w:val="11"/>
  </w:num>
  <w:num w:numId="30">
    <w:abstractNumId w:val="10"/>
  </w:num>
  <w:num w:numId="31">
    <w:abstractNumId w:val="8"/>
  </w:num>
  <w:num w:numId="32">
    <w:abstractNumId w:val="3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s-ES" w:vendorID="64" w:dllVersion="0" w:nlCheck="1" w:checkStyle="0"/>
  <w:activeWritingStyle w:appName="MSWord" w:lang="es-US" w:vendorID="64" w:dllVersion="0" w:nlCheck="1" w:checkStyle="0"/>
  <w:activeWritingStyle w:appName="MSWord" w:lang="es-CO"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4D"/>
    <w:rsid w:val="00000823"/>
    <w:rsid w:val="00001481"/>
    <w:rsid w:val="000015A5"/>
    <w:rsid w:val="000019EF"/>
    <w:rsid w:val="000105E2"/>
    <w:rsid w:val="00010D7D"/>
    <w:rsid w:val="000114CD"/>
    <w:rsid w:val="00015970"/>
    <w:rsid w:val="00016FEC"/>
    <w:rsid w:val="0002003E"/>
    <w:rsid w:val="000208BD"/>
    <w:rsid w:val="00027FA3"/>
    <w:rsid w:val="00037C0A"/>
    <w:rsid w:val="0004139E"/>
    <w:rsid w:val="00043872"/>
    <w:rsid w:val="00046E4E"/>
    <w:rsid w:val="000507B2"/>
    <w:rsid w:val="00052627"/>
    <w:rsid w:val="00067A77"/>
    <w:rsid w:val="00072902"/>
    <w:rsid w:val="00074498"/>
    <w:rsid w:val="00076298"/>
    <w:rsid w:val="000823BF"/>
    <w:rsid w:val="00083B2B"/>
    <w:rsid w:val="00087812"/>
    <w:rsid w:val="000A14CD"/>
    <w:rsid w:val="000A6167"/>
    <w:rsid w:val="000A638D"/>
    <w:rsid w:val="000B2B43"/>
    <w:rsid w:val="000B31A2"/>
    <w:rsid w:val="000C0F1A"/>
    <w:rsid w:val="000C2753"/>
    <w:rsid w:val="000C5C85"/>
    <w:rsid w:val="000D165B"/>
    <w:rsid w:val="000D6083"/>
    <w:rsid w:val="000E0AD2"/>
    <w:rsid w:val="000E2952"/>
    <w:rsid w:val="000E5EAF"/>
    <w:rsid w:val="000E7806"/>
    <w:rsid w:val="001007D0"/>
    <w:rsid w:val="0010125B"/>
    <w:rsid w:val="0010319A"/>
    <w:rsid w:val="001031C8"/>
    <w:rsid w:val="00105A2A"/>
    <w:rsid w:val="00106B9F"/>
    <w:rsid w:val="00106CB6"/>
    <w:rsid w:val="0011565B"/>
    <w:rsid w:val="001162CB"/>
    <w:rsid w:val="00121DC4"/>
    <w:rsid w:val="00124B0D"/>
    <w:rsid w:val="0012554E"/>
    <w:rsid w:val="001449D7"/>
    <w:rsid w:val="00147131"/>
    <w:rsid w:val="00147493"/>
    <w:rsid w:val="001504BB"/>
    <w:rsid w:val="0015686A"/>
    <w:rsid w:val="001759C1"/>
    <w:rsid w:val="001760BA"/>
    <w:rsid w:val="00176E57"/>
    <w:rsid w:val="0018434D"/>
    <w:rsid w:val="0019188A"/>
    <w:rsid w:val="00192180"/>
    <w:rsid w:val="00193311"/>
    <w:rsid w:val="00195BD5"/>
    <w:rsid w:val="001A1812"/>
    <w:rsid w:val="001B3DE1"/>
    <w:rsid w:val="001B6B90"/>
    <w:rsid w:val="001B704C"/>
    <w:rsid w:val="001C115D"/>
    <w:rsid w:val="001E4A88"/>
    <w:rsid w:val="001F3FB0"/>
    <w:rsid w:val="001F657C"/>
    <w:rsid w:val="0020031E"/>
    <w:rsid w:val="002005E0"/>
    <w:rsid w:val="00201F26"/>
    <w:rsid w:val="00203954"/>
    <w:rsid w:val="00203E47"/>
    <w:rsid w:val="00206C15"/>
    <w:rsid w:val="00207922"/>
    <w:rsid w:val="002156DC"/>
    <w:rsid w:val="002160C0"/>
    <w:rsid w:val="00224EDC"/>
    <w:rsid w:val="00231AC2"/>
    <w:rsid w:val="00234C3B"/>
    <w:rsid w:val="00235297"/>
    <w:rsid w:val="0024645A"/>
    <w:rsid w:val="002465DA"/>
    <w:rsid w:val="0024773B"/>
    <w:rsid w:val="00256CEC"/>
    <w:rsid w:val="0026166B"/>
    <w:rsid w:val="002667FA"/>
    <w:rsid w:val="00272E0C"/>
    <w:rsid w:val="00275418"/>
    <w:rsid w:val="002762B9"/>
    <w:rsid w:val="002856E7"/>
    <w:rsid w:val="0028678F"/>
    <w:rsid w:val="00287012"/>
    <w:rsid w:val="00291089"/>
    <w:rsid w:val="0029224B"/>
    <w:rsid w:val="00296A3D"/>
    <w:rsid w:val="002A23D9"/>
    <w:rsid w:val="002A2901"/>
    <w:rsid w:val="002A5153"/>
    <w:rsid w:val="002A5EF7"/>
    <w:rsid w:val="002A67C8"/>
    <w:rsid w:val="002B2949"/>
    <w:rsid w:val="002B578F"/>
    <w:rsid w:val="002C1DBB"/>
    <w:rsid w:val="002C5AAD"/>
    <w:rsid w:val="002D2200"/>
    <w:rsid w:val="002D2490"/>
    <w:rsid w:val="002D3A69"/>
    <w:rsid w:val="002D5D21"/>
    <w:rsid w:val="002E04B2"/>
    <w:rsid w:val="002E27BB"/>
    <w:rsid w:val="002E6370"/>
    <w:rsid w:val="002F0D2F"/>
    <w:rsid w:val="002F21C5"/>
    <w:rsid w:val="002F70F2"/>
    <w:rsid w:val="00303A21"/>
    <w:rsid w:val="0030412B"/>
    <w:rsid w:val="00312310"/>
    <w:rsid w:val="003151FE"/>
    <w:rsid w:val="003250A4"/>
    <w:rsid w:val="003272C4"/>
    <w:rsid w:val="00334B16"/>
    <w:rsid w:val="003434C5"/>
    <w:rsid w:val="003455B5"/>
    <w:rsid w:val="00350C0E"/>
    <w:rsid w:val="003571CE"/>
    <w:rsid w:val="0036198E"/>
    <w:rsid w:val="003624D8"/>
    <w:rsid w:val="00364CDB"/>
    <w:rsid w:val="0036660E"/>
    <w:rsid w:val="0036721A"/>
    <w:rsid w:val="00367A66"/>
    <w:rsid w:val="00367FC8"/>
    <w:rsid w:val="00371B8A"/>
    <w:rsid w:val="00372935"/>
    <w:rsid w:val="003820A6"/>
    <w:rsid w:val="003917D2"/>
    <w:rsid w:val="00391EDC"/>
    <w:rsid w:val="003936F0"/>
    <w:rsid w:val="00397989"/>
    <w:rsid w:val="003A028B"/>
    <w:rsid w:val="003A4926"/>
    <w:rsid w:val="003A5479"/>
    <w:rsid w:val="003B353B"/>
    <w:rsid w:val="003D4EAB"/>
    <w:rsid w:val="003D69FA"/>
    <w:rsid w:val="003D6CC4"/>
    <w:rsid w:val="003E24A8"/>
    <w:rsid w:val="003E2929"/>
    <w:rsid w:val="003E2FE4"/>
    <w:rsid w:val="003E50B8"/>
    <w:rsid w:val="003E7F8D"/>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7577C"/>
    <w:rsid w:val="004810AB"/>
    <w:rsid w:val="00482AB4"/>
    <w:rsid w:val="004936FB"/>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894"/>
    <w:rsid w:val="004D0BC2"/>
    <w:rsid w:val="004D10AA"/>
    <w:rsid w:val="004E4B65"/>
    <w:rsid w:val="004E5C65"/>
    <w:rsid w:val="004E611E"/>
    <w:rsid w:val="004F3114"/>
    <w:rsid w:val="004F596A"/>
    <w:rsid w:val="00501FA9"/>
    <w:rsid w:val="0050413C"/>
    <w:rsid w:val="00505EAB"/>
    <w:rsid w:val="005061CE"/>
    <w:rsid w:val="00512C07"/>
    <w:rsid w:val="005138D8"/>
    <w:rsid w:val="005157B7"/>
    <w:rsid w:val="0052132E"/>
    <w:rsid w:val="00521FE0"/>
    <w:rsid w:val="00522ECF"/>
    <w:rsid w:val="00533898"/>
    <w:rsid w:val="005350CA"/>
    <w:rsid w:val="005401D5"/>
    <w:rsid w:val="005409CB"/>
    <w:rsid w:val="005421DC"/>
    <w:rsid w:val="005622BE"/>
    <w:rsid w:val="00562570"/>
    <w:rsid w:val="00566512"/>
    <w:rsid w:val="00572FE6"/>
    <w:rsid w:val="005803F5"/>
    <w:rsid w:val="005818F5"/>
    <w:rsid w:val="00581FA1"/>
    <w:rsid w:val="00584DDA"/>
    <w:rsid w:val="00591815"/>
    <w:rsid w:val="005928CC"/>
    <w:rsid w:val="00594FE3"/>
    <w:rsid w:val="005A5360"/>
    <w:rsid w:val="005B2B05"/>
    <w:rsid w:val="005B5263"/>
    <w:rsid w:val="005B616A"/>
    <w:rsid w:val="005C545B"/>
    <w:rsid w:val="005D3B59"/>
    <w:rsid w:val="005D685A"/>
    <w:rsid w:val="005E7475"/>
    <w:rsid w:val="005F06F5"/>
    <w:rsid w:val="005F2936"/>
    <w:rsid w:val="005F3DF9"/>
    <w:rsid w:val="005F5804"/>
    <w:rsid w:val="005F74CB"/>
    <w:rsid w:val="00601491"/>
    <w:rsid w:val="006029C3"/>
    <w:rsid w:val="006122B6"/>
    <w:rsid w:val="006147F5"/>
    <w:rsid w:val="00623426"/>
    <w:rsid w:val="00623BE9"/>
    <w:rsid w:val="00625F2C"/>
    <w:rsid w:val="00630EF3"/>
    <w:rsid w:val="00634AB3"/>
    <w:rsid w:val="00635858"/>
    <w:rsid w:val="00641554"/>
    <w:rsid w:val="00642C61"/>
    <w:rsid w:val="006436E0"/>
    <w:rsid w:val="0064418C"/>
    <w:rsid w:val="006455C0"/>
    <w:rsid w:val="00667A6C"/>
    <w:rsid w:val="00672933"/>
    <w:rsid w:val="00674765"/>
    <w:rsid w:val="00676015"/>
    <w:rsid w:val="0067651C"/>
    <w:rsid w:val="00680BC6"/>
    <w:rsid w:val="00687F7B"/>
    <w:rsid w:val="006911D6"/>
    <w:rsid w:val="00693302"/>
    <w:rsid w:val="006944C9"/>
    <w:rsid w:val="0069494F"/>
    <w:rsid w:val="00697C56"/>
    <w:rsid w:val="006A1912"/>
    <w:rsid w:val="006A1B27"/>
    <w:rsid w:val="006C5092"/>
    <w:rsid w:val="006C79DE"/>
    <w:rsid w:val="006D5934"/>
    <w:rsid w:val="006F20E2"/>
    <w:rsid w:val="006F3B19"/>
    <w:rsid w:val="007061B9"/>
    <w:rsid w:val="0071068F"/>
    <w:rsid w:val="00720065"/>
    <w:rsid w:val="00722265"/>
    <w:rsid w:val="007238AE"/>
    <w:rsid w:val="00726BEA"/>
    <w:rsid w:val="00733832"/>
    <w:rsid w:val="00741BD5"/>
    <w:rsid w:val="0074203F"/>
    <w:rsid w:val="007477D0"/>
    <w:rsid w:val="007548AC"/>
    <w:rsid w:val="007548C2"/>
    <w:rsid w:val="00760CAE"/>
    <w:rsid w:val="00763D51"/>
    <w:rsid w:val="00771592"/>
    <w:rsid w:val="00772FCA"/>
    <w:rsid w:val="00776D45"/>
    <w:rsid w:val="007807D5"/>
    <w:rsid w:val="00784362"/>
    <w:rsid w:val="00787F4C"/>
    <w:rsid w:val="00795EEB"/>
    <w:rsid w:val="00797031"/>
    <w:rsid w:val="007A0AE0"/>
    <w:rsid w:val="007A1626"/>
    <w:rsid w:val="007A47DB"/>
    <w:rsid w:val="007A5299"/>
    <w:rsid w:val="007A5C66"/>
    <w:rsid w:val="007A770E"/>
    <w:rsid w:val="007B15E0"/>
    <w:rsid w:val="007B55D6"/>
    <w:rsid w:val="007C2F3E"/>
    <w:rsid w:val="007C3277"/>
    <w:rsid w:val="007C386D"/>
    <w:rsid w:val="007C585C"/>
    <w:rsid w:val="007D1739"/>
    <w:rsid w:val="007D430D"/>
    <w:rsid w:val="007D4C58"/>
    <w:rsid w:val="007D57AB"/>
    <w:rsid w:val="007D64D4"/>
    <w:rsid w:val="007E2255"/>
    <w:rsid w:val="007E2EC7"/>
    <w:rsid w:val="007F17EE"/>
    <w:rsid w:val="008047F4"/>
    <w:rsid w:val="00804D77"/>
    <w:rsid w:val="00806DE7"/>
    <w:rsid w:val="008109AC"/>
    <w:rsid w:val="00815E11"/>
    <w:rsid w:val="00816180"/>
    <w:rsid w:val="008165C2"/>
    <w:rsid w:val="0082033D"/>
    <w:rsid w:val="00821020"/>
    <w:rsid w:val="00826DF1"/>
    <w:rsid w:val="008314EB"/>
    <w:rsid w:val="00831868"/>
    <w:rsid w:val="00835E9E"/>
    <w:rsid w:val="00842302"/>
    <w:rsid w:val="00845F3F"/>
    <w:rsid w:val="00851133"/>
    <w:rsid w:val="00854261"/>
    <w:rsid w:val="008549E5"/>
    <w:rsid w:val="00857090"/>
    <w:rsid w:val="00862C26"/>
    <w:rsid w:val="00863935"/>
    <w:rsid w:val="00864126"/>
    <w:rsid w:val="008644BF"/>
    <w:rsid w:val="008665E5"/>
    <w:rsid w:val="00867648"/>
    <w:rsid w:val="00871B2D"/>
    <w:rsid w:val="008731F6"/>
    <w:rsid w:val="0087629A"/>
    <w:rsid w:val="00884ECA"/>
    <w:rsid w:val="00893DBD"/>
    <w:rsid w:val="008A3C4E"/>
    <w:rsid w:val="008A688C"/>
    <w:rsid w:val="008B0D05"/>
    <w:rsid w:val="008B6CC4"/>
    <w:rsid w:val="008C255B"/>
    <w:rsid w:val="008C4A04"/>
    <w:rsid w:val="008C51C1"/>
    <w:rsid w:val="008C6F28"/>
    <w:rsid w:val="008D0BF2"/>
    <w:rsid w:val="008D7730"/>
    <w:rsid w:val="008D78CE"/>
    <w:rsid w:val="008E180A"/>
    <w:rsid w:val="008E27AC"/>
    <w:rsid w:val="008E44EE"/>
    <w:rsid w:val="008E4EC9"/>
    <w:rsid w:val="008E5D4A"/>
    <w:rsid w:val="008E6708"/>
    <w:rsid w:val="008F159D"/>
    <w:rsid w:val="008F2CC9"/>
    <w:rsid w:val="009065FE"/>
    <w:rsid w:val="0090732B"/>
    <w:rsid w:val="00922B34"/>
    <w:rsid w:val="009237C0"/>
    <w:rsid w:val="00930EA7"/>
    <w:rsid w:val="00931BFE"/>
    <w:rsid w:val="00951FBB"/>
    <w:rsid w:val="00960A4E"/>
    <w:rsid w:val="009712A7"/>
    <w:rsid w:val="009714CF"/>
    <w:rsid w:val="009747D6"/>
    <w:rsid w:val="00986C78"/>
    <w:rsid w:val="00990B8B"/>
    <w:rsid w:val="00997F2C"/>
    <w:rsid w:val="009A1813"/>
    <w:rsid w:val="009A1CD5"/>
    <w:rsid w:val="009A1F4C"/>
    <w:rsid w:val="009A230D"/>
    <w:rsid w:val="009A3E21"/>
    <w:rsid w:val="009A52D6"/>
    <w:rsid w:val="009A6929"/>
    <w:rsid w:val="009A7096"/>
    <w:rsid w:val="009B25AD"/>
    <w:rsid w:val="009B26FF"/>
    <w:rsid w:val="009B3229"/>
    <w:rsid w:val="009B4B7E"/>
    <w:rsid w:val="009C0B79"/>
    <w:rsid w:val="009C6916"/>
    <w:rsid w:val="009D3368"/>
    <w:rsid w:val="009D7241"/>
    <w:rsid w:val="009F3C88"/>
    <w:rsid w:val="009F6A4D"/>
    <w:rsid w:val="00A0089F"/>
    <w:rsid w:val="00A05D35"/>
    <w:rsid w:val="00A06632"/>
    <w:rsid w:val="00A1138B"/>
    <w:rsid w:val="00A13B14"/>
    <w:rsid w:val="00A26C13"/>
    <w:rsid w:val="00A27AF0"/>
    <w:rsid w:val="00A34B32"/>
    <w:rsid w:val="00A37F5B"/>
    <w:rsid w:val="00A42227"/>
    <w:rsid w:val="00A47974"/>
    <w:rsid w:val="00A5135C"/>
    <w:rsid w:val="00A53DAF"/>
    <w:rsid w:val="00A5445D"/>
    <w:rsid w:val="00A5562F"/>
    <w:rsid w:val="00A55ED9"/>
    <w:rsid w:val="00A66701"/>
    <w:rsid w:val="00A700F0"/>
    <w:rsid w:val="00A71D06"/>
    <w:rsid w:val="00A73955"/>
    <w:rsid w:val="00A83C3F"/>
    <w:rsid w:val="00A8432D"/>
    <w:rsid w:val="00A91FC4"/>
    <w:rsid w:val="00A94C21"/>
    <w:rsid w:val="00A94D10"/>
    <w:rsid w:val="00A95F39"/>
    <w:rsid w:val="00AA17F8"/>
    <w:rsid w:val="00AB2989"/>
    <w:rsid w:val="00AB6CAA"/>
    <w:rsid w:val="00AB6EBB"/>
    <w:rsid w:val="00AC6A47"/>
    <w:rsid w:val="00AD42A5"/>
    <w:rsid w:val="00AE18C1"/>
    <w:rsid w:val="00AE21D8"/>
    <w:rsid w:val="00AE48FD"/>
    <w:rsid w:val="00AE7D71"/>
    <w:rsid w:val="00AF141E"/>
    <w:rsid w:val="00AF1BBB"/>
    <w:rsid w:val="00AF279F"/>
    <w:rsid w:val="00AF2C91"/>
    <w:rsid w:val="00AF4359"/>
    <w:rsid w:val="00B033FC"/>
    <w:rsid w:val="00B03E7E"/>
    <w:rsid w:val="00B05212"/>
    <w:rsid w:val="00B144E0"/>
    <w:rsid w:val="00B22EA1"/>
    <w:rsid w:val="00B243FC"/>
    <w:rsid w:val="00B26E4A"/>
    <w:rsid w:val="00B33089"/>
    <w:rsid w:val="00B36444"/>
    <w:rsid w:val="00B4725D"/>
    <w:rsid w:val="00B477AC"/>
    <w:rsid w:val="00B53870"/>
    <w:rsid w:val="00B54D15"/>
    <w:rsid w:val="00B579B7"/>
    <w:rsid w:val="00B6028D"/>
    <w:rsid w:val="00B60EE3"/>
    <w:rsid w:val="00B61635"/>
    <w:rsid w:val="00B719E1"/>
    <w:rsid w:val="00B71FE1"/>
    <w:rsid w:val="00B72A88"/>
    <w:rsid w:val="00B80B96"/>
    <w:rsid w:val="00B81C34"/>
    <w:rsid w:val="00B84AF5"/>
    <w:rsid w:val="00B90217"/>
    <w:rsid w:val="00B92BD9"/>
    <w:rsid w:val="00B92C84"/>
    <w:rsid w:val="00B97925"/>
    <w:rsid w:val="00BA2F04"/>
    <w:rsid w:val="00BA66A7"/>
    <w:rsid w:val="00BB56C4"/>
    <w:rsid w:val="00BD7C18"/>
    <w:rsid w:val="00BE199A"/>
    <w:rsid w:val="00BE3DC4"/>
    <w:rsid w:val="00BF4335"/>
    <w:rsid w:val="00BF4949"/>
    <w:rsid w:val="00BF4AB2"/>
    <w:rsid w:val="00BF4B42"/>
    <w:rsid w:val="00C11073"/>
    <w:rsid w:val="00C12A43"/>
    <w:rsid w:val="00C1461A"/>
    <w:rsid w:val="00C20670"/>
    <w:rsid w:val="00C211D4"/>
    <w:rsid w:val="00C247D9"/>
    <w:rsid w:val="00C2616D"/>
    <w:rsid w:val="00C267BD"/>
    <w:rsid w:val="00C30742"/>
    <w:rsid w:val="00C308AF"/>
    <w:rsid w:val="00C33871"/>
    <w:rsid w:val="00C35FB9"/>
    <w:rsid w:val="00C4012C"/>
    <w:rsid w:val="00C41594"/>
    <w:rsid w:val="00C41B14"/>
    <w:rsid w:val="00C5357E"/>
    <w:rsid w:val="00C53C46"/>
    <w:rsid w:val="00C53D0B"/>
    <w:rsid w:val="00C55173"/>
    <w:rsid w:val="00C615C8"/>
    <w:rsid w:val="00C7206E"/>
    <w:rsid w:val="00C80CF4"/>
    <w:rsid w:val="00C81120"/>
    <w:rsid w:val="00C86186"/>
    <w:rsid w:val="00C86B20"/>
    <w:rsid w:val="00C900AD"/>
    <w:rsid w:val="00C92A76"/>
    <w:rsid w:val="00C949DC"/>
    <w:rsid w:val="00CA3AFE"/>
    <w:rsid w:val="00CA4AEC"/>
    <w:rsid w:val="00CA4DB8"/>
    <w:rsid w:val="00CB20FB"/>
    <w:rsid w:val="00CB49F9"/>
    <w:rsid w:val="00CC430B"/>
    <w:rsid w:val="00CC785D"/>
    <w:rsid w:val="00CD2692"/>
    <w:rsid w:val="00CD3A1F"/>
    <w:rsid w:val="00CE53C2"/>
    <w:rsid w:val="00CE5C6C"/>
    <w:rsid w:val="00CF006C"/>
    <w:rsid w:val="00CF076D"/>
    <w:rsid w:val="00CF3F6E"/>
    <w:rsid w:val="00CF53A7"/>
    <w:rsid w:val="00D043F4"/>
    <w:rsid w:val="00D10667"/>
    <w:rsid w:val="00D12042"/>
    <w:rsid w:val="00D15DFF"/>
    <w:rsid w:val="00D17F89"/>
    <w:rsid w:val="00D26CDC"/>
    <w:rsid w:val="00D26E78"/>
    <w:rsid w:val="00D34E24"/>
    <w:rsid w:val="00D4044A"/>
    <w:rsid w:val="00D450DF"/>
    <w:rsid w:val="00D45705"/>
    <w:rsid w:val="00D52122"/>
    <w:rsid w:val="00D53326"/>
    <w:rsid w:val="00D54892"/>
    <w:rsid w:val="00D6160A"/>
    <w:rsid w:val="00D63D9B"/>
    <w:rsid w:val="00D659F6"/>
    <w:rsid w:val="00D66116"/>
    <w:rsid w:val="00D66A72"/>
    <w:rsid w:val="00D67D9E"/>
    <w:rsid w:val="00D74F83"/>
    <w:rsid w:val="00D774B5"/>
    <w:rsid w:val="00D81358"/>
    <w:rsid w:val="00D85897"/>
    <w:rsid w:val="00D93727"/>
    <w:rsid w:val="00D93ED3"/>
    <w:rsid w:val="00D9422C"/>
    <w:rsid w:val="00D97451"/>
    <w:rsid w:val="00DA03BE"/>
    <w:rsid w:val="00DA2F5E"/>
    <w:rsid w:val="00DA62E7"/>
    <w:rsid w:val="00DB0B5E"/>
    <w:rsid w:val="00DB32DA"/>
    <w:rsid w:val="00DC158A"/>
    <w:rsid w:val="00DD300D"/>
    <w:rsid w:val="00DE7161"/>
    <w:rsid w:val="00DF1771"/>
    <w:rsid w:val="00E00878"/>
    <w:rsid w:val="00E020CD"/>
    <w:rsid w:val="00E148F4"/>
    <w:rsid w:val="00E15564"/>
    <w:rsid w:val="00E17DF8"/>
    <w:rsid w:val="00E20813"/>
    <w:rsid w:val="00E26C80"/>
    <w:rsid w:val="00E4040B"/>
    <w:rsid w:val="00E42F47"/>
    <w:rsid w:val="00E45179"/>
    <w:rsid w:val="00E50854"/>
    <w:rsid w:val="00E52DC5"/>
    <w:rsid w:val="00E53385"/>
    <w:rsid w:val="00E65905"/>
    <w:rsid w:val="00E66D9E"/>
    <w:rsid w:val="00E6768C"/>
    <w:rsid w:val="00E72C34"/>
    <w:rsid w:val="00E734F6"/>
    <w:rsid w:val="00E75A18"/>
    <w:rsid w:val="00E82269"/>
    <w:rsid w:val="00E84061"/>
    <w:rsid w:val="00E84FD4"/>
    <w:rsid w:val="00E87E69"/>
    <w:rsid w:val="00E91610"/>
    <w:rsid w:val="00E93362"/>
    <w:rsid w:val="00EA4BBC"/>
    <w:rsid w:val="00EA6F41"/>
    <w:rsid w:val="00EB41A5"/>
    <w:rsid w:val="00EB41B7"/>
    <w:rsid w:val="00EB4AD8"/>
    <w:rsid w:val="00EB54F1"/>
    <w:rsid w:val="00EB66D7"/>
    <w:rsid w:val="00EC3771"/>
    <w:rsid w:val="00EC3E5A"/>
    <w:rsid w:val="00EC41AF"/>
    <w:rsid w:val="00EC4841"/>
    <w:rsid w:val="00EC5776"/>
    <w:rsid w:val="00ED62D4"/>
    <w:rsid w:val="00EE23F9"/>
    <w:rsid w:val="00EE2BCE"/>
    <w:rsid w:val="00EE4AEF"/>
    <w:rsid w:val="00EF2DAE"/>
    <w:rsid w:val="00EF3561"/>
    <w:rsid w:val="00EF3FA6"/>
    <w:rsid w:val="00F050B7"/>
    <w:rsid w:val="00F1023D"/>
    <w:rsid w:val="00F116A1"/>
    <w:rsid w:val="00F12373"/>
    <w:rsid w:val="00F13E7F"/>
    <w:rsid w:val="00F147EF"/>
    <w:rsid w:val="00F1793E"/>
    <w:rsid w:val="00F2573C"/>
    <w:rsid w:val="00F257E6"/>
    <w:rsid w:val="00F26A78"/>
    <w:rsid w:val="00F30856"/>
    <w:rsid w:val="00F329E0"/>
    <w:rsid w:val="00F34314"/>
    <w:rsid w:val="00F346C3"/>
    <w:rsid w:val="00F41186"/>
    <w:rsid w:val="00F42DB4"/>
    <w:rsid w:val="00F50CA9"/>
    <w:rsid w:val="00F50E9E"/>
    <w:rsid w:val="00F546B4"/>
    <w:rsid w:val="00F57722"/>
    <w:rsid w:val="00F63941"/>
    <w:rsid w:val="00F63E95"/>
    <w:rsid w:val="00F7089E"/>
    <w:rsid w:val="00F71E59"/>
    <w:rsid w:val="00F808D4"/>
    <w:rsid w:val="00F87A53"/>
    <w:rsid w:val="00F91D0F"/>
    <w:rsid w:val="00F94168"/>
    <w:rsid w:val="00FA1672"/>
    <w:rsid w:val="00FA222D"/>
    <w:rsid w:val="00FA2231"/>
    <w:rsid w:val="00FA26F0"/>
    <w:rsid w:val="00FA321C"/>
    <w:rsid w:val="00FA471F"/>
    <w:rsid w:val="00FB0E4F"/>
    <w:rsid w:val="00FB2A45"/>
    <w:rsid w:val="00FB363C"/>
    <w:rsid w:val="00FC1B3B"/>
    <w:rsid w:val="00FC447B"/>
    <w:rsid w:val="00FC5FD7"/>
    <w:rsid w:val="00FC78AE"/>
    <w:rsid w:val="00FD568D"/>
    <w:rsid w:val="00FE12AE"/>
    <w:rsid w:val="00FE29D4"/>
    <w:rsid w:val="00FE4B5B"/>
    <w:rsid w:val="00FF71E2"/>
    <w:rsid w:val="00FF7502"/>
    <w:rsid w:val="6AFFB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C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 w:type="character" w:customStyle="1" w:styleId="normaltextrun">
    <w:name w:val="normaltextrun"/>
    <w:basedOn w:val="DefaultParagraphFont"/>
    <w:rsid w:val="00A06632"/>
  </w:style>
  <w:style w:type="character" w:customStyle="1" w:styleId="eop">
    <w:name w:val="eop"/>
    <w:basedOn w:val="DefaultParagraphFont"/>
    <w:rsid w:val="00A06632"/>
  </w:style>
  <w:style w:type="character" w:customStyle="1" w:styleId="superscript">
    <w:name w:val="superscript"/>
    <w:basedOn w:val="DefaultParagraphFont"/>
    <w:rsid w:val="00A06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2713">
      <w:bodyDiv w:val="1"/>
      <w:marLeft w:val="0"/>
      <w:marRight w:val="0"/>
      <w:marTop w:val="0"/>
      <w:marBottom w:val="0"/>
      <w:divBdr>
        <w:top w:val="none" w:sz="0" w:space="0" w:color="auto"/>
        <w:left w:val="none" w:sz="0" w:space="0" w:color="auto"/>
        <w:bottom w:val="none" w:sz="0" w:space="0" w:color="auto"/>
        <w:right w:val="none" w:sz="0" w:space="0" w:color="auto"/>
      </w:divBdr>
    </w:div>
    <w:div w:id="397561577">
      <w:bodyDiv w:val="1"/>
      <w:marLeft w:val="0"/>
      <w:marRight w:val="0"/>
      <w:marTop w:val="0"/>
      <w:marBottom w:val="0"/>
      <w:divBdr>
        <w:top w:val="none" w:sz="0" w:space="0" w:color="auto"/>
        <w:left w:val="none" w:sz="0" w:space="0" w:color="auto"/>
        <w:bottom w:val="none" w:sz="0" w:space="0" w:color="auto"/>
        <w:right w:val="none" w:sz="0" w:space="0" w:color="auto"/>
      </w:divBdr>
    </w:div>
    <w:div w:id="437411907">
      <w:bodyDiv w:val="1"/>
      <w:marLeft w:val="0"/>
      <w:marRight w:val="0"/>
      <w:marTop w:val="0"/>
      <w:marBottom w:val="0"/>
      <w:divBdr>
        <w:top w:val="none" w:sz="0" w:space="0" w:color="auto"/>
        <w:left w:val="none" w:sz="0" w:space="0" w:color="auto"/>
        <w:bottom w:val="none" w:sz="0" w:space="0" w:color="auto"/>
        <w:right w:val="none" w:sz="0" w:space="0" w:color="auto"/>
      </w:divBdr>
    </w:div>
    <w:div w:id="472330236">
      <w:bodyDiv w:val="1"/>
      <w:marLeft w:val="0"/>
      <w:marRight w:val="0"/>
      <w:marTop w:val="0"/>
      <w:marBottom w:val="0"/>
      <w:divBdr>
        <w:top w:val="none" w:sz="0" w:space="0" w:color="auto"/>
        <w:left w:val="none" w:sz="0" w:space="0" w:color="auto"/>
        <w:bottom w:val="none" w:sz="0" w:space="0" w:color="auto"/>
        <w:right w:val="none" w:sz="0" w:space="0" w:color="auto"/>
      </w:divBdr>
    </w:div>
    <w:div w:id="609046773">
      <w:bodyDiv w:val="1"/>
      <w:marLeft w:val="0"/>
      <w:marRight w:val="0"/>
      <w:marTop w:val="0"/>
      <w:marBottom w:val="0"/>
      <w:divBdr>
        <w:top w:val="none" w:sz="0" w:space="0" w:color="auto"/>
        <w:left w:val="none" w:sz="0" w:space="0" w:color="auto"/>
        <w:bottom w:val="none" w:sz="0" w:space="0" w:color="auto"/>
        <w:right w:val="none" w:sz="0" w:space="0" w:color="auto"/>
      </w:divBdr>
    </w:div>
    <w:div w:id="680936773">
      <w:bodyDiv w:val="1"/>
      <w:marLeft w:val="0"/>
      <w:marRight w:val="0"/>
      <w:marTop w:val="0"/>
      <w:marBottom w:val="0"/>
      <w:divBdr>
        <w:top w:val="none" w:sz="0" w:space="0" w:color="auto"/>
        <w:left w:val="none" w:sz="0" w:space="0" w:color="auto"/>
        <w:bottom w:val="none" w:sz="0" w:space="0" w:color="auto"/>
        <w:right w:val="none" w:sz="0" w:space="0" w:color="auto"/>
      </w:divBdr>
    </w:div>
    <w:div w:id="987824446">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4/BAPU12231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9/docs/IA2019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6D7AB-400C-4D1D-B4CC-7168FCF5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4085</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2022-03-28T15:59:00Z</dcterms:created>
  <dcterms:modified xsi:type="dcterms:W3CDTF">2022-03-28T15:59:00Z</dcterms:modified>
</cp:coreProperties>
</file>