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BA82" w14:textId="77777777" w:rsidR="004C0E4E" w:rsidRPr="003C7C21" w:rsidRDefault="004C0E4E" w:rsidP="004C0E4E">
      <w:pPr>
        <w:pStyle w:val="NoSpacing"/>
        <w:ind w:right="-784"/>
        <w:rPr>
          <w:rFonts w:ascii="Cambria" w:hAnsi="Cambria"/>
          <w:b/>
          <w:sz w:val="20"/>
          <w:szCs w:val="20"/>
          <w:lang w:val="es-ES"/>
        </w:rPr>
      </w:pPr>
    </w:p>
    <w:p w14:paraId="6C4DFC91" w14:textId="77777777" w:rsidR="004C0E4E" w:rsidRPr="00B57924" w:rsidRDefault="004C0E4E" w:rsidP="004C0E4E">
      <w:pPr>
        <w:pStyle w:val="NoSpacing"/>
        <w:ind w:left="-900" w:right="-784"/>
        <w:jc w:val="center"/>
        <w:rPr>
          <w:rFonts w:ascii="Cambria" w:hAnsi="Cambria"/>
          <w:b/>
          <w:sz w:val="20"/>
          <w:szCs w:val="20"/>
          <w:lang w:val="es-ES"/>
        </w:rPr>
      </w:pPr>
      <w:r w:rsidRPr="00B57924">
        <w:rPr>
          <w:rFonts w:ascii="Cambria" w:hAnsi="Cambria"/>
          <w:b/>
          <w:sz w:val="20"/>
          <w:szCs w:val="20"/>
          <w:lang w:val="es-ES"/>
        </w:rPr>
        <w:t xml:space="preserve">FICHA DE SEGUIMIENTO DEL INFORME </w:t>
      </w:r>
      <w:proofErr w:type="spellStart"/>
      <w:r w:rsidRPr="00B57924">
        <w:rPr>
          <w:rFonts w:ascii="Cambria" w:hAnsi="Cambria"/>
          <w:b/>
          <w:sz w:val="20"/>
          <w:szCs w:val="20"/>
          <w:lang w:val="es-ES"/>
        </w:rPr>
        <w:t>Nº</w:t>
      </w:r>
      <w:proofErr w:type="spellEnd"/>
      <w:r w:rsidRPr="00B57924">
        <w:rPr>
          <w:rFonts w:ascii="Cambria" w:hAnsi="Cambria"/>
          <w:b/>
          <w:sz w:val="20"/>
          <w:szCs w:val="20"/>
          <w:lang w:val="es-ES"/>
        </w:rPr>
        <w:t xml:space="preserve"> </w:t>
      </w:r>
      <w:r w:rsidRPr="00B57924">
        <w:rPr>
          <w:rFonts w:ascii="Cambria" w:hAnsi="Cambria" w:cs="Calibri"/>
          <w:b/>
          <w:bCs/>
          <w:sz w:val="20"/>
          <w:szCs w:val="20"/>
          <w:lang w:val="es-ES"/>
        </w:rPr>
        <w:t>77/02</w:t>
      </w:r>
    </w:p>
    <w:p w14:paraId="06DF43BC" w14:textId="77777777" w:rsidR="004C0E4E" w:rsidRPr="00B57924" w:rsidRDefault="004C0E4E" w:rsidP="004C0E4E">
      <w:pPr>
        <w:pStyle w:val="NoSpacing"/>
        <w:ind w:left="-900" w:right="-784"/>
        <w:jc w:val="center"/>
        <w:rPr>
          <w:rFonts w:ascii="Cambria" w:hAnsi="Cambria"/>
          <w:b/>
          <w:sz w:val="20"/>
          <w:szCs w:val="20"/>
        </w:rPr>
      </w:pPr>
      <w:r w:rsidRPr="00B57924">
        <w:rPr>
          <w:rFonts w:ascii="Cambria" w:hAnsi="Cambria"/>
          <w:b/>
          <w:sz w:val="20"/>
          <w:szCs w:val="20"/>
        </w:rPr>
        <w:t>CASO 11.506</w:t>
      </w:r>
    </w:p>
    <w:p w14:paraId="3E363CEB" w14:textId="77777777" w:rsidR="004C0E4E" w:rsidRPr="00B57924" w:rsidRDefault="004C0E4E" w:rsidP="004C0E4E">
      <w:pPr>
        <w:pStyle w:val="NoSpacing"/>
        <w:ind w:left="-900" w:right="-784"/>
        <w:jc w:val="center"/>
        <w:rPr>
          <w:rFonts w:ascii="Cambria" w:hAnsi="Cambria"/>
          <w:b/>
          <w:sz w:val="20"/>
          <w:szCs w:val="20"/>
          <w:lang w:val="es-CO"/>
        </w:rPr>
      </w:pPr>
      <w:r w:rsidRPr="00B57924">
        <w:rPr>
          <w:rFonts w:ascii="Cambria" w:hAnsi="Cambria"/>
          <w:b/>
          <w:sz w:val="20"/>
          <w:szCs w:val="20"/>
          <w:lang w:val="es-CO"/>
        </w:rPr>
        <w:t>WALDEMAR GERÓNIMO PINHEIRO Y JOSÉ VICTOR DOS SANTOS</w:t>
      </w:r>
    </w:p>
    <w:p w14:paraId="41CBD0FF" w14:textId="77777777" w:rsidR="004C0E4E" w:rsidRPr="00B57924" w:rsidRDefault="004C0E4E" w:rsidP="004C0E4E">
      <w:pPr>
        <w:pStyle w:val="NoSpacing"/>
        <w:ind w:left="-900" w:right="-784"/>
        <w:jc w:val="center"/>
        <w:rPr>
          <w:rFonts w:ascii="Cambria" w:hAnsi="Cambria"/>
          <w:b/>
          <w:sz w:val="20"/>
          <w:szCs w:val="20"/>
        </w:rPr>
      </w:pPr>
      <w:r w:rsidRPr="00B57924">
        <w:rPr>
          <w:rFonts w:ascii="Cambria" w:hAnsi="Cambria"/>
          <w:b/>
          <w:sz w:val="20"/>
          <w:szCs w:val="20"/>
        </w:rPr>
        <w:t>(Paraguay)</w:t>
      </w:r>
    </w:p>
    <w:p w14:paraId="431DA75F" w14:textId="77777777" w:rsidR="004C0E4E" w:rsidRPr="00B57924" w:rsidRDefault="004C0E4E" w:rsidP="004C0E4E">
      <w:pPr>
        <w:pStyle w:val="NoSpacing"/>
        <w:jc w:val="center"/>
        <w:rPr>
          <w:rFonts w:ascii="Cambria" w:hAnsi="Cambria"/>
          <w:sz w:val="20"/>
          <w:szCs w:val="20"/>
        </w:rPr>
      </w:pPr>
    </w:p>
    <w:p w14:paraId="63AAAE18" w14:textId="77777777" w:rsidR="004C0E4E" w:rsidRPr="00B57924" w:rsidRDefault="004C0E4E" w:rsidP="004C0E4E">
      <w:pPr>
        <w:numPr>
          <w:ilvl w:val="0"/>
          <w:numId w:val="8"/>
        </w:numPr>
        <w:ind w:left="1440"/>
        <w:rPr>
          <w:rFonts w:ascii="Cambria" w:hAnsi="Cambria" w:cs="Calibri Light"/>
          <w:b/>
          <w:sz w:val="20"/>
          <w:szCs w:val="20"/>
          <w:lang w:val="es-US"/>
        </w:rPr>
      </w:pPr>
      <w:r w:rsidRPr="00B57924">
        <w:rPr>
          <w:rFonts w:ascii="Cambria" w:hAnsi="Cambria" w:cs="Calibri Light"/>
          <w:b/>
          <w:sz w:val="20"/>
          <w:szCs w:val="20"/>
          <w:lang w:val="es-US"/>
        </w:rPr>
        <w:t xml:space="preserve">Resumen del caso </w:t>
      </w:r>
    </w:p>
    <w:p w14:paraId="25E5AC9B" w14:textId="77777777" w:rsidR="004C0E4E" w:rsidRPr="00B57924" w:rsidRDefault="004C0E4E" w:rsidP="004C0E4E">
      <w:pPr>
        <w:ind w:left="1080"/>
        <w:rPr>
          <w:rFonts w:ascii="Cambria" w:hAnsi="Cambria" w:cs="Calibri Light"/>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4C0E4E" w:rsidRPr="007D4767" w14:paraId="5F93AF3B" w14:textId="77777777" w:rsidTr="00B61D5E">
        <w:trPr>
          <w:jc w:val="center"/>
        </w:trPr>
        <w:tc>
          <w:tcPr>
            <w:tcW w:w="9576" w:type="dxa"/>
            <w:shd w:val="clear" w:color="auto" w:fill="F2F2F2"/>
          </w:tcPr>
          <w:p w14:paraId="771B80A2" w14:textId="77777777" w:rsidR="004C0E4E" w:rsidRPr="00B57924" w:rsidRDefault="004C0E4E" w:rsidP="00B61D5E">
            <w:pPr>
              <w:pStyle w:val="NoSpacing"/>
              <w:spacing w:before="120"/>
              <w:jc w:val="both"/>
              <w:rPr>
                <w:rFonts w:ascii="Cambria" w:hAnsi="Cambria"/>
                <w:sz w:val="20"/>
                <w:szCs w:val="20"/>
              </w:rPr>
            </w:pPr>
            <w:r w:rsidRPr="00B57924">
              <w:rPr>
                <w:rFonts w:ascii="Cambria" w:hAnsi="Cambria"/>
                <w:b/>
                <w:sz w:val="20"/>
                <w:szCs w:val="20"/>
              </w:rPr>
              <w:t>Víctima (s):</w:t>
            </w:r>
            <w:r w:rsidRPr="00B57924">
              <w:rPr>
                <w:rFonts w:ascii="Cambria" w:hAnsi="Cambria"/>
                <w:sz w:val="20"/>
                <w:szCs w:val="20"/>
              </w:rPr>
              <w:t xml:space="preserve"> Waldemar Gerónimo Pinheiro y José Victor dos Santos</w:t>
            </w:r>
          </w:p>
          <w:p w14:paraId="7522CE3E" w14:textId="77777777" w:rsidR="004C0E4E" w:rsidRPr="00B57924" w:rsidRDefault="004C0E4E" w:rsidP="00B61D5E">
            <w:pPr>
              <w:pStyle w:val="NoSpacing"/>
              <w:jc w:val="both"/>
              <w:rPr>
                <w:rFonts w:ascii="Cambria" w:hAnsi="Cambria"/>
                <w:sz w:val="20"/>
                <w:szCs w:val="20"/>
              </w:rPr>
            </w:pPr>
            <w:r w:rsidRPr="00B57924">
              <w:rPr>
                <w:rFonts w:ascii="Cambria" w:hAnsi="Cambria"/>
                <w:b/>
                <w:sz w:val="20"/>
                <w:szCs w:val="20"/>
              </w:rPr>
              <w:t>Petitionario (s):</w:t>
            </w:r>
            <w:r w:rsidRPr="00B57924">
              <w:rPr>
                <w:rFonts w:ascii="Cambria" w:hAnsi="Cambria"/>
                <w:sz w:val="20"/>
                <w:szCs w:val="20"/>
              </w:rPr>
              <w:t xml:space="preserve"> José Víctor Dos Santos y Waldemar Gerónimo Pinheiro</w:t>
            </w:r>
          </w:p>
          <w:p w14:paraId="534F296B" w14:textId="77777777" w:rsidR="004C0E4E" w:rsidRPr="00B57924" w:rsidRDefault="004C0E4E" w:rsidP="00B61D5E">
            <w:pPr>
              <w:pStyle w:val="NoSpacing"/>
              <w:jc w:val="both"/>
              <w:rPr>
                <w:rFonts w:ascii="Cambria" w:hAnsi="Cambria"/>
                <w:sz w:val="20"/>
                <w:szCs w:val="20"/>
                <w:lang w:val="es-ES"/>
              </w:rPr>
            </w:pPr>
            <w:r w:rsidRPr="00B57924">
              <w:rPr>
                <w:rFonts w:ascii="Cambria" w:hAnsi="Cambria"/>
                <w:b/>
                <w:sz w:val="20"/>
                <w:szCs w:val="20"/>
                <w:lang w:val="es-ES"/>
              </w:rPr>
              <w:t>Estado:</w:t>
            </w:r>
            <w:r w:rsidRPr="00B57924">
              <w:rPr>
                <w:rFonts w:ascii="Cambria" w:hAnsi="Cambria"/>
                <w:sz w:val="20"/>
                <w:szCs w:val="20"/>
                <w:lang w:val="es-ES"/>
              </w:rPr>
              <w:t xml:space="preserve"> Paraguay</w:t>
            </w:r>
          </w:p>
          <w:p w14:paraId="1EF4C251" w14:textId="77777777" w:rsidR="004C0E4E" w:rsidRPr="00B57924" w:rsidRDefault="004C0E4E" w:rsidP="00B61D5E">
            <w:pPr>
              <w:pStyle w:val="NoSpacing"/>
              <w:jc w:val="both"/>
              <w:rPr>
                <w:rFonts w:ascii="Cambria" w:hAnsi="Cambria"/>
                <w:sz w:val="20"/>
                <w:szCs w:val="20"/>
                <w:lang w:val="es-ES"/>
              </w:rPr>
            </w:pPr>
            <w:r w:rsidRPr="00B57924">
              <w:rPr>
                <w:rFonts w:ascii="Cambria" w:hAnsi="Cambria"/>
                <w:b/>
                <w:sz w:val="20"/>
                <w:szCs w:val="20"/>
                <w:lang w:val="es-ES"/>
              </w:rPr>
              <w:t xml:space="preserve">Informe de Fondo </w:t>
            </w:r>
            <w:proofErr w:type="spellStart"/>
            <w:r w:rsidRPr="00B57924">
              <w:rPr>
                <w:rFonts w:ascii="Cambria" w:hAnsi="Cambria"/>
                <w:b/>
                <w:sz w:val="20"/>
                <w:szCs w:val="20"/>
                <w:lang w:val="es-ES"/>
              </w:rPr>
              <w:t>Nº</w:t>
            </w:r>
            <w:proofErr w:type="spellEnd"/>
            <w:r w:rsidRPr="00B57924">
              <w:rPr>
                <w:rFonts w:ascii="Cambria" w:hAnsi="Cambria"/>
                <w:b/>
                <w:sz w:val="20"/>
                <w:szCs w:val="20"/>
                <w:lang w:val="es-ES"/>
              </w:rPr>
              <w:t xml:space="preserve">: </w:t>
            </w:r>
            <w:hyperlink r:id="rId8" w:history="1">
              <w:r w:rsidRPr="00B57924">
                <w:rPr>
                  <w:rStyle w:val="Hyperlink"/>
                  <w:rFonts w:ascii="Cambria" w:hAnsi="Cambria"/>
                  <w:color w:val="auto"/>
                  <w:sz w:val="20"/>
                  <w:szCs w:val="20"/>
                  <w:lang w:val="es-ES"/>
                </w:rPr>
                <w:t>77/02</w:t>
              </w:r>
            </w:hyperlink>
            <w:r w:rsidRPr="00B57924">
              <w:rPr>
                <w:rFonts w:ascii="Cambria" w:hAnsi="Cambria"/>
                <w:sz w:val="20"/>
                <w:szCs w:val="20"/>
                <w:lang w:val="es-ES"/>
              </w:rPr>
              <w:t>, publicado el 27 de diciembre de 2002</w:t>
            </w:r>
          </w:p>
          <w:p w14:paraId="2ECF6C1A" w14:textId="77777777" w:rsidR="004C0E4E" w:rsidRPr="00B57924" w:rsidRDefault="004C0E4E" w:rsidP="00B61D5E">
            <w:pPr>
              <w:pStyle w:val="NoSpacing"/>
              <w:jc w:val="both"/>
              <w:rPr>
                <w:rFonts w:ascii="Cambria" w:hAnsi="Cambria"/>
                <w:sz w:val="20"/>
                <w:szCs w:val="20"/>
                <w:lang w:val="es-ES"/>
              </w:rPr>
            </w:pPr>
            <w:r w:rsidRPr="00B57924">
              <w:rPr>
                <w:rFonts w:ascii="Cambria" w:hAnsi="Cambria"/>
                <w:b/>
                <w:sz w:val="20"/>
                <w:szCs w:val="20"/>
                <w:lang w:val="es-ES"/>
              </w:rPr>
              <w:t xml:space="preserve">Informe de Admisibilidad </w:t>
            </w:r>
            <w:proofErr w:type="spellStart"/>
            <w:r w:rsidRPr="00B57924">
              <w:rPr>
                <w:rFonts w:ascii="Cambria" w:hAnsi="Cambria"/>
                <w:b/>
                <w:sz w:val="20"/>
                <w:szCs w:val="20"/>
                <w:lang w:val="es-ES"/>
              </w:rPr>
              <w:t>Nº</w:t>
            </w:r>
            <w:proofErr w:type="spellEnd"/>
            <w:r w:rsidRPr="00B57924">
              <w:rPr>
                <w:rFonts w:ascii="Cambria" w:hAnsi="Cambria"/>
                <w:b/>
                <w:sz w:val="20"/>
                <w:szCs w:val="20"/>
                <w:lang w:val="es-ES"/>
              </w:rPr>
              <w:t xml:space="preserve">: </w:t>
            </w:r>
            <w:hyperlink r:id="rId9" w:history="1">
              <w:r w:rsidRPr="00B57924">
                <w:rPr>
                  <w:rStyle w:val="Hyperlink"/>
                  <w:rFonts w:ascii="Cambria" w:hAnsi="Cambria"/>
                  <w:color w:val="auto"/>
                  <w:sz w:val="20"/>
                  <w:szCs w:val="20"/>
                  <w:lang w:val="es-ES"/>
                </w:rPr>
                <w:t>87/99</w:t>
              </w:r>
            </w:hyperlink>
            <w:r w:rsidRPr="00B57924">
              <w:rPr>
                <w:rFonts w:ascii="Cambria" w:hAnsi="Cambria"/>
                <w:sz w:val="20"/>
                <w:szCs w:val="20"/>
                <w:lang w:val="es-ES"/>
              </w:rPr>
              <w:t>, publicado el 27 de septiembre de 1999</w:t>
            </w:r>
          </w:p>
          <w:p w14:paraId="6672F0A4" w14:textId="77777777" w:rsidR="004C0E4E" w:rsidRPr="00B57924" w:rsidRDefault="004C0E4E" w:rsidP="00B61D5E">
            <w:pPr>
              <w:pStyle w:val="NoSpacing"/>
              <w:spacing w:after="120"/>
              <w:jc w:val="both"/>
              <w:rPr>
                <w:rFonts w:ascii="Cambria" w:hAnsi="Cambria"/>
                <w:sz w:val="20"/>
                <w:szCs w:val="20"/>
                <w:lang w:val="es-MX"/>
              </w:rPr>
            </w:pPr>
            <w:r w:rsidRPr="00B57924">
              <w:rPr>
                <w:rFonts w:ascii="Cambria" w:hAnsi="Cambria"/>
                <w:b/>
                <w:sz w:val="20"/>
                <w:szCs w:val="20"/>
                <w:lang w:val="es-ES"/>
              </w:rPr>
              <w:t>Temas:</w:t>
            </w:r>
            <w:r w:rsidRPr="00B57924">
              <w:rPr>
                <w:rFonts w:ascii="Cambria" w:hAnsi="Cambria"/>
                <w:sz w:val="20"/>
                <w:szCs w:val="20"/>
                <w:lang w:val="es-ES"/>
              </w:rPr>
              <w:t xml:space="preserve"> Detención Arbitraria / Derecho a la Libertad Personal / Tortura y Otros Tratos Crueles, Inhumanos y/o Degradantes / Derecho a la Integridad Personal / Garantías Judiciales / Protección Judicial </w:t>
            </w:r>
          </w:p>
          <w:p w14:paraId="6286C38E" w14:textId="77777777" w:rsidR="004C0E4E" w:rsidRPr="00B57924" w:rsidRDefault="004C0E4E" w:rsidP="00B61D5E">
            <w:pPr>
              <w:pStyle w:val="NoSpacing"/>
              <w:spacing w:after="120"/>
              <w:jc w:val="both"/>
              <w:rPr>
                <w:rFonts w:ascii="Cambria" w:hAnsi="Cambria"/>
                <w:sz w:val="20"/>
                <w:szCs w:val="20"/>
                <w:lang w:val="es-ES_tradnl"/>
              </w:rPr>
            </w:pPr>
            <w:r w:rsidRPr="00B57924">
              <w:rPr>
                <w:rFonts w:ascii="Cambria" w:hAnsi="Cambria"/>
                <w:b/>
                <w:sz w:val="20"/>
                <w:szCs w:val="20"/>
                <w:lang w:val="es-ES"/>
              </w:rPr>
              <w:t>Hechos:</w:t>
            </w:r>
            <w:r w:rsidRPr="00B57924">
              <w:rPr>
                <w:rFonts w:ascii="Cambria" w:hAnsi="Cambria"/>
                <w:sz w:val="20"/>
                <w:szCs w:val="20"/>
                <w:lang w:val="es-ES"/>
              </w:rPr>
              <w:t xml:space="preserve"> Waldemar Gerónimo </w:t>
            </w:r>
            <w:proofErr w:type="spellStart"/>
            <w:r w:rsidRPr="00B57924">
              <w:rPr>
                <w:rFonts w:ascii="Cambria" w:hAnsi="Cambria"/>
                <w:sz w:val="20"/>
                <w:szCs w:val="20"/>
                <w:lang w:val="es-ES"/>
              </w:rPr>
              <w:t>Pinheiro</w:t>
            </w:r>
            <w:proofErr w:type="spellEnd"/>
            <w:r w:rsidRPr="00B57924">
              <w:rPr>
                <w:rFonts w:ascii="Cambria" w:hAnsi="Cambria"/>
                <w:sz w:val="20"/>
                <w:szCs w:val="20"/>
                <w:lang w:val="es-ES"/>
              </w:rPr>
              <w:t xml:space="preserve"> estuvo encarcelado en la Penitenciaría Nacional de </w:t>
            </w:r>
            <w:proofErr w:type="spellStart"/>
            <w:r w:rsidRPr="00B57924">
              <w:rPr>
                <w:rFonts w:ascii="Cambria" w:hAnsi="Cambria"/>
                <w:sz w:val="20"/>
                <w:szCs w:val="20"/>
                <w:lang w:val="es-ES"/>
              </w:rPr>
              <w:t>Tacumbú</w:t>
            </w:r>
            <w:proofErr w:type="spellEnd"/>
            <w:r w:rsidRPr="00B57924">
              <w:rPr>
                <w:rFonts w:ascii="Cambria" w:hAnsi="Cambria"/>
                <w:sz w:val="20"/>
                <w:szCs w:val="20"/>
                <w:lang w:val="es-ES"/>
              </w:rPr>
              <w:t xml:space="preserve"> en Paraguay por más de 10 años, en prisión preventiva bajo sospecha de homicidio, sin haber sido sentenciado. El expediente se perdió en tres ocasiones, no se le concedió la libertad condicional y no tenía los recursos económicos necesarios para cubrir el costo de su defensa.</w:t>
            </w:r>
            <w:r w:rsidRPr="00B57924">
              <w:rPr>
                <w:rFonts w:ascii="Cambria" w:eastAsia="Times New Roman" w:hAnsi="Cambria"/>
                <w:sz w:val="20"/>
                <w:szCs w:val="20"/>
                <w:lang w:val="es-ES" w:eastAsia="pt-BR"/>
              </w:rPr>
              <w:t xml:space="preserve"> José Víctor Dos Santos, a su vez, informó que había sido víctima de tortura y que había sido encarcelado en la Penitenciaría Nacional de </w:t>
            </w:r>
            <w:proofErr w:type="spellStart"/>
            <w:r w:rsidRPr="00B57924">
              <w:rPr>
                <w:rFonts w:ascii="Cambria" w:eastAsia="Times New Roman" w:hAnsi="Cambria"/>
                <w:sz w:val="20"/>
                <w:szCs w:val="20"/>
                <w:lang w:val="es-ES" w:eastAsia="pt-BR"/>
              </w:rPr>
              <w:t>Tacumbú</w:t>
            </w:r>
            <w:proofErr w:type="spellEnd"/>
            <w:r w:rsidRPr="00B57924">
              <w:rPr>
                <w:rFonts w:ascii="Cambria" w:eastAsia="Times New Roman" w:hAnsi="Cambria"/>
                <w:sz w:val="20"/>
                <w:szCs w:val="20"/>
                <w:lang w:val="es-ES" w:eastAsia="pt-BR"/>
              </w:rPr>
              <w:t xml:space="preserve"> en Paraguay por más de 10 años, en prisión preventiva bajo sospecha de homicidio, nunca fue condenado. Concedido la libertad condicional, José Víctor Dos Santos no tenía los recursos económicos para su defensa. Además, alegó que fue torturado en el momento de su detención y que, como resultado, fue hospitalizado durante cinco meses.</w:t>
            </w:r>
          </w:p>
          <w:p w14:paraId="670901B7" w14:textId="77777777" w:rsidR="004C0E4E" w:rsidRPr="00B57924" w:rsidRDefault="004C0E4E" w:rsidP="00B61D5E">
            <w:pPr>
              <w:pStyle w:val="NoSpacing"/>
              <w:spacing w:after="120"/>
              <w:jc w:val="both"/>
              <w:rPr>
                <w:rFonts w:ascii="Cambria" w:hAnsi="Cambria"/>
                <w:sz w:val="20"/>
                <w:szCs w:val="20"/>
                <w:lang w:val="es-US"/>
              </w:rPr>
            </w:pPr>
            <w:r w:rsidRPr="00B57924">
              <w:rPr>
                <w:rFonts w:ascii="Cambria" w:hAnsi="Cambria"/>
                <w:b/>
                <w:sz w:val="20"/>
                <w:szCs w:val="20"/>
                <w:lang w:val="es-ES"/>
              </w:rPr>
              <w:t>Derechos violados:</w:t>
            </w:r>
            <w:r w:rsidRPr="00B57924">
              <w:rPr>
                <w:rFonts w:ascii="Cambria" w:hAnsi="Cambria"/>
                <w:sz w:val="20"/>
                <w:szCs w:val="20"/>
                <w:lang w:val="es-ES"/>
              </w:rPr>
              <w:t xml:space="preserve"> </w:t>
            </w:r>
            <w:r w:rsidRPr="00B57924">
              <w:rPr>
                <w:rFonts w:ascii="Cambria" w:hAnsi="Cambria"/>
                <w:sz w:val="20"/>
                <w:szCs w:val="20"/>
                <w:lang w:val="es-US"/>
              </w:rPr>
              <w:t xml:space="preserve">La CIDH concluyó que la detención preventiva prolongada y el retardo en la resolución de los juicios de los señores José Víctor Dos Santos y Waldemar Gerónimo </w:t>
            </w:r>
            <w:proofErr w:type="spellStart"/>
            <w:r w:rsidRPr="00B57924">
              <w:rPr>
                <w:rFonts w:ascii="Cambria" w:hAnsi="Cambria"/>
                <w:sz w:val="20"/>
                <w:szCs w:val="20"/>
                <w:lang w:val="es-US"/>
              </w:rPr>
              <w:t>Pinheiro</w:t>
            </w:r>
            <w:proofErr w:type="spellEnd"/>
            <w:r w:rsidRPr="00B57924">
              <w:rPr>
                <w:rFonts w:ascii="Cambria" w:hAnsi="Cambria"/>
                <w:sz w:val="20"/>
                <w:szCs w:val="20"/>
                <w:lang w:val="es-US"/>
              </w:rPr>
              <w:t xml:space="preserve"> generan la responsabilidad del Estado paraguayo por la violación de los siguientes derechos protegidos por la Declaración Americana por hechos anteriores al 24 de agosto de 1989: derecho de protección contra la detención arbitraria (artículo XXV) y derecho a proceso regular (artículo XXVI) y de los siguientes derechos de la Convención Americana por los hechos ocurridos a partir del 24 de agosto de 1989, fecha de entrada en vigor de este instrumento para Paraguay: derecho a la libertad personal (artículo 7) y derecho a las garantías judiciales (artículo 8), todos ellos en concordancia con la obligación prevista en el artículo 1(1) de dicho instrumento internacional.</w:t>
            </w:r>
          </w:p>
        </w:tc>
      </w:tr>
    </w:tbl>
    <w:p w14:paraId="3FB65DE6" w14:textId="77777777" w:rsidR="004C0E4E" w:rsidRPr="00B57924" w:rsidRDefault="004C0E4E" w:rsidP="004C0E4E">
      <w:pPr>
        <w:ind w:left="180"/>
        <w:rPr>
          <w:rFonts w:ascii="Cambria" w:hAnsi="Cambria"/>
          <w:sz w:val="20"/>
          <w:szCs w:val="20"/>
          <w:lang w:val="es-ES"/>
        </w:rPr>
      </w:pPr>
    </w:p>
    <w:p w14:paraId="523D16DF" w14:textId="77777777" w:rsidR="004C0E4E" w:rsidRPr="00B57924" w:rsidRDefault="004C0E4E" w:rsidP="004C0E4E">
      <w:pPr>
        <w:numPr>
          <w:ilvl w:val="0"/>
          <w:numId w:val="8"/>
        </w:numPr>
        <w:ind w:left="1440"/>
        <w:jc w:val="both"/>
        <w:rPr>
          <w:rFonts w:ascii="Cambria" w:hAnsi="Cambria" w:cs="Calibri Light"/>
          <w:b/>
          <w:sz w:val="20"/>
          <w:szCs w:val="20"/>
          <w:lang w:val="es-US"/>
        </w:rPr>
      </w:pPr>
      <w:r w:rsidRPr="00B57924">
        <w:rPr>
          <w:rFonts w:ascii="Cambria" w:hAnsi="Cambria" w:cs="Calibri Light"/>
          <w:b/>
          <w:sz w:val="20"/>
          <w:szCs w:val="20"/>
          <w:lang w:val="es-US"/>
        </w:rPr>
        <w:t xml:space="preserve">Recomendaciones </w:t>
      </w:r>
    </w:p>
    <w:p w14:paraId="0CA34C72" w14:textId="77777777" w:rsidR="004C0E4E" w:rsidRPr="00B57924" w:rsidRDefault="004C0E4E" w:rsidP="004C0E4E">
      <w:pPr>
        <w:ind w:left="1080"/>
        <w:jc w:val="both"/>
        <w:rPr>
          <w:rFonts w:ascii="Cambria" w:hAnsi="Cambria" w:cs="Calibri Light"/>
          <w:sz w:val="20"/>
          <w:szCs w:val="20"/>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0"/>
        <w:gridCol w:w="2570"/>
      </w:tblGrid>
      <w:tr w:rsidR="004C0E4E" w:rsidRPr="007D4767" w14:paraId="196DF3E4" w14:textId="77777777" w:rsidTr="00B61D5E">
        <w:tc>
          <w:tcPr>
            <w:tcW w:w="6948" w:type="dxa"/>
            <w:shd w:val="clear" w:color="auto" w:fill="auto"/>
            <w:vAlign w:val="center"/>
          </w:tcPr>
          <w:p w14:paraId="6FB86650" w14:textId="77777777" w:rsidR="004C0E4E" w:rsidRPr="00B57924" w:rsidRDefault="004C0E4E" w:rsidP="00B61D5E">
            <w:pPr>
              <w:jc w:val="center"/>
              <w:outlineLvl w:val="0"/>
              <w:rPr>
                <w:rFonts w:ascii="Cambria" w:eastAsia="MS Mincho" w:hAnsi="Cambria"/>
                <w:b/>
                <w:bCs/>
                <w:sz w:val="18"/>
                <w:szCs w:val="18"/>
                <w:lang w:val="es-ES" w:eastAsia="es-ES_tradnl"/>
              </w:rPr>
            </w:pPr>
            <w:r w:rsidRPr="00B57924">
              <w:rPr>
                <w:rFonts w:ascii="Cambria" w:hAnsi="Cambria"/>
                <w:b/>
                <w:sz w:val="18"/>
                <w:szCs w:val="18"/>
                <w:lang w:val="es-ES"/>
              </w:rPr>
              <w:t>Recomendaciones</w:t>
            </w:r>
          </w:p>
        </w:tc>
        <w:tc>
          <w:tcPr>
            <w:tcW w:w="2610" w:type="dxa"/>
            <w:shd w:val="clear" w:color="auto" w:fill="auto"/>
            <w:vAlign w:val="center"/>
          </w:tcPr>
          <w:p w14:paraId="1039EE0C" w14:textId="07617830" w:rsidR="004C0E4E" w:rsidRPr="00BB5F15" w:rsidRDefault="004C0E4E" w:rsidP="00B61D5E">
            <w:pPr>
              <w:jc w:val="center"/>
              <w:outlineLvl w:val="0"/>
              <w:rPr>
                <w:rFonts w:ascii="Cambria" w:eastAsia="MS Mincho" w:hAnsi="Cambria"/>
                <w:b/>
                <w:bCs/>
                <w:color w:val="000000"/>
                <w:sz w:val="18"/>
                <w:szCs w:val="18"/>
                <w:lang w:val="es-ES" w:eastAsia="es-ES_tradnl"/>
              </w:rPr>
            </w:pPr>
            <w:r w:rsidRPr="00BB5F15">
              <w:rPr>
                <w:rFonts w:ascii="Cambria" w:hAnsi="Cambria"/>
                <w:b/>
                <w:color w:val="000000"/>
                <w:sz w:val="18"/>
                <w:szCs w:val="18"/>
                <w:lang w:val="es-ES"/>
              </w:rPr>
              <w:t xml:space="preserve">Estado de cumplimiento en el </w:t>
            </w:r>
            <w:r w:rsidR="005510C5" w:rsidRPr="00BB5F15">
              <w:rPr>
                <w:rFonts w:ascii="Cambria" w:hAnsi="Cambria" w:cs="Calibri Light"/>
                <w:b/>
                <w:color w:val="000000" w:themeColor="text1"/>
                <w:sz w:val="18"/>
                <w:szCs w:val="18"/>
                <w:lang w:val="es-ES"/>
              </w:rPr>
              <w:t>2021</w:t>
            </w:r>
          </w:p>
        </w:tc>
      </w:tr>
      <w:tr w:rsidR="004C0E4E" w:rsidRPr="00B57924" w14:paraId="0F041383" w14:textId="77777777" w:rsidTr="00B61D5E">
        <w:tc>
          <w:tcPr>
            <w:tcW w:w="6948" w:type="dxa"/>
            <w:shd w:val="clear" w:color="auto" w:fill="auto"/>
            <w:vAlign w:val="center"/>
          </w:tcPr>
          <w:p w14:paraId="2A3227C7" w14:textId="77777777" w:rsidR="004C0E4E" w:rsidRPr="00B57924" w:rsidRDefault="004C0E4E" w:rsidP="00B61D5E">
            <w:pPr>
              <w:jc w:val="both"/>
              <w:rPr>
                <w:rFonts w:ascii="Cambria" w:hAnsi="Cambria"/>
                <w:sz w:val="18"/>
                <w:szCs w:val="18"/>
                <w:lang w:val="es-ES"/>
              </w:rPr>
            </w:pPr>
            <w:r w:rsidRPr="00B57924">
              <w:rPr>
                <w:rFonts w:ascii="Cambria" w:hAnsi="Cambria"/>
                <w:sz w:val="18"/>
                <w:szCs w:val="18"/>
                <w:lang w:val="es-ES"/>
              </w:rPr>
              <w:t xml:space="preserve">1. Reparar plenamente al señor Waldemar Gerónimo </w:t>
            </w:r>
            <w:proofErr w:type="spellStart"/>
            <w:r w:rsidRPr="00B57924">
              <w:rPr>
                <w:rFonts w:ascii="Cambria" w:hAnsi="Cambria"/>
                <w:sz w:val="18"/>
                <w:szCs w:val="18"/>
                <w:lang w:val="es-ES"/>
              </w:rPr>
              <w:t>Pinheiro</w:t>
            </w:r>
            <w:proofErr w:type="spellEnd"/>
            <w:r w:rsidRPr="00B57924">
              <w:rPr>
                <w:rFonts w:ascii="Cambria" w:hAnsi="Cambria"/>
                <w:sz w:val="18"/>
                <w:szCs w:val="18"/>
                <w:lang w:val="es-ES"/>
              </w:rPr>
              <w:t>, lo que incluye la correspondiente indemnización.</w:t>
            </w:r>
          </w:p>
        </w:tc>
        <w:tc>
          <w:tcPr>
            <w:tcW w:w="2610" w:type="dxa"/>
            <w:vAlign w:val="center"/>
          </w:tcPr>
          <w:p w14:paraId="612CCEBD" w14:textId="77777777" w:rsidR="004C0E4E" w:rsidRPr="00BB5F15" w:rsidRDefault="004C0E4E" w:rsidP="00B61D5E">
            <w:pPr>
              <w:jc w:val="center"/>
              <w:rPr>
                <w:rFonts w:ascii="Cambria" w:hAnsi="Cambria"/>
                <w:color w:val="000000"/>
                <w:sz w:val="18"/>
                <w:szCs w:val="18"/>
                <w:lang w:val="es-ES"/>
              </w:rPr>
            </w:pPr>
            <w:r w:rsidRPr="00BB5F15">
              <w:rPr>
                <w:rFonts w:ascii="Cambria" w:hAnsi="Cambria"/>
                <w:color w:val="000000"/>
                <w:sz w:val="18"/>
                <w:szCs w:val="18"/>
                <w:lang w:val="es-ES"/>
              </w:rPr>
              <w:t>Cumplimiento parcial</w:t>
            </w:r>
          </w:p>
        </w:tc>
      </w:tr>
      <w:tr w:rsidR="004C0E4E" w:rsidRPr="00B57924" w14:paraId="3F606621" w14:textId="77777777" w:rsidTr="00B61D5E">
        <w:tc>
          <w:tcPr>
            <w:tcW w:w="6948" w:type="dxa"/>
            <w:shd w:val="clear" w:color="auto" w:fill="auto"/>
            <w:vAlign w:val="center"/>
          </w:tcPr>
          <w:p w14:paraId="2A6D3CD1" w14:textId="77777777" w:rsidR="004C0E4E" w:rsidRPr="00B57924" w:rsidRDefault="004C0E4E" w:rsidP="00B61D5E">
            <w:pPr>
              <w:jc w:val="both"/>
              <w:rPr>
                <w:rFonts w:ascii="Cambria" w:hAnsi="Cambria"/>
                <w:sz w:val="18"/>
                <w:szCs w:val="18"/>
                <w:lang w:val="es-ES"/>
              </w:rPr>
            </w:pPr>
            <w:r w:rsidRPr="00B57924">
              <w:rPr>
                <w:rFonts w:ascii="Cambria" w:hAnsi="Cambria"/>
                <w:sz w:val="18"/>
                <w:szCs w:val="18"/>
                <w:lang w:val="es-ES"/>
              </w:rPr>
              <w:t>2. Reparar plenamente al señor José Víctor Dos Santos, lo que incluye la correspondiente indemnización.</w:t>
            </w:r>
          </w:p>
        </w:tc>
        <w:tc>
          <w:tcPr>
            <w:tcW w:w="2610" w:type="dxa"/>
            <w:vAlign w:val="center"/>
          </w:tcPr>
          <w:p w14:paraId="3BC2E88E" w14:textId="77777777" w:rsidR="004C0E4E" w:rsidRPr="00BB5F15" w:rsidRDefault="004C0E4E" w:rsidP="00B61D5E">
            <w:pPr>
              <w:jc w:val="center"/>
              <w:rPr>
                <w:rFonts w:ascii="Cambria" w:hAnsi="Cambria"/>
                <w:color w:val="000000"/>
                <w:sz w:val="18"/>
                <w:szCs w:val="18"/>
                <w:lang w:val="es-ES"/>
              </w:rPr>
            </w:pPr>
            <w:r w:rsidRPr="00BB5F15">
              <w:rPr>
                <w:rFonts w:ascii="Cambria" w:hAnsi="Cambria"/>
                <w:color w:val="000000"/>
                <w:sz w:val="18"/>
                <w:szCs w:val="18"/>
                <w:lang w:val="es-ES"/>
              </w:rPr>
              <w:t>Cumplimiento parcial</w:t>
            </w:r>
          </w:p>
        </w:tc>
      </w:tr>
      <w:tr w:rsidR="004C0E4E" w:rsidRPr="00B57924" w14:paraId="5525A9E2" w14:textId="77777777" w:rsidTr="00B61D5E">
        <w:tc>
          <w:tcPr>
            <w:tcW w:w="6948" w:type="dxa"/>
            <w:shd w:val="clear" w:color="auto" w:fill="auto"/>
            <w:vAlign w:val="center"/>
          </w:tcPr>
          <w:p w14:paraId="703AD1F5" w14:textId="77777777" w:rsidR="004C0E4E" w:rsidRPr="00B57924" w:rsidRDefault="004C0E4E" w:rsidP="00B61D5E">
            <w:pPr>
              <w:jc w:val="both"/>
              <w:rPr>
                <w:rFonts w:ascii="Cambria" w:hAnsi="Cambria"/>
                <w:sz w:val="18"/>
                <w:szCs w:val="18"/>
                <w:lang w:val="es-ES"/>
              </w:rPr>
            </w:pPr>
            <w:r w:rsidRPr="00B57924">
              <w:rPr>
                <w:rFonts w:ascii="Cambria" w:hAnsi="Cambria"/>
                <w:sz w:val="18"/>
                <w:szCs w:val="18"/>
                <w:lang w:val="es-ES"/>
              </w:rPr>
              <w:t>3. Dicha reparación debe ser proporcional a los daños infringidos, lo que implica que debe ser mayor en el Caso de José Víctor Dos Santos por haber permanecido detenido durante ocho años sin existir ninguna justificación legal para ello.</w:t>
            </w:r>
          </w:p>
        </w:tc>
        <w:tc>
          <w:tcPr>
            <w:tcW w:w="2610" w:type="dxa"/>
            <w:vAlign w:val="center"/>
          </w:tcPr>
          <w:p w14:paraId="1B959945" w14:textId="77777777" w:rsidR="004C0E4E" w:rsidRPr="00BB5F15" w:rsidRDefault="004C0E4E" w:rsidP="00B61D5E">
            <w:pPr>
              <w:jc w:val="center"/>
              <w:rPr>
                <w:rFonts w:ascii="Cambria" w:hAnsi="Cambria"/>
                <w:sz w:val="18"/>
                <w:szCs w:val="18"/>
                <w:lang w:val="es-ES"/>
              </w:rPr>
            </w:pPr>
            <w:r w:rsidRPr="00BB5F15">
              <w:rPr>
                <w:rFonts w:ascii="Cambria" w:hAnsi="Cambria"/>
                <w:sz w:val="18"/>
                <w:szCs w:val="18"/>
                <w:lang w:val="es-ES"/>
              </w:rPr>
              <w:t>Cumplimiento parcial</w:t>
            </w:r>
          </w:p>
        </w:tc>
      </w:tr>
      <w:tr w:rsidR="004C0E4E" w:rsidRPr="00B57924" w14:paraId="2F422D4C" w14:textId="77777777" w:rsidTr="00B61D5E">
        <w:trPr>
          <w:trHeight w:val="854"/>
        </w:trPr>
        <w:tc>
          <w:tcPr>
            <w:tcW w:w="6948" w:type="dxa"/>
            <w:shd w:val="clear" w:color="auto" w:fill="auto"/>
            <w:vAlign w:val="center"/>
          </w:tcPr>
          <w:p w14:paraId="20F31753" w14:textId="77777777" w:rsidR="004C0E4E" w:rsidRPr="00B57924" w:rsidRDefault="004C0E4E" w:rsidP="00B61D5E">
            <w:pPr>
              <w:jc w:val="both"/>
              <w:rPr>
                <w:rFonts w:ascii="Cambria" w:hAnsi="Cambria"/>
                <w:sz w:val="18"/>
                <w:szCs w:val="18"/>
                <w:lang w:val="es-ES"/>
              </w:rPr>
            </w:pPr>
            <w:r w:rsidRPr="00B57924">
              <w:rPr>
                <w:rFonts w:ascii="Cambria" w:hAnsi="Cambria"/>
                <w:sz w:val="18"/>
                <w:szCs w:val="18"/>
                <w:lang w:val="es-ES"/>
              </w:rPr>
              <w:t>4. Ordene una investigación para determinar quiénes fueron los responsables de las violaciones que la Comisión ha encontrado, y sancionarlos.</w:t>
            </w:r>
          </w:p>
        </w:tc>
        <w:tc>
          <w:tcPr>
            <w:tcW w:w="2610" w:type="dxa"/>
            <w:vAlign w:val="center"/>
          </w:tcPr>
          <w:p w14:paraId="28D284EC" w14:textId="77777777" w:rsidR="004C0E4E" w:rsidRPr="00B57924" w:rsidRDefault="004C0E4E" w:rsidP="00B61D5E">
            <w:pPr>
              <w:jc w:val="center"/>
              <w:rPr>
                <w:rFonts w:ascii="Cambria" w:hAnsi="Cambria"/>
                <w:sz w:val="18"/>
                <w:szCs w:val="18"/>
                <w:lang w:val="es-ES"/>
              </w:rPr>
            </w:pPr>
            <w:r w:rsidRPr="00B57924">
              <w:rPr>
                <w:rFonts w:ascii="Cambria" w:hAnsi="Cambria"/>
                <w:sz w:val="18"/>
                <w:szCs w:val="18"/>
                <w:lang w:val="es-ES"/>
              </w:rPr>
              <w:t>Pendiente de cumplimiento</w:t>
            </w:r>
          </w:p>
        </w:tc>
      </w:tr>
      <w:tr w:rsidR="004C0E4E" w:rsidRPr="00B57924" w14:paraId="0E872223" w14:textId="77777777" w:rsidTr="00B61D5E">
        <w:tc>
          <w:tcPr>
            <w:tcW w:w="6948" w:type="dxa"/>
            <w:shd w:val="clear" w:color="auto" w:fill="auto"/>
            <w:vAlign w:val="center"/>
          </w:tcPr>
          <w:p w14:paraId="18D0951A" w14:textId="77777777" w:rsidR="004C0E4E" w:rsidRPr="00B57924" w:rsidRDefault="004C0E4E" w:rsidP="00B61D5E">
            <w:pPr>
              <w:jc w:val="both"/>
              <w:rPr>
                <w:rFonts w:ascii="Cambria" w:hAnsi="Cambria"/>
                <w:sz w:val="18"/>
                <w:szCs w:val="18"/>
                <w:lang w:val="es-ES"/>
              </w:rPr>
            </w:pPr>
            <w:r w:rsidRPr="00B57924">
              <w:rPr>
                <w:rFonts w:ascii="Cambria" w:hAnsi="Cambria"/>
                <w:sz w:val="18"/>
                <w:szCs w:val="18"/>
                <w:lang w:val="es-ES"/>
              </w:rPr>
              <w:t>5. Tome las medidas necesarias para prevenir que estos hechos se repitan en el futuro.</w:t>
            </w:r>
          </w:p>
        </w:tc>
        <w:tc>
          <w:tcPr>
            <w:tcW w:w="2610" w:type="dxa"/>
            <w:vAlign w:val="center"/>
          </w:tcPr>
          <w:p w14:paraId="14F4CDC8" w14:textId="77777777" w:rsidR="004C0E4E" w:rsidRPr="00B57924" w:rsidRDefault="004C0E4E" w:rsidP="00B61D5E">
            <w:pPr>
              <w:jc w:val="center"/>
              <w:rPr>
                <w:rFonts w:ascii="Cambria" w:hAnsi="Cambria"/>
                <w:sz w:val="18"/>
                <w:szCs w:val="18"/>
                <w:lang w:val="es-ES"/>
              </w:rPr>
            </w:pPr>
            <w:r w:rsidRPr="00B57924">
              <w:rPr>
                <w:rFonts w:ascii="Cambria" w:hAnsi="Cambria"/>
                <w:sz w:val="18"/>
                <w:szCs w:val="18"/>
                <w:lang w:val="es-ES"/>
              </w:rPr>
              <w:t>Pendiente de cumplimiento</w:t>
            </w:r>
          </w:p>
        </w:tc>
      </w:tr>
    </w:tbl>
    <w:p w14:paraId="71356032" w14:textId="77777777" w:rsidR="004C0E4E" w:rsidRPr="00B57924" w:rsidRDefault="004C0E4E" w:rsidP="004C0E4E">
      <w:pPr>
        <w:jc w:val="both"/>
        <w:rPr>
          <w:rFonts w:ascii="Cambria" w:hAnsi="Cambria" w:cs="Calibri Light"/>
          <w:sz w:val="20"/>
          <w:szCs w:val="20"/>
          <w:lang w:val="es-US"/>
        </w:rPr>
      </w:pPr>
    </w:p>
    <w:p w14:paraId="62ECFD3A" w14:textId="17519F3D" w:rsidR="004C0E4E" w:rsidRPr="00B57924" w:rsidRDefault="004C0E4E" w:rsidP="5E703A83">
      <w:pPr>
        <w:jc w:val="both"/>
        <w:rPr>
          <w:rFonts w:ascii="Cambria" w:hAnsi="Cambria" w:cs="Calibri Light"/>
          <w:sz w:val="20"/>
          <w:szCs w:val="20"/>
          <w:lang w:val="es-US"/>
        </w:rPr>
      </w:pPr>
    </w:p>
    <w:p w14:paraId="6ECC3AF7" w14:textId="3A1A77F0" w:rsidR="5E703A83" w:rsidRDefault="5E703A83" w:rsidP="5E703A83">
      <w:pPr>
        <w:jc w:val="both"/>
        <w:rPr>
          <w:rFonts w:ascii="Cambria" w:hAnsi="Cambria" w:cs="Calibri Light"/>
          <w:sz w:val="20"/>
          <w:szCs w:val="20"/>
          <w:lang w:val="es-US"/>
        </w:rPr>
      </w:pPr>
    </w:p>
    <w:p w14:paraId="38BB8691" w14:textId="77777777" w:rsidR="004C0E4E" w:rsidRPr="00B57924" w:rsidRDefault="004C0E4E" w:rsidP="004C0E4E">
      <w:pPr>
        <w:pStyle w:val="ListParagraph"/>
        <w:numPr>
          <w:ilvl w:val="0"/>
          <w:numId w:val="8"/>
        </w:numPr>
        <w:ind w:left="1440"/>
        <w:jc w:val="both"/>
        <w:rPr>
          <w:rFonts w:ascii="Cambria" w:hAnsi="Cambria" w:cs="Calibri Light"/>
          <w:b/>
          <w:sz w:val="20"/>
          <w:szCs w:val="20"/>
          <w:lang w:val="es-ES_tradnl"/>
        </w:rPr>
      </w:pPr>
      <w:r w:rsidRPr="00B57924">
        <w:rPr>
          <w:rFonts w:ascii="Cambria" w:hAnsi="Cambria"/>
          <w:b/>
          <w:sz w:val="20"/>
          <w:szCs w:val="20"/>
          <w:lang w:val="es-VE"/>
        </w:rPr>
        <w:t>Actividad Procesal</w:t>
      </w:r>
    </w:p>
    <w:p w14:paraId="0D26431E" w14:textId="77777777" w:rsidR="004C0E4E" w:rsidRPr="00B57924" w:rsidRDefault="004C0E4E" w:rsidP="004C0E4E">
      <w:pPr>
        <w:jc w:val="both"/>
        <w:rPr>
          <w:rFonts w:ascii="Cambria" w:hAnsi="Cambria" w:cs="Calibri Light"/>
          <w:color w:val="000000"/>
          <w:sz w:val="20"/>
          <w:szCs w:val="20"/>
          <w:lang w:val="es-ES_tradnl"/>
        </w:rPr>
      </w:pPr>
    </w:p>
    <w:p w14:paraId="0FE99298" w14:textId="0B698D19" w:rsidR="004C0E4E" w:rsidRPr="00BB5F15" w:rsidRDefault="004C0E4E" w:rsidP="004C0E4E">
      <w:pPr>
        <w:numPr>
          <w:ilvl w:val="0"/>
          <w:numId w:val="22"/>
        </w:numPr>
        <w:ind w:left="0" w:firstLine="720"/>
        <w:jc w:val="both"/>
        <w:rPr>
          <w:rFonts w:ascii="Cambria" w:hAnsi="Cambria" w:cs="Calibri Light"/>
          <w:color w:val="000000"/>
          <w:sz w:val="20"/>
          <w:szCs w:val="20"/>
          <w:lang w:val="es-ES_tradnl"/>
        </w:rPr>
      </w:pPr>
      <w:r w:rsidRPr="00B57924">
        <w:rPr>
          <w:rFonts w:ascii="Cambria" w:hAnsi="Cambria" w:cs="Calibri Light"/>
          <w:color w:val="000000"/>
          <w:sz w:val="20"/>
          <w:szCs w:val="20"/>
          <w:lang w:val="es-ES_tradnl"/>
        </w:rPr>
        <w:t>En 202</w:t>
      </w:r>
      <w:r w:rsidR="00E02DCF">
        <w:rPr>
          <w:rFonts w:ascii="Cambria" w:hAnsi="Cambria" w:cs="Calibri Light"/>
          <w:color w:val="000000"/>
          <w:sz w:val="20"/>
          <w:szCs w:val="20"/>
          <w:lang w:val="es-ES_tradnl"/>
        </w:rPr>
        <w:t>1</w:t>
      </w:r>
      <w:r w:rsidRPr="00B57924">
        <w:rPr>
          <w:rFonts w:ascii="Cambria" w:hAnsi="Cambria" w:cs="Calibri Light"/>
          <w:color w:val="000000"/>
          <w:sz w:val="20"/>
          <w:szCs w:val="20"/>
          <w:lang w:val="es-ES_tradnl"/>
        </w:rPr>
        <w:t xml:space="preserve">, la CIDH solicitó información actualizada al </w:t>
      </w:r>
      <w:r w:rsidRPr="00BB5F15">
        <w:rPr>
          <w:rFonts w:ascii="Cambria" w:hAnsi="Cambria" w:cs="Calibri Light"/>
          <w:color w:val="000000"/>
          <w:sz w:val="20"/>
          <w:szCs w:val="20"/>
          <w:lang w:val="es-ES_tradnl"/>
        </w:rPr>
        <w:t xml:space="preserve">Estado y los peticionarios sobre el cumplimiento de las recomendaciones contenidas en el Informe de Fondo </w:t>
      </w:r>
      <w:proofErr w:type="spellStart"/>
      <w:r w:rsidRPr="00BB5F15">
        <w:rPr>
          <w:rFonts w:ascii="Cambria" w:hAnsi="Cambria" w:cs="Calibri Light"/>
          <w:color w:val="000000"/>
          <w:sz w:val="20"/>
          <w:szCs w:val="20"/>
          <w:lang w:val="es-ES_tradnl"/>
        </w:rPr>
        <w:t>N°</w:t>
      </w:r>
      <w:proofErr w:type="spellEnd"/>
      <w:r w:rsidRPr="00BB5F15">
        <w:rPr>
          <w:rFonts w:ascii="Cambria" w:hAnsi="Cambria" w:cs="Calibri Light"/>
          <w:color w:val="000000"/>
          <w:sz w:val="20"/>
          <w:szCs w:val="20"/>
          <w:lang w:val="es-ES_tradnl"/>
        </w:rPr>
        <w:t xml:space="preserve"> 77/02, el </w:t>
      </w:r>
      <w:r w:rsidR="005510C5" w:rsidRPr="00BB5F15">
        <w:rPr>
          <w:rFonts w:ascii="Cambria" w:hAnsi="Cambria" w:cs="Calibri Light"/>
          <w:color w:val="000000"/>
          <w:sz w:val="20"/>
          <w:szCs w:val="20"/>
          <w:lang w:val="es-ES_tradnl"/>
        </w:rPr>
        <w:t>24</w:t>
      </w:r>
      <w:r w:rsidRPr="00BB5F15">
        <w:rPr>
          <w:rFonts w:ascii="Cambria" w:hAnsi="Cambria" w:cs="Calibri Light"/>
          <w:color w:val="000000"/>
          <w:sz w:val="20"/>
          <w:szCs w:val="20"/>
          <w:lang w:val="es-ES_tradnl"/>
        </w:rPr>
        <w:t xml:space="preserve"> de agosto. A la fecha de cierre del presente informe, ninguna de las partes presentó dicha información. </w:t>
      </w:r>
    </w:p>
    <w:p w14:paraId="0EA989A5" w14:textId="77777777" w:rsidR="004C0E4E" w:rsidRPr="00B57924" w:rsidRDefault="004C0E4E" w:rsidP="004C0E4E">
      <w:pPr>
        <w:jc w:val="both"/>
        <w:rPr>
          <w:rFonts w:ascii="Cambria" w:hAnsi="Cambria" w:cs="Calibri Light"/>
          <w:sz w:val="20"/>
          <w:szCs w:val="20"/>
          <w:lang w:val="es-ES_tradnl"/>
        </w:rPr>
      </w:pPr>
    </w:p>
    <w:p w14:paraId="191229CE" w14:textId="77777777" w:rsidR="004C0E4E" w:rsidRPr="00B57924" w:rsidRDefault="004C0E4E" w:rsidP="004C0E4E">
      <w:pPr>
        <w:pStyle w:val="ListParagraph"/>
        <w:numPr>
          <w:ilvl w:val="0"/>
          <w:numId w:val="8"/>
        </w:numPr>
        <w:ind w:left="1440"/>
        <w:jc w:val="both"/>
        <w:rPr>
          <w:rFonts w:ascii="Cambria" w:hAnsi="Cambria" w:cs="Calibri Light"/>
          <w:b/>
          <w:sz w:val="20"/>
          <w:szCs w:val="20"/>
          <w:lang w:val="es-ES_tradnl"/>
        </w:rPr>
      </w:pPr>
      <w:r w:rsidRPr="00B57924">
        <w:rPr>
          <w:rFonts w:ascii="Cambria" w:hAnsi="Cambria" w:cs="Calibri Light"/>
          <w:b/>
          <w:sz w:val="20"/>
          <w:szCs w:val="20"/>
          <w:lang w:val="es-ES_tradnl"/>
        </w:rPr>
        <w:t>Análisis relativo a la información proporcionada</w:t>
      </w:r>
    </w:p>
    <w:p w14:paraId="68DA736A" w14:textId="77777777" w:rsidR="004C0E4E" w:rsidRPr="00B57924" w:rsidRDefault="004C0E4E" w:rsidP="004C0E4E">
      <w:pPr>
        <w:jc w:val="both"/>
        <w:rPr>
          <w:rFonts w:ascii="Cambria" w:hAnsi="Cambria" w:cs="Calibri Light"/>
          <w:sz w:val="20"/>
          <w:szCs w:val="20"/>
          <w:lang w:val="es-ES_tradnl"/>
        </w:rPr>
      </w:pPr>
    </w:p>
    <w:p w14:paraId="1F8A9076" w14:textId="73FE5989" w:rsidR="004C0E4E" w:rsidRPr="00B57924" w:rsidRDefault="004C0E4E" w:rsidP="5E703A83">
      <w:pPr>
        <w:numPr>
          <w:ilvl w:val="0"/>
          <w:numId w:val="22"/>
        </w:numPr>
        <w:ind w:left="0" w:firstLine="720"/>
        <w:jc w:val="both"/>
        <w:rPr>
          <w:rFonts w:ascii="Cambria" w:hAnsi="Cambria" w:cs="Calibri Light"/>
          <w:color w:val="000000"/>
          <w:sz w:val="20"/>
          <w:szCs w:val="20"/>
          <w:lang w:val="es-ES"/>
        </w:rPr>
      </w:pPr>
      <w:r w:rsidRPr="5E703A83">
        <w:rPr>
          <w:rFonts w:ascii="Cambria" w:hAnsi="Cambria" w:cs="Calibri Light"/>
          <w:color w:val="000000" w:themeColor="text1"/>
          <w:sz w:val="20"/>
          <w:szCs w:val="20"/>
          <w:lang w:val="es-ES"/>
        </w:rPr>
        <w:t xml:space="preserve">Ante la ausencia de información actualizada sobre el nivel de cumplimiento de las recomendaciones, la CIDH reitera, a continuación, el análisis del cumplimiento y las conclusiones realizadas en su Informe Anual </w:t>
      </w:r>
      <w:r w:rsidR="3789F7B7" w:rsidRPr="5E703A83">
        <w:rPr>
          <w:rFonts w:ascii="Cambria" w:hAnsi="Cambria" w:cs="Calibri Light"/>
          <w:color w:val="000000" w:themeColor="text1"/>
          <w:sz w:val="20"/>
          <w:szCs w:val="20"/>
          <w:lang w:val="es-ES"/>
        </w:rPr>
        <w:t>2020</w:t>
      </w:r>
      <w:r w:rsidRPr="5E703A83">
        <w:rPr>
          <w:rFonts w:ascii="Cambria" w:hAnsi="Cambria" w:cs="Calibri Light"/>
          <w:color w:val="000000" w:themeColor="text1"/>
          <w:sz w:val="20"/>
          <w:szCs w:val="20"/>
          <w:lang w:val="es-ES"/>
        </w:rPr>
        <w:t xml:space="preserve">.  </w:t>
      </w:r>
    </w:p>
    <w:p w14:paraId="21D4C860" w14:textId="77777777" w:rsidR="004C0E4E" w:rsidRPr="00B57924" w:rsidRDefault="004C0E4E" w:rsidP="004C0E4E">
      <w:pPr>
        <w:ind w:firstLine="720"/>
        <w:jc w:val="both"/>
        <w:rPr>
          <w:rFonts w:ascii="Cambria" w:hAnsi="Cambria" w:cs="Calibri Light"/>
          <w:sz w:val="20"/>
          <w:szCs w:val="20"/>
          <w:lang w:val="es-ES_tradnl"/>
        </w:rPr>
      </w:pPr>
    </w:p>
    <w:p w14:paraId="7B17C59E" w14:textId="77777777" w:rsidR="004C0E4E" w:rsidRPr="00B57924" w:rsidRDefault="004C0E4E" w:rsidP="004C0E4E">
      <w:pPr>
        <w:pStyle w:val="ListParagraph"/>
        <w:numPr>
          <w:ilvl w:val="0"/>
          <w:numId w:val="8"/>
        </w:numPr>
        <w:ind w:left="1440"/>
        <w:jc w:val="both"/>
        <w:rPr>
          <w:rFonts w:ascii="Cambria" w:hAnsi="Cambria" w:cs="Calibri Light"/>
          <w:b/>
          <w:sz w:val="20"/>
          <w:szCs w:val="20"/>
          <w:lang w:val="es-ES_tradnl"/>
        </w:rPr>
      </w:pPr>
      <w:r w:rsidRPr="00B57924">
        <w:rPr>
          <w:rFonts w:ascii="Cambria" w:hAnsi="Cambria" w:cs="Calibri Light"/>
          <w:b/>
          <w:sz w:val="20"/>
          <w:szCs w:val="20"/>
          <w:lang w:val="es-US"/>
        </w:rPr>
        <w:t>Análisis del cumplimiento de las recomendaciones</w:t>
      </w:r>
    </w:p>
    <w:p w14:paraId="5A0527D2" w14:textId="77777777" w:rsidR="004C0E4E" w:rsidRPr="00B57924" w:rsidRDefault="004C0E4E" w:rsidP="004C0E4E">
      <w:pPr>
        <w:pStyle w:val="ListParagraph"/>
        <w:ind w:left="1800"/>
        <w:jc w:val="both"/>
        <w:rPr>
          <w:rFonts w:ascii="Cambria" w:hAnsi="Cambria" w:cs="Calibri Light"/>
          <w:b/>
          <w:sz w:val="20"/>
          <w:szCs w:val="20"/>
          <w:lang w:val="es-ES_tradnl"/>
        </w:rPr>
      </w:pPr>
    </w:p>
    <w:p w14:paraId="12D59303" w14:textId="77777777" w:rsidR="004C0E4E" w:rsidRPr="00B57924" w:rsidRDefault="004C0E4E" w:rsidP="004C0E4E">
      <w:pPr>
        <w:numPr>
          <w:ilvl w:val="0"/>
          <w:numId w:val="22"/>
        </w:numPr>
        <w:ind w:left="0" w:firstLine="720"/>
        <w:jc w:val="both"/>
        <w:rPr>
          <w:rFonts w:ascii="Cambria" w:hAnsi="Cambria" w:cs="Calibri Light"/>
          <w:sz w:val="20"/>
          <w:szCs w:val="20"/>
          <w:lang w:val="es-US"/>
        </w:rPr>
      </w:pPr>
      <w:r w:rsidRPr="00B57924">
        <w:rPr>
          <w:rFonts w:ascii="Cambria" w:hAnsi="Cambria" w:cs="Calibri Light"/>
          <w:b/>
          <w:sz w:val="20"/>
          <w:szCs w:val="20"/>
          <w:lang w:val="es-US"/>
        </w:rPr>
        <w:t>En relación con las recomendaciones 1, 2 y 3 sobre reparaciones</w:t>
      </w:r>
      <w:r w:rsidRPr="00B57924">
        <w:rPr>
          <w:rFonts w:ascii="Cambria" w:hAnsi="Cambria" w:cs="Calibri Light"/>
          <w:sz w:val="20"/>
          <w:szCs w:val="20"/>
          <w:lang w:val="es-US"/>
        </w:rPr>
        <w:t xml:space="preserve">, desde el año 2016, el Estado de Paraguay informó a la CIDH sobre los esfuerzos desplegados para localizar a Waldemar Gerónimo </w:t>
      </w:r>
      <w:proofErr w:type="spellStart"/>
      <w:r w:rsidRPr="00B57924">
        <w:rPr>
          <w:rFonts w:ascii="Cambria" w:hAnsi="Cambria" w:cs="Calibri Light"/>
          <w:sz w:val="20"/>
          <w:szCs w:val="20"/>
          <w:lang w:val="es-US"/>
        </w:rPr>
        <w:t>Pinheiro</w:t>
      </w:r>
      <w:proofErr w:type="spellEnd"/>
      <w:r w:rsidRPr="00B57924">
        <w:rPr>
          <w:rFonts w:ascii="Cambria" w:hAnsi="Cambria" w:cs="Calibri Light"/>
          <w:sz w:val="20"/>
          <w:szCs w:val="20"/>
          <w:lang w:val="es-US"/>
        </w:rPr>
        <w:t xml:space="preserve"> y a José Víctor Dos Santos en territorio </w:t>
      </w:r>
      <w:proofErr w:type="gramStart"/>
      <w:r w:rsidRPr="00B57924">
        <w:rPr>
          <w:rFonts w:ascii="Cambria" w:hAnsi="Cambria" w:cs="Calibri Light"/>
          <w:sz w:val="20"/>
          <w:szCs w:val="20"/>
          <w:lang w:val="es-US"/>
        </w:rPr>
        <w:t>Paraguayo</w:t>
      </w:r>
      <w:proofErr w:type="gramEnd"/>
      <w:r w:rsidRPr="00B57924">
        <w:rPr>
          <w:rFonts w:ascii="Cambria" w:hAnsi="Cambria" w:cs="Calibri Light"/>
          <w:sz w:val="20"/>
          <w:szCs w:val="20"/>
          <w:lang w:val="es-US"/>
        </w:rPr>
        <w:t>. Durante el 2018, el Estado informó sobre acciones para dar con el paradero de las víctimas en Brasil. El 20 de diciembre de 2017, el Ministerio de Relaciones Exteriores solicitó a la Embajada de Paraguay en Brasil, “sus buenos oficios” a fin de que la República de Brasil pudiera informar sobre el paradero de los ciudadanos. El 10 de enero de 2018, la Representación Diplomática del Paraguay solicitó al Ministerio de Relaciones Exteriores, División de Cooperación Jurídica Internacional de Brasil su colaboración. El 26 de marzo de 2018, el Estado de Brasil comunicó que los pedidos de cooperación jurídica internacional podrán tramitarse a través de exhorto dirigido al Departamento de Recuperación de Activos y Cooperación Jurídica Internacional del Ministerio de Justicia. En este contexto, el Ministerio de Relaciones Exteriores de Paraguay señaló a la CIDH que los exhortos constituyen una diligencia procesal que debe ser realizada por un órgano judicial que se encuentra fuera de su jurisdicción. Por consiguiente, de acuerdo con su informe, el Estado realizará las gestiones correspondientes a fin dar cumplimiento a las recomendaciones de la CIDH.</w:t>
      </w:r>
    </w:p>
    <w:p w14:paraId="267586E6" w14:textId="77777777" w:rsidR="004C0E4E" w:rsidRPr="00B57924" w:rsidRDefault="004C0E4E" w:rsidP="004C0E4E">
      <w:pPr>
        <w:ind w:left="720"/>
        <w:jc w:val="both"/>
        <w:rPr>
          <w:rFonts w:ascii="Cambria" w:hAnsi="Cambria" w:cs="Calibri Light"/>
          <w:sz w:val="20"/>
          <w:szCs w:val="20"/>
          <w:lang w:val="es-US"/>
        </w:rPr>
      </w:pPr>
    </w:p>
    <w:p w14:paraId="05C4F0DD" w14:textId="77777777" w:rsidR="004C0E4E" w:rsidRPr="00B57924" w:rsidRDefault="004C0E4E" w:rsidP="004C0E4E">
      <w:pPr>
        <w:numPr>
          <w:ilvl w:val="0"/>
          <w:numId w:val="22"/>
        </w:numPr>
        <w:ind w:left="0" w:firstLine="720"/>
        <w:jc w:val="both"/>
        <w:rPr>
          <w:rFonts w:ascii="Cambria" w:hAnsi="Cambria" w:cs="Calibri Light"/>
          <w:sz w:val="20"/>
          <w:szCs w:val="20"/>
          <w:lang w:val="es-US"/>
        </w:rPr>
      </w:pPr>
      <w:r w:rsidRPr="00B57924">
        <w:rPr>
          <w:rFonts w:ascii="Cambria" w:hAnsi="Cambria" w:cs="Calibri Light"/>
          <w:color w:val="000000"/>
          <w:sz w:val="20"/>
          <w:szCs w:val="20"/>
          <w:lang w:val="es-US"/>
        </w:rPr>
        <w:t>Desde el 2018,</w:t>
      </w:r>
      <w:r w:rsidRPr="00B57924">
        <w:rPr>
          <w:rFonts w:ascii="Cambria" w:hAnsi="Cambria" w:cs="Calibri Light"/>
          <w:sz w:val="20"/>
          <w:szCs w:val="20"/>
          <w:lang w:val="es-US"/>
        </w:rPr>
        <w:t xml:space="preserve"> los representantes de las víctimas no presentaron información actualizada sobre el cumplimiento de las recomendaciones emitidas en el Informe de Fondo </w:t>
      </w:r>
      <w:proofErr w:type="spellStart"/>
      <w:r w:rsidRPr="00B57924">
        <w:rPr>
          <w:rFonts w:ascii="Cambria" w:hAnsi="Cambria" w:cs="Calibri Light"/>
          <w:sz w:val="20"/>
          <w:szCs w:val="20"/>
          <w:lang w:val="es-US"/>
        </w:rPr>
        <w:t>Nº</w:t>
      </w:r>
      <w:proofErr w:type="spellEnd"/>
      <w:r w:rsidRPr="00B57924">
        <w:rPr>
          <w:rFonts w:ascii="Cambria" w:hAnsi="Cambria" w:cs="Calibri Light"/>
          <w:sz w:val="20"/>
          <w:szCs w:val="20"/>
          <w:lang w:val="es-US"/>
        </w:rPr>
        <w:t xml:space="preserve"> 77/02.</w:t>
      </w:r>
    </w:p>
    <w:p w14:paraId="6F58F073" w14:textId="77777777" w:rsidR="004C0E4E" w:rsidRPr="00B57924" w:rsidRDefault="004C0E4E" w:rsidP="004C0E4E">
      <w:pPr>
        <w:ind w:left="720"/>
        <w:jc w:val="both"/>
        <w:rPr>
          <w:rFonts w:ascii="Cambria" w:hAnsi="Cambria" w:cs="Calibri Light"/>
          <w:sz w:val="20"/>
          <w:szCs w:val="20"/>
          <w:lang w:val="es-US"/>
        </w:rPr>
      </w:pPr>
    </w:p>
    <w:p w14:paraId="420D6563" w14:textId="77777777" w:rsidR="004C0E4E" w:rsidRPr="00B57924" w:rsidRDefault="004C0E4E" w:rsidP="004C0E4E">
      <w:pPr>
        <w:numPr>
          <w:ilvl w:val="0"/>
          <w:numId w:val="22"/>
        </w:numPr>
        <w:ind w:left="0" w:firstLine="720"/>
        <w:jc w:val="both"/>
        <w:rPr>
          <w:rFonts w:ascii="Cambria" w:hAnsi="Cambria" w:cs="Calibri Light"/>
          <w:sz w:val="20"/>
          <w:szCs w:val="20"/>
          <w:lang w:val="es-US"/>
        </w:rPr>
      </w:pPr>
      <w:r w:rsidRPr="00B57924">
        <w:rPr>
          <w:rFonts w:ascii="Cambria" w:hAnsi="Cambria" w:cs="Calibri Light"/>
          <w:sz w:val="20"/>
          <w:szCs w:val="20"/>
          <w:lang w:val="es-US"/>
        </w:rPr>
        <w:t xml:space="preserve">La CIDH valora positivamente la información presentada por el Estado de Paraguay respecto las diligencias realizadas para localizar a las víctimas en Brasil y valora los esfuerzos desarrollados en años anteriores dentro del propio Estado paraguayo para ubicar a los señores Waldemar Gerónimo </w:t>
      </w:r>
      <w:proofErr w:type="spellStart"/>
      <w:r w:rsidRPr="00B57924">
        <w:rPr>
          <w:rFonts w:ascii="Cambria" w:hAnsi="Cambria" w:cs="Calibri Light"/>
          <w:sz w:val="20"/>
          <w:szCs w:val="20"/>
          <w:lang w:val="es-US"/>
        </w:rPr>
        <w:t>Pinheiro</w:t>
      </w:r>
      <w:proofErr w:type="spellEnd"/>
      <w:r w:rsidRPr="00B57924">
        <w:rPr>
          <w:rFonts w:ascii="Cambria" w:hAnsi="Cambria" w:cs="Calibri Light"/>
          <w:sz w:val="20"/>
          <w:szCs w:val="20"/>
          <w:lang w:val="es-US"/>
        </w:rPr>
        <w:t xml:space="preserve"> y José Víctor Dos Santos. No obstante, la CIDH estima que aún no existe avance sustancial para implementar las recomendaciones 1, 2 y 3 del presente caso. Por lo tanto, concluye que se encuentran parcialmente cumplidas.  </w:t>
      </w:r>
    </w:p>
    <w:p w14:paraId="16F75950" w14:textId="77777777" w:rsidR="004C0E4E" w:rsidRPr="00B57924" w:rsidRDefault="004C0E4E" w:rsidP="004C0E4E">
      <w:pPr>
        <w:ind w:left="720"/>
        <w:jc w:val="both"/>
        <w:rPr>
          <w:rFonts w:ascii="Cambria" w:hAnsi="Cambria" w:cs="Calibri Light"/>
          <w:sz w:val="20"/>
          <w:szCs w:val="20"/>
          <w:lang w:val="es-US"/>
        </w:rPr>
      </w:pPr>
    </w:p>
    <w:p w14:paraId="2A2A1D71" w14:textId="77777777" w:rsidR="004C0E4E" w:rsidRPr="00B57924" w:rsidRDefault="004C0E4E" w:rsidP="004C0E4E">
      <w:pPr>
        <w:numPr>
          <w:ilvl w:val="0"/>
          <w:numId w:val="22"/>
        </w:numPr>
        <w:ind w:left="0" w:firstLine="720"/>
        <w:jc w:val="both"/>
        <w:rPr>
          <w:rFonts w:ascii="Cambria" w:hAnsi="Cambria" w:cs="Calibri Light"/>
          <w:sz w:val="20"/>
          <w:szCs w:val="20"/>
          <w:lang w:val="es-US"/>
        </w:rPr>
      </w:pPr>
      <w:proofErr w:type="gramStart"/>
      <w:r w:rsidRPr="00B57924">
        <w:rPr>
          <w:rFonts w:ascii="Cambria" w:hAnsi="Cambria" w:cs="Calibri Light"/>
          <w:b/>
          <w:sz w:val="20"/>
          <w:szCs w:val="20"/>
          <w:lang w:val="es-US"/>
        </w:rPr>
        <w:t>En relación a</w:t>
      </w:r>
      <w:proofErr w:type="gramEnd"/>
      <w:r w:rsidRPr="00B57924">
        <w:rPr>
          <w:rFonts w:ascii="Cambria" w:hAnsi="Cambria" w:cs="Calibri Light"/>
          <w:b/>
          <w:sz w:val="20"/>
          <w:szCs w:val="20"/>
          <w:lang w:val="es-US"/>
        </w:rPr>
        <w:t xml:space="preserve"> las recomendaciones 4 y 5</w:t>
      </w:r>
      <w:r w:rsidRPr="00B57924">
        <w:rPr>
          <w:rFonts w:ascii="Cambria" w:hAnsi="Cambria" w:cs="Calibri Light"/>
          <w:sz w:val="20"/>
          <w:szCs w:val="20"/>
          <w:lang w:val="es-US"/>
        </w:rPr>
        <w:t>, el Estado aún no ha proporcionado información sobre la investigación adelantada, ni sobre la adopción de medidas de no repetición. Por lo anterior, la CIDH considera que las recomendaciones 4 y 5 se encuentran pendientes de cumplimiento</w:t>
      </w:r>
      <w:r w:rsidRPr="00B57924">
        <w:rPr>
          <w:rStyle w:val="FootnoteReference"/>
          <w:rFonts w:ascii="Cambria" w:hAnsi="Cambria" w:cs="Calibri Light"/>
          <w:sz w:val="20"/>
          <w:szCs w:val="20"/>
          <w:lang w:val="es-US"/>
        </w:rPr>
        <w:footnoteReference w:id="1"/>
      </w:r>
      <w:r w:rsidRPr="00B57924">
        <w:rPr>
          <w:rFonts w:ascii="Cambria" w:hAnsi="Cambria" w:cs="Calibri Light"/>
          <w:sz w:val="20"/>
          <w:szCs w:val="20"/>
          <w:lang w:val="es-US"/>
        </w:rPr>
        <w:t>.</w:t>
      </w:r>
    </w:p>
    <w:p w14:paraId="2CB8478D" w14:textId="77777777" w:rsidR="004C0E4E" w:rsidRPr="00B57924" w:rsidRDefault="004C0E4E" w:rsidP="004C0E4E">
      <w:pPr>
        <w:pStyle w:val="ListParagraph"/>
        <w:rPr>
          <w:rFonts w:ascii="Cambria" w:hAnsi="Cambria" w:cs="Calibri Light"/>
          <w:sz w:val="20"/>
          <w:szCs w:val="20"/>
          <w:lang w:val="es-US"/>
        </w:rPr>
      </w:pPr>
    </w:p>
    <w:p w14:paraId="349DBB59" w14:textId="77777777" w:rsidR="004C0E4E" w:rsidRPr="00B57924" w:rsidRDefault="004C0E4E" w:rsidP="004C0E4E">
      <w:pPr>
        <w:pStyle w:val="ListParagraph"/>
        <w:numPr>
          <w:ilvl w:val="0"/>
          <w:numId w:val="8"/>
        </w:numPr>
        <w:ind w:left="1440"/>
        <w:jc w:val="both"/>
        <w:rPr>
          <w:rFonts w:ascii="Cambria" w:hAnsi="Cambria" w:cs="Calibri Light"/>
          <w:b/>
          <w:sz w:val="20"/>
          <w:szCs w:val="20"/>
          <w:lang w:val="es-US"/>
        </w:rPr>
      </w:pPr>
      <w:r w:rsidRPr="00B57924">
        <w:rPr>
          <w:rFonts w:ascii="Cambria" w:hAnsi="Cambria" w:cs="Calibri Light"/>
          <w:b/>
          <w:sz w:val="20"/>
          <w:szCs w:val="20"/>
          <w:lang w:val="es-US"/>
        </w:rPr>
        <w:t xml:space="preserve">Nivel del cumplimiento del caso </w:t>
      </w:r>
    </w:p>
    <w:p w14:paraId="222917FB" w14:textId="77777777" w:rsidR="004C0E4E" w:rsidRPr="00B57924" w:rsidRDefault="004C0E4E" w:rsidP="004C0E4E">
      <w:pPr>
        <w:jc w:val="both"/>
        <w:rPr>
          <w:rFonts w:ascii="Cambria" w:hAnsi="Cambria" w:cs="Calibri Light"/>
          <w:sz w:val="20"/>
          <w:szCs w:val="20"/>
          <w:lang w:val="es-US"/>
        </w:rPr>
      </w:pPr>
    </w:p>
    <w:p w14:paraId="1D89B913" w14:textId="77777777" w:rsidR="004C0E4E" w:rsidRPr="00B57924" w:rsidRDefault="004C0E4E" w:rsidP="004C0E4E">
      <w:pPr>
        <w:numPr>
          <w:ilvl w:val="0"/>
          <w:numId w:val="22"/>
        </w:numPr>
        <w:ind w:left="0" w:firstLine="810"/>
        <w:jc w:val="both"/>
        <w:rPr>
          <w:rFonts w:ascii="Cambria" w:hAnsi="Cambria" w:cs="Calibri Light"/>
          <w:sz w:val="20"/>
          <w:szCs w:val="20"/>
          <w:lang w:val="es-US"/>
        </w:rPr>
      </w:pPr>
      <w:proofErr w:type="gramStart"/>
      <w:r w:rsidRPr="00B57924">
        <w:rPr>
          <w:rFonts w:ascii="Cambria" w:hAnsi="Cambria" w:cs="Calibri Light"/>
          <w:sz w:val="20"/>
          <w:szCs w:val="20"/>
          <w:lang w:val="es-US"/>
        </w:rPr>
        <w:t>En razón de</w:t>
      </w:r>
      <w:proofErr w:type="gramEnd"/>
      <w:r w:rsidRPr="00B57924">
        <w:rPr>
          <w:rFonts w:ascii="Cambria" w:hAnsi="Cambria" w:cs="Calibri Light"/>
          <w:sz w:val="20"/>
          <w:szCs w:val="20"/>
          <w:lang w:val="es-US"/>
        </w:rPr>
        <w:t xml:space="preserve"> lo anterior, la Comisión concluye que el estado de cumplimiento del presente caso es parcial. En consecuencia, la CIDH seguirá supervisando el cumplimiento de las Recomendaciones 1, 2, 3, 4 y 5. Además, la CIDH invita al Estado a continuar con acciones para localizar a las víctimas y avanzar de manera sustancial en el cumplimiento a las recomendaciones formuladas en el Informe de Fondo </w:t>
      </w:r>
      <w:proofErr w:type="spellStart"/>
      <w:r w:rsidRPr="00B57924">
        <w:rPr>
          <w:rFonts w:ascii="Cambria" w:hAnsi="Cambria" w:cs="Calibri Light"/>
          <w:sz w:val="20"/>
          <w:szCs w:val="20"/>
          <w:lang w:val="es-US"/>
        </w:rPr>
        <w:t>Nº</w:t>
      </w:r>
      <w:proofErr w:type="spellEnd"/>
      <w:r w:rsidRPr="00B57924">
        <w:rPr>
          <w:rFonts w:ascii="Cambria" w:hAnsi="Cambria" w:cs="Calibri Light"/>
          <w:sz w:val="20"/>
          <w:szCs w:val="20"/>
          <w:lang w:val="es-US"/>
        </w:rPr>
        <w:t xml:space="preserve"> </w:t>
      </w:r>
      <w:r w:rsidRPr="00B57924">
        <w:rPr>
          <w:rFonts w:ascii="Cambria" w:hAnsi="Cambria"/>
          <w:sz w:val="20"/>
          <w:szCs w:val="20"/>
          <w:lang w:val="es-US"/>
        </w:rPr>
        <w:t>77/02.</w:t>
      </w:r>
    </w:p>
    <w:p w14:paraId="478DCCEB" w14:textId="77777777" w:rsidR="004C0E4E" w:rsidRPr="00B57924" w:rsidRDefault="004C0E4E" w:rsidP="004C0E4E">
      <w:pPr>
        <w:ind w:left="810"/>
        <w:jc w:val="both"/>
        <w:rPr>
          <w:rFonts w:ascii="Cambria" w:hAnsi="Cambria" w:cs="Calibri Light"/>
          <w:sz w:val="20"/>
          <w:szCs w:val="20"/>
          <w:lang w:val="es-US"/>
        </w:rPr>
      </w:pPr>
    </w:p>
    <w:p w14:paraId="25FB23FF" w14:textId="77777777" w:rsidR="004C0E4E" w:rsidRPr="00B57924" w:rsidRDefault="004C0E4E" w:rsidP="004C0E4E">
      <w:pPr>
        <w:jc w:val="both"/>
        <w:rPr>
          <w:rFonts w:ascii="Cambria" w:hAnsi="Cambria" w:cs="Calibri Light"/>
          <w:sz w:val="20"/>
          <w:szCs w:val="20"/>
          <w:lang w:val="es-US"/>
        </w:rPr>
      </w:pPr>
    </w:p>
    <w:p w14:paraId="2EA0B233" w14:textId="77777777" w:rsidR="004C0E4E" w:rsidRPr="00B57924" w:rsidRDefault="004C0E4E" w:rsidP="004C0E4E">
      <w:pPr>
        <w:pStyle w:val="ListParagraph"/>
        <w:numPr>
          <w:ilvl w:val="0"/>
          <w:numId w:val="8"/>
        </w:numPr>
        <w:ind w:left="1440"/>
        <w:jc w:val="both"/>
        <w:rPr>
          <w:rFonts w:ascii="Cambria" w:hAnsi="Cambria" w:cs="Calibri Light"/>
          <w:b/>
          <w:sz w:val="20"/>
          <w:szCs w:val="20"/>
          <w:lang w:val="es-US"/>
        </w:rPr>
      </w:pPr>
      <w:r w:rsidRPr="00B57924">
        <w:rPr>
          <w:rFonts w:ascii="Cambria" w:hAnsi="Cambria" w:cs="Calibri Light"/>
          <w:b/>
          <w:sz w:val="20"/>
          <w:szCs w:val="20"/>
          <w:lang w:val="es-US"/>
        </w:rPr>
        <w:t xml:space="preserve">Resultados individuales y estructurales del caso </w:t>
      </w:r>
    </w:p>
    <w:p w14:paraId="65E109B8" w14:textId="77777777" w:rsidR="004C0E4E" w:rsidRPr="00B57924" w:rsidRDefault="004C0E4E" w:rsidP="004C0E4E">
      <w:pPr>
        <w:jc w:val="both"/>
        <w:rPr>
          <w:rFonts w:ascii="Cambria" w:hAnsi="Cambria" w:cs="Calibri Light"/>
          <w:b/>
          <w:sz w:val="20"/>
          <w:szCs w:val="20"/>
          <w:lang w:val="es-US"/>
        </w:rPr>
      </w:pPr>
    </w:p>
    <w:p w14:paraId="053EC4B8" w14:textId="77777777" w:rsidR="004C0E4E" w:rsidRPr="00B57924" w:rsidRDefault="004C0E4E" w:rsidP="004C0E4E">
      <w:pPr>
        <w:pStyle w:val="ListParagraph"/>
        <w:numPr>
          <w:ilvl w:val="0"/>
          <w:numId w:val="22"/>
        </w:numPr>
        <w:ind w:left="0" w:firstLine="720"/>
        <w:jc w:val="both"/>
        <w:rPr>
          <w:rFonts w:ascii="Cambria" w:hAnsi="Cambria" w:cs="Calibri Light"/>
          <w:sz w:val="20"/>
          <w:szCs w:val="20"/>
          <w:lang w:val="es-ES"/>
        </w:rPr>
      </w:pPr>
      <w:r w:rsidRPr="00B57924">
        <w:rPr>
          <w:rFonts w:ascii="Cambria" w:hAnsi="Cambria" w:cs="Calibri Light"/>
          <w:sz w:val="20"/>
          <w:szCs w:val="20"/>
          <w:lang w:val="es-ES"/>
        </w:rPr>
        <w:t xml:space="preserve">En esta sección se destacan los resultados individuales y estructurales del caso informados por las partes. </w:t>
      </w:r>
    </w:p>
    <w:p w14:paraId="540D7765" w14:textId="77777777" w:rsidR="004C0E4E" w:rsidRPr="00B57924" w:rsidRDefault="004C0E4E" w:rsidP="004C0E4E">
      <w:pPr>
        <w:jc w:val="both"/>
        <w:rPr>
          <w:rFonts w:ascii="Cambria" w:hAnsi="Cambria" w:cs="Calibri Light"/>
          <w:sz w:val="20"/>
          <w:szCs w:val="20"/>
          <w:lang w:val="es-ES"/>
        </w:rPr>
      </w:pPr>
    </w:p>
    <w:p w14:paraId="23AA5282" w14:textId="77777777" w:rsidR="004C0E4E" w:rsidRPr="00B57924" w:rsidRDefault="004C0E4E" w:rsidP="004C0E4E">
      <w:pPr>
        <w:pStyle w:val="ListParagraph"/>
        <w:numPr>
          <w:ilvl w:val="0"/>
          <w:numId w:val="9"/>
        </w:numPr>
        <w:ind w:left="1440" w:hanging="720"/>
        <w:jc w:val="both"/>
        <w:rPr>
          <w:rFonts w:ascii="Cambria" w:hAnsi="Cambria" w:cs="Calibri Light"/>
          <w:b/>
          <w:sz w:val="20"/>
          <w:szCs w:val="20"/>
          <w:lang w:val="es-US"/>
        </w:rPr>
      </w:pPr>
      <w:r w:rsidRPr="00B57924">
        <w:rPr>
          <w:rFonts w:ascii="Cambria" w:hAnsi="Cambria" w:cs="Calibri Light"/>
          <w:b/>
          <w:sz w:val="20"/>
          <w:szCs w:val="20"/>
          <w:lang w:val="es-US"/>
        </w:rPr>
        <w:t>Resultados individuales del caso</w:t>
      </w:r>
    </w:p>
    <w:p w14:paraId="582BFF85" w14:textId="77777777" w:rsidR="004C0E4E" w:rsidRPr="00B57924" w:rsidRDefault="004C0E4E" w:rsidP="004C0E4E">
      <w:pPr>
        <w:jc w:val="both"/>
        <w:rPr>
          <w:rFonts w:ascii="Cambria" w:hAnsi="Cambria" w:cs="Calibri Light"/>
          <w:sz w:val="20"/>
          <w:szCs w:val="20"/>
          <w:lang w:val="es-ES"/>
        </w:rPr>
      </w:pPr>
    </w:p>
    <w:p w14:paraId="2AF6774C" w14:textId="77777777" w:rsidR="004C0E4E" w:rsidRPr="00B57924" w:rsidRDefault="004C0E4E" w:rsidP="004C0E4E">
      <w:pPr>
        <w:jc w:val="both"/>
        <w:rPr>
          <w:rFonts w:ascii="Cambria" w:hAnsi="Cambria" w:cs="Calibri Light"/>
          <w:i/>
          <w:sz w:val="20"/>
          <w:szCs w:val="20"/>
          <w:lang w:val="es-ES"/>
        </w:rPr>
      </w:pPr>
      <w:r w:rsidRPr="00B57924">
        <w:rPr>
          <w:rFonts w:ascii="Cambria" w:hAnsi="Cambria" w:cs="Calibri Light"/>
          <w:i/>
          <w:sz w:val="20"/>
          <w:szCs w:val="20"/>
          <w:lang w:val="es-ES"/>
        </w:rPr>
        <w:t xml:space="preserve">Medidas individuales </w:t>
      </w:r>
    </w:p>
    <w:p w14:paraId="4C4B5A40" w14:textId="77777777" w:rsidR="004C0E4E" w:rsidRPr="00B57924" w:rsidRDefault="004C0E4E" w:rsidP="004C0E4E">
      <w:pPr>
        <w:numPr>
          <w:ilvl w:val="0"/>
          <w:numId w:val="23"/>
        </w:numPr>
        <w:jc w:val="both"/>
        <w:rPr>
          <w:rFonts w:ascii="Cambria" w:hAnsi="Cambria" w:cs="Calibri Light"/>
          <w:sz w:val="20"/>
          <w:szCs w:val="20"/>
          <w:lang w:val="es-ES"/>
        </w:rPr>
      </w:pPr>
      <w:r w:rsidRPr="00B57924">
        <w:rPr>
          <w:rFonts w:ascii="Cambria" w:hAnsi="Cambria" w:cs="Calibri Light"/>
          <w:sz w:val="20"/>
          <w:szCs w:val="20"/>
          <w:lang w:val="es-ES"/>
        </w:rPr>
        <w:t xml:space="preserve">Acciones de cooperación internacional implementadas para localizar a </w:t>
      </w:r>
      <w:r w:rsidRPr="00B57924">
        <w:rPr>
          <w:rFonts w:ascii="Cambria" w:hAnsi="Cambria" w:cs="Calibri Light"/>
          <w:sz w:val="20"/>
          <w:szCs w:val="20"/>
          <w:lang w:val="es-US"/>
        </w:rPr>
        <w:t xml:space="preserve">Waldemar Gerónimo </w:t>
      </w:r>
      <w:proofErr w:type="spellStart"/>
      <w:r w:rsidRPr="00B57924">
        <w:rPr>
          <w:rFonts w:ascii="Cambria" w:hAnsi="Cambria" w:cs="Calibri Light"/>
          <w:sz w:val="20"/>
          <w:szCs w:val="20"/>
          <w:lang w:val="es-US"/>
        </w:rPr>
        <w:t>Pinheiro</w:t>
      </w:r>
      <w:proofErr w:type="spellEnd"/>
      <w:r w:rsidRPr="00B57924">
        <w:rPr>
          <w:rFonts w:ascii="Cambria" w:hAnsi="Cambria" w:cs="Calibri Light"/>
          <w:sz w:val="20"/>
          <w:szCs w:val="20"/>
          <w:lang w:val="es-US"/>
        </w:rPr>
        <w:t xml:space="preserve"> y a José Víctor Dos Santos, incluyendo que el 20 de diciembre de 2017, el Ministerio de Relaciones Exteriores de Paraguay solicitó a la Embajada de Paraguay en Brasil, “sus buenos oficios” a fin de que la República de Brasil pudiera informar sobre el paradero de los ciudadanos. Asimismo, el 10 de enero de 2018, la Representación Diplomática del Paraguay solicitó al Ministerio de Relaciones Exteriores, División de Cooperación Jurídica Internacional de Brasil su colaboración.</w:t>
      </w:r>
    </w:p>
    <w:p w14:paraId="01D23992" w14:textId="77777777" w:rsidR="004C0E4E" w:rsidRPr="00B57924" w:rsidRDefault="004C0E4E" w:rsidP="004C0E4E">
      <w:pPr>
        <w:jc w:val="both"/>
        <w:rPr>
          <w:rFonts w:ascii="Cambria" w:hAnsi="Cambria" w:cs="Calibri Light"/>
          <w:sz w:val="20"/>
          <w:szCs w:val="20"/>
          <w:lang w:val="es-US"/>
        </w:rPr>
      </w:pPr>
    </w:p>
    <w:p w14:paraId="78F7543A" w14:textId="77777777" w:rsidR="004C0E4E" w:rsidRPr="00B57924" w:rsidRDefault="004C0E4E" w:rsidP="004C0E4E">
      <w:pPr>
        <w:pStyle w:val="ListParagraph"/>
        <w:numPr>
          <w:ilvl w:val="0"/>
          <w:numId w:val="9"/>
        </w:numPr>
        <w:ind w:left="1440" w:hanging="720"/>
        <w:jc w:val="both"/>
        <w:rPr>
          <w:rFonts w:ascii="Cambria" w:hAnsi="Cambria" w:cs="Calibri Light"/>
          <w:b/>
          <w:sz w:val="20"/>
          <w:szCs w:val="20"/>
          <w:lang w:val="es-US"/>
        </w:rPr>
      </w:pPr>
      <w:r w:rsidRPr="00B57924">
        <w:rPr>
          <w:rFonts w:ascii="Cambria" w:hAnsi="Cambria" w:cs="Calibri Light"/>
          <w:b/>
          <w:sz w:val="20"/>
          <w:szCs w:val="20"/>
          <w:lang w:val="es-US"/>
        </w:rPr>
        <w:t>Resultados estructurales del caso</w:t>
      </w:r>
    </w:p>
    <w:p w14:paraId="43672C22" w14:textId="77777777" w:rsidR="004C0E4E" w:rsidRPr="00B57924" w:rsidRDefault="004C0E4E" w:rsidP="004C0E4E">
      <w:pPr>
        <w:jc w:val="both"/>
        <w:rPr>
          <w:rFonts w:ascii="Cambria" w:hAnsi="Cambria" w:cs="Calibri Light"/>
          <w:sz w:val="20"/>
          <w:szCs w:val="20"/>
          <w:lang w:val="es-ES"/>
        </w:rPr>
      </w:pPr>
    </w:p>
    <w:p w14:paraId="6814F6E1" w14:textId="77777777" w:rsidR="004C0E4E" w:rsidRPr="00B57924" w:rsidRDefault="004C0E4E" w:rsidP="004C0E4E">
      <w:pPr>
        <w:numPr>
          <w:ilvl w:val="0"/>
          <w:numId w:val="23"/>
        </w:numPr>
        <w:rPr>
          <w:rFonts w:ascii="Cambria" w:hAnsi="Cambria"/>
          <w:sz w:val="20"/>
          <w:szCs w:val="20"/>
          <w:lang w:val="es-US"/>
        </w:rPr>
      </w:pPr>
      <w:r w:rsidRPr="00B57924">
        <w:rPr>
          <w:rFonts w:ascii="Cambria" w:hAnsi="Cambria"/>
          <w:sz w:val="20"/>
          <w:szCs w:val="20"/>
          <w:lang w:val="es-US"/>
        </w:rPr>
        <w:t xml:space="preserve">No hay resultados estructurales informados por las partes. </w:t>
      </w:r>
    </w:p>
    <w:p w14:paraId="0C635453" w14:textId="77777777" w:rsidR="004C0E4E" w:rsidRPr="004C0E4E" w:rsidRDefault="004C0E4E" w:rsidP="004C0E4E">
      <w:pPr>
        <w:rPr>
          <w:lang w:val="es-ES"/>
        </w:rPr>
      </w:pPr>
    </w:p>
    <w:sectPr w:rsidR="004C0E4E" w:rsidRPr="004C0E4E"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E24D" w14:textId="77777777" w:rsidR="00D2532E" w:rsidRDefault="00D2532E" w:rsidP="00672733">
      <w:r>
        <w:separator/>
      </w:r>
    </w:p>
  </w:endnote>
  <w:endnote w:type="continuationSeparator" w:id="0">
    <w:p w14:paraId="740BBF6F" w14:textId="77777777" w:rsidR="00D2532E" w:rsidRDefault="00D2532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DB75" w14:textId="77777777" w:rsidR="00D2532E" w:rsidRDefault="00D2532E" w:rsidP="00672733">
      <w:r>
        <w:separator/>
      </w:r>
    </w:p>
  </w:footnote>
  <w:footnote w:type="continuationSeparator" w:id="0">
    <w:p w14:paraId="74E7DA55" w14:textId="77777777" w:rsidR="00D2532E" w:rsidRDefault="00D2532E" w:rsidP="00672733">
      <w:r>
        <w:continuationSeparator/>
      </w:r>
    </w:p>
  </w:footnote>
  <w:footnote w:id="1">
    <w:p w14:paraId="07501079" w14:textId="77777777" w:rsidR="004C0E4E" w:rsidRPr="00AD7A20" w:rsidRDefault="004C0E4E" w:rsidP="004C0E4E">
      <w:pPr>
        <w:spacing w:after="120"/>
        <w:ind w:firstLine="720"/>
        <w:jc w:val="both"/>
        <w:rPr>
          <w:rFonts w:ascii="Cambria" w:hAnsi="Cambria"/>
          <w:sz w:val="16"/>
          <w:szCs w:val="16"/>
          <w:lang w:val="es-CO"/>
        </w:rPr>
      </w:pPr>
      <w:r w:rsidRPr="00AD7A20">
        <w:rPr>
          <w:rStyle w:val="FootnoteReference"/>
          <w:rFonts w:ascii="Cambria" w:hAnsi="Cambria"/>
          <w:sz w:val="16"/>
          <w:szCs w:val="16"/>
        </w:rPr>
        <w:footnoteRef/>
      </w:r>
      <w:r w:rsidRPr="00AD7A20">
        <w:rPr>
          <w:rFonts w:ascii="Cambria" w:hAnsi="Cambria"/>
          <w:sz w:val="16"/>
          <w:szCs w:val="16"/>
          <w:lang w:val="es-CO"/>
        </w:rPr>
        <w:t xml:space="preserve"> </w:t>
      </w:r>
      <w:r w:rsidRPr="00AD7A20">
        <w:rPr>
          <w:rFonts w:ascii="Cambria" w:hAnsi="Cambria"/>
          <w:sz w:val="16"/>
          <w:szCs w:val="16"/>
          <w:lang w:val="es-ES"/>
        </w:rPr>
        <w:t xml:space="preserve">CIDH, Informe Anual 2017, </w:t>
      </w:r>
      <w:hyperlink r:id="rId1" w:history="1">
        <w:r w:rsidRPr="00AD7A20">
          <w:rPr>
            <w:rStyle w:val="Hyperlink"/>
            <w:rFonts w:ascii="Cambria" w:hAnsi="Cambria"/>
            <w:color w:val="auto"/>
            <w:sz w:val="16"/>
            <w:szCs w:val="16"/>
            <w:lang w:val="es-ES"/>
          </w:rPr>
          <w:t>Capítulo II, Sección F: Estado del cumplimiento de las recomendaciones de la CIDH</w:t>
        </w:r>
      </w:hyperlink>
      <w:r w:rsidRPr="00AD7A20">
        <w:rPr>
          <w:rFonts w:ascii="Cambria" w:hAnsi="Cambria"/>
          <w:sz w:val="16"/>
          <w:szCs w:val="16"/>
          <w:lang w:val="es-ES"/>
        </w:rPr>
        <w:t>, párr.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982A1F02"/>
    <w:lvl w:ilvl="0" w:tplc="ED0A3C7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911B9"/>
    <w:multiLevelType w:val="hybridMultilevel"/>
    <w:tmpl w:val="283C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1E3F7D4C"/>
    <w:multiLevelType w:val="hybridMultilevel"/>
    <w:tmpl w:val="C32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E1C135C"/>
    <w:multiLevelType w:val="hybridMultilevel"/>
    <w:tmpl w:val="7FCE6AD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D23DB"/>
    <w:multiLevelType w:val="hybridMultilevel"/>
    <w:tmpl w:val="6242DF96"/>
    <w:lvl w:ilvl="0" w:tplc="199855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270F2"/>
    <w:multiLevelType w:val="hybridMultilevel"/>
    <w:tmpl w:val="79C05DA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B7C6B"/>
    <w:multiLevelType w:val="hybridMultilevel"/>
    <w:tmpl w:val="8272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C655D2"/>
    <w:multiLevelType w:val="hybridMultilevel"/>
    <w:tmpl w:val="9AD8EED2"/>
    <w:lvl w:ilvl="0" w:tplc="F48AE38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00A47"/>
    <w:multiLevelType w:val="hybridMultilevel"/>
    <w:tmpl w:val="CF8CB3EE"/>
    <w:lvl w:ilvl="0" w:tplc="27B230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94624A"/>
    <w:multiLevelType w:val="hybridMultilevel"/>
    <w:tmpl w:val="086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890147697">
    <w:abstractNumId w:val="9"/>
  </w:num>
  <w:num w:numId="2" w16cid:durableId="1862891121">
    <w:abstractNumId w:val="22"/>
  </w:num>
  <w:num w:numId="3" w16cid:durableId="1316296130">
    <w:abstractNumId w:val="14"/>
  </w:num>
  <w:num w:numId="4" w16cid:durableId="738139223">
    <w:abstractNumId w:val="4"/>
  </w:num>
  <w:num w:numId="5" w16cid:durableId="1824194777">
    <w:abstractNumId w:val="3"/>
  </w:num>
  <w:num w:numId="6" w16cid:durableId="739400039">
    <w:abstractNumId w:val="7"/>
  </w:num>
  <w:num w:numId="7" w16cid:durableId="173304215">
    <w:abstractNumId w:val="1"/>
  </w:num>
  <w:num w:numId="8" w16cid:durableId="44984620">
    <w:abstractNumId w:val="13"/>
  </w:num>
  <w:num w:numId="9" w16cid:durableId="15500695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0797677">
    <w:abstractNumId w:val="0"/>
  </w:num>
  <w:num w:numId="11" w16cid:durableId="1968462856">
    <w:abstractNumId w:val="12"/>
  </w:num>
  <w:num w:numId="12" w16cid:durableId="932322253">
    <w:abstractNumId w:val="10"/>
  </w:num>
  <w:num w:numId="13" w16cid:durableId="1382704407">
    <w:abstractNumId w:val="20"/>
  </w:num>
  <w:num w:numId="14" w16cid:durableId="1891991350">
    <w:abstractNumId w:val="15"/>
  </w:num>
  <w:num w:numId="15" w16cid:durableId="1966151581">
    <w:abstractNumId w:val="19"/>
  </w:num>
  <w:num w:numId="16" w16cid:durableId="1364132337">
    <w:abstractNumId w:val="21"/>
  </w:num>
  <w:num w:numId="17" w16cid:durableId="459958286">
    <w:abstractNumId w:val="16"/>
  </w:num>
  <w:num w:numId="18" w16cid:durableId="834370995">
    <w:abstractNumId w:val="11"/>
  </w:num>
  <w:num w:numId="19" w16cid:durableId="1053653370">
    <w:abstractNumId w:val="17"/>
  </w:num>
  <w:num w:numId="20" w16cid:durableId="1822884231">
    <w:abstractNumId w:val="2"/>
  </w:num>
  <w:num w:numId="21" w16cid:durableId="170918138">
    <w:abstractNumId w:val="18"/>
  </w:num>
  <w:num w:numId="22" w16cid:durableId="1377504566">
    <w:abstractNumId w:val="8"/>
  </w:num>
  <w:num w:numId="23" w16cid:durableId="1092973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1949EE"/>
    <w:rsid w:val="002248FB"/>
    <w:rsid w:val="00234E64"/>
    <w:rsid w:val="00295A79"/>
    <w:rsid w:val="002B4428"/>
    <w:rsid w:val="002E337B"/>
    <w:rsid w:val="00312FF1"/>
    <w:rsid w:val="00322720"/>
    <w:rsid w:val="00453115"/>
    <w:rsid w:val="004758C9"/>
    <w:rsid w:val="0048723C"/>
    <w:rsid w:val="004C0E4E"/>
    <w:rsid w:val="00500FDE"/>
    <w:rsid w:val="005510C5"/>
    <w:rsid w:val="00566CD0"/>
    <w:rsid w:val="005A09E2"/>
    <w:rsid w:val="00631C1E"/>
    <w:rsid w:val="00637ED3"/>
    <w:rsid w:val="006638E5"/>
    <w:rsid w:val="00672733"/>
    <w:rsid w:val="00674CE1"/>
    <w:rsid w:val="006B1F24"/>
    <w:rsid w:val="007B7BB1"/>
    <w:rsid w:val="007C4DCE"/>
    <w:rsid w:val="007D4767"/>
    <w:rsid w:val="008463D3"/>
    <w:rsid w:val="008818B0"/>
    <w:rsid w:val="008861D6"/>
    <w:rsid w:val="009C1E23"/>
    <w:rsid w:val="00A211C8"/>
    <w:rsid w:val="00BB5F15"/>
    <w:rsid w:val="00BD17B0"/>
    <w:rsid w:val="00BF7A78"/>
    <w:rsid w:val="00D2532E"/>
    <w:rsid w:val="00D56DC4"/>
    <w:rsid w:val="00DB7DCF"/>
    <w:rsid w:val="00E02DCF"/>
    <w:rsid w:val="00E042FE"/>
    <w:rsid w:val="00E516AB"/>
    <w:rsid w:val="00E90CB3"/>
    <w:rsid w:val="00EA0262"/>
    <w:rsid w:val="00EC61E3"/>
    <w:rsid w:val="00ED0AAA"/>
    <w:rsid w:val="00ED1EBA"/>
    <w:rsid w:val="00F41E7E"/>
    <w:rsid w:val="3789F7B7"/>
    <w:rsid w:val="5E703A83"/>
    <w:rsid w:val="7C93B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2B4428"/>
    <w:pPr>
      <w:spacing w:after="160" w:line="240" w:lineRule="exact"/>
    </w:pPr>
    <w:rPr>
      <w:vertAlign w:val="superscript"/>
    </w:rPr>
  </w:style>
  <w:style w:type="character" w:styleId="Hyperlink">
    <w:name w:val="Hyperlink"/>
    <w:uiPriority w:val="99"/>
    <w:unhideWhenUsed/>
    <w:rsid w:val="002B4428"/>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2B4428"/>
  </w:style>
  <w:style w:type="paragraph" w:styleId="NoSpacing">
    <w:name w:val="No Spacing"/>
    <w:link w:val="NoSpacingChar"/>
    <w:uiPriority w:val="1"/>
    <w:qFormat/>
    <w:rsid w:val="002B4428"/>
    <w:rPr>
      <w:rFonts w:ascii="Calibri" w:eastAsia="Calibri" w:hAnsi="Calibri" w:cs="Times New Roman"/>
      <w:sz w:val="22"/>
      <w:szCs w:val="22"/>
      <w:lang w:val="pt-BR"/>
    </w:rPr>
  </w:style>
  <w:style w:type="paragraph" w:customStyle="1" w:styleId="Default">
    <w:name w:val="Default"/>
    <w:rsid w:val="007B7BB1"/>
    <w:pPr>
      <w:autoSpaceDE w:val="0"/>
      <w:autoSpaceDN w:val="0"/>
      <w:adjustRightInd w:val="0"/>
    </w:pPr>
    <w:rPr>
      <w:rFonts w:ascii="Cambria" w:hAnsi="Cambria" w:cs="Cambria"/>
      <w:color w:val="000000"/>
    </w:rPr>
  </w:style>
  <w:style w:type="paragraph" w:styleId="EndnoteText">
    <w:name w:val="endnote text"/>
    <w:basedOn w:val="Normal"/>
    <w:link w:val="EndnoteTextChar"/>
    <w:semiHidden/>
    <w:rsid w:val="00A211C8"/>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211C8"/>
    <w:rPr>
      <w:rFonts w:ascii="Times New Roman" w:eastAsia="Times New Roman" w:hAnsi="Times New Roman" w:cs="Times New Roman"/>
      <w:lang w:val="pt-BR" w:eastAsia="pt-BR"/>
    </w:rPr>
  </w:style>
  <w:style w:type="character" w:customStyle="1" w:styleId="NoSpacingChar">
    <w:name w:val="No Spacing Char"/>
    <w:link w:val="NoSpacing"/>
    <w:uiPriority w:val="1"/>
    <w:rsid w:val="001949EE"/>
    <w:rPr>
      <w:rFonts w:ascii="Calibri" w:eastAsia="Calibri" w:hAnsi="Calibri" w:cs="Times New Roman"/>
      <w:sz w:val="22"/>
      <w:szCs w:val="22"/>
      <w:lang w:val="pt-BR"/>
    </w:rPr>
  </w:style>
  <w:style w:type="paragraph" w:styleId="BodyTextIndent2">
    <w:name w:val="Body Text Indent 2"/>
    <w:basedOn w:val="Normal"/>
    <w:link w:val="BodyTextIndent2Char"/>
    <w:uiPriority w:val="99"/>
    <w:semiHidden/>
    <w:unhideWhenUsed/>
    <w:rsid w:val="009C1E23"/>
    <w:pPr>
      <w:spacing w:before="100" w:beforeAutospacing="1" w:after="100" w:afterAutospacing="1"/>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9C1E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2sp/Paraguay.11506.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99span/Admisible/Paraguay11506.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2022-04-20T20:11:00Z</dcterms:created>
  <dcterms:modified xsi:type="dcterms:W3CDTF">2022-04-20T20:12:00Z</dcterms:modified>
</cp:coreProperties>
</file>