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2306" w14:textId="77777777" w:rsidR="00426BBB" w:rsidRDefault="00426BBB" w:rsidP="00426BBB">
      <w:pPr>
        <w:rPr>
          <w:lang w:val="es-419"/>
        </w:rPr>
      </w:pPr>
    </w:p>
    <w:p w14:paraId="162C6E3B" w14:textId="5C09F8D0" w:rsidR="00426BBB" w:rsidRDefault="00426BBB" w:rsidP="00426BBB">
      <w:pPr>
        <w:rPr>
          <w:lang w:val="es-419"/>
        </w:rPr>
      </w:pPr>
      <w:r>
        <w:rPr>
          <w:noProof/>
          <w:lang w:val="es-419"/>
        </w:rPr>
        <w:drawing>
          <wp:anchor distT="0" distB="0" distL="114300" distR="114300" simplePos="0" relativeHeight="251660288" behindDoc="0" locked="0" layoutInCell="1" allowOverlap="1" wp14:anchorId="059B3BC0" wp14:editId="6667AB5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7"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3F3B9316" w14:textId="24BD888E" w:rsidR="00426BBB" w:rsidRDefault="00426BBB" w:rsidP="00426BBB">
      <w:pPr>
        <w:rPr>
          <w:lang w:val="es-419"/>
        </w:rPr>
        <w:sectPr w:rsidR="00426BBB" w:rsidSect="000527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175"/>
          <w:cols w:space="720"/>
          <w:titlePg/>
          <w:docGrid w:linePitch="360"/>
        </w:sectPr>
      </w:pPr>
      <w:bookmarkStart w:id="0" w:name="IA_Cover"/>
      <w:bookmarkEnd w:id="0"/>
    </w:p>
    <w:p w14:paraId="4A58FB59" w14:textId="319A12F3" w:rsidR="00356253" w:rsidRDefault="00356253" w:rsidP="00356253">
      <w:pPr>
        <w:pStyle w:val="TOCCaptulo"/>
        <w:rPr>
          <w:lang w:val="es-419"/>
        </w:rPr>
      </w:pPr>
      <w:r>
        <w:rPr>
          <w:lang w:val="es-419"/>
        </w:rPr>
        <w:lastRenderedPageBreak/>
        <w:t>CAPÍTULO VI: DESARROLLO INSTITUCIONAL</w:t>
      </w:r>
    </w:p>
    <w:bookmarkStart w:id="1" w:name="IA_TOC"/>
    <w:bookmarkEnd w:id="1"/>
    <w:p w14:paraId="17DAD5F4" w14:textId="109A4334" w:rsidR="00356253" w:rsidRDefault="00356253" w:rsidP="003351D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r>
        <w:rPr>
          <w:lang w:val="es-419"/>
        </w:rPr>
        <w:fldChar w:fldCharType="begin"/>
      </w:r>
      <w:r>
        <w:rPr>
          <w:lang w:val="es-419"/>
        </w:rPr>
        <w:instrText xml:space="preserve"> TOC \o "1-9" \h \z \t "IA   Título,1,IA  Subtítulo 2,2,IA  Subtítulo 3,3" </w:instrText>
      </w:r>
      <w:r>
        <w:rPr>
          <w:lang w:val="es-419"/>
        </w:rPr>
        <w:fldChar w:fldCharType="separate"/>
      </w:r>
      <w:hyperlink w:anchor="_Toc162359404" w:history="1">
        <w:r w:rsidRPr="00120E39">
          <w:rPr>
            <w:rStyle w:val="Hyperlink"/>
            <w:noProof/>
            <w:lang w:val="es-ES_tradnl"/>
          </w:rPr>
          <w:t>A.</w:t>
        </w:r>
        <w:r>
          <w:rPr>
            <w:rFonts w:asciiTheme="minorHAnsi" w:eastAsiaTheme="minorEastAsia" w:hAnsiTheme="minorHAnsi"/>
            <w:noProof/>
            <w:kern w:val="2"/>
            <w:sz w:val="22"/>
            <w14:ligatures w14:val="standardContextual"/>
          </w:rPr>
          <w:tab/>
        </w:r>
        <w:r w:rsidRPr="00120E39">
          <w:rPr>
            <w:rStyle w:val="Hyperlink"/>
            <w:noProof/>
            <w:lang w:val="es-ES_tradnl"/>
          </w:rPr>
          <w:t>Estructura y personal de la Secretaría Ejecutiva de la CIDH</w:t>
        </w:r>
        <w:r>
          <w:rPr>
            <w:noProof/>
            <w:webHidden/>
          </w:rPr>
          <w:tab/>
        </w:r>
        <w:r>
          <w:rPr>
            <w:noProof/>
            <w:webHidden/>
          </w:rPr>
          <w:fldChar w:fldCharType="begin"/>
        </w:r>
        <w:r>
          <w:rPr>
            <w:noProof/>
            <w:webHidden/>
          </w:rPr>
          <w:instrText xml:space="preserve"> PAGEREF _Toc162359404 \h </w:instrText>
        </w:r>
        <w:r>
          <w:rPr>
            <w:noProof/>
            <w:webHidden/>
          </w:rPr>
        </w:r>
        <w:r>
          <w:rPr>
            <w:noProof/>
            <w:webHidden/>
          </w:rPr>
          <w:fldChar w:fldCharType="separate"/>
        </w:r>
        <w:r w:rsidR="00C475A1">
          <w:rPr>
            <w:noProof/>
            <w:webHidden/>
          </w:rPr>
          <w:t>1175</w:t>
        </w:r>
        <w:r>
          <w:rPr>
            <w:noProof/>
            <w:webHidden/>
          </w:rPr>
          <w:fldChar w:fldCharType="end"/>
        </w:r>
      </w:hyperlink>
    </w:p>
    <w:p w14:paraId="5E36DC15" w14:textId="688829C8" w:rsidR="00356253" w:rsidRDefault="00C475A1" w:rsidP="003351D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07" w:history="1">
        <w:r w:rsidR="00356253" w:rsidRPr="00120E39">
          <w:rPr>
            <w:rStyle w:val="Hyperlink"/>
            <w:noProof/>
            <w:lang w:val="es-ES_tradnl"/>
          </w:rPr>
          <w:t>B.</w:t>
        </w:r>
        <w:r w:rsidR="00356253">
          <w:rPr>
            <w:rFonts w:asciiTheme="minorHAnsi" w:eastAsiaTheme="minorEastAsia" w:hAnsiTheme="minorHAnsi"/>
            <w:noProof/>
            <w:kern w:val="2"/>
            <w:sz w:val="22"/>
            <w14:ligatures w14:val="standardContextual"/>
          </w:rPr>
          <w:tab/>
        </w:r>
        <w:r w:rsidR="00356253" w:rsidRPr="00120E39">
          <w:rPr>
            <w:rStyle w:val="Hyperlink"/>
            <w:noProof/>
            <w:lang w:val="es-ES_tradnl"/>
          </w:rPr>
          <w:t>Recursos financieros y ejecución presupuestaria</w:t>
        </w:r>
        <w:r w:rsidR="00356253">
          <w:rPr>
            <w:noProof/>
            <w:webHidden/>
          </w:rPr>
          <w:tab/>
        </w:r>
        <w:r w:rsidR="00356253">
          <w:rPr>
            <w:noProof/>
            <w:webHidden/>
          </w:rPr>
          <w:fldChar w:fldCharType="begin"/>
        </w:r>
        <w:r w:rsidR="00356253">
          <w:rPr>
            <w:noProof/>
            <w:webHidden/>
          </w:rPr>
          <w:instrText xml:space="preserve"> PAGEREF _Toc162359407 \h </w:instrText>
        </w:r>
        <w:r w:rsidR="00356253">
          <w:rPr>
            <w:noProof/>
            <w:webHidden/>
          </w:rPr>
        </w:r>
        <w:r w:rsidR="00356253">
          <w:rPr>
            <w:noProof/>
            <w:webHidden/>
          </w:rPr>
          <w:fldChar w:fldCharType="separate"/>
        </w:r>
        <w:r>
          <w:rPr>
            <w:noProof/>
            <w:webHidden/>
          </w:rPr>
          <w:t>1179</w:t>
        </w:r>
        <w:r w:rsidR="00356253">
          <w:rPr>
            <w:noProof/>
            <w:webHidden/>
          </w:rPr>
          <w:fldChar w:fldCharType="end"/>
        </w:r>
      </w:hyperlink>
    </w:p>
    <w:p w14:paraId="79A603F8" w14:textId="0638071B" w:rsidR="00356253" w:rsidRDefault="00C475A1" w:rsidP="003351D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08" w:history="1">
        <w:r w:rsidR="00356253" w:rsidRPr="00120E39">
          <w:rPr>
            <w:rStyle w:val="Hyperlink"/>
            <w:noProof/>
            <w:lang w:val="es-ES"/>
          </w:rPr>
          <w:t>C.</w:t>
        </w:r>
        <w:r w:rsidR="00356253">
          <w:rPr>
            <w:rFonts w:asciiTheme="minorHAnsi" w:eastAsiaTheme="minorEastAsia" w:hAnsiTheme="minorHAnsi"/>
            <w:noProof/>
            <w:kern w:val="2"/>
            <w:sz w:val="22"/>
            <w14:ligatures w14:val="standardContextual"/>
          </w:rPr>
          <w:tab/>
        </w:r>
        <w:r w:rsidR="00356253" w:rsidRPr="00120E39">
          <w:rPr>
            <w:rStyle w:val="Hyperlink"/>
            <w:noProof/>
            <w:lang w:val="es-ES"/>
          </w:rPr>
          <w:t>Planificación, movilización de fondos y gestión de proyectos</w:t>
        </w:r>
        <w:r w:rsidR="00356253">
          <w:rPr>
            <w:noProof/>
            <w:webHidden/>
          </w:rPr>
          <w:tab/>
        </w:r>
        <w:r w:rsidR="00356253">
          <w:rPr>
            <w:noProof/>
            <w:webHidden/>
          </w:rPr>
          <w:fldChar w:fldCharType="begin"/>
        </w:r>
        <w:r w:rsidR="00356253">
          <w:rPr>
            <w:noProof/>
            <w:webHidden/>
          </w:rPr>
          <w:instrText xml:space="preserve"> PAGEREF _Toc162359408 \h </w:instrText>
        </w:r>
        <w:r w:rsidR="00356253">
          <w:rPr>
            <w:noProof/>
            <w:webHidden/>
          </w:rPr>
        </w:r>
        <w:r w:rsidR="00356253">
          <w:rPr>
            <w:noProof/>
            <w:webHidden/>
          </w:rPr>
          <w:fldChar w:fldCharType="separate"/>
        </w:r>
        <w:r>
          <w:rPr>
            <w:noProof/>
            <w:webHidden/>
          </w:rPr>
          <w:t>1186</w:t>
        </w:r>
        <w:r w:rsidR="00356253">
          <w:rPr>
            <w:noProof/>
            <w:webHidden/>
          </w:rPr>
          <w:fldChar w:fldCharType="end"/>
        </w:r>
      </w:hyperlink>
    </w:p>
    <w:p w14:paraId="3C2314B4" w14:textId="62653E92" w:rsidR="00356253" w:rsidRDefault="00C475A1" w:rsidP="003351D1">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10" w:history="1">
        <w:r w:rsidR="00356253" w:rsidRPr="00120E39">
          <w:rPr>
            <w:rStyle w:val="Hyperlink"/>
            <w:noProof/>
            <w:lang w:val="es-ES"/>
          </w:rPr>
          <w:t>D.</w:t>
        </w:r>
        <w:r w:rsidR="00356253">
          <w:rPr>
            <w:rFonts w:asciiTheme="minorHAnsi" w:eastAsiaTheme="minorEastAsia" w:hAnsiTheme="minorHAnsi"/>
            <w:noProof/>
            <w:kern w:val="2"/>
            <w:sz w:val="22"/>
            <w14:ligatures w14:val="standardContextual"/>
          </w:rPr>
          <w:tab/>
        </w:r>
        <w:r w:rsidR="00356253" w:rsidRPr="00120E39">
          <w:rPr>
            <w:rStyle w:val="Hyperlink"/>
            <w:noProof/>
            <w:lang w:val="es-ES"/>
          </w:rPr>
          <w:t>Avances tecnológicos</w:t>
        </w:r>
        <w:r w:rsidR="00356253">
          <w:rPr>
            <w:noProof/>
            <w:webHidden/>
          </w:rPr>
          <w:tab/>
        </w:r>
        <w:r w:rsidR="00356253">
          <w:rPr>
            <w:noProof/>
            <w:webHidden/>
          </w:rPr>
          <w:fldChar w:fldCharType="begin"/>
        </w:r>
        <w:r w:rsidR="00356253">
          <w:rPr>
            <w:noProof/>
            <w:webHidden/>
          </w:rPr>
          <w:instrText xml:space="preserve"> PAGEREF _Toc162359410 \h </w:instrText>
        </w:r>
        <w:r w:rsidR="00356253">
          <w:rPr>
            <w:noProof/>
            <w:webHidden/>
          </w:rPr>
        </w:r>
        <w:r w:rsidR="00356253">
          <w:rPr>
            <w:noProof/>
            <w:webHidden/>
          </w:rPr>
          <w:fldChar w:fldCharType="separate"/>
        </w:r>
        <w:r>
          <w:rPr>
            <w:noProof/>
            <w:webHidden/>
          </w:rPr>
          <w:t>1188</w:t>
        </w:r>
        <w:r w:rsidR="00356253">
          <w:rPr>
            <w:noProof/>
            <w:webHidden/>
          </w:rPr>
          <w:fldChar w:fldCharType="end"/>
        </w:r>
      </w:hyperlink>
    </w:p>
    <w:p w14:paraId="306EE287" w14:textId="28DE1057" w:rsidR="00356253" w:rsidRDefault="00356253" w:rsidP="003351D1">
      <w:pPr>
        <w:spacing w:line="360" w:lineRule="auto"/>
        <w:rPr>
          <w:lang w:val="es-419"/>
        </w:rPr>
        <w:sectPr w:rsidR="00356253" w:rsidSect="00426BBB">
          <w:type w:val="oddPage"/>
          <w:pgSz w:w="12240" w:h="15840"/>
          <w:pgMar w:top="1440" w:right="1440" w:bottom="1440" w:left="1440" w:header="720" w:footer="720" w:gutter="0"/>
          <w:pgNumType w:start="1175"/>
          <w:cols w:space="720"/>
          <w:titlePg/>
          <w:docGrid w:linePitch="360"/>
        </w:sectPr>
      </w:pPr>
      <w:r>
        <w:rPr>
          <w:lang w:val="es-419"/>
        </w:rPr>
        <w:fldChar w:fldCharType="end"/>
      </w:r>
    </w:p>
    <w:p w14:paraId="161DCB87" w14:textId="77777777" w:rsidR="0052262B" w:rsidRPr="009A7FF3" w:rsidRDefault="0052262B" w:rsidP="0052262B">
      <w:pPr>
        <w:pStyle w:val="IACaptulo"/>
        <w:rPr>
          <w:lang w:val="es-419"/>
        </w:rPr>
      </w:pPr>
      <w:r w:rsidRPr="009A7FF3">
        <w:rPr>
          <w:lang w:val="es-419"/>
        </w:rPr>
        <w:lastRenderedPageBreak/>
        <w:t>Capítulo VI</w:t>
      </w:r>
    </w:p>
    <w:p w14:paraId="1015B3AB" w14:textId="77777777" w:rsidR="0052262B" w:rsidRPr="009A7FF3" w:rsidRDefault="0052262B" w:rsidP="0052262B">
      <w:pPr>
        <w:pStyle w:val="IACaptulo"/>
        <w:rPr>
          <w:lang w:val="es-419"/>
        </w:rPr>
      </w:pPr>
      <w:r w:rsidRPr="009A7FF3">
        <w:rPr>
          <w:lang w:val="es-419"/>
        </w:rPr>
        <w:t>DESARROLLO INSTITUCIONAL</w:t>
      </w:r>
    </w:p>
    <w:p w14:paraId="2B9A4E63" w14:textId="77777777" w:rsidR="0052262B" w:rsidRPr="00754641" w:rsidRDefault="0052262B" w:rsidP="0052262B">
      <w:pPr>
        <w:ind w:firstLine="851"/>
        <w:rPr>
          <w:b/>
          <w:sz w:val="20"/>
          <w:szCs w:val="20"/>
          <w:lang w:val="es-ES_tradnl"/>
        </w:rPr>
      </w:pPr>
    </w:p>
    <w:p w14:paraId="59BDE655" w14:textId="77777777" w:rsidR="0052262B" w:rsidRDefault="0052262B" w:rsidP="0052262B">
      <w:pPr>
        <w:pStyle w:val="IASubttulo2"/>
        <w:spacing w:after="0"/>
        <w:rPr>
          <w:lang w:val="es-ES_tradnl"/>
        </w:rPr>
      </w:pPr>
      <w:bookmarkStart w:id="2" w:name="_Toc162359404"/>
      <w:r w:rsidRPr="00754641">
        <w:rPr>
          <w:lang w:val="es-ES_tradnl"/>
        </w:rPr>
        <w:t xml:space="preserve">Estructura y personal de la </w:t>
      </w:r>
      <w:r>
        <w:rPr>
          <w:lang w:val="es-ES_tradnl"/>
        </w:rPr>
        <w:t xml:space="preserve">Secretaría Ejecutiva de la </w:t>
      </w:r>
      <w:r w:rsidRPr="00754641">
        <w:rPr>
          <w:lang w:val="es-ES_tradnl"/>
        </w:rPr>
        <w:t>CIDH</w:t>
      </w:r>
      <w:bookmarkEnd w:id="2"/>
    </w:p>
    <w:p w14:paraId="653A37D3" w14:textId="77777777" w:rsidR="0052262B" w:rsidRPr="00486BF0" w:rsidRDefault="0052262B" w:rsidP="0052262B">
      <w:pPr>
        <w:pStyle w:val="IASubttulo2"/>
        <w:numPr>
          <w:ilvl w:val="0"/>
          <w:numId w:val="0"/>
        </w:numPr>
        <w:spacing w:after="0"/>
        <w:ind w:left="1440"/>
        <w:rPr>
          <w:lang w:val="es-ES_tradnl"/>
        </w:rPr>
      </w:pPr>
    </w:p>
    <w:p w14:paraId="057C778B" w14:textId="18F7DE1A" w:rsidR="0052262B" w:rsidRPr="001F1B22" w:rsidRDefault="0052262B" w:rsidP="0052262B">
      <w:pPr>
        <w:pStyle w:val="IAPrrafo"/>
        <w:rPr>
          <w:lang w:val="es-CO"/>
        </w:rPr>
      </w:pPr>
      <w:r w:rsidRPr="0052262B">
        <w:rPr>
          <w:lang w:val="es-AR"/>
        </w:rPr>
        <w:t xml:space="preserve">Al 31 de diciembre de 2023, la Secretaría Ejecutiva de la CIDH está conformada por 144 funcionarios/as (74 funcionarios/as, 59 consultores/as y 6 profesional asociado). </w:t>
      </w:r>
      <w:r w:rsidRPr="001F1B22">
        <w:rPr>
          <w:lang w:val="es-CO"/>
        </w:rPr>
        <w:t xml:space="preserve">En adición, la SE/CIDH cuenta con </w:t>
      </w:r>
      <w:r w:rsidR="001F1B22" w:rsidRPr="001F1B22">
        <w:rPr>
          <w:lang w:val="es-CO"/>
        </w:rPr>
        <w:t>cinco</w:t>
      </w:r>
      <w:r w:rsidRPr="001F1B22">
        <w:rPr>
          <w:lang w:val="es-CO"/>
        </w:rPr>
        <w:t xml:space="preserve"> becarios/as.  </w:t>
      </w:r>
    </w:p>
    <w:p w14:paraId="1302B377" w14:textId="77777777" w:rsidR="0052262B" w:rsidRPr="001D5DC3" w:rsidRDefault="0052262B" w:rsidP="0052262B">
      <w:pPr>
        <w:pStyle w:val="IAPrrafo"/>
        <w:rPr>
          <w:rFonts w:eastAsia="Times New Roman" w:cs="Arial"/>
          <w:b/>
          <w:bCs/>
          <w:lang w:val="es-AR" w:eastAsia="es-CO"/>
        </w:rPr>
      </w:pPr>
      <w:r w:rsidRPr="001D5DC3">
        <w:rPr>
          <w:lang w:val="es-AR"/>
        </w:rPr>
        <w:t>La siguiente tabla muestra la distribución de personal por fuente de financiamiento, al 31 de diciembre de 2023.</w:t>
      </w:r>
      <w:r w:rsidRPr="001D5DC3">
        <w:rPr>
          <w:rFonts w:eastAsia="Times New Roman" w:cs="Arial"/>
          <w:b/>
          <w:bCs/>
          <w:lang w:val="es-AR" w:eastAsia="es-CO"/>
        </w:rPr>
        <w:t xml:space="preserve"> </w:t>
      </w:r>
    </w:p>
    <w:tbl>
      <w:tblPr>
        <w:tblW w:w="94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2"/>
        <w:gridCol w:w="900"/>
        <w:gridCol w:w="1170"/>
        <w:gridCol w:w="1152"/>
        <w:gridCol w:w="1098"/>
        <w:gridCol w:w="1350"/>
        <w:gridCol w:w="720"/>
      </w:tblGrid>
      <w:tr w:rsidR="0052262B" w:rsidRPr="00411258" w14:paraId="1213B87E" w14:textId="77777777" w:rsidTr="006C3839">
        <w:trPr>
          <w:trHeight w:val="585"/>
        </w:trPr>
        <w:tc>
          <w:tcPr>
            <w:tcW w:w="9442" w:type="dxa"/>
            <w:gridSpan w:val="7"/>
            <w:tcBorders>
              <w:top w:val="single" w:sz="6" w:space="0" w:color="4F81BD"/>
              <w:left w:val="single" w:sz="6" w:space="0" w:color="4F81BD"/>
              <w:bottom w:val="single" w:sz="6" w:space="0" w:color="4F81BD"/>
              <w:right w:val="single" w:sz="6" w:space="0" w:color="4F81BD"/>
            </w:tcBorders>
            <w:shd w:val="clear" w:color="auto" w:fill="4F81BD"/>
            <w:tcMar>
              <w:left w:w="60" w:type="dxa"/>
              <w:right w:w="60" w:type="dxa"/>
            </w:tcMar>
            <w:vAlign w:val="center"/>
          </w:tcPr>
          <w:p w14:paraId="69AB96E6" w14:textId="77777777" w:rsidR="0052262B" w:rsidRPr="00411258" w:rsidRDefault="0052262B" w:rsidP="006C3839">
            <w:pPr>
              <w:jc w:val="center"/>
              <w:rPr>
                <w:rFonts w:eastAsia="Cambria" w:cs="Cambria"/>
                <w:b/>
                <w:bCs/>
                <w:color w:val="FFFFFF" w:themeColor="background1"/>
                <w:sz w:val="18"/>
                <w:szCs w:val="18"/>
                <w:lang w:val="es-US"/>
              </w:rPr>
            </w:pPr>
            <w:r w:rsidRPr="00411258">
              <w:rPr>
                <w:rFonts w:eastAsia="Cambria" w:cs="Cambria"/>
                <w:b/>
                <w:bCs/>
                <w:color w:val="FFFFFF" w:themeColor="background1"/>
                <w:sz w:val="18"/>
                <w:szCs w:val="18"/>
                <w:lang w:val="es-US"/>
              </w:rPr>
              <w:t>Fuerza Laboral por Fuente de Financiamiento/</w:t>
            </w:r>
          </w:p>
          <w:p w14:paraId="76C8D802" w14:textId="77777777" w:rsidR="0052262B" w:rsidRPr="00411258" w:rsidRDefault="0052262B" w:rsidP="006C3839">
            <w:pPr>
              <w:jc w:val="center"/>
              <w:rPr>
                <w:rFonts w:eastAsia="Cambria" w:cs="Cambria"/>
                <w:color w:val="FFFFFF" w:themeColor="background1"/>
                <w:sz w:val="18"/>
                <w:szCs w:val="18"/>
              </w:rPr>
            </w:pPr>
            <w:r w:rsidRPr="00411258">
              <w:rPr>
                <w:rFonts w:eastAsia="Cambria" w:cs="Cambria"/>
                <w:b/>
                <w:bCs/>
                <w:color w:val="FFFFFF" w:themeColor="background1"/>
                <w:sz w:val="18"/>
                <w:szCs w:val="18"/>
              </w:rPr>
              <w:t>Workforce by Source of Funding</w:t>
            </w:r>
          </w:p>
        </w:tc>
      </w:tr>
      <w:tr w:rsidR="0052262B" w:rsidRPr="00411258" w14:paraId="307C626D" w14:textId="77777777" w:rsidTr="006C3839">
        <w:trPr>
          <w:trHeight w:val="1083"/>
        </w:trPr>
        <w:tc>
          <w:tcPr>
            <w:tcW w:w="3052" w:type="dxa"/>
            <w:tcBorders>
              <w:top w:val="single" w:sz="6" w:space="0" w:color="4F81BD"/>
              <w:left w:val="single" w:sz="6" w:space="0" w:color="95B3D7"/>
              <w:bottom w:val="single" w:sz="6" w:space="0" w:color="95B3D7"/>
              <w:right w:val="single" w:sz="6" w:space="0" w:color="95B3D7"/>
            </w:tcBorders>
            <w:shd w:val="clear" w:color="auto" w:fill="DBE5F1"/>
            <w:tcMar>
              <w:left w:w="60" w:type="dxa"/>
              <w:right w:w="60" w:type="dxa"/>
            </w:tcMar>
            <w:vAlign w:val="center"/>
          </w:tcPr>
          <w:p w14:paraId="199985AE"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Categoría/Category</w:t>
            </w:r>
          </w:p>
        </w:tc>
        <w:tc>
          <w:tcPr>
            <w:tcW w:w="900" w:type="dxa"/>
            <w:tcBorders>
              <w:top w:val="nil"/>
              <w:left w:val="nil"/>
              <w:bottom w:val="single" w:sz="6" w:space="0" w:color="95B3D7"/>
              <w:right w:val="single" w:sz="6" w:space="0" w:color="95B3D7"/>
            </w:tcBorders>
            <w:shd w:val="clear" w:color="auto" w:fill="DBE5F1"/>
            <w:tcMar>
              <w:left w:w="60" w:type="dxa"/>
              <w:right w:w="60" w:type="dxa"/>
            </w:tcMar>
            <w:vAlign w:val="center"/>
          </w:tcPr>
          <w:p w14:paraId="31AA17C3"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Fondo Regular/Regular Fund</w:t>
            </w:r>
          </w:p>
        </w:tc>
        <w:tc>
          <w:tcPr>
            <w:tcW w:w="1170"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655E6C7A"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Fondos Específicos/Specific Funds</w:t>
            </w:r>
          </w:p>
        </w:tc>
        <w:tc>
          <w:tcPr>
            <w:tcW w:w="1152"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72747FF3"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Fondo ICR/ICR Fund</w:t>
            </w:r>
          </w:p>
        </w:tc>
        <w:tc>
          <w:tcPr>
            <w:tcW w:w="1098"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7A5D823D"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Sin Costo para la CIDH /No Cost to the IACHR</w:t>
            </w:r>
          </w:p>
        </w:tc>
        <w:tc>
          <w:tcPr>
            <w:tcW w:w="1350" w:type="dxa"/>
            <w:tcBorders>
              <w:top w:val="nil"/>
              <w:left w:val="single" w:sz="6" w:space="0" w:color="95B3D7"/>
              <w:bottom w:val="single" w:sz="6" w:space="0" w:color="95B3D7"/>
              <w:right w:val="single" w:sz="6" w:space="0" w:color="95B3D7"/>
            </w:tcBorders>
            <w:shd w:val="clear" w:color="auto" w:fill="DBE5F1"/>
            <w:tcMar>
              <w:left w:w="60" w:type="dxa"/>
              <w:right w:w="60" w:type="dxa"/>
            </w:tcMar>
          </w:tcPr>
          <w:p w14:paraId="705A4CD4"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Fondos Específicos Trust/Specific Funds Trust</w:t>
            </w:r>
          </w:p>
        </w:tc>
        <w:tc>
          <w:tcPr>
            <w:tcW w:w="720"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534245CB"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Total</w:t>
            </w:r>
          </w:p>
        </w:tc>
      </w:tr>
      <w:tr w:rsidR="0052262B" w:rsidRPr="00411258" w14:paraId="263A151E" w14:textId="77777777" w:rsidTr="006C3839">
        <w:trPr>
          <w:trHeight w:val="36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ED8B5BB" w14:textId="77777777" w:rsidR="0052262B" w:rsidRPr="00411258" w:rsidRDefault="0052262B" w:rsidP="006C3839">
            <w:pPr>
              <w:rPr>
                <w:rFonts w:eastAsia="Cambria" w:cs="Cambria"/>
                <w:sz w:val="18"/>
                <w:szCs w:val="18"/>
              </w:rPr>
            </w:pPr>
            <w:r w:rsidRPr="00411258">
              <w:rPr>
                <w:rFonts w:eastAsia="Cambria" w:cs="Cambria"/>
                <w:sz w:val="18"/>
                <w:szCs w:val="18"/>
                <w:lang w:val="es-ES"/>
              </w:rPr>
              <w:t>Secretaria Ejecutiva /Executive Secretary</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4AC0A15F"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1</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AFB9C91"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1B24577"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F1F9117"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90DF54C"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7886290"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1</w:t>
            </w:r>
          </w:p>
        </w:tc>
      </w:tr>
      <w:tr w:rsidR="0052262B" w:rsidRPr="00411258" w14:paraId="2EC1A5F7" w14:textId="77777777" w:rsidTr="006C3839">
        <w:trPr>
          <w:trHeight w:val="444"/>
        </w:trPr>
        <w:tc>
          <w:tcPr>
            <w:tcW w:w="30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D48DB78" w14:textId="77777777" w:rsidR="0052262B" w:rsidRPr="00411258" w:rsidRDefault="0052262B" w:rsidP="006C3839">
            <w:pPr>
              <w:rPr>
                <w:rFonts w:eastAsia="Cambria" w:cs="Cambria"/>
                <w:sz w:val="18"/>
                <w:szCs w:val="18"/>
                <w:lang w:val="pt-BR"/>
              </w:rPr>
            </w:pPr>
            <w:r w:rsidRPr="00411258">
              <w:rPr>
                <w:rFonts w:eastAsia="Cambria" w:cs="Cambria"/>
                <w:sz w:val="18"/>
                <w:szCs w:val="18"/>
                <w:lang w:val="pt-BR"/>
              </w:rPr>
              <w:t>Secretaria/o Ejecutiva/o Adjunta/o /</w:t>
            </w:r>
          </w:p>
          <w:p w14:paraId="0F184D95" w14:textId="77777777" w:rsidR="0052262B" w:rsidRPr="00411258" w:rsidRDefault="0052262B" w:rsidP="006C3839">
            <w:pPr>
              <w:rPr>
                <w:rFonts w:eastAsia="Cambria" w:cs="Cambria"/>
                <w:sz w:val="18"/>
                <w:szCs w:val="18"/>
              </w:rPr>
            </w:pPr>
            <w:r w:rsidRPr="00411258">
              <w:rPr>
                <w:rFonts w:eastAsia="Cambria" w:cs="Cambria"/>
                <w:sz w:val="18"/>
                <w:szCs w:val="18"/>
                <w:lang w:val="pt-BR"/>
              </w:rPr>
              <w:t>Assistant Executive Secretaries</w:t>
            </w:r>
          </w:p>
        </w:tc>
        <w:tc>
          <w:tcPr>
            <w:tcW w:w="900"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32650F71"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2</w:t>
            </w:r>
          </w:p>
        </w:tc>
        <w:tc>
          <w:tcPr>
            <w:tcW w:w="117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A0E325F"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1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DAF5BED"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09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B665EC7"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35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14EBD4D"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0</w:t>
            </w:r>
          </w:p>
        </w:tc>
        <w:tc>
          <w:tcPr>
            <w:tcW w:w="72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4C117F9"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2</w:t>
            </w:r>
          </w:p>
        </w:tc>
      </w:tr>
      <w:tr w:rsidR="0052262B" w:rsidRPr="00411258" w14:paraId="72F085BC" w14:textId="77777777" w:rsidTr="006C3839">
        <w:trPr>
          <w:trHeight w:val="534"/>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608CDF8" w14:textId="77777777" w:rsidR="0052262B" w:rsidRPr="00411258" w:rsidRDefault="0052262B" w:rsidP="006C3839">
            <w:pPr>
              <w:rPr>
                <w:rFonts w:eastAsia="Cambria" w:cs="Cambria"/>
                <w:sz w:val="18"/>
                <w:szCs w:val="18"/>
              </w:rPr>
            </w:pPr>
            <w:r w:rsidRPr="00411258">
              <w:rPr>
                <w:rFonts w:eastAsia="Cambria" w:cs="Cambria"/>
                <w:sz w:val="18"/>
                <w:szCs w:val="18"/>
                <w:lang w:val="es-ES"/>
              </w:rPr>
              <w:t>Relatores/as Especiales / Special Rapporteurs</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2AD289BF"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9FB3861"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2</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5AED2D4"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EDAF6F0"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14052EB"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0</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BB9D36C"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2</w:t>
            </w:r>
          </w:p>
        </w:tc>
      </w:tr>
      <w:tr w:rsidR="0052262B" w:rsidRPr="00411258" w14:paraId="622EF0AF" w14:textId="77777777" w:rsidTr="006C3839">
        <w:trPr>
          <w:trHeight w:val="270"/>
        </w:trPr>
        <w:tc>
          <w:tcPr>
            <w:tcW w:w="30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04783A6" w14:textId="77777777" w:rsidR="0052262B" w:rsidRPr="00411258" w:rsidRDefault="0052262B" w:rsidP="006C3839">
            <w:pPr>
              <w:rPr>
                <w:rFonts w:eastAsia="Cambria" w:cs="Cambria"/>
                <w:sz w:val="18"/>
                <w:szCs w:val="18"/>
              </w:rPr>
            </w:pPr>
            <w:r w:rsidRPr="00411258">
              <w:rPr>
                <w:rFonts w:eastAsia="Cambria" w:cs="Cambria"/>
                <w:sz w:val="18"/>
                <w:szCs w:val="18"/>
                <w:lang w:val="es-ES"/>
              </w:rPr>
              <w:t>Profesionales/Professionals</w:t>
            </w:r>
          </w:p>
        </w:tc>
        <w:tc>
          <w:tcPr>
            <w:tcW w:w="900"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22921EA5" w14:textId="77777777" w:rsidR="0052262B" w:rsidRPr="00411258" w:rsidRDefault="0052262B" w:rsidP="006C3839">
            <w:pPr>
              <w:jc w:val="center"/>
              <w:rPr>
                <w:rFonts w:eastAsia="Cambria" w:cs="Cambria"/>
                <w:sz w:val="18"/>
                <w:szCs w:val="18"/>
              </w:rPr>
            </w:pPr>
            <w:r w:rsidRPr="00411258">
              <w:rPr>
                <w:rFonts w:eastAsia="Cambria" w:cs="Cambria"/>
                <w:sz w:val="18"/>
                <w:szCs w:val="18"/>
              </w:rPr>
              <w:t>31</w:t>
            </w:r>
          </w:p>
        </w:tc>
        <w:tc>
          <w:tcPr>
            <w:tcW w:w="117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AAE6147" w14:textId="77777777" w:rsidR="0052262B" w:rsidRPr="00411258" w:rsidRDefault="0052262B" w:rsidP="006C3839">
            <w:pPr>
              <w:jc w:val="center"/>
              <w:rPr>
                <w:rFonts w:eastAsia="Cambria" w:cs="Cambria"/>
                <w:sz w:val="18"/>
                <w:szCs w:val="18"/>
              </w:rPr>
            </w:pPr>
            <w:r w:rsidRPr="00411258">
              <w:rPr>
                <w:rFonts w:eastAsia="Cambria" w:cs="Cambria"/>
                <w:sz w:val="18"/>
                <w:szCs w:val="18"/>
              </w:rPr>
              <w:t>23</w:t>
            </w:r>
          </w:p>
        </w:tc>
        <w:tc>
          <w:tcPr>
            <w:tcW w:w="11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ED6C99D"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09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410190A9"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35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4176A59"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72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4157D90F" w14:textId="77777777" w:rsidR="0052262B" w:rsidRPr="00411258" w:rsidRDefault="0052262B" w:rsidP="006C3839">
            <w:pPr>
              <w:jc w:val="center"/>
              <w:rPr>
                <w:rFonts w:eastAsia="Cambria" w:cs="Cambria"/>
                <w:sz w:val="18"/>
                <w:szCs w:val="18"/>
              </w:rPr>
            </w:pPr>
            <w:r w:rsidRPr="00411258">
              <w:rPr>
                <w:rFonts w:eastAsia="Cambria" w:cs="Cambria"/>
                <w:sz w:val="18"/>
                <w:szCs w:val="18"/>
              </w:rPr>
              <w:t>54</w:t>
            </w:r>
          </w:p>
        </w:tc>
      </w:tr>
      <w:tr w:rsidR="0052262B" w:rsidRPr="00411258" w14:paraId="1FF3CA7F" w14:textId="77777777" w:rsidTr="006C3839">
        <w:trPr>
          <w:trHeight w:val="63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DD45A6B" w14:textId="77777777" w:rsidR="0052262B" w:rsidRPr="00411258" w:rsidRDefault="0052262B" w:rsidP="006C3839">
            <w:pPr>
              <w:rPr>
                <w:rFonts w:eastAsia="Cambria" w:cs="Cambria"/>
                <w:sz w:val="18"/>
                <w:szCs w:val="18"/>
              </w:rPr>
            </w:pPr>
            <w:r w:rsidRPr="00411258">
              <w:rPr>
                <w:rFonts w:eastAsia="Cambria" w:cs="Cambria"/>
                <w:sz w:val="18"/>
                <w:szCs w:val="18"/>
                <w:lang w:val="es-ES"/>
              </w:rPr>
              <w:t xml:space="preserve">Personal Administrativo/Administrative personnel </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169D837B" w14:textId="77777777" w:rsidR="0052262B" w:rsidRPr="00411258" w:rsidRDefault="0052262B" w:rsidP="006C3839">
            <w:pPr>
              <w:jc w:val="center"/>
              <w:rPr>
                <w:rFonts w:eastAsia="Cambria" w:cs="Cambria"/>
                <w:sz w:val="18"/>
                <w:szCs w:val="18"/>
              </w:rPr>
            </w:pPr>
            <w:r w:rsidRPr="00411258">
              <w:rPr>
                <w:rFonts w:eastAsia="Cambria" w:cs="Cambria"/>
                <w:sz w:val="18"/>
                <w:szCs w:val="18"/>
              </w:rPr>
              <w:t>9</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3C9B989" w14:textId="77777777" w:rsidR="0052262B" w:rsidRPr="00411258" w:rsidRDefault="0052262B" w:rsidP="006C3839">
            <w:pPr>
              <w:jc w:val="center"/>
              <w:rPr>
                <w:rFonts w:eastAsia="Cambria" w:cs="Cambria"/>
                <w:sz w:val="18"/>
                <w:szCs w:val="18"/>
              </w:rPr>
            </w:pPr>
            <w:r w:rsidRPr="00411258">
              <w:rPr>
                <w:rFonts w:eastAsia="Cambria" w:cs="Cambria"/>
                <w:sz w:val="18"/>
                <w:szCs w:val="18"/>
              </w:rPr>
              <w:t>5</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CDF8AEB" w14:textId="77777777" w:rsidR="0052262B" w:rsidRPr="00411258" w:rsidRDefault="0052262B" w:rsidP="006C3839">
            <w:pPr>
              <w:jc w:val="center"/>
              <w:rPr>
                <w:rFonts w:eastAsia="Cambria" w:cs="Cambria"/>
                <w:sz w:val="18"/>
                <w:szCs w:val="18"/>
              </w:rPr>
            </w:pPr>
            <w:r w:rsidRPr="00411258">
              <w:rPr>
                <w:rFonts w:eastAsia="Cambria" w:cs="Cambria"/>
                <w:sz w:val="18"/>
                <w:szCs w:val="18"/>
              </w:rPr>
              <w:t>1</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6E14486"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B0E726B"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4482D04" w14:textId="77777777" w:rsidR="0052262B" w:rsidRPr="00411258" w:rsidRDefault="0052262B" w:rsidP="006C3839">
            <w:pPr>
              <w:jc w:val="center"/>
              <w:rPr>
                <w:rFonts w:eastAsia="Cambria" w:cs="Cambria"/>
                <w:sz w:val="18"/>
                <w:szCs w:val="18"/>
              </w:rPr>
            </w:pPr>
            <w:r w:rsidRPr="00411258">
              <w:rPr>
                <w:rFonts w:eastAsia="Cambria" w:cs="Cambria"/>
                <w:sz w:val="18"/>
                <w:szCs w:val="18"/>
              </w:rPr>
              <w:t>15</w:t>
            </w:r>
          </w:p>
        </w:tc>
      </w:tr>
      <w:tr w:rsidR="0052262B" w:rsidRPr="00411258" w14:paraId="0D1AFC73" w14:textId="77777777" w:rsidTr="006C3839">
        <w:trPr>
          <w:trHeight w:val="270"/>
        </w:trPr>
        <w:tc>
          <w:tcPr>
            <w:tcW w:w="30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6AC2E05" w14:textId="77777777" w:rsidR="0052262B" w:rsidRPr="00411258" w:rsidRDefault="0052262B" w:rsidP="006C3839">
            <w:pPr>
              <w:rPr>
                <w:rFonts w:eastAsia="Cambria" w:cs="Cambria"/>
                <w:sz w:val="18"/>
                <w:szCs w:val="18"/>
              </w:rPr>
            </w:pPr>
            <w:r w:rsidRPr="00411258">
              <w:rPr>
                <w:rFonts w:eastAsia="Cambria" w:cs="Cambria"/>
                <w:b/>
                <w:bCs/>
                <w:sz w:val="18"/>
                <w:szCs w:val="18"/>
                <w:lang w:val="es-ES"/>
              </w:rPr>
              <w:t>Subtotal Personal/Personnel</w:t>
            </w:r>
          </w:p>
        </w:tc>
        <w:tc>
          <w:tcPr>
            <w:tcW w:w="900"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766E6562"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43</w:t>
            </w:r>
          </w:p>
        </w:tc>
        <w:tc>
          <w:tcPr>
            <w:tcW w:w="117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4344C34"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30</w:t>
            </w:r>
          </w:p>
        </w:tc>
        <w:tc>
          <w:tcPr>
            <w:tcW w:w="11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55C1412"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w:t>
            </w:r>
          </w:p>
        </w:tc>
        <w:tc>
          <w:tcPr>
            <w:tcW w:w="109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87AE4B0"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0</w:t>
            </w:r>
          </w:p>
        </w:tc>
        <w:tc>
          <w:tcPr>
            <w:tcW w:w="135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DA3E7DD"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0</w:t>
            </w:r>
          </w:p>
        </w:tc>
        <w:tc>
          <w:tcPr>
            <w:tcW w:w="72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402DE67"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74</w:t>
            </w:r>
          </w:p>
        </w:tc>
      </w:tr>
      <w:tr w:rsidR="0052262B" w:rsidRPr="00411258" w14:paraId="19A5F5E0" w14:textId="77777777" w:rsidTr="006C3839">
        <w:trPr>
          <w:trHeight w:val="45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5F5371E3" w14:textId="77777777" w:rsidR="0052262B" w:rsidRPr="00411258" w:rsidRDefault="0052262B" w:rsidP="006C3839">
            <w:pPr>
              <w:rPr>
                <w:rFonts w:eastAsia="Cambria" w:cs="Cambria"/>
                <w:sz w:val="18"/>
                <w:szCs w:val="18"/>
                <w:lang w:val="es-CO"/>
              </w:rPr>
            </w:pPr>
            <w:r w:rsidRPr="00411258">
              <w:rPr>
                <w:rFonts w:eastAsia="Cambria" w:cs="Cambria"/>
                <w:sz w:val="18"/>
                <w:szCs w:val="18"/>
                <w:lang w:val="es-ES"/>
              </w:rPr>
              <w:t xml:space="preserve">Consultorías en Derechos Humanos/ </w:t>
            </w:r>
          </w:p>
          <w:p w14:paraId="1F44EE74" w14:textId="77777777" w:rsidR="0052262B" w:rsidRPr="00411258" w:rsidRDefault="0052262B" w:rsidP="006C3839">
            <w:pPr>
              <w:rPr>
                <w:rFonts w:eastAsia="Cambria" w:cs="Cambria"/>
                <w:sz w:val="18"/>
                <w:szCs w:val="18"/>
                <w:lang w:val="es-CO"/>
              </w:rPr>
            </w:pPr>
            <w:r w:rsidRPr="00411258">
              <w:rPr>
                <w:rFonts w:eastAsia="Cambria" w:cs="Cambria"/>
                <w:sz w:val="18"/>
                <w:szCs w:val="18"/>
                <w:lang w:val="es-ES"/>
              </w:rPr>
              <w:t>Human Rights Consultants</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327C9B94" w14:textId="77777777" w:rsidR="0052262B" w:rsidRPr="00411258" w:rsidRDefault="0052262B" w:rsidP="006C3839">
            <w:pPr>
              <w:jc w:val="center"/>
              <w:rPr>
                <w:rFonts w:eastAsia="Cambria" w:cs="Cambria"/>
                <w:sz w:val="18"/>
                <w:szCs w:val="18"/>
              </w:rPr>
            </w:pPr>
            <w:r w:rsidRPr="00411258">
              <w:rPr>
                <w:rFonts w:eastAsia="Cambria" w:cs="Cambria"/>
                <w:sz w:val="18"/>
                <w:szCs w:val="18"/>
              </w:rPr>
              <w:t>4</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1694285" w14:textId="77777777" w:rsidR="0052262B" w:rsidRPr="00411258" w:rsidRDefault="0052262B" w:rsidP="006C3839">
            <w:pPr>
              <w:jc w:val="center"/>
              <w:rPr>
                <w:rFonts w:eastAsia="Cambria" w:cs="Cambria"/>
                <w:sz w:val="18"/>
                <w:szCs w:val="18"/>
              </w:rPr>
            </w:pPr>
            <w:r w:rsidRPr="00411258">
              <w:rPr>
                <w:rFonts w:eastAsia="Cambria" w:cs="Cambria"/>
                <w:sz w:val="18"/>
                <w:szCs w:val="18"/>
              </w:rPr>
              <w:t>25</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E29ECA3"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9682106"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AC7CE1B" w14:textId="77777777" w:rsidR="0052262B" w:rsidRPr="00411258" w:rsidRDefault="0052262B" w:rsidP="006C3839">
            <w:pPr>
              <w:jc w:val="center"/>
              <w:rPr>
                <w:rFonts w:eastAsia="Cambria" w:cs="Cambria"/>
                <w:sz w:val="18"/>
                <w:szCs w:val="18"/>
              </w:rPr>
            </w:pPr>
            <w:r w:rsidRPr="00411258">
              <w:rPr>
                <w:rFonts w:eastAsia="Cambria" w:cs="Cambria"/>
                <w:sz w:val="18"/>
                <w:szCs w:val="18"/>
              </w:rPr>
              <w:t>3</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E3A9D01" w14:textId="77777777" w:rsidR="0052262B" w:rsidRPr="00411258" w:rsidRDefault="0052262B" w:rsidP="006C3839">
            <w:pPr>
              <w:jc w:val="center"/>
              <w:rPr>
                <w:rFonts w:eastAsia="Cambria" w:cs="Cambria"/>
                <w:sz w:val="18"/>
                <w:szCs w:val="18"/>
              </w:rPr>
            </w:pPr>
            <w:r w:rsidRPr="00411258">
              <w:rPr>
                <w:rFonts w:eastAsia="Cambria" w:cs="Cambria"/>
                <w:sz w:val="18"/>
                <w:szCs w:val="18"/>
              </w:rPr>
              <w:t>32</w:t>
            </w:r>
          </w:p>
        </w:tc>
      </w:tr>
      <w:tr w:rsidR="0052262B" w:rsidRPr="00411258" w14:paraId="065FA07D" w14:textId="77777777" w:rsidTr="006C3839">
        <w:trPr>
          <w:trHeight w:val="471"/>
        </w:trPr>
        <w:tc>
          <w:tcPr>
            <w:tcW w:w="30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tcPr>
          <w:p w14:paraId="0ED642EF" w14:textId="77777777" w:rsidR="0052262B" w:rsidRPr="00411258" w:rsidRDefault="0052262B" w:rsidP="006C3839">
            <w:pPr>
              <w:rPr>
                <w:rFonts w:eastAsia="Cambria" w:cs="Cambria"/>
                <w:sz w:val="18"/>
                <w:szCs w:val="18"/>
              </w:rPr>
            </w:pPr>
            <w:r w:rsidRPr="00411258">
              <w:rPr>
                <w:rFonts w:eastAsia="Cambria" w:cs="Cambria"/>
                <w:sz w:val="18"/>
                <w:szCs w:val="18"/>
                <w:lang w:val="es-ES"/>
              </w:rPr>
              <w:t xml:space="preserve">Consultorías Administrativas / </w:t>
            </w:r>
          </w:p>
          <w:p w14:paraId="4CD272E9" w14:textId="77777777" w:rsidR="0052262B" w:rsidRPr="00411258" w:rsidRDefault="0052262B" w:rsidP="006C3839">
            <w:pPr>
              <w:rPr>
                <w:rFonts w:eastAsia="Cambria" w:cs="Cambria"/>
                <w:sz w:val="18"/>
                <w:szCs w:val="18"/>
              </w:rPr>
            </w:pPr>
            <w:r w:rsidRPr="00411258">
              <w:rPr>
                <w:rFonts w:eastAsia="Cambria" w:cs="Cambria"/>
                <w:sz w:val="18"/>
                <w:szCs w:val="18"/>
                <w:lang w:val="es-ES"/>
              </w:rPr>
              <w:t>Administrative Consultants</w:t>
            </w:r>
          </w:p>
        </w:tc>
        <w:tc>
          <w:tcPr>
            <w:tcW w:w="900"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408F354D" w14:textId="77777777" w:rsidR="0052262B" w:rsidRPr="00411258" w:rsidRDefault="0052262B" w:rsidP="006C3839">
            <w:pPr>
              <w:jc w:val="center"/>
              <w:rPr>
                <w:rFonts w:eastAsia="Cambria" w:cs="Cambria"/>
                <w:sz w:val="18"/>
                <w:szCs w:val="18"/>
              </w:rPr>
            </w:pPr>
            <w:r w:rsidRPr="00411258">
              <w:rPr>
                <w:rFonts w:eastAsia="Cambria" w:cs="Cambria"/>
                <w:sz w:val="18"/>
                <w:szCs w:val="18"/>
              </w:rPr>
              <w:t>7</w:t>
            </w:r>
          </w:p>
        </w:tc>
        <w:tc>
          <w:tcPr>
            <w:tcW w:w="117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0FCB0F3" w14:textId="77777777" w:rsidR="0052262B" w:rsidRPr="00411258" w:rsidRDefault="0052262B" w:rsidP="006C3839">
            <w:pPr>
              <w:jc w:val="center"/>
              <w:rPr>
                <w:rFonts w:eastAsia="Cambria" w:cs="Cambria"/>
                <w:sz w:val="18"/>
                <w:szCs w:val="18"/>
              </w:rPr>
            </w:pPr>
            <w:r w:rsidRPr="00411258">
              <w:rPr>
                <w:rFonts w:eastAsia="Cambria" w:cs="Cambria"/>
                <w:sz w:val="18"/>
                <w:szCs w:val="18"/>
              </w:rPr>
              <w:t>8</w:t>
            </w:r>
          </w:p>
        </w:tc>
        <w:tc>
          <w:tcPr>
            <w:tcW w:w="11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91D3C4A"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09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419E8679"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35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999B482"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72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8AED64A" w14:textId="77777777" w:rsidR="0052262B" w:rsidRPr="00411258" w:rsidRDefault="0052262B" w:rsidP="006C3839">
            <w:pPr>
              <w:jc w:val="center"/>
              <w:rPr>
                <w:rFonts w:eastAsia="Cambria" w:cs="Cambria"/>
                <w:sz w:val="18"/>
                <w:szCs w:val="18"/>
              </w:rPr>
            </w:pPr>
            <w:r w:rsidRPr="00411258">
              <w:rPr>
                <w:rFonts w:eastAsia="Cambria" w:cs="Cambria"/>
                <w:sz w:val="18"/>
                <w:szCs w:val="18"/>
              </w:rPr>
              <w:t>15</w:t>
            </w:r>
          </w:p>
        </w:tc>
      </w:tr>
      <w:tr w:rsidR="0052262B" w:rsidRPr="00411258" w14:paraId="2D94EB48" w14:textId="77777777" w:rsidTr="006C3839">
        <w:trPr>
          <w:trHeight w:val="45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1D9C9974" w14:textId="77777777" w:rsidR="0052262B" w:rsidRPr="00411258" w:rsidRDefault="0052262B" w:rsidP="006C3839">
            <w:pPr>
              <w:rPr>
                <w:rFonts w:eastAsia="Cambria" w:cs="Cambria"/>
                <w:sz w:val="18"/>
                <w:szCs w:val="18"/>
              </w:rPr>
            </w:pPr>
            <w:r w:rsidRPr="00411258">
              <w:rPr>
                <w:rFonts w:eastAsia="Cambria" w:cs="Cambria"/>
                <w:sz w:val="18"/>
                <w:szCs w:val="18"/>
                <w:lang w:val="es-ES"/>
              </w:rPr>
              <w:t>Consultorías en Otras Profesiones / Consultants on Other Professions</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1BB7B9E7"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7</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263A6AF"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5</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3FE8A9F"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718EA21"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1DAAAE9"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0</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CDB8BF5" w14:textId="77777777" w:rsidR="0052262B" w:rsidRPr="00411258" w:rsidRDefault="0052262B" w:rsidP="006C3839">
            <w:pPr>
              <w:jc w:val="center"/>
              <w:rPr>
                <w:rFonts w:eastAsia="Cambria" w:cs="Cambria"/>
                <w:sz w:val="18"/>
                <w:szCs w:val="18"/>
              </w:rPr>
            </w:pPr>
            <w:r w:rsidRPr="00411258">
              <w:rPr>
                <w:rFonts w:eastAsia="Cambria" w:cs="Cambria"/>
                <w:sz w:val="18"/>
                <w:szCs w:val="18"/>
                <w:lang w:val="es-ES"/>
              </w:rPr>
              <w:t>12</w:t>
            </w:r>
          </w:p>
        </w:tc>
      </w:tr>
      <w:tr w:rsidR="0052262B" w:rsidRPr="00411258" w14:paraId="1A48D02F" w14:textId="77777777" w:rsidTr="006C3839">
        <w:trPr>
          <w:trHeight w:val="36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512E240" w14:textId="77777777" w:rsidR="0052262B" w:rsidRPr="00411258" w:rsidRDefault="0052262B" w:rsidP="006C3839">
            <w:pPr>
              <w:rPr>
                <w:rFonts w:eastAsia="Cambria" w:cs="Cambria"/>
                <w:sz w:val="18"/>
                <w:szCs w:val="18"/>
              </w:rPr>
            </w:pPr>
            <w:r w:rsidRPr="00411258">
              <w:rPr>
                <w:rFonts w:eastAsia="Cambria" w:cs="Cambria"/>
                <w:b/>
                <w:bCs/>
                <w:sz w:val="18"/>
                <w:szCs w:val="18"/>
                <w:lang w:val="es-ES"/>
              </w:rPr>
              <w:t>Subtotal Consultorías/Consultants</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007E9AD4"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18</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40667DF"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38</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4CB99F9"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1DEC122" w14:textId="77777777" w:rsidR="0052262B" w:rsidRPr="00411258" w:rsidRDefault="0052262B" w:rsidP="006C3839">
            <w:pPr>
              <w:jc w:val="center"/>
              <w:rPr>
                <w:rFonts w:eastAsia="Cambria" w:cs="Cambria"/>
                <w:sz w:val="18"/>
                <w:szCs w:val="18"/>
              </w:rPr>
            </w:pPr>
            <w:r w:rsidRPr="00411258">
              <w:rPr>
                <w:rFonts w:eastAsia="Cambria" w:cs="Cambria"/>
                <w:b/>
                <w:bCs/>
                <w:sz w:val="18"/>
                <w:szCs w:val="18"/>
                <w:lang w:val="es-ES"/>
              </w:rPr>
              <w:t>0</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9A40512"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3</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4638DEF"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59</w:t>
            </w:r>
          </w:p>
        </w:tc>
      </w:tr>
      <w:tr w:rsidR="0052262B" w:rsidRPr="00411258" w14:paraId="42C1192E" w14:textId="77777777" w:rsidTr="006C3839">
        <w:trPr>
          <w:trHeight w:val="309"/>
        </w:trPr>
        <w:tc>
          <w:tcPr>
            <w:tcW w:w="30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667640D" w14:textId="77777777" w:rsidR="0052262B" w:rsidRPr="00411258" w:rsidRDefault="0052262B" w:rsidP="006C3839">
            <w:pPr>
              <w:rPr>
                <w:rFonts w:eastAsia="Cambria" w:cs="Cambria"/>
                <w:sz w:val="18"/>
                <w:szCs w:val="18"/>
              </w:rPr>
            </w:pPr>
            <w:r w:rsidRPr="00411258">
              <w:rPr>
                <w:rFonts w:eastAsia="Cambria" w:cs="Cambria"/>
                <w:sz w:val="18"/>
                <w:szCs w:val="18"/>
                <w:lang w:val="es-ES"/>
              </w:rPr>
              <w:t>Personal Asociado/ Associate Staff</w:t>
            </w:r>
          </w:p>
        </w:tc>
        <w:tc>
          <w:tcPr>
            <w:tcW w:w="900"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777643C6"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17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F130948"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ES"/>
              </w:rPr>
              <w:t>0</w:t>
            </w:r>
          </w:p>
        </w:tc>
        <w:tc>
          <w:tcPr>
            <w:tcW w:w="115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857B67E"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0</w:t>
            </w:r>
          </w:p>
        </w:tc>
        <w:tc>
          <w:tcPr>
            <w:tcW w:w="109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800E77A"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6</w:t>
            </w:r>
          </w:p>
        </w:tc>
        <w:tc>
          <w:tcPr>
            <w:tcW w:w="135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5BCF5C9"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0</w:t>
            </w:r>
          </w:p>
        </w:tc>
        <w:tc>
          <w:tcPr>
            <w:tcW w:w="720"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D2DD7EA" w14:textId="77777777" w:rsidR="0052262B" w:rsidRPr="00411258" w:rsidRDefault="0052262B" w:rsidP="006C3839">
            <w:pPr>
              <w:jc w:val="center"/>
              <w:rPr>
                <w:rFonts w:eastAsia="Cambria" w:cs="Cambria"/>
                <w:color w:val="000000" w:themeColor="text1"/>
                <w:sz w:val="18"/>
                <w:szCs w:val="18"/>
              </w:rPr>
            </w:pPr>
            <w:r w:rsidRPr="00411258">
              <w:rPr>
                <w:rFonts w:eastAsia="Cambria" w:cs="Cambria"/>
                <w:color w:val="000000" w:themeColor="text1"/>
                <w:sz w:val="18"/>
                <w:szCs w:val="18"/>
                <w:lang w:val="es-CO"/>
              </w:rPr>
              <w:t>6</w:t>
            </w:r>
          </w:p>
        </w:tc>
      </w:tr>
      <w:tr w:rsidR="0052262B" w:rsidRPr="00411258" w14:paraId="0D408421" w14:textId="77777777" w:rsidTr="006C3839">
        <w:trPr>
          <w:trHeight w:val="255"/>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04EFC624" w14:textId="77777777" w:rsidR="0052262B" w:rsidRPr="00411258" w:rsidRDefault="0052262B" w:rsidP="006C3839">
            <w:pPr>
              <w:rPr>
                <w:rFonts w:eastAsia="Cambria" w:cs="Cambria"/>
                <w:sz w:val="18"/>
                <w:szCs w:val="18"/>
              </w:rPr>
            </w:pPr>
            <w:r w:rsidRPr="00411258">
              <w:rPr>
                <w:rFonts w:eastAsia="Cambria" w:cs="Cambria"/>
                <w:b/>
                <w:bCs/>
                <w:sz w:val="18"/>
                <w:szCs w:val="18"/>
                <w:lang w:val="es-ES"/>
              </w:rPr>
              <w:t xml:space="preserve">Subtotal </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7D91110A"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61</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147B527"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68</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6FD7135"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3ECE880"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6</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2A06637" w14:textId="77777777" w:rsidR="0052262B" w:rsidRPr="00411258" w:rsidRDefault="0052262B" w:rsidP="006C3839">
            <w:pPr>
              <w:jc w:val="center"/>
              <w:rPr>
                <w:rFonts w:eastAsia="Cambria" w:cs="Cambria"/>
                <w:sz w:val="18"/>
                <w:szCs w:val="18"/>
              </w:rPr>
            </w:pPr>
            <w:r w:rsidRPr="00411258">
              <w:rPr>
                <w:rFonts w:eastAsia="Cambria" w:cs="Cambria"/>
                <w:sz w:val="18"/>
                <w:szCs w:val="18"/>
              </w:rPr>
              <w:t>3</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E7E4597"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139</w:t>
            </w:r>
          </w:p>
        </w:tc>
      </w:tr>
      <w:tr w:rsidR="0052262B" w:rsidRPr="00411258" w14:paraId="3BBC25CA" w14:textId="77777777" w:rsidTr="006C3839">
        <w:trPr>
          <w:trHeight w:val="270"/>
        </w:trPr>
        <w:tc>
          <w:tcPr>
            <w:tcW w:w="305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7F19AA65" w14:textId="77777777" w:rsidR="0052262B" w:rsidRPr="00411258" w:rsidRDefault="0052262B" w:rsidP="006C3839">
            <w:pPr>
              <w:rPr>
                <w:rFonts w:eastAsia="Cambria" w:cs="Cambria"/>
                <w:sz w:val="18"/>
                <w:szCs w:val="18"/>
              </w:rPr>
            </w:pPr>
            <w:r w:rsidRPr="00411258">
              <w:rPr>
                <w:rFonts w:eastAsia="Cambria" w:cs="Cambria"/>
                <w:sz w:val="18"/>
                <w:szCs w:val="18"/>
                <w:lang w:val="es-ES"/>
              </w:rPr>
              <w:t>Personas becarias / Fellows</w:t>
            </w:r>
          </w:p>
        </w:tc>
        <w:tc>
          <w:tcPr>
            <w:tcW w:w="900" w:type="dxa"/>
            <w:tcBorders>
              <w:top w:val="single" w:sz="6" w:space="0" w:color="95B3D7"/>
              <w:left w:val="nil"/>
              <w:bottom w:val="single" w:sz="6" w:space="0" w:color="95B3D7"/>
              <w:right w:val="single" w:sz="6" w:space="0" w:color="95B3D7"/>
            </w:tcBorders>
            <w:tcMar>
              <w:left w:w="60" w:type="dxa"/>
              <w:right w:w="60" w:type="dxa"/>
            </w:tcMar>
            <w:vAlign w:val="center"/>
          </w:tcPr>
          <w:p w14:paraId="16AADEAD"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17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42D6199" w14:textId="77777777" w:rsidR="0052262B" w:rsidRPr="00411258" w:rsidRDefault="0052262B" w:rsidP="006C3839">
            <w:pPr>
              <w:jc w:val="center"/>
              <w:rPr>
                <w:rFonts w:eastAsia="Cambria" w:cs="Cambria"/>
                <w:sz w:val="18"/>
                <w:szCs w:val="18"/>
              </w:rPr>
            </w:pPr>
            <w:r w:rsidRPr="00411258">
              <w:rPr>
                <w:rFonts w:eastAsia="Cambria" w:cs="Cambria"/>
                <w:sz w:val="18"/>
                <w:szCs w:val="18"/>
              </w:rPr>
              <w:t>3</w:t>
            </w:r>
          </w:p>
        </w:tc>
        <w:tc>
          <w:tcPr>
            <w:tcW w:w="115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C0600C0"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109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D579B3F" w14:textId="77777777" w:rsidR="0052262B" w:rsidRPr="00411258" w:rsidRDefault="0052262B" w:rsidP="006C3839">
            <w:pPr>
              <w:jc w:val="center"/>
              <w:rPr>
                <w:rFonts w:eastAsia="Cambria" w:cs="Cambria"/>
                <w:sz w:val="18"/>
                <w:szCs w:val="18"/>
              </w:rPr>
            </w:pPr>
            <w:r w:rsidRPr="00411258">
              <w:rPr>
                <w:rFonts w:eastAsia="Cambria" w:cs="Cambria"/>
                <w:sz w:val="18"/>
                <w:szCs w:val="18"/>
              </w:rPr>
              <w:t>2</w:t>
            </w:r>
          </w:p>
        </w:tc>
        <w:tc>
          <w:tcPr>
            <w:tcW w:w="135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4EB7D07" w14:textId="77777777" w:rsidR="0052262B" w:rsidRPr="00411258" w:rsidRDefault="0052262B" w:rsidP="006C3839">
            <w:pPr>
              <w:jc w:val="center"/>
              <w:rPr>
                <w:rFonts w:eastAsia="Cambria" w:cs="Cambria"/>
                <w:sz w:val="18"/>
                <w:szCs w:val="18"/>
              </w:rPr>
            </w:pPr>
            <w:r w:rsidRPr="00411258">
              <w:rPr>
                <w:rFonts w:eastAsia="Cambria" w:cs="Cambria"/>
                <w:sz w:val="18"/>
                <w:szCs w:val="18"/>
              </w:rPr>
              <w:t>0</w:t>
            </w:r>
          </w:p>
        </w:tc>
        <w:tc>
          <w:tcPr>
            <w:tcW w:w="720"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92857C7" w14:textId="77777777" w:rsidR="0052262B" w:rsidRPr="00411258" w:rsidRDefault="0052262B" w:rsidP="006C3839">
            <w:pPr>
              <w:jc w:val="center"/>
              <w:rPr>
                <w:rFonts w:eastAsia="Cambria" w:cs="Cambria"/>
                <w:sz w:val="18"/>
                <w:szCs w:val="18"/>
              </w:rPr>
            </w:pPr>
            <w:r w:rsidRPr="00411258">
              <w:rPr>
                <w:rFonts w:eastAsia="Cambria" w:cs="Cambria"/>
                <w:sz w:val="18"/>
                <w:szCs w:val="18"/>
              </w:rPr>
              <w:t>5</w:t>
            </w:r>
          </w:p>
        </w:tc>
      </w:tr>
      <w:tr w:rsidR="0052262B" w:rsidRPr="00411258" w14:paraId="5ACEBCC6" w14:textId="77777777" w:rsidTr="006C3839">
        <w:trPr>
          <w:trHeight w:val="270"/>
        </w:trPr>
        <w:tc>
          <w:tcPr>
            <w:tcW w:w="3052"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tcPr>
          <w:p w14:paraId="3C028E93" w14:textId="77777777" w:rsidR="0052262B" w:rsidRPr="00411258" w:rsidRDefault="0052262B" w:rsidP="006C3839">
            <w:pPr>
              <w:rPr>
                <w:rFonts w:eastAsia="Cambria" w:cs="Cambria"/>
                <w:sz w:val="18"/>
                <w:szCs w:val="18"/>
              </w:rPr>
            </w:pPr>
            <w:r w:rsidRPr="00411258">
              <w:rPr>
                <w:rFonts w:eastAsia="Cambria" w:cs="Cambria"/>
                <w:b/>
                <w:bCs/>
                <w:sz w:val="18"/>
                <w:szCs w:val="18"/>
                <w:lang w:val="es-ES"/>
              </w:rPr>
              <w:t>Gran Total</w:t>
            </w:r>
          </w:p>
        </w:tc>
        <w:tc>
          <w:tcPr>
            <w:tcW w:w="900" w:type="dxa"/>
            <w:tcBorders>
              <w:top w:val="single" w:sz="6" w:space="0" w:color="95B3D7"/>
              <w:left w:val="nil"/>
              <w:bottom w:val="single" w:sz="6" w:space="0" w:color="95B3D7"/>
              <w:right w:val="single" w:sz="6" w:space="0" w:color="95B3D7"/>
            </w:tcBorders>
            <w:shd w:val="clear" w:color="auto" w:fill="D9E2F3" w:themeFill="accent1" w:themeFillTint="33"/>
            <w:tcMar>
              <w:left w:w="60" w:type="dxa"/>
              <w:right w:w="60" w:type="dxa"/>
            </w:tcMar>
            <w:vAlign w:val="center"/>
          </w:tcPr>
          <w:p w14:paraId="49246F39"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61</w:t>
            </w:r>
          </w:p>
        </w:tc>
        <w:tc>
          <w:tcPr>
            <w:tcW w:w="1170"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15CBC509"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71</w:t>
            </w:r>
          </w:p>
        </w:tc>
        <w:tc>
          <w:tcPr>
            <w:tcW w:w="1152"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4552B041"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w:t>
            </w:r>
          </w:p>
        </w:tc>
        <w:tc>
          <w:tcPr>
            <w:tcW w:w="1098"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10407A1E"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8</w:t>
            </w:r>
          </w:p>
        </w:tc>
        <w:tc>
          <w:tcPr>
            <w:tcW w:w="1350"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149995D6"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3</w:t>
            </w:r>
          </w:p>
        </w:tc>
        <w:tc>
          <w:tcPr>
            <w:tcW w:w="720"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6315EA69" w14:textId="77777777" w:rsidR="0052262B" w:rsidRPr="00411258" w:rsidRDefault="0052262B" w:rsidP="006C3839">
            <w:pPr>
              <w:jc w:val="center"/>
              <w:rPr>
                <w:rFonts w:eastAsia="Cambria" w:cs="Cambria"/>
                <w:sz w:val="18"/>
                <w:szCs w:val="18"/>
              </w:rPr>
            </w:pPr>
            <w:r w:rsidRPr="00411258">
              <w:rPr>
                <w:rFonts w:eastAsia="Cambria" w:cs="Cambria"/>
                <w:b/>
                <w:bCs/>
                <w:sz w:val="18"/>
                <w:szCs w:val="18"/>
              </w:rPr>
              <w:t>144</w:t>
            </w:r>
          </w:p>
        </w:tc>
      </w:tr>
    </w:tbl>
    <w:p w14:paraId="482CD0B8" w14:textId="77777777" w:rsidR="0052262B" w:rsidRPr="00754641" w:rsidRDefault="0052262B" w:rsidP="0052262B">
      <w:pPr>
        <w:pStyle w:val="paragraphs"/>
        <w:numPr>
          <w:ilvl w:val="0"/>
          <w:numId w:val="0"/>
        </w:numPr>
        <w:rPr>
          <w:rFonts w:eastAsia="Times New Roman" w:cs="Arial"/>
          <w:b/>
          <w:bCs/>
          <w:lang w:eastAsia="es-CO"/>
        </w:rPr>
      </w:pPr>
    </w:p>
    <w:p w14:paraId="7A50060C" w14:textId="77777777" w:rsidR="0052262B" w:rsidRPr="0052262B" w:rsidRDefault="0052262B" w:rsidP="0052262B">
      <w:pPr>
        <w:pStyle w:val="IAPrrafo"/>
        <w:rPr>
          <w:lang w:val="es-AR"/>
        </w:rPr>
      </w:pPr>
      <w:r w:rsidRPr="0052262B">
        <w:rPr>
          <w:lang w:val="es-AR"/>
        </w:rPr>
        <w:t xml:space="preserve">En términos de representación geográfica y diversidad, los/as 144 funcionarios/as mencionados en el párrafo 1 (funcionarios/as, consultores/as y profesionales asociados) provienen de 23 </w:t>
      </w:r>
      <w:r w:rsidRPr="0052262B">
        <w:rPr>
          <w:lang w:val="es-AR"/>
        </w:rPr>
        <w:lastRenderedPageBreak/>
        <w:t xml:space="preserve">Estados diferentes, 66% de los funcionarios/as son mujeres y 34% son hombres. La siguiente tabla muestra la distribución de personal por nacionalidad y tipo de vínculo. </w:t>
      </w:r>
    </w:p>
    <w:tbl>
      <w:tblPr>
        <w:tblStyle w:val="GridTable4-Accent11"/>
        <w:tblW w:w="10041" w:type="dxa"/>
        <w:tblLook w:val="04A0" w:firstRow="1" w:lastRow="0" w:firstColumn="1" w:lastColumn="0" w:noHBand="0" w:noVBand="1"/>
      </w:tblPr>
      <w:tblGrid>
        <w:gridCol w:w="1975"/>
        <w:gridCol w:w="3780"/>
        <w:gridCol w:w="2070"/>
        <w:gridCol w:w="2216"/>
      </w:tblGrid>
      <w:tr w:rsidR="0052262B" w:rsidRPr="00210214" w14:paraId="65A8726C" w14:textId="77777777" w:rsidTr="006C383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B04E714" w14:textId="77777777" w:rsidR="0052262B" w:rsidRPr="00210214" w:rsidRDefault="0052262B" w:rsidP="006C3839">
            <w:pPr>
              <w:jc w:val="center"/>
              <w:rPr>
                <w:rFonts w:eastAsia="Times New Roman" w:cs="Arial"/>
                <w:b w:val="0"/>
                <w:bCs w:val="0"/>
                <w:sz w:val="18"/>
                <w:szCs w:val="18"/>
                <w:lang w:val="es-ES_tradnl" w:eastAsia="es-CO"/>
              </w:rPr>
            </w:pPr>
            <w:r w:rsidRPr="00210214">
              <w:rPr>
                <w:rFonts w:eastAsia="Times New Roman" w:cs="Arial"/>
                <w:sz w:val="18"/>
                <w:szCs w:val="18"/>
                <w:lang w:val="es-ES_tradnl" w:eastAsia="es-CO"/>
              </w:rPr>
              <w:t>Tipo de vínculo</w:t>
            </w:r>
          </w:p>
        </w:tc>
        <w:tc>
          <w:tcPr>
            <w:tcW w:w="3780" w:type="dxa"/>
            <w:noWrap/>
            <w:vAlign w:val="center"/>
            <w:hideMark/>
          </w:tcPr>
          <w:p w14:paraId="3621D9AF" w14:textId="77777777" w:rsidR="0052262B" w:rsidRPr="00210214" w:rsidRDefault="0052262B" w:rsidP="006C3839">
            <w:pPr>
              <w:ind w:left="92" w:hanging="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val="es-ES_tradnl" w:eastAsia="es-CO"/>
              </w:rPr>
            </w:pPr>
            <w:r w:rsidRPr="00210214">
              <w:rPr>
                <w:rFonts w:eastAsia="Times New Roman" w:cs="Arial"/>
                <w:sz w:val="18"/>
                <w:szCs w:val="18"/>
                <w:lang w:val="es-ES_tradnl" w:eastAsia="es-CO"/>
              </w:rPr>
              <w:t>País</w:t>
            </w:r>
          </w:p>
        </w:tc>
        <w:tc>
          <w:tcPr>
            <w:tcW w:w="2070" w:type="dxa"/>
            <w:noWrap/>
            <w:vAlign w:val="center"/>
            <w:hideMark/>
          </w:tcPr>
          <w:p w14:paraId="4BA8EC4F" w14:textId="77777777" w:rsidR="0052262B" w:rsidRPr="00210214"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val="es-ES_tradnl" w:eastAsia="es-CO"/>
              </w:rPr>
            </w:pPr>
            <w:r w:rsidRPr="00210214">
              <w:rPr>
                <w:rFonts w:eastAsia="Times New Roman" w:cs="Arial"/>
                <w:sz w:val="18"/>
                <w:szCs w:val="18"/>
                <w:lang w:val="es-ES_tradnl" w:eastAsia="es-CO"/>
              </w:rPr>
              <w:t>Nacionalidad al</w:t>
            </w:r>
          </w:p>
          <w:p w14:paraId="2A7E7575" w14:textId="77777777" w:rsidR="0052262B" w:rsidRPr="00210214"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val="es-ES_tradnl" w:eastAsia="es-CO"/>
              </w:rPr>
            </w:pPr>
            <w:r w:rsidRPr="00210214">
              <w:rPr>
                <w:rFonts w:eastAsia="Times New Roman" w:cs="Arial"/>
                <w:sz w:val="18"/>
                <w:szCs w:val="18"/>
                <w:lang w:val="es-ES_tradnl" w:eastAsia="es-CO"/>
              </w:rPr>
              <w:t>ingresar a la OEA</w:t>
            </w:r>
          </w:p>
        </w:tc>
        <w:tc>
          <w:tcPr>
            <w:tcW w:w="2216" w:type="dxa"/>
            <w:noWrap/>
            <w:vAlign w:val="center"/>
            <w:hideMark/>
          </w:tcPr>
          <w:p w14:paraId="506CCC6A" w14:textId="77777777" w:rsidR="0052262B" w:rsidRPr="00210214"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val="es-ES_tradnl" w:eastAsia="es-CO"/>
              </w:rPr>
            </w:pPr>
            <w:r w:rsidRPr="00210214">
              <w:rPr>
                <w:rFonts w:eastAsia="Times New Roman" w:cs="Arial"/>
                <w:sz w:val="18"/>
                <w:szCs w:val="18"/>
                <w:lang w:val="es-ES_tradnl" w:eastAsia="es-CO"/>
              </w:rPr>
              <w:t>Nacionalidad</w:t>
            </w:r>
          </w:p>
          <w:p w14:paraId="78EAE036" w14:textId="77777777" w:rsidR="0052262B" w:rsidRPr="00210214"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val="es-ES_tradnl" w:eastAsia="es-CO"/>
              </w:rPr>
            </w:pPr>
            <w:r w:rsidRPr="00210214">
              <w:rPr>
                <w:rFonts w:eastAsia="Times New Roman" w:cs="Arial"/>
                <w:sz w:val="18"/>
                <w:szCs w:val="18"/>
                <w:lang w:val="es-ES_tradnl" w:eastAsia="es-CO"/>
              </w:rPr>
              <w:t>Actual</w:t>
            </w:r>
          </w:p>
        </w:tc>
      </w:tr>
      <w:tr w:rsidR="0052262B" w:rsidRPr="00210214" w14:paraId="1EEB2087" w14:textId="77777777" w:rsidTr="006C383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975" w:type="dxa"/>
            <w:vMerge w:val="restart"/>
            <w:noWrap/>
            <w:vAlign w:val="center"/>
          </w:tcPr>
          <w:p w14:paraId="0A3A8E5A" w14:textId="77777777" w:rsidR="0052262B" w:rsidRPr="005E7306" w:rsidRDefault="0052262B" w:rsidP="006C3839">
            <w:pPr>
              <w:rPr>
                <w:rFonts w:eastAsia="Times New Roman" w:cs="Arial"/>
                <w:sz w:val="18"/>
                <w:szCs w:val="18"/>
                <w:lang w:val="es-ES_tradnl" w:eastAsia="es-CO"/>
              </w:rPr>
            </w:pPr>
            <w:r w:rsidRPr="00210214">
              <w:rPr>
                <w:rFonts w:eastAsia="Times New Roman" w:cs="Arial"/>
                <w:sz w:val="18"/>
                <w:szCs w:val="18"/>
                <w:lang w:val="es-ES_tradnl" w:eastAsia="es-CO"/>
              </w:rPr>
              <w:t>Staff</w:t>
            </w:r>
          </w:p>
        </w:tc>
        <w:tc>
          <w:tcPr>
            <w:tcW w:w="3780" w:type="dxa"/>
            <w:noWrap/>
          </w:tcPr>
          <w:p w14:paraId="0373C281"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Antigua and Barbuda</w:t>
            </w:r>
          </w:p>
        </w:tc>
        <w:tc>
          <w:tcPr>
            <w:tcW w:w="2070" w:type="dxa"/>
            <w:noWrap/>
          </w:tcPr>
          <w:p w14:paraId="0AF97DFF"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1</w:t>
            </w:r>
          </w:p>
        </w:tc>
        <w:tc>
          <w:tcPr>
            <w:tcW w:w="2216" w:type="dxa"/>
            <w:noWrap/>
          </w:tcPr>
          <w:p w14:paraId="20635CC8"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1</w:t>
            </w:r>
          </w:p>
        </w:tc>
      </w:tr>
      <w:tr w:rsidR="0052262B" w:rsidRPr="00210214" w14:paraId="58938A00" w14:textId="77777777" w:rsidTr="006C3839">
        <w:trPr>
          <w:trHeight w:val="31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D4B938A"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1767ED54"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Argentina</w:t>
            </w:r>
          </w:p>
        </w:tc>
        <w:tc>
          <w:tcPr>
            <w:tcW w:w="2070" w:type="dxa"/>
            <w:noWrap/>
            <w:hideMark/>
          </w:tcPr>
          <w:p w14:paraId="09085AFA"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6</w:t>
            </w:r>
          </w:p>
        </w:tc>
        <w:tc>
          <w:tcPr>
            <w:tcW w:w="2216" w:type="dxa"/>
            <w:noWrap/>
            <w:hideMark/>
          </w:tcPr>
          <w:p w14:paraId="2096E9C9"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5</w:t>
            </w:r>
          </w:p>
        </w:tc>
      </w:tr>
      <w:tr w:rsidR="0052262B" w:rsidRPr="00210214" w14:paraId="7B9F6777" w14:textId="77777777" w:rsidTr="006C383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F2214DE"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49874D95"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Barbados</w:t>
            </w:r>
          </w:p>
        </w:tc>
        <w:tc>
          <w:tcPr>
            <w:tcW w:w="2070" w:type="dxa"/>
            <w:noWrap/>
            <w:hideMark/>
          </w:tcPr>
          <w:p w14:paraId="66B82B29"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1</w:t>
            </w:r>
          </w:p>
        </w:tc>
        <w:tc>
          <w:tcPr>
            <w:tcW w:w="2216" w:type="dxa"/>
            <w:noWrap/>
            <w:hideMark/>
          </w:tcPr>
          <w:p w14:paraId="425CC286"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1</w:t>
            </w:r>
          </w:p>
        </w:tc>
      </w:tr>
      <w:tr w:rsidR="0052262B" w:rsidRPr="00210214" w14:paraId="3A7FBB85"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D5149CD"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228903D5"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Bolivia</w:t>
            </w:r>
          </w:p>
        </w:tc>
        <w:tc>
          <w:tcPr>
            <w:tcW w:w="2070" w:type="dxa"/>
            <w:noWrap/>
            <w:hideMark/>
          </w:tcPr>
          <w:p w14:paraId="7D64CB5B"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sz w:val="18"/>
                <w:szCs w:val="18"/>
              </w:rPr>
              <w:t>1</w:t>
            </w:r>
          </w:p>
        </w:tc>
        <w:tc>
          <w:tcPr>
            <w:tcW w:w="2216" w:type="dxa"/>
            <w:noWrap/>
            <w:hideMark/>
          </w:tcPr>
          <w:p w14:paraId="1EDA5F1E"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sz w:val="18"/>
                <w:szCs w:val="18"/>
              </w:rPr>
              <w:t>0</w:t>
            </w:r>
          </w:p>
        </w:tc>
      </w:tr>
      <w:tr w:rsidR="0052262B" w:rsidRPr="00210214" w14:paraId="26CACD36"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5149AAF1"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122FC049"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Brazil/Brasil</w:t>
            </w:r>
          </w:p>
        </w:tc>
        <w:tc>
          <w:tcPr>
            <w:tcW w:w="2070" w:type="dxa"/>
            <w:noWrap/>
            <w:hideMark/>
          </w:tcPr>
          <w:p w14:paraId="4CF0771A"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9</w:t>
            </w:r>
          </w:p>
        </w:tc>
        <w:tc>
          <w:tcPr>
            <w:tcW w:w="2216" w:type="dxa"/>
            <w:noWrap/>
            <w:hideMark/>
          </w:tcPr>
          <w:p w14:paraId="4015FE55"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8</w:t>
            </w:r>
          </w:p>
        </w:tc>
      </w:tr>
      <w:tr w:rsidR="0052262B" w:rsidRPr="00210214" w14:paraId="73A151B6"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tcPr>
          <w:p w14:paraId="4D2F4B49" w14:textId="77777777" w:rsidR="0052262B" w:rsidRPr="00210214" w:rsidRDefault="0052262B" w:rsidP="006C3839">
            <w:pPr>
              <w:rPr>
                <w:rFonts w:eastAsia="Times New Roman" w:cs="Arial"/>
                <w:b w:val="0"/>
                <w:bCs w:val="0"/>
                <w:sz w:val="18"/>
                <w:szCs w:val="18"/>
                <w:lang w:val="es-ES_tradnl" w:eastAsia="es-CO"/>
              </w:rPr>
            </w:pPr>
          </w:p>
        </w:tc>
        <w:tc>
          <w:tcPr>
            <w:tcW w:w="3780" w:type="dxa"/>
            <w:noWrap/>
          </w:tcPr>
          <w:p w14:paraId="2A6811FA"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Canada/ Canadá</w:t>
            </w:r>
          </w:p>
        </w:tc>
        <w:tc>
          <w:tcPr>
            <w:tcW w:w="2070" w:type="dxa"/>
            <w:noWrap/>
          </w:tcPr>
          <w:p w14:paraId="75867138"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1</w:t>
            </w:r>
          </w:p>
        </w:tc>
        <w:tc>
          <w:tcPr>
            <w:tcW w:w="2216" w:type="dxa"/>
            <w:noWrap/>
          </w:tcPr>
          <w:p w14:paraId="41B26389"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1</w:t>
            </w:r>
          </w:p>
        </w:tc>
      </w:tr>
      <w:tr w:rsidR="0052262B" w:rsidRPr="00210214" w14:paraId="3EAE2271"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0EC8B63F"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45043D91"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Chile</w:t>
            </w:r>
          </w:p>
        </w:tc>
        <w:tc>
          <w:tcPr>
            <w:tcW w:w="2070" w:type="dxa"/>
            <w:noWrap/>
            <w:hideMark/>
          </w:tcPr>
          <w:p w14:paraId="4EBAC3BC"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3</w:t>
            </w:r>
          </w:p>
        </w:tc>
        <w:tc>
          <w:tcPr>
            <w:tcW w:w="2216" w:type="dxa"/>
            <w:noWrap/>
            <w:hideMark/>
          </w:tcPr>
          <w:p w14:paraId="6DF3D7E3"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3</w:t>
            </w:r>
          </w:p>
        </w:tc>
      </w:tr>
      <w:tr w:rsidR="0052262B" w:rsidRPr="00210214" w14:paraId="2BD29CDB"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96C1002"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01AEF718"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Colombia</w:t>
            </w:r>
          </w:p>
        </w:tc>
        <w:tc>
          <w:tcPr>
            <w:tcW w:w="2070" w:type="dxa"/>
            <w:noWrap/>
            <w:hideMark/>
          </w:tcPr>
          <w:p w14:paraId="304A0972"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 w:eastAsia="es-CO"/>
              </w:rPr>
            </w:pPr>
            <w:r w:rsidRPr="00210214">
              <w:rPr>
                <w:sz w:val="18"/>
                <w:szCs w:val="18"/>
              </w:rPr>
              <w:t>13</w:t>
            </w:r>
          </w:p>
        </w:tc>
        <w:tc>
          <w:tcPr>
            <w:tcW w:w="2216" w:type="dxa"/>
            <w:noWrap/>
            <w:hideMark/>
          </w:tcPr>
          <w:p w14:paraId="235916F6"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 w:eastAsia="es-CO"/>
              </w:rPr>
            </w:pPr>
            <w:r w:rsidRPr="00210214">
              <w:rPr>
                <w:sz w:val="18"/>
                <w:szCs w:val="18"/>
              </w:rPr>
              <w:t>11</w:t>
            </w:r>
          </w:p>
        </w:tc>
      </w:tr>
      <w:tr w:rsidR="0052262B" w:rsidRPr="00210214" w14:paraId="61B3B2A0"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tcPr>
          <w:p w14:paraId="49D84DF5" w14:textId="77777777" w:rsidR="0052262B" w:rsidRPr="00210214" w:rsidRDefault="0052262B" w:rsidP="006C3839">
            <w:pPr>
              <w:rPr>
                <w:rFonts w:eastAsia="Times New Roman" w:cs="Arial"/>
                <w:sz w:val="18"/>
                <w:szCs w:val="18"/>
                <w:lang w:val="es-ES_tradnl" w:eastAsia="es-CO"/>
              </w:rPr>
            </w:pPr>
          </w:p>
        </w:tc>
        <w:tc>
          <w:tcPr>
            <w:tcW w:w="3780" w:type="dxa"/>
            <w:noWrap/>
          </w:tcPr>
          <w:p w14:paraId="0A338606"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Costa Rica</w:t>
            </w:r>
          </w:p>
        </w:tc>
        <w:tc>
          <w:tcPr>
            <w:tcW w:w="2070" w:type="dxa"/>
            <w:noWrap/>
          </w:tcPr>
          <w:p w14:paraId="75A95BBC" w14:textId="77777777" w:rsidR="0052262B" w:rsidRPr="00210214" w:rsidDel="00F40E1C"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sz w:val="18"/>
                <w:szCs w:val="18"/>
              </w:rPr>
              <w:t>2</w:t>
            </w:r>
          </w:p>
        </w:tc>
        <w:tc>
          <w:tcPr>
            <w:tcW w:w="2216" w:type="dxa"/>
            <w:noWrap/>
          </w:tcPr>
          <w:p w14:paraId="7D31270A" w14:textId="77777777" w:rsidR="0052262B" w:rsidRPr="00210214" w:rsidDel="00F40E1C"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sz w:val="18"/>
                <w:szCs w:val="18"/>
              </w:rPr>
              <w:t>2</w:t>
            </w:r>
          </w:p>
        </w:tc>
      </w:tr>
      <w:tr w:rsidR="0052262B" w:rsidRPr="00210214" w14:paraId="25C64AC3"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tcPr>
          <w:p w14:paraId="45D8980A" w14:textId="77777777" w:rsidR="0052262B" w:rsidRPr="00210214" w:rsidRDefault="0052262B" w:rsidP="006C3839">
            <w:pPr>
              <w:rPr>
                <w:rFonts w:eastAsia="Times New Roman" w:cs="Arial"/>
                <w:sz w:val="18"/>
                <w:szCs w:val="18"/>
                <w:lang w:val="es-ES_tradnl" w:eastAsia="es-CO"/>
              </w:rPr>
            </w:pPr>
          </w:p>
        </w:tc>
        <w:tc>
          <w:tcPr>
            <w:tcW w:w="3780" w:type="dxa"/>
            <w:noWrap/>
          </w:tcPr>
          <w:p w14:paraId="214D9166"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Dominican Republic/República Dominicana</w:t>
            </w:r>
          </w:p>
        </w:tc>
        <w:tc>
          <w:tcPr>
            <w:tcW w:w="2070" w:type="dxa"/>
            <w:noWrap/>
          </w:tcPr>
          <w:p w14:paraId="37CFC0C2"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1</w:t>
            </w:r>
          </w:p>
        </w:tc>
        <w:tc>
          <w:tcPr>
            <w:tcW w:w="2216" w:type="dxa"/>
            <w:noWrap/>
          </w:tcPr>
          <w:p w14:paraId="3822AFFD"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sz w:val="18"/>
                <w:szCs w:val="18"/>
              </w:rPr>
              <w:t>1</w:t>
            </w:r>
          </w:p>
        </w:tc>
      </w:tr>
      <w:tr w:rsidR="0052262B" w:rsidRPr="00210214" w14:paraId="744573CC"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tcPr>
          <w:p w14:paraId="432EEA1D" w14:textId="77777777" w:rsidR="0052262B" w:rsidRPr="00210214" w:rsidRDefault="0052262B" w:rsidP="006C3839">
            <w:pPr>
              <w:rPr>
                <w:rFonts w:eastAsia="Times New Roman" w:cs="Arial"/>
                <w:sz w:val="18"/>
                <w:szCs w:val="18"/>
                <w:lang w:val="es-ES_tradnl" w:eastAsia="es-CO"/>
              </w:rPr>
            </w:pPr>
          </w:p>
        </w:tc>
        <w:tc>
          <w:tcPr>
            <w:tcW w:w="3780" w:type="dxa"/>
            <w:noWrap/>
          </w:tcPr>
          <w:p w14:paraId="79D83B1D"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El Salvador</w:t>
            </w:r>
          </w:p>
        </w:tc>
        <w:tc>
          <w:tcPr>
            <w:tcW w:w="2070" w:type="dxa"/>
            <w:noWrap/>
          </w:tcPr>
          <w:p w14:paraId="7760CCE8"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3</w:t>
            </w:r>
          </w:p>
        </w:tc>
        <w:tc>
          <w:tcPr>
            <w:tcW w:w="2216" w:type="dxa"/>
            <w:noWrap/>
          </w:tcPr>
          <w:p w14:paraId="57A1C668"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2</w:t>
            </w:r>
          </w:p>
        </w:tc>
      </w:tr>
      <w:tr w:rsidR="0052262B" w:rsidRPr="00210214" w14:paraId="303C61EB"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7784828"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4C74E180"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Guatemala</w:t>
            </w:r>
          </w:p>
        </w:tc>
        <w:tc>
          <w:tcPr>
            <w:tcW w:w="2070" w:type="dxa"/>
            <w:noWrap/>
          </w:tcPr>
          <w:p w14:paraId="3AFBC377"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1</w:t>
            </w:r>
          </w:p>
        </w:tc>
        <w:tc>
          <w:tcPr>
            <w:tcW w:w="2216" w:type="dxa"/>
            <w:noWrap/>
          </w:tcPr>
          <w:p w14:paraId="67868F82"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1</w:t>
            </w:r>
          </w:p>
        </w:tc>
      </w:tr>
      <w:tr w:rsidR="0052262B" w:rsidRPr="00210214" w14:paraId="28783356"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1785393C"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6CF1637F"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Mexico/México</w:t>
            </w:r>
          </w:p>
        </w:tc>
        <w:tc>
          <w:tcPr>
            <w:tcW w:w="2070" w:type="dxa"/>
            <w:noWrap/>
            <w:hideMark/>
          </w:tcPr>
          <w:p w14:paraId="038301E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 w:eastAsia="es-CO"/>
              </w:rPr>
            </w:pPr>
            <w:r w:rsidRPr="00210214">
              <w:rPr>
                <w:rFonts w:cs="Calibri"/>
                <w:color w:val="000000" w:themeColor="text1"/>
                <w:sz w:val="18"/>
                <w:szCs w:val="18"/>
              </w:rPr>
              <w:t>7</w:t>
            </w:r>
          </w:p>
        </w:tc>
        <w:tc>
          <w:tcPr>
            <w:tcW w:w="2216" w:type="dxa"/>
            <w:noWrap/>
            <w:hideMark/>
          </w:tcPr>
          <w:p w14:paraId="53EC39F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cs="Calibri"/>
                <w:color w:val="000000" w:themeColor="text1"/>
                <w:sz w:val="18"/>
                <w:szCs w:val="18"/>
              </w:rPr>
              <w:t>7</w:t>
            </w:r>
          </w:p>
        </w:tc>
      </w:tr>
      <w:tr w:rsidR="0052262B" w:rsidRPr="00210214" w14:paraId="1E24B016"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6564116"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560BB079"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Panama/Panamá</w:t>
            </w:r>
          </w:p>
        </w:tc>
        <w:tc>
          <w:tcPr>
            <w:tcW w:w="2070" w:type="dxa"/>
            <w:noWrap/>
            <w:hideMark/>
          </w:tcPr>
          <w:p w14:paraId="197DF6BD"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1</w:t>
            </w:r>
          </w:p>
        </w:tc>
        <w:tc>
          <w:tcPr>
            <w:tcW w:w="2216" w:type="dxa"/>
            <w:noWrap/>
            <w:hideMark/>
          </w:tcPr>
          <w:p w14:paraId="106F6FE7"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0</w:t>
            </w:r>
          </w:p>
        </w:tc>
      </w:tr>
      <w:tr w:rsidR="0052262B" w:rsidRPr="00210214" w14:paraId="2FB0E421"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0083F431"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613BB81E"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Paraguay</w:t>
            </w:r>
          </w:p>
        </w:tc>
        <w:tc>
          <w:tcPr>
            <w:tcW w:w="2070" w:type="dxa"/>
            <w:noWrap/>
            <w:hideMark/>
          </w:tcPr>
          <w:p w14:paraId="4B133935"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1</w:t>
            </w:r>
          </w:p>
        </w:tc>
        <w:tc>
          <w:tcPr>
            <w:tcW w:w="2216" w:type="dxa"/>
            <w:noWrap/>
            <w:hideMark/>
          </w:tcPr>
          <w:p w14:paraId="3B86712F"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1</w:t>
            </w:r>
          </w:p>
        </w:tc>
      </w:tr>
      <w:tr w:rsidR="0052262B" w:rsidRPr="00210214" w14:paraId="435FABED"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02C877A"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375623B8"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Peru/Perú</w:t>
            </w:r>
          </w:p>
        </w:tc>
        <w:tc>
          <w:tcPr>
            <w:tcW w:w="2070" w:type="dxa"/>
            <w:noWrap/>
            <w:hideMark/>
          </w:tcPr>
          <w:p w14:paraId="7EA51FDC"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cs="Calibri"/>
                <w:color w:val="000000" w:themeColor="text1"/>
                <w:sz w:val="18"/>
                <w:szCs w:val="18"/>
              </w:rPr>
              <w:t>7</w:t>
            </w:r>
          </w:p>
        </w:tc>
        <w:tc>
          <w:tcPr>
            <w:tcW w:w="2216" w:type="dxa"/>
            <w:noWrap/>
            <w:hideMark/>
          </w:tcPr>
          <w:p w14:paraId="1FC428D8"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color w:val="000000"/>
                <w:sz w:val="18"/>
                <w:szCs w:val="18"/>
              </w:rPr>
              <w:t>5</w:t>
            </w:r>
          </w:p>
        </w:tc>
      </w:tr>
      <w:tr w:rsidR="0052262B" w:rsidRPr="00210214" w14:paraId="6645EB96"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8538B8C" w14:textId="77777777" w:rsidR="0052262B" w:rsidRPr="00210214" w:rsidRDefault="0052262B" w:rsidP="006C3839">
            <w:pPr>
              <w:jc w:val="right"/>
              <w:rPr>
                <w:rFonts w:eastAsia="Times New Roman" w:cs="Arial"/>
                <w:sz w:val="18"/>
                <w:szCs w:val="18"/>
                <w:lang w:val="es-ES_tradnl" w:eastAsia="es-CO"/>
              </w:rPr>
            </w:pPr>
          </w:p>
        </w:tc>
        <w:tc>
          <w:tcPr>
            <w:tcW w:w="3780" w:type="dxa"/>
            <w:noWrap/>
            <w:hideMark/>
          </w:tcPr>
          <w:p w14:paraId="481D5BA4"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Uruguay</w:t>
            </w:r>
          </w:p>
        </w:tc>
        <w:tc>
          <w:tcPr>
            <w:tcW w:w="2070" w:type="dxa"/>
            <w:noWrap/>
            <w:hideMark/>
          </w:tcPr>
          <w:p w14:paraId="29517DFE"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eastAsia="Times New Roman" w:cs="Arial"/>
                <w:sz w:val="18"/>
                <w:szCs w:val="18"/>
                <w:lang w:val="es-ES" w:eastAsia="es-CO"/>
              </w:rPr>
              <w:t>2</w:t>
            </w:r>
          </w:p>
        </w:tc>
        <w:tc>
          <w:tcPr>
            <w:tcW w:w="2216" w:type="dxa"/>
            <w:noWrap/>
            <w:hideMark/>
          </w:tcPr>
          <w:p w14:paraId="365B43D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eastAsia="Times New Roman" w:cs="Arial"/>
                <w:sz w:val="18"/>
                <w:szCs w:val="18"/>
                <w:lang w:val="es-ES" w:eastAsia="es-CO"/>
              </w:rPr>
              <w:t>2</w:t>
            </w:r>
          </w:p>
        </w:tc>
      </w:tr>
      <w:tr w:rsidR="0052262B" w:rsidRPr="00210214" w14:paraId="63D07670"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36BD5F3" w14:textId="77777777" w:rsidR="0052262B" w:rsidRPr="00210214" w:rsidRDefault="0052262B" w:rsidP="006C3839">
            <w:pPr>
              <w:jc w:val="center"/>
              <w:rPr>
                <w:rFonts w:eastAsia="Times New Roman" w:cs="Arial"/>
                <w:b w:val="0"/>
                <w:bCs w:val="0"/>
                <w:sz w:val="18"/>
                <w:szCs w:val="18"/>
                <w:lang w:val="es-ES_tradnl" w:eastAsia="es-CO"/>
              </w:rPr>
            </w:pPr>
          </w:p>
        </w:tc>
        <w:tc>
          <w:tcPr>
            <w:tcW w:w="3780" w:type="dxa"/>
            <w:noWrap/>
            <w:hideMark/>
          </w:tcPr>
          <w:p w14:paraId="7AFB99CD"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United States / Estados Unidos</w:t>
            </w:r>
          </w:p>
        </w:tc>
        <w:tc>
          <w:tcPr>
            <w:tcW w:w="2070" w:type="dxa"/>
            <w:noWrap/>
            <w:hideMark/>
          </w:tcPr>
          <w:p w14:paraId="2148351A"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eastAsia="Times New Roman" w:cs="Arial"/>
                <w:sz w:val="18"/>
                <w:szCs w:val="18"/>
                <w:lang w:val="es-ES" w:eastAsia="es-CO"/>
              </w:rPr>
              <w:t>11</w:t>
            </w:r>
          </w:p>
        </w:tc>
        <w:tc>
          <w:tcPr>
            <w:tcW w:w="2216" w:type="dxa"/>
            <w:noWrap/>
            <w:hideMark/>
          </w:tcPr>
          <w:p w14:paraId="6A29E203"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21</w:t>
            </w:r>
          </w:p>
        </w:tc>
      </w:tr>
      <w:tr w:rsidR="0052262B" w:rsidRPr="00210214" w14:paraId="3F5620F9"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F5C8F5D" w14:textId="77777777" w:rsidR="0052262B" w:rsidRPr="00210214" w:rsidRDefault="0052262B" w:rsidP="006C3839">
            <w:pPr>
              <w:jc w:val="right"/>
              <w:rPr>
                <w:rFonts w:eastAsia="Times New Roman" w:cs="Arial"/>
                <w:sz w:val="18"/>
                <w:szCs w:val="18"/>
                <w:lang w:val="es-ES_tradnl" w:eastAsia="es-CO"/>
              </w:rPr>
            </w:pPr>
          </w:p>
        </w:tc>
        <w:tc>
          <w:tcPr>
            <w:tcW w:w="3780" w:type="dxa"/>
            <w:noWrap/>
            <w:hideMark/>
          </w:tcPr>
          <w:p w14:paraId="2CF4B31C"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Venezuela</w:t>
            </w:r>
          </w:p>
        </w:tc>
        <w:tc>
          <w:tcPr>
            <w:tcW w:w="2070" w:type="dxa"/>
            <w:noWrap/>
            <w:hideMark/>
          </w:tcPr>
          <w:p w14:paraId="42880839"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4</w:t>
            </w:r>
          </w:p>
        </w:tc>
        <w:tc>
          <w:tcPr>
            <w:tcW w:w="2216" w:type="dxa"/>
            <w:noWrap/>
            <w:hideMark/>
          </w:tcPr>
          <w:p w14:paraId="77B03E62"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sz w:val="18"/>
                <w:szCs w:val="18"/>
              </w:rPr>
              <w:t>3</w:t>
            </w:r>
          </w:p>
        </w:tc>
      </w:tr>
      <w:tr w:rsidR="0052262B" w:rsidRPr="00210214" w14:paraId="17473C19"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63BD589" w14:textId="77777777" w:rsidR="0052262B" w:rsidRPr="00210214" w:rsidRDefault="0052262B" w:rsidP="006C3839">
            <w:pPr>
              <w:rPr>
                <w:rFonts w:eastAsia="Times New Roman" w:cs="Arial"/>
                <w:b w:val="0"/>
                <w:bCs w:val="0"/>
                <w:sz w:val="18"/>
                <w:szCs w:val="18"/>
                <w:lang w:val="es-ES_tradnl" w:eastAsia="es-CO"/>
              </w:rPr>
            </w:pPr>
            <w:r w:rsidRPr="00210214">
              <w:rPr>
                <w:rFonts w:eastAsia="Times New Roman" w:cs="Arial"/>
                <w:sz w:val="18"/>
                <w:szCs w:val="18"/>
                <w:lang w:val="es-ES_tradnl" w:eastAsia="es-CO"/>
              </w:rPr>
              <w:t>Staff Total</w:t>
            </w:r>
          </w:p>
        </w:tc>
        <w:tc>
          <w:tcPr>
            <w:tcW w:w="3780" w:type="dxa"/>
            <w:noWrap/>
            <w:hideMark/>
          </w:tcPr>
          <w:p w14:paraId="207BC3E2" w14:textId="77777777" w:rsidR="0052262B" w:rsidRPr="00210214" w:rsidRDefault="0052262B" w:rsidP="006C3839">
            <w:pPr>
              <w:ind w:left="92" w:hanging="20"/>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_tradnl" w:eastAsia="es-CO"/>
              </w:rPr>
            </w:pPr>
            <w:r w:rsidRPr="00210214">
              <w:rPr>
                <w:rFonts w:eastAsia="Times New Roman" w:cs="Arial"/>
                <w:b/>
                <w:bCs/>
                <w:sz w:val="18"/>
                <w:szCs w:val="18"/>
                <w:lang w:val="es-ES_tradnl" w:eastAsia="es-CO"/>
              </w:rPr>
              <w:t> </w:t>
            </w:r>
          </w:p>
        </w:tc>
        <w:tc>
          <w:tcPr>
            <w:tcW w:w="2070" w:type="dxa"/>
            <w:noWrap/>
            <w:hideMark/>
          </w:tcPr>
          <w:p w14:paraId="47168A25"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 w:eastAsia="es-CO"/>
              </w:rPr>
            </w:pPr>
            <w:r w:rsidRPr="00210214">
              <w:rPr>
                <w:b/>
                <w:bCs/>
                <w:sz w:val="18"/>
                <w:szCs w:val="18"/>
              </w:rPr>
              <w:t>74</w:t>
            </w:r>
          </w:p>
        </w:tc>
        <w:tc>
          <w:tcPr>
            <w:tcW w:w="2216" w:type="dxa"/>
            <w:noWrap/>
            <w:hideMark/>
          </w:tcPr>
          <w:p w14:paraId="46BE8D80"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 w:eastAsia="es-CO"/>
              </w:rPr>
            </w:pPr>
            <w:r w:rsidRPr="00210214">
              <w:rPr>
                <w:b/>
                <w:bCs/>
                <w:sz w:val="18"/>
                <w:szCs w:val="18"/>
              </w:rPr>
              <w:t>74</w:t>
            </w:r>
          </w:p>
        </w:tc>
      </w:tr>
      <w:tr w:rsidR="0052262B" w:rsidRPr="00210214" w14:paraId="727B0B2B"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val="restart"/>
            <w:noWrap/>
            <w:vAlign w:val="center"/>
            <w:hideMark/>
          </w:tcPr>
          <w:p w14:paraId="22D94155" w14:textId="77777777" w:rsidR="0052262B" w:rsidRPr="005E7306" w:rsidRDefault="0052262B" w:rsidP="006C3839">
            <w:pPr>
              <w:rPr>
                <w:rFonts w:eastAsia="Times New Roman" w:cs="Arial"/>
                <w:sz w:val="18"/>
                <w:szCs w:val="18"/>
                <w:lang w:val="es-ES_tradnl" w:eastAsia="es-CO"/>
              </w:rPr>
            </w:pPr>
            <w:r w:rsidRPr="00210214">
              <w:rPr>
                <w:rFonts w:eastAsia="Times New Roman" w:cs="Arial"/>
                <w:sz w:val="18"/>
                <w:szCs w:val="18"/>
                <w:lang w:val="es-ES_tradnl" w:eastAsia="es-CO"/>
              </w:rPr>
              <w:t>CPR</w:t>
            </w:r>
          </w:p>
        </w:tc>
        <w:tc>
          <w:tcPr>
            <w:tcW w:w="3780" w:type="dxa"/>
            <w:noWrap/>
            <w:hideMark/>
          </w:tcPr>
          <w:p w14:paraId="03AC20D7"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Argentina</w:t>
            </w:r>
          </w:p>
        </w:tc>
        <w:tc>
          <w:tcPr>
            <w:tcW w:w="2070" w:type="dxa"/>
            <w:noWrap/>
            <w:hideMark/>
          </w:tcPr>
          <w:p w14:paraId="7D748C1A"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 w:eastAsia="es-CO"/>
              </w:rPr>
            </w:pPr>
            <w:r w:rsidRPr="00210214">
              <w:rPr>
                <w:rFonts w:cs="Calibri"/>
                <w:sz w:val="18"/>
                <w:szCs w:val="18"/>
              </w:rPr>
              <w:t>2</w:t>
            </w:r>
          </w:p>
        </w:tc>
        <w:tc>
          <w:tcPr>
            <w:tcW w:w="2216" w:type="dxa"/>
            <w:noWrap/>
            <w:hideMark/>
          </w:tcPr>
          <w:p w14:paraId="7B2FC3E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cs="Calibri"/>
                <w:sz w:val="18"/>
                <w:szCs w:val="18"/>
              </w:rPr>
              <w:t>2</w:t>
            </w:r>
          </w:p>
        </w:tc>
      </w:tr>
      <w:tr w:rsidR="0052262B" w:rsidRPr="00210214" w14:paraId="111A2A76"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75686EDF"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427263C3"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Bolivia</w:t>
            </w:r>
          </w:p>
        </w:tc>
        <w:tc>
          <w:tcPr>
            <w:tcW w:w="2070" w:type="dxa"/>
            <w:noWrap/>
            <w:hideMark/>
          </w:tcPr>
          <w:p w14:paraId="396A0855"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 w:eastAsia="es-CO"/>
              </w:rPr>
            </w:pPr>
            <w:r w:rsidRPr="00210214">
              <w:rPr>
                <w:rFonts w:cs="Calibri"/>
                <w:sz w:val="18"/>
                <w:szCs w:val="18"/>
              </w:rPr>
              <w:t>3</w:t>
            </w:r>
          </w:p>
        </w:tc>
        <w:tc>
          <w:tcPr>
            <w:tcW w:w="2216" w:type="dxa"/>
            <w:noWrap/>
            <w:hideMark/>
          </w:tcPr>
          <w:p w14:paraId="33CE6C36"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cs="Calibri"/>
                <w:sz w:val="18"/>
                <w:szCs w:val="18"/>
              </w:rPr>
              <w:t>3</w:t>
            </w:r>
          </w:p>
        </w:tc>
      </w:tr>
      <w:tr w:rsidR="0052262B" w:rsidRPr="00210214" w14:paraId="36858210"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3DBB85A"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0F3C131D"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Brazil/Brasil</w:t>
            </w:r>
          </w:p>
        </w:tc>
        <w:tc>
          <w:tcPr>
            <w:tcW w:w="2070" w:type="dxa"/>
            <w:noWrap/>
            <w:hideMark/>
          </w:tcPr>
          <w:p w14:paraId="0EB5FEC7"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8</w:t>
            </w:r>
          </w:p>
        </w:tc>
        <w:tc>
          <w:tcPr>
            <w:tcW w:w="2216" w:type="dxa"/>
            <w:noWrap/>
            <w:hideMark/>
          </w:tcPr>
          <w:p w14:paraId="76FBD77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8</w:t>
            </w:r>
          </w:p>
        </w:tc>
      </w:tr>
      <w:tr w:rsidR="0052262B" w:rsidRPr="00210214" w14:paraId="4739C551"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ADB82A5"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122FBDD3"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Colombia</w:t>
            </w:r>
          </w:p>
        </w:tc>
        <w:tc>
          <w:tcPr>
            <w:tcW w:w="2070" w:type="dxa"/>
            <w:noWrap/>
            <w:hideMark/>
          </w:tcPr>
          <w:p w14:paraId="4C91FEE0"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 w:eastAsia="es-CO"/>
              </w:rPr>
            </w:pPr>
            <w:r w:rsidRPr="00210214">
              <w:rPr>
                <w:rFonts w:cs="Calibri"/>
                <w:sz w:val="18"/>
                <w:szCs w:val="18"/>
              </w:rPr>
              <w:t>12</w:t>
            </w:r>
          </w:p>
        </w:tc>
        <w:tc>
          <w:tcPr>
            <w:tcW w:w="2216" w:type="dxa"/>
            <w:noWrap/>
            <w:hideMark/>
          </w:tcPr>
          <w:p w14:paraId="17EBAC32"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cs="Calibri"/>
                <w:sz w:val="18"/>
                <w:szCs w:val="18"/>
              </w:rPr>
              <w:t>12</w:t>
            </w:r>
          </w:p>
        </w:tc>
      </w:tr>
      <w:tr w:rsidR="0052262B" w:rsidRPr="00210214" w14:paraId="30F8BC45"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0E539563"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3796AC17"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Costa Rica</w:t>
            </w:r>
          </w:p>
        </w:tc>
        <w:tc>
          <w:tcPr>
            <w:tcW w:w="2070" w:type="dxa"/>
            <w:noWrap/>
            <w:hideMark/>
          </w:tcPr>
          <w:p w14:paraId="2A54BFE1"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c>
          <w:tcPr>
            <w:tcW w:w="2216" w:type="dxa"/>
            <w:noWrap/>
            <w:hideMark/>
          </w:tcPr>
          <w:p w14:paraId="1051E632"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r>
      <w:tr w:rsidR="0052262B" w:rsidRPr="00210214" w14:paraId="0BE00D0C"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515B6E12"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3B9A7B8F"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Ecuador</w:t>
            </w:r>
          </w:p>
        </w:tc>
        <w:tc>
          <w:tcPr>
            <w:tcW w:w="2070" w:type="dxa"/>
            <w:noWrap/>
            <w:hideMark/>
          </w:tcPr>
          <w:p w14:paraId="308300AE"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3</w:t>
            </w:r>
          </w:p>
        </w:tc>
        <w:tc>
          <w:tcPr>
            <w:tcW w:w="2216" w:type="dxa"/>
            <w:noWrap/>
            <w:hideMark/>
          </w:tcPr>
          <w:p w14:paraId="2CBDE3FC"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3</w:t>
            </w:r>
          </w:p>
        </w:tc>
      </w:tr>
      <w:tr w:rsidR="0052262B" w:rsidRPr="00210214" w14:paraId="31EBEBD4"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D613850" w14:textId="77777777" w:rsidR="0052262B" w:rsidRPr="00210214" w:rsidRDefault="0052262B" w:rsidP="006C3839">
            <w:pPr>
              <w:rPr>
                <w:rFonts w:eastAsia="Times New Roman" w:cs="Arial"/>
                <w:b w:val="0"/>
                <w:bCs w:val="0"/>
                <w:sz w:val="18"/>
                <w:szCs w:val="18"/>
                <w:lang w:val="es-ES_tradnl" w:eastAsia="es-CO"/>
              </w:rPr>
            </w:pPr>
          </w:p>
        </w:tc>
        <w:tc>
          <w:tcPr>
            <w:tcW w:w="3780" w:type="dxa"/>
            <w:noWrap/>
            <w:hideMark/>
          </w:tcPr>
          <w:p w14:paraId="05BA1C53"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El Salvador</w:t>
            </w:r>
          </w:p>
        </w:tc>
        <w:tc>
          <w:tcPr>
            <w:tcW w:w="2070" w:type="dxa"/>
            <w:noWrap/>
            <w:hideMark/>
          </w:tcPr>
          <w:p w14:paraId="4FDD45A9"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cs="Calibri"/>
                <w:sz w:val="18"/>
                <w:szCs w:val="18"/>
              </w:rPr>
              <w:t>2</w:t>
            </w:r>
          </w:p>
        </w:tc>
        <w:tc>
          <w:tcPr>
            <w:tcW w:w="2216" w:type="dxa"/>
            <w:noWrap/>
            <w:hideMark/>
          </w:tcPr>
          <w:p w14:paraId="76C6565C"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cs="Calibri"/>
                <w:sz w:val="18"/>
                <w:szCs w:val="18"/>
              </w:rPr>
              <w:t>2</w:t>
            </w:r>
          </w:p>
        </w:tc>
      </w:tr>
      <w:tr w:rsidR="0052262B" w:rsidRPr="00210214" w14:paraId="4D058DD7"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2C2E6C7" w14:textId="77777777" w:rsidR="0052262B" w:rsidRPr="00210214" w:rsidRDefault="0052262B" w:rsidP="006C3839">
            <w:pPr>
              <w:rPr>
                <w:rFonts w:eastAsia="Times New Roman" w:cs="Arial"/>
                <w:sz w:val="18"/>
                <w:szCs w:val="18"/>
                <w:lang w:val="es-ES_tradnl" w:eastAsia="es-CO"/>
              </w:rPr>
            </w:pPr>
          </w:p>
        </w:tc>
        <w:tc>
          <w:tcPr>
            <w:tcW w:w="3780" w:type="dxa"/>
            <w:noWrap/>
            <w:hideMark/>
          </w:tcPr>
          <w:p w14:paraId="4A1C3410"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Guatemala</w:t>
            </w:r>
          </w:p>
        </w:tc>
        <w:tc>
          <w:tcPr>
            <w:tcW w:w="2070" w:type="dxa"/>
            <w:noWrap/>
            <w:hideMark/>
          </w:tcPr>
          <w:p w14:paraId="37062680"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c>
          <w:tcPr>
            <w:tcW w:w="2216" w:type="dxa"/>
            <w:noWrap/>
            <w:hideMark/>
          </w:tcPr>
          <w:p w14:paraId="01FFCA6E"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r>
      <w:tr w:rsidR="0052262B" w:rsidRPr="00210214" w14:paraId="6DCC5C4D"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691F4D91" w14:textId="77777777" w:rsidR="0052262B" w:rsidRPr="00210214" w:rsidRDefault="0052262B" w:rsidP="006C3839">
            <w:pPr>
              <w:rPr>
                <w:rFonts w:eastAsia="Times New Roman" w:cs="Arial"/>
                <w:sz w:val="18"/>
                <w:szCs w:val="18"/>
                <w:lang w:val="es-ES_tradnl" w:eastAsia="es-CO"/>
              </w:rPr>
            </w:pPr>
          </w:p>
        </w:tc>
        <w:tc>
          <w:tcPr>
            <w:tcW w:w="3780" w:type="dxa"/>
            <w:noWrap/>
          </w:tcPr>
          <w:p w14:paraId="70EFAA0F"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Honduras</w:t>
            </w:r>
          </w:p>
        </w:tc>
        <w:tc>
          <w:tcPr>
            <w:tcW w:w="2070" w:type="dxa"/>
            <w:noWrap/>
          </w:tcPr>
          <w:p w14:paraId="355C015A"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c>
          <w:tcPr>
            <w:tcW w:w="2216" w:type="dxa"/>
            <w:noWrap/>
          </w:tcPr>
          <w:p w14:paraId="25ACB5EF"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r>
      <w:tr w:rsidR="0052262B" w:rsidRPr="00210214" w14:paraId="03A135C6"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53FDE4F1" w14:textId="77777777" w:rsidR="0052262B" w:rsidRPr="00210214" w:rsidRDefault="0052262B" w:rsidP="006C3839">
            <w:pPr>
              <w:rPr>
                <w:rFonts w:eastAsia="Times New Roman" w:cs="Arial"/>
                <w:b w:val="0"/>
                <w:bCs w:val="0"/>
                <w:sz w:val="18"/>
                <w:szCs w:val="18"/>
                <w:lang w:val="es-ES_tradnl" w:eastAsia="es-CO"/>
              </w:rPr>
            </w:pPr>
          </w:p>
        </w:tc>
        <w:tc>
          <w:tcPr>
            <w:tcW w:w="3780" w:type="dxa"/>
            <w:noWrap/>
          </w:tcPr>
          <w:p w14:paraId="4E44CBD7"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Mexico/México</w:t>
            </w:r>
          </w:p>
        </w:tc>
        <w:tc>
          <w:tcPr>
            <w:tcW w:w="2070" w:type="dxa"/>
            <w:noWrap/>
          </w:tcPr>
          <w:p w14:paraId="404CCC39"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 w:eastAsia="es-CO"/>
              </w:rPr>
            </w:pPr>
            <w:r w:rsidRPr="00210214">
              <w:rPr>
                <w:rFonts w:cs="Calibri"/>
                <w:sz w:val="18"/>
                <w:szCs w:val="18"/>
              </w:rPr>
              <w:t>7</w:t>
            </w:r>
          </w:p>
        </w:tc>
        <w:tc>
          <w:tcPr>
            <w:tcW w:w="2216" w:type="dxa"/>
            <w:noWrap/>
          </w:tcPr>
          <w:p w14:paraId="5D438DBB"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cs="Calibri"/>
                <w:sz w:val="18"/>
                <w:szCs w:val="18"/>
              </w:rPr>
              <w:t>7</w:t>
            </w:r>
          </w:p>
        </w:tc>
      </w:tr>
      <w:tr w:rsidR="0052262B" w:rsidRPr="00210214" w14:paraId="16DC7141"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5A98A38D" w14:textId="77777777" w:rsidR="0052262B" w:rsidRPr="00210214" w:rsidRDefault="0052262B" w:rsidP="006C3839">
            <w:pPr>
              <w:rPr>
                <w:rFonts w:eastAsia="Times New Roman" w:cs="Arial"/>
                <w:sz w:val="18"/>
                <w:szCs w:val="18"/>
                <w:lang w:val="es-ES_tradnl" w:eastAsia="es-CO"/>
              </w:rPr>
            </w:pPr>
          </w:p>
        </w:tc>
        <w:tc>
          <w:tcPr>
            <w:tcW w:w="3780" w:type="dxa"/>
            <w:noWrap/>
          </w:tcPr>
          <w:p w14:paraId="2CC74206"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Panama/Panamá</w:t>
            </w:r>
          </w:p>
        </w:tc>
        <w:tc>
          <w:tcPr>
            <w:tcW w:w="2070" w:type="dxa"/>
            <w:noWrap/>
          </w:tcPr>
          <w:p w14:paraId="733CA5EF"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2</w:t>
            </w:r>
          </w:p>
        </w:tc>
        <w:tc>
          <w:tcPr>
            <w:tcW w:w="2216" w:type="dxa"/>
            <w:noWrap/>
          </w:tcPr>
          <w:p w14:paraId="78B6C625"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2</w:t>
            </w:r>
          </w:p>
        </w:tc>
      </w:tr>
      <w:tr w:rsidR="0052262B" w:rsidRPr="00210214" w14:paraId="5DD7509B"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1F18F2D" w14:textId="77777777" w:rsidR="0052262B" w:rsidRPr="00210214" w:rsidRDefault="0052262B" w:rsidP="006C3839">
            <w:pPr>
              <w:rPr>
                <w:rFonts w:eastAsia="Times New Roman" w:cs="Arial"/>
                <w:b w:val="0"/>
                <w:bCs w:val="0"/>
                <w:sz w:val="18"/>
                <w:szCs w:val="18"/>
                <w:lang w:val="es-ES_tradnl" w:eastAsia="es-CO"/>
              </w:rPr>
            </w:pPr>
          </w:p>
        </w:tc>
        <w:tc>
          <w:tcPr>
            <w:tcW w:w="3780" w:type="dxa"/>
            <w:noWrap/>
          </w:tcPr>
          <w:p w14:paraId="4B0E6C8A"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Peru/Perú</w:t>
            </w:r>
          </w:p>
        </w:tc>
        <w:tc>
          <w:tcPr>
            <w:tcW w:w="2070" w:type="dxa"/>
            <w:noWrap/>
          </w:tcPr>
          <w:p w14:paraId="0366D702"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3</w:t>
            </w:r>
          </w:p>
        </w:tc>
        <w:tc>
          <w:tcPr>
            <w:tcW w:w="2216" w:type="dxa"/>
            <w:noWrap/>
          </w:tcPr>
          <w:p w14:paraId="1B531848"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3</w:t>
            </w:r>
          </w:p>
        </w:tc>
      </w:tr>
      <w:tr w:rsidR="0052262B" w:rsidRPr="00210214" w14:paraId="2EE5AA4D"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283C2AF8" w14:textId="77777777" w:rsidR="0052262B" w:rsidRPr="00210214" w:rsidRDefault="0052262B" w:rsidP="006C3839">
            <w:pPr>
              <w:rPr>
                <w:rFonts w:eastAsia="Times New Roman" w:cs="Arial"/>
                <w:sz w:val="18"/>
                <w:szCs w:val="18"/>
                <w:lang w:val="es-ES_tradnl" w:eastAsia="es-CO"/>
              </w:rPr>
            </w:pPr>
          </w:p>
        </w:tc>
        <w:tc>
          <w:tcPr>
            <w:tcW w:w="3780" w:type="dxa"/>
            <w:noWrap/>
          </w:tcPr>
          <w:p w14:paraId="27492BB6"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 xml:space="preserve">Spain/España </w:t>
            </w:r>
          </w:p>
        </w:tc>
        <w:tc>
          <w:tcPr>
            <w:tcW w:w="2070" w:type="dxa"/>
            <w:noWrap/>
          </w:tcPr>
          <w:p w14:paraId="3D1EA0C3"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cs="Calibri"/>
                <w:sz w:val="18"/>
                <w:szCs w:val="18"/>
                <w:lang w:val="es-ES_tradnl" w:eastAsia="es-CO"/>
              </w:rPr>
            </w:pPr>
            <w:r w:rsidRPr="00210214">
              <w:rPr>
                <w:rFonts w:cs="Calibri"/>
                <w:sz w:val="18"/>
                <w:szCs w:val="18"/>
              </w:rPr>
              <w:t>2</w:t>
            </w:r>
          </w:p>
        </w:tc>
        <w:tc>
          <w:tcPr>
            <w:tcW w:w="2216" w:type="dxa"/>
            <w:noWrap/>
          </w:tcPr>
          <w:p w14:paraId="5B0A22CB"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cs="Calibri"/>
                <w:sz w:val="18"/>
                <w:szCs w:val="18"/>
                <w:lang w:val="es-ES_tradnl" w:eastAsia="es-CO"/>
              </w:rPr>
            </w:pPr>
            <w:r w:rsidRPr="00210214">
              <w:rPr>
                <w:rFonts w:cs="Calibri"/>
                <w:sz w:val="18"/>
                <w:szCs w:val="18"/>
              </w:rPr>
              <w:t>2</w:t>
            </w:r>
          </w:p>
        </w:tc>
      </w:tr>
      <w:tr w:rsidR="0052262B" w:rsidRPr="00210214" w14:paraId="68363A7E" w14:textId="77777777" w:rsidTr="006C3839">
        <w:trPr>
          <w:trHeight w:val="269"/>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3BC31CAC" w14:textId="77777777" w:rsidR="0052262B" w:rsidRPr="00210214" w:rsidRDefault="0052262B" w:rsidP="006C3839">
            <w:pPr>
              <w:rPr>
                <w:rFonts w:eastAsia="Times New Roman" w:cs="Arial"/>
                <w:b w:val="0"/>
                <w:bCs w:val="0"/>
                <w:sz w:val="18"/>
                <w:szCs w:val="18"/>
                <w:lang w:val="es-ES_tradnl" w:eastAsia="es-CO"/>
              </w:rPr>
            </w:pPr>
          </w:p>
        </w:tc>
        <w:tc>
          <w:tcPr>
            <w:tcW w:w="3780" w:type="dxa"/>
          </w:tcPr>
          <w:p w14:paraId="472FBE03"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Trinidad and Tobago/Trinidad y Tobago</w:t>
            </w:r>
          </w:p>
        </w:tc>
        <w:tc>
          <w:tcPr>
            <w:tcW w:w="2070" w:type="dxa"/>
            <w:noWrap/>
          </w:tcPr>
          <w:p w14:paraId="0D995687"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c>
          <w:tcPr>
            <w:tcW w:w="2216" w:type="dxa"/>
            <w:noWrap/>
          </w:tcPr>
          <w:p w14:paraId="4E993FED"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1</w:t>
            </w:r>
          </w:p>
        </w:tc>
      </w:tr>
      <w:tr w:rsidR="0052262B" w:rsidRPr="00210214" w14:paraId="700BD950"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036ED3FC" w14:textId="77777777" w:rsidR="0052262B" w:rsidRPr="00210214" w:rsidRDefault="0052262B" w:rsidP="006C3839">
            <w:pPr>
              <w:rPr>
                <w:rFonts w:eastAsia="Times New Roman" w:cs="Arial"/>
                <w:sz w:val="18"/>
                <w:szCs w:val="18"/>
                <w:lang w:val="es-ES_tradnl" w:eastAsia="es-CO"/>
              </w:rPr>
            </w:pPr>
          </w:p>
        </w:tc>
        <w:tc>
          <w:tcPr>
            <w:tcW w:w="3780" w:type="dxa"/>
            <w:noWrap/>
          </w:tcPr>
          <w:p w14:paraId="4DC726B7"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Uruguay</w:t>
            </w:r>
          </w:p>
        </w:tc>
        <w:tc>
          <w:tcPr>
            <w:tcW w:w="2070" w:type="dxa"/>
            <w:noWrap/>
          </w:tcPr>
          <w:p w14:paraId="6C250ED9"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cs="Calibri"/>
                <w:sz w:val="18"/>
                <w:szCs w:val="18"/>
                <w:lang w:val="es-ES_tradnl" w:eastAsia="es-CO"/>
              </w:rPr>
            </w:pPr>
            <w:r w:rsidRPr="00210214">
              <w:rPr>
                <w:rFonts w:cs="Calibri"/>
                <w:sz w:val="18"/>
                <w:szCs w:val="18"/>
              </w:rPr>
              <w:t>4</w:t>
            </w:r>
          </w:p>
        </w:tc>
        <w:tc>
          <w:tcPr>
            <w:tcW w:w="2216" w:type="dxa"/>
            <w:noWrap/>
          </w:tcPr>
          <w:p w14:paraId="64B788E6"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cs="Calibri"/>
                <w:sz w:val="18"/>
                <w:szCs w:val="18"/>
                <w:lang w:val="es-ES_tradnl" w:eastAsia="es-CO"/>
              </w:rPr>
            </w:pPr>
            <w:r w:rsidRPr="00210214">
              <w:rPr>
                <w:rFonts w:cs="Calibri"/>
                <w:sz w:val="18"/>
                <w:szCs w:val="18"/>
              </w:rPr>
              <w:t>4</w:t>
            </w:r>
          </w:p>
        </w:tc>
      </w:tr>
      <w:tr w:rsidR="0052262B" w:rsidRPr="00210214" w14:paraId="562E19A7"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119CB246" w14:textId="77777777" w:rsidR="0052262B" w:rsidRPr="00210214" w:rsidRDefault="0052262B" w:rsidP="006C3839">
            <w:pPr>
              <w:rPr>
                <w:rFonts w:eastAsia="Times New Roman" w:cs="Arial"/>
                <w:b w:val="0"/>
                <w:bCs w:val="0"/>
                <w:sz w:val="18"/>
                <w:szCs w:val="18"/>
                <w:lang w:val="es-ES_tradnl" w:eastAsia="es-CO"/>
              </w:rPr>
            </w:pPr>
          </w:p>
        </w:tc>
        <w:tc>
          <w:tcPr>
            <w:tcW w:w="3780" w:type="dxa"/>
          </w:tcPr>
          <w:p w14:paraId="436FE399"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United States / Estados Unidos</w:t>
            </w:r>
          </w:p>
        </w:tc>
        <w:tc>
          <w:tcPr>
            <w:tcW w:w="2070" w:type="dxa"/>
            <w:noWrap/>
          </w:tcPr>
          <w:p w14:paraId="367B38F4"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cs="Calibri"/>
                <w:sz w:val="18"/>
                <w:szCs w:val="18"/>
                <w:lang w:val="es-ES_tradnl" w:eastAsia="es-CO"/>
              </w:rPr>
            </w:pPr>
            <w:r w:rsidRPr="00210214">
              <w:rPr>
                <w:rFonts w:cs="Calibri"/>
                <w:sz w:val="18"/>
                <w:szCs w:val="18"/>
              </w:rPr>
              <w:t>2</w:t>
            </w:r>
          </w:p>
        </w:tc>
        <w:tc>
          <w:tcPr>
            <w:tcW w:w="2216" w:type="dxa"/>
            <w:noWrap/>
          </w:tcPr>
          <w:p w14:paraId="3044B059"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cs="Calibri"/>
                <w:sz w:val="18"/>
                <w:szCs w:val="18"/>
                <w:lang w:val="es-ES_tradnl" w:eastAsia="es-CO"/>
              </w:rPr>
            </w:pPr>
            <w:r w:rsidRPr="00210214">
              <w:rPr>
                <w:rFonts w:cs="Calibri"/>
                <w:sz w:val="18"/>
                <w:szCs w:val="18"/>
              </w:rPr>
              <w:t>2</w:t>
            </w:r>
          </w:p>
        </w:tc>
      </w:tr>
      <w:tr w:rsidR="0052262B" w:rsidRPr="00210214" w14:paraId="74DA30BF"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vMerge/>
            <w:noWrap/>
            <w:hideMark/>
          </w:tcPr>
          <w:p w14:paraId="419AF4E8" w14:textId="77777777" w:rsidR="0052262B" w:rsidRPr="00210214" w:rsidRDefault="0052262B" w:rsidP="006C3839">
            <w:pPr>
              <w:jc w:val="right"/>
              <w:rPr>
                <w:rFonts w:eastAsia="Times New Roman" w:cs="Arial"/>
                <w:sz w:val="18"/>
                <w:szCs w:val="18"/>
                <w:lang w:val="es-ES_tradnl" w:eastAsia="es-CO"/>
              </w:rPr>
            </w:pPr>
          </w:p>
        </w:tc>
        <w:tc>
          <w:tcPr>
            <w:tcW w:w="3780" w:type="dxa"/>
            <w:noWrap/>
          </w:tcPr>
          <w:p w14:paraId="70B24EEE"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Venezuela</w:t>
            </w:r>
          </w:p>
        </w:tc>
        <w:tc>
          <w:tcPr>
            <w:tcW w:w="2070" w:type="dxa"/>
            <w:noWrap/>
          </w:tcPr>
          <w:p w14:paraId="038AFAD3"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5</w:t>
            </w:r>
          </w:p>
        </w:tc>
        <w:tc>
          <w:tcPr>
            <w:tcW w:w="2216" w:type="dxa"/>
            <w:noWrap/>
          </w:tcPr>
          <w:p w14:paraId="05C51599"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cs="Calibri"/>
                <w:sz w:val="18"/>
                <w:szCs w:val="18"/>
              </w:rPr>
              <w:t>5</w:t>
            </w:r>
          </w:p>
        </w:tc>
      </w:tr>
      <w:tr w:rsidR="0052262B" w:rsidRPr="00210214" w14:paraId="266C7B99"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18D08FE" w14:textId="77777777" w:rsidR="0052262B" w:rsidRPr="00210214" w:rsidRDefault="0052262B" w:rsidP="006C3839">
            <w:pPr>
              <w:rPr>
                <w:rFonts w:eastAsia="Times New Roman" w:cs="Arial"/>
                <w:b w:val="0"/>
                <w:bCs w:val="0"/>
                <w:sz w:val="18"/>
                <w:szCs w:val="18"/>
                <w:lang w:val="es-ES_tradnl" w:eastAsia="es-CO"/>
              </w:rPr>
            </w:pPr>
            <w:r w:rsidRPr="00210214">
              <w:rPr>
                <w:rFonts w:eastAsia="Times New Roman" w:cs="Arial"/>
                <w:sz w:val="18"/>
                <w:szCs w:val="18"/>
                <w:lang w:val="es-ES_tradnl" w:eastAsia="es-CO"/>
              </w:rPr>
              <w:t>CPR Total</w:t>
            </w:r>
          </w:p>
        </w:tc>
        <w:tc>
          <w:tcPr>
            <w:tcW w:w="3780" w:type="dxa"/>
            <w:noWrap/>
            <w:hideMark/>
          </w:tcPr>
          <w:p w14:paraId="4A9EF0FC"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_tradnl" w:eastAsia="es-CO"/>
              </w:rPr>
            </w:pPr>
            <w:r w:rsidRPr="00210214">
              <w:rPr>
                <w:rFonts w:eastAsia="Times New Roman" w:cs="Arial"/>
                <w:b/>
                <w:bCs/>
                <w:sz w:val="18"/>
                <w:szCs w:val="18"/>
                <w:lang w:val="es-ES_tradnl" w:eastAsia="es-CO"/>
              </w:rPr>
              <w:t> </w:t>
            </w:r>
          </w:p>
        </w:tc>
        <w:tc>
          <w:tcPr>
            <w:tcW w:w="2070" w:type="dxa"/>
            <w:noWrap/>
            <w:hideMark/>
          </w:tcPr>
          <w:p w14:paraId="4E8FBF00"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 w:eastAsia="es-CO"/>
              </w:rPr>
            </w:pPr>
            <w:r w:rsidRPr="00210214">
              <w:rPr>
                <w:rFonts w:eastAsia="Times New Roman" w:cs="Arial"/>
                <w:b/>
                <w:bCs/>
                <w:sz w:val="18"/>
                <w:szCs w:val="18"/>
                <w:lang w:val="es-ES" w:eastAsia="es-CO"/>
              </w:rPr>
              <w:t>59</w:t>
            </w:r>
          </w:p>
        </w:tc>
        <w:tc>
          <w:tcPr>
            <w:tcW w:w="2216" w:type="dxa"/>
            <w:noWrap/>
            <w:hideMark/>
          </w:tcPr>
          <w:p w14:paraId="7B9F3977"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 w:eastAsia="es-CO"/>
              </w:rPr>
            </w:pPr>
            <w:r w:rsidRPr="00210214">
              <w:rPr>
                <w:rFonts w:eastAsia="Times New Roman" w:cs="Arial"/>
                <w:b/>
                <w:bCs/>
                <w:sz w:val="18"/>
                <w:szCs w:val="18"/>
                <w:lang w:val="es-ES" w:eastAsia="es-CO"/>
              </w:rPr>
              <w:t>59</w:t>
            </w:r>
          </w:p>
        </w:tc>
      </w:tr>
      <w:tr w:rsidR="0052262B" w:rsidRPr="00210214" w14:paraId="737CB9A8" w14:textId="77777777" w:rsidTr="006C3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75" w:type="dxa"/>
            <w:noWrap/>
          </w:tcPr>
          <w:p w14:paraId="2ACE6FAE" w14:textId="77777777" w:rsidR="0052262B" w:rsidRPr="00210214" w:rsidRDefault="0052262B" w:rsidP="006C3839">
            <w:pPr>
              <w:rPr>
                <w:rFonts w:eastAsia="Times New Roman" w:cs="Arial"/>
                <w:b w:val="0"/>
                <w:bCs w:val="0"/>
                <w:sz w:val="18"/>
                <w:szCs w:val="18"/>
                <w:lang w:val="es-ES_tradnl" w:eastAsia="es-CO"/>
              </w:rPr>
            </w:pPr>
            <w:r w:rsidRPr="00210214">
              <w:rPr>
                <w:rFonts w:eastAsia="Times New Roman" w:cs="Arial"/>
                <w:sz w:val="18"/>
                <w:szCs w:val="18"/>
                <w:lang w:val="es-ES_tradnl" w:eastAsia="es-CO"/>
              </w:rPr>
              <w:t xml:space="preserve">Staff Asociado </w:t>
            </w:r>
          </w:p>
        </w:tc>
        <w:tc>
          <w:tcPr>
            <w:tcW w:w="3780" w:type="dxa"/>
            <w:noWrap/>
          </w:tcPr>
          <w:p w14:paraId="4C9F2A8C"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Brazil/Brasil</w:t>
            </w:r>
          </w:p>
        </w:tc>
        <w:tc>
          <w:tcPr>
            <w:tcW w:w="2070" w:type="dxa"/>
            <w:noWrap/>
          </w:tcPr>
          <w:p w14:paraId="11300984"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eastAsia="Times New Roman" w:cs="Arial"/>
                <w:sz w:val="18"/>
                <w:szCs w:val="18"/>
                <w:lang w:val="es-ES" w:eastAsia="es-CO"/>
              </w:rPr>
              <w:t>6</w:t>
            </w:r>
          </w:p>
        </w:tc>
        <w:tc>
          <w:tcPr>
            <w:tcW w:w="2216" w:type="dxa"/>
            <w:noWrap/>
          </w:tcPr>
          <w:p w14:paraId="7AE9B975"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sz w:val="18"/>
                <w:szCs w:val="18"/>
              </w:rPr>
            </w:pPr>
            <w:r w:rsidRPr="00210214">
              <w:rPr>
                <w:rFonts w:eastAsia="Times New Roman" w:cs="Arial"/>
                <w:sz w:val="18"/>
                <w:szCs w:val="18"/>
                <w:lang w:val="es-ES" w:eastAsia="es-CO"/>
              </w:rPr>
              <w:t>6</w:t>
            </w:r>
          </w:p>
        </w:tc>
      </w:tr>
      <w:tr w:rsidR="0052262B" w:rsidRPr="00210214" w14:paraId="0D898C33" w14:textId="77777777" w:rsidTr="006C3839">
        <w:trPr>
          <w:trHeight w:val="255"/>
        </w:trPr>
        <w:tc>
          <w:tcPr>
            <w:cnfStyle w:val="001000000000" w:firstRow="0" w:lastRow="0" w:firstColumn="1" w:lastColumn="0" w:oddVBand="0" w:evenVBand="0" w:oddHBand="0" w:evenHBand="0" w:firstRowFirstColumn="0" w:firstRowLastColumn="0" w:lastRowFirstColumn="0" w:lastRowLastColumn="0"/>
            <w:tcW w:w="1975" w:type="dxa"/>
            <w:noWrap/>
            <w:hideMark/>
          </w:tcPr>
          <w:p w14:paraId="12EB617D" w14:textId="77777777" w:rsidR="0052262B" w:rsidRPr="00210214" w:rsidRDefault="0052262B" w:rsidP="006C3839">
            <w:pPr>
              <w:rPr>
                <w:rFonts w:eastAsia="Times New Roman" w:cs="Arial"/>
                <w:b w:val="0"/>
                <w:bCs w:val="0"/>
                <w:sz w:val="18"/>
                <w:szCs w:val="18"/>
                <w:lang w:val="es-ES_tradnl" w:eastAsia="es-CO"/>
              </w:rPr>
            </w:pPr>
            <w:r w:rsidRPr="00210214">
              <w:rPr>
                <w:rFonts w:eastAsia="Times New Roman" w:cs="Arial"/>
                <w:sz w:val="18"/>
                <w:szCs w:val="18"/>
                <w:lang w:val="es-ES_tradnl" w:eastAsia="es-CO"/>
              </w:rPr>
              <w:t>Staff Asociado Total</w:t>
            </w:r>
          </w:p>
        </w:tc>
        <w:tc>
          <w:tcPr>
            <w:tcW w:w="3780" w:type="dxa"/>
            <w:noWrap/>
            <w:hideMark/>
          </w:tcPr>
          <w:p w14:paraId="6B07AAD6" w14:textId="77777777" w:rsidR="0052262B" w:rsidRPr="00210214" w:rsidRDefault="0052262B" w:rsidP="006C3839">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_tradnl" w:eastAsia="es-CO"/>
              </w:rPr>
            </w:pPr>
            <w:r w:rsidRPr="00210214">
              <w:rPr>
                <w:rFonts w:eastAsia="Times New Roman" w:cs="Arial"/>
                <w:b/>
                <w:bCs/>
                <w:sz w:val="18"/>
                <w:szCs w:val="18"/>
                <w:lang w:val="es-ES_tradnl" w:eastAsia="es-CO"/>
              </w:rPr>
              <w:t> </w:t>
            </w:r>
          </w:p>
        </w:tc>
        <w:tc>
          <w:tcPr>
            <w:tcW w:w="2070" w:type="dxa"/>
            <w:noWrap/>
            <w:hideMark/>
          </w:tcPr>
          <w:p w14:paraId="2031B6F3"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sz w:val="18"/>
                <w:szCs w:val="18"/>
              </w:rPr>
            </w:pPr>
            <w:r w:rsidRPr="00210214">
              <w:rPr>
                <w:rFonts w:eastAsia="Times New Roman" w:cs="Arial"/>
                <w:b/>
                <w:bCs/>
                <w:sz w:val="18"/>
                <w:szCs w:val="18"/>
                <w:lang w:val="es-ES" w:eastAsia="es-CO"/>
              </w:rPr>
              <w:t>6</w:t>
            </w:r>
          </w:p>
        </w:tc>
        <w:tc>
          <w:tcPr>
            <w:tcW w:w="2216" w:type="dxa"/>
            <w:noWrap/>
            <w:hideMark/>
          </w:tcPr>
          <w:p w14:paraId="2E444EA3" w14:textId="77777777" w:rsidR="0052262B" w:rsidRPr="00210214" w:rsidRDefault="0052262B" w:rsidP="006C3839">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val="es-ES" w:eastAsia="es-CO"/>
              </w:rPr>
            </w:pPr>
            <w:r w:rsidRPr="00210214">
              <w:rPr>
                <w:rFonts w:eastAsia="Times New Roman" w:cs="Arial"/>
                <w:b/>
                <w:bCs/>
                <w:sz w:val="18"/>
                <w:szCs w:val="18"/>
                <w:lang w:val="es-ES" w:eastAsia="es-CO"/>
              </w:rPr>
              <w:t>6</w:t>
            </w:r>
          </w:p>
        </w:tc>
      </w:tr>
      <w:tr w:rsidR="0052262B" w:rsidRPr="00210214" w14:paraId="20BBD505" w14:textId="77777777" w:rsidTr="006C38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0D430DA" w14:textId="77777777" w:rsidR="0052262B" w:rsidRPr="00210214" w:rsidRDefault="0052262B" w:rsidP="006C3839">
            <w:pPr>
              <w:rPr>
                <w:rFonts w:eastAsia="Times New Roman" w:cs="Arial"/>
                <w:b w:val="0"/>
                <w:bCs w:val="0"/>
                <w:sz w:val="18"/>
                <w:szCs w:val="18"/>
                <w:lang w:val="es-ES_tradnl" w:eastAsia="es-CO"/>
              </w:rPr>
            </w:pPr>
            <w:r w:rsidRPr="00210214">
              <w:rPr>
                <w:rFonts w:eastAsia="Times New Roman" w:cs="Arial"/>
                <w:sz w:val="18"/>
                <w:szCs w:val="18"/>
                <w:lang w:val="es-ES_tradnl" w:eastAsia="es-CO"/>
              </w:rPr>
              <w:t>Grand Total</w:t>
            </w:r>
          </w:p>
        </w:tc>
        <w:tc>
          <w:tcPr>
            <w:tcW w:w="3780" w:type="dxa"/>
            <w:noWrap/>
            <w:hideMark/>
          </w:tcPr>
          <w:p w14:paraId="17632178" w14:textId="77777777" w:rsidR="0052262B" w:rsidRPr="00210214" w:rsidRDefault="0052262B" w:rsidP="006C3839">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ES_tradnl" w:eastAsia="es-CO"/>
              </w:rPr>
            </w:pPr>
            <w:r w:rsidRPr="00210214">
              <w:rPr>
                <w:rFonts w:eastAsia="Times New Roman" w:cs="Arial"/>
                <w:sz w:val="18"/>
                <w:szCs w:val="18"/>
                <w:lang w:val="es-ES_tradnl" w:eastAsia="es-CO"/>
              </w:rPr>
              <w:t> </w:t>
            </w:r>
          </w:p>
        </w:tc>
        <w:tc>
          <w:tcPr>
            <w:tcW w:w="2070" w:type="dxa"/>
            <w:noWrap/>
            <w:hideMark/>
          </w:tcPr>
          <w:p w14:paraId="5107BF40"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8"/>
                <w:szCs w:val="18"/>
                <w:lang w:val="es-ES" w:eastAsia="es-CO"/>
              </w:rPr>
            </w:pPr>
            <w:r w:rsidRPr="00210214">
              <w:rPr>
                <w:rFonts w:eastAsia="Times New Roman" w:cs="Arial"/>
                <w:b/>
                <w:bCs/>
                <w:sz w:val="18"/>
                <w:szCs w:val="18"/>
                <w:lang w:val="es-ES" w:eastAsia="es-CO"/>
              </w:rPr>
              <w:t>139</w:t>
            </w:r>
          </w:p>
        </w:tc>
        <w:tc>
          <w:tcPr>
            <w:tcW w:w="2216" w:type="dxa"/>
            <w:noWrap/>
            <w:hideMark/>
          </w:tcPr>
          <w:p w14:paraId="3140DF1B" w14:textId="77777777" w:rsidR="0052262B" w:rsidRPr="00210214" w:rsidRDefault="0052262B" w:rsidP="006C3839">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8"/>
                <w:szCs w:val="18"/>
                <w:lang w:val="es-ES" w:eastAsia="es-CO"/>
              </w:rPr>
            </w:pPr>
            <w:r w:rsidRPr="00210214">
              <w:rPr>
                <w:rFonts w:eastAsia="Times New Roman" w:cs="Arial"/>
                <w:b/>
                <w:bCs/>
                <w:sz w:val="18"/>
                <w:szCs w:val="18"/>
                <w:lang w:val="es-ES" w:eastAsia="es-CO"/>
              </w:rPr>
              <w:t>139</w:t>
            </w:r>
          </w:p>
        </w:tc>
      </w:tr>
    </w:tbl>
    <w:p w14:paraId="39EA65DB" w14:textId="5A9DDBC0" w:rsidR="0052262B" w:rsidRPr="0052262B" w:rsidRDefault="0052262B" w:rsidP="0052262B">
      <w:pPr>
        <w:pStyle w:val="IAPrrafo"/>
        <w:rPr>
          <w:lang w:val="es-AR"/>
        </w:rPr>
      </w:pPr>
      <w:r w:rsidRPr="0052262B">
        <w:rPr>
          <w:lang w:val="es-AR"/>
        </w:rPr>
        <w:lastRenderedPageBreak/>
        <w:t xml:space="preserve">Durante el 2023 se continuó con la gestión de concursos públicos para ocupar 26 posiciones vacantes:  </w:t>
      </w:r>
      <w:r w:rsidR="00BA21CA">
        <w:rPr>
          <w:lang w:val="es-AR"/>
        </w:rPr>
        <w:t>nueve</w:t>
      </w:r>
      <w:r w:rsidRPr="0052262B">
        <w:rPr>
          <w:lang w:val="es-AR"/>
        </w:rPr>
        <w:t xml:space="preserve"> financiadas por fondo regular y 17 por fondos específicos.</w:t>
      </w:r>
    </w:p>
    <w:p w14:paraId="705261B7" w14:textId="77777777" w:rsidR="0052262B" w:rsidRPr="000075FF" w:rsidRDefault="0052262B" w:rsidP="0052262B">
      <w:pPr>
        <w:pStyle w:val="IAPrrafo"/>
        <w:rPr>
          <w:lang w:val="es-CO"/>
        </w:rPr>
      </w:pPr>
      <w:r w:rsidRPr="0052262B">
        <w:rPr>
          <w:lang w:val="es-AR"/>
        </w:rPr>
        <w:t xml:space="preserve">El 17 de febrero de 2023 se publicó el anuncio para ocupar la posición P05 financiada por fondos específicos para la Relatoría Especial sobre los Derechos Económicos, Sociales, Culturales y Ambientales (REDESCA). El concurso cerró el 17 de abril de 2023. El proceso de la convocatoria a concurso para elegir a la persona titular de la REDESCA estuvo regido por las normas reglamentarias de la OEA, el reglamento de la CIDH y atiende la paridad de género y la representación de las diferentes regiones de las Américas. </w:t>
      </w:r>
      <w:r w:rsidRPr="000075FF">
        <w:rPr>
          <w:lang w:val="es-CO"/>
        </w:rPr>
        <w:t xml:space="preserve">Se recibieron 114 postulaciones. </w:t>
      </w:r>
    </w:p>
    <w:p w14:paraId="237B9D8C" w14:textId="2B83BA86" w:rsidR="0052262B" w:rsidRPr="000075FF" w:rsidRDefault="0052262B" w:rsidP="0052262B">
      <w:pPr>
        <w:pStyle w:val="IAPrrafo"/>
        <w:rPr>
          <w:lang w:val="es-CO"/>
        </w:rPr>
      </w:pPr>
      <w:r w:rsidRPr="000075FF">
        <w:rPr>
          <w:lang w:val="es-CO"/>
        </w:rPr>
        <w:t xml:space="preserve">En sesión interna del 6 de junio de 2023, la CIDH seleccionó a </w:t>
      </w:r>
      <w:r w:rsidR="00BA21CA" w:rsidRPr="000075FF">
        <w:rPr>
          <w:lang w:val="es-CO"/>
        </w:rPr>
        <w:t>diez</w:t>
      </w:r>
      <w:r w:rsidRPr="000075FF">
        <w:rPr>
          <w:lang w:val="es-CO"/>
        </w:rPr>
        <w:t xml:space="preserve"> personas finalistas. En cumplimiento de lo establecido en el artículo 15.4 de su Reglamento se abrió durante un mes la consulta para recibir observaciones de los Estados Miembros de la OEA y de la sociedad civil. Se recibieron 739 cartas. El 11 de julio la CIDH seleccionó a las cinco personas finalistas para participar en la ronda de entrevistas realizada en el marco del 187 Periodo de Sesiones.</w:t>
      </w:r>
    </w:p>
    <w:p w14:paraId="5857C545" w14:textId="77777777" w:rsidR="0052262B" w:rsidRPr="000075FF" w:rsidRDefault="0052262B" w:rsidP="0052262B">
      <w:pPr>
        <w:pStyle w:val="IAPrrafo"/>
        <w:rPr>
          <w:lang w:val="es-CO"/>
        </w:rPr>
      </w:pPr>
      <w:r w:rsidRPr="000075FF">
        <w:rPr>
          <w:lang w:val="es-CO"/>
        </w:rPr>
        <w:t>El 21 de julio la CIDH seleccionó a Javier Palummo para el cargo de Relator Especial sobre Derechos Económicos, Sociales, Culturales y Ambientales y remitió dicha decisión al Secretario General de la Organización de los Estados Americanos, quien expresó su acuerdo con la designación. El Sr. Palummo inició funciones el 1 de septiembre de 2023.</w:t>
      </w:r>
    </w:p>
    <w:p w14:paraId="3A37D7DC" w14:textId="51BD2B9D" w:rsidR="0052262B" w:rsidRPr="000075FF" w:rsidRDefault="0052262B" w:rsidP="0052262B">
      <w:pPr>
        <w:pStyle w:val="IAPrrafo"/>
        <w:rPr>
          <w:lang w:val="es-CO"/>
        </w:rPr>
      </w:pPr>
      <w:r w:rsidRPr="000075FF">
        <w:rPr>
          <w:lang w:val="es-CO"/>
        </w:rPr>
        <w:t xml:space="preserve">Finalizaron los concursos para ocupar </w:t>
      </w:r>
      <w:r w:rsidR="00BA21CA" w:rsidRPr="000075FF">
        <w:rPr>
          <w:lang w:val="es-CO"/>
        </w:rPr>
        <w:t>tres</w:t>
      </w:r>
      <w:r w:rsidRPr="000075FF">
        <w:rPr>
          <w:lang w:val="es-CO"/>
        </w:rPr>
        <w:t xml:space="preserve"> posiciones financiadas por fondo regular. Dos de ellas para Especialistas de Derechos Humanos, una asignada en la Oficina de la Secretaria Ejecutiva y la segunda a cargo de la Coordinación de la Sección de Monitoreo III. Se ocupó la posición G06 de Asistente para la Secretaria Ejecutiva de la CIDH. </w:t>
      </w:r>
    </w:p>
    <w:p w14:paraId="0B60ED10" w14:textId="075CA9B0" w:rsidR="0052262B" w:rsidRPr="0052262B" w:rsidRDefault="0052262B" w:rsidP="0052262B">
      <w:pPr>
        <w:pStyle w:val="IAPrrafo"/>
        <w:rPr>
          <w:lang w:val="es-AR"/>
        </w:rPr>
      </w:pPr>
      <w:r w:rsidRPr="000075FF">
        <w:rPr>
          <w:lang w:val="es-CO"/>
        </w:rPr>
        <w:t xml:space="preserve">En cuanto a los concursos financiados por fondos específicos finalizaron </w:t>
      </w:r>
      <w:r w:rsidR="00BA21CA" w:rsidRPr="000075FF">
        <w:rPr>
          <w:lang w:val="es-CO"/>
        </w:rPr>
        <w:t>ocho</w:t>
      </w:r>
      <w:r w:rsidRPr="000075FF">
        <w:rPr>
          <w:lang w:val="es-CO"/>
        </w:rPr>
        <w:t xml:space="preserve"> concursos</w:t>
      </w:r>
      <w:r w:rsidRPr="0052262B">
        <w:rPr>
          <w:lang w:val="es-AR"/>
        </w:rPr>
        <w:t xml:space="preserve"> para ocupar 12 posiciones destinadas a fortalecer el equipo de planificación y proyectos, medidas cautelares, monitoreo, seguimiento de recomendaciones, gestión administrativa y asuntos institucionales. </w:t>
      </w:r>
    </w:p>
    <w:p w14:paraId="207345FF" w14:textId="3BAD848B" w:rsidR="0052262B" w:rsidRPr="009E65FF" w:rsidRDefault="0052262B" w:rsidP="0052262B">
      <w:pPr>
        <w:pStyle w:val="IAPrrafo"/>
        <w:rPr>
          <w:lang w:val="es-AR"/>
        </w:rPr>
      </w:pPr>
      <w:r w:rsidRPr="009E65FF">
        <w:rPr>
          <w:lang w:val="es-AR"/>
        </w:rPr>
        <w:t xml:space="preserve">Para inicios del año 2024 se estima finalizar los concursos que están actualmente en proceso financiadas por fondo regular: </w:t>
      </w:r>
      <w:r w:rsidR="00BA21CA">
        <w:rPr>
          <w:lang w:val="es-AR"/>
        </w:rPr>
        <w:t>tres</w:t>
      </w:r>
      <w:r w:rsidRPr="009E65FF">
        <w:rPr>
          <w:lang w:val="es-AR"/>
        </w:rPr>
        <w:t xml:space="preserve"> posiciones a nivel P03 para Coordinar las Secciones de Casos, una posición P02 en la Sección de Tecnología y Sistemas de la Información y una posición G06 para la Sección de Atención y Ac</w:t>
      </w:r>
      <w:r>
        <w:rPr>
          <w:lang w:val="es-AR"/>
        </w:rPr>
        <w:t>ceso a</w:t>
      </w:r>
      <w:r w:rsidRPr="009E65FF">
        <w:rPr>
          <w:lang w:val="es-AR"/>
        </w:rPr>
        <w:t xml:space="preserve"> la Información. </w:t>
      </w:r>
    </w:p>
    <w:p w14:paraId="0151108C" w14:textId="77777777" w:rsidR="0052262B" w:rsidRPr="0052262B" w:rsidRDefault="0052262B" w:rsidP="0052262B">
      <w:pPr>
        <w:pStyle w:val="IAPrrafo"/>
        <w:rPr>
          <w:lang w:val="es-AR"/>
        </w:rPr>
      </w:pPr>
      <w:r w:rsidRPr="0052262B">
        <w:rPr>
          <w:lang w:val="es-AR"/>
        </w:rPr>
        <w:t>En cuanto a los concursos en proceso financiados por fondos específicos se estima finalizarlos en los próximos meses: cuatro posiciones P02 para Especialistas en DDHH, una asignada a la Oficina de la Secretaria Ejecutiva, dos en las Secciones de Casos y una en la Sección de Monitoreo III.</w:t>
      </w:r>
    </w:p>
    <w:p w14:paraId="1DF47439" w14:textId="77777777" w:rsidR="0052262B" w:rsidRPr="0052262B" w:rsidRDefault="0052262B" w:rsidP="0052262B">
      <w:pPr>
        <w:pStyle w:val="IAPrrafo"/>
        <w:rPr>
          <w:lang w:val="es-AR"/>
        </w:rPr>
      </w:pPr>
      <w:r w:rsidRPr="0052262B">
        <w:rPr>
          <w:lang w:val="es-AR"/>
        </w:rPr>
        <w:t xml:space="preserve">Durante el 2023 la SE/CIDH realizó las gestiones necesarias para el proceso de reclasificación de dos puestos a nivel de Coordinación: Estudio Inicial y Admisibilidad y el de Medidas Cautelares. Se espera </w:t>
      </w:r>
      <w:r w:rsidRPr="00D97100">
        <w:rPr>
          <w:lang w:val="es-CO"/>
        </w:rPr>
        <w:t xml:space="preserve">a </w:t>
      </w:r>
      <w:r w:rsidRPr="0052262B">
        <w:rPr>
          <w:lang w:val="es-AR"/>
        </w:rPr>
        <w:t>inicios de 2023 recibir la notificación sobre los resultados de las auditorías recientemente realizadas por una experta clasificadora de Naciones Unidas.</w:t>
      </w:r>
    </w:p>
    <w:p w14:paraId="461B6C60" w14:textId="77777777" w:rsidR="0052262B" w:rsidRPr="007C29E5" w:rsidRDefault="0052262B" w:rsidP="0052262B">
      <w:pPr>
        <w:pStyle w:val="IAPrrafo"/>
        <w:rPr>
          <w:lang w:val="es-AR"/>
        </w:rPr>
      </w:pPr>
      <w:r w:rsidRPr="007C29E5">
        <w:rPr>
          <w:lang w:val="es-AR"/>
        </w:rPr>
        <w:t xml:space="preserve">En el mes de julio se realizó la primera contratación de staff local desde el </w:t>
      </w:r>
      <w:r w:rsidRPr="007C29E5">
        <w:rPr>
          <w:i/>
          <w:iCs/>
          <w:lang w:val="es-AR"/>
        </w:rPr>
        <w:t>Service Hub</w:t>
      </w:r>
      <w:r w:rsidRPr="007C29E5">
        <w:rPr>
          <w:lang w:val="es-AR"/>
        </w:rPr>
        <w:t xml:space="preserve"> de la SG/OEA en Costa Rica para cubrir una posición P02 asignada a la Sección de Gestión Administrativa. </w:t>
      </w:r>
    </w:p>
    <w:p w14:paraId="251970A9" w14:textId="77777777" w:rsidR="0052262B" w:rsidRDefault="0052262B" w:rsidP="0052262B">
      <w:pPr>
        <w:pStyle w:val="IAPrrafo"/>
        <w:rPr>
          <w:lang w:val="es-AR"/>
        </w:rPr>
      </w:pPr>
      <w:r w:rsidRPr="0052262B">
        <w:rPr>
          <w:lang w:val="es-AR"/>
        </w:rPr>
        <w:t>Durante 2023 el personal de la SE/CIDH mantuvo el trabajo presencial los martes en las oficinas de Washington, DC conforme a la Política de Teletrabajo y Otros Esquemas Alternativos de Trabajo de la SG/OEA.</w:t>
      </w:r>
    </w:p>
    <w:p w14:paraId="6F126636" w14:textId="77777777" w:rsidR="000B75CB" w:rsidRPr="0052262B" w:rsidRDefault="000B75CB" w:rsidP="000B75CB">
      <w:pPr>
        <w:pStyle w:val="IAPrrafo"/>
        <w:numPr>
          <w:ilvl w:val="0"/>
          <w:numId w:val="0"/>
        </w:numPr>
        <w:ind w:left="720"/>
        <w:rPr>
          <w:lang w:val="es-AR"/>
        </w:rPr>
      </w:pPr>
    </w:p>
    <w:p w14:paraId="5C03D404" w14:textId="77777777" w:rsidR="0052262B" w:rsidRPr="000B75CB" w:rsidRDefault="0052262B" w:rsidP="008556ED">
      <w:pPr>
        <w:pStyle w:val="IASubttulo3"/>
        <w:rPr>
          <w:lang w:val="es-CO"/>
        </w:rPr>
      </w:pPr>
      <w:bookmarkStart w:id="3" w:name="_Toc162359405"/>
      <w:r w:rsidRPr="000B75CB">
        <w:rPr>
          <w:lang w:val="es-CO"/>
        </w:rPr>
        <w:lastRenderedPageBreak/>
        <w:t>Consultores, Pasantes, Becarios y Personal Asociado</w:t>
      </w:r>
      <w:bookmarkEnd w:id="3"/>
    </w:p>
    <w:p w14:paraId="19E98861" w14:textId="490A42D5" w:rsidR="0052262B" w:rsidRPr="0096446E" w:rsidRDefault="0052262B" w:rsidP="000B75CB">
      <w:pPr>
        <w:pStyle w:val="IAPrrafo"/>
        <w:rPr>
          <w:lang w:val="es-AR"/>
        </w:rPr>
      </w:pPr>
      <w:r w:rsidRPr="0096446E">
        <w:rPr>
          <w:lang w:val="es-AR"/>
        </w:rPr>
        <w:t xml:space="preserve">Durante 2023 se gestionaron cuatro procesos de </w:t>
      </w:r>
      <w:r w:rsidR="004C6DD5">
        <w:rPr>
          <w:lang w:val="es-AR"/>
        </w:rPr>
        <w:t>l</w:t>
      </w:r>
      <w:r w:rsidRPr="0096446E">
        <w:rPr>
          <w:lang w:val="es-AR"/>
        </w:rPr>
        <w:t xml:space="preserve">lamado de </w:t>
      </w:r>
      <w:r w:rsidR="004C6DD5">
        <w:rPr>
          <w:lang w:val="es-AR"/>
        </w:rPr>
        <w:t>h</w:t>
      </w:r>
      <w:r w:rsidRPr="0096446E">
        <w:rPr>
          <w:lang w:val="es-AR"/>
        </w:rPr>
        <w:t xml:space="preserve">ojas de </w:t>
      </w:r>
      <w:r w:rsidR="004C6DD5">
        <w:rPr>
          <w:lang w:val="es-AR"/>
        </w:rPr>
        <w:t>v</w:t>
      </w:r>
      <w:r w:rsidRPr="0096446E">
        <w:rPr>
          <w:lang w:val="es-AR"/>
        </w:rPr>
        <w:t>ida para seleccionar consultorías en la Sección de Tecnologia y Sistemas destinadas a los servicios de programación del sistema GAIA, de la SE/CIDH, dos consultorías para servicios de asesoría en la Oficina de la Secretaria Ejecutiva y para la selección de una empresa que brinda servicios sobre metodologías para análisis de riesgos y alertas tempranas.</w:t>
      </w:r>
    </w:p>
    <w:p w14:paraId="2F21AC6F" w14:textId="77777777" w:rsidR="0052262B" w:rsidRPr="0096446E" w:rsidRDefault="0052262B" w:rsidP="000B75CB">
      <w:pPr>
        <w:pStyle w:val="IAPrrafo"/>
        <w:rPr>
          <w:lang w:val="es-AR"/>
        </w:rPr>
      </w:pPr>
      <w:r w:rsidRPr="0096446E">
        <w:rPr>
          <w:lang w:val="es-AR"/>
        </w:rPr>
        <w:t>Durante el período se continuó con la contratación de personas consultoras para brindar servicios a las diferentes secciones de la SE/CIDH. Al 31 de diciembre de 2023, la SE/CIDH cuenta con 59 consultores.</w:t>
      </w:r>
    </w:p>
    <w:p w14:paraId="39E0E4D5" w14:textId="77777777" w:rsidR="0052262B" w:rsidRPr="0096446E" w:rsidRDefault="0052262B" w:rsidP="000B75CB">
      <w:pPr>
        <w:pStyle w:val="IAPrrafo"/>
        <w:rPr>
          <w:lang w:val="es-AR"/>
        </w:rPr>
      </w:pPr>
      <w:r w:rsidRPr="0096446E">
        <w:rPr>
          <w:lang w:val="es-AR"/>
        </w:rPr>
        <w:t xml:space="preserve">Asimismo, se llevaron a cabo tres Sesiones de Pasantías a distancia coordinadas por el Departamento de Recursos Humanos de la SG/OEA, en la cuales se incorporaron un total de 79 pasantes en la Secretaría Ejecutiva de la CIDH. </w:t>
      </w:r>
    </w:p>
    <w:p w14:paraId="03B7964D" w14:textId="3FAE2CBB" w:rsidR="0052262B" w:rsidRPr="00BA21CA" w:rsidRDefault="0052262B" w:rsidP="000B75CB">
      <w:pPr>
        <w:pStyle w:val="IAPrrafo"/>
        <w:rPr>
          <w:lang w:val="es-AR"/>
        </w:rPr>
      </w:pPr>
      <w:r w:rsidRPr="00BA21CA">
        <w:rPr>
          <w:lang w:val="es-AR"/>
        </w:rPr>
        <w:t xml:space="preserve">A través del apoyo de diferentes instituciones, la SE/CIDH recibió a </w:t>
      </w:r>
      <w:r w:rsidR="00BA21CA" w:rsidRPr="00BA21CA">
        <w:rPr>
          <w:lang w:val="es-AR"/>
        </w:rPr>
        <w:t>si</w:t>
      </w:r>
      <w:r w:rsidR="00BA21CA">
        <w:rPr>
          <w:lang w:val="es-AR"/>
        </w:rPr>
        <w:t>ete</w:t>
      </w:r>
      <w:r w:rsidRPr="00BA21CA">
        <w:rPr>
          <w:lang w:val="es-AR"/>
        </w:rPr>
        <w:t xml:space="preserve"> nuevas personas becarias durante el año: </w:t>
      </w:r>
    </w:p>
    <w:tbl>
      <w:tblPr>
        <w:tblW w:w="0" w:type="auto"/>
        <w:jc w:val="center"/>
        <w:tblLayout w:type="fixed"/>
        <w:tblLook w:val="06A0" w:firstRow="1" w:lastRow="0" w:firstColumn="1" w:lastColumn="0" w:noHBand="1" w:noVBand="1"/>
      </w:tblPr>
      <w:tblGrid>
        <w:gridCol w:w="440"/>
        <w:gridCol w:w="2600"/>
        <w:gridCol w:w="2550"/>
        <w:gridCol w:w="2680"/>
      </w:tblGrid>
      <w:tr w:rsidR="0052262B" w:rsidRPr="00444521" w14:paraId="7755BC7F" w14:textId="77777777" w:rsidTr="00591E0A">
        <w:trPr>
          <w:trHeight w:val="405"/>
          <w:jc w:val="center"/>
        </w:trPr>
        <w:tc>
          <w:tcPr>
            <w:tcW w:w="44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350DB00F" w14:textId="77777777" w:rsidR="0052262B" w:rsidRPr="00444521" w:rsidRDefault="0052262B" w:rsidP="006C3839">
            <w:pPr>
              <w:jc w:val="center"/>
              <w:rPr>
                <w:rFonts w:eastAsia="Cambria" w:cs="Cambria"/>
                <w:b/>
                <w:color w:val="000000" w:themeColor="text1"/>
                <w:sz w:val="20"/>
                <w:szCs w:val="20"/>
              </w:rPr>
            </w:pPr>
            <w:r w:rsidRPr="00444521">
              <w:rPr>
                <w:rFonts w:eastAsia="Cambria" w:cs="Cambria"/>
                <w:b/>
                <w:color w:val="000000" w:themeColor="text1"/>
                <w:sz w:val="20"/>
                <w:szCs w:val="20"/>
              </w:rPr>
              <w:t>No.</w:t>
            </w:r>
          </w:p>
        </w:tc>
        <w:tc>
          <w:tcPr>
            <w:tcW w:w="260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6928101B" w14:textId="77777777" w:rsidR="0052262B" w:rsidRPr="00444521" w:rsidRDefault="0052262B" w:rsidP="006C3839">
            <w:pPr>
              <w:jc w:val="center"/>
              <w:rPr>
                <w:rFonts w:eastAsia="Cambria" w:cs="Cambria"/>
                <w:b/>
                <w:color w:val="000000" w:themeColor="text1"/>
                <w:sz w:val="20"/>
                <w:szCs w:val="20"/>
              </w:rPr>
            </w:pPr>
            <w:r w:rsidRPr="00444521">
              <w:rPr>
                <w:rFonts w:eastAsia="Cambria" w:cs="Cambria"/>
                <w:b/>
                <w:color w:val="000000" w:themeColor="text1"/>
                <w:sz w:val="20"/>
                <w:szCs w:val="20"/>
              </w:rPr>
              <w:t>Nacionalidad</w:t>
            </w:r>
          </w:p>
        </w:tc>
        <w:tc>
          <w:tcPr>
            <w:tcW w:w="255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40FEC1C9" w14:textId="77777777" w:rsidR="0052262B" w:rsidRPr="00444521" w:rsidRDefault="0052262B" w:rsidP="006C3839">
            <w:pPr>
              <w:jc w:val="center"/>
              <w:rPr>
                <w:rFonts w:eastAsia="Cambria" w:cs="Cambria"/>
                <w:b/>
                <w:color w:val="000000" w:themeColor="text1"/>
                <w:sz w:val="20"/>
                <w:szCs w:val="20"/>
              </w:rPr>
            </w:pPr>
            <w:r w:rsidRPr="00444521">
              <w:rPr>
                <w:rFonts w:eastAsia="Cambria" w:cs="Cambria"/>
                <w:b/>
                <w:color w:val="000000" w:themeColor="text1"/>
                <w:sz w:val="20"/>
                <w:szCs w:val="20"/>
              </w:rPr>
              <w:t>BECA</w:t>
            </w:r>
          </w:p>
        </w:tc>
        <w:tc>
          <w:tcPr>
            <w:tcW w:w="268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085D1E08" w14:textId="77777777" w:rsidR="0052262B" w:rsidRPr="00444521" w:rsidRDefault="0052262B" w:rsidP="006C3839">
            <w:pPr>
              <w:jc w:val="center"/>
              <w:rPr>
                <w:rFonts w:eastAsia="Cambria" w:cs="Cambria"/>
                <w:b/>
                <w:color w:val="000000" w:themeColor="text1"/>
                <w:sz w:val="20"/>
                <w:szCs w:val="20"/>
              </w:rPr>
            </w:pPr>
            <w:r w:rsidRPr="00444521">
              <w:rPr>
                <w:rFonts w:eastAsia="Cambria" w:cs="Cambria"/>
                <w:b/>
                <w:color w:val="000000" w:themeColor="text1"/>
                <w:sz w:val="20"/>
                <w:szCs w:val="20"/>
              </w:rPr>
              <w:t>Asignación</w:t>
            </w:r>
          </w:p>
        </w:tc>
      </w:tr>
      <w:tr w:rsidR="0052262B" w:rsidRPr="00356253" w14:paraId="386D1BB7" w14:textId="77777777" w:rsidTr="00591E0A">
        <w:trPr>
          <w:trHeight w:val="46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F2D38B1" w14:textId="77777777" w:rsidR="0052262B" w:rsidRPr="00444521" w:rsidRDefault="0052262B" w:rsidP="006C3839">
            <w:pPr>
              <w:jc w:val="center"/>
              <w:rPr>
                <w:rFonts w:eastAsia="Cambria" w:cs="Cambria"/>
                <w:sz w:val="20"/>
                <w:szCs w:val="20"/>
              </w:rPr>
            </w:pPr>
            <w:r w:rsidRPr="00444521">
              <w:rPr>
                <w:rFonts w:eastAsia="Cambria" w:cs="Cambria"/>
                <w:sz w:val="20"/>
                <w:szCs w:val="20"/>
              </w:rPr>
              <w:t>1</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4E4AF25" w14:textId="77777777" w:rsidR="0052262B" w:rsidRPr="00444521" w:rsidRDefault="0052262B" w:rsidP="006C3839">
            <w:pPr>
              <w:jc w:val="center"/>
              <w:rPr>
                <w:rFonts w:eastAsia="Cambria" w:cs="Cambria"/>
                <w:sz w:val="20"/>
                <w:szCs w:val="20"/>
              </w:rPr>
            </w:pPr>
            <w:r w:rsidRPr="00444521">
              <w:rPr>
                <w:rFonts w:eastAsia="Cambria" w:cs="Cambria"/>
                <w:sz w:val="20"/>
                <w:szCs w:val="20"/>
              </w:rPr>
              <w:t>Colombia</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4201E46" w14:textId="77777777" w:rsidR="0052262B" w:rsidRPr="00444521" w:rsidRDefault="0052262B" w:rsidP="006C3839">
            <w:pPr>
              <w:jc w:val="center"/>
              <w:rPr>
                <w:rFonts w:eastAsia="Cambria" w:cs="Cambria"/>
                <w:sz w:val="20"/>
                <w:szCs w:val="20"/>
              </w:rPr>
            </w:pPr>
            <w:r w:rsidRPr="00444521">
              <w:rPr>
                <w:rFonts w:eastAsia="Cambria" w:cs="Cambria"/>
                <w:sz w:val="20"/>
                <w:szCs w:val="20"/>
              </w:rPr>
              <w:t>Seguimiento de Recomendaciones</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F361268" w14:textId="77777777" w:rsidR="0052262B" w:rsidRPr="00444521" w:rsidRDefault="0052262B" w:rsidP="006C3839">
            <w:pPr>
              <w:jc w:val="center"/>
              <w:rPr>
                <w:rFonts w:eastAsia="Cambria" w:cs="Cambria"/>
                <w:sz w:val="20"/>
                <w:szCs w:val="20"/>
                <w:lang w:val="es-CO"/>
              </w:rPr>
            </w:pPr>
            <w:r w:rsidRPr="00444521">
              <w:rPr>
                <w:rFonts w:eastAsia="Cambria" w:cs="Cambria"/>
                <w:sz w:val="20"/>
                <w:szCs w:val="20"/>
                <w:lang w:val="es-CO"/>
              </w:rPr>
              <w:t xml:space="preserve">Sección de Seguimiento de Recomendaciones e Impacto </w:t>
            </w:r>
          </w:p>
        </w:tc>
      </w:tr>
      <w:tr w:rsidR="0052262B" w:rsidRPr="00444521" w14:paraId="58659B81" w14:textId="77777777" w:rsidTr="00591E0A">
        <w:trPr>
          <w:trHeight w:val="199"/>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CCCFF97" w14:textId="77777777" w:rsidR="0052262B" w:rsidRPr="00444521" w:rsidRDefault="0052262B" w:rsidP="006C3839">
            <w:pPr>
              <w:jc w:val="center"/>
              <w:rPr>
                <w:rFonts w:eastAsia="Cambria" w:cs="Cambria"/>
                <w:sz w:val="20"/>
                <w:szCs w:val="20"/>
              </w:rPr>
            </w:pPr>
            <w:r w:rsidRPr="00444521">
              <w:rPr>
                <w:rFonts w:eastAsia="Cambria" w:cs="Cambria"/>
                <w:sz w:val="20"/>
                <w:szCs w:val="20"/>
              </w:rPr>
              <w:t>2</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F7621F6" w14:textId="77777777" w:rsidR="0052262B" w:rsidRPr="00444521" w:rsidRDefault="0052262B" w:rsidP="006C3839">
            <w:pPr>
              <w:jc w:val="center"/>
              <w:rPr>
                <w:rFonts w:eastAsia="Cambria" w:cs="Cambria"/>
                <w:sz w:val="20"/>
                <w:szCs w:val="20"/>
              </w:rPr>
            </w:pPr>
            <w:r w:rsidRPr="00444521">
              <w:rPr>
                <w:rFonts w:eastAsia="Cambria" w:cs="Cambria"/>
                <w:sz w:val="20"/>
                <w:szCs w:val="20"/>
              </w:rPr>
              <w:t>Perú/Peru</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201DFF7" w14:textId="77777777" w:rsidR="0052262B" w:rsidRPr="00444521" w:rsidRDefault="0052262B" w:rsidP="006C3839">
            <w:pPr>
              <w:jc w:val="center"/>
              <w:rPr>
                <w:rFonts w:eastAsia="Cambria" w:cs="Cambria"/>
                <w:sz w:val="20"/>
                <w:szCs w:val="20"/>
              </w:rPr>
            </w:pPr>
            <w:r w:rsidRPr="00444521">
              <w:rPr>
                <w:rFonts w:eastAsia="Cambria" w:cs="Cambria"/>
                <w:sz w:val="20"/>
                <w:szCs w:val="20"/>
              </w:rPr>
              <w:t>UNAM</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CF9DB7A" w14:textId="77777777" w:rsidR="0052262B" w:rsidRPr="00444521" w:rsidRDefault="0052262B" w:rsidP="006C3839">
            <w:pPr>
              <w:jc w:val="center"/>
              <w:rPr>
                <w:rFonts w:eastAsia="Cambria" w:cs="Cambria"/>
                <w:sz w:val="20"/>
                <w:szCs w:val="20"/>
              </w:rPr>
            </w:pPr>
            <w:r w:rsidRPr="00444521">
              <w:rPr>
                <w:rFonts w:eastAsia="Cambria" w:cs="Cambria"/>
                <w:sz w:val="20"/>
                <w:szCs w:val="20"/>
              </w:rPr>
              <w:t xml:space="preserve">Sección de Casos </w:t>
            </w:r>
          </w:p>
        </w:tc>
      </w:tr>
      <w:tr w:rsidR="0052262B" w:rsidRPr="00444521" w14:paraId="79078BFF" w14:textId="77777777" w:rsidTr="00591E0A">
        <w:trPr>
          <w:trHeight w:val="208"/>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D0B88F1" w14:textId="77777777" w:rsidR="0052262B" w:rsidRPr="00444521" w:rsidRDefault="0052262B" w:rsidP="006C3839">
            <w:pPr>
              <w:jc w:val="center"/>
              <w:rPr>
                <w:rFonts w:eastAsia="Cambria" w:cs="Cambria"/>
                <w:sz w:val="20"/>
                <w:szCs w:val="20"/>
              </w:rPr>
            </w:pPr>
            <w:r w:rsidRPr="00444521">
              <w:rPr>
                <w:rFonts w:eastAsia="Cambria" w:cs="Cambria"/>
                <w:sz w:val="20"/>
                <w:szCs w:val="20"/>
              </w:rPr>
              <w:t>3</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E9160AA" w14:textId="77777777" w:rsidR="0052262B" w:rsidRPr="00444521" w:rsidRDefault="0052262B" w:rsidP="006C3839">
            <w:pPr>
              <w:jc w:val="center"/>
              <w:rPr>
                <w:rFonts w:eastAsia="Cambria" w:cs="Cambria"/>
                <w:sz w:val="20"/>
                <w:szCs w:val="20"/>
              </w:rPr>
            </w:pPr>
            <w:r w:rsidRPr="00444521">
              <w:rPr>
                <w:rFonts w:eastAsia="Cambria" w:cs="Cambria"/>
                <w:sz w:val="20"/>
                <w:szCs w:val="20"/>
              </w:rPr>
              <w:t>México</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362ECD" w14:textId="77777777" w:rsidR="0052262B" w:rsidRPr="00444521" w:rsidRDefault="0052262B" w:rsidP="006C3839">
            <w:pPr>
              <w:jc w:val="center"/>
              <w:rPr>
                <w:rFonts w:eastAsia="Cambria" w:cs="Cambria"/>
                <w:sz w:val="20"/>
                <w:szCs w:val="20"/>
              </w:rPr>
            </w:pPr>
            <w:r w:rsidRPr="00444521">
              <w:rPr>
                <w:rFonts w:eastAsia="Cambria" w:cs="Cambria"/>
                <w:sz w:val="20"/>
                <w:szCs w:val="20"/>
              </w:rPr>
              <w:t>UNAM</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AE4E88" w14:textId="77777777" w:rsidR="0052262B" w:rsidRPr="00444521" w:rsidRDefault="0052262B" w:rsidP="006C3839">
            <w:pPr>
              <w:jc w:val="center"/>
              <w:rPr>
                <w:rFonts w:eastAsia="Cambria" w:cs="Cambria"/>
                <w:sz w:val="20"/>
                <w:szCs w:val="20"/>
              </w:rPr>
            </w:pPr>
            <w:r w:rsidRPr="00444521">
              <w:rPr>
                <w:rFonts w:eastAsia="Cambria" w:cs="Cambria"/>
                <w:sz w:val="20"/>
                <w:szCs w:val="20"/>
              </w:rPr>
              <w:t xml:space="preserve">Sección de Casos </w:t>
            </w:r>
          </w:p>
        </w:tc>
      </w:tr>
      <w:tr w:rsidR="0052262B" w:rsidRPr="00444521" w14:paraId="63E364E0" w14:textId="77777777" w:rsidTr="00591E0A">
        <w:trPr>
          <w:trHeight w:val="40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192B89D" w14:textId="77777777" w:rsidR="0052262B" w:rsidRPr="00444521" w:rsidRDefault="0052262B" w:rsidP="006C3839">
            <w:pPr>
              <w:jc w:val="center"/>
              <w:rPr>
                <w:rFonts w:eastAsia="Cambria" w:cs="Cambria"/>
                <w:sz w:val="20"/>
                <w:szCs w:val="20"/>
              </w:rPr>
            </w:pPr>
            <w:r w:rsidRPr="00444521">
              <w:rPr>
                <w:rFonts w:eastAsia="Cambria" w:cs="Cambria"/>
                <w:sz w:val="20"/>
                <w:szCs w:val="20"/>
              </w:rPr>
              <w:t>4</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4C125FE" w14:textId="77777777" w:rsidR="0052262B" w:rsidRPr="00444521" w:rsidRDefault="0052262B" w:rsidP="006C3839">
            <w:pPr>
              <w:jc w:val="center"/>
              <w:rPr>
                <w:rFonts w:eastAsia="Cambria" w:cs="Cambria"/>
                <w:sz w:val="20"/>
                <w:szCs w:val="20"/>
              </w:rPr>
            </w:pPr>
            <w:r w:rsidRPr="00444521">
              <w:rPr>
                <w:rFonts w:eastAsia="Cambria" w:cs="Cambria"/>
                <w:sz w:val="20"/>
                <w:szCs w:val="20"/>
              </w:rPr>
              <w:t>Estados Unidos</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DB5BA3" w14:textId="77777777" w:rsidR="0052262B" w:rsidRPr="00444521" w:rsidRDefault="0052262B" w:rsidP="006C3839">
            <w:pPr>
              <w:jc w:val="center"/>
              <w:rPr>
                <w:rFonts w:eastAsia="Cambria" w:cs="Cambria"/>
                <w:color w:val="000000" w:themeColor="text1"/>
                <w:sz w:val="20"/>
                <w:szCs w:val="20"/>
                <w:lang w:val="es-CO"/>
              </w:rPr>
            </w:pPr>
            <w:r w:rsidRPr="00444521">
              <w:rPr>
                <w:rFonts w:eastAsia="Cambria" w:cs="Cambria"/>
                <w:color w:val="000000" w:themeColor="text1"/>
                <w:sz w:val="20"/>
                <w:szCs w:val="20"/>
                <w:lang w:val="es-CO"/>
              </w:rPr>
              <w:t>Relatoría sobre los Derechos de las Personas Afrodescendientes y contra la Discriminación Racial</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A57584D" w14:textId="77777777" w:rsidR="0052262B" w:rsidRPr="00444521" w:rsidRDefault="0052262B" w:rsidP="006C3839">
            <w:pPr>
              <w:jc w:val="center"/>
              <w:rPr>
                <w:rFonts w:eastAsia="Cambria" w:cs="Cambria"/>
                <w:sz w:val="20"/>
                <w:szCs w:val="20"/>
              </w:rPr>
            </w:pPr>
            <w:r w:rsidRPr="00444521">
              <w:rPr>
                <w:rFonts w:eastAsia="Cambria" w:cs="Cambria"/>
                <w:sz w:val="20"/>
                <w:szCs w:val="20"/>
              </w:rPr>
              <w:t>Sección Monitoreo II</w:t>
            </w:r>
          </w:p>
        </w:tc>
      </w:tr>
      <w:tr w:rsidR="0052262B" w:rsidRPr="00444521" w14:paraId="3DFA543F" w14:textId="77777777" w:rsidTr="00591E0A">
        <w:trPr>
          <w:trHeight w:val="40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5A1DC96" w14:textId="77777777" w:rsidR="0052262B" w:rsidRPr="00444521" w:rsidRDefault="0052262B" w:rsidP="006C3839">
            <w:pPr>
              <w:jc w:val="center"/>
              <w:rPr>
                <w:rFonts w:eastAsia="Cambria" w:cs="Cambria"/>
                <w:sz w:val="20"/>
                <w:szCs w:val="20"/>
              </w:rPr>
            </w:pPr>
            <w:r w:rsidRPr="00444521">
              <w:rPr>
                <w:rFonts w:eastAsia="Cambria" w:cs="Cambria"/>
                <w:sz w:val="20"/>
                <w:szCs w:val="20"/>
              </w:rPr>
              <w:t>5</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D983FF5" w14:textId="77777777" w:rsidR="0052262B" w:rsidRPr="00444521" w:rsidRDefault="0052262B" w:rsidP="006C3839">
            <w:pPr>
              <w:jc w:val="center"/>
              <w:rPr>
                <w:rFonts w:eastAsia="Cambria" w:cs="Cambria"/>
                <w:sz w:val="20"/>
                <w:szCs w:val="20"/>
              </w:rPr>
            </w:pPr>
            <w:r w:rsidRPr="00444521">
              <w:rPr>
                <w:rFonts w:eastAsia="Cambria" w:cs="Cambria"/>
                <w:sz w:val="20"/>
                <w:szCs w:val="20"/>
              </w:rPr>
              <w:t>México</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4DA6F32" w14:textId="77777777" w:rsidR="0052262B" w:rsidRPr="00444521" w:rsidRDefault="0052262B" w:rsidP="006C3839">
            <w:pPr>
              <w:jc w:val="center"/>
              <w:rPr>
                <w:rFonts w:eastAsia="Cambria" w:cs="Cambria"/>
                <w:color w:val="000000" w:themeColor="text1"/>
                <w:sz w:val="20"/>
                <w:szCs w:val="20"/>
                <w:lang w:val="es-CO"/>
              </w:rPr>
            </w:pPr>
            <w:r w:rsidRPr="00444521">
              <w:rPr>
                <w:rFonts w:eastAsia="Cambria" w:cs="Cambria"/>
                <w:color w:val="000000" w:themeColor="text1"/>
                <w:sz w:val="20"/>
                <w:szCs w:val="20"/>
                <w:lang w:val="es-CO"/>
              </w:rPr>
              <w:t>Relatoría sobre los Derechos de las Personas LGBTI</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AE8BF29" w14:textId="77777777" w:rsidR="0052262B" w:rsidRPr="00444521" w:rsidRDefault="0052262B" w:rsidP="006C3839">
            <w:pPr>
              <w:jc w:val="center"/>
              <w:rPr>
                <w:rFonts w:eastAsia="Cambria" w:cs="Cambria"/>
                <w:sz w:val="20"/>
                <w:szCs w:val="20"/>
              </w:rPr>
            </w:pPr>
            <w:r w:rsidRPr="00444521">
              <w:rPr>
                <w:rFonts w:eastAsia="Cambria" w:cs="Cambria"/>
                <w:sz w:val="20"/>
                <w:szCs w:val="20"/>
              </w:rPr>
              <w:t>Sección Monitoreo II</w:t>
            </w:r>
          </w:p>
        </w:tc>
      </w:tr>
      <w:tr w:rsidR="0052262B" w:rsidRPr="00444521" w14:paraId="5FCF74E4" w14:textId="77777777" w:rsidTr="00591E0A">
        <w:trPr>
          <w:trHeight w:val="540"/>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77ED23F" w14:textId="77777777" w:rsidR="0052262B" w:rsidRPr="00444521" w:rsidRDefault="0052262B" w:rsidP="006C3839">
            <w:pPr>
              <w:jc w:val="center"/>
              <w:rPr>
                <w:rFonts w:eastAsia="Cambria" w:cs="Cambria"/>
                <w:sz w:val="20"/>
                <w:szCs w:val="20"/>
              </w:rPr>
            </w:pPr>
            <w:r w:rsidRPr="00444521">
              <w:rPr>
                <w:rFonts w:eastAsia="Cambria" w:cs="Cambria"/>
                <w:sz w:val="20"/>
                <w:szCs w:val="20"/>
              </w:rPr>
              <w:t>6</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754A129" w14:textId="77777777" w:rsidR="0052262B" w:rsidRPr="00444521" w:rsidRDefault="0052262B" w:rsidP="006C3839">
            <w:pPr>
              <w:jc w:val="center"/>
              <w:rPr>
                <w:rFonts w:eastAsia="Cambria" w:cs="Cambria"/>
                <w:sz w:val="20"/>
                <w:szCs w:val="20"/>
              </w:rPr>
            </w:pPr>
            <w:r w:rsidRPr="00444521">
              <w:rPr>
                <w:rFonts w:eastAsia="Cambria" w:cs="Cambria"/>
                <w:sz w:val="20"/>
                <w:szCs w:val="20"/>
              </w:rPr>
              <w:t>San Vicente y las Granadinas/Saint Vincent and the Grenadines</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4B79FC6" w14:textId="77777777" w:rsidR="0052262B" w:rsidRPr="00444521" w:rsidRDefault="0052262B" w:rsidP="006C3839">
            <w:pPr>
              <w:jc w:val="center"/>
              <w:rPr>
                <w:rFonts w:eastAsia="Cambria" w:cs="Cambria"/>
                <w:sz w:val="20"/>
                <w:szCs w:val="20"/>
              </w:rPr>
            </w:pPr>
            <w:r w:rsidRPr="00444521">
              <w:rPr>
                <w:rFonts w:eastAsia="Cambria" w:cs="Cambria"/>
                <w:sz w:val="20"/>
                <w:szCs w:val="20"/>
              </w:rPr>
              <w:t>Caribe</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3794EC4" w14:textId="77777777" w:rsidR="0052262B" w:rsidRPr="00444521" w:rsidRDefault="0052262B" w:rsidP="006C3839">
            <w:pPr>
              <w:jc w:val="center"/>
              <w:rPr>
                <w:rFonts w:eastAsia="Cambria" w:cs="Cambria"/>
                <w:sz w:val="20"/>
                <w:szCs w:val="20"/>
              </w:rPr>
            </w:pPr>
            <w:r w:rsidRPr="00444521">
              <w:rPr>
                <w:rFonts w:eastAsia="Cambria" w:cs="Cambria"/>
                <w:sz w:val="20"/>
                <w:szCs w:val="20"/>
              </w:rPr>
              <w:t xml:space="preserve">Sección de Monitoreo III </w:t>
            </w:r>
          </w:p>
        </w:tc>
      </w:tr>
      <w:tr w:rsidR="0052262B" w14:paraId="4EA03FD7" w14:textId="77777777" w:rsidTr="00591E0A">
        <w:trPr>
          <w:trHeight w:val="40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4C437CE" w14:textId="77777777" w:rsidR="0052262B" w:rsidRPr="00444521" w:rsidRDefault="0052262B" w:rsidP="006C3839">
            <w:pPr>
              <w:jc w:val="center"/>
              <w:rPr>
                <w:rFonts w:eastAsia="Cambria" w:cs="Cambria"/>
                <w:sz w:val="20"/>
                <w:szCs w:val="20"/>
              </w:rPr>
            </w:pPr>
            <w:r w:rsidRPr="00444521">
              <w:rPr>
                <w:rFonts w:eastAsia="Cambria" w:cs="Cambria"/>
                <w:sz w:val="20"/>
                <w:szCs w:val="20"/>
              </w:rPr>
              <w:t>7</w:t>
            </w:r>
          </w:p>
        </w:tc>
        <w:tc>
          <w:tcPr>
            <w:tcW w:w="26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69D9FAB" w14:textId="77777777" w:rsidR="0052262B" w:rsidRPr="00444521" w:rsidRDefault="0052262B" w:rsidP="006C3839">
            <w:pPr>
              <w:jc w:val="center"/>
              <w:rPr>
                <w:rFonts w:eastAsia="Cambria" w:cs="Cambria"/>
                <w:sz w:val="20"/>
                <w:szCs w:val="20"/>
              </w:rPr>
            </w:pPr>
            <w:r w:rsidRPr="00444521">
              <w:rPr>
                <w:rFonts w:eastAsia="Cambria" w:cs="Cambria"/>
                <w:sz w:val="20"/>
                <w:szCs w:val="20"/>
              </w:rPr>
              <w:t>Costa Rica</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803480D" w14:textId="77777777" w:rsidR="0052262B" w:rsidRPr="00444521" w:rsidRDefault="0052262B" w:rsidP="006C3839">
            <w:pPr>
              <w:jc w:val="center"/>
              <w:rPr>
                <w:rFonts w:eastAsia="Cambria" w:cs="Cambria"/>
                <w:sz w:val="20"/>
                <w:szCs w:val="20"/>
                <w:lang w:val="es-CO"/>
              </w:rPr>
            </w:pPr>
            <w:r w:rsidRPr="00444521">
              <w:rPr>
                <w:rFonts w:eastAsia="Cambria" w:cs="Cambria"/>
                <w:sz w:val="20"/>
                <w:szCs w:val="20"/>
                <w:lang w:val="es-CO"/>
              </w:rPr>
              <w:t xml:space="preserve">Both Ends Believing (BEB) y la Comisión Interamericana de Derechos Humanos </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0EFE7E6" w14:textId="77777777" w:rsidR="0052262B" w:rsidRPr="00444521" w:rsidRDefault="0052262B" w:rsidP="006C3839">
            <w:pPr>
              <w:jc w:val="center"/>
              <w:rPr>
                <w:rFonts w:eastAsia="Cambria" w:cs="Cambria"/>
                <w:sz w:val="20"/>
                <w:szCs w:val="20"/>
              </w:rPr>
            </w:pPr>
            <w:r w:rsidRPr="00444521">
              <w:rPr>
                <w:rFonts w:eastAsia="Cambria" w:cs="Cambria"/>
                <w:sz w:val="20"/>
                <w:szCs w:val="20"/>
              </w:rPr>
              <w:t>Sección Monitoreo III</w:t>
            </w:r>
          </w:p>
        </w:tc>
      </w:tr>
    </w:tbl>
    <w:p w14:paraId="74BDFA69" w14:textId="77777777" w:rsidR="0052262B" w:rsidRPr="009A7FF3" w:rsidRDefault="0052262B" w:rsidP="0052262B">
      <w:pPr>
        <w:pStyle w:val="paragraphs"/>
        <w:numPr>
          <w:ilvl w:val="0"/>
          <w:numId w:val="0"/>
        </w:numPr>
        <w:jc w:val="center"/>
        <w:rPr>
          <w:rFonts w:eastAsia="Cambria" w:cs="Calibri Light"/>
          <w:lang w:val="es-419"/>
        </w:rPr>
      </w:pPr>
    </w:p>
    <w:p w14:paraId="373C9025" w14:textId="77777777" w:rsidR="0052262B" w:rsidRPr="0096446E" w:rsidRDefault="0052262B" w:rsidP="00444521">
      <w:pPr>
        <w:pStyle w:val="IAPrrafo"/>
        <w:rPr>
          <w:lang w:val="es-AR"/>
        </w:rPr>
      </w:pPr>
      <w:r w:rsidRPr="0096446E">
        <w:rPr>
          <w:lang w:val="es-AR"/>
        </w:rPr>
        <w:t>Adicionalmente, gracias al apoyo de las siguientes Instituciones, durante el 2023 la SE/CIDH recibió a seis de sus funcionarios/as bajo la modalidad de personal asociado:</w:t>
      </w:r>
    </w:p>
    <w:tbl>
      <w:tblPr>
        <w:tblW w:w="0" w:type="auto"/>
        <w:jc w:val="center"/>
        <w:tblLayout w:type="fixed"/>
        <w:tblLook w:val="04A0" w:firstRow="1" w:lastRow="0" w:firstColumn="1" w:lastColumn="0" w:noHBand="0" w:noVBand="1"/>
      </w:tblPr>
      <w:tblGrid>
        <w:gridCol w:w="530"/>
        <w:gridCol w:w="3145"/>
        <w:gridCol w:w="4590"/>
      </w:tblGrid>
      <w:tr w:rsidR="0052262B" w:rsidRPr="001C4713" w14:paraId="080AD56C" w14:textId="77777777" w:rsidTr="001C4713">
        <w:trPr>
          <w:trHeight w:val="300"/>
          <w:jc w:val="center"/>
        </w:trPr>
        <w:tc>
          <w:tcPr>
            <w:tcW w:w="53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2972BAFA" w14:textId="77777777" w:rsidR="0052262B" w:rsidRPr="001C4713" w:rsidRDefault="0052262B" w:rsidP="00591E0A">
            <w:pPr>
              <w:jc w:val="center"/>
              <w:rPr>
                <w:rFonts w:eastAsia="Cambria" w:cs="Cambria"/>
                <w:b/>
                <w:color w:val="000000" w:themeColor="text1"/>
                <w:sz w:val="20"/>
                <w:szCs w:val="20"/>
              </w:rPr>
            </w:pPr>
            <w:r w:rsidRPr="001C4713">
              <w:rPr>
                <w:rFonts w:eastAsia="Cambria" w:cs="Cambria"/>
                <w:b/>
                <w:color w:val="000000" w:themeColor="text1"/>
                <w:sz w:val="20"/>
                <w:szCs w:val="20"/>
              </w:rPr>
              <w:t>No.</w:t>
            </w:r>
          </w:p>
        </w:tc>
        <w:tc>
          <w:tcPr>
            <w:tcW w:w="314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317BD300" w14:textId="77777777" w:rsidR="0052262B" w:rsidRPr="001C4713" w:rsidRDefault="0052262B" w:rsidP="00591E0A">
            <w:pPr>
              <w:jc w:val="center"/>
              <w:rPr>
                <w:rFonts w:eastAsia="Cambria" w:cs="Cambria"/>
                <w:b/>
                <w:color w:val="000000" w:themeColor="text1"/>
                <w:sz w:val="20"/>
                <w:szCs w:val="20"/>
              </w:rPr>
            </w:pPr>
            <w:r w:rsidRPr="001C4713">
              <w:rPr>
                <w:rFonts w:eastAsia="Cambria" w:cs="Cambria"/>
                <w:b/>
                <w:color w:val="000000" w:themeColor="text1"/>
                <w:sz w:val="20"/>
                <w:szCs w:val="20"/>
              </w:rPr>
              <w:t>Institución</w:t>
            </w:r>
          </w:p>
        </w:tc>
        <w:tc>
          <w:tcPr>
            <w:tcW w:w="459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765A7A18" w14:textId="77777777" w:rsidR="0052262B" w:rsidRPr="001C4713" w:rsidRDefault="0052262B" w:rsidP="00591E0A">
            <w:pPr>
              <w:jc w:val="center"/>
              <w:rPr>
                <w:rFonts w:eastAsia="Cambria" w:cs="Cambria"/>
                <w:b/>
                <w:color w:val="000000" w:themeColor="text1"/>
                <w:sz w:val="20"/>
                <w:szCs w:val="20"/>
              </w:rPr>
            </w:pPr>
            <w:r w:rsidRPr="001C4713">
              <w:rPr>
                <w:rFonts w:eastAsia="Cambria" w:cs="Cambria"/>
                <w:b/>
                <w:color w:val="000000" w:themeColor="text1"/>
                <w:sz w:val="20"/>
                <w:szCs w:val="20"/>
              </w:rPr>
              <w:t>Asignación</w:t>
            </w:r>
          </w:p>
        </w:tc>
      </w:tr>
      <w:tr w:rsidR="0052262B" w:rsidRPr="00356253" w14:paraId="1AF19A8C" w14:textId="77777777" w:rsidTr="001C4713">
        <w:trPr>
          <w:trHeight w:val="300"/>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AA3686" w14:textId="77777777" w:rsidR="0052262B" w:rsidRPr="001C4713" w:rsidRDefault="0052262B" w:rsidP="00591E0A">
            <w:pPr>
              <w:rPr>
                <w:rFonts w:eastAsia="Cambria" w:cs="Cambria"/>
                <w:sz w:val="20"/>
                <w:szCs w:val="20"/>
              </w:rPr>
            </w:pPr>
            <w:r w:rsidRPr="001C4713">
              <w:rPr>
                <w:rFonts w:eastAsia="Cambria" w:cs="Cambria"/>
                <w:sz w:val="20"/>
                <w:szCs w:val="20"/>
              </w:rPr>
              <w:t>1</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A858C" w14:textId="77777777" w:rsidR="0052262B" w:rsidRPr="001C4713" w:rsidRDefault="0052262B" w:rsidP="00591E0A">
            <w:pPr>
              <w:jc w:val="center"/>
              <w:rPr>
                <w:rFonts w:eastAsia="Cambria" w:cs="Cambria"/>
                <w:sz w:val="20"/>
                <w:szCs w:val="20"/>
              </w:rPr>
            </w:pPr>
            <w:r w:rsidRPr="001C4713">
              <w:rPr>
                <w:rFonts w:eastAsia="Cambria" w:cs="Cambria"/>
                <w:sz w:val="20"/>
                <w:szCs w:val="20"/>
              </w:rPr>
              <w:t>Defensoría Pública del Estado de Rio de Janeiro</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24805" w14:textId="77777777" w:rsidR="0052262B" w:rsidRPr="001C4713" w:rsidRDefault="0052262B" w:rsidP="00591E0A">
            <w:pPr>
              <w:jc w:val="center"/>
              <w:rPr>
                <w:rFonts w:eastAsia="Cambria" w:cs="Cambria"/>
                <w:sz w:val="20"/>
                <w:szCs w:val="20"/>
                <w:lang w:val="es-CO"/>
              </w:rPr>
            </w:pPr>
            <w:r w:rsidRPr="001C4713">
              <w:rPr>
                <w:rFonts w:eastAsia="Cambria" w:cs="Cambria"/>
                <w:sz w:val="20"/>
                <w:szCs w:val="20"/>
                <w:lang w:val="es-CO"/>
              </w:rPr>
              <w:t xml:space="preserve">Sección de Medidas Cautelares y Provisionales </w:t>
            </w:r>
          </w:p>
        </w:tc>
      </w:tr>
      <w:tr w:rsidR="0052262B" w:rsidRPr="00356253" w14:paraId="29A6DA3D" w14:textId="77777777" w:rsidTr="001C4713">
        <w:trPr>
          <w:trHeight w:val="300"/>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29F36" w14:textId="77777777" w:rsidR="0052262B" w:rsidRPr="001C4713" w:rsidRDefault="0052262B" w:rsidP="00591E0A">
            <w:pPr>
              <w:rPr>
                <w:rFonts w:eastAsia="Cambria" w:cs="Cambria"/>
                <w:sz w:val="20"/>
                <w:szCs w:val="20"/>
              </w:rPr>
            </w:pPr>
            <w:r w:rsidRPr="001C4713">
              <w:rPr>
                <w:rFonts w:eastAsia="Cambria" w:cs="Cambria"/>
                <w:sz w:val="20"/>
                <w:szCs w:val="20"/>
              </w:rPr>
              <w:t>2</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62B6DA" w14:textId="77777777" w:rsidR="0052262B" w:rsidRPr="001C4713" w:rsidRDefault="0052262B" w:rsidP="00591E0A">
            <w:pPr>
              <w:jc w:val="center"/>
              <w:rPr>
                <w:rFonts w:eastAsia="Cambria" w:cs="Cambria"/>
                <w:sz w:val="20"/>
                <w:szCs w:val="20"/>
              </w:rPr>
            </w:pPr>
            <w:r w:rsidRPr="001C4713">
              <w:rPr>
                <w:rFonts w:eastAsia="Cambria" w:cs="Cambria"/>
                <w:sz w:val="20"/>
                <w:szCs w:val="20"/>
              </w:rPr>
              <w:t>Ministerio Público del Estado de Sao Paulo</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0DBA0B" w14:textId="77777777" w:rsidR="0052262B" w:rsidRPr="001C4713" w:rsidRDefault="0052262B" w:rsidP="00591E0A">
            <w:pPr>
              <w:jc w:val="center"/>
              <w:rPr>
                <w:rFonts w:eastAsia="Cambria" w:cs="Cambria"/>
                <w:sz w:val="20"/>
                <w:szCs w:val="20"/>
                <w:lang w:val="es-CO"/>
              </w:rPr>
            </w:pPr>
            <w:r w:rsidRPr="001C4713">
              <w:rPr>
                <w:rFonts w:eastAsia="Cambria" w:cs="Cambria"/>
                <w:sz w:val="20"/>
                <w:szCs w:val="20"/>
                <w:lang w:val="es-CO"/>
              </w:rPr>
              <w:t>Sección de Medidas Cautelares y Provisionales</w:t>
            </w:r>
          </w:p>
        </w:tc>
      </w:tr>
      <w:tr w:rsidR="0052262B" w:rsidRPr="00356253" w14:paraId="3F86102E" w14:textId="77777777" w:rsidTr="001C4713">
        <w:trPr>
          <w:trHeight w:val="502"/>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F3061" w14:textId="77777777" w:rsidR="0052262B" w:rsidRPr="001C4713" w:rsidRDefault="0052262B" w:rsidP="00591E0A">
            <w:pPr>
              <w:rPr>
                <w:rFonts w:eastAsia="Cambria" w:cs="Cambria"/>
                <w:sz w:val="20"/>
                <w:szCs w:val="20"/>
              </w:rPr>
            </w:pPr>
            <w:r w:rsidRPr="001C4713">
              <w:rPr>
                <w:rFonts w:eastAsia="Cambria" w:cs="Cambria"/>
                <w:sz w:val="20"/>
                <w:szCs w:val="20"/>
              </w:rPr>
              <w:t>3</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FAEAA" w14:textId="77777777" w:rsidR="0052262B" w:rsidRPr="001C4713" w:rsidRDefault="0052262B" w:rsidP="00591E0A">
            <w:pPr>
              <w:jc w:val="center"/>
              <w:rPr>
                <w:rFonts w:eastAsia="Cambria" w:cs="Cambria"/>
                <w:sz w:val="20"/>
                <w:szCs w:val="20"/>
              </w:rPr>
            </w:pPr>
            <w:r w:rsidRPr="001C4713">
              <w:rPr>
                <w:rFonts w:eastAsia="Cambria" w:cs="Cambria"/>
                <w:sz w:val="20"/>
                <w:szCs w:val="20"/>
              </w:rPr>
              <w:t xml:space="preserve">Ministerio Público de Trabajo de Brasil </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9C76CA" w14:textId="77777777" w:rsidR="0052262B" w:rsidRPr="001C4713" w:rsidRDefault="0052262B" w:rsidP="00591E0A">
            <w:pPr>
              <w:jc w:val="center"/>
              <w:rPr>
                <w:rFonts w:eastAsia="Cambria" w:cs="Cambria"/>
                <w:sz w:val="20"/>
                <w:szCs w:val="20"/>
                <w:lang w:val="es-CO"/>
              </w:rPr>
            </w:pPr>
            <w:r w:rsidRPr="001C4713">
              <w:rPr>
                <w:rFonts w:eastAsia="Cambria" w:cs="Cambria"/>
                <w:sz w:val="20"/>
                <w:szCs w:val="20"/>
                <w:lang w:val="es-CO"/>
              </w:rPr>
              <w:t>Relatoría Especial sobre Derechos Económicos Sociales Culturales y Ambientales (REDESCA)</w:t>
            </w:r>
          </w:p>
        </w:tc>
      </w:tr>
      <w:tr w:rsidR="0052262B" w:rsidRPr="001C4713" w14:paraId="0E2ED198" w14:textId="77777777" w:rsidTr="001C4713">
        <w:trPr>
          <w:trHeight w:val="493"/>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784AA" w14:textId="77777777" w:rsidR="0052262B" w:rsidRPr="001C4713" w:rsidRDefault="0052262B" w:rsidP="00591E0A">
            <w:pPr>
              <w:rPr>
                <w:rFonts w:eastAsia="Cambria" w:cs="Cambria"/>
                <w:sz w:val="20"/>
                <w:szCs w:val="20"/>
              </w:rPr>
            </w:pPr>
            <w:r w:rsidRPr="001C4713">
              <w:rPr>
                <w:rFonts w:eastAsia="Cambria" w:cs="Cambria"/>
                <w:sz w:val="20"/>
                <w:szCs w:val="20"/>
              </w:rPr>
              <w:t>4</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919F8" w14:textId="77777777" w:rsidR="0052262B" w:rsidRPr="001C4713" w:rsidRDefault="0052262B" w:rsidP="00591E0A">
            <w:pPr>
              <w:jc w:val="center"/>
              <w:rPr>
                <w:rFonts w:eastAsia="Cambria" w:cs="Cambria"/>
                <w:sz w:val="20"/>
                <w:szCs w:val="20"/>
                <w:lang w:val="pt-BR"/>
              </w:rPr>
            </w:pPr>
            <w:r w:rsidRPr="001C4713">
              <w:rPr>
                <w:rFonts w:eastAsia="Cambria" w:cs="Cambria"/>
                <w:sz w:val="20"/>
                <w:szCs w:val="20"/>
                <w:lang w:val="pt-BR"/>
              </w:rPr>
              <w:t>Defensoría Pública da União do Brasil</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5F903" w14:textId="77777777" w:rsidR="0052262B" w:rsidRPr="001C4713" w:rsidRDefault="0052262B" w:rsidP="00591E0A">
            <w:pPr>
              <w:jc w:val="center"/>
              <w:rPr>
                <w:rFonts w:eastAsia="Cambria" w:cs="Cambria"/>
                <w:sz w:val="20"/>
                <w:szCs w:val="20"/>
              </w:rPr>
            </w:pPr>
            <w:r w:rsidRPr="001C4713">
              <w:rPr>
                <w:rFonts w:eastAsia="Cambria" w:cs="Cambria"/>
                <w:sz w:val="20"/>
                <w:szCs w:val="20"/>
              </w:rPr>
              <w:t>Sección de Casos</w:t>
            </w:r>
          </w:p>
        </w:tc>
      </w:tr>
      <w:tr w:rsidR="0052262B" w:rsidRPr="001C4713" w14:paraId="7297381F" w14:textId="77777777" w:rsidTr="001C4713">
        <w:trPr>
          <w:trHeight w:val="403"/>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B5E1B" w14:textId="77777777" w:rsidR="0052262B" w:rsidRPr="001C4713" w:rsidRDefault="0052262B" w:rsidP="00591E0A">
            <w:pPr>
              <w:rPr>
                <w:rFonts w:eastAsia="Cambria" w:cs="Cambria"/>
                <w:sz w:val="20"/>
                <w:szCs w:val="20"/>
              </w:rPr>
            </w:pPr>
            <w:r w:rsidRPr="001C4713">
              <w:rPr>
                <w:rFonts w:eastAsia="Cambria" w:cs="Cambria"/>
                <w:sz w:val="20"/>
                <w:szCs w:val="20"/>
              </w:rPr>
              <w:lastRenderedPageBreak/>
              <w:t>5</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5F9E3" w14:textId="77777777" w:rsidR="0052262B" w:rsidRPr="001C4713" w:rsidRDefault="0052262B" w:rsidP="00591E0A">
            <w:pPr>
              <w:jc w:val="center"/>
              <w:rPr>
                <w:rFonts w:eastAsia="Cambria" w:cs="Cambria"/>
                <w:sz w:val="20"/>
                <w:szCs w:val="20"/>
                <w:lang w:val="pt-BR"/>
              </w:rPr>
            </w:pPr>
            <w:r w:rsidRPr="001C4713">
              <w:rPr>
                <w:rFonts w:eastAsia="Cambria" w:cs="Cambria"/>
                <w:sz w:val="20"/>
                <w:szCs w:val="20"/>
                <w:lang w:val="pt-BR"/>
              </w:rPr>
              <w:t>Ministério Público do Distrito Federal e Territórios</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06FA0" w14:textId="77777777" w:rsidR="0052262B" w:rsidRPr="001C4713" w:rsidRDefault="0052262B" w:rsidP="00591E0A">
            <w:pPr>
              <w:jc w:val="center"/>
              <w:rPr>
                <w:rFonts w:eastAsia="Cambria" w:cs="Cambria"/>
                <w:sz w:val="20"/>
                <w:szCs w:val="20"/>
              </w:rPr>
            </w:pPr>
            <w:r w:rsidRPr="001C4713">
              <w:rPr>
                <w:rFonts w:eastAsia="Cambria" w:cs="Cambria"/>
                <w:sz w:val="20"/>
                <w:szCs w:val="20"/>
              </w:rPr>
              <w:t>Sección Monitoreo II</w:t>
            </w:r>
          </w:p>
        </w:tc>
      </w:tr>
      <w:tr w:rsidR="0052262B" w:rsidRPr="00356253" w14:paraId="5CEF90E4" w14:textId="77777777" w:rsidTr="001C4713">
        <w:trPr>
          <w:trHeight w:val="295"/>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0E5CA" w14:textId="77777777" w:rsidR="0052262B" w:rsidRPr="001C4713" w:rsidRDefault="0052262B" w:rsidP="00591E0A">
            <w:pPr>
              <w:rPr>
                <w:rFonts w:eastAsia="Cambria" w:cs="Cambria"/>
                <w:sz w:val="20"/>
                <w:szCs w:val="20"/>
              </w:rPr>
            </w:pPr>
            <w:r w:rsidRPr="001C4713">
              <w:rPr>
                <w:rFonts w:eastAsia="Cambria" w:cs="Cambria"/>
                <w:sz w:val="20"/>
                <w:szCs w:val="20"/>
              </w:rPr>
              <w:t>6</w:t>
            </w:r>
          </w:p>
        </w:tc>
        <w:tc>
          <w:tcPr>
            <w:tcW w:w="31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C38D7" w14:textId="77777777" w:rsidR="0052262B" w:rsidRPr="001C4713" w:rsidRDefault="0052262B" w:rsidP="00591E0A">
            <w:pPr>
              <w:jc w:val="center"/>
              <w:rPr>
                <w:rFonts w:eastAsia="Cambria" w:cs="Cambria"/>
                <w:sz w:val="20"/>
                <w:szCs w:val="20"/>
                <w:lang w:val="pt-BR"/>
              </w:rPr>
            </w:pPr>
            <w:r w:rsidRPr="001C4713">
              <w:rPr>
                <w:rFonts w:eastAsia="Cambria" w:cs="Cambria"/>
                <w:sz w:val="20"/>
                <w:szCs w:val="20"/>
                <w:lang w:val="pt-BR"/>
              </w:rPr>
              <w:t>Ministerio Público Federal de Brasil</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6D94BA" w14:textId="77777777" w:rsidR="0052262B" w:rsidRPr="001C4713" w:rsidRDefault="0052262B" w:rsidP="00591E0A">
            <w:pPr>
              <w:jc w:val="center"/>
              <w:rPr>
                <w:rFonts w:eastAsia="Cambria" w:cs="Cambria"/>
                <w:sz w:val="20"/>
                <w:szCs w:val="20"/>
                <w:lang w:val="es-CO"/>
              </w:rPr>
            </w:pPr>
            <w:r w:rsidRPr="001C4713">
              <w:rPr>
                <w:rFonts w:eastAsia="Cambria" w:cs="Cambria"/>
                <w:sz w:val="20"/>
                <w:szCs w:val="20"/>
                <w:lang w:val="es-CO"/>
              </w:rPr>
              <w:t>Relatoría Especial para la Libertad de Expresión</w:t>
            </w:r>
          </w:p>
        </w:tc>
      </w:tr>
    </w:tbl>
    <w:p w14:paraId="5F142869" w14:textId="77777777" w:rsidR="00C232EB" w:rsidRDefault="00C232EB" w:rsidP="00591E0A">
      <w:pPr>
        <w:pStyle w:val="IASubttulo3"/>
        <w:numPr>
          <w:ilvl w:val="0"/>
          <w:numId w:val="0"/>
        </w:numPr>
        <w:spacing w:after="0"/>
        <w:rPr>
          <w:lang w:val="es-ES"/>
        </w:rPr>
      </w:pPr>
    </w:p>
    <w:p w14:paraId="3B4F14E3" w14:textId="0FAFA090" w:rsidR="0052262B" w:rsidRDefault="0052262B" w:rsidP="00591E0A">
      <w:pPr>
        <w:pStyle w:val="IASubttulo3"/>
        <w:spacing w:after="0"/>
        <w:rPr>
          <w:lang w:val="es-ES"/>
        </w:rPr>
      </w:pPr>
      <w:bookmarkStart w:id="4" w:name="_Toc162359406"/>
      <w:r w:rsidRPr="00E807DA">
        <w:rPr>
          <w:lang w:val="es-ES"/>
        </w:rPr>
        <w:t>Plan de ambiente laboral elaborado colectivamente en proceso de implementación</w:t>
      </w:r>
      <w:bookmarkEnd w:id="4"/>
      <w:r w:rsidRPr="00E807DA">
        <w:rPr>
          <w:lang w:val="es-ES"/>
        </w:rPr>
        <w:t xml:space="preserve"> </w:t>
      </w:r>
    </w:p>
    <w:p w14:paraId="4A172126" w14:textId="77777777" w:rsidR="00591E0A" w:rsidRPr="00E807DA" w:rsidRDefault="00591E0A" w:rsidP="00591E0A">
      <w:pPr>
        <w:pStyle w:val="IASubttulo3"/>
        <w:numPr>
          <w:ilvl w:val="0"/>
          <w:numId w:val="0"/>
        </w:numPr>
        <w:spacing w:after="0"/>
        <w:ind w:left="1440"/>
        <w:rPr>
          <w:lang w:val="es-ES"/>
        </w:rPr>
      </w:pPr>
    </w:p>
    <w:p w14:paraId="63E12B71" w14:textId="77777777" w:rsidR="0052262B" w:rsidRPr="00363517" w:rsidRDefault="0052262B" w:rsidP="00C232EB">
      <w:pPr>
        <w:pStyle w:val="IAPrrafo"/>
        <w:rPr>
          <w:lang w:val="es-419"/>
        </w:rPr>
      </w:pPr>
      <w:r w:rsidRPr="0096446E">
        <w:rPr>
          <w:lang w:val="es-AR"/>
        </w:rPr>
        <w:t>Con</w:t>
      </w:r>
      <w:r w:rsidRPr="228E919D">
        <w:rPr>
          <w:lang w:val="es-419"/>
        </w:rPr>
        <w:t xml:space="preserve"> base en el plan de trabajo del primero de los tres años del Programa Co-Labora</w:t>
      </w:r>
      <w:r w:rsidRPr="228E919D">
        <w:rPr>
          <w:i/>
          <w:iCs/>
          <w:lang w:val="es-419"/>
        </w:rPr>
        <w:t>, Construyamos nuestro espacio</w:t>
      </w:r>
      <w:r w:rsidRPr="228E919D">
        <w:rPr>
          <w:lang w:val="es-419"/>
        </w:rPr>
        <w:t xml:space="preserve">, durante los meses de febrero y marzo de 2023 se llevaron a cabo sesiones de consultas participativas con el fin de escuchar propuestas del personal para construir acciones para la mejora del clima laboral y el cambio de cultura organizacional. Participaron 40 personas en Sede y localmente. </w:t>
      </w:r>
    </w:p>
    <w:p w14:paraId="504C8C3B" w14:textId="77777777" w:rsidR="0052262B" w:rsidRPr="0096446E" w:rsidRDefault="0052262B" w:rsidP="00C232EB">
      <w:pPr>
        <w:pStyle w:val="IAPrrafo"/>
        <w:rPr>
          <w:lang w:val="es-AR"/>
        </w:rPr>
      </w:pPr>
      <w:r w:rsidRPr="0096446E">
        <w:rPr>
          <w:lang w:val="es-AR"/>
        </w:rPr>
        <w:t xml:space="preserve">En el mes de abril de 2023 se realizaron sesiones de alineación con el equipo directivo ampliado de la SE/CIDH. En estas sesiones se definió la visión sobre la nueva cultura organizacional y se establecieron acciones y compromisos. </w:t>
      </w:r>
    </w:p>
    <w:p w14:paraId="23AC88C7" w14:textId="77777777" w:rsidR="0052262B" w:rsidRPr="0096446E" w:rsidRDefault="0052262B" w:rsidP="00C232EB">
      <w:pPr>
        <w:pStyle w:val="IAPrrafo"/>
        <w:rPr>
          <w:lang w:val="es-AR"/>
        </w:rPr>
      </w:pPr>
      <w:r w:rsidRPr="0096446E">
        <w:rPr>
          <w:lang w:val="es-AR"/>
        </w:rPr>
        <w:t>Durante el mes de junio de 2023 se realizó el proceso de nominación para la Beca de Instituciones Nacionales y Mecanismos Regionales de la Oficina del Alto Comisionado de las Naciones Unidas para los Derechos Humanos. Un funcionario de la SE/CIDH tuvo oportunidad de trabajar durante tres semanas desde Ginebra en un proceso de intercambio de buenas prácticas en el sistema universal de protección a los derechos humanos.</w:t>
      </w:r>
    </w:p>
    <w:p w14:paraId="2D080FDD" w14:textId="325AA36C" w:rsidR="0052262B" w:rsidRPr="0096446E" w:rsidRDefault="0052262B" w:rsidP="00C232EB">
      <w:pPr>
        <w:pStyle w:val="IAPrrafo"/>
        <w:rPr>
          <w:lang w:val="es-AR"/>
        </w:rPr>
      </w:pPr>
      <w:r w:rsidRPr="0096446E">
        <w:rPr>
          <w:lang w:val="es-AR"/>
        </w:rPr>
        <w:t xml:space="preserve">Del mes de mayo a agosto de 2023 se realizó el Programa de Desarrollo de Liderazgo y Gestión de Personal dirigido al Equipo Directivo y Coordinadores/as (23 personas) con una inversión de más de 40 horas con la finalidad de fortalecer las habilidades básicas y esenciales de gestión de personal. Se ejecutaron siete módulos sobre las siguientes habilidades: Comunicación interpersonal, Gestión de equipos, Planeación, Toma de decisiones, Conversaciones difíciles, Resolución de conflictos, Retroalimentación. Adicionalmente se proporcionaron </w:t>
      </w:r>
      <w:r w:rsidR="00DC123B">
        <w:rPr>
          <w:lang w:val="es-AR"/>
        </w:rPr>
        <w:t>seis</w:t>
      </w:r>
      <w:r w:rsidRPr="0096446E">
        <w:rPr>
          <w:lang w:val="es-AR"/>
        </w:rPr>
        <w:t xml:space="preserve"> sesiones particulares de Coaching Ejecutivo para cada participante en acompañamiento a su programa de desarrollo.</w:t>
      </w:r>
    </w:p>
    <w:p w14:paraId="29555566" w14:textId="77777777" w:rsidR="0052262B" w:rsidRPr="0096446E" w:rsidRDefault="0052262B" w:rsidP="00C232EB">
      <w:pPr>
        <w:pStyle w:val="IAPrrafo"/>
        <w:rPr>
          <w:lang w:val="es-AR"/>
        </w:rPr>
      </w:pPr>
      <w:r w:rsidRPr="0096446E">
        <w:rPr>
          <w:lang w:val="es-AR"/>
        </w:rPr>
        <w:t>En el mes de octubre 2023 se llevó a cabo la primera sesión de capacitación de 13 personas de la SE/CIDH seleccionados/as por el personal como Agentes de Cambio. Estas personas estarán desde sus equipos acompañando y apoyando las iniciativas del Programa Co-Labora.</w:t>
      </w:r>
    </w:p>
    <w:p w14:paraId="49B9E1CD" w14:textId="77777777" w:rsidR="0052262B" w:rsidRPr="0096446E" w:rsidRDefault="0052262B" w:rsidP="00C232EB">
      <w:pPr>
        <w:pStyle w:val="IAPrrafo"/>
        <w:rPr>
          <w:lang w:val="es-AR"/>
        </w:rPr>
      </w:pPr>
      <w:r w:rsidRPr="0096446E">
        <w:rPr>
          <w:lang w:val="es-AR"/>
        </w:rPr>
        <w:t xml:space="preserve">Adicionalmente se implementó un plan de comunicación interna a través de boletines informativos reuniones trimestrales con todo el personal donde se informe sobre los acontecimientos del momento, el desarrollo de los concursos y para escuchar propuestas y/o solicitudes del personal. Se establecieron reuniones quincenales con el equipo directivo, reuniones periódicas con el equipo de coordinación y un buzón de sugerencias virtual abierto para todas las personas interesadas. </w:t>
      </w:r>
    </w:p>
    <w:p w14:paraId="7B1854B4" w14:textId="77777777" w:rsidR="0052262B" w:rsidRPr="0096446E" w:rsidRDefault="0052262B" w:rsidP="00C232EB">
      <w:pPr>
        <w:pStyle w:val="IAPrrafo"/>
        <w:rPr>
          <w:lang w:val="es-AR"/>
        </w:rPr>
      </w:pPr>
      <w:r w:rsidRPr="0096446E">
        <w:rPr>
          <w:lang w:val="es-AR"/>
        </w:rPr>
        <w:t xml:space="preserve">Se continuó con la “Política de Puertas Abiertas” donde el personal tiene la oportunidad de reunirse con la Secretaria Ejecutiva para plantear temas de su interés. </w:t>
      </w:r>
    </w:p>
    <w:p w14:paraId="6F76786C" w14:textId="77777777" w:rsidR="0052262B" w:rsidRPr="0096446E" w:rsidRDefault="0052262B" w:rsidP="00C232EB">
      <w:pPr>
        <w:pStyle w:val="IAPrrafo"/>
        <w:rPr>
          <w:lang w:val="es-AR"/>
        </w:rPr>
      </w:pPr>
      <w:r w:rsidRPr="0096446E">
        <w:rPr>
          <w:lang w:val="es-AR"/>
        </w:rPr>
        <w:t>Durante 2024 se realizará una encuesta para que todo el personal participe sobre su percepción sobre el cambio de cultura organizacional y ambiente laboral.</w:t>
      </w:r>
    </w:p>
    <w:p w14:paraId="32E2853B" w14:textId="1EE27573" w:rsidR="0052262B" w:rsidRPr="009E6EF9" w:rsidRDefault="0052262B" w:rsidP="0052262B">
      <w:pPr>
        <w:pStyle w:val="IASubttulo2"/>
        <w:rPr>
          <w:lang w:val="es-ES_tradnl"/>
        </w:rPr>
      </w:pPr>
      <w:bookmarkStart w:id="5" w:name="_Toc162359407"/>
      <w:r w:rsidRPr="006D09DD">
        <w:rPr>
          <w:lang w:val="es-ES_tradnl"/>
        </w:rPr>
        <w:t>Recursos financieros y ejecución presupuestaria</w:t>
      </w:r>
      <w:bookmarkEnd w:id="5"/>
    </w:p>
    <w:p w14:paraId="371DFDA1" w14:textId="77777777" w:rsidR="0052262B" w:rsidRPr="0096446E" w:rsidRDefault="0052262B" w:rsidP="009E6EF9">
      <w:pPr>
        <w:pStyle w:val="IAPrrafo"/>
        <w:rPr>
          <w:lang w:val="es-AR"/>
        </w:rPr>
      </w:pPr>
      <w:r w:rsidRPr="0096446E">
        <w:rPr>
          <w:lang w:val="es-AR"/>
        </w:rPr>
        <w:t xml:space="preserve">En octubre de 2022, la Asamblea General, durante el 52º Periodo Ordinario de Sesiones, aprobó para el año 2023 un presupuesto del fondo regular para la CIDH de $10.230.700, del cual $7.393.200 son para gastos de personal y $ 2.837.500 para gastos operacionales.   </w:t>
      </w:r>
    </w:p>
    <w:p w14:paraId="1497D11F" w14:textId="77777777" w:rsidR="0052262B" w:rsidRPr="0096446E" w:rsidRDefault="0052262B" w:rsidP="009E6EF9">
      <w:pPr>
        <w:pStyle w:val="IAPrrafo"/>
        <w:rPr>
          <w:lang w:val="es-AR"/>
        </w:rPr>
      </w:pPr>
      <w:r w:rsidRPr="0096446E">
        <w:rPr>
          <w:lang w:val="es-AR"/>
        </w:rPr>
        <w:lastRenderedPageBreak/>
        <w:t xml:space="preserve">La Asamblea General también aprobó para el año 2023 un presupuesto del fondo Recuperación de Costos Indirectos (ICR por sus siglas en inglés) para la CIDH de $117.000, del cual $76.800 corresponden a gastos de personal y $40.200 a gastos operacionales.   </w:t>
      </w:r>
    </w:p>
    <w:p w14:paraId="369F439C" w14:textId="6AD53CD3" w:rsidR="0052262B" w:rsidRPr="0096446E" w:rsidRDefault="0052262B" w:rsidP="009E6EF9">
      <w:pPr>
        <w:pStyle w:val="IAPrrafo"/>
        <w:rPr>
          <w:lang w:val="es-AR"/>
        </w:rPr>
      </w:pPr>
      <w:r w:rsidRPr="0096446E">
        <w:rPr>
          <w:lang w:val="es-AR"/>
        </w:rPr>
        <w:t>La siguiente figura muestra la distribución del presupuesto aprobado del fondo regular dentro de la OEA para el 2023.  A la CIDH le fue aprobado un 12% del monto anual.</w:t>
      </w:r>
    </w:p>
    <w:p w14:paraId="16F19782" w14:textId="2BC49156" w:rsidR="0052262B" w:rsidRPr="009E6EF9" w:rsidRDefault="0052262B" w:rsidP="007D5B70">
      <w:pPr>
        <w:pStyle w:val="Default"/>
        <w:spacing w:before="0"/>
        <w:ind w:firstLine="851"/>
        <w:jc w:val="center"/>
        <w:rPr>
          <w:rFonts w:ascii="Cambria" w:hAnsi="Cambria"/>
          <w:b/>
          <w:color w:val="auto"/>
          <w:sz w:val="18"/>
          <w:szCs w:val="18"/>
          <w:lang w:val="es-ES_tradnl"/>
        </w:rPr>
      </w:pPr>
      <w:r>
        <w:rPr>
          <w:rFonts w:ascii="Cambria" w:hAnsi="Cambria"/>
          <w:b/>
          <w:color w:val="auto"/>
          <w:sz w:val="20"/>
          <w:szCs w:val="20"/>
          <w:lang w:val="es-ES_tradnl"/>
        </w:rPr>
        <w:t xml:space="preserve"> </w:t>
      </w:r>
      <w:r w:rsidRPr="009E6EF9">
        <w:rPr>
          <w:rFonts w:ascii="Cambria" w:hAnsi="Cambria"/>
          <w:b/>
          <w:color w:val="auto"/>
          <w:sz w:val="18"/>
          <w:szCs w:val="18"/>
          <w:lang w:val="es-ES_tradnl"/>
        </w:rPr>
        <w:t>Figura 1.</w:t>
      </w:r>
      <w:r w:rsidR="004C797B">
        <w:rPr>
          <w:rFonts w:ascii="Cambria" w:hAnsi="Cambria"/>
          <w:b/>
          <w:color w:val="auto"/>
          <w:sz w:val="18"/>
          <w:szCs w:val="18"/>
          <w:lang w:val="es-ES_tradnl"/>
        </w:rPr>
        <w:t xml:space="preserve"> </w:t>
      </w:r>
      <w:r w:rsidRPr="009E6EF9">
        <w:rPr>
          <w:rFonts w:ascii="Cambria" w:hAnsi="Cambria"/>
          <w:b/>
          <w:color w:val="auto"/>
          <w:sz w:val="18"/>
          <w:szCs w:val="18"/>
          <w:lang w:val="es-ES_tradnl"/>
        </w:rPr>
        <w:t>Distribución del Presupuesto Modificado del Fondo Regular de la OEA para el año 2023 (Valores en miles de USD)</w:t>
      </w:r>
      <w:r w:rsidRPr="009E6EF9">
        <w:rPr>
          <w:rStyle w:val="FootnoteReference"/>
          <w:rFonts w:ascii="Cambria" w:hAnsi="Cambria"/>
          <w:b/>
          <w:color w:val="auto"/>
          <w:sz w:val="18"/>
          <w:szCs w:val="18"/>
          <w:lang w:val="es-ES_tradnl"/>
        </w:rPr>
        <w:footnoteReference w:id="1"/>
      </w:r>
    </w:p>
    <w:p w14:paraId="4D4E15EA" w14:textId="77777777" w:rsidR="0052262B" w:rsidRDefault="0052262B" w:rsidP="0052262B">
      <w:pPr>
        <w:tabs>
          <w:tab w:val="left" w:pos="6204"/>
        </w:tabs>
        <w:rPr>
          <w:lang w:val="es-ES"/>
        </w:rPr>
      </w:pPr>
      <w:r>
        <w:rPr>
          <w:lang w:val="es-ES_tradnl"/>
        </w:rPr>
        <w:tab/>
      </w:r>
    </w:p>
    <w:p w14:paraId="47AB9AFB" w14:textId="77777777" w:rsidR="0052262B" w:rsidRDefault="0052262B" w:rsidP="0052262B">
      <w:pPr>
        <w:tabs>
          <w:tab w:val="left" w:pos="6204"/>
        </w:tabs>
      </w:pPr>
      <w:r>
        <w:rPr>
          <w:noProof/>
        </w:rPr>
        <w:drawing>
          <wp:inline distT="0" distB="0" distL="0" distR="0" wp14:anchorId="55073E12" wp14:editId="11E529AF">
            <wp:extent cx="5943600" cy="4333875"/>
            <wp:effectExtent l="0" t="0" r="0" b="0"/>
            <wp:docPr id="1309957176" name="Picture 1309957176"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57176" name="Picture 1309957176" descr="A pie chart with different colored section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4333875"/>
                    </a:xfrm>
                    <a:prstGeom prst="rect">
                      <a:avLst/>
                    </a:prstGeom>
                  </pic:spPr>
                </pic:pic>
              </a:graphicData>
            </a:graphic>
          </wp:inline>
        </w:drawing>
      </w:r>
    </w:p>
    <w:p w14:paraId="232FBA66" w14:textId="77777777" w:rsidR="0052262B" w:rsidRPr="00B763D5" w:rsidRDefault="0052262B" w:rsidP="00E75FA4">
      <w:pPr>
        <w:ind w:right="2880"/>
        <w:rPr>
          <w:rFonts w:eastAsia="Times New Roman"/>
          <w:color w:val="000000"/>
          <w:sz w:val="20"/>
          <w:szCs w:val="20"/>
          <w:lang w:val="es-ES_tradnl"/>
        </w:rPr>
      </w:pPr>
    </w:p>
    <w:p w14:paraId="790E93FF" w14:textId="1A76CD07" w:rsidR="0052262B" w:rsidRPr="0096446E" w:rsidRDefault="0052262B" w:rsidP="00E75FA4">
      <w:pPr>
        <w:pStyle w:val="IAPrrafo"/>
        <w:rPr>
          <w:lang w:val="es-AR"/>
        </w:rPr>
      </w:pPr>
      <w:r w:rsidRPr="00E75FA4">
        <w:rPr>
          <w:lang w:val="es-AR"/>
        </w:rPr>
        <w:t xml:space="preserve">Al 31 de diciembre de 2023, la apropiación modificada del presupuesto del fondo regular original fue de $ 9.974.900, cuya distribución fue de $ 6.429.500 para gastos de personal y $3.545.400 para gastos de no-personal. </w:t>
      </w:r>
      <w:r w:rsidRPr="00E75FA4">
        <w:rPr>
          <w:lang w:val="es-CO"/>
        </w:rPr>
        <w:t>La porción correspondiente a gastos de personal aparece subejecutada debido a que,</w:t>
      </w:r>
      <w:r w:rsidRPr="00E75FA4">
        <w:rPr>
          <w:lang w:val="es-AR"/>
        </w:rPr>
        <w:t xml:space="preserve"> durante el año 2023, la SE/CIDH tuvo varias posiciones vacantes las cuales se encuentran a la fecha aún en proceso de concurso. </w:t>
      </w:r>
      <w:r w:rsidRPr="00E75FA4">
        <w:rPr>
          <w:lang w:val="es-CO"/>
        </w:rPr>
        <w:t>A su vez,</w:t>
      </w:r>
      <w:r w:rsidRPr="0096446E">
        <w:rPr>
          <w:lang w:val="es-AR"/>
        </w:rPr>
        <w:t xml:space="preserve"> la porción correspondiente a gastos operacionales aparece con un monto superior al aprobado ya que la Secretaria General aprobó transferencias (conocidos como refuerzos) del presupuesto del rubro para gastos de personal al rubro de gastos operacionales con motivo de las posiciones vacantes.</w:t>
      </w:r>
    </w:p>
    <w:p w14:paraId="13090FC0" w14:textId="469182DC" w:rsidR="0052262B" w:rsidRPr="0096446E" w:rsidRDefault="0052262B" w:rsidP="00E75FA4">
      <w:pPr>
        <w:pStyle w:val="IAPrrafo"/>
        <w:rPr>
          <w:lang w:val="es-AR"/>
        </w:rPr>
      </w:pPr>
      <w:r w:rsidRPr="0096446E">
        <w:rPr>
          <w:lang w:val="es-AR"/>
        </w:rPr>
        <w:lastRenderedPageBreak/>
        <w:t xml:space="preserve">Con relación a la captación de fondos específicos, como fruto de la estrategia de la movilización de recursos y gracias a la confianza depositada en la CIDH, se ha conseguido recaudar USD $12.442.169 al 31 de diciembre de 2023. La siguiente gráfica muestra la distribución de fondos recibidos por la CIDH, por fuente de financiamiento. </w:t>
      </w:r>
    </w:p>
    <w:p w14:paraId="148DD876" w14:textId="462FEA02" w:rsidR="007D5B70" w:rsidRDefault="0052262B" w:rsidP="007D5B70">
      <w:pPr>
        <w:pStyle w:val="Default"/>
        <w:spacing w:before="0"/>
        <w:ind w:left="2127" w:hanging="2127"/>
        <w:jc w:val="center"/>
        <w:rPr>
          <w:rFonts w:ascii="Cambria" w:hAnsi="Cambria"/>
          <w:b/>
          <w:bCs/>
          <w:sz w:val="18"/>
          <w:szCs w:val="18"/>
          <w:lang w:val="es-ES"/>
        </w:rPr>
      </w:pPr>
      <w:r w:rsidRPr="00A165B8">
        <w:rPr>
          <w:rFonts w:ascii="Cambria" w:hAnsi="Cambria"/>
          <w:b/>
          <w:bCs/>
          <w:sz w:val="18"/>
          <w:szCs w:val="18"/>
          <w:lang w:val="es-ES"/>
        </w:rPr>
        <w:t>Figura 2.</w:t>
      </w:r>
      <w:r w:rsidR="007D5B70">
        <w:rPr>
          <w:rFonts w:ascii="Cambria" w:hAnsi="Cambria"/>
          <w:b/>
          <w:bCs/>
          <w:sz w:val="18"/>
          <w:szCs w:val="18"/>
          <w:lang w:val="es-ES"/>
        </w:rPr>
        <w:t xml:space="preserve"> </w:t>
      </w:r>
      <w:r w:rsidRPr="00A165B8">
        <w:rPr>
          <w:rFonts w:ascii="Cambria" w:hAnsi="Cambria"/>
          <w:b/>
          <w:bCs/>
          <w:sz w:val="18"/>
          <w:szCs w:val="18"/>
          <w:lang w:val="es-ES"/>
        </w:rPr>
        <w:t>Fondos recibidos por la CIDH al 31 de diciembre de 2023 distribuidos por fuente de financiamiento</w:t>
      </w:r>
    </w:p>
    <w:p w14:paraId="5DAE02ED" w14:textId="36FF7392" w:rsidR="0052262B" w:rsidRPr="00A165B8" w:rsidRDefault="0017733A" w:rsidP="007D5B70">
      <w:pPr>
        <w:pStyle w:val="Default"/>
        <w:spacing w:before="0"/>
        <w:ind w:left="2127" w:hanging="2127"/>
        <w:jc w:val="center"/>
        <w:rPr>
          <w:rFonts w:ascii="Cambria" w:hAnsi="Cambria"/>
          <w:b/>
          <w:bCs/>
          <w:color w:val="auto"/>
          <w:sz w:val="18"/>
          <w:szCs w:val="18"/>
          <w:lang w:val="es-ES"/>
        </w:rPr>
      </w:pPr>
      <w:r>
        <w:rPr>
          <w:noProof/>
        </w:rPr>
        <w:drawing>
          <wp:anchor distT="0" distB="0" distL="114300" distR="114300" simplePos="0" relativeHeight="251659264" behindDoc="0" locked="0" layoutInCell="1" allowOverlap="1" wp14:anchorId="1B709B6C" wp14:editId="01018B2C">
            <wp:simplePos x="0" y="0"/>
            <wp:positionH relativeFrom="margin">
              <wp:align>right</wp:align>
            </wp:positionH>
            <wp:positionV relativeFrom="paragraph">
              <wp:posOffset>256830</wp:posOffset>
            </wp:positionV>
            <wp:extent cx="5943600" cy="4281805"/>
            <wp:effectExtent l="0" t="0" r="0" b="4445"/>
            <wp:wrapSquare wrapText="bothSides"/>
            <wp:docPr id="6" name="Chart 6">
              <a:extLst xmlns:a="http://schemas.openxmlformats.org/drawingml/2006/main">
                <a:ext uri="{FF2B5EF4-FFF2-40B4-BE49-F238E27FC236}">
                  <a16:creationId xmlns:a16="http://schemas.microsoft.com/office/drawing/2014/main" id="{4C8A7905-1861-1320-EE96-08BE573BA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52262B" w:rsidRPr="00A165B8">
        <w:rPr>
          <w:rFonts w:ascii="Cambria" w:hAnsi="Cambria"/>
          <w:b/>
          <w:bCs/>
          <w:color w:val="auto"/>
          <w:sz w:val="18"/>
          <w:szCs w:val="18"/>
          <w:lang w:val="es-ES"/>
        </w:rPr>
        <w:t>(Valores en miles de USD, preliminares y no auditados)</w:t>
      </w:r>
    </w:p>
    <w:p w14:paraId="73A836DD" w14:textId="77777777" w:rsidR="0052262B" w:rsidRDefault="0052262B" w:rsidP="0052262B">
      <w:pPr>
        <w:pStyle w:val="Default"/>
        <w:rPr>
          <w:rFonts w:ascii="Cambria" w:hAnsi="Cambria"/>
          <w:b/>
          <w:sz w:val="20"/>
          <w:szCs w:val="20"/>
          <w:lang w:val="es-ES_tradnl"/>
        </w:rPr>
      </w:pPr>
    </w:p>
    <w:p w14:paraId="6189AE4E" w14:textId="2107BCA3" w:rsidR="001315E1" w:rsidRDefault="0052262B" w:rsidP="0017733A">
      <w:pPr>
        <w:pStyle w:val="IAPrrafo"/>
        <w:spacing w:after="0"/>
        <w:rPr>
          <w:lang w:val="es-AR"/>
        </w:rPr>
      </w:pPr>
      <w:r w:rsidRPr="0096446E">
        <w:rPr>
          <w:lang w:val="es-AR"/>
        </w:rPr>
        <w:t>La siguiente tabla muestra las contribuciones de fondos recibidos por la CIDH por fuente de financiamiento.</w:t>
      </w:r>
    </w:p>
    <w:p w14:paraId="681F3BF9" w14:textId="77777777" w:rsidR="0017733A" w:rsidRDefault="0017733A" w:rsidP="0017733A">
      <w:pPr>
        <w:pStyle w:val="IAPrrafo"/>
        <w:numPr>
          <w:ilvl w:val="0"/>
          <w:numId w:val="0"/>
        </w:numPr>
        <w:spacing w:after="0"/>
        <w:ind w:left="720"/>
        <w:rPr>
          <w:lang w:val="es-AR"/>
        </w:rPr>
      </w:pPr>
    </w:p>
    <w:p w14:paraId="59078F28" w14:textId="77777777" w:rsidR="0017733A" w:rsidRPr="0017733A" w:rsidRDefault="0017733A" w:rsidP="0017733A">
      <w:pPr>
        <w:pStyle w:val="IAPrrafo"/>
        <w:numPr>
          <w:ilvl w:val="0"/>
          <w:numId w:val="0"/>
        </w:numPr>
        <w:spacing w:after="0"/>
        <w:ind w:left="720"/>
        <w:rPr>
          <w:lang w:val="es-AR"/>
        </w:rPr>
      </w:pPr>
    </w:p>
    <w:p w14:paraId="1BE31D8E" w14:textId="77777777" w:rsidR="0052262B" w:rsidRPr="004C797B" w:rsidRDefault="0052262B" w:rsidP="0052262B">
      <w:pPr>
        <w:jc w:val="center"/>
        <w:rPr>
          <w:b/>
          <w:bCs/>
          <w:sz w:val="18"/>
          <w:szCs w:val="18"/>
          <w:lang w:val="es-ES"/>
        </w:rPr>
      </w:pPr>
      <w:r w:rsidRPr="004C797B">
        <w:rPr>
          <w:b/>
          <w:bCs/>
          <w:sz w:val="18"/>
          <w:szCs w:val="18"/>
          <w:lang w:val="es-ES"/>
        </w:rPr>
        <w:t xml:space="preserve">Tabla 1.  Contribuciones de Fondos Recibidos por la CIDH al 31 de diciembre de 2023 </w:t>
      </w:r>
    </w:p>
    <w:p w14:paraId="018EBA2B" w14:textId="77777777" w:rsidR="0017733A" w:rsidRDefault="0052262B" w:rsidP="0017733A">
      <w:pPr>
        <w:jc w:val="center"/>
        <w:rPr>
          <w:b/>
          <w:sz w:val="18"/>
          <w:szCs w:val="18"/>
          <w:lang w:val="es-ES_tradnl"/>
        </w:rPr>
      </w:pPr>
      <w:r w:rsidRPr="004C797B">
        <w:rPr>
          <w:b/>
          <w:sz w:val="18"/>
          <w:szCs w:val="18"/>
          <w:lang w:val="es-ES_tradnl"/>
        </w:rPr>
        <w:t>Por fuente de financiamiento y temática especial</w:t>
      </w:r>
    </w:p>
    <w:p w14:paraId="15B1317C" w14:textId="47FC6706" w:rsidR="0052262B" w:rsidRPr="00931A0B" w:rsidRDefault="0052262B" w:rsidP="00931A0B">
      <w:pPr>
        <w:jc w:val="center"/>
        <w:rPr>
          <w:b/>
          <w:sz w:val="18"/>
          <w:szCs w:val="18"/>
          <w:lang w:val="es-ES_tradnl"/>
        </w:rPr>
      </w:pPr>
      <w:r w:rsidRPr="004C797B">
        <w:rPr>
          <w:b/>
          <w:bCs/>
          <w:sz w:val="18"/>
          <w:szCs w:val="18"/>
          <w:lang w:val="es-ES"/>
        </w:rPr>
        <w:t>(Valores en USD, preliminares y no auditados)</w:t>
      </w:r>
      <w:bookmarkStart w:id="6" w:name="OLE_LINK1"/>
      <w:r w:rsidRPr="004C797B">
        <w:rPr>
          <w:rStyle w:val="FootnoteReference"/>
          <w:b/>
          <w:bCs/>
          <w:sz w:val="18"/>
          <w:szCs w:val="18"/>
          <w:lang w:val="es-ES"/>
        </w:rPr>
        <w:footnoteReference w:id="2"/>
      </w:r>
      <w:r w:rsidR="00604DC5">
        <w:rPr>
          <w:b/>
          <w:bCs/>
          <w:sz w:val="18"/>
          <w:szCs w:val="18"/>
          <w:lang w:val="es-ES"/>
        </w:rPr>
        <w:t xml:space="preserve"> </w:t>
      </w:r>
      <w:r w:rsidRPr="004C797B">
        <w:rPr>
          <w:rStyle w:val="FootnoteReference"/>
          <w:b/>
          <w:bCs/>
          <w:sz w:val="18"/>
          <w:szCs w:val="18"/>
          <w:lang w:val="es-ES"/>
        </w:rPr>
        <w:footnoteReference w:id="3"/>
      </w:r>
    </w:p>
    <w:p w14:paraId="0A474FA3" w14:textId="2AD41D5C" w:rsidR="0052262B" w:rsidRPr="00604DC5" w:rsidRDefault="0052262B" w:rsidP="00604DC5">
      <w:pPr>
        <w:pStyle w:val="Default"/>
        <w:jc w:val="center"/>
      </w:pPr>
      <w:r w:rsidRPr="0001109B">
        <w:rPr>
          <w:noProof/>
        </w:rPr>
        <w:lastRenderedPageBreak/>
        <w:drawing>
          <wp:inline distT="0" distB="0" distL="0" distR="0" wp14:anchorId="59AACE8E" wp14:editId="08C2FAA7">
            <wp:extent cx="4833620" cy="82296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3620" cy="8229600"/>
                    </a:xfrm>
                    <a:prstGeom prst="rect">
                      <a:avLst/>
                    </a:prstGeom>
                    <a:noFill/>
                    <a:ln>
                      <a:noFill/>
                    </a:ln>
                  </pic:spPr>
                </pic:pic>
              </a:graphicData>
            </a:graphic>
          </wp:inline>
        </w:drawing>
      </w:r>
    </w:p>
    <w:p w14:paraId="20AEAD3F" w14:textId="027E974C" w:rsidR="0052262B" w:rsidRPr="0096446E" w:rsidRDefault="0052262B" w:rsidP="001315E1">
      <w:pPr>
        <w:pStyle w:val="IAPrrafo"/>
        <w:spacing w:after="0"/>
        <w:rPr>
          <w:rFonts w:eastAsia="Times New Roman" w:cs="Calibri"/>
          <w:b/>
          <w:bCs/>
          <w:lang w:val="es-AR"/>
        </w:rPr>
      </w:pPr>
      <w:r w:rsidRPr="0096446E">
        <w:rPr>
          <w:lang w:val="es-AR"/>
        </w:rPr>
        <w:lastRenderedPageBreak/>
        <w:t>La siguiente tabla muestra el estado de variación en el saldo de los fondos de los proyectos financiados por fondos específicos de la CIDH al 31 de diciembre de 2023.</w:t>
      </w:r>
    </w:p>
    <w:p w14:paraId="193F917F" w14:textId="77777777" w:rsidR="001315E1" w:rsidRPr="0096446E" w:rsidRDefault="001315E1" w:rsidP="001315E1">
      <w:pPr>
        <w:pStyle w:val="IAPrrafo"/>
        <w:numPr>
          <w:ilvl w:val="0"/>
          <w:numId w:val="0"/>
        </w:numPr>
        <w:spacing w:after="0"/>
        <w:ind w:left="720"/>
        <w:rPr>
          <w:rFonts w:eastAsia="Times New Roman" w:cs="Calibri"/>
          <w:b/>
          <w:bCs/>
          <w:lang w:val="es-AR"/>
        </w:rPr>
      </w:pPr>
    </w:p>
    <w:p w14:paraId="3535307F" w14:textId="77777777" w:rsidR="00604DC5" w:rsidRDefault="0052262B" w:rsidP="00B654EA">
      <w:pPr>
        <w:pStyle w:val="Default"/>
        <w:spacing w:before="0"/>
        <w:ind w:left="1843" w:hanging="850"/>
        <w:jc w:val="center"/>
        <w:rPr>
          <w:rFonts w:ascii="Cambria" w:hAnsi="Cambria"/>
          <w:b/>
          <w:bCs/>
          <w:color w:val="auto"/>
          <w:sz w:val="18"/>
          <w:szCs w:val="18"/>
          <w:lang w:val="es-ES"/>
        </w:rPr>
      </w:pPr>
      <w:r w:rsidRPr="00604DC5">
        <w:rPr>
          <w:rFonts w:ascii="Cambria" w:hAnsi="Cambria"/>
          <w:b/>
          <w:bCs/>
          <w:color w:val="auto"/>
          <w:sz w:val="18"/>
          <w:szCs w:val="18"/>
          <w:lang w:val="es-ES"/>
        </w:rPr>
        <w:t>Tabla 2. Informe de Variaciones en el Saldo de Fondo de Fondos Específicos por proyectos</w:t>
      </w:r>
    </w:p>
    <w:p w14:paraId="6FBAC953" w14:textId="77777777" w:rsidR="00604DC5" w:rsidRDefault="0052262B" w:rsidP="00B654EA">
      <w:pPr>
        <w:pStyle w:val="Default"/>
        <w:spacing w:before="0"/>
        <w:ind w:left="1843" w:hanging="850"/>
        <w:jc w:val="center"/>
        <w:rPr>
          <w:rFonts w:ascii="Cambria" w:hAnsi="Cambria"/>
          <w:b/>
          <w:bCs/>
          <w:sz w:val="18"/>
          <w:szCs w:val="18"/>
          <w:lang w:val="es-ES"/>
        </w:rPr>
      </w:pPr>
      <w:r w:rsidRPr="00604DC5">
        <w:rPr>
          <w:rFonts w:ascii="Cambria" w:hAnsi="Cambria"/>
          <w:b/>
          <w:bCs/>
          <w:color w:val="auto"/>
          <w:sz w:val="18"/>
          <w:szCs w:val="18"/>
          <w:lang w:val="es-ES"/>
        </w:rPr>
        <w:t>Información al 31 de diciembre de 2023</w:t>
      </w:r>
      <w:r w:rsidRPr="00604DC5">
        <w:rPr>
          <w:rStyle w:val="FootnoteReference"/>
          <w:rFonts w:ascii="Cambria" w:hAnsi="Cambria"/>
          <w:b/>
          <w:bCs/>
          <w:color w:val="auto"/>
          <w:sz w:val="18"/>
          <w:szCs w:val="18"/>
          <w:lang w:val="es-ES"/>
        </w:rPr>
        <w:footnoteReference w:id="4"/>
      </w:r>
      <w:r w:rsidRPr="00604DC5">
        <w:rPr>
          <w:rFonts w:ascii="Cambria" w:hAnsi="Cambria"/>
          <w:b/>
          <w:bCs/>
          <w:color w:val="auto"/>
          <w:sz w:val="18"/>
          <w:szCs w:val="18"/>
          <w:vertAlign w:val="superscript"/>
          <w:lang w:val="es-ES"/>
        </w:rPr>
        <w:t xml:space="preserve">, </w:t>
      </w:r>
      <w:r w:rsidRPr="00604DC5">
        <w:rPr>
          <w:rStyle w:val="FootnoteReference"/>
          <w:rFonts w:ascii="Cambria" w:hAnsi="Cambria"/>
          <w:b/>
          <w:bCs/>
          <w:color w:val="auto"/>
          <w:sz w:val="18"/>
          <w:szCs w:val="18"/>
          <w:lang w:val="es-ES"/>
        </w:rPr>
        <w:footnoteReference w:id="5"/>
      </w:r>
      <w:r w:rsidRPr="00604DC5">
        <w:rPr>
          <w:rFonts w:ascii="Cambria" w:hAnsi="Cambria"/>
          <w:b/>
          <w:bCs/>
          <w:color w:val="auto"/>
          <w:sz w:val="18"/>
          <w:szCs w:val="18"/>
          <w:vertAlign w:val="superscript"/>
          <w:lang w:val="es-ES"/>
        </w:rPr>
        <w:t xml:space="preserve"> </w:t>
      </w:r>
      <w:r w:rsidRPr="00604DC5">
        <w:rPr>
          <w:rStyle w:val="FootnoteReference"/>
          <w:rFonts w:ascii="Cambria" w:hAnsi="Cambria"/>
          <w:b/>
          <w:bCs/>
          <w:color w:val="auto"/>
          <w:sz w:val="18"/>
          <w:szCs w:val="18"/>
          <w:lang w:val="es-ES"/>
        </w:rPr>
        <w:footnoteReference w:id="6"/>
      </w:r>
      <w:r w:rsidRPr="00604DC5">
        <w:rPr>
          <w:rFonts w:ascii="Cambria" w:hAnsi="Cambria"/>
          <w:b/>
          <w:bCs/>
          <w:color w:val="auto"/>
          <w:sz w:val="18"/>
          <w:szCs w:val="18"/>
          <w:vertAlign w:val="superscript"/>
          <w:lang w:val="es-ES"/>
        </w:rPr>
        <w:t xml:space="preserve"> </w:t>
      </w:r>
      <w:r w:rsidRPr="00604DC5">
        <w:rPr>
          <w:rStyle w:val="FootnoteReference"/>
          <w:rFonts w:ascii="Cambria" w:hAnsi="Cambria"/>
          <w:b/>
          <w:bCs/>
          <w:color w:val="auto"/>
          <w:sz w:val="18"/>
          <w:szCs w:val="18"/>
          <w:lang w:val="es-ES"/>
        </w:rPr>
        <w:footnoteReference w:id="7"/>
      </w:r>
      <w:bookmarkEnd w:id="6"/>
    </w:p>
    <w:p w14:paraId="2468BE46" w14:textId="0DC1F0F6" w:rsidR="0052262B" w:rsidRPr="001315E1" w:rsidRDefault="0052262B" w:rsidP="00B654EA">
      <w:pPr>
        <w:pStyle w:val="Default"/>
        <w:spacing w:before="0"/>
        <w:ind w:left="1843" w:hanging="850"/>
        <w:jc w:val="center"/>
        <w:rPr>
          <w:rFonts w:ascii="Cambria" w:hAnsi="Cambria"/>
          <w:b/>
          <w:bCs/>
          <w:sz w:val="18"/>
          <w:szCs w:val="18"/>
          <w:lang w:val="es-ES"/>
        </w:rPr>
      </w:pPr>
      <w:r w:rsidRPr="00604DC5">
        <w:rPr>
          <w:rFonts w:ascii="Cambria" w:hAnsi="Cambria"/>
          <w:b/>
          <w:color w:val="auto"/>
          <w:sz w:val="18"/>
          <w:szCs w:val="18"/>
          <w:lang w:val="es-ES_tradnl"/>
        </w:rPr>
        <w:t>(Valores en USD, preliminares y no auditados)</w:t>
      </w:r>
    </w:p>
    <w:p w14:paraId="1A8E5D36" w14:textId="35633FDE" w:rsidR="0052262B" w:rsidRDefault="0052262B" w:rsidP="001315E1">
      <w:pPr>
        <w:pStyle w:val="Default"/>
        <w:tabs>
          <w:tab w:val="left" w:pos="6600"/>
        </w:tabs>
        <w:rPr>
          <w:rFonts w:ascii="Cambria" w:hAnsi="Cambria"/>
          <w:b/>
          <w:sz w:val="20"/>
          <w:szCs w:val="20"/>
          <w:lang w:val="es-ES_tradnl"/>
        </w:rPr>
      </w:pPr>
      <w:r w:rsidRPr="009901DD">
        <w:rPr>
          <w:noProof/>
        </w:rPr>
        <w:drawing>
          <wp:inline distT="0" distB="0" distL="0" distR="0" wp14:anchorId="3B167CB6" wp14:editId="68BB13C1">
            <wp:extent cx="5943600" cy="3815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15080"/>
                    </a:xfrm>
                    <a:prstGeom prst="rect">
                      <a:avLst/>
                    </a:prstGeom>
                    <a:noFill/>
                    <a:ln>
                      <a:noFill/>
                    </a:ln>
                  </pic:spPr>
                </pic:pic>
              </a:graphicData>
            </a:graphic>
          </wp:inline>
        </w:drawing>
      </w:r>
    </w:p>
    <w:p w14:paraId="06143AF4" w14:textId="77777777" w:rsidR="001315E1" w:rsidRPr="001315E1" w:rsidRDefault="001315E1" w:rsidP="001315E1">
      <w:pPr>
        <w:pStyle w:val="Default"/>
        <w:tabs>
          <w:tab w:val="left" w:pos="6600"/>
        </w:tabs>
        <w:rPr>
          <w:rFonts w:ascii="Cambria" w:hAnsi="Cambria"/>
          <w:b/>
          <w:sz w:val="20"/>
          <w:szCs w:val="20"/>
          <w:lang w:val="es-ES_tradnl"/>
        </w:rPr>
      </w:pPr>
    </w:p>
    <w:p w14:paraId="629A9F2E" w14:textId="77777777" w:rsidR="0052262B" w:rsidRPr="0096446E" w:rsidRDefault="0052262B" w:rsidP="001315E1">
      <w:pPr>
        <w:pStyle w:val="IAPrrafo"/>
        <w:rPr>
          <w:rFonts w:eastAsia="Times New Roman" w:cs="Calibri"/>
          <w:b/>
          <w:bCs/>
          <w:lang w:val="es-AR"/>
        </w:rPr>
      </w:pPr>
      <w:r w:rsidRPr="0096446E">
        <w:rPr>
          <w:lang w:val="es-AR"/>
        </w:rPr>
        <w:t>La siguiente figura muestra la distribución del gasto de la CIDH por fuente de financiamiento al 31 de diciembre de 2023. Los gastos financiados a través del fondo regular equivalen al 53%, los de fondos específicos al 46% y lo de RCI (ICR) al 1%.</w:t>
      </w:r>
      <w:r w:rsidRPr="0096446E">
        <w:rPr>
          <w:b/>
          <w:bCs/>
          <w:lang w:val="es-AR"/>
        </w:rPr>
        <w:br w:type="page"/>
      </w:r>
    </w:p>
    <w:p w14:paraId="60D99B40" w14:textId="77777777" w:rsidR="0052262B" w:rsidRPr="00B221EE" w:rsidRDefault="0052262B" w:rsidP="00893CF4">
      <w:pPr>
        <w:pStyle w:val="Default"/>
        <w:spacing w:before="0"/>
        <w:ind w:left="1985" w:hanging="992"/>
        <w:jc w:val="center"/>
        <w:rPr>
          <w:rFonts w:ascii="Cambria" w:hAnsi="Cambria"/>
          <w:b/>
          <w:bCs/>
          <w:color w:val="auto"/>
          <w:sz w:val="18"/>
          <w:szCs w:val="18"/>
          <w:lang w:val="es-ES"/>
        </w:rPr>
      </w:pPr>
      <w:r w:rsidRPr="00B221EE">
        <w:rPr>
          <w:rFonts w:ascii="Cambria" w:hAnsi="Cambria"/>
          <w:b/>
          <w:bCs/>
          <w:color w:val="auto"/>
          <w:sz w:val="18"/>
          <w:szCs w:val="18"/>
          <w:lang w:val="es-ES"/>
        </w:rPr>
        <w:lastRenderedPageBreak/>
        <w:t>Figura 3. Distribución del Gasto de la CIDH por Fuente de Financiamiento al 31 de diciembre de 2023</w:t>
      </w:r>
    </w:p>
    <w:p w14:paraId="761960E6" w14:textId="06766117" w:rsidR="0052262B" w:rsidRPr="006B59C7" w:rsidRDefault="0052262B" w:rsidP="00893CF4">
      <w:pPr>
        <w:pStyle w:val="Default"/>
        <w:spacing w:before="0"/>
        <w:ind w:left="1985" w:hanging="992"/>
        <w:jc w:val="center"/>
        <w:rPr>
          <w:rFonts w:ascii="Cambria" w:hAnsi="Cambria"/>
          <w:b/>
          <w:color w:val="auto"/>
          <w:sz w:val="18"/>
          <w:szCs w:val="18"/>
          <w:lang w:val="es-ES_tradnl"/>
        </w:rPr>
      </w:pPr>
      <w:r w:rsidRPr="00B221EE">
        <w:rPr>
          <w:rFonts w:ascii="Cambria" w:hAnsi="Cambria"/>
          <w:b/>
          <w:bCs/>
          <w:color w:val="auto"/>
          <w:sz w:val="18"/>
          <w:szCs w:val="18"/>
          <w:lang w:val="es-ES"/>
        </w:rPr>
        <w:t>(Valores en miles de USD, preliminares y no auditados)</w:t>
      </w:r>
    </w:p>
    <w:p w14:paraId="36903F72" w14:textId="4BD51B72" w:rsidR="00B221EE" w:rsidRPr="00B763D5" w:rsidRDefault="0052262B" w:rsidP="006B59C7">
      <w:pPr>
        <w:pStyle w:val="Default"/>
        <w:ind w:left="1985" w:hanging="992"/>
        <w:jc w:val="center"/>
        <w:rPr>
          <w:rFonts w:ascii="Cambria" w:hAnsi="Cambria"/>
          <w:sz w:val="20"/>
          <w:szCs w:val="20"/>
          <w:lang w:val="es-ES"/>
        </w:rPr>
      </w:pPr>
      <w:r>
        <w:rPr>
          <w:noProof/>
        </w:rPr>
        <w:drawing>
          <wp:inline distT="0" distB="0" distL="0" distR="0" wp14:anchorId="6BF1B172" wp14:editId="6CB54C8B">
            <wp:extent cx="5478780" cy="3558540"/>
            <wp:effectExtent l="0" t="0" r="7620" b="3810"/>
            <wp:docPr id="15" name="Chart 15">
              <a:extLst xmlns:a="http://schemas.openxmlformats.org/drawingml/2006/main">
                <a:ext uri="{FF2B5EF4-FFF2-40B4-BE49-F238E27FC236}">
                  <a16:creationId xmlns:a16="http://schemas.microsoft.com/office/drawing/2014/main" id="{4A010EB6-E4EB-1D89-B8F2-3B5698DDA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CFD561" w14:textId="77777777" w:rsidR="0052262B" w:rsidRPr="00B221EE" w:rsidRDefault="0052262B" w:rsidP="00B221EE">
      <w:pPr>
        <w:pStyle w:val="IAPrrafo"/>
        <w:rPr>
          <w:lang w:val="es-AR"/>
        </w:rPr>
      </w:pPr>
      <w:r w:rsidRPr="00B221EE">
        <w:rPr>
          <w:lang w:val="es-AR"/>
        </w:rPr>
        <w:t>La siguiente tabla y gráfica muestran la distribución del gasto de la CIDH por fuente de financiamiento y objeto de gasto.</w:t>
      </w:r>
    </w:p>
    <w:p w14:paraId="729155F8" w14:textId="467ADFFF" w:rsidR="00465EDF" w:rsidRPr="006B59C7" w:rsidRDefault="0052262B" w:rsidP="0061038F">
      <w:pPr>
        <w:suppressAutoHyphens w:val="0"/>
        <w:spacing w:line="259" w:lineRule="auto"/>
        <w:jc w:val="center"/>
        <w:rPr>
          <w:rFonts w:eastAsia="Times New Roman" w:cs="Calibri"/>
          <w:b/>
          <w:color w:val="000000"/>
          <w:sz w:val="20"/>
          <w:szCs w:val="20"/>
          <w:lang w:val="es-ES_tradnl"/>
        </w:rPr>
      </w:pPr>
      <w:r w:rsidRPr="00465EDF">
        <w:rPr>
          <w:b/>
          <w:bCs/>
          <w:sz w:val="18"/>
          <w:szCs w:val="18"/>
          <w:lang w:val="es-ES"/>
        </w:rPr>
        <w:t>Tabla 3.</w:t>
      </w:r>
      <w:r w:rsidR="006B59C7">
        <w:rPr>
          <w:b/>
          <w:bCs/>
          <w:sz w:val="18"/>
          <w:szCs w:val="18"/>
          <w:lang w:val="es-ES"/>
        </w:rPr>
        <w:t xml:space="preserve"> </w:t>
      </w:r>
      <w:r w:rsidRPr="00465EDF">
        <w:rPr>
          <w:b/>
          <w:bCs/>
          <w:sz w:val="18"/>
          <w:szCs w:val="18"/>
          <w:lang w:val="es-ES"/>
        </w:rPr>
        <w:t>Distribución del gasto de la CIDH por fuente de financiamiento y por Objeto de Gasto al 31 de diciembre 2023</w:t>
      </w:r>
    </w:p>
    <w:p w14:paraId="33CCB811" w14:textId="6A88716A" w:rsidR="0052262B" w:rsidRDefault="00465EDF" w:rsidP="0061038F">
      <w:pPr>
        <w:pStyle w:val="Default"/>
        <w:spacing w:before="0"/>
        <w:jc w:val="center"/>
        <w:rPr>
          <w:rFonts w:ascii="Cambria" w:hAnsi="Cambria"/>
          <w:b/>
          <w:bCs/>
          <w:color w:val="auto"/>
          <w:sz w:val="18"/>
          <w:szCs w:val="18"/>
          <w:lang w:val="es-ES"/>
        </w:rPr>
      </w:pPr>
      <w:r w:rsidRPr="00465EDF">
        <w:rPr>
          <w:rFonts w:ascii="Cambria" w:hAnsi="Cambria"/>
          <w:b/>
          <w:bCs/>
          <w:color w:val="auto"/>
          <w:sz w:val="18"/>
          <w:szCs w:val="18"/>
          <w:lang w:val="es-ES"/>
        </w:rPr>
        <w:t>(Valores redondeados Valores en miles de USD, preliminares y no auditados)</w:t>
      </w:r>
    </w:p>
    <w:p w14:paraId="6933BF2A" w14:textId="77777777" w:rsidR="00465EDF" w:rsidRPr="00465EDF" w:rsidRDefault="00465EDF" w:rsidP="00465EDF">
      <w:pPr>
        <w:pStyle w:val="Default"/>
        <w:spacing w:before="0"/>
        <w:jc w:val="center"/>
        <w:rPr>
          <w:rFonts w:ascii="Cambria" w:hAnsi="Cambria"/>
          <w:b/>
          <w:bCs/>
          <w:color w:val="auto"/>
          <w:sz w:val="18"/>
          <w:szCs w:val="18"/>
          <w:lang w:val="es-ES"/>
        </w:rPr>
      </w:pPr>
    </w:p>
    <w:tbl>
      <w:tblPr>
        <w:tblStyle w:val="ListTable4-Accent1"/>
        <w:tblW w:w="9451" w:type="dxa"/>
        <w:tblLook w:val="04A0" w:firstRow="1" w:lastRow="0" w:firstColumn="1" w:lastColumn="0" w:noHBand="0" w:noVBand="1"/>
      </w:tblPr>
      <w:tblGrid>
        <w:gridCol w:w="3615"/>
        <w:gridCol w:w="1112"/>
        <w:gridCol w:w="1357"/>
        <w:gridCol w:w="1357"/>
        <w:gridCol w:w="2010"/>
      </w:tblGrid>
      <w:tr w:rsidR="0052262B" w:rsidRPr="006B59C7" w14:paraId="134AB259" w14:textId="77777777" w:rsidTr="006C3839">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3615" w:type="dxa"/>
            <w:hideMark/>
          </w:tcPr>
          <w:p w14:paraId="4FBE297C" w14:textId="77777777" w:rsidR="0052262B" w:rsidRPr="006B59C7" w:rsidRDefault="0052262B" w:rsidP="006C3839">
            <w:pPr>
              <w:jc w:val="center"/>
              <w:rPr>
                <w:rFonts w:eastAsia="Times New Roman" w:cstheme="majorHAnsi"/>
                <w:color w:val="000000"/>
                <w:sz w:val="20"/>
                <w:szCs w:val="20"/>
                <w:lang w:val="pt-BR"/>
              </w:rPr>
            </w:pPr>
            <w:r w:rsidRPr="006B59C7">
              <w:rPr>
                <w:rFonts w:eastAsia="Times New Roman" w:cstheme="majorHAnsi"/>
                <w:color w:val="000000"/>
                <w:sz w:val="20"/>
                <w:szCs w:val="20"/>
                <w:lang w:val="pt-BR"/>
              </w:rPr>
              <w:t>Objeto de Gasto / Item of Expenditure</w:t>
            </w:r>
            <w:r w:rsidRPr="006B59C7">
              <w:rPr>
                <w:rFonts w:eastAsia="Times New Roman" w:cstheme="majorHAnsi"/>
                <w:color w:val="000000"/>
                <w:sz w:val="20"/>
                <w:szCs w:val="20"/>
                <w:lang w:val="pt-BR"/>
              </w:rPr>
              <w:br/>
            </w:r>
          </w:p>
        </w:tc>
        <w:tc>
          <w:tcPr>
            <w:tcW w:w="1112" w:type="dxa"/>
            <w:hideMark/>
          </w:tcPr>
          <w:p w14:paraId="4D4A548F" w14:textId="77777777" w:rsidR="0052262B" w:rsidRPr="006B59C7"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rPr>
            </w:pPr>
            <w:r w:rsidRPr="006B59C7">
              <w:rPr>
                <w:rFonts w:eastAsia="Times New Roman" w:cstheme="majorHAnsi"/>
                <w:color w:val="000000"/>
                <w:sz w:val="20"/>
                <w:szCs w:val="20"/>
                <w:lang w:val="pt-BR"/>
              </w:rPr>
              <w:t xml:space="preserve"> </w:t>
            </w:r>
            <w:r w:rsidRPr="006B59C7">
              <w:rPr>
                <w:rFonts w:eastAsia="Times New Roman" w:cstheme="majorHAnsi"/>
                <w:color w:val="000000"/>
                <w:sz w:val="20"/>
                <w:szCs w:val="20"/>
              </w:rPr>
              <w:t>Fondo Regular / Regular Fund</w:t>
            </w:r>
          </w:p>
        </w:tc>
        <w:tc>
          <w:tcPr>
            <w:tcW w:w="1357" w:type="dxa"/>
            <w:hideMark/>
          </w:tcPr>
          <w:p w14:paraId="379ADBF9" w14:textId="58E7CA5A" w:rsidR="0052262B" w:rsidRPr="006B59C7"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rPr>
            </w:pPr>
            <w:r w:rsidRPr="006B59C7">
              <w:rPr>
                <w:rFonts w:eastAsia="Times New Roman" w:cstheme="majorHAnsi"/>
                <w:color w:val="000000"/>
                <w:sz w:val="20"/>
                <w:szCs w:val="20"/>
              </w:rPr>
              <w:t xml:space="preserve">  </w:t>
            </w:r>
            <w:r w:rsidRPr="006B59C7">
              <w:rPr>
                <w:rFonts w:eastAsia="Times New Roman" w:cstheme="majorHAnsi"/>
                <w:color w:val="000000"/>
                <w:sz w:val="20"/>
                <w:szCs w:val="20"/>
                <w:lang w:val="es-CO"/>
              </w:rPr>
              <w:t xml:space="preserve">Fondos </w:t>
            </w:r>
            <w:r w:rsidR="00984318" w:rsidRPr="006B59C7">
              <w:rPr>
                <w:rFonts w:eastAsia="Times New Roman" w:cstheme="majorHAnsi"/>
                <w:color w:val="000000"/>
                <w:sz w:val="20"/>
                <w:szCs w:val="20"/>
                <w:lang w:val="es-CO"/>
              </w:rPr>
              <w:t>Específicos</w:t>
            </w:r>
            <w:r w:rsidRPr="006B59C7">
              <w:rPr>
                <w:rFonts w:eastAsia="Times New Roman" w:cstheme="majorHAnsi"/>
                <w:color w:val="000000"/>
                <w:sz w:val="20"/>
                <w:szCs w:val="20"/>
              </w:rPr>
              <w:t xml:space="preserve">/ Specific Funds </w:t>
            </w:r>
          </w:p>
        </w:tc>
        <w:tc>
          <w:tcPr>
            <w:tcW w:w="1357" w:type="dxa"/>
            <w:hideMark/>
          </w:tcPr>
          <w:p w14:paraId="4AF5BA1F" w14:textId="77777777" w:rsidR="0052262B" w:rsidRPr="006B59C7"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rPr>
            </w:pPr>
            <w:r w:rsidRPr="006B59C7">
              <w:rPr>
                <w:rFonts w:eastAsia="Times New Roman" w:cstheme="majorHAnsi"/>
                <w:color w:val="000000"/>
                <w:sz w:val="20"/>
                <w:szCs w:val="20"/>
              </w:rPr>
              <w:t xml:space="preserve">  Fondo ICR / ICR Fund </w:t>
            </w:r>
          </w:p>
        </w:tc>
        <w:tc>
          <w:tcPr>
            <w:tcW w:w="2010" w:type="dxa"/>
            <w:hideMark/>
          </w:tcPr>
          <w:p w14:paraId="4FF208DC" w14:textId="77777777" w:rsidR="0052262B" w:rsidRPr="006B59C7" w:rsidRDefault="0052262B" w:rsidP="006C3839">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rPr>
            </w:pPr>
            <w:r w:rsidRPr="006B59C7">
              <w:rPr>
                <w:rFonts w:eastAsia="Times New Roman" w:cstheme="majorHAnsi"/>
                <w:color w:val="000000"/>
                <w:sz w:val="20"/>
                <w:szCs w:val="20"/>
              </w:rPr>
              <w:t xml:space="preserve"> Total (thousands/Miles) </w:t>
            </w:r>
          </w:p>
        </w:tc>
      </w:tr>
      <w:tr w:rsidR="0052262B" w:rsidRPr="006B59C7" w14:paraId="12564D00" w14:textId="77777777" w:rsidTr="006C3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33A8AC51"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t>Salarios/Salaries</w:t>
            </w:r>
          </w:p>
        </w:tc>
        <w:tc>
          <w:tcPr>
            <w:tcW w:w="1112" w:type="dxa"/>
            <w:noWrap/>
            <w:vAlign w:val="bottom"/>
            <w:hideMark/>
          </w:tcPr>
          <w:p w14:paraId="68E76ACD"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6,308.0</w:t>
            </w:r>
          </w:p>
        </w:tc>
        <w:tc>
          <w:tcPr>
            <w:tcW w:w="1357" w:type="dxa"/>
            <w:noWrap/>
            <w:vAlign w:val="bottom"/>
            <w:hideMark/>
          </w:tcPr>
          <w:p w14:paraId="10F93057"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3,072.8</w:t>
            </w:r>
          </w:p>
        </w:tc>
        <w:tc>
          <w:tcPr>
            <w:tcW w:w="1357" w:type="dxa"/>
            <w:noWrap/>
            <w:vAlign w:val="bottom"/>
            <w:hideMark/>
          </w:tcPr>
          <w:p w14:paraId="42C0225E"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81.8</w:t>
            </w:r>
          </w:p>
        </w:tc>
        <w:tc>
          <w:tcPr>
            <w:tcW w:w="2010" w:type="dxa"/>
            <w:noWrap/>
            <w:vAlign w:val="bottom"/>
            <w:hideMark/>
          </w:tcPr>
          <w:p w14:paraId="5FF342CB"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9,462.6</w:t>
            </w:r>
          </w:p>
        </w:tc>
      </w:tr>
      <w:tr w:rsidR="0052262B" w:rsidRPr="006B59C7" w14:paraId="2A59798B" w14:textId="77777777" w:rsidTr="006C3839">
        <w:trPr>
          <w:trHeight w:val="576"/>
        </w:trPr>
        <w:tc>
          <w:tcPr>
            <w:cnfStyle w:val="001000000000" w:firstRow="0" w:lastRow="0" w:firstColumn="1" w:lastColumn="0" w:oddVBand="0" w:evenVBand="0" w:oddHBand="0" w:evenHBand="0" w:firstRowFirstColumn="0" w:firstRowLastColumn="0" w:lastRowFirstColumn="0" w:lastRowLastColumn="0"/>
            <w:tcW w:w="3615" w:type="dxa"/>
            <w:hideMark/>
          </w:tcPr>
          <w:p w14:paraId="13D4B805"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t>Costos salariales no recurrentes/ Non-recurring salary costs</w:t>
            </w:r>
          </w:p>
        </w:tc>
        <w:tc>
          <w:tcPr>
            <w:tcW w:w="1112" w:type="dxa"/>
            <w:noWrap/>
            <w:vAlign w:val="bottom"/>
          </w:tcPr>
          <w:p w14:paraId="62A44213"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1357" w:type="dxa"/>
            <w:noWrap/>
            <w:vAlign w:val="bottom"/>
          </w:tcPr>
          <w:p w14:paraId="5287BDD3"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1357" w:type="dxa"/>
            <w:noWrap/>
            <w:vAlign w:val="bottom"/>
          </w:tcPr>
          <w:p w14:paraId="3C8A2936"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p>
        </w:tc>
        <w:tc>
          <w:tcPr>
            <w:tcW w:w="2010" w:type="dxa"/>
            <w:noWrap/>
            <w:vAlign w:val="bottom"/>
          </w:tcPr>
          <w:p w14:paraId="1B5BC321"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r>
      <w:tr w:rsidR="0052262B" w:rsidRPr="006B59C7" w14:paraId="415A99D8" w14:textId="77777777" w:rsidTr="006C38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15" w:type="dxa"/>
            <w:hideMark/>
          </w:tcPr>
          <w:p w14:paraId="459897F2" w14:textId="77777777" w:rsidR="0052262B" w:rsidRPr="006B59C7" w:rsidRDefault="0052262B" w:rsidP="006C3839">
            <w:pPr>
              <w:jc w:val="both"/>
              <w:rPr>
                <w:rFonts w:eastAsia="Times New Roman" w:cstheme="majorBidi"/>
                <w:b w:val="0"/>
                <w:bCs w:val="0"/>
                <w:sz w:val="20"/>
                <w:szCs w:val="20"/>
                <w:lang w:val="es-ES"/>
              </w:rPr>
            </w:pPr>
            <w:r w:rsidRPr="006B59C7">
              <w:rPr>
                <w:rFonts w:eastAsia="Times New Roman" w:cstheme="majorBidi"/>
                <w:b w:val="0"/>
                <w:bCs w:val="0"/>
                <w:sz w:val="20"/>
                <w:szCs w:val="20"/>
                <w:lang w:val="es-ES"/>
              </w:rPr>
              <w:t>Contratos por resultado / Result-Based Contracts</w:t>
            </w:r>
          </w:p>
        </w:tc>
        <w:tc>
          <w:tcPr>
            <w:tcW w:w="1112" w:type="dxa"/>
            <w:noWrap/>
            <w:vAlign w:val="bottom"/>
            <w:hideMark/>
          </w:tcPr>
          <w:p w14:paraId="0A09FF93"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lang w:val="es-ES"/>
              </w:rPr>
              <w:t>2</w:t>
            </w:r>
            <w:r w:rsidRPr="006B59C7">
              <w:rPr>
                <w:rFonts w:cs="Calibri"/>
                <w:sz w:val="20"/>
                <w:szCs w:val="20"/>
              </w:rPr>
              <w:t>,905.3</w:t>
            </w:r>
          </w:p>
        </w:tc>
        <w:tc>
          <w:tcPr>
            <w:tcW w:w="1357" w:type="dxa"/>
            <w:noWrap/>
            <w:vAlign w:val="bottom"/>
            <w:hideMark/>
          </w:tcPr>
          <w:p w14:paraId="3C9E6A04"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5,099.5</w:t>
            </w:r>
          </w:p>
        </w:tc>
        <w:tc>
          <w:tcPr>
            <w:tcW w:w="1357" w:type="dxa"/>
            <w:noWrap/>
            <w:vAlign w:val="bottom"/>
            <w:hideMark/>
          </w:tcPr>
          <w:p w14:paraId="2455FD76"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31.9</w:t>
            </w:r>
          </w:p>
        </w:tc>
        <w:tc>
          <w:tcPr>
            <w:tcW w:w="2010" w:type="dxa"/>
            <w:noWrap/>
            <w:vAlign w:val="bottom"/>
            <w:hideMark/>
          </w:tcPr>
          <w:p w14:paraId="11E961D3"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8,036.7</w:t>
            </w:r>
          </w:p>
        </w:tc>
      </w:tr>
      <w:tr w:rsidR="0052262B" w:rsidRPr="006B59C7" w14:paraId="0AB2288F" w14:textId="77777777" w:rsidTr="006C3839">
        <w:trPr>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4BCCC42B"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t>Becas/ Fellowships</w:t>
            </w:r>
          </w:p>
        </w:tc>
        <w:tc>
          <w:tcPr>
            <w:tcW w:w="1112" w:type="dxa"/>
            <w:noWrap/>
            <w:vAlign w:val="bottom"/>
            <w:hideMark/>
          </w:tcPr>
          <w:p w14:paraId="098E7127"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1357" w:type="dxa"/>
            <w:noWrap/>
            <w:vAlign w:val="bottom"/>
            <w:hideMark/>
          </w:tcPr>
          <w:p w14:paraId="38979C3E"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157.7</w:t>
            </w:r>
          </w:p>
        </w:tc>
        <w:tc>
          <w:tcPr>
            <w:tcW w:w="1357" w:type="dxa"/>
            <w:noWrap/>
            <w:vAlign w:val="bottom"/>
            <w:hideMark/>
          </w:tcPr>
          <w:p w14:paraId="2B51BD68"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2010" w:type="dxa"/>
            <w:noWrap/>
            <w:vAlign w:val="bottom"/>
            <w:hideMark/>
          </w:tcPr>
          <w:p w14:paraId="79DC122C"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sz w:val="20"/>
                <w:szCs w:val="20"/>
              </w:rPr>
            </w:pPr>
            <w:r w:rsidRPr="006B59C7">
              <w:rPr>
                <w:rFonts w:cs="Calibri"/>
                <w:sz w:val="20"/>
                <w:szCs w:val="20"/>
              </w:rPr>
              <w:t>157.7</w:t>
            </w:r>
          </w:p>
        </w:tc>
      </w:tr>
      <w:tr w:rsidR="0052262B" w:rsidRPr="006B59C7" w14:paraId="5A6BCC77" w14:textId="77777777" w:rsidTr="006C3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6FCAB21D"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t>Viajes / Travel</w:t>
            </w:r>
          </w:p>
        </w:tc>
        <w:tc>
          <w:tcPr>
            <w:tcW w:w="1112" w:type="dxa"/>
            <w:noWrap/>
            <w:vAlign w:val="bottom"/>
            <w:hideMark/>
          </w:tcPr>
          <w:p w14:paraId="4E1FFD44"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286.2</w:t>
            </w:r>
          </w:p>
        </w:tc>
        <w:tc>
          <w:tcPr>
            <w:tcW w:w="1357" w:type="dxa"/>
            <w:noWrap/>
            <w:vAlign w:val="bottom"/>
            <w:hideMark/>
          </w:tcPr>
          <w:p w14:paraId="3C4407EC"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623.7</w:t>
            </w:r>
          </w:p>
        </w:tc>
        <w:tc>
          <w:tcPr>
            <w:tcW w:w="1357" w:type="dxa"/>
            <w:noWrap/>
            <w:vAlign w:val="bottom"/>
            <w:hideMark/>
          </w:tcPr>
          <w:p w14:paraId="18F0C9FE"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2010" w:type="dxa"/>
            <w:noWrap/>
            <w:vAlign w:val="bottom"/>
            <w:hideMark/>
          </w:tcPr>
          <w:p w14:paraId="6881E645"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909.9</w:t>
            </w:r>
          </w:p>
        </w:tc>
      </w:tr>
      <w:tr w:rsidR="0052262B" w:rsidRPr="006B59C7" w14:paraId="2641A944" w14:textId="77777777" w:rsidTr="006C3839">
        <w:trPr>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748FE48B" w14:textId="77777777" w:rsidR="0052262B" w:rsidRPr="006B59C7" w:rsidRDefault="0052262B" w:rsidP="006C3839">
            <w:pPr>
              <w:jc w:val="both"/>
              <w:rPr>
                <w:rFonts w:eastAsia="Times New Roman" w:cstheme="majorBidi"/>
                <w:b w:val="0"/>
                <w:bCs w:val="0"/>
                <w:color w:val="000000"/>
                <w:sz w:val="20"/>
                <w:szCs w:val="20"/>
              </w:rPr>
            </w:pPr>
            <w:r w:rsidRPr="006B59C7">
              <w:rPr>
                <w:rFonts w:eastAsia="Times New Roman" w:cstheme="majorBidi"/>
                <w:b w:val="0"/>
                <w:bCs w:val="0"/>
                <w:color w:val="000000" w:themeColor="text1"/>
                <w:sz w:val="20"/>
                <w:szCs w:val="20"/>
              </w:rPr>
              <w:t>Documentos / Documents</w:t>
            </w:r>
          </w:p>
        </w:tc>
        <w:tc>
          <w:tcPr>
            <w:tcW w:w="1112" w:type="dxa"/>
            <w:noWrap/>
            <w:vAlign w:val="bottom"/>
            <w:hideMark/>
          </w:tcPr>
          <w:p w14:paraId="4F3F973D"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6B59C7">
              <w:rPr>
                <w:rFonts w:cs="Calibri"/>
                <w:sz w:val="20"/>
                <w:szCs w:val="20"/>
              </w:rPr>
              <w:t>21.1</w:t>
            </w:r>
          </w:p>
        </w:tc>
        <w:tc>
          <w:tcPr>
            <w:tcW w:w="1357" w:type="dxa"/>
            <w:noWrap/>
            <w:vAlign w:val="bottom"/>
            <w:hideMark/>
          </w:tcPr>
          <w:p w14:paraId="5599EAFB"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6B59C7">
              <w:rPr>
                <w:rFonts w:cs="Calibri"/>
                <w:sz w:val="20"/>
                <w:szCs w:val="20"/>
              </w:rPr>
              <w:t>18.5</w:t>
            </w:r>
          </w:p>
        </w:tc>
        <w:tc>
          <w:tcPr>
            <w:tcW w:w="1357" w:type="dxa"/>
            <w:noWrap/>
            <w:vAlign w:val="bottom"/>
            <w:hideMark/>
          </w:tcPr>
          <w:p w14:paraId="0CD887A3"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0.8</w:t>
            </w:r>
          </w:p>
        </w:tc>
        <w:tc>
          <w:tcPr>
            <w:tcW w:w="2010" w:type="dxa"/>
            <w:noWrap/>
            <w:vAlign w:val="bottom"/>
            <w:hideMark/>
          </w:tcPr>
          <w:p w14:paraId="69D833A1"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40.4</w:t>
            </w:r>
          </w:p>
        </w:tc>
      </w:tr>
      <w:tr w:rsidR="0052262B" w:rsidRPr="006B59C7" w14:paraId="726B65AA" w14:textId="77777777" w:rsidTr="006C3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40076042" w14:textId="77777777" w:rsidR="0052262B" w:rsidRPr="006B59C7" w:rsidRDefault="0052262B" w:rsidP="006C3839">
            <w:pPr>
              <w:jc w:val="both"/>
              <w:rPr>
                <w:rFonts w:eastAsia="Times New Roman" w:cstheme="majorBidi"/>
                <w:b w:val="0"/>
                <w:bCs w:val="0"/>
                <w:color w:val="000000"/>
                <w:sz w:val="20"/>
                <w:szCs w:val="20"/>
              </w:rPr>
            </w:pPr>
            <w:r w:rsidRPr="006B59C7">
              <w:rPr>
                <w:rFonts w:eastAsia="Times New Roman" w:cstheme="majorBidi"/>
                <w:b w:val="0"/>
                <w:bCs w:val="0"/>
                <w:color w:val="000000" w:themeColor="text1"/>
                <w:sz w:val="20"/>
                <w:szCs w:val="20"/>
              </w:rPr>
              <w:t>Equipos y suministros / Equipment and supplies</w:t>
            </w:r>
          </w:p>
        </w:tc>
        <w:tc>
          <w:tcPr>
            <w:tcW w:w="1112" w:type="dxa"/>
            <w:noWrap/>
            <w:vAlign w:val="bottom"/>
            <w:hideMark/>
          </w:tcPr>
          <w:p w14:paraId="7604938C"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73.3</w:t>
            </w:r>
          </w:p>
        </w:tc>
        <w:tc>
          <w:tcPr>
            <w:tcW w:w="1357" w:type="dxa"/>
            <w:noWrap/>
            <w:vAlign w:val="bottom"/>
            <w:hideMark/>
          </w:tcPr>
          <w:p w14:paraId="289D5E51"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18.8</w:t>
            </w:r>
          </w:p>
        </w:tc>
        <w:tc>
          <w:tcPr>
            <w:tcW w:w="1357" w:type="dxa"/>
            <w:noWrap/>
            <w:vAlign w:val="bottom"/>
            <w:hideMark/>
          </w:tcPr>
          <w:p w14:paraId="38381807"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5.9</w:t>
            </w:r>
          </w:p>
        </w:tc>
        <w:tc>
          <w:tcPr>
            <w:tcW w:w="2010" w:type="dxa"/>
            <w:noWrap/>
            <w:vAlign w:val="bottom"/>
            <w:hideMark/>
          </w:tcPr>
          <w:p w14:paraId="5AFE8CC6"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97.9</w:t>
            </w:r>
          </w:p>
        </w:tc>
      </w:tr>
      <w:tr w:rsidR="0052262B" w:rsidRPr="006B59C7" w14:paraId="6C943B1F" w14:textId="77777777" w:rsidTr="006C3839">
        <w:trPr>
          <w:trHeight w:val="570"/>
        </w:trPr>
        <w:tc>
          <w:tcPr>
            <w:cnfStyle w:val="001000000000" w:firstRow="0" w:lastRow="0" w:firstColumn="1" w:lastColumn="0" w:oddVBand="0" w:evenVBand="0" w:oddHBand="0" w:evenHBand="0" w:firstRowFirstColumn="0" w:firstRowLastColumn="0" w:lastRowFirstColumn="0" w:lastRowLastColumn="0"/>
            <w:tcW w:w="3615" w:type="dxa"/>
            <w:hideMark/>
          </w:tcPr>
          <w:p w14:paraId="1D280D84"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t xml:space="preserve">Edificio y Mantenimiento / Building Lease and Maintenance </w:t>
            </w:r>
          </w:p>
        </w:tc>
        <w:tc>
          <w:tcPr>
            <w:tcW w:w="1112" w:type="dxa"/>
            <w:noWrap/>
            <w:vAlign w:val="bottom"/>
            <w:hideMark/>
          </w:tcPr>
          <w:p w14:paraId="249B4404"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sz w:val="20"/>
                <w:szCs w:val="20"/>
              </w:rPr>
            </w:pPr>
            <w:r w:rsidRPr="006B59C7">
              <w:rPr>
                <w:rFonts w:cs="Calibri"/>
                <w:sz w:val="20"/>
                <w:szCs w:val="20"/>
              </w:rPr>
              <w:t>20.3</w:t>
            </w:r>
          </w:p>
        </w:tc>
        <w:tc>
          <w:tcPr>
            <w:tcW w:w="1357" w:type="dxa"/>
            <w:noWrap/>
            <w:vAlign w:val="bottom"/>
            <w:hideMark/>
          </w:tcPr>
          <w:p w14:paraId="738D16BB"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6B59C7">
              <w:rPr>
                <w:rFonts w:cs="Calibri"/>
                <w:sz w:val="20"/>
                <w:szCs w:val="20"/>
              </w:rPr>
              <w:t>46.9</w:t>
            </w:r>
          </w:p>
        </w:tc>
        <w:tc>
          <w:tcPr>
            <w:tcW w:w="1357" w:type="dxa"/>
            <w:noWrap/>
            <w:vAlign w:val="bottom"/>
            <w:hideMark/>
          </w:tcPr>
          <w:p w14:paraId="06ADF681"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2010" w:type="dxa"/>
            <w:noWrap/>
            <w:vAlign w:val="bottom"/>
            <w:hideMark/>
          </w:tcPr>
          <w:p w14:paraId="5AD65BFF"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67.2</w:t>
            </w:r>
          </w:p>
        </w:tc>
      </w:tr>
      <w:tr w:rsidR="0052262B" w:rsidRPr="006B59C7" w14:paraId="21C90B87" w14:textId="77777777" w:rsidTr="006C3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5" w:type="dxa"/>
            <w:hideMark/>
          </w:tcPr>
          <w:p w14:paraId="0DAD0D46" w14:textId="77777777" w:rsidR="0052262B" w:rsidRPr="006B59C7" w:rsidRDefault="0052262B" w:rsidP="006C3839">
            <w:pPr>
              <w:jc w:val="both"/>
              <w:rPr>
                <w:rFonts w:eastAsia="Times New Roman" w:cstheme="majorBidi"/>
                <w:b w:val="0"/>
                <w:bCs w:val="0"/>
                <w:sz w:val="20"/>
                <w:szCs w:val="20"/>
              </w:rPr>
            </w:pPr>
            <w:r w:rsidRPr="006B59C7">
              <w:rPr>
                <w:rFonts w:eastAsia="Times New Roman" w:cstheme="majorBidi"/>
                <w:b w:val="0"/>
                <w:bCs w:val="0"/>
                <w:sz w:val="20"/>
                <w:szCs w:val="20"/>
              </w:rPr>
              <w:lastRenderedPageBreak/>
              <w:t>Otros costos / Other Costs</w:t>
            </w:r>
          </w:p>
        </w:tc>
        <w:tc>
          <w:tcPr>
            <w:tcW w:w="1112" w:type="dxa"/>
            <w:noWrap/>
            <w:vAlign w:val="bottom"/>
            <w:hideMark/>
          </w:tcPr>
          <w:p w14:paraId="42E2F765"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112.3</w:t>
            </w:r>
          </w:p>
        </w:tc>
        <w:tc>
          <w:tcPr>
            <w:tcW w:w="1357" w:type="dxa"/>
            <w:noWrap/>
            <w:vAlign w:val="bottom"/>
            <w:hideMark/>
          </w:tcPr>
          <w:p w14:paraId="1839A3AD"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B59C7">
              <w:rPr>
                <w:rFonts w:cs="Calibri"/>
                <w:sz w:val="20"/>
                <w:szCs w:val="20"/>
              </w:rPr>
              <w:t>154.7</w:t>
            </w:r>
          </w:p>
        </w:tc>
        <w:tc>
          <w:tcPr>
            <w:tcW w:w="1357" w:type="dxa"/>
            <w:noWrap/>
            <w:vAlign w:val="bottom"/>
            <w:hideMark/>
          </w:tcPr>
          <w:p w14:paraId="7648F059"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0.9</w:t>
            </w:r>
          </w:p>
        </w:tc>
        <w:tc>
          <w:tcPr>
            <w:tcW w:w="2010" w:type="dxa"/>
            <w:noWrap/>
            <w:vAlign w:val="bottom"/>
            <w:hideMark/>
          </w:tcPr>
          <w:p w14:paraId="673971A1"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eastAsia="Times New Roman" w:cstheme="majorBidi"/>
                <w:sz w:val="20"/>
                <w:szCs w:val="20"/>
              </w:rPr>
            </w:pPr>
            <w:r w:rsidRPr="006B59C7">
              <w:rPr>
                <w:rFonts w:cs="Calibri"/>
                <w:sz w:val="20"/>
                <w:szCs w:val="20"/>
              </w:rPr>
              <w:t>267.9</w:t>
            </w:r>
          </w:p>
        </w:tc>
      </w:tr>
      <w:tr w:rsidR="0052262B" w:rsidRPr="006B59C7" w14:paraId="7D098077" w14:textId="77777777" w:rsidTr="006C3839">
        <w:trPr>
          <w:trHeight w:val="330"/>
        </w:trPr>
        <w:tc>
          <w:tcPr>
            <w:cnfStyle w:val="001000000000" w:firstRow="0" w:lastRow="0" w:firstColumn="1" w:lastColumn="0" w:oddVBand="0" w:evenVBand="0" w:oddHBand="0" w:evenHBand="0" w:firstRowFirstColumn="0" w:firstRowLastColumn="0" w:lastRowFirstColumn="0" w:lastRowLastColumn="0"/>
            <w:tcW w:w="3615" w:type="dxa"/>
            <w:hideMark/>
          </w:tcPr>
          <w:p w14:paraId="38CBEBF2" w14:textId="77777777" w:rsidR="0052262B" w:rsidRPr="006B59C7" w:rsidRDefault="0052262B" w:rsidP="006C3839">
            <w:pPr>
              <w:jc w:val="both"/>
              <w:rPr>
                <w:rFonts w:eastAsia="Times New Roman" w:cstheme="majorBidi"/>
                <w:b w:val="0"/>
                <w:bCs w:val="0"/>
                <w:sz w:val="20"/>
                <w:szCs w:val="20"/>
                <w:lang w:val="es-ES"/>
              </w:rPr>
            </w:pPr>
            <w:r w:rsidRPr="006B59C7">
              <w:rPr>
                <w:rFonts w:eastAsia="Times New Roman" w:cstheme="majorBidi"/>
                <w:b w:val="0"/>
                <w:bCs w:val="0"/>
                <w:sz w:val="20"/>
                <w:szCs w:val="20"/>
                <w:lang w:val="es-ES"/>
              </w:rPr>
              <w:t>Recuperación de costos indirectos (RCI) / Indirect cost recovery (ICR) /</w:t>
            </w:r>
          </w:p>
        </w:tc>
        <w:tc>
          <w:tcPr>
            <w:tcW w:w="1112" w:type="dxa"/>
            <w:noWrap/>
            <w:vAlign w:val="bottom"/>
            <w:hideMark/>
          </w:tcPr>
          <w:p w14:paraId="02277BB5"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1357" w:type="dxa"/>
            <w:noWrap/>
            <w:vAlign w:val="bottom"/>
            <w:hideMark/>
          </w:tcPr>
          <w:p w14:paraId="3FC18B99"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1,789.8</w:t>
            </w:r>
          </w:p>
        </w:tc>
        <w:tc>
          <w:tcPr>
            <w:tcW w:w="1357" w:type="dxa"/>
            <w:noWrap/>
            <w:vAlign w:val="bottom"/>
            <w:hideMark/>
          </w:tcPr>
          <w:p w14:paraId="7F1532F0"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eastAsia="Times New Roman" w:cstheme="majorBidi"/>
                <w:sz w:val="20"/>
                <w:szCs w:val="20"/>
              </w:rPr>
            </w:pPr>
            <w:r w:rsidRPr="006B59C7">
              <w:rPr>
                <w:rFonts w:cs="Calibri"/>
                <w:sz w:val="20"/>
                <w:szCs w:val="20"/>
              </w:rPr>
              <w:t>-</w:t>
            </w:r>
          </w:p>
        </w:tc>
        <w:tc>
          <w:tcPr>
            <w:tcW w:w="2010" w:type="dxa"/>
            <w:noWrap/>
            <w:vAlign w:val="bottom"/>
            <w:hideMark/>
          </w:tcPr>
          <w:p w14:paraId="6B502788" w14:textId="77777777" w:rsidR="0052262B" w:rsidRPr="006B59C7" w:rsidRDefault="0052262B" w:rsidP="006C3839">
            <w:pPr>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6B59C7">
              <w:rPr>
                <w:rFonts w:cs="Calibri"/>
                <w:sz w:val="20"/>
                <w:szCs w:val="20"/>
              </w:rPr>
              <w:t>1,789.8</w:t>
            </w:r>
          </w:p>
        </w:tc>
      </w:tr>
      <w:tr w:rsidR="0052262B" w:rsidRPr="006B59C7" w14:paraId="703E54EF" w14:textId="77777777" w:rsidTr="006C3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15" w:type="dxa"/>
            <w:noWrap/>
            <w:hideMark/>
          </w:tcPr>
          <w:p w14:paraId="7092635E" w14:textId="77777777" w:rsidR="0052262B" w:rsidRPr="006B59C7" w:rsidRDefault="0052262B" w:rsidP="006C3839">
            <w:pPr>
              <w:jc w:val="both"/>
              <w:rPr>
                <w:rFonts w:eastAsia="Times New Roman" w:cstheme="majorBidi"/>
                <w:color w:val="000000"/>
                <w:sz w:val="20"/>
                <w:szCs w:val="20"/>
              </w:rPr>
            </w:pPr>
            <w:r w:rsidRPr="006B59C7">
              <w:rPr>
                <w:rFonts w:eastAsia="Times New Roman" w:cstheme="majorBidi"/>
                <w:color w:val="000000" w:themeColor="text1"/>
                <w:sz w:val="20"/>
                <w:szCs w:val="20"/>
              </w:rPr>
              <w:t xml:space="preserve">Total </w:t>
            </w:r>
          </w:p>
        </w:tc>
        <w:tc>
          <w:tcPr>
            <w:tcW w:w="1112" w:type="dxa"/>
            <w:noWrap/>
            <w:vAlign w:val="bottom"/>
            <w:hideMark/>
          </w:tcPr>
          <w:p w14:paraId="3AFAFD04"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6B59C7">
              <w:rPr>
                <w:rFonts w:cs="Calibri"/>
                <w:b/>
                <w:bCs/>
                <w:color w:val="000000" w:themeColor="text1"/>
                <w:sz w:val="20"/>
                <w:szCs w:val="20"/>
              </w:rPr>
              <w:t>9,726.5</w:t>
            </w:r>
          </w:p>
        </w:tc>
        <w:tc>
          <w:tcPr>
            <w:tcW w:w="1357" w:type="dxa"/>
            <w:noWrap/>
            <w:vAlign w:val="bottom"/>
            <w:hideMark/>
          </w:tcPr>
          <w:p w14:paraId="49C963A3"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6B59C7">
              <w:rPr>
                <w:rFonts w:cs="Calibri"/>
                <w:b/>
                <w:bCs/>
                <w:color w:val="000000" w:themeColor="text1"/>
                <w:sz w:val="20"/>
                <w:szCs w:val="20"/>
              </w:rPr>
              <w:t>10,982.3</w:t>
            </w:r>
          </w:p>
        </w:tc>
        <w:tc>
          <w:tcPr>
            <w:tcW w:w="1357" w:type="dxa"/>
            <w:noWrap/>
            <w:vAlign w:val="bottom"/>
            <w:hideMark/>
          </w:tcPr>
          <w:p w14:paraId="4E002E3E"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6B59C7">
              <w:rPr>
                <w:rFonts w:cs="Calibri"/>
                <w:b/>
                <w:bCs/>
                <w:color w:val="000000" w:themeColor="text1"/>
                <w:sz w:val="20"/>
                <w:szCs w:val="20"/>
              </w:rPr>
              <w:t>121.3</w:t>
            </w:r>
          </w:p>
        </w:tc>
        <w:tc>
          <w:tcPr>
            <w:tcW w:w="2010" w:type="dxa"/>
            <w:noWrap/>
            <w:vAlign w:val="bottom"/>
            <w:hideMark/>
          </w:tcPr>
          <w:p w14:paraId="77FAEC0B" w14:textId="77777777" w:rsidR="0052262B" w:rsidRPr="006B59C7" w:rsidRDefault="0052262B" w:rsidP="006C3839">
            <w:pPr>
              <w:jc w:val="cente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6B59C7">
              <w:rPr>
                <w:rFonts w:cs="Calibri"/>
                <w:b/>
                <w:bCs/>
                <w:color w:val="000000" w:themeColor="text1"/>
                <w:sz w:val="20"/>
                <w:szCs w:val="20"/>
              </w:rPr>
              <w:t>20,830.1</w:t>
            </w:r>
          </w:p>
        </w:tc>
      </w:tr>
    </w:tbl>
    <w:p w14:paraId="745980EB" w14:textId="77777777" w:rsidR="006B59C7" w:rsidRDefault="006B59C7" w:rsidP="006B59C7">
      <w:pPr>
        <w:suppressAutoHyphens w:val="0"/>
        <w:spacing w:after="160" w:line="259" w:lineRule="auto"/>
        <w:jc w:val="both"/>
        <w:rPr>
          <w:b/>
          <w:bCs/>
          <w:sz w:val="20"/>
          <w:szCs w:val="20"/>
          <w:lang w:val="es-ES"/>
        </w:rPr>
      </w:pPr>
    </w:p>
    <w:p w14:paraId="78479111" w14:textId="510949F1" w:rsidR="0052262B" w:rsidRPr="006B59C7" w:rsidRDefault="0096446E" w:rsidP="006B59C7">
      <w:pPr>
        <w:suppressAutoHyphens w:val="0"/>
        <w:spacing w:after="160" w:line="259" w:lineRule="auto"/>
        <w:jc w:val="center"/>
        <w:rPr>
          <w:rFonts w:eastAsia="Times New Roman" w:cs="Calibri"/>
          <w:b/>
          <w:bCs/>
          <w:sz w:val="18"/>
          <w:szCs w:val="18"/>
          <w:lang w:val="es-ES"/>
        </w:rPr>
      </w:pPr>
      <w:r>
        <w:rPr>
          <w:noProof/>
        </w:rPr>
        <w:drawing>
          <wp:anchor distT="0" distB="0" distL="114300" distR="114300" simplePos="0" relativeHeight="251658240" behindDoc="0" locked="0" layoutInCell="1" allowOverlap="1" wp14:anchorId="29D24E0B" wp14:editId="38F60B76">
            <wp:simplePos x="0" y="0"/>
            <wp:positionH relativeFrom="margin">
              <wp:align>center</wp:align>
            </wp:positionH>
            <wp:positionV relativeFrom="paragraph">
              <wp:posOffset>488950</wp:posOffset>
            </wp:positionV>
            <wp:extent cx="5381625" cy="4333875"/>
            <wp:effectExtent l="0" t="0" r="0" b="0"/>
            <wp:wrapSquare wrapText="bothSides"/>
            <wp:docPr id="16" name="Chart 16">
              <a:extLst xmlns:a="http://schemas.openxmlformats.org/drawingml/2006/main">
                <a:ext uri="{FF2B5EF4-FFF2-40B4-BE49-F238E27FC236}">
                  <a16:creationId xmlns:a16="http://schemas.microsoft.com/office/drawing/2014/main" id="{3EC07B4E-2694-619F-DB89-0C2C85F3A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2262B" w:rsidRPr="006B59C7">
        <w:rPr>
          <w:b/>
          <w:bCs/>
          <w:sz w:val="18"/>
          <w:szCs w:val="18"/>
          <w:lang w:val="es-ES"/>
        </w:rPr>
        <w:t>Figura 4. Distribución del Gasto de la CIDH por Objeto de Gasto al 31 de diciembre de 2023 (Valores en miles de USD, preliminares y no auditados)</w:t>
      </w:r>
      <w:r w:rsidR="0052262B" w:rsidRPr="006B59C7">
        <w:rPr>
          <w:rStyle w:val="FootnoteReference"/>
          <w:b/>
          <w:bCs/>
          <w:sz w:val="18"/>
          <w:szCs w:val="18"/>
          <w:lang w:val="es-ES"/>
        </w:rPr>
        <w:footnoteReference w:id="8"/>
      </w:r>
      <w:r w:rsidR="006B59C7">
        <w:rPr>
          <w:b/>
          <w:bCs/>
          <w:sz w:val="18"/>
          <w:szCs w:val="18"/>
          <w:lang w:val="es-ES"/>
        </w:rPr>
        <w:t xml:space="preserve"> </w:t>
      </w:r>
      <w:r w:rsidR="0052262B" w:rsidRPr="006B59C7">
        <w:rPr>
          <w:rStyle w:val="FootnoteReference"/>
          <w:b/>
          <w:bCs/>
          <w:sz w:val="18"/>
          <w:szCs w:val="18"/>
          <w:lang w:val="es-ES"/>
        </w:rPr>
        <w:footnoteReference w:id="9"/>
      </w:r>
      <w:r w:rsidR="006B59C7">
        <w:rPr>
          <w:b/>
          <w:bCs/>
          <w:sz w:val="18"/>
          <w:szCs w:val="18"/>
          <w:lang w:val="es-ES"/>
        </w:rPr>
        <w:t xml:space="preserve"> </w:t>
      </w:r>
      <w:r w:rsidR="0052262B" w:rsidRPr="006B59C7">
        <w:rPr>
          <w:rStyle w:val="FootnoteReference"/>
          <w:b/>
          <w:bCs/>
          <w:sz w:val="18"/>
          <w:szCs w:val="18"/>
          <w:lang w:val="es-ES"/>
        </w:rPr>
        <w:footnoteReference w:id="10"/>
      </w:r>
      <w:r w:rsidR="006B59C7">
        <w:rPr>
          <w:b/>
          <w:bCs/>
          <w:sz w:val="18"/>
          <w:szCs w:val="18"/>
          <w:lang w:val="es-ES"/>
        </w:rPr>
        <w:t xml:space="preserve"> </w:t>
      </w:r>
      <w:r w:rsidR="0052262B" w:rsidRPr="006B59C7">
        <w:rPr>
          <w:rStyle w:val="FootnoteReference"/>
          <w:b/>
          <w:bCs/>
          <w:sz w:val="18"/>
          <w:szCs w:val="18"/>
          <w:lang w:val="es-ES"/>
        </w:rPr>
        <w:footnoteReference w:id="11"/>
      </w:r>
    </w:p>
    <w:p w14:paraId="6C952C6A" w14:textId="06568230" w:rsidR="0052262B" w:rsidRPr="0096446E" w:rsidRDefault="0052262B" w:rsidP="0052262B">
      <w:pPr>
        <w:pStyle w:val="Default"/>
        <w:jc w:val="center"/>
        <w:rPr>
          <w:lang w:val="es-ES"/>
        </w:rPr>
      </w:pPr>
    </w:p>
    <w:p w14:paraId="3E0BD7AD" w14:textId="1F77C690" w:rsidR="0052262B" w:rsidRDefault="0052262B" w:rsidP="0052262B">
      <w:pPr>
        <w:rPr>
          <w:sz w:val="20"/>
          <w:szCs w:val="20"/>
          <w:lang w:val="es-ES_tradnl"/>
        </w:rPr>
      </w:pPr>
    </w:p>
    <w:p w14:paraId="303FA049" w14:textId="77777777" w:rsidR="009F39E1" w:rsidRDefault="009F39E1" w:rsidP="0052262B">
      <w:pPr>
        <w:rPr>
          <w:sz w:val="20"/>
          <w:szCs w:val="20"/>
          <w:lang w:val="es-ES_tradnl"/>
        </w:rPr>
      </w:pPr>
    </w:p>
    <w:p w14:paraId="35A19F2A" w14:textId="77777777" w:rsidR="009F39E1" w:rsidRPr="00B763D5" w:rsidRDefault="009F39E1" w:rsidP="0052262B">
      <w:pPr>
        <w:rPr>
          <w:sz w:val="20"/>
          <w:szCs w:val="20"/>
          <w:lang w:val="es-ES_tradnl"/>
        </w:rPr>
      </w:pPr>
    </w:p>
    <w:p w14:paraId="1765D196" w14:textId="7B97B271" w:rsidR="0052262B" w:rsidRPr="001466D1" w:rsidRDefault="0052262B" w:rsidP="001466D1">
      <w:pPr>
        <w:pStyle w:val="IASubttulo2"/>
        <w:rPr>
          <w:lang w:val="es-ES"/>
        </w:rPr>
      </w:pPr>
      <w:bookmarkStart w:id="7" w:name="_Toc162359408"/>
      <w:r w:rsidRPr="00A0062A">
        <w:rPr>
          <w:lang w:val="es-ES"/>
        </w:rPr>
        <w:lastRenderedPageBreak/>
        <w:t>Planificaci</w:t>
      </w:r>
      <w:r>
        <w:rPr>
          <w:lang w:val="es-ES"/>
        </w:rPr>
        <w:t>ó</w:t>
      </w:r>
      <w:r w:rsidRPr="00A0062A">
        <w:rPr>
          <w:lang w:val="es-ES"/>
        </w:rPr>
        <w:t>n, movilizaci</w:t>
      </w:r>
      <w:r>
        <w:rPr>
          <w:lang w:val="es-ES"/>
        </w:rPr>
        <w:t>ó</w:t>
      </w:r>
      <w:r w:rsidRPr="00A0062A">
        <w:rPr>
          <w:lang w:val="es-ES"/>
        </w:rPr>
        <w:t>n de fondos y gesti</w:t>
      </w:r>
      <w:r>
        <w:rPr>
          <w:lang w:val="es-ES"/>
        </w:rPr>
        <w:t>ó</w:t>
      </w:r>
      <w:r w:rsidRPr="00A0062A">
        <w:rPr>
          <w:lang w:val="es-ES"/>
        </w:rPr>
        <w:t>n de proyectos</w:t>
      </w:r>
      <w:bookmarkEnd w:id="7"/>
      <w:r w:rsidRPr="00A0062A">
        <w:rPr>
          <w:lang w:val="es-ES"/>
        </w:rPr>
        <w:t xml:space="preserve"> </w:t>
      </w:r>
    </w:p>
    <w:p w14:paraId="38262C94" w14:textId="77777777" w:rsidR="0052262B" w:rsidRPr="00511AFC" w:rsidRDefault="0052262B" w:rsidP="001466D1">
      <w:pPr>
        <w:pStyle w:val="IAPrrafo"/>
        <w:rPr>
          <w:lang w:val="es-AR"/>
        </w:rPr>
      </w:pPr>
      <w:r w:rsidRPr="00511AFC">
        <w:rPr>
          <w:lang w:val="es-AR"/>
        </w:rPr>
        <w:t xml:space="preserve">La Secretaría Ejecutiva avanzó en la planeación financiera anual para 2024 con fuentes provenientes del fondo regular (total $10. 73 millones) y de fondos específicos (proyectado de $9.1 millones) para un total de $19.83 millones. Para ello, fue revisado el estado de ejecución de los proyectos actuales, la proyección de posibles ingresos con base en los proyectos plurianuales y las negociaciones en curso. </w:t>
      </w:r>
    </w:p>
    <w:p w14:paraId="3F5405E6" w14:textId="6194B5E5" w:rsidR="0052262B" w:rsidRPr="001466D1" w:rsidRDefault="0052262B" w:rsidP="001466D1">
      <w:pPr>
        <w:pStyle w:val="IASubttulo3"/>
        <w:numPr>
          <w:ilvl w:val="0"/>
          <w:numId w:val="27"/>
        </w:numPr>
        <w:rPr>
          <w:lang w:val="es-ES_tradnl"/>
        </w:rPr>
      </w:pPr>
      <w:bookmarkStart w:id="8" w:name="_Toc162359409"/>
      <w:r w:rsidRPr="001466D1">
        <w:rPr>
          <w:lang w:val="es-ES_tradnl"/>
        </w:rPr>
        <w:t>Proyectos Implementados en 2023</w:t>
      </w:r>
      <w:bookmarkEnd w:id="8"/>
    </w:p>
    <w:p w14:paraId="15732219" w14:textId="77777777" w:rsidR="0052262B" w:rsidRPr="00511AFC" w:rsidRDefault="0052262B" w:rsidP="001466D1">
      <w:pPr>
        <w:pStyle w:val="IAPrrafo"/>
        <w:rPr>
          <w:lang w:val="es-AR"/>
        </w:rPr>
      </w:pPr>
      <w:r w:rsidRPr="00511AFC">
        <w:rPr>
          <w:lang w:val="es-AR"/>
        </w:rPr>
        <w:t>Durante el 2023, la Secretaría Ejecutiva de la CIDH preparó y entregó 35 informes narrativos intermedios o finales, correspondientes a 19 Acuerdos de donación para financiar 19 proyectos. A continuación, se presenta un listado de los proyectos ejecutados y en ejecución durante el 2023 con sus respectivos donantes:</w:t>
      </w:r>
    </w:p>
    <w:p w14:paraId="7CEFCEE1" w14:textId="7A2F6655" w:rsidR="0052262B" w:rsidRPr="001466D1" w:rsidRDefault="0052262B" w:rsidP="001466D1">
      <w:pPr>
        <w:suppressAutoHyphens w:val="0"/>
        <w:spacing w:after="160" w:line="259" w:lineRule="auto"/>
        <w:jc w:val="center"/>
        <w:rPr>
          <w:sz w:val="18"/>
          <w:szCs w:val="18"/>
          <w:lang w:val="es-ES"/>
        </w:rPr>
      </w:pPr>
      <w:r w:rsidRPr="001466D1">
        <w:rPr>
          <w:rFonts w:eastAsia="Times New Roman" w:cs="Calibri"/>
          <w:b/>
          <w:color w:val="000000"/>
          <w:sz w:val="18"/>
          <w:szCs w:val="18"/>
          <w:lang w:val="es-ES_tradnl"/>
        </w:rPr>
        <w:t>Tabla 4. Proyectos implementados 2023</w:t>
      </w:r>
    </w:p>
    <w:tbl>
      <w:tblPr>
        <w:tblW w:w="94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3971"/>
        <w:gridCol w:w="1891"/>
        <w:gridCol w:w="2050"/>
        <w:gridCol w:w="1538"/>
      </w:tblGrid>
      <w:tr w:rsidR="0052262B" w:rsidRPr="00A0062A" w14:paraId="4175C3B2" w14:textId="77777777" w:rsidTr="001466D1">
        <w:trPr>
          <w:trHeight w:val="584"/>
        </w:trPr>
        <w:tc>
          <w:tcPr>
            <w:tcW w:w="3971" w:type="dxa"/>
            <w:tcBorders>
              <w:top w:val="single" w:sz="4" w:space="0" w:color="FFFFFF"/>
              <w:left w:val="nil"/>
              <w:right w:val="nil"/>
            </w:tcBorders>
            <w:shd w:val="clear" w:color="auto" w:fill="2E74B5" w:themeFill="accent5" w:themeFillShade="BF"/>
            <w:vAlign w:val="center"/>
            <w:hideMark/>
          </w:tcPr>
          <w:p w14:paraId="16E0779D" w14:textId="77777777" w:rsidR="0052262B" w:rsidRPr="001466D1" w:rsidRDefault="0052262B" w:rsidP="009F2C7F">
            <w:pPr>
              <w:suppressAutoHyphens w:val="0"/>
              <w:ind w:firstLine="720"/>
              <w:jc w:val="center"/>
              <w:rPr>
                <w:rFonts w:eastAsia="Times New Roman" w:cs="Arial"/>
                <w:b/>
                <w:color w:val="FFFFFF"/>
                <w:sz w:val="20"/>
                <w:szCs w:val="20"/>
                <w:lang w:val="es-ES_tradnl"/>
              </w:rPr>
            </w:pPr>
            <w:r w:rsidRPr="001466D1">
              <w:rPr>
                <w:rFonts w:eastAsia="Times New Roman" w:cs="Arial"/>
                <w:b/>
                <w:color w:val="FFFFFF"/>
                <w:sz w:val="20"/>
                <w:szCs w:val="20"/>
                <w:lang w:val="es-ES_tradnl"/>
              </w:rPr>
              <w:t>Proyecto</w:t>
            </w:r>
          </w:p>
        </w:tc>
        <w:tc>
          <w:tcPr>
            <w:tcW w:w="1891" w:type="dxa"/>
            <w:tcBorders>
              <w:top w:val="single" w:sz="4" w:space="0" w:color="FFFFFF"/>
              <w:left w:val="nil"/>
              <w:right w:val="nil"/>
            </w:tcBorders>
            <w:shd w:val="clear" w:color="auto" w:fill="2E74B5" w:themeFill="accent5" w:themeFillShade="BF"/>
            <w:vAlign w:val="center"/>
          </w:tcPr>
          <w:p w14:paraId="3C598ED6" w14:textId="77777777" w:rsidR="0052262B" w:rsidRPr="001466D1" w:rsidRDefault="0052262B" w:rsidP="009F2C7F">
            <w:pPr>
              <w:suppressAutoHyphens w:val="0"/>
              <w:ind w:firstLine="7"/>
              <w:jc w:val="center"/>
              <w:rPr>
                <w:rFonts w:eastAsia="Times New Roman" w:cs="Arial"/>
                <w:b/>
                <w:color w:val="FFFFFF"/>
                <w:sz w:val="20"/>
                <w:szCs w:val="20"/>
                <w:lang w:val="es-ES_tradnl"/>
              </w:rPr>
            </w:pPr>
            <w:r w:rsidRPr="001466D1">
              <w:rPr>
                <w:rFonts w:eastAsia="Times New Roman" w:cs="Arial"/>
                <w:b/>
                <w:color w:val="FFFFFF"/>
                <w:sz w:val="20"/>
                <w:szCs w:val="20"/>
                <w:lang w:val="es-ES_tradnl"/>
              </w:rPr>
              <w:t>Monto total proyecto</w:t>
            </w:r>
          </w:p>
        </w:tc>
        <w:tc>
          <w:tcPr>
            <w:tcW w:w="2050" w:type="dxa"/>
            <w:tcBorders>
              <w:top w:val="single" w:sz="4" w:space="0" w:color="FFFFFF"/>
              <w:left w:val="nil"/>
              <w:right w:val="nil"/>
            </w:tcBorders>
            <w:shd w:val="clear" w:color="auto" w:fill="2E74B5" w:themeFill="accent5" w:themeFillShade="BF"/>
            <w:vAlign w:val="center"/>
            <w:hideMark/>
          </w:tcPr>
          <w:p w14:paraId="52C9888C" w14:textId="77777777" w:rsidR="0052262B" w:rsidRPr="001466D1" w:rsidRDefault="0052262B" w:rsidP="009F2C7F">
            <w:pPr>
              <w:suppressAutoHyphens w:val="0"/>
              <w:jc w:val="center"/>
              <w:rPr>
                <w:rFonts w:eastAsia="Times New Roman" w:cs="Arial"/>
                <w:b/>
                <w:color w:val="FFFFFF"/>
                <w:sz w:val="20"/>
                <w:szCs w:val="20"/>
                <w:lang w:val="es-ES_tradnl"/>
              </w:rPr>
            </w:pPr>
            <w:r w:rsidRPr="001466D1">
              <w:rPr>
                <w:rFonts w:eastAsia="Times New Roman" w:cs="Arial"/>
                <w:b/>
                <w:color w:val="FFFFFF"/>
                <w:sz w:val="20"/>
                <w:szCs w:val="20"/>
                <w:lang w:val="es-ES_tradnl"/>
              </w:rPr>
              <w:t>Donante</w:t>
            </w:r>
          </w:p>
        </w:tc>
        <w:tc>
          <w:tcPr>
            <w:tcW w:w="1538" w:type="dxa"/>
            <w:tcBorders>
              <w:top w:val="single" w:sz="4" w:space="0" w:color="FFFFFF"/>
              <w:left w:val="nil"/>
              <w:right w:val="nil"/>
            </w:tcBorders>
            <w:shd w:val="clear" w:color="auto" w:fill="2E74B5" w:themeFill="accent5" w:themeFillShade="BF"/>
            <w:vAlign w:val="center"/>
          </w:tcPr>
          <w:p w14:paraId="188856C7" w14:textId="77777777" w:rsidR="0052262B" w:rsidRPr="001466D1" w:rsidRDefault="0052262B" w:rsidP="009F2C7F">
            <w:pPr>
              <w:suppressAutoHyphens w:val="0"/>
              <w:jc w:val="center"/>
              <w:rPr>
                <w:rFonts w:eastAsia="Times New Roman" w:cs="Arial"/>
                <w:b/>
                <w:color w:val="FFFFFF"/>
                <w:sz w:val="20"/>
                <w:szCs w:val="20"/>
                <w:lang w:val="es-ES_tradnl"/>
              </w:rPr>
            </w:pPr>
            <w:r w:rsidRPr="001466D1">
              <w:rPr>
                <w:rFonts w:eastAsia="Times New Roman" w:cs="Arial"/>
                <w:b/>
                <w:color w:val="FFFFFF"/>
                <w:sz w:val="20"/>
                <w:szCs w:val="20"/>
                <w:lang w:val="es-ES_tradnl"/>
              </w:rPr>
              <w:t>Reportes presentados (*)</w:t>
            </w:r>
          </w:p>
        </w:tc>
      </w:tr>
      <w:tr w:rsidR="0052262B" w:rsidRPr="00A0062A" w14:paraId="75A77654" w14:textId="77777777" w:rsidTr="00BC36D7">
        <w:trPr>
          <w:trHeight w:val="1412"/>
        </w:trPr>
        <w:tc>
          <w:tcPr>
            <w:tcW w:w="3971" w:type="dxa"/>
            <w:shd w:val="clear" w:color="auto" w:fill="DEEAF6" w:themeFill="accent5" w:themeFillTint="33"/>
          </w:tcPr>
          <w:p w14:paraId="5DE14E5E" w14:textId="77777777" w:rsidR="0052262B" w:rsidRPr="00A0062A" w:rsidRDefault="0052262B" w:rsidP="009F2C7F">
            <w:pPr>
              <w:suppressAutoHyphens w:val="0"/>
              <w:jc w:val="both"/>
              <w:rPr>
                <w:rFonts w:eastAsia="Times New Roman" w:cs="Arial"/>
                <w:sz w:val="20"/>
                <w:szCs w:val="20"/>
                <w:highlight w:val="yellow"/>
                <w:lang w:val="es-ES"/>
              </w:rPr>
            </w:pPr>
            <w:r w:rsidRPr="00A0062A">
              <w:rPr>
                <w:rFonts w:eastAsia="Times New Roman" w:cs="Arial"/>
                <w:sz w:val="20"/>
                <w:szCs w:val="20"/>
                <w:lang w:val="es-ES" w:eastAsia="es-US"/>
              </w:rPr>
              <w:t>Fortalecimiento de la protección internacional en las Américas (anual)</w:t>
            </w:r>
          </w:p>
        </w:tc>
        <w:tc>
          <w:tcPr>
            <w:tcW w:w="1891" w:type="dxa"/>
            <w:shd w:val="clear" w:color="auto" w:fill="DEEAF6" w:themeFill="accent5" w:themeFillTint="33"/>
          </w:tcPr>
          <w:p w14:paraId="278849A9" w14:textId="77777777" w:rsidR="0052262B" w:rsidRPr="00A0062A" w:rsidRDefault="0052262B" w:rsidP="009F2C7F">
            <w:pPr>
              <w:tabs>
                <w:tab w:val="center" w:pos="948"/>
                <w:tab w:val="right" w:pos="1896"/>
              </w:tabs>
              <w:suppressAutoHyphens w:val="0"/>
              <w:ind w:hanging="3"/>
              <w:jc w:val="both"/>
              <w:rPr>
                <w:rFonts w:eastAsia="Times New Roman" w:cs="Arial"/>
                <w:sz w:val="20"/>
                <w:szCs w:val="20"/>
                <w:lang w:val="es-ES_tradnl"/>
              </w:rPr>
            </w:pPr>
            <w:r w:rsidRPr="00A0062A">
              <w:rPr>
                <w:rFonts w:eastAsia="Times New Roman" w:cs="Arial"/>
                <w:sz w:val="20"/>
                <w:szCs w:val="20"/>
                <w:lang w:val="es-ES_tradnl"/>
              </w:rPr>
              <w:t>$80,000 USD</w:t>
            </w:r>
          </w:p>
        </w:tc>
        <w:tc>
          <w:tcPr>
            <w:tcW w:w="2050" w:type="dxa"/>
            <w:shd w:val="clear" w:color="auto" w:fill="DEEAF6" w:themeFill="accent5" w:themeFillTint="33"/>
          </w:tcPr>
          <w:p w14:paraId="327EA63F"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ACNUR</w:t>
            </w:r>
          </w:p>
        </w:tc>
        <w:tc>
          <w:tcPr>
            <w:tcW w:w="1538" w:type="dxa"/>
            <w:shd w:val="clear" w:color="auto" w:fill="DEEAF6" w:themeFill="accent5" w:themeFillTint="33"/>
          </w:tcPr>
          <w:p w14:paraId="3FBC8E29"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intermedio 2023</w:t>
            </w:r>
          </w:p>
          <w:p w14:paraId="3FA69B7A"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final 2022</w:t>
            </w:r>
          </w:p>
        </w:tc>
      </w:tr>
      <w:tr w:rsidR="0052262B" w:rsidRPr="00A0062A" w14:paraId="1A342CB6" w14:textId="77777777" w:rsidTr="00BC36D7">
        <w:trPr>
          <w:trHeight w:val="755"/>
        </w:trPr>
        <w:tc>
          <w:tcPr>
            <w:tcW w:w="3971" w:type="dxa"/>
            <w:shd w:val="clear" w:color="auto" w:fill="DEEAF6" w:themeFill="accent5" w:themeFillTint="33"/>
          </w:tcPr>
          <w:p w14:paraId="0C053CA6" w14:textId="77777777" w:rsidR="0052262B" w:rsidRDefault="0052262B" w:rsidP="009F2C7F">
            <w:pPr>
              <w:suppressAutoHyphens w:val="0"/>
              <w:jc w:val="both"/>
              <w:rPr>
                <w:rFonts w:cs="Arial"/>
                <w:sz w:val="20"/>
                <w:szCs w:val="20"/>
              </w:rPr>
            </w:pPr>
            <w:r w:rsidRPr="00A0062A">
              <w:rPr>
                <w:rFonts w:cs="Arial"/>
                <w:sz w:val="20"/>
                <w:szCs w:val="20"/>
              </w:rPr>
              <w:t xml:space="preserve">Protection and promotion of the Rights of Lesbian, Gay, Bisexual, </w:t>
            </w:r>
            <w:r w:rsidR="00BC36D7" w:rsidRPr="00A0062A">
              <w:rPr>
                <w:rFonts w:cs="Arial"/>
                <w:sz w:val="20"/>
                <w:szCs w:val="20"/>
              </w:rPr>
              <w:t>Trans,</w:t>
            </w:r>
            <w:r w:rsidRPr="00A0062A">
              <w:rPr>
                <w:rFonts w:cs="Arial"/>
                <w:sz w:val="20"/>
                <w:szCs w:val="20"/>
              </w:rPr>
              <w:t xml:space="preserve"> and Intersex Persons (2021-2024)</w:t>
            </w:r>
          </w:p>
          <w:p w14:paraId="34735AA5" w14:textId="576722A0" w:rsidR="009F2C7F" w:rsidRPr="00A0062A" w:rsidRDefault="009F2C7F" w:rsidP="009F2C7F">
            <w:pPr>
              <w:suppressAutoHyphens w:val="0"/>
              <w:jc w:val="both"/>
              <w:rPr>
                <w:rFonts w:eastAsia="Times New Roman" w:cs="Arial"/>
                <w:sz w:val="20"/>
                <w:szCs w:val="20"/>
              </w:rPr>
            </w:pPr>
          </w:p>
        </w:tc>
        <w:tc>
          <w:tcPr>
            <w:tcW w:w="1891" w:type="dxa"/>
            <w:shd w:val="clear" w:color="auto" w:fill="DEEAF6" w:themeFill="accent5" w:themeFillTint="33"/>
          </w:tcPr>
          <w:p w14:paraId="48693599" w14:textId="77777777" w:rsidR="0052262B" w:rsidRPr="00A0062A" w:rsidRDefault="0052262B" w:rsidP="009F2C7F">
            <w:pPr>
              <w:suppressAutoHyphens w:val="0"/>
              <w:ind w:hanging="3"/>
              <w:jc w:val="both"/>
              <w:rPr>
                <w:rFonts w:eastAsia="Times New Roman" w:cs="Arial"/>
                <w:sz w:val="20"/>
                <w:szCs w:val="20"/>
                <w:lang w:val="es-ES_tradnl"/>
              </w:rPr>
            </w:pPr>
            <w:r w:rsidRPr="00A0062A">
              <w:rPr>
                <w:rFonts w:cs="Arial"/>
                <w:sz w:val="20"/>
                <w:szCs w:val="20"/>
                <w:lang w:val="es-ES_tradnl"/>
              </w:rPr>
              <w:t xml:space="preserve">$150,000 </w:t>
            </w:r>
            <w:r w:rsidRPr="00A0062A">
              <w:rPr>
                <w:rFonts w:eastAsia="Times New Roman" w:cs="Arial"/>
                <w:sz w:val="20"/>
                <w:szCs w:val="20"/>
                <w:lang w:val="es-ES_tradnl"/>
              </w:rPr>
              <w:t>USD</w:t>
            </w:r>
          </w:p>
        </w:tc>
        <w:tc>
          <w:tcPr>
            <w:tcW w:w="2050" w:type="dxa"/>
            <w:shd w:val="clear" w:color="auto" w:fill="DEEAF6" w:themeFill="accent5" w:themeFillTint="33"/>
          </w:tcPr>
          <w:p w14:paraId="0739F744"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ARCUS</w:t>
            </w:r>
          </w:p>
        </w:tc>
        <w:tc>
          <w:tcPr>
            <w:tcW w:w="1538" w:type="dxa"/>
            <w:shd w:val="clear" w:color="auto" w:fill="DEEAF6" w:themeFill="accent5" w:themeFillTint="33"/>
          </w:tcPr>
          <w:p w14:paraId="55CFA685"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anual</w:t>
            </w:r>
          </w:p>
        </w:tc>
      </w:tr>
      <w:tr w:rsidR="0052262B" w:rsidRPr="00A0062A" w14:paraId="374682E0" w14:textId="77777777" w:rsidTr="001466D1">
        <w:trPr>
          <w:trHeight w:val="520"/>
        </w:trPr>
        <w:tc>
          <w:tcPr>
            <w:tcW w:w="3971" w:type="dxa"/>
            <w:shd w:val="clear" w:color="auto" w:fill="DEEAF6" w:themeFill="accent5" w:themeFillTint="33"/>
          </w:tcPr>
          <w:p w14:paraId="1FCB8DA5" w14:textId="77777777" w:rsidR="0052262B" w:rsidRDefault="0052262B" w:rsidP="009F2C7F">
            <w:pPr>
              <w:tabs>
                <w:tab w:val="left" w:pos="1246"/>
              </w:tabs>
              <w:suppressAutoHyphens w:val="0"/>
              <w:jc w:val="both"/>
              <w:rPr>
                <w:rFonts w:cs="Arial"/>
                <w:sz w:val="20"/>
                <w:szCs w:val="20"/>
                <w:lang w:val="es-ES_tradnl"/>
              </w:rPr>
            </w:pPr>
            <w:r w:rsidRPr="00A0062A">
              <w:rPr>
                <w:rFonts w:cs="Arial"/>
                <w:sz w:val="20"/>
                <w:szCs w:val="20"/>
                <w:lang w:val="es-ES_tradnl"/>
              </w:rPr>
              <w:t>Apoyo al trabajo de la Relatoría de derechos de personas Lesbianas, Gays, Bisexuales, Trans e Intersex de la CIDH. (2020-2023)</w:t>
            </w:r>
          </w:p>
          <w:p w14:paraId="5EA40746" w14:textId="77777777" w:rsidR="009F2C7F" w:rsidRPr="00A0062A" w:rsidRDefault="009F2C7F" w:rsidP="009F2C7F">
            <w:pPr>
              <w:tabs>
                <w:tab w:val="left" w:pos="1246"/>
              </w:tabs>
              <w:suppressAutoHyphens w:val="0"/>
              <w:jc w:val="both"/>
              <w:rPr>
                <w:rFonts w:eastAsia="Times New Roman" w:cs="Arial"/>
                <w:sz w:val="20"/>
                <w:szCs w:val="20"/>
                <w:lang w:val="es-ES_tradnl"/>
              </w:rPr>
            </w:pPr>
          </w:p>
        </w:tc>
        <w:tc>
          <w:tcPr>
            <w:tcW w:w="1891" w:type="dxa"/>
            <w:shd w:val="clear" w:color="auto" w:fill="DEEAF6" w:themeFill="accent5" w:themeFillTint="33"/>
          </w:tcPr>
          <w:p w14:paraId="55B7FB5E" w14:textId="77777777" w:rsidR="0052262B" w:rsidRPr="00201917" w:rsidRDefault="0052262B" w:rsidP="009F2C7F">
            <w:pPr>
              <w:tabs>
                <w:tab w:val="left" w:pos="1060"/>
              </w:tabs>
              <w:suppressAutoHyphens w:val="0"/>
              <w:ind w:hanging="3"/>
              <w:jc w:val="both"/>
              <w:rPr>
                <w:rFonts w:eastAsia="Helvetica" w:cs="Calibri"/>
                <w:sz w:val="20"/>
                <w:szCs w:val="20"/>
                <w:lang w:val="es-US" w:eastAsia="es-US"/>
              </w:rPr>
            </w:pPr>
            <w:r w:rsidRPr="00A0062A">
              <w:rPr>
                <w:rFonts w:cs="Arial"/>
                <w:sz w:val="20"/>
                <w:szCs w:val="20"/>
                <w:lang w:val="es-ES_tradnl"/>
              </w:rPr>
              <w:t>$450,000</w:t>
            </w:r>
            <w:r w:rsidRPr="00A0062A">
              <w:rPr>
                <w:rFonts w:eastAsia="Times New Roman" w:cs="Arial"/>
                <w:sz w:val="20"/>
                <w:szCs w:val="20"/>
                <w:lang w:val="es-ES_tradnl"/>
              </w:rPr>
              <w:t xml:space="preserve"> USD</w:t>
            </w:r>
          </w:p>
        </w:tc>
        <w:tc>
          <w:tcPr>
            <w:tcW w:w="2050" w:type="dxa"/>
            <w:shd w:val="clear" w:color="auto" w:fill="DEEAF6" w:themeFill="accent5" w:themeFillTint="33"/>
          </w:tcPr>
          <w:p w14:paraId="0E33376B"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Fundación para las Américas</w:t>
            </w:r>
            <w:r>
              <w:rPr>
                <w:rFonts w:eastAsia="Times New Roman" w:cs="Arial"/>
                <w:sz w:val="20"/>
                <w:szCs w:val="20"/>
                <w:lang w:val="es-ES_tradnl"/>
              </w:rPr>
              <w:t>/Wellspring Advisors</w:t>
            </w:r>
          </w:p>
        </w:tc>
        <w:tc>
          <w:tcPr>
            <w:tcW w:w="1538" w:type="dxa"/>
            <w:shd w:val="clear" w:color="auto" w:fill="DEEAF6" w:themeFill="accent5" w:themeFillTint="33"/>
          </w:tcPr>
          <w:p w14:paraId="5DE1B76C"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 xml:space="preserve">Informe Anual </w:t>
            </w:r>
          </w:p>
        </w:tc>
      </w:tr>
      <w:tr w:rsidR="0052262B" w:rsidRPr="00A0062A" w14:paraId="6D985BA1" w14:textId="77777777" w:rsidTr="001466D1">
        <w:trPr>
          <w:trHeight w:val="520"/>
        </w:trPr>
        <w:tc>
          <w:tcPr>
            <w:tcW w:w="3971" w:type="dxa"/>
            <w:shd w:val="clear" w:color="auto" w:fill="DEEAF6" w:themeFill="accent5" w:themeFillTint="33"/>
          </w:tcPr>
          <w:p w14:paraId="34BD893D" w14:textId="69AD9A5F" w:rsidR="0052262B" w:rsidRDefault="0052262B" w:rsidP="009F2C7F">
            <w:pPr>
              <w:tabs>
                <w:tab w:val="left" w:pos="1246"/>
              </w:tabs>
              <w:suppressAutoHyphens w:val="0"/>
              <w:jc w:val="both"/>
              <w:rPr>
                <w:rFonts w:eastAsia="Times New Roman" w:cs="Arial"/>
                <w:sz w:val="20"/>
                <w:szCs w:val="20"/>
                <w:lang w:val="es-ES_tradnl"/>
              </w:rPr>
            </w:pPr>
            <w:r w:rsidRPr="00A0062A">
              <w:rPr>
                <w:rFonts w:eastAsia="Times New Roman" w:cs="Arial"/>
                <w:sz w:val="20"/>
                <w:szCs w:val="20"/>
                <w:lang w:val="es-ES_tradnl"/>
              </w:rPr>
              <w:t xml:space="preserve">Incrementar la </w:t>
            </w:r>
            <w:r>
              <w:rPr>
                <w:rFonts w:eastAsia="Times New Roman" w:cs="Arial"/>
                <w:sz w:val="20"/>
                <w:szCs w:val="20"/>
                <w:lang w:val="es-ES_tradnl"/>
              </w:rPr>
              <w:t>efectividad del trabajo de la Comisión Inter</w:t>
            </w:r>
            <w:r w:rsidR="009F2C7F">
              <w:rPr>
                <w:rFonts w:eastAsia="Times New Roman" w:cs="Arial"/>
                <w:sz w:val="20"/>
                <w:szCs w:val="20"/>
                <w:lang w:val="es-ES_tradnl"/>
              </w:rPr>
              <w:t>a</w:t>
            </w:r>
            <w:r w:rsidR="00BC36D7">
              <w:rPr>
                <w:rFonts w:eastAsia="Times New Roman" w:cs="Arial"/>
                <w:sz w:val="20"/>
                <w:szCs w:val="20"/>
                <w:lang w:val="es-ES_tradnl"/>
              </w:rPr>
              <w:t>mericana durante</w:t>
            </w:r>
            <w:r>
              <w:rPr>
                <w:rFonts w:eastAsia="Times New Roman" w:cs="Arial"/>
                <w:sz w:val="20"/>
                <w:szCs w:val="20"/>
                <w:lang w:val="es-ES_tradnl"/>
              </w:rPr>
              <w:t xml:space="preserve"> 2018- </w:t>
            </w:r>
            <w:r w:rsidR="009F2C7F">
              <w:rPr>
                <w:rFonts w:eastAsia="Times New Roman" w:cs="Arial"/>
                <w:sz w:val="20"/>
                <w:szCs w:val="20"/>
                <w:lang w:val="es-ES_tradnl"/>
              </w:rPr>
              <w:t>2022</w:t>
            </w:r>
            <w:r w:rsidR="009F2C7F" w:rsidRPr="00A0062A">
              <w:rPr>
                <w:rFonts w:eastAsia="Times New Roman" w:cs="Arial"/>
                <w:sz w:val="20"/>
                <w:szCs w:val="20"/>
                <w:lang w:val="es-ES_tradnl"/>
              </w:rPr>
              <w:t xml:space="preserve"> (</w:t>
            </w:r>
            <w:r>
              <w:rPr>
                <w:rFonts w:eastAsia="Times New Roman" w:cs="Arial"/>
                <w:sz w:val="20"/>
                <w:szCs w:val="20"/>
                <w:lang w:val="es-ES_tradnl"/>
              </w:rPr>
              <w:t xml:space="preserve">finalizó </w:t>
            </w:r>
            <w:r w:rsidR="009F2C7F">
              <w:rPr>
                <w:rFonts w:eastAsia="Times New Roman" w:cs="Arial"/>
                <w:sz w:val="20"/>
                <w:szCs w:val="20"/>
                <w:lang w:val="es-ES_tradnl"/>
              </w:rPr>
              <w:t>septiembre 2023</w:t>
            </w:r>
            <w:r>
              <w:rPr>
                <w:rFonts w:eastAsia="Times New Roman" w:cs="Arial"/>
                <w:sz w:val="20"/>
                <w:szCs w:val="20"/>
                <w:lang w:val="es-ES_tradnl"/>
              </w:rPr>
              <w:t>)</w:t>
            </w:r>
          </w:p>
          <w:p w14:paraId="2717A0A5" w14:textId="7AA81C2E" w:rsidR="009F2C7F" w:rsidRPr="00A0062A" w:rsidRDefault="009F2C7F" w:rsidP="009F2C7F">
            <w:pPr>
              <w:tabs>
                <w:tab w:val="left" w:pos="1246"/>
              </w:tabs>
              <w:suppressAutoHyphens w:val="0"/>
              <w:jc w:val="both"/>
              <w:rPr>
                <w:rFonts w:eastAsia="Times New Roman" w:cs="Arial"/>
                <w:sz w:val="20"/>
                <w:szCs w:val="20"/>
                <w:lang w:val="es-ES_tradnl"/>
              </w:rPr>
            </w:pPr>
          </w:p>
        </w:tc>
        <w:tc>
          <w:tcPr>
            <w:tcW w:w="1891" w:type="dxa"/>
            <w:shd w:val="clear" w:color="auto" w:fill="DEEAF6" w:themeFill="accent5" w:themeFillTint="33"/>
          </w:tcPr>
          <w:p w14:paraId="507AA88A" w14:textId="77777777" w:rsidR="0052262B" w:rsidRPr="00A0062A" w:rsidRDefault="0052262B" w:rsidP="009F2C7F">
            <w:pPr>
              <w:tabs>
                <w:tab w:val="left" w:pos="1060"/>
              </w:tabs>
              <w:suppressAutoHyphens w:val="0"/>
              <w:ind w:hanging="3"/>
              <w:jc w:val="both"/>
              <w:rPr>
                <w:rFonts w:eastAsia="Times New Roman" w:cs="Arial"/>
                <w:sz w:val="20"/>
                <w:szCs w:val="20"/>
                <w:lang w:val="es-ES_tradnl"/>
              </w:rPr>
            </w:pPr>
            <w:r w:rsidRPr="00201917">
              <w:rPr>
                <w:rFonts w:eastAsia="Helvetica" w:cs="Calibri"/>
                <w:sz w:val="20"/>
                <w:szCs w:val="20"/>
                <w:lang w:val="es-US" w:eastAsia="es-US"/>
              </w:rPr>
              <w:t xml:space="preserve">$14,263,887 </w:t>
            </w:r>
            <w:r>
              <w:rPr>
                <w:rFonts w:eastAsia="Helvetica" w:cs="Calibri"/>
                <w:sz w:val="20"/>
                <w:szCs w:val="20"/>
                <w:lang w:val="es-US" w:eastAsia="es-US"/>
              </w:rPr>
              <w:t>USD</w:t>
            </w:r>
          </w:p>
        </w:tc>
        <w:tc>
          <w:tcPr>
            <w:tcW w:w="2050" w:type="dxa"/>
            <w:shd w:val="clear" w:color="auto" w:fill="DEEAF6" w:themeFill="accent5" w:themeFillTint="33"/>
          </w:tcPr>
          <w:p w14:paraId="0CA0A4BB"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Estados Unidos</w:t>
            </w:r>
          </w:p>
        </w:tc>
        <w:tc>
          <w:tcPr>
            <w:tcW w:w="1538" w:type="dxa"/>
            <w:shd w:val="clear" w:color="auto" w:fill="DEEAF6" w:themeFill="accent5" w:themeFillTint="33"/>
          </w:tcPr>
          <w:p w14:paraId="09DC514F"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3 informes trimestrales</w:t>
            </w:r>
          </w:p>
          <w:p w14:paraId="64280017"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 xml:space="preserve">Informe Final </w:t>
            </w:r>
          </w:p>
        </w:tc>
      </w:tr>
      <w:tr w:rsidR="0052262B" w:rsidRPr="00A0062A" w14:paraId="69950E05" w14:textId="77777777" w:rsidTr="001466D1">
        <w:trPr>
          <w:trHeight w:val="520"/>
        </w:trPr>
        <w:tc>
          <w:tcPr>
            <w:tcW w:w="3971" w:type="dxa"/>
            <w:shd w:val="clear" w:color="auto" w:fill="DEEAF6" w:themeFill="accent5" w:themeFillTint="33"/>
          </w:tcPr>
          <w:p w14:paraId="6A7C2B9A" w14:textId="77777777" w:rsidR="0052262B" w:rsidRDefault="0052262B" w:rsidP="009F2C7F">
            <w:pPr>
              <w:tabs>
                <w:tab w:val="left" w:pos="1246"/>
              </w:tabs>
              <w:suppressAutoHyphens w:val="0"/>
              <w:jc w:val="both"/>
              <w:rPr>
                <w:rFonts w:eastAsia="Times New Roman" w:cs="Arial"/>
                <w:sz w:val="20"/>
                <w:szCs w:val="20"/>
                <w:lang w:val="es-ES_tradnl"/>
              </w:rPr>
            </w:pPr>
            <w:r w:rsidRPr="00A0062A">
              <w:rPr>
                <w:rFonts w:eastAsia="Times New Roman" w:cs="Arial"/>
                <w:sz w:val="20"/>
                <w:szCs w:val="20"/>
                <w:lang w:val="es-ES_tradnl"/>
              </w:rPr>
              <w:t xml:space="preserve">Incrementar la protección y defensa de los derechos humanos en las Américas periodo 2021-2024  </w:t>
            </w:r>
          </w:p>
          <w:p w14:paraId="09001133" w14:textId="77777777" w:rsidR="00A35CEF" w:rsidRPr="00A0062A" w:rsidRDefault="00A35CEF" w:rsidP="009F2C7F">
            <w:pPr>
              <w:tabs>
                <w:tab w:val="left" w:pos="1246"/>
              </w:tabs>
              <w:suppressAutoHyphens w:val="0"/>
              <w:jc w:val="both"/>
              <w:rPr>
                <w:rFonts w:eastAsia="Helvetica" w:cs="Calibri"/>
                <w:sz w:val="20"/>
                <w:szCs w:val="20"/>
                <w:lang w:val="es-ES" w:eastAsia="es-US"/>
              </w:rPr>
            </w:pPr>
          </w:p>
        </w:tc>
        <w:tc>
          <w:tcPr>
            <w:tcW w:w="1891" w:type="dxa"/>
            <w:shd w:val="clear" w:color="auto" w:fill="DEEAF6" w:themeFill="accent5" w:themeFillTint="33"/>
          </w:tcPr>
          <w:p w14:paraId="62A07F9B" w14:textId="77777777" w:rsidR="0052262B" w:rsidRPr="00A0062A" w:rsidRDefault="0052262B" w:rsidP="009F2C7F">
            <w:pPr>
              <w:tabs>
                <w:tab w:val="left" w:pos="1060"/>
              </w:tabs>
              <w:suppressAutoHyphens w:val="0"/>
              <w:ind w:hanging="3"/>
              <w:jc w:val="both"/>
              <w:rPr>
                <w:rFonts w:eastAsia="Helvetica" w:cs="Times New Roman"/>
                <w:sz w:val="20"/>
                <w:szCs w:val="20"/>
                <w:lang w:val="es-US" w:eastAsia="es-US"/>
              </w:rPr>
            </w:pPr>
            <w:r>
              <w:rPr>
                <w:rFonts w:ascii="ArialMT_PDF_Subset" w:hAnsi="ArialMT_PDF_Subset" w:cs="ArialMT_PDF_Subset"/>
                <w:sz w:val="15"/>
                <w:szCs w:val="15"/>
              </w:rPr>
              <w:t>$</w:t>
            </w:r>
            <w:r w:rsidRPr="00F9549A">
              <w:rPr>
                <w:rFonts w:eastAsia="Helvetica" w:cs="Calibri"/>
                <w:sz w:val="20"/>
                <w:szCs w:val="20"/>
                <w:lang w:val="es-US" w:eastAsia="es-US"/>
              </w:rPr>
              <w:t>14,812,500.00 USD</w:t>
            </w:r>
          </w:p>
        </w:tc>
        <w:tc>
          <w:tcPr>
            <w:tcW w:w="2050" w:type="dxa"/>
            <w:shd w:val="clear" w:color="auto" w:fill="DEEAF6" w:themeFill="accent5" w:themeFillTint="33"/>
          </w:tcPr>
          <w:p w14:paraId="424C5259"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Estados Unidos</w:t>
            </w:r>
          </w:p>
        </w:tc>
        <w:tc>
          <w:tcPr>
            <w:tcW w:w="1538" w:type="dxa"/>
            <w:shd w:val="clear" w:color="auto" w:fill="DEEAF6" w:themeFill="accent5" w:themeFillTint="33"/>
          </w:tcPr>
          <w:p w14:paraId="04FFEF89"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4 informes trimestrales</w:t>
            </w:r>
          </w:p>
        </w:tc>
      </w:tr>
      <w:tr w:rsidR="0052262B" w:rsidRPr="00A0062A" w14:paraId="40716770" w14:textId="77777777" w:rsidTr="00A35CEF">
        <w:trPr>
          <w:trHeight w:val="773"/>
        </w:trPr>
        <w:tc>
          <w:tcPr>
            <w:tcW w:w="3971" w:type="dxa"/>
            <w:shd w:val="clear" w:color="auto" w:fill="DEEAF6" w:themeFill="accent5" w:themeFillTint="33"/>
          </w:tcPr>
          <w:p w14:paraId="1647B8F3" w14:textId="77777777" w:rsidR="0052262B" w:rsidRPr="00BA5760" w:rsidRDefault="0052262B" w:rsidP="009F2C7F">
            <w:pPr>
              <w:tabs>
                <w:tab w:val="left" w:pos="1246"/>
              </w:tabs>
              <w:suppressAutoHyphens w:val="0"/>
              <w:jc w:val="both"/>
              <w:rPr>
                <w:rFonts w:eastAsia="Helvetica" w:cs="Calibri"/>
                <w:sz w:val="20"/>
                <w:szCs w:val="20"/>
                <w:lang w:val="es-ES" w:eastAsia="es-US"/>
              </w:rPr>
            </w:pPr>
            <w:r w:rsidRPr="00BA5760">
              <w:rPr>
                <w:rFonts w:eastAsia="Helvetica" w:cs="Calibri"/>
                <w:sz w:val="20"/>
                <w:szCs w:val="20"/>
                <w:lang w:val="es-ES" w:eastAsia="es-US"/>
              </w:rPr>
              <w:t>Monitoreo de la situaci</w:t>
            </w:r>
            <w:r>
              <w:rPr>
                <w:rFonts w:eastAsia="Helvetica" w:cs="Calibri"/>
                <w:sz w:val="20"/>
                <w:szCs w:val="20"/>
                <w:lang w:val="es-ES" w:eastAsia="es-US"/>
              </w:rPr>
              <w:t>ó</w:t>
            </w:r>
            <w:r w:rsidRPr="00BA5760">
              <w:rPr>
                <w:rFonts w:eastAsia="Helvetica" w:cs="Calibri"/>
                <w:sz w:val="20"/>
                <w:szCs w:val="20"/>
                <w:lang w:val="es-ES" w:eastAsia="es-US"/>
              </w:rPr>
              <w:t>n de D</w:t>
            </w:r>
            <w:r>
              <w:rPr>
                <w:rFonts w:eastAsia="Helvetica" w:cs="Calibri"/>
                <w:sz w:val="20"/>
                <w:szCs w:val="20"/>
                <w:lang w:val="es-ES" w:eastAsia="es-US"/>
              </w:rPr>
              <w:t xml:space="preserve">erechos Humanos </w:t>
            </w:r>
            <w:r w:rsidRPr="00BA5760">
              <w:rPr>
                <w:rFonts w:eastAsia="Helvetica" w:cs="Calibri"/>
                <w:sz w:val="20"/>
                <w:szCs w:val="20"/>
                <w:lang w:val="es-ES" w:eastAsia="es-US"/>
              </w:rPr>
              <w:t>Nicaragua I</w:t>
            </w:r>
            <w:r>
              <w:rPr>
                <w:rFonts w:eastAsia="Helvetica" w:cs="Calibri"/>
                <w:sz w:val="20"/>
                <w:szCs w:val="20"/>
                <w:lang w:val="es-ES" w:eastAsia="es-US"/>
              </w:rPr>
              <w:t>I</w:t>
            </w:r>
            <w:r w:rsidRPr="00BA5760">
              <w:rPr>
                <w:rFonts w:eastAsia="Helvetica" w:cs="Calibri"/>
                <w:sz w:val="20"/>
                <w:szCs w:val="20"/>
                <w:lang w:val="es-ES" w:eastAsia="es-US"/>
              </w:rPr>
              <w:t>.</w:t>
            </w:r>
          </w:p>
        </w:tc>
        <w:tc>
          <w:tcPr>
            <w:tcW w:w="1891" w:type="dxa"/>
            <w:shd w:val="clear" w:color="auto" w:fill="DEEAF6" w:themeFill="accent5" w:themeFillTint="33"/>
          </w:tcPr>
          <w:p w14:paraId="588F01AA" w14:textId="77777777" w:rsidR="0052262B" w:rsidRPr="00A0062A" w:rsidRDefault="0052262B" w:rsidP="009F2C7F">
            <w:pPr>
              <w:tabs>
                <w:tab w:val="left" w:pos="1060"/>
              </w:tabs>
              <w:suppressAutoHyphens w:val="0"/>
              <w:ind w:hanging="3"/>
              <w:jc w:val="both"/>
              <w:rPr>
                <w:rFonts w:eastAsia="Helvetica" w:cs="Times New Roman"/>
                <w:sz w:val="20"/>
                <w:szCs w:val="20"/>
                <w:lang w:val="es-US" w:eastAsia="es-US"/>
              </w:rPr>
            </w:pPr>
            <w:r w:rsidRPr="00201917">
              <w:rPr>
                <w:rFonts w:eastAsia="Helvetica" w:cs="Times New Roman"/>
                <w:sz w:val="20"/>
                <w:szCs w:val="20"/>
                <w:lang w:val="es-US" w:eastAsia="es-US"/>
              </w:rPr>
              <w:t xml:space="preserve">$119,870 </w:t>
            </w:r>
            <w:r>
              <w:rPr>
                <w:rFonts w:eastAsia="Helvetica" w:cs="Times New Roman"/>
                <w:sz w:val="20"/>
                <w:szCs w:val="20"/>
                <w:lang w:val="es-US" w:eastAsia="es-US"/>
              </w:rPr>
              <w:t>USD</w:t>
            </w:r>
          </w:p>
        </w:tc>
        <w:tc>
          <w:tcPr>
            <w:tcW w:w="2050" w:type="dxa"/>
            <w:shd w:val="clear" w:color="auto" w:fill="DEEAF6" w:themeFill="accent5" w:themeFillTint="33"/>
          </w:tcPr>
          <w:p w14:paraId="013FCA3A" w14:textId="77777777" w:rsidR="0052262B" w:rsidRPr="00BA5760" w:rsidRDefault="0052262B" w:rsidP="009F2C7F">
            <w:pPr>
              <w:suppressAutoHyphens w:val="0"/>
              <w:jc w:val="both"/>
              <w:rPr>
                <w:rFonts w:eastAsia="Times New Roman" w:cs="Arial"/>
                <w:sz w:val="20"/>
                <w:szCs w:val="20"/>
              </w:rPr>
            </w:pPr>
            <w:r>
              <w:rPr>
                <w:rFonts w:eastAsia="Times New Roman" w:cs="Arial"/>
                <w:sz w:val="20"/>
                <w:szCs w:val="20"/>
              </w:rPr>
              <w:t xml:space="preserve">Fondo Español para OEA </w:t>
            </w:r>
          </w:p>
        </w:tc>
        <w:tc>
          <w:tcPr>
            <w:tcW w:w="1538" w:type="dxa"/>
            <w:shd w:val="clear" w:color="auto" w:fill="DEEAF6" w:themeFill="accent5" w:themeFillTint="33"/>
          </w:tcPr>
          <w:p w14:paraId="073DC307"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intermedio</w:t>
            </w:r>
          </w:p>
          <w:p w14:paraId="676FA09C"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Final</w:t>
            </w:r>
          </w:p>
        </w:tc>
      </w:tr>
      <w:tr w:rsidR="0052262B" w:rsidRPr="00A0062A" w14:paraId="52669DF5" w14:textId="77777777" w:rsidTr="001466D1">
        <w:trPr>
          <w:trHeight w:val="520"/>
        </w:trPr>
        <w:tc>
          <w:tcPr>
            <w:tcW w:w="3971" w:type="dxa"/>
            <w:shd w:val="clear" w:color="auto" w:fill="DEEAF6" w:themeFill="accent5" w:themeFillTint="33"/>
          </w:tcPr>
          <w:p w14:paraId="3C6C5D93" w14:textId="77777777" w:rsidR="0052262B" w:rsidRDefault="0052262B" w:rsidP="009F2C7F">
            <w:pPr>
              <w:tabs>
                <w:tab w:val="left" w:pos="1246"/>
              </w:tabs>
              <w:suppressAutoHyphens w:val="0"/>
              <w:jc w:val="both"/>
              <w:rPr>
                <w:rFonts w:eastAsia="Helvetica" w:cs="Calibri"/>
                <w:sz w:val="20"/>
                <w:szCs w:val="20"/>
                <w:lang w:val="es-ES" w:eastAsia="es-US"/>
              </w:rPr>
            </w:pPr>
            <w:r w:rsidRPr="00A0062A">
              <w:rPr>
                <w:rFonts w:eastAsia="Helvetica" w:cs="Calibri"/>
                <w:sz w:val="20"/>
                <w:szCs w:val="20"/>
                <w:lang w:val="es-ES" w:eastAsia="es-US"/>
              </w:rPr>
              <w:t>Monitoreo de la Situación de Derechos humanos en Nicaragua. (2023-2024)</w:t>
            </w:r>
          </w:p>
          <w:p w14:paraId="5999FEEA" w14:textId="77777777" w:rsidR="00A35CEF" w:rsidRPr="00A0062A" w:rsidRDefault="00A35CEF" w:rsidP="009F2C7F">
            <w:pPr>
              <w:tabs>
                <w:tab w:val="left" w:pos="1246"/>
              </w:tabs>
              <w:suppressAutoHyphens w:val="0"/>
              <w:jc w:val="both"/>
              <w:rPr>
                <w:rFonts w:eastAsia="Times New Roman" w:cs="Arial"/>
                <w:sz w:val="20"/>
                <w:szCs w:val="20"/>
                <w:lang w:val="es-ES_tradnl"/>
              </w:rPr>
            </w:pPr>
          </w:p>
        </w:tc>
        <w:tc>
          <w:tcPr>
            <w:tcW w:w="1891" w:type="dxa"/>
            <w:shd w:val="clear" w:color="auto" w:fill="DEEAF6" w:themeFill="accent5" w:themeFillTint="33"/>
          </w:tcPr>
          <w:p w14:paraId="03D53EF0" w14:textId="77777777" w:rsidR="0052262B" w:rsidRPr="00A0062A" w:rsidRDefault="0052262B" w:rsidP="009F2C7F">
            <w:pPr>
              <w:tabs>
                <w:tab w:val="left" w:pos="1060"/>
              </w:tabs>
              <w:suppressAutoHyphens w:val="0"/>
              <w:ind w:hanging="3"/>
              <w:jc w:val="both"/>
              <w:rPr>
                <w:rFonts w:eastAsia="Times New Roman" w:cs="Arial"/>
                <w:sz w:val="20"/>
                <w:szCs w:val="20"/>
                <w:lang w:val="es-ES_tradnl"/>
              </w:rPr>
            </w:pPr>
            <w:r w:rsidRPr="00A0062A">
              <w:rPr>
                <w:rFonts w:eastAsia="Helvetica" w:cs="Times New Roman"/>
                <w:sz w:val="20"/>
                <w:szCs w:val="20"/>
                <w:lang w:val="es-US" w:eastAsia="es-US"/>
              </w:rPr>
              <w:t>$97,174 USD</w:t>
            </w:r>
          </w:p>
        </w:tc>
        <w:tc>
          <w:tcPr>
            <w:tcW w:w="2050" w:type="dxa"/>
            <w:shd w:val="clear" w:color="auto" w:fill="DEEAF6" w:themeFill="accent5" w:themeFillTint="33"/>
          </w:tcPr>
          <w:p w14:paraId="26DC2E31"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España</w:t>
            </w:r>
          </w:p>
        </w:tc>
        <w:tc>
          <w:tcPr>
            <w:tcW w:w="1538" w:type="dxa"/>
            <w:shd w:val="clear" w:color="auto" w:fill="DEEAF6" w:themeFill="accent5" w:themeFillTint="33"/>
          </w:tcPr>
          <w:p w14:paraId="67E4DFB2"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intermedio</w:t>
            </w:r>
          </w:p>
        </w:tc>
      </w:tr>
      <w:tr w:rsidR="0052262B" w:rsidRPr="00A0062A" w14:paraId="5F0236D5" w14:textId="77777777" w:rsidTr="001466D1">
        <w:trPr>
          <w:trHeight w:val="520"/>
        </w:trPr>
        <w:tc>
          <w:tcPr>
            <w:tcW w:w="3971" w:type="dxa"/>
            <w:shd w:val="clear" w:color="auto" w:fill="DEEAF6" w:themeFill="accent5" w:themeFillTint="33"/>
          </w:tcPr>
          <w:p w14:paraId="45C6A83B" w14:textId="77777777" w:rsidR="0052262B" w:rsidRPr="00A0062A" w:rsidRDefault="0052262B" w:rsidP="009F2C7F">
            <w:pPr>
              <w:tabs>
                <w:tab w:val="left" w:pos="1246"/>
              </w:tabs>
              <w:suppressAutoHyphens w:val="0"/>
              <w:jc w:val="both"/>
              <w:rPr>
                <w:rFonts w:cs="Arial"/>
                <w:sz w:val="20"/>
                <w:szCs w:val="20"/>
                <w:lang w:val="es-ES_tradnl"/>
              </w:rPr>
            </w:pPr>
            <w:r w:rsidRPr="00A0062A">
              <w:rPr>
                <w:rFonts w:eastAsia="Helvetica" w:cs="Calibri"/>
                <w:sz w:val="20"/>
                <w:szCs w:val="20"/>
                <w:lang w:val="es-ES" w:eastAsia="es-US"/>
              </w:rPr>
              <w:t>Apoyo a seguimiento de las recomendaciones del GIEI Bolivia (2023-2024)</w:t>
            </w:r>
          </w:p>
        </w:tc>
        <w:tc>
          <w:tcPr>
            <w:tcW w:w="1891" w:type="dxa"/>
            <w:shd w:val="clear" w:color="auto" w:fill="DEEAF6" w:themeFill="accent5" w:themeFillTint="33"/>
          </w:tcPr>
          <w:p w14:paraId="7130AC4F" w14:textId="77777777" w:rsidR="0052262B" w:rsidRPr="00A0062A" w:rsidRDefault="0052262B" w:rsidP="009F2C7F">
            <w:pPr>
              <w:tabs>
                <w:tab w:val="left" w:pos="1060"/>
              </w:tabs>
              <w:suppressAutoHyphens w:val="0"/>
              <w:ind w:hanging="3"/>
              <w:jc w:val="both"/>
              <w:rPr>
                <w:rFonts w:eastAsia="Times New Roman" w:cs="Arial"/>
                <w:sz w:val="20"/>
                <w:szCs w:val="20"/>
                <w:lang w:val="es-ES_tradnl"/>
              </w:rPr>
            </w:pPr>
            <w:r w:rsidRPr="00A0062A">
              <w:rPr>
                <w:rFonts w:eastAsia="Times New Roman" w:cs="Arial"/>
                <w:sz w:val="20"/>
                <w:szCs w:val="20"/>
                <w:lang w:val="es-ES_tradnl"/>
              </w:rPr>
              <w:t>$234,100 USD</w:t>
            </w:r>
          </w:p>
        </w:tc>
        <w:tc>
          <w:tcPr>
            <w:tcW w:w="2050" w:type="dxa"/>
            <w:shd w:val="clear" w:color="auto" w:fill="DEEAF6" w:themeFill="accent5" w:themeFillTint="33"/>
          </w:tcPr>
          <w:p w14:paraId="734F3A79"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 xml:space="preserve">España </w:t>
            </w:r>
          </w:p>
        </w:tc>
        <w:tc>
          <w:tcPr>
            <w:tcW w:w="1538" w:type="dxa"/>
            <w:shd w:val="clear" w:color="auto" w:fill="DEEAF6" w:themeFill="accent5" w:themeFillTint="33"/>
          </w:tcPr>
          <w:p w14:paraId="418323D3"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Dos Informes intermedio</w:t>
            </w:r>
          </w:p>
        </w:tc>
      </w:tr>
      <w:tr w:rsidR="0052262B" w:rsidRPr="00A0062A" w14:paraId="6F53EAE3" w14:textId="77777777" w:rsidTr="00703AF4">
        <w:trPr>
          <w:trHeight w:val="520"/>
        </w:trPr>
        <w:tc>
          <w:tcPr>
            <w:tcW w:w="3971" w:type="dxa"/>
            <w:shd w:val="clear" w:color="auto" w:fill="DEEAF6" w:themeFill="accent5" w:themeFillTint="33"/>
          </w:tcPr>
          <w:p w14:paraId="77CC2ADE" w14:textId="77777777" w:rsidR="0052262B" w:rsidRDefault="0052262B" w:rsidP="009F2C7F">
            <w:pPr>
              <w:suppressAutoHyphens w:val="0"/>
              <w:jc w:val="both"/>
              <w:rPr>
                <w:rFonts w:eastAsia="Helvetica" w:cs="Calibri"/>
                <w:sz w:val="20"/>
                <w:szCs w:val="20"/>
                <w:lang w:val="es-US" w:eastAsia="es-US"/>
              </w:rPr>
            </w:pPr>
            <w:r w:rsidRPr="00A0062A">
              <w:rPr>
                <w:rFonts w:eastAsia="Helvetica" w:cs="Calibri"/>
                <w:sz w:val="20"/>
                <w:szCs w:val="20"/>
                <w:lang w:val="es-US" w:eastAsia="es-US"/>
              </w:rPr>
              <w:lastRenderedPageBreak/>
              <w:t>Apoyar el Sistema de Peticiones y Casos de la CIDH. Programa de atraso en tramitación (anual)</w:t>
            </w:r>
          </w:p>
          <w:p w14:paraId="72FE79C5" w14:textId="77777777" w:rsidR="00A35CEF" w:rsidRPr="00A0062A" w:rsidRDefault="00A35CEF" w:rsidP="009F2C7F">
            <w:pPr>
              <w:suppressAutoHyphens w:val="0"/>
              <w:jc w:val="both"/>
              <w:rPr>
                <w:rFonts w:eastAsia="Times New Roman" w:cs="Arial"/>
                <w:sz w:val="20"/>
                <w:szCs w:val="20"/>
                <w:lang w:val="es-ES_tradnl"/>
              </w:rPr>
            </w:pPr>
          </w:p>
        </w:tc>
        <w:tc>
          <w:tcPr>
            <w:tcW w:w="1891" w:type="dxa"/>
            <w:shd w:val="clear" w:color="auto" w:fill="DEEAF6" w:themeFill="accent5" w:themeFillTint="33"/>
            <w:vAlign w:val="center"/>
          </w:tcPr>
          <w:p w14:paraId="27926617" w14:textId="0D0D3FEB" w:rsidR="0052262B" w:rsidRPr="00A0062A" w:rsidRDefault="0052262B" w:rsidP="009F2C7F">
            <w:pPr>
              <w:suppressAutoHyphens w:val="0"/>
              <w:ind w:hanging="3"/>
              <w:jc w:val="both"/>
              <w:rPr>
                <w:rFonts w:eastAsia="Times New Roman" w:cs="Arial"/>
                <w:sz w:val="20"/>
                <w:szCs w:val="20"/>
                <w:lang w:val="es-ES_tradnl"/>
              </w:rPr>
            </w:pPr>
            <w:r w:rsidRPr="00A0062A">
              <w:rPr>
                <w:rFonts w:eastAsia="Helvetica" w:cs="Calibri"/>
                <w:sz w:val="20"/>
                <w:szCs w:val="20"/>
                <w:lang w:val="es-ES" w:eastAsia="es-US"/>
              </w:rPr>
              <w:t xml:space="preserve">50.000 </w:t>
            </w:r>
            <w:r w:rsidR="00BC36D7" w:rsidRPr="00A0062A">
              <w:rPr>
                <w:rFonts w:eastAsia="Helvetica" w:cs="Calibri"/>
                <w:sz w:val="20"/>
                <w:szCs w:val="20"/>
                <w:lang w:val="es-ES" w:eastAsia="es-US"/>
              </w:rPr>
              <w:t>euros</w:t>
            </w:r>
          </w:p>
        </w:tc>
        <w:tc>
          <w:tcPr>
            <w:tcW w:w="2050" w:type="dxa"/>
            <w:shd w:val="clear" w:color="auto" w:fill="DEEAF6" w:themeFill="accent5" w:themeFillTint="33"/>
          </w:tcPr>
          <w:p w14:paraId="1A8E189A" w14:textId="77777777" w:rsidR="0052262B" w:rsidRPr="00A0062A" w:rsidRDefault="0052262B" w:rsidP="00703AF4">
            <w:pPr>
              <w:suppressAutoHyphens w:val="0"/>
              <w:rPr>
                <w:rFonts w:eastAsia="Times New Roman" w:cs="Arial"/>
                <w:sz w:val="20"/>
                <w:szCs w:val="20"/>
                <w:lang w:val="es-ES_tradnl"/>
              </w:rPr>
            </w:pPr>
            <w:r w:rsidRPr="00A0062A">
              <w:rPr>
                <w:rFonts w:eastAsia="Times New Roman" w:cs="Arial"/>
                <w:sz w:val="20"/>
                <w:szCs w:val="20"/>
                <w:lang w:val="es-ES_tradnl"/>
              </w:rPr>
              <w:t>Irlanda</w:t>
            </w:r>
          </w:p>
        </w:tc>
        <w:tc>
          <w:tcPr>
            <w:tcW w:w="1538" w:type="dxa"/>
            <w:shd w:val="clear" w:color="auto" w:fill="DEEAF6" w:themeFill="accent5" w:themeFillTint="33"/>
          </w:tcPr>
          <w:p w14:paraId="58527B60"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anual</w:t>
            </w:r>
          </w:p>
        </w:tc>
      </w:tr>
      <w:tr w:rsidR="0052262B" w:rsidRPr="00A0062A" w14:paraId="2528CDDF" w14:textId="77777777" w:rsidTr="001466D1">
        <w:trPr>
          <w:trHeight w:val="520"/>
        </w:trPr>
        <w:tc>
          <w:tcPr>
            <w:tcW w:w="3971" w:type="dxa"/>
            <w:shd w:val="clear" w:color="auto" w:fill="DEEAF6" w:themeFill="accent5" w:themeFillTint="33"/>
          </w:tcPr>
          <w:p w14:paraId="0166FE94" w14:textId="77777777" w:rsidR="0052262B" w:rsidRPr="00A0062A" w:rsidRDefault="0052262B" w:rsidP="009F2C7F">
            <w:pPr>
              <w:suppressAutoHyphens w:val="0"/>
              <w:jc w:val="both"/>
              <w:rPr>
                <w:rFonts w:eastAsia="Times New Roman" w:cs="Arial"/>
                <w:sz w:val="20"/>
                <w:szCs w:val="20"/>
                <w:lang w:val="es-CO"/>
              </w:rPr>
            </w:pPr>
            <w:r>
              <w:rPr>
                <w:rFonts w:eastAsia="Times New Roman" w:cs="Arial"/>
                <w:sz w:val="20"/>
                <w:szCs w:val="20"/>
                <w:lang w:val="es-CO"/>
              </w:rPr>
              <w:t>Derechos Laborales y sindicales en Cuba</w:t>
            </w:r>
          </w:p>
        </w:tc>
        <w:tc>
          <w:tcPr>
            <w:tcW w:w="1891" w:type="dxa"/>
            <w:shd w:val="clear" w:color="auto" w:fill="DEEAF6" w:themeFill="accent5" w:themeFillTint="33"/>
            <w:vAlign w:val="center"/>
          </w:tcPr>
          <w:p w14:paraId="67412DD5" w14:textId="77777777" w:rsidR="0052262B" w:rsidRPr="00A0062A" w:rsidRDefault="0052262B" w:rsidP="009F2C7F">
            <w:pPr>
              <w:suppressAutoHyphens w:val="0"/>
              <w:ind w:hanging="3"/>
              <w:jc w:val="both"/>
              <w:rPr>
                <w:rFonts w:eastAsia="Times New Roman" w:cs="Arial"/>
                <w:sz w:val="20"/>
                <w:szCs w:val="20"/>
                <w:highlight w:val="yellow"/>
                <w:lang w:val="es-CO"/>
              </w:rPr>
            </w:pPr>
            <w:r w:rsidRPr="00773F30">
              <w:rPr>
                <w:rFonts w:eastAsia="Times New Roman" w:cs="Arial"/>
                <w:sz w:val="20"/>
                <w:szCs w:val="20"/>
                <w:lang w:val="es-CO"/>
              </w:rPr>
              <w:t>$470,000</w:t>
            </w:r>
            <w:r>
              <w:rPr>
                <w:rFonts w:eastAsia="Times New Roman" w:cs="Arial"/>
                <w:sz w:val="20"/>
                <w:szCs w:val="20"/>
                <w:lang w:val="es-CO"/>
              </w:rPr>
              <w:t xml:space="preserve"> USD</w:t>
            </w:r>
          </w:p>
        </w:tc>
        <w:tc>
          <w:tcPr>
            <w:tcW w:w="2050" w:type="dxa"/>
            <w:shd w:val="clear" w:color="auto" w:fill="DEEAF6" w:themeFill="accent5" w:themeFillTint="33"/>
          </w:tcPr>
          <w:p w14:paraId="4A883BD1" w14:textId="77777777" w:rsidR="0052262B" w:rsidRPr="00A0062A" w:rsidRDefault="0052262B" w:rsidP="009F2C7F">
            <w:pPr>
              <w:suppressAutoHyphens w:val="0"/>
              <w:jc w:val="both"/>
              <w:rPr>
                <w:rFonts w:eastAsia="Times New Roman" w:cs="Arial"/>
                <w:sz w:val="20"/>
                <w:szCs w:val="20"/>
                <w:lang w:val="es-CO"/>
              </w:rPr>
            </w:pPr>
            <w:r>
              <w:rPr>
                <w:rFonts w:eastAsia="Times New Roman" w:cs="Arial"/>
                <w:sz w:val="20"/>
                <w:szCs w:val="20"/>
                <w:lang w:val="es-CO"/>
              </w:rPr>
              <w:t>PADF</w:t>
            </w:r>
          </w:p>
        </w:tc>
        <w:tc>
          <w:tcPr>
            <w:tcW w:w="1538" w:type="dxa"/>
            <w:shd w:val="clear" w:color="auto" w:fill="DEEAF6" w:themeFill="accent5" w:themeFillTint="33"/>
          </w:tcPr>
          <w:p w14:paraId="676B9465"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final</w:t>
            </w:r>
          </w:p>
        </w:tc>
      </w:tr>
      <w:tr w:rsidR="0052262B" w:rsidRPr="00A0062A" w14:paraId="6D049841" w14:textId="77777777" w:rsidTr="001466D1">
        <w:trPr>
          <w:trHeight w:val="520"/>
        </w:trPr>
        <w:tc>
          <w:tcPr>
            <w:tcW w:w="3971" w:type="dxa"/>
            <w:shd w:val="clear" w:color="auto" w:fill="DEEAF6" w:themeFill="accent5" w:themeFillTint="33"/>
          </w:tcPr>
          <w:p w14:paraId="0B451A17" w14:textId="77777777" w:rsidR="0052262B"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Bases para Justicia Transicional en Nicaragua- fase II (</w:t>
            </w:r>
            <w:r w:rsidR="00BC36D7" w:rsidRPr="00A0062A">
              <w:rPr>
                <w:rFonts w:eastAsia="Times New Roman" w:cs="Arial"/>
                <w:sz w:val="20"/>
                <w:szCs w:val="20"/>
                <w:lang w:val="es-ES_tradnl"/>
              </w:rPr>
              <w:t>febrero</w:t>
            </w:r>
            <w:r w:rsidRPr="00A0062A">
              <w:rPr>
                <w:rFonts w:eastAsia="Times New Roman" w:cs="Arial"/>
                <w:sz w:val="20"/>
                <w:szCs w:val="20"/>
                <w:lang w:val="es-ES_tradnl"/>
              </w:rPr>
              <w:t xml:space="preserve"> de 2024)</w:t>
            </w:r>
          </w:p>
          <w:p w14:paraId="296E9C0F" w14:textId="22967459" w:rsidR="00703AF4" w:rsidRPr="00A0062A" w:rsidRDefault="00703AF4" w:rsidP="009F2C7F">
            <w:pPr>
              <w:suppressAutoHyphens w:val="0"/>
              <w:jc w:val="both"/>
              <w:rPr>
                <w:rFonts w:eastAsia="Times New Roman" w:cs="Arial"/>
                <w:sz w:val="20"/>
                <w:szCs w:val="20"/>
                <w:highlight w:val="yellow"/>
                <w:lang w:val="es-ES_tradnl"/>
              </w:rPr>
            </w:pPr>
          </w:p>
        </w:tc>
        <w:tc>
          <w:tcPr>
            <w:tcW w:w="1891" w:type="dxa"/>
            <w:shd w:val="clear" w:color="auto" w:fill="DEEAF6" w:themeFill="accent5" w:themeFillTint="33"/>
          </w:tcPr>
          <w:p w14:paraId="1365C032" w14:textId="77777777" w:rsidR="0052262B" w:rsidRPr="00A0062A" w:rsidRDefault="0052262B" w:rsidP="009F2C7F">
            <w:pPr>
              <w:suppressAutoHyphens w:val="0"/>
              <w:ind w:hanging="3"/>
              <w:jc w:val="both"/>
              <w:rPr>
                <w:rFonts w:eastAsia="Times New Roman" w:cs="Arial"/>
                <w:sz w:val="20"/>
                <w:szCs w:val="20"/>
                <w:lang w:val="es-ES_tradnl"/>
              </w:rPr>
            </w:pPr>
            <w:r w:rsidRPr="00A0062A">
              <w:rPr>
                <w:rFonts w:eastAsia="Times New Roman" w:cs="Arial"/>
                <w:sz w:val="20"/>
                <w:szCs w:val="20"/>
                <w:lang w:val="es-ES_tradnl"/>
              </w:rPr>
              <w:t>$260,875 USD</w:t>
            </w:r>
          </w:p>
        </w:tc>
        <w:tc>
          <w:tcPr>
            <w:tcW w:w="2050" w:type="dxa"/>
            <w:shd w:val="clear" w:color="auto" w:fill="DEEAF6" w:themeFill="accent5" w:themeFillTint="33"/>
          </w:tcPr>
          <w:p w14:paraId="418B0259"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PADF</w:t>
            </w:r>
          </w:p>
        </w:tc>
        <w:tc>
          <w:tcPr>
            <w:tcW w:w="1538" w:type="dxa"/>
            <w:shd w:val="clear" w:color="auto" w:fill="DEEAF6" w:themeFill="accent5" w:themeFillTint="33"/>
          </w:tcPr>
          <w:p w14:paraId="0CE5F56A"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Tres informes Trimestrales</w:t>
            </w:r>
          </w:p>
        </w:tc>
      </w:tr>
      <w:tr w:rsidR="0052262B" w:rsidRPr="00A0062A" w14:paraId="7FE020D9" w14:textId="77777777" w:rsidTr="001466D1">
        <w:trPr>
          <w:trHeight w:val="355"/>
        </w:trPr>
        <w:tc>
          <w:tcPr>
            <w:tcW w:w="3971" w:type="dxa"/>
            <w:shd w:val="clear" w:color="auto" w:fill="DEEAF6" w:themeFill="accent5" w:themeFillTint="33"/>
            <w:hideMark/>
          </w:tcPr>
          <w:p w14:paraId="192C75DB" w14:textId="77777777" w:rsidR="0052262B"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“Promover y proteger los derechos humanos en el Triángulo Norte de América Central” Fase II (noviembre de 2023)</w:t>
            </w:r>
          </w:p>
          <w:p w14:paraId="6451F105" w14:textId="77777777" w:rsidR="00703AF4" w:rsidRPr="00A0062A" w:rsidRDefault="00703AF4" w:rsidP="009F2C7F">
            <w:pPr>
              <w:suppressAutoHyphens w:val="0"/>
              <w:jc w:val="both"/>
              <w:rPr>
                <w:rFonts w:eastAsia="Times New Roman" w:cs="Arial"/>
                <w:sz w:val="20"/>
                <w:szCs w:val="20"/>
                <w:lang w:val="es-ES_tradnl"/>
              </w:rPr>
            </w:pPr>
          </w:p>
        </w:tc>
        <w:tc>
          <w:tcPr>
            <w:tcW w:w="1891" w:type="dxa"/>
            <w:shd w:val="clear" w:color="auto" w:fill="DEEAF6" w:themeFill="accent5" w:themeFillTint="33"/>
          </w:tcPr>
          <w:p w14:paraId="36982CF3" w14:textId="77777777" w:rsidR="0052262B" w:rsidRPr="00A0062A" w:rsidRDefault="0052262B" w:rsidP="009F2C7F">
            <w:pPr>
              <w:suppressAutoHyphens w:val="0"/>
              <w:ind w:hanging="3"/>
              <w:jc w:val="both"/>
              <w:rPr>
                <w:rFonts w:eastAsia="Times New Roman" w:cs="Arial"/>
                <w:sz w:val="20"/>
                <w:szCs w:val="20"/>
                <w:lang w:val="es-ES_tradnl"/>
              </w:rPr>
            </w:pPr>
            <w:r w:rsidRPr="00A0062A">
              <w:rPr>
                <w:rFonts w:eastAsia="Times New Roman" w:cs="Arial"/>
                <w:sz w:val="20"/>
                <w:szCs w:val="20"/>
                <w:lang w:val="es-ES_tradnl"/>
              </w:rPr>
              <w:t>$250,000 USD</w:t>
            </w:r>
          </w:p>
        </w:tc>
        <w:tc>
          <w:tcPr>
            <w:tcW w:w="2050" w:type="dxa"/>
            <w:shd w:val="clear" w:color="auto" w:fill="DEEAF6" w:themeFill="accent5" w:themeFillTint="33"/>
            <w:hideMark/>
          </w:tcPr>
          <w:p w14:paraId="070141D8"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PADF</w:t>
            </w:r>
          </w:p>
        </w:tc>
        <w:tc>
          <w:tcPr>
            <w:tcW w:w="1538" w:type="dxa"/>
            <w:shd w:val="clear" w:color="auto" w:fill="DEEAF6" w:themeFill="accent5" w:themeFillTint="33"/>
          </w:tcPr>
          <w:p w14:paraId="5647AD98" w14:textId="05BDDF42"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Tres informes trimestrales</w:t>
            </w:r>
          </w:p>
          <w:p w14:paraId="16DB8DEB"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Informe Final</w:t>
            </w:r>
          </w:p>
        </w:tc>
      </w:tr>
      <w:tr w:rsidR="0052262B" w:rsidRPr="00321767" w14:paraId="0CD53681" w14:textId="77777777" w:rsidTr="001466D1">
        <w:trPr>
          <w:trHeight w:val="355"/>
        </w:trPr>
        <w:tc>
          <w:tcPr>
            <w:tcW w:w="3971" w:type="dxa"/>
            <w:shd w:val="clear" w:color="auto" w:fill="DEEAF6" w:themeFill="accent5" w:themeFillTint="33"/>
          </w:tcPr>
          <w:p w14:paraId="545912AD" w14:textId="1A0BD0C1"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 xml:space="preserve">“Fortalecimiento de la protección de los derechos humanos con énfasis en las poblaciones </w:t>
            </w:r>
            <w:r w:rsidR="00BC36D7" w:rsidRPr="00A0062A">
              <w:rPr>
                <w:rFonts w:eastAsia="Times New Roman" w:cs="Arial"/>
                <w:sz w:val="20"/>
                <w:szCs w:val="20"/>
                <w:lang w:val="es-ES_tradnl"/>
              </w:rPr>
              <w:t>más</w:t>
            </w:r>
            <w:r w:rsidRPr="00A0062A">
              <w:rPr>
                <w:rFonts w:eastAsia="Times New Roman" w:cs="Arial"/>
                <w:sz w:val="20"/>
                <w:szCs w:val="20"/>
                <w:lang w:val="es-ES_tradnl"/>
              </w:rPr>
              <w:t xml:space="preserve"> vulnerables en Centroamérica” Fase III (termina en </w:t>
            </w:r>
            <w:r w:rsidR="00BC36D7">
              <w:rPr>
                <w:rFonts w:eastAsia="Times New Roman" w:cs="Arial"/>
                <w:sz w:val="20"/>
                <w:szCs w:val="20"/>
                <w:lang w:val="es-ES_tradnl"/>
              </w:rPr>
              <w:t>m</w:t>
            </w:r>
            <w:r w:rsidRPr="00A0062A">
              <w:rPr>
                <w:rFonts w:eastAsia="Times New Roman" w:cs="Arial"/>
                <w:sz w:val="20"/>
                <w:szCs w:val="20"/>
                <w:lang w:val="es-ES_tradnl"/>
              </w:rPr>
              <w:t>arzo de 2024)</w:t>
            </w:r>
          </w:p>
        </w:tc>
        <w:tc>
          <w:tcPr>
            <w:tcW w:w="1891" w:type="dxa"/>
            <w:shd w:val="clear" w:color="auto" w:fill="DEEAF6" w:themeFill="accent5" w:themeFillTint="33"/>
          </w:tcPr>
          <w:p w14:paraId="782E5BC6" w14:textId="77777777" w:rsidR="0052262B" w:rsidRPr="00A0062A" w:rsidRDefault="0052262B" w:rsidP="009F2C7F">
            <w:pPr>
              <w:suppressAutoHyphens w:val="0"/>
              <w:ind w:hanging="3"/>
              <w:jc w:val="both"/>
              <w:rPr>
                <w:rFonts w:eastAsia="Times New Roman" w:cs="Arial"/>
                <w:sz w:val="20"/>
                <w:szCs w:val="20"/>
                <w:lang w:val="es-ES_tradnl"/>
              </w:rPr>
            </w:pPr>
            <w:r w:rsidRPr="00A0062A">
              <w:rPr>
                <w:rFonts w:eastAsia="Times New Roman" w:cs="Arial"/>
                <w:sz w:val="20"/>
                <w:szCs w:val="20"/>
                <w:lang w:val="es-ES_tradnl"/>
              </w:rPr>
              <w:t>$1,400.000 USD</w:t>
            </w:r>
          </w:p>
        </w:tc>
        <w:tc>
          <w:tcPr>
            <w:tcW w:w="2050" w:type="dxa"/>
            <w:shd w:val="clear" w:color="auto" w:fill="DEEAF6" w:themeFill="accent5" w:themeFillTint="33"/>
          </w:tcPr>
          <w:p w14:paraId="2583AE79"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Suiza</w:t>
            </w:r>
          </w:p>
        </w:tc>
        <w:tc>
          <w:tcPr>
            <w:tcW w:w="1538" w:type="dxa"/>
            <w:shd w:val="clear" w:color="auto" w:fill="DEEAF6" w:themeFill="accent5" w:themeFillTint="33"/>
          </w:tcPr>
          <w:p w14:paraId="47C90F07"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Informe final fase II</w:t>
            </w:r>
          </w:p>
          <w:p w14:paraId="07526CCB" w14:textId="19CE894F"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2</w:t>
            </w:r>
            <w:r w:rsidR="00BC36D7">
              <w:rPr>
                <w:rFonts w:eastAsia="Times New Roman" w:cs="Arial"/>
                <w:sz w:val="20"/>
                <w:szCs w:val="20"/>
                <w:lang w:val="es-ES_tradnl"/>
              </w:rPr>
              <w:t xml:space="preserve"> informes</w:t>
            </w:r>
            <w:r>
              <w:rPr>
                <w:rFonts w:eastAsia="Times New Roman" w:cs="Arial"/>
                <w:sz w:val="20"/>
                <w:szCs w:val="20"/>
                <w:lang w:val="es-ES_tradnl"/>
              </w:rPr>
              <w:t xml:space="preserve"> Intermedios</w:t>
            </w:r>
          </w:p>
          <w:p w14:paraId="002454C8" w14:textId="77777777"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 xml:space="preserve">4 informes bimensuales </w:t>
            </w:r>
          </w:p>
        </w:tc>
      </w:tr>
      <w:tr w:rsidR="0052262B" w:rsidRPr="00356253" w14:paraId="2863AC90" w14:textId="77777777" w:rsidTr="001466D1">
        <w:trPr>
          <w:trHeight w:val="355"/>
        </w:trPr>
        <w:tc>
          <w:tcPr>
            <w:tcW w:w="3971" w:type="dxa"/>
            <w:shd w:val="clear" w:color="auto" w:fill="DEEAF6" w:themeFill="accent5" w:themeFillTint="33"/>
          </w:tcPr>
          <w:p w14:paraId="6A98AF08" w14:textId="77777777" w:rsidR="0052262B" w:rsidRPr="00A0062A" w:rsidRDefault="0052262B" w:rsidP="009F2C7F">
            <w:pPr>
              <w:suppressAutoHyphens w:val="0"/>
              <w:jc w:val="both"/>
              <w:rPr>
                <w:rFonts w:eastAsia="Times New Roman" w:cs="Arial"/>
                <w:sz w:val="20"/>
                <w:szCs w:val="20"/>
                <w:lang w:val="es-ES_tradnl"/>
              </w:rPr>
            </w:pPr>
            <w:r w:rsidRPr="00A0062A">
              <w:rPr>
                <w:sz w:val="20"/>
                <w:szCs w:val="20"/>
                <w:lang w:val="es-ES_tradnl"/>
              </w:rPr>
              <w:t>Incrementar la protección y defensa de los derechos humanos en las Américas (componentes de Peticiones y casos, Meseg y RELE) (2023-2025)</w:t>
            </w:r>
          </w:p>
        </w:tc>
        <w:tc>
          <w:tcPr>
            <w:tcW w:w="1891" w:type="dxa"/>
            <w:shd w:val="clear" w:color="auto" w:fill="DEEAF6" w:themeFill="accent5" w:themeFillTint="33"/>
          </w:tcPr>
          <w:p w14:paraId="7E7FA8A6" w14:textId="0766EF58" w:rsidR="0052262B" w:rsidRPr="00A0062A" w:rsidRDefault="0052262B" w:rsidP="009F2C7F">
            <w:pPr>
              <w:suppressAutoHyphens w:val="0"/>
              <w:ind w:hanging="3"/>
              <w:jc w:val="both"/>
              <w:rPr>
                <w:rFonts w:eastAsia="Times New Roman" w:cs="Arial"/>
                <w:sz w:val="20"/>
                <w:szCs w:val="20"/>
                <w:lang w:val="es-ES_tradnl"/>
              </w:rPr>
            </w:pPr>
            <w:r w:rsidRPr="00A0062A">
              <w:rPr>
                <w:sz w:val="20"/>
                <w:szCs w:val="20"/>
                <w:lang w:val="es-ES_tradnl"/>
              </w:rPr>
              <w:t xml:space="preserve">$1,75 Millones de </w:t>
            </w:r>
            <w:r w:rsidR="00BC36D7" w:rsidRPr="00A0062A">
              <w:rPr>
                <w:sz w:val="20"/>
                <w:szCs w:val="20"/>
                <w:lang w:val="es-ES_tradnl"/>
              </w:rPr>
              <w:t>euros</w:t>
            </w:r>
          </w:p>
        </w:tc>
        <w:tc>
          <w:tcPr>
            <w:tcW w:w="2050" w:type="dxa"/>
            <w:shd w:val="clear" w:color="auto" w:fill="DEEAF6" w:themeFill="accent5" w:themeFillTint="33"/>
          </w:tcPr>
          <w:p w14:paraId="0275E8A9"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Comisión Europea</w:t>
            </w:r>
          </w:p>
        </w:tc>
        <w:tc>
          <w:tcPr>
            <w:tcW w:w="1538" w:type="dxa"/>
            <w:shd w:val="clear" w:color="auto" w:fill="DEEAF6" w:themeFill="accent5" w:themeFillTint="33"/>
          </w:tcPr>
          <w:p w14:paraId="006B54B8"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En ejecución</w:t>
            </w:r>
          </w:p>
          <w:p w14:paraId="309DC89A" w14:textId="77777777" w:rsidR="0052262B" w:rsidRDefault="0052262B" w:rsidP="009F2C7F">
            <w:pPr>
              <w:suppressAutoHyphens w:val="0"/>
              <w:jc w:val="both"/>
              <w:rPr>
                <w:rFonts w:eastAsia="Times New Roman" w:cs="Arial"/>
                <w:sz w:val="20"/>
                <w:szCs w:val="20"/>
                <w:lang w:val="es-ES_tradnl"/>
              </w:rPr>
            </w:pPr>
          </w:p>
          <w:p w14:paraId="3025776F" w14:textId="6A5C6682" w:rsidR="0052262B" w:rsidRPr="00A0062A"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 xml:space="preserve">Informe </w:t>
            </w:r>
            <w:r w:rsidR="00BC36D7">
              <w:rPr>
                <w:rFonts w:eastAsia="Times New Roman" w:cs="Arial"/>
                <w:sz w:val="20"/>
                <w:szCs w:val="20"/>
                <w:lang w:val="es-ES_tradnl"/>
              </w:rPr>
              <w:t>Final proyecto</w:t>
            </w:r>
            <w:r>
              <w:rPr>
                <w:rFonts w:eastAsia="Times New Roman" w:cs="Arial"/>
                <w:sz w:val="20"/>
                <w:szCs w:val="20"/>
                <w:lang w:val="es-ES_tradnl"/>
              </w:rPr>
              <w:t xml:space="preserve"> (2019-2022)</w:t>
            </w:r>
          </w:p>
        </w:tc>
      </w:tr>
      <w:tr w:rsidR="0052262B" w:rsidRPr="00A0062A" w14:paraId="20356397" w14:textId="77777777" w:rsidTr="001466D1">
        <w:trPr>
          <w:trHeight w:val="355"/>
        </w:trPr>
        <w:tc>
          <w:tcPr>
            <w:tcW w:w="3971" w:type="dxa"/>
            <w:shd w:val="clear" w:color="auto" w:fill="DEEAF6" w:themeFill="accent5" w:themeFillTint="33"/>
          </w:tcPr>
          <w:p w14:paraId="1E8FCE15" w14:textId="77777777" w:rsidR="0052262B" w:rsidRDefault="0052262B" w:rsidP="009F2C7F">
            <w:pPr>
              <w:suppressAutoHyphens w:val="0"/>
              <w:contextualSpacing/>
              <w:jc w:val="both"/>
              <w:rPr>
                <w:sz w:val="20"/>
                <w:szCs w:val="20"/>
                <w:lang w:val="es-ES"/>
              </w:rPr>
            </w:pPr>
            <w:r w:rsidRPr="00A0062A">
              <w:rPr>
                <w:sz w:val="20"/>
                <w:szCs w:val="20"/>
                <w:lang w:val="es-ES"/>
              </w:rPr>
              <w:t>Fortalecimiento de las capacidades de la CDIH para atender la situación de derechos humanos en la región</w:t>
            </w:r>
          </w:p>
          <w:p w14:paraId="12DFDA3B" w14:textId="77777777" w:rsidR="00703AF4" w:rsidRPr="00A0062A" w:rsidRDefault="00703AF4" w:rsidP="009F2C7F">
            <w:pPr>
              <w:suppressAutoHyphens w:val="0"/>
              <w:contextualSpacing/>
              <w:jc w:val="both"/>
              <w:rPr>
                <w:sz w:val="20"/>
                <w:szCs w:val="20"/>
                <w:lang w:val="es-ES"/>
              </w:rPr>
            </w:pPr>
          </w:p>
        </w:tc>
        <w:tc>
          <w:tcPr>
            <w:tcW w:w="1891" w:type="dxa"/>
            <w:shd w:val="clear" w:color="auto" w:fill="DEEAF6" w:themeFill="accent5" w:themeFillTint="33"/>
          </w:tcPr>
          <w:p w14:paraId="30C3D753" w14:textId="77777777" w:rsidR="0052262B" w:rsidRPr="00A0062A" w:rsidRDefault="0052262B" w:rsidP="009F2C7F">
            <w:pPr>
              <w:suppressAutoHyphens w:val="0"/>
              <w:ind w:hanging="3"/>
              <w:jc w:val="both"/>
              <w:rPr>
                <w:rFonts w:eastAsia="Times New Roman" w:cs="Arial"/>
                <w:sz w:val="20"/>
                <w:szCs w:val="20"/>
              </w:rPr>
            </w:pPr>
            <w:r w:rsidRPr="00A0062A">
              <w:rPr>
                <w:rFonts w:eastAsia="Times New Roman" w:cs="Arial"/>
                <w:sz w:val="20"/>
                <w:szCs w:val="20"/>
              </w:rPr>
              <w:t>$ 1,000,000</w:t>
            </w:r>
            <w:r>
              <w:rPr>
                <w:rFonts w:eastAsia="Times New Roman" w:cs="Arial"/>
                <w:sz w:val="20"/>
                <w:szCs w:val="20"/>
              </w:rPr>
              <w:t xml:space="preserve"> USD</w:t>
            </w:r>
          </w:p>
        </w:tc>
        <w:tc>
          <w:tcPr>
            <w:tcW w:w="2050" w:type="dxa"/>
            <w:shd w:val="clear" w:color="auto" w:fill="DEEAF6" w:themeFill="accent5" w:themeFillTint="33"/>
          </w:tcPr>
          <w:p w14:paraId="64284ABA" w14:textId="77777777" w:rsidR="0052262B" w:rsidRPr="00A0062A" w:rsidRDefault="0052262B" w:rsidP="009F2C7F">
            <w:pPr>
              <w:suppressAutoHyphens w:val="0"/>
              <w:jc w:val="both"/>
              <w:rPr>
                <w:rFonts w:eastAsia="Times New Roman" w:cs="Arial"/>
                <w:sz w:val="20"/>
                <w:szCs w:val="20"/>
              </w:rPr>
            </w:pPr>
            <w:r w:rsidRPr="00A0062A">
              <w:rPr>
                <w:rFonts w:eastAsia="Times New Roman" w:cs="Arial"/>
                <w:sz w:val="20"/>
                <w:szCs w:val="20"/>
              </w:rPr>
              <w:t>Fundación Ford</w:t>
            </w:r>
          </w:p>
        </w:tc>
        <w:tc>
          <w:tcPr>
            <w:tcW w:w="1538" w:type="dxa"/>
            <w:shd w:val="clear" w:color="auto" w:fill="DEEAF6" w:themeFill="accent5" w:themeFillTint="33"/>
          </w:tcPr>
          <w:p w14:paraId="78C7B345" w14:textId="77777777" w:rsidR="0052262B" w:rsidRPr="00A0062A" w:rsidRDefault="0052262B" w:rsidP="009F2C7F">
            <w:pPr>
              <w:suppressAutoHyphens w:val="0"/>
              <w:jc w:val="both"/>
              <w:rPr>
                <w:rFonts w:eastAsia="Times New Roman" w:cs="Arial"/>
                <w:sz w:val="20"/>
                <w:szCs w:val="20"/>
              </w:rPr>
            </w:pPr>
            <w:r>
              <w:rPr>
                <w:rFonts w:eastAsia="Times New Roman" w:cs="Arial"/>
                <w:sz w:val="20"/>
                <w:szCs w:val="20"/>
              </w:rPr>
              <w:t>Informe anual</w:t>
            </w:r>
          </w:p>
        </w:tc>
      </w:tr>
      <w:tr w:rsidR="0052262B" w:rsidRPr="00A0062A" w14:paraId="57081DC3" w14:textId="77777777" w:rsidTr="001466D1">
        <w:trPr>
          <w:trHeight w:val="355"/>
        </w:trPr>
        <w:tc>
          <w:tcPr>
            <w:tcW w:w="3971" w:type="dxa"/>
            <w:shd w:val="clear" w:color="auto" w:fill="DEEAF6" w:themeFill="accent5" w:themeFillTint="33"/>
          </w:tcPr>
          <w:p w14:paraId="4498FC19" w14:textId="1544E66C" w:rsidR="0052262B" w:rsidRDefault="0052262B" w:rsidP="009F2C7F">
            <w:pPr>
              <w:suppressAutoHyphens w:val="0"/>
              <w:contextualSpacing/>
              <w:jc w:val="both"/>
              <w:rPr>
                <w:sz w:val="20"/>
                <w:szCs w:val="20"/>
                <w:lang w:val="es-ES_tradnl"/>
              </w:rPr>
            </w:pPr>
            <w:r w:rsidRPr="00A0062A">
              <w:rPr>
                <w:sz w:val="20"/>
                <w:szCs w:val="20"/>
                <w:lang w:val="es-ES_tradnl"/>
              </w:rPr>
              <w:t xml:space="preserve">Aumentar el disfrute de los derechos humanos de las mujeres y las niñas en Las </w:t>
            </w:r>
            <w:r w:rsidR="00BC36D7" w:rsidRPr="00A0062A">
              <w:rPr>
                <w:sz w:val="20"/>
                <w:szCs w:val="20"/>
                <w:lang w:val="es-ES_tradnl"/>
              </w:rPr>
              <w:t>Américas (</w:t>
            </w:r>
            <w:r w:rsidRPr="00A0062A">
              <w:rPr>
                <w:sz w:val="20"/>
                <w:szCs w:val="20"/>
                <w:lang w:val="es-ES_tradnl"/>
              </w:rPr>
              <w:t>2023-2027</w:t>
            </w:r>
            <w:r w:rsidR="00BC36D7" w:rsidRPr="00A0062A">
              <w:rPr>
                <w:sz w:val="20"/>
                <w:szCs w:val="20"/>
                <w:lang w:val="es-ES_tradnl"/>
              </w:rPr>
              <w:t>) aprobado</w:t>
            </w:r>
            <w:r w:rsidRPr="00A0062A">
              <w:rPr>
                <w:sz w:val="20"/>
                <w:szCs w:val="20"/>
                <w:lang w:val="es-ES_tradnl"/>
              </w:rPr>
              <w:t xml:space="preserve"> en proceso de negociación contrato </w:t>
            </w:r>
            <w:r w:rsidR="00BC36D7" w:rsidRPr="00A0062A">
              <w:rPr>
                <w:sz w:val="20"/>
                <w:szCs w:val="20"/>
                <w:lang w:val="es-ES_tradnl"/>
              </w:rPr>
              <w:t>– y</w:t>
            </w:r>
            <w:r w:rsidRPr="00A0062A">
              <w:rPr>
                <w:sz w:val="20"/>
                <w:szCs w:val="20"/>
                <w:lang w:val="es-ES_tradnl"/>
              </w:rPr>
              <w:t xml:space="preserve"> </w:t>
            </w:r>
            <w:r w:rsidR="00703AF4" w:rsidRPr="00A0062A">
              <w:rPr>
                <w:sz w:val="20"/>
                <w:szCs w:val="20"/>
                <w:lang w:val="es-ES_tradnl"/>
              </w:rPr>
              <w:t>procesos internos</w:t>
            </w:r>
            <w:r w:rsidRPr="00A0062A">
              <w:rPr>
                <w:sz w:val="20"/>
                <w:szCs w:val="20"/>
                <w:lang w:val="es-ES_tradnl"/>
              </w:rPr>
              <w:t xml:space="preserve"> de </w:t>
            </w:r>
            <w:r w:rsidR="0011174A" w:rsidRPr="00A0062A">
              <w:rPr>
                <w:sz w:val="20"/>
                <w:szCs w:val="20"/>
                <w:lang w:val="es-ES_tradnl"/>
              </w:rPr>
              <w:t>la OEA</w:t>
            </w:r>
            <w:r w:rsidRPr="00A0062A">
              <w:rPr>
                <w:sz w:val="20"/>
                <w:szCs w:val="20"/>
                <w:lang w:val="es-ES_tradnl"/>
              </w:rPr>
              <w:t xml:space="preserve"> </w:t>
            </w:r>
            <w:r w:rsidR="00703AF4">
              <w:rPr>
                <w:sz w:val="20"/>
                <w:szCs w:val="20"/>
                <w:lang w:val="es-ES_tradnl"/>
              </w:rPr>
              <w:t>–</w:t>
            </w:r>
            <w:r w:rsidRPr="00A0062A">
              <w:rPr>
                <w:sz w:val="20"/>
                <w:szCs w:val="20"/>
                <w:lang w:val="es-ES_tradnl"/>
              </w:rPr>
              <w:t xml:space="preserve"> PMS</w:t>
            </w:r>
          </w:p>
          <w:p w14:paraId="3B3A65B5" w14:textId="457F860B" w:rsidR="00703AF4" w:rsidRPr="00D951FC" w:rsidRDefault="00703AF4" w:rsidP="009F2C7F">
            <w:pPr>
              <w:suppressAutoHyphens w:val="0"/>
              <w:contextualSpacing/>
              <w:jc w:val="both"/>
              <w:rPr>
                <w:sz w:val="20"/>
                <w:szCs w:val="20"/>
                <w:lang w:val="es-ES_tradnl"/>
              </w:rPr>
            </w:pPr>
          </w:p>
        </w:tc>
        <w:tc>
          <w:tcPr>
            <w:tcW w:w="1891" w:type="dxa"/>
            <w:shd w:val="clear" w:color="auto" w:fill="DEEAF6" w:themeFill="accent5" w:themeFillTint="33"/>
          </w:tcPr>
          <w:p w14:paraId="4A5CA007" w14:textId="77777777" w:rsidR="0052262B" w:rsidRPr="00A0062A" w:rsidRDefault="0052262B" w:rsidP="009F2C7F">
            <w:pPr>
              <w:suppressAutoHyphens w:val="0"/>
              <w:ind w:hanging="3"/>
              <w:jc w:val="both"/>
              <w:rPr>
                <w:rFonts w:eastAsia="Times New Roman" w:cs="Arial"/>
                <w:sz w:val="20"/>
                <w:szCs w:val="20"/>
                <w:lang w:val="es-ES_tradnl"/>
              </w:rPr>
            </w:pPr>
            <w:r w:rsidRPr="00A0062A">
              <w:rPr>
                <w:rFonts w:eastAsia="Times New Roman" w:cs="Arial"/>
                <w:sz w:val="20"/>
                <w:szCs w:val="20"/>
                <w:lang w:val="es-ES_tradnl"/>
              </w:rPr>
              <w:t>$3,6 Millones de USD</w:t>
            </w:r>
          </w:p>
        </w:tc>
        <w:tc>
          <w:tcPr>
            <w:tcW w:w="2050" w:type="dxa"/>
            <w:shd w:val="clear" w:color="auto" w:fill="DEEAF6" w:themeFill="accent5" w:themeFillTint="33"/>
          </w:tcPr>
          <w:p w14:paraId="5E740D20" w14:textId="77777777" w:rsidR="0052262B" w:rsidRPr="00A0062A" w:rsidRDefault="0052262B" w:rsidP="009F2C7F">
            <w:pPr>
              <w:suppressAutoHyphens w:val="0"/>
              <w:jc w:val="both"/>
              <w:rPr>
                <w:rFonts w:eastAsia="Times New Roman" w:cs="Arial"/>
                <w:sz w:val="20"/>
                <w:szCs w:val="20"/>
                <w:lang w:val="es-ES_tradnl"/>
              </w:rPr>
            </w:pPr>
            <w:r w:rsidRPr="00A0062A">
              <w:rPr>
                <w:rFonts w:eastAsia="Times New Roman" w:cs="Arial"/>
                <w:sz w:val="20"/>
                <w:szCs w:val="20"/>
                <w:lang w:val="es-ES_tradnl"/>
              </w:rPr>
              <w:t>Canadá</w:t>
            </w:r>
          </w:p>
        </w:tc>
        <w:tc>
          <w:tcPr>
            <w:tcW w:w="1538" w:type="dxa"/>
            <w:shd w:val="clear" w:color="auto" w:fill="DEEAF6" w:themeFill="accent5" w:themeFillTint="33"/>
          </w:tcPr>
          <w:p w14:paraId="252863A3" w14:textId="77777777" w:rsidR="0052262B" w:rsidRDefault="0052262B" w:rsidP="009F2C7F">
            <w:pPr>
              <w:suppressAutoHyphens w:val="0"/>
              <w:jc w:val="both"/>
              <w:rPr>
                <w:rFonts w:eastAsia="Times New Roman" w:cs="Arial"/>
                <w:sz w:val="20"/>
                <w:szCs w:val="20"/>
                <w:lang w:val="es-ES_tradnl"/>
              </w:rPr>
            </w:pPr>
            <w:r>
              <w:rPr>
                <w:rFonts w:eastAsia="Times New Roman" w:cs="Arial"/>
                <w:sz w:val="20"/>
                <w:szCs w:val="20"/>
                <w:lang w:val="es-ES_tradnl"/>
              </w:rPr>
              <w:t>Firmado acuerdo</w:t>
            </w:r>
          </w:p>
          <w:p w14:paraId="198323FB" w14:textId="77777777" w:rsidR="0052262B" w:rsidRPr="00A0062A" w:rsidRDefault="0052262B" w:rsidP="009F2C7F">
            <w:pPr>
              <w:suppressAutoHyphens w:val="0"/>
              <w:jc w:val="both"/>
              <w:rPr>
                <w:rFonts w:eastAsia="Times New Roman" w:cs="Arial"/>
                <w:sz w:val="20"/>
                <w:szCs w:val="20"/>
                <w:lang w:val="es-ES_tradnl"/>
              </w:rPr>
            </w:pPr>
          </w:p>
        </w:tc>
      </w:tr>
      <w:tr w:rsidR="0052262B" w:rsidRPr="00356253" w14:paraId="612041DC" w14:textId="77777777" w:rsidTr="001466D1">
        <w:trPr>
          <w:trHeight w:val="355"/>
        </w:trPr>
        <w:tc>
          <w:tcPr>
            <w:tcW w:w="3971" w:type="dxa"/>
            <w:tcBorders>
              <w:top w:val="nil"/>
              <w:left w:val="single" w:sz="8" w:space="0" w:color="FFFFFF"/>
              <w:bottom w:val="nil"/>
              <w:right w:val="nil"/>
            </w:tcBorders>
            <w:shd w:val="clear" w:color="000000" w:fill="DEEAF6"/>
            <w:vAlign w:val="center"/>
          </w:tcPr>
          <w:p w14:paraId="6D6AA9EA" w14:textId="77777777" w:rsidR="0052262B" w:rsidRPr="00BC36D7" w:rsidRDefault="0052262B" w:rsidP="009F2C7F">
            <w:pPr>
              <w:suppressAutoHyphens w:val="0"/>
              <w:contextualSpacing/>
              <w:jc w:val="both"/>
              <w:rPr>
                <w:sz w:val="20"/>
                <w:szCs w:val="20"/>
                <w:lang w:val="es-ES_tradnl"/>
              </w:rPr>
            </w:pPr>
            <w:r w:rsidRPr="00BC36D7">
              <w:rPr>
                <w:rFonts w:cs="Calibri"/>
                <w:color w:val="000000"/>
                <w:sz w:val="20"/>
                <w:szCs w:val="20"/>
                <w:lang w:val="es-ES"/>
              </w:rPr>
              <w:t>Justicia climática y derechos económicos, sociales, culturales y ambientales en América Latina y el Caribe</w:t>
            </w:r>
          </w:p>
        </w:tc>
        <w:tc>
          <w:tcPr>
            <w:tcW w:w="1891" w:type="dxa"/>
            <w:tcBorders>
              <w:top w:val="nil"/>
              <w:left w:val="single" w:sz="8" w:space="0" w:color="FFFFFF"/>
              <w:bottom w:val="nil"/>
              <w:right w:val="nil"/>
            </w:tcBorders>
            <w:shd w:val="clear" w:color="000000" w:fill="DEEAF6"/>
            <w:vAlign w:val="center"/>
          </w:tcPr>
          <w:p w14:paraId="30055B50" w14:textId="77777777" w:rsidR="0052262B" w:rsidRPr="00BC36D7" w:rsidRDefault="0052262B" w:rsidP="009F2C7F">
            <w:pPr>
              <w:suppressAutoHyphens w:val="0"/>
              <w:ind w:hanging="3"/>
              <w:jc w:val="both"/>
              <w:rPr>
                <w:rFonts w:eastAsia="Times New Roman" w:cs="Arial"/>
                <w:sz w:val="20"/>
                <w:szCs w:val="20"/>
                <w:lang w:val="es-ES_tradnl"/>
              </w:rPr>
            </w:pPr>
            <w:r w:rsidRPr="00BC36D7">
              <w:rPr>
                <w:rFonts w:cs="Calibri"/>
                <w:color w:val="000000"/>
                <w:sz w:val="20"/>
                <w:szCs w:val="20"/>
              </w:rPr>
              <w:t>$156,029 USD</w:t>
            </w:r>
          </w:p>
        </w:tc>
        <w:tc>
          <w:tcPr>
            <w:tcW w:w="2050" w:type="dxa"/>
            <w:shd w:val="clear" w:color="auto" w:fill="DEEAF6" w:themeFill="accent5" w:themeFillTint="33"/>
          </w:tcPr>
          <w:p w14:paraId="588CD5B7"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Noruega</w:t>
            </w:r>
          </w:p>
        </w:tc>
        <w:tc>
          <w:tcPr>
            <w:tcW w:w="1538" w:type="dxa"/>
            <w:shd w:val="clear" w:color="auto" w:fill="DEEAF6" w:themeFill="accent5" w:themeFillTint="33"/>
          </w:tcPr>
          <w:p w14:paraId="2DEFBC87"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Firmado acuerdo y en ejecución</w:t>
            </w:r>
          </w:p>
        </w:tc>
      </w:tr>
      <w:tr w:rsidR="0052262B" w:rsidRPr="00BC36D7" w14:paraId="35B76AF7" w14:textId="77777777" w:rsidTr="001466D1">
        <w:trPr>
          <w:trHeight w:val="355"/>
        </w:trPr>
        <w:tc>
          <w:tcPr>
            <w:tcW w:w="3971" w:type="dxa"/>
            <w:tcBorders>
              <w:top w:val="nil"/>
              <w:left w:val="single" w:sz="8" w:space="0" w:color="FFFFFF"/>
              <w:bottom w:val="single" w:sz="8" w:space="0" w:color="FFFFFF"/>
              <w:right w:val="nil"/>
            </w:tcBorders>
            <w:shd w:val="clear" w:color="000000" w:fill="DEEAF6"/>
            <w:vAlign w:val="center"/>
          </w:tcPr>
          <w:p w14:paraId="2D8B8551" w14:textId="77777777" w:rsidR="0052262B" w:rsidRPr="00BC36D7" w:rsidRDefault="0052262B" w:rsidP="009F2C7F">
            <w:pPr>
              <w:suppressAutoHyphens w:val="0"/>
              <w:contextualSpacing/>
              <w:jc w:val="both"/>
              <w:rPr>
                <w:rFonts w:cs="Calibri"/>
                <w:color w:val="000000"/>
                <w:sz w:val="20"/>
                <w:szCs w:val="20"/>
                <w:lang w:val="es-ES"/>
              </w:rPr>
            </w:pPr>
            <w:r w:rsidRPr="00BC36D7">
              <w:rPr>
                <w:rFonts w:cs="Calibri"/>
                <w:color w:val="000000"/>
                <w:sz w:val="20"/>
                <w:szCs w:val="20"/>
                <w:lang w:val="es-ES"/>
              </w:rPr>
              <w:t>Monitoreo de los DESCA en Centroamérica 2019-2024</w:t>
            </w:r>
          </w:p>
        </w:tc>
        <w:tc>
          <w:tcPr>
            <w:tcW w:w="1891" w:type="dxa"/>
            <w:tcBorders>
              <w:top w:val="nil"/>
              <w:left w:val="single" w:sz="8" w:space="0" w:color="FFFFFF"/>
              <w:bottom w:val="single" w:sz="8" w:space="0" w:color="FFFFFF"/>
              <w:right w:val="nil"/>
            </w:tcBorders>
            <w:shd w:val="clear" w:color="000000" w:fill="DEEAF6"/>
            <w:vAlign w:val="center"/>
          </w:tcPr>
          <w:p w14:paraId="5C863995" w14:textId="77777777" w:rsidR="0052262B" w:rsidRPr="00BC36D7" w:rsidRDefault="0052262B" w:rsidP="009F2C7F">
            <w:pPr>
              <w:suppressAutoHyphens w:val="0"/>
              <w:ind w:hanging="3"/>
              <w:jc w:val="both"/>
              <w:rPr>
                <w:rFonts w:cs="Calibri"/>
                <w:color w:val="000000"/>
                <w:sz w:val="20"/>
                <w:szCs w:val="20"/>
                <w:lang w:val="es-ES"/>
              </w:rPr>
            </w:pPr>
            <w:r w:rsidRPr="00BC36D7">
              <w:rPr>
                <w:rFonts w:cs="Calibri"/>
                <w:color w:val="000000"/>
                <w:sz w:val="20"/>
                <w:szCs w:val="20"/>
                <w:lang w:val="es-ES"/>
              </w:rPr>
              <w:t xml:space="preserve">$13.6 millones de Coronas Noruegas (aprox. </w:t>
            </w:r>
            <w:r w:rsidRPr="00BC36D7">
              <w:rPr>
                <w:rFonts w:cs="Calibri"/>
                <w:color w:val="000000"/>
                <w:sz w:val="20"/>
                <w:szCs w:val="20"/>
              </w:rPr>
              <w:t xml:space="preserve">1.46 millones USD) </w:t>
            </w:r>
          </w:p>
        </w:tc>
        <w:tc>
          <w:tcPr>
            <w:tcW w:w="2050" w:type="dxa"/>
            <w:tcBorders>
              <w:top w:val="nil"/>
              <w:left w:val="nil"/>
              <w:bottom w:val="single" w:sz="8" w:space="0" w:color="FFFFFF"/>
              <w:right w:val="single" w:sz="8" w:space="0" w:color="FFFFFF"/>
            </w:tcBorders>
            <w:shd w:val="clear" w:color="000000" w:fill="DEEAF6"/>
            <w:vAlign w:val="center"/>
          </w:tcPr>
          <w:p w14:paraId="245BFC12" w14:textId="77777777" w:rsidR="0052262B" w:rsidRPr="00BC36D7" w:rsidRDefault="0052262B" w:rsidP="009F2C7F">
            <w:pPr>
              <w:suppressAutoHyphens w:val="0"/>
              <w:jc w:val="both"/>
              <w:rPr>
                <w:rFonts w:eastAsia="Times New Roman" w:cs="Arial"/>
                <w:sz w:val="20"/>
                <w:szCs w:val="20"/>
                <w:lang w:val="es-ES_tradnl"/>
              </w:rPr>
            </w:pPr>
            <w:r w:rsidRPr="00BC36D7">
              <w:rPr>
                <w:rFonts w:cs="Calibri"/>
                <w:color w:val="000000"/>
                <w:sz w:val="20"/>
                <w:szCs w:val="20"/>
              </w:rPr>
              <w:t>Noruega I (extensión)</w:t>
            </w:r>
          </w:p>
        </w:tc>
        <w:tc>
          <w:tcPr>
            <w:tcW w:w="1538" w:type="dxa"/>
            <w:shd w:val="clear" w:color="auto" w:fill="DEEAF6" w:themeFill="accent5" w:themeFillTint="33"/>
          </w:tcPr>
          <w:p w14:paraId="77E20A70"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rPr>
              <w:t xml:space="preserve">Informe anual  </w:t>
            </w:r>
          </w:p>
        </w:tc>
      </w:tr>
      <w:tr w:rsidR="0052262B" w:rsidRPr="00356253" w14:paraId="1E079CFE" w14:textId="77777777" w:rsidTr="001466D1">
        <w:trPr>
          <w:trHeight w:val="355"/>
        </w:trPr>
        <w:tc>
          <w:tcPr>
            <w:tcW w:w="3971" w:type="dxa"/>
            <w:tcBorders>
              <w:top w:val="nil"/>
              <w:left w:val="single" w:sz="8" w:space="0" w:color="FFFFFF"/>
              <w:bottom w:val="single" w:sz="8" w:space="0" w:color="FFFFFF"/>
              <w:right w:val="nil"/>
            </w:tcBorders>
            <w:shd w:val="clear" w:color="000000" w:fill="DEEAF6"/>
            <w:vAlign w:val="center"/>
          </w:tcPr>
          <w:p w14:paraId="75F4B921" w14:textId="77777777" w:rsidR="0052262B" w:rsidRDefault="0052262B" w:rsidP="009F2C7F">
            <w:pPr>
              <w:suppressAutoHyphens w:val="0"/>
              <w:contextualSpacing/>
              <w:jc w:val="both"/>
              <w:rPr>
                <w:rFonts w:cs="Calibri"/>
                <w:color w:val="000000"/>
                <w:sz w:val="20"/>
                <w:szCs w:val="20"/>
                <w:lang w:val="es-ES"/>
              </w:rPr>
            </w:pPr>
            <w:r w:rsidRPr="00BC36D7">
              <w:rPr>
                <w:rFonts w:cs="Calibri"/>
                <w:color w:val="000000"/>
                <w:sz w:val="20"/>
                <w:szCs w:val="20"/>
                <w:lang w:val="es-ES"/>
              </w:rPr>
              <w:t>Fortalecimiento de la gobernanza y los derechos humanos en américa central Fase IV año 5</w:t>
            </w:r>
          </w:p>
          <w:p w14:paraId="588F5E5F" w14:textId="77777777" w:rsidR="00881DA7" w:rsidRPr="00BC36D7" w:rsidRDefault="00881DA7" w:rsidP="009F2C7F">
            <w:pPr>
              <w:suppressAutoHyphens w:val="0"/>
              <w:contextualSpacing/>
              <w:jc w:val="both"/>
              <w:rPr>
                <w:rFonts w:cs="Calibri"/>
                <w:color w:val="000000"/>
                <w:sz w:val="20"/>
                <w:szCs w:val="20"/>
                <w:lang w:val="es-ES"/>
              </w:rPr>
            </w:pPr>
          </w:p>
        </w:tc>
        <w:tc>
          <w:tcPr>
            <w:tcW w:w="1891" w:type="dxa"/>
            <w:tcBorders>
              <w:top w:val="nil"/>
              <w:left w:val="single" w:sz="8" w:space="0" w:color="FFFFFF"/>
              <w:bottom w:val="single" w:sz="8" w:space="0" w:color="FFFFFF"/>
              <w:right w:val="nil"/>
            </w:tcBorders>
            <w:shd w:val="clear" w:color="000000" w:fill="DEEAF6"/>
            <w:vAlign w:val="center"/>
          </w:tcPr>
          <w:p w14:paraId="0F2437C9" w14:textId="77777777" w:rsidR="0052262B" w:rsidRPr="00BC36D7" w:rsidRDefault="0052262B" w:rsidP="009F2C7F">
            <w:pPr>
              <w:suppressAutoHyphens w:val="0"/>
              <w:ind w:hanging="3"/>
              <w:jc w:val="both"/>
              <w:rPr>
                <w:rFonts w:cs="Calibri"/>
                <w:color w:val="000000"/>
                <w:sz w:val="20"/>
                <w:szCs w:val="20"/>
                <w:lang w:val="es-ES"/>
              </w:rPr>
            </w:pPr>
            <w:r w:rsidRPr="00BC36D7">
              <w:rPr>
                <w:rFonts w:cs="Calibri"/>
                <w:color w:val="000000"/>
                <w:sz w:val="20"/>
                <w:szCs w:val="20"/>
              </w:rPr>
              <w:t>240,000 Euros</w:t>
            </w:r>
          </w:p>
        </w:tc>
        <w:tc>
          <w:tcPr>
            <w:tcW w:w="2050" w:type="dxa"/>
            <w:tcBorders>
              <w:top w:val="nil"/>
              <w:left w:val="nil"/>
              <w:bottom w:val="single" w:sz="8" w:space="0" w:color="FFFFFF"/>
              <w:right w:val="single" w:sz="8" w:space="0" w:color="FFFFFF"/>
            </w:tcBorders>
            <w:shd w:val="clear" w:color="000000" w:fill="DEEAF6"/>
            <w:vAlign w:val="center"/>
          </w:tcPr>
          <w:p w14:paraId="7B7CC241" w14:textId="77777777" w:rsidR="0052262B" w:rsidRPr="00BC36D7" w:rsidRDefault="0052262B" w:rsidP="009F2C7F">
            <w:pPr>
              <w:suppressAutoHyphens w:val="0"/>
              <w:jc w:val="both"/>
              <w:rPr>
                <w:rFonts w:eastAsia="Times New Roman" w:cs="Arial"/>
                <w:sz w:val="20"/>
                <w:szCs w:val="20"/>
                <w:lang w:val="es-ES_tradnl"/>
              </w:rPr>
            </w:pPr>
            <w:r w:rsidRPr="00BC36D7">
              <w:rPr>
                <w:rFonts w:cs="Calibri"/>
                <w:color w:val="000000"/>
                <w:sz w:val="20"/>
                <w:szCs w:val="20"/>
              </w:rPr>
              <w:t>Italia</w:t>
            </w:r>
          </w:p>
        </w:tc>
        <w:tc>
          <w:tcPr>
            <w:tcW w:w="1538" w:type="dxa"/>
            <w:shd w:val="clear" w:color="auto" w:fill="DEEAF6" w:themeFill="accent5" w:themeFillTint="33"/>
          </w:tcPr>
          <w:p w14:paraId="7C352634" w14:textId="77777777" w:rsidR="0052262B" w:rsidRPr="00BC36D7" w:rsidRDefault="0052262B" w:rsidP="009F2C7F">
            <w:pPr>
              <w:suppressAutoHyphens w:val="0"/>
              <w:jc w:val="both"/>
              <w:rPr>
                <w:rFonts w:eastAsia="Times New Roman" w:cs="Arial"/>
                <w:sz w:val="20"/>
                <w:szCs w:val="20"/>
                <w:lang w:val="es-ES_tradnl"/>
              </w:rPr>
            </w:pPr>
            <w:r w:rsidRPr="00BC36D7">
              <w:rPr>
                <w:rFonts w:eastAsia="Times New Roman" w:cs="Arial"/>
                <w:sz w:val="20"/>
                <w:szCs w:val="20"/>
                <w:lang w:val="es-ES_tradnl"/>
              </w:rPr>
              <w:t>Firmado acuerdo y en ejecución</w:t>
            </w:r>
          </w:p>
        </w:tc>
      </w:tr>
    </w:tbl>
    <w:p w14:paraId="1D0ADAE8" w14:textId="77777777" w:rsidR="0052262B" w:rsidRDefault="0052262B" w:rsidP="00BC36D7">
      <w:pPr>
        <w:rPr>
          <w:sz w:val="18"/>
          <w:szCs w:val="18"/>
          <w:lang w:val="es-ES"/>
        </w:rPr>
      </w:pPr>
    </w:p>
    <w:p w14:paraId="447CAD81" w14:textId="77777777" w:rsidR="0052262B" w:rsidRDefault="0052262B" w:rsidP="0052262B">
      <w:pPr>
        <w:ind w:left="900"/>
        <w:rPr>
          <w:sz w:val="18"/>
          <w:szCs w:val="18"/>
          <w:lang w:val="es-ES"/>
        </w:rPr>
      </w:pPr>
    </w:p>
    <w:p w14:paraId="7E1902AE" w14:textId="77777777" w:rsidR="0052262B" w:rsidRPr="00D03355" w:rsidRDefault="0052262B" w:rsidP="00BC36D7">
      <w:pPr>
        <w:pStyle w:val="IAPrrafo"/>
      </w:pPr>
      <w:r w:rsidRPr="00511AFC">
        <w:rPr>
          <w:lang w:val="es-AR"/>
        </w:rPr>
        <w:t xml:space="preserve">Durante el año 2023 la Secretaría Ejecutiva de la CIDH elaboró 17 propuestas de proyectos de financiamiento para presentar a donantes. </w:t>
      </w:r>
      <w:r>
        <w:t>La mayor parte de las propuestas fue aprobada.</w:t>
      </w:r>
    </w:p>
    <w:p w14:paraId="2088BEBB" w14:textId="77777777"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Propuesta de proyecto para apoyar las actividades de la relatoría de migrantes presentada a ACNUR por USD $80,000 (Aprobada).</w:t>
      </w:r>
    </w:p>
    <w:p w14:paraId="3909C69A" w14:textId="435EB00E"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lastRenderedPageBreak/>
        <w:t xml:space="preserve">Propuesta revisada y ampliada para aumentar el disfrute de los derechos humanos de las mujeres y las niñas en </w:t>
      </w:r>
      <w:r w:rsidR="00BC36D7">
        <w:rPr>
          <w:sz w:val="20"/>
          <w:szCs w:val="20"/>
          <w:lang w:val="es-ES_tradnl"/>
        </w:rPr>
        <w:t>l</w:t>
      </w:r>
      <w:r w:rsidRPr="00BC36D7">
        <w:rPr>
          <w:sz w:val="20"/>
          <w:szCs w:val="20"/>
          <w:lang w:val="es-ES_tradnl"/>
        </w:rPr>
        <w:t xml:space="preserve">as </w:t>
      </w:r>
      <w:r w:rsidR="00BC36D7" w:rsidRPr="00BC36D7">
        <w:rPr>
          <w:sz w:val="20"/>
          <w:szCs w:val="20"/>
          <w:lang w:val="es-ES_tradnl"/>
        </w:rPr>
        <w:t>Américas</w:t>
      </w:r>
      <w:r w:rsidRPr="00BC36D7">
        <w:rPr>
          <w:sz w:val="20"/>
          <w:szCs w:val="20"/>
          <w:lang w:val="es-ES_tradnl"/>
        </w:rPr>
        <w:t xml:space="preserve"> a presentar a Canadá por USD $5 millones para periodo 2023-2027 (Aprobada).</w:t>
      </w:r>
    </w:p>
    <w:p w14:paraId="4714E467" w14:textId="179AFF01"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Nota conceptual para apoyar al mecanismo de Seguimiento de recomendaciones del GIEI </w:t>
      </w:r>
      <w:r w:rsidR="00BC36D7" w:rsidRPr="00BC36D7">
        <w:rPr>
          <w:sz w:val="20"/>
          <w:szCs w:val="20"/>
          <w:lang w:val="es-ES_tradnl"/>
        </w:rPr>
        <w:t>Bolivia (</w:t>
      </w:r>
      <w:r w:rsidRPr="00BC36D7">
        <w:rPr>
          <w:sz w:val="20"/>
          <w:szCs w:val="20"/>
          <w:lang w:val="es-ES_tradnl"/>
        </w:rPr>
        <w:t xml:space="preserve">MESEG Bolivia) para España por 200,000 </w:t>
      </w:r>
      <w:r w:rsidR="00BC36D7" w:rsidRPr="00BC36D7">
        <w:rPr>
          <w:sz w:val="20"/>
          <w:szCs w:val="20"/>
          <w:lang w:val="es-ES_tradnl"/>
        </w:rPr>
        <w:t>euros</w:t>
      </w:r>
      <w:r w:rsidRPr="00BC36D7">
        <w:rPr>
          <w:sz w:val="20"/>
          <w:szCs w:val="20"/>
          <w:lang w:val="es-ES_tradnl"/>
        </w:rPr>
        <w:t xml:space="preserve">. (Aprobada por 100,000 </w:t>
      </w:r>
      <w:r w:rsidR="00BC36D7" w:rsidRPr="00BC36D7">
        <w:rPr>
          <w:sz w:val="20"/>
          <w:szCs w:val="20"/>
          <w:lang w:val="es-ES_tradnl"/>
        </w:rPr>
        <w:t>euros</w:t>
      </w:r>
      <w:r w:rsidRPr="00BC36D7">
        <w:rPr>
          <w:sz w:val="20"/>
          <w:szCs w:val="20"/>
          <w:lang w:val="es-ES_tradnl"/>
        </w:rPr>
        <w:t>).</w:t>
      </w:r>
    </w:p>
    <w:p w14:paraId="078B10D3" w14:textId="0FB26DE4"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Nota conceptual para apoyar el Seguimiento a la Situación en Nicaragua presentada al Fondo español de la OEA por USD $200,000 (Aprobada por 100,000 </w:t>
      </w:r>
      <w:r w:rsidR="00BC36D7" w:rsidRPr="00BC36D7">
        <w:rPr>
          <w:sz w:val="20"/>
          <w:szCs w:val="20"/>
          <w:lang w:val="es-ES_tradnl"/>
        </w:rPr>
        <w:t>euros</w:t>
      </w:r>
      <w:r w:rsidRPr="00BC36D7">
        <w:rPr>
          <w:sz w:val="20"/>
          <w:szCs w:val="20"/>
          <w:lang w:val="es-ES_tradnl"/>
        </w:rPr>
        <w:t>).</w:t>
      </w:r>
    </w:p>
    <w:p w14:paraId="7D11141D" w14:textId="5324C02B"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Propuesta para apoyar la tramitación de decisiones en el Sistema de Peticiones y Casos presentada </w:t>
      </w:r>
      <w:r w:rsidR="00BC36D7" w:rsidRPr="00BC36D7">
        <w:rPr>
          <w:sz w:val="20"/>
          <w:szCs w:val="20"/>
          <w:lang w:val="es-ES_tradnl"/>
        </w:rPr>
        <w:t>a Irlanda</w:t>
      </w:r>
      <w:r w:rsidRPr="00BC36D7">
        <w:rPr>
          <w:sz w:val="20"/>
          <w:szCs w:val="20"/>
          <w:lang w:val="es-ES_tradnl"/>
        </w:rPr>
        <w:t xml:space="preserve"> USD $50,000 </w:t>
      </w:r>
      <w:r w:rsidR="00BC36D7" w:rsidRPr="00BC36D7">
        <w:rPr>
          <w:sz w:val="20"/>
          <w:szCs w:val="20"/>
          <w:lang w:val="es-ES_tradnl"/>
        </w:rPr>
        <w:t>euros</w:t>
      </w:r>
      <w:r w:rsidRPr="00BC36D7">
        <w:rPr>
          <w:sz w:val="20"/>
          <w:szCs w:val="20"/>
          <w:lang w:val="es-ES_tradnl"/>
        </w:rPr>
        <w:t xml:space="preserve"> (Aprobada).</w:t>
      </w:r>
    </w:p>
    <w:p w14:paraId="133D95D9" w14:textId="65760287"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Propuesta para apoyar el plan de la Relatoría de las personas LGTBI para Wellspring /Trust for the Americas para el periodo 2023-</w:t>
      </w:r>
      <w:r w:rsidR="00BC36D7" w:rsidRPr="00BC36D7">
        <w:rPr>
          <w:sz w:val="20"/>
          <w:szCs w:val="20"/>
          <w:lang w:val="es-ES_tradnl"/>
        </w:rPr>
        <w:t>2026 por</w:t>
      </w:r>
      <w:r w:rsidRPr="00BC36D7">
        <w:rPr>
          <w:sz w:val="20"/>
          <w:szCs w:val="20"/>
          <w:lang w:val="es-ES_tradnl"/>
        </w:rPr>
        <w:t xml:space="preserve"> valor de USD $450,000 (Aprobada)</w:t>
      </w:r>
      <w:r w:rsidR="008E0DD8">
        <w:rPr>
          <w:sz w:val="20"/>
          <w:szCs w:val="20"/>
          <w:lang w:val="es-ES_tradnl"/>
        </w:rPr>
        <w:t>.</w:t>
      </w:r>
    </w:p>
    <w:p w14:paraId="3CAA5C4E" w14:textId="0D15F881"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Propuesta de Plan de Trabajo Año 3 sobre el Programa de Fortalecimiento de la Gobernanza y los derechos Humanos en los países del Triángulo Norte y Nicaragua – Fase III para Italia por $100,000 </w:t>
      </w:r>
      <w:r w:rsidR="00BC36D7" w:rsidRPr="00BC36D7">
        <w:rPr>
          <w:sz w:val="20"/>
          <w:szCs w:val="20"/>
          <w:lang w:val="es-ES_tradnl"/>
        </w:rPr>
        <w:t>euros</w:t>
      </w:r>
      <w:r w:rsidRPr="00BC36D7">
        <w:rPr>
          <w:sz w:val="20"/>
          <w:szCs w:val="20"/>
          <w:lang w:val="es-ES_tradnl"/>
        </w:rPr>
        <w:t xml:space="preserve"> (Aprobada).</w:t>
      </w:r>
    </w:p>
    <w:p w14:paraId="6EA3F832" w14:textId="3FC57E70"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Propuesta para incrementar las capacidades de organizaciones de sociedad civil sobre el uso de Sistema Interamericano de Derechos Humanos presentada a PADF por valor de USD $</w:t>
      </w:r>
      <w:r w:rsidR="00BC36D7" w:rsidRPr="00BC36D7">
        <w:rPr>
          <w:sz w:val="20"/>
          <w:szCs w:val="20"/>
          <w:lang w:val="es-ES_tradnl"/>
        </w:rPr>
        <w:t>100,000 (</w:t>
      </w:r>
      <w:r w:rsidRPr="00BC36D7">
        <w:rPr>
          <w:sz w:val="20"/>
          <w:szCs w:val="20"/>
          <w:lang w:val="es-ES_tradnl"/>
        </w:rPr>
        <w:t>Aprobada).</w:t>
      </w:r>
    </w:p>
    <w:p w14:paraId="23758A88" w14:textId="452E6BA2"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Propuesta sobre Programa Regional de Democracia y Derechos humanos en Triángulo Norte y Nicaragua–Fase </w:t>
      </w:r>
      <w:r w:rsidR="00BC36D7" w:rsidRPr="00BC36D7">
        <w:rPr>
          <w:sz w:val="20"/>
          <w:szCs w:val="20"/>
          <w:lang w:val="es-ES_tradnl"/>
        </w:rPr>
        <w:t>IV presentada</w:t>
      </w:r>
      <w:r w:rsidRPr="00BC36D7">
        <w:rPr>
          <w:sz w:val="20"/>
          <w:szCs w:val="20"/>
          <w:lang w:val="es-ES_tradnl"/>
        </w:rPr>
        <w:t xml:space="preserve"> a PADF por USD $500,000 (Aprobados solo dos componentes por $</w:t>
      </w:r>
      <w:r w:rsidR="00BC36D7" w:rsidRPr="00BC36D7">
        <w:rPr>
          <w:sz w:val="20"/>
          <w:szCs w:val="20"/>
          <w:lang w:val="es-ES_tradnl"/>
        </w:rPr>
        <w:t>177,000)</w:t>
      </w:r>
      <w:r w:rsidRPr="00BC36D7">
        <w:rPr>
          <w:sz w:val="20"/>
          <w:szCs w:val="20"/>
          <w:lang w:val="es-ES_tradnl"/>
        </w:rPr>
        <w:t>.</w:t>
      </w:r>
    </w:p>
    <w:p w14:paraId="6F503A53" w14:textId="6FA38B62"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Propuesta para </w:t>
      </w:r>
      <w:bookmarkStart w:id="9" w:name="_Hlk121763427"/>
      <w:r w:rsidRPr="00BC36D7">
        <w:rPr>
          <w:sz w:val="20"/>
          <w:szCs w:val="20"/>
          <w:lang w:val="es-ES_tradnl"/>
        </w:rPr>
        <w:t xml:space="preserve">incrementar la protección y defensa de los derechos humanos en las Américas presentada </w:t>
      </w:r>
      <w:bookmarkEnd w:id="9"/>
      <w:r w:rsidRPr="00BC36D7">
        <w:rPr>
          <w:sz w:val="20"/>
          <w:szCs w:val="20"/>
          <w:lang w:val="es-ES_tradnl"/>
        </w:rPr>
        <w:t xml:space="preserve">a </w:t>
      </w:r>
      <w:r w:rsidR="00BC36D7" w:rsidRPr="00BC36D7">
        <w:rPr>
          <w:sz w:val="20"/>
          <w:szCs w:val="20"/>
          <w:lang w:val="es-ES_tradnl"/>
        </w:rPr>
        <w:t>EE. UU.</w:t>
      </w:r>
      <w:r w:rsidRPr="00BC36D7">
        <w:rPr>
          <w:sz w:val="20"/>
          <w:szCs w:val="20"/>
          <w:lang w:val="es-ES_tradnl"/>
        </w:rPr>
        <w:t xml:space="preserve"> por USD $4,937,500 (adición a Acuerdo GR027 - 2022-2025) (Aprobada). </w:t>
      </w:r>
    </w:p>
    <w:p w14:paraId="73DA87D2" w14:textId="2369D8FF"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 xml:space="preserve">Propuestas para el fortalecimiento de la carta de Democrática (Componente CIDH) por valor de USD $1,4 millones presentada a </w:t>
      </w:r>
      <w:r w:rsidR="00BC36D7" w:rsidRPr="00BC36D7">
        <w:rPr>
          <w:sz w:val="20"/>
          <w:szCs w:val="20"/>
          <w:lang w:val="es-ES_tradnl"/>
        </w:rPr>
        <w:t>EE. UU.</w:t>
      </w:r>
      <w:r w:rsidRPr="00BC36D7">
        <w:rPr>
          <w:sz w:val="20"/>
          <w:szCs w:val="20"/>
          <w:lang w:val="es-ES_tradnl"/>
        </w:rPr>
        <w:t xml:space="preserve"> (en estudio).</w:t>
      </w:r>
    </w:p>
    <w:p w14:paraId="2199854B" w14:textId="7BE5ABAF" w:rsidR="0052262B" w:rsidRPr="00BC36D7" w:rsidRDefault="0052262B" w:rsidP="00BC36D7">
      <w:pPr>
        <w:numPr>
          <w:ilvl w:val="0"/>
          <w:numId w:val="25"/>
        </w:numPr>
        <w:suppressAutoHyphens w:val="0"/>
        <w:spacing w:after="240"/>
        <w:ind w:left="1440" w:hanging="630"/>
        <w:contextualSpacing/>
        <w:jc w:val="both"/>
        <w:rPr>
          <w:rFonts w:eastAsia="Times New Roman" w:cs="Calibri"/>
          <w:color w:val="000000"/>
          <w:sz w:val="20"/>
          <w:szCs w:val="20"/>
          <w:lang w:val="es-ES"/>
        </w:rPr>
      </w:pPr>
      <w:r w:rsidRPr="00BC36D7">
        <w:rPr>
          <w:rFonts w:eastAsia="Times New Roman" w:cs="Calibri"/>
          <w:color w:val="000000"/>
          <w:sz w:val="20"/>
          <w:szCs w:val="20"/>
          <w:lang w:val="es-ES"/>
        </w:rPr>
        <w:t>Proyecto sobre Justicia climática y derechos económicos, sociales, culturales y ambientales en América Latina y el Caribe, Presentado a Noruega por $156,029 (Aprobado).</w:t>
      </w:r>
    </w:p>
    <w:p w14:paraId="199B476B" w14:textId="77777777" w:rsidR="0052262B" w:rsidRPr="00BC36D7" w:rsidRDefault="0052262B" w:rsidP="00BC36D7">
      <w:pPr>
        <w:numPr>
          <w:ilvl w:val="0"/>
          <w:numId w:val="25"/>
        </w:numPr>
        <w:suppressAutoHyphens w:val="0"/>
        <w:spacing w:after="240"/>
        <w:ind w:left="1440" w:hanging="630"/>
        <w:contextualSpacing/>
        <w:jc w:val="both"/>
        <w:rPr>
          <w:rFonts w:eastAsia="Times New Roman" w:cs="Calibri"/>
          <w:color w:val="000000"/>
          <w:sz w:val="20"/>
          <w:szCs w:val="20"/>
          <w:lang w:val="es-ES"/>
        </w:rPr>
      </w:pPr>
      <w:r w:rsidRPr="00BC36D7">
        <w:rPr>
          <w:rFonts w:eastAsia="Times New Roman" w:cs="Calibri"/>
          <w:color w:val="000000"/>
          <w:sz w:val="20"/>
          <w:szCs w:val="20"/>
          <w:lang w:val="es-ES"/>
        </w:rPr>
        <w:t>Protección y defensa de las personas defensoras de derechos humanos y operadores de justicia en las Américas, presentado al Fondo Español de la OEA por $ 214,049. (Aprobada).</w:t>
      </w:r>
    </w:p>
    <w:p w14:paraId="750F9E0C" w14:textId="4ED113A1"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rFonts w:eastAsia="Times New Roman" w:cs="Calibri"/>
          <w:color w:val="000000"/>
          <w:sz w:val="20"/>
          <w:szCs w:val="20"/>
          <w:lang w:val="es-ES"/>
        </w:rPr>
        <w:t>Fortalecimiento y promoción de los estándares interamericanos de derechos humanos en el marco de las políticas fiscales para garantizar y mejorar el acceso a los DESCA</w:t>
      </w:r>
      <w:r w:rsidRPr="00BC36D7">
        <w:rPr>
          <w:rFonts w:ascii="Calibri" w:eastAsia="Times New Roman" w:hAnsi="Calibri" w:cs="Calibri"/>
          <w:color w:val="000000"/>
          <w:lang w:val="es-ES"/>
        </w:rPr>
        <w:t xml:space="preserve"> </w:t>
      </w:r>
      <w:r w:rsidRPr="00BC36D7">
        <w:rPr>
          <w:rFonts w:eastAsia="Times New Roman" w:cs="Calibri"/>
          <w:color w:val="000000"/>
          <w:sz w:val="20"/>
          <w:szCs w:val="20"/>
          <w:lang w:val="es-ES"/>
        </w:rPr>
        <w:t>presentado al Fondo Español de la OEA por $ 235,461  (Aprobada).</w:t>
      </w:r>
    </w:p>
    <w:p w14:paraId="732F2BD1" w14:textId="77777777"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sz w:val="20"/>
          <w:szCs w:val="20"/>
          <w:lang w:val="es-ES_tradnl"/>
        </w:rPr>
        <w:t>Propuesta de Plan de Trabajo Año 4 sobre el Programa de Fortalecimiento de la Gobernanza y los derechos Humanos en los países del Triángulo Norte y Nicaragua – Fase III para Italia por $258,480 (Aprobada).</w:t>
      </w:r>
    </w:p>
    <w:p w14:paraId="73B0DBB2" w14:textId="77777777"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rFonts w:eastAsia="Times New Roman" w:cs="Calibri"/>
          <w:color w:val="000000"/>
          <w:sz w:val="20"/>
          <w:szCs w:val="20"/>
          <w:lang w:val="es-ES"/>
        </w:rPr>
        <w:t>Internacionalización Misiones Médicas Cubanas presentado a PADF por $470,000 (Aprobada).</w:t>
      </w:r>
    </w:p>
    <w:p w14:paraId="62E935B8" w14:textId="77777777" w:rsidR="0052262B" w:rsidRPr="00BC36D7" w:rsidRDefault="0052262B" w:rsidP="00BC36D7">
      <w:pPr>
        <w:numPr>
          <w:ilvl w:val="0"/>
          <w:numId w:val="25"/>
        </w:numPr>
        <w:suppressAutoHyphens w:val="0"/>
        <w:spacing w:after="240"/>
        <w:ind w:left="1440" w:hanging="630"/>
        <w:contextualSpacing/>
        <w:jc w:val="both"/>
        <w:rPr>
          <w:sz w:val="20"/>
          <w:szCs w:val="20"/>
          <w:lang w:val="es-ES_tradnl"/>
        </w:rPr>
      </w:pPr>
      <w:r w:rsidRPr="00BC36D7">
        <w:rPr>
          <w:rFonts w:eastAsia="Times New Roman" w:cs="Calibri"/>
          <w:color w:val="000000"/>
          <w:sz w:val="20"/>
          <w:szCs w:val="20"/>
          <w:lang w:val="es-ES"/>
        </w:rPr>
        <w:t>Fortalecimiento de la gobernanza y los derechos humanos en américa central -Programa Regional Centroamérica Fase IV año 5 (Aprobada).</w:t>
      </w:r>
    </w:p>
    <w:p w14:paraId="5E3E6903" w14:textId="018AFCA1" w:rsidR="0052262B" w:rsidRPr="00405F5C" w:rsidRDefault="0052262B" w:rsidP="00405F5C">
      <w:pPr>
        <w:suppressAutoHyphens w:val="0"/>
        <w:spacing w:after="240"/>
        <w:contextualSpacing/>
        <w:jc w:val="both"/>
        <w:rPr>
          <w:rFonts w:eastAsia="Times New Roman" w:cs="Calibri"/>
          <w:color w:val="000000"/>
          <w:sz w:val="20"/>
          <w:szCs w:val="20"/>
          <w:lang w:val="es-ES"/>
        </w:rPr>
      </w:pPr>
    </w:p>
    <w:p w14:paraId="565BD4E2" w14:textId="09770818" w:rsidR="0052262B" w:rsidRDefault="0052262B" w:rsidP="00692DA5">
      <w:pPr>
        <w:pStyle w:val="IASubttulo2"/>
        <w:spacing w:after="0"/>
        <w:rPr>
          <w:lang w:val="es-ES"/>
        </w:rPr>
      </w:pPr>
      <w:bookmarkStart w:id="10" w:name="_Toc162359410"/>
      <w:r>
        <w:rPr>
          <w:lang w:val="es-ES"/>
        </w:rPr>
        <w:t>Avances tecnológicos</w:t>
      </w:r>
      <w:bookmarkEnd w:id="10"/>
    </w:p>
    <w:p w14:paraId="16947C8C" w14:textId="77777777" w:rsidR="00692DA5" w:rsidRPr="00BC36D7" w:rsidRDefault="00692DA5" w:rsidP="00692DA5">
      <w:pPr>
        <w:pStyle w:val="IASubttulo2"/>
        <w:numPr>
          <w:ilvl w:val="0"/>
          <w:numId w:val="0"/>
        </w:numPr>
        <w:spacing w:after="0"/>
        <w:ind w:left="1440"/>
        <w:rPr>
          <w:lang w:val="es-ES"/>
        </w:rPr>
      </w:pPr>
    </w:p>
    <w:p w14:paraId="1C02D292" w14:textId="5678EDD3" w:rsidR="0052262B" w:rsidRPr="00511AFC" w:rsidRDefault="0052262B" w:rsidP="00BC36D7">
      <w:pPr>
        <w:pStyle w:val="IAPrrafo"/>
        <w:rPr>
          <w:lang w:val="es-AR"/>
        </w:rPr>
      </w:pPr>
      <w:r w:rsidRPr="00BC36D7">
        <w:rPr>
          <w:lang w:val="es-AR"/>
        </w:rPr>
        <w:t xml:space="preserve">La Comisión Interamericana de Derechos Humanos continúa incorporando la tecnología como su piedra angular en la era digital. </w:t>
      </w:r>
      <w:r w:rsidRPr="00692DA5">
        <w:rPr>
          <w:lang w:val="es-AR"/>
        </w:rPr>
        <w:t>Durante este per</w:t>
      </w:r>
      <w:r w:rsidR="00692DA5" w:rsidRPr="00692DA5">
        <w:rPr>
          <w:lang w:val="es-AR"/>
        </w:rPr>
        <w:t>i</w:t>
      </w:r>
      <w:r w:rsidRPr="00692DA5">
        <w:rPr>
          <w:lang w:val="es-AR"/>
        </w:rPr>
        <w:t xml:space="preserve">odo, se lograron avances tecnológicos significativos y se adaptaron estrategias para abordar los desafíos cambiantes en la era electrónica. </w:t>
      </w:r>
      <w:r w:rsidRPr="00511AFC">
        <w:rPr>
          <w:lang w:val="es-AR"/>
        </w:rPr>
        <w:t>La implementación de soluciones de vanguardia se ha convertido en una prioridad para la CIDH, impulsando constante crecimiento en el ámbito de la automatización digital.</w:t>
      </w:r>
    </w:p>
    <w:p w14:paraId="3354F72B" w14:textId="673D317E" w:rsidR="0052262B" w:rsidRPr="00511AFC" w:rsidRDefault="0052262B" w:rsidP="00BC36D7">
      <w:pPr>
        <w:pStyle w:val="IAPrrafo"/>
        <w:rPr>
          <w:lang w:val="es-AR"/>
        </w:rPr>
      </w:pPr>
      <w:r w:rsidRPr="00511AFC">
        <w:rPr>
          <w:lang w:val="es-AR"/>
        </w:rPr>
        <w:t xml:space="preserve">Alcanzamos grandes avances tecnológicos en el sistema central SE/CIDH, un proyecto innovador que ha representado un hito significativo en el desarrollo y modernización de los sistemas centrales de la Comisión. </w:t>
      </w:r>
      <w:r w:rsidRPr="00BC36D7">
        <w:rPr>
          <w:lang w:val="es-AR"/>
        </w:rPr>
        <w:t xml:space="preserve">En 2023, la Comisión Interamericana de Derechos Humanos experimentó un cambio transformador en el desarrollo de la primera fase de su nuevo sistema central (GAIA). </w:t>
      </w:r>
      <w:r w:rsidRPr="00511AFC">
        <w:rPr>
          <w:lang w:val="es-AR"/>
        </w:rPr>
        <w:t xml:space="preserve">Esta revisión de los sistemas centrales de la Comisión impactó las labores de la CIDH durante el 2023 y algunas metas de distintas </w:t>
      </w:r>
      <w:r w:rsidRPr="00511AFC">
        <w:rPr>
          <w:lang w:val="es-AR"/>
        </w:rPr>
        <w:lastRenderedPageBreak/>
        <w:t>áreas de la Secretaría Ejecutiva.  Durante el último año, se avanzó de manera notable en la implementación de la Fase 1 del sistema, logrando progresos que marcaron el camino hacia un sistema más moderno, eficiente y funcional. Se estableció punto de partida con la nueva plataforma, y se completó con éxito la definición de requerimientos para el Mínimo Producto Viable (MVP, Minimum Viable Product) en Fase 1. Asimismo, se espera que la introducción de GAIA mejore significativamente la capacidad organizativa y eficiencia operativa de la Comisión. Al respecto, los Estados miembros ya han reconocido los cambios positivos introducidos por el nuevo Sistema. En una carta dirigida a la Secretaria Ejecutiva, el Canciller de Costa Rica expresó su gran satisfacción con el manejo meticuloso de las peticiones, donde cada documento, evidencia y anexo relevante se referencia adecuadamente. Además, apreció la decisión de la CIDH de foliar todo el expediente del caso, reconociendo su contribución para garantizar la seguridad procesal y la igualdad de armas en estos procedimientos.  Este logro fue posible gracias a la sinergia con los equipos internos de la SE/CIDH, quienes compartieron conocimientos, solicitaron requerimientos, validaron, observaron y respaldaron los esfuerzos realizados. La puesta en marcha de la primera fase se convirtió en una realidad tangible. Se trabajó incansablemente en evaluación de estándares de seguridad, preparación de ambientes de producción y procesos necesarios para migración de datos desde sistemas internos previos. Esta fase crítica sentó las bases para el mejoramiento continuo del proyecto. Esta etapa representó un gran avance en el camino hacia modernizar la CIDH, estableciendo compromiso con eficiencia y funcionalidad de nuevas tecnologías, así como ejecución en la ruta de estabilización de la plataforma como proceso clave, contribuyendo a la solidez del MVP. Adicionalmente, en esfuerzo por agregar constantemente valor al sistema, se han integrado nuevos requerimientos, empleando estrategia que permite la generación de Quick Wins en el sistema, incluso durante fase de estabilización, buscando incrementar valor en la experiencia de usuario final de manera continua. La recepción positiva de los Estados miembros refuerza la expectativa de un rendimiento mejorado y procesos más eficientes con la completa integración del sistema GAIA en sus futuras fases.</w:t>
      </w:r>
    </w:p>
    <w:p w14:paraId="5D9AF513" w14:textId="77777777" w:rsidR="0052262B" w:rsidRPr="00511AFC" w:rsidRDefault="0052262B" w:rsidP="00BC36D7">
      <w:pPr>
        <w:pStyle w:val="IAPrrafo"/>
        <w:rPr>
          <w:lang w:val="es-AR"/>
        </w:rPr>
      </w:pPr>
      <w:r w:rsidRPr="00511AFC">
        <w:rPr>
          <w:lang w:val="es-AR"/>
        </w:rPr>
        <w:t>Reconociendo la importancia de capacitar al equipo, para el éxito del nuevo sistema central, se dedicaron recursos al diseño y preparación de herramientas de capacitación. Esto incluyó manuales autodidácticos, videos bajo la metodología E-learning y la programación de capacitaciones para todo el personal que utilizaría la herramienta. Se crearon espacios de colaboración y acompañamiento con las distintas áreas de la CIDH para fortalecer su familiarización con las funcionalidades de la nueva plataforma, para llegar a una transición orgánica. Se logró implementar un sistema para la transmisión automatizada del material audiovisual con más de 44 módulos de información, lo que ha revolucionado la forma en que compartimos el conocimiento dentro de la SE/CIDH. La creación de estos recursos visuales permitió a todas las personas usuarias de la secretaría acceder a propiedades valiosas que facilitaron el proceso de aprendizaje y conocimiento. Este enfoque tecnológico ha establecido un estándar en la presentación del E-Learning de formas más ágiles.</w:t>
      </w:r>
    </w:p>
    <w:p w14:paraId="1CB8CC8C" w14:textId="52269A98" w:rsidR="0052262B" w:rsidRPr="00436648" w:rsidRDefault="0052262B" w:rsidP="00BC36D7">
      <w:pPr>
        <w:pStyle w:val="IAPrrafo"/>
        <w:rPr>
          <w:lang w:val="es-AR"/>
        </w:rPr>
      </w:pPr>
      <w:r w:rsidRPr="00511AFC">
        <w:rPr>
          <w:lang w:val="es-AR"/>
        </w:rPr>
        <w:t xml:space="preserve">El sistema implementado para el recibimiento de nuevos requerimientos sobre los sistemas centrales ha sido un componente crítico en la operatividad y mejora en la forma de recibir las necesidades de la secretaría. La herramienta, fue adaptada de manera continua a las necesidades de las personas usuarias y su desarrollo estandarizó eficazmente los procesos.  La unificación de estas tareas impulsó la innovación tecnológica a mejorar la calidad de los procesos internos. Como resultado, se experimentó una transformación de manera en la que se abordan las solicitudes, teniendo un impacto directo en la mejora de flujos de trabajo. Convirtiéndose en un activo inestimable para la organización, su continuidad es esencial para mantener la gestión de procesos. </w:t>
      </w:r>
      <w:r w:rsidRPr="00436648">
        <w:rPr>
          <w:lang w:val="es-AR"/>
        </w:rPr>
        <w:t xml:space="preserve">Se atendieron 893 requerimientos para 9 áreas de la CIDH en </w:t>
      </w:r>
      <w:r w:rsidR="00436648" w:rsidRPr="00436648">
        <w:rPr>
          <w:lang w:val="es-AR"/>
        </w:rPr>
        <w:t>oc</w:t>
      </w:r>
      <w:r w:rsidR="00436648">
        <w:rPr>
          <w:lang w:val="es-AR"/>
        </w:rPr>
        <w:t>ho</w:t>
      </w:r>
      <w:r w:rsidRPr="00436648">
        <w:rPr>
          <w:lang w:val="es-AR"/>
        </w:rPr>
        <w:t xml:space="preserve"> meses de su implementación.</w:t>
      </w:r>
    </w:p>
    <w:p w14:paraId="788BC6E3" w14:textId="77777777" w:rsidR="0052262B" w:rsidRPr="00BC36D7" w:rsidRDefault="0052262B" w:rsidP="00BC36D7">
      <w:pPr>
        <w:pStyle w:val="IAPrrafo"/>
      </w:pPr>
      <w:r w:rsidRPr="002361F0">
        <w:rPr>
          <w:lang w:val="es-AR"/>
        </w:rPr>
        <w:t>La herramienta desarrollada</w:t>
      </w:r>
      <w:r w:rsidRPr="00511AFC">
        <w:rPr>
          <w:lang w:val="es-AR"/>
        </w:rPr>
        <w:t xml:space="preserve"> para la recepción, logística y atención de solicitudes ha sido un activo fortalecedor para la continua agilización y gestión de requerimientos recibidos por parte de toda la SE/CIDH, permitiendo mayor capacidad para abordar las necesidades tecnológicas. Como parte integral a la adaptación de tecnologías emergentes, se mantiene su supervisión y foco en las oportunidades de mejora para que el sistema continue funcional en un entorno tecnológico en constante evolución.   </w:t>
      </w:r>
      <w:r w:rsidRPr="00BC36D7">
        <w:t>Se atendieron 647 requerimientos para 25 áreas de la CIDH.</w:t>
      </w:r>
    </w:p>
    <w:p w14:paraId="2559DCDD" w14:textId="77777777" w:rsidR="0052262B" w:rsidRPr="00511AFC" w:rsidRDefault="0052262B" w:rsidP="00BC36D7">
      <w:pPr>
        <w:pStyle w:val="IAPrrafo"/>
        <w:rPr>
          <w:lang w:val="es-AR"/>
        </w:rPr>
      </w:pPr>
      <w:r w:rsidRPr="00511AFC">
        <w:rPr>
          <w:lang w:val="es-AR"/>
        </w:rPr>
        <w:lastRenderedPageBreak/>
        <w:t>Durante diferentes facetas la Comisión ha experimentado un progreso notable en múltiples áreas tecnológicas que han repercutido positivamente en nuestra misión de promover y proteger los derechos humanos en la era digital. La optimización de plataformas permitió un mayor acceso a los períodos de sesiones (PS), fomentando participación más activa. Reconociendo la diversidad lingüística de nuestra audiencia, manteniendo soluciones de traducción y subtitulado en tiempo real, en diferentes transmisiones simultáneas. Se obtuvo un efecto relevante en accesibilidad a sesiones, audiencias, reuniones y eventos. La coordinación tecnológica garantizó una organización eficaz de los PS186°, 187°, 188°. Estas prácticas dieron como resultado mayor fluidez y cohesión en su desarrollo. Se realizaron capacitaciones técnicas importantes, proporcionando conocimientos que permitieran la familiarización con tecnologías y procedimientos necesarios para llevar a cabo PS exitosos. Con el compromiso de mantenernos a la vanguardia en un mundo cada vez más digitalizado, se continúa evaluando nuevas tecnologías para mejorar la experiencia de los PS.</w:t>
      </w:r>
    </w:p>
    <w:p w14:paraId="037AE16E" w14:textId="77777777" w:rsidR="0052262B" w:rsidRPr="00511AFC" w:rsidRDefault="0052262B" w:rsidP="00BC36D7">
      <w:pPr>
        <w:pStyle w:val="IAPrrafo"/>
        <w:rPr>
          <w:lang w:val="es-AR"/>
        </w:rPr>
      </w:pPr>
      <w:r w:rsidRPr="00511AFC">
        <w:rPr>
          <w:lang w:val="es-AR"/>
        </w:rPr>
        <w:t>Fueron identificados y evaluados recursos tecnológicos necesarios, logrando emplear avances en la infraestructura tecnológica, orientados hacia hardware de vanguardia y modernización de equipos informáticos. La SE/CIDH tuvo como objetivo central mejorar la eficiencia y calidad de las últimas tecnologías disponibles para el trabajo de la Comisión. Se gestionó y coordinó entrega de equipos institucionales de última generación, transformando la modernización tecnológica con herramientas de alto rendimiento para llevar a cabo las múltiples operaciones. Se trabajó en la integración de nuevas tecnologías para optimizar la colaboración de personas usuarias, manteniéndonos alineados con las últimas tendencias en la era digital. Igualmente, se realizaron actualizaciones con hardware de alta gama en salones inteligentes, obteniendo un impacto en el rendimiento y el procesamiento de datos mejorando la conectividad en tiempo real.</w:t>
      </w:r>
    </w:p>
    <w:p w14:paraId="1C26F5F5" w14:textId="77777777" w:rsidR="0052262B" w:rsidRPr="00511AFC" w:rsidRDefault="0052262B" w:rsidP="00BC36D7">
      <w:pPr>
        <w:pStyle w:val="IAPrrafo"/>
        <w:rPr>
          <w:lang w:val="es-AR"/>
        </w:rPr>
      </w:pPr>
      <w:r w:rsidRPr="00511AFC">
        <w:rPr>
          <w:lang w:val="es-AR"/>
        </w:rPr>
        <w:t>Con la necesidad de mantener SIMORE en línea de innovaciones tecnológicas y buscando fortalecer la funcionalidad del sistema, nos encontramos en proceso de análisis y exploración para implementar mejoras, herramientas de análisis de datos, optimización de la experiencia e interfaz de uso para personas usuarias y Estados miembros, fortaleciendo la capacidad para el cumplimiento de sus compromisos en materia de DDHH.</w:t>
      </w:r>
    </w:p>
    <w:p w14:paraId="1DB665F0" w14:textId="6F3021DC" w:rsidR="0052262B" w:rsidRPr="002361F0" w:rsidRDefault="0052262B" w:rsidP="00BC36D7">
      <w:pPr>
        <w:pStyle w:val="IAPrrafo"/>
        <w:rPr>
          <w:lang w:val="es-AR"/>
        </w:rPr>
      </w:pPr>
      <w:r w:rsidRPr="002361F0">
        <w:rPr>
          <w:lang w:val="es-AR"/>
        </w:rPr>
        <w:t xml:space="preserve">Dando continuidad al compromiso de la Comisión hacia los usuarios del Portal, se destacan logros, brindando asistencia apoyo a más de 12.325 consultas; contamos con 4.314 nuevas suscripciones de personas usuarias y </w:t>
      </w:r>
      <w:r w:rsidR="002361F0" w:rsidRPr="002361F0">
        <w:rPr>
          <w:lang w:val="es-AR"/>
        </w:rPr>
        <w:t>di</w:t>
      </w:r>
      <w:r w:rsidR="002361F0">
        <w:rPr>
          <w:lang w:val="es-AR"/>
        </w:rPr>
        <w:t>ez</w:t>
      </w:r>
      <w:r w:rsidRPr="002361F0">
        <w:rPr>
          <w:lang w:val="es-AR"/>
        </w:rPr>
        <w:t xml:space="preserve"> cuentas activadas por Estados, experimentado un crecimiento significativo; se procesaron de manera automatizada 77.160 documentos de información adicional. </w:t>
      </w:r>
    </w:p>
    <w:p w14:paraId="5E3A622F" w14:textId="2AAE7295" w:rsidR="006B22B7" w:rsidRPr="007B6E88" w:rsidRDefault="0052262B" w:rsidP="006B22B7">
      <w:pPr>
        <w:pStyle w:val="IAPrrafo"/>
        <w:rPr>
          <w:lang w:val="es-AR"/>
        </w:rPr>
      </w:pPr>
      <w:r w:rsidRPr="002361F0">
        <w:rPr>
          <w:lang w:val="es-AR"/>
        </w:rPr>
        <w:t xml:space="preserve">Con el propósito de proporcionar información de forma centralizada y automatizada,  agilizando  los tiempos de la SE/CIDH, se pusieron en línea para las convocatorias públicas: </w:t>
      </w:r>
      <w:r w:rsidR="0069317E">
        <w:rPr>
          <w:lang w:val="es-AR"/>
        </w:rPr>
        <w:t>s</w:t>
      </w:r>
      <w:r w:rsidRPr="002361F0">
        <w:rPr>
          <w:lang w:val="es-AR"/>
        </w:rPr>
        <w:t xml:space="preserve">olicitudes de Audiencias y Reuniones del 186° al 188° PS en </w:t>
      </w:r>
      <w:r w:rsidR="002361F0" w:rsidRPr="002361F0">
        <w:rPr>
          <w:lang w:val="es-AR"/>
        </w:rPr>
        <w:t>cu</w:t>
      </w:r>
      <w:r w:rsidR="00D520E0">
        <w:rPr>
          <w:lang w:val="es-AR"/>
        </w:rPr>
        <w:t>atro</w:t>
      </w:r>
      <w:r w:rsidRPr="002361F0">
        <w:rPr>
          <w:lang w:val="es-AR"/>
        </w:rPr>
        <w:t xml:space="preserve"> idiomas oficiales; </w:t>
      </w:r>
      <w:r w:rsidR="0069317E">
        <w:rPr>
          <w:lang w:val="es-AR"/>
        </w:rPr>
        <w:t>c</w:t>
      </w:r>
      <w:r w:rsidRPr="002361F0">
        <w:rPr>
          <w:lang w:val="es-AR"/>
        </w:rPr>
        <w:t xml:space="preserve">onvocatorias de becas sobre relatorías: personas afrodescendientes, derechos de la niñez, personas LGBT, Elizabeth Abi-Mershed para seguimiento de recomendaciones de casos; </w:t>
      </w:r>
      <w:r w:rsidR="0069317E">
        <w:rPr>
          <w:lang w:val="es-AR"/>
        </w:rPr>
        <w:t>f</w:t>
      </w:r>
      <w:r w:rsidRPr="002361F0">
        <w:rPr>
          <w:lang w:val="es-AR"/>
        </w:rPr>
        <w:t>ormulario de registros para reuniones en visita in loco a Bolivia</w:t>
      </w:r>
      <w:r w:rsidR="00FA3C6C">
        <w:rPr>
          <w:lang w:val="es-AR"/>
        </w:rPr>
        <w:t>,</w:t>
      </w:r>
      <w:r w:rsidRPr="002361F0">
        <w:rPr>
          <w:lang w:val="es-AR"/>
        </w:rPr>
        <w:t xml:space="preserve"> </w:t>
      </w:r>
      <w:r w:rsidRPr="007B6E88">
        <w:rPr>
          <w:i/>
          <w:iCs/>
          <w:lang w:val="es-AR"/>
        </w:rPr>
        <w:t>Human Rights Consultant</w:t>
      </w:r>
      <w:r w:rsidR="00FA3C6C">
        <w:rPr>
          <w:lang w:val="es-AR"/>
        </w:rPr>
        <w:t>,</w:t>
      </w:r>
      <w:r w:rsidRPr="002361F0">
        <w:rPr>
          <w:lang w:val="es-AR"/>
        </w:rPr>
        <w:t xml:space="preserve"> </w:t>
      </w:r>
      <w:r w:rsidR="0069317E">
        <w:rPr>
          <w:lang w:val="es-AR"/>
        </w:rPr>
        <w:t>c</w:t>
      </w:r>
      <w:r w:rsidRPr="002361F0">
        <w:rPr>
          <w:lang w:val="es-AR"/>
        </w:rPr>
        <w:t>onsultor en Derechos Humanos Relatoría sobre Derechos de los Pueblos Indígenas</w:t>
      </w:r>
      <w:r w:rsidR="00FA3C6C">
        <w:rPr>
          <w:lang w:val="es-AR"/>
        </w:rPr>
        <w:t>,</w:t>
      </w:r>
      <w:r w:rsidRPr="002361F0">
        <w:rPr>
          <w:lang w:val="es-AR"/>
        </w:rPr>
        <w:t xml:space="preserve"> </w:t>
      </w:r>
      <w:r w:rsidRPr="007B6E88">
        <w:rPr>
          <w:i/>
          <w:iCs/>
          <w:lang w:val="es-AR"/>
        </w:rPr>
        <w:t>Technical Cooperation and Public Policy Section</w:t>
      </w:r>
      <w:r w:rsidRPr="002361F0">
        <w:rPr>
          <w:lang w:val="es-AR"/>
        </w:rPr>
        <w:t xml:space="preserve"> (inglés y español)</w:t>
      </w:r>
      <w:r w:rsidR="006E2B4E">
        <w:rPr>
          <w:lang w:val="es-AR"/>
        </w:rPr>
        <w:t>;</w:t>
      </w:r>
      <w:r w:rsidRPr="002361F0">
        <w:rPr>
          <w:lang w:val="es-AR"/>
        </w:rPr>
        <w:t xml:space="preserve"> </w:t>
      </w:r>
      <w:r w:rsidR="007B6E88">
        <w:rPr>
          <w:lang w:val="es-AR"/>
        </w:rPr>
        <w:t>c</w:t>
      </w:r>
      <w:r w:rsidRPr="002361F0">
        <w:rPr>
          <w:lang w:val="es-AR"/>
        </w:rPr>
        <w:t>omentarios a concurso de REDESCA (inglés y español)</w:t>
      </w:r>
      <w:r w:rsidR="006E2B4E">
        <w:rPr>
          <w:lang w:val="es-AR"/>
        </w:rPr>
        <w:t xml:space="preserve"> </w:t>
      </w:r>
      <w:r w:rsidR="008B200C">
        <w:rPr>
          <w:lang w:val="es-AR"/>
        </w:rPr>
        <w:t>y</w:t>
      </w:r>
      <w:r w:rsidRPr="002361F0">
        <w:rPr>
          <w:lang w:val="es-AR"/>
        </w:rPr>
        <w:t xml:space="preserve"> </w:t>
      </w:r>
      <w:r w:rsidR="007B6E88">
        <w:rPr>
          <w:lang w:val="es-AR"/>
        </w:rPr>
        <w:t>c</w:t>
      </w:r>
      <w:r w:rsidRPr="002361F0">
        <w:rPr>
          <w:lang w:val="es-AR"/>
        </w:rPr>
        <w:t xml:space="preserve">onsultoría en </w:t>
      </w:r>
      <w:r w:rsidR="007B6E88">
        <w:rPr>
          <w:lang w:val="es-AR"/>
        </w:rPr>
        <w:t>m</w:t>
      </w:r>
      <w:r w:rsidRPr="002361F0">
        <w:rPr>
          <w:lang w:val="es-AR"/>
        </w:rPr>
        <w:t>etodologías de análisis de riesgos y alertas tempranas</w:t>
      </w:r>
      <w:r w:rsidR="007B6E88">
        <w:rPr>
          <w:lang w:val="es-AR"/>
        </w:rPr>
        <w:t>.</w:t>
      </w:r>
    </w:p>
    <w:sectPr w:rsidR="006B22B7" w:rsidRPr="007B6E88" w:rsidSect="00356253">
      <w:type w:val="oddPage"/>
      <w:pgSz w:w="12240" w:h="15840"/>
      <w:pgMar w:top="1440" w:right="1440" w:bottom="1440" w:left="1440" w:header="720" w:footer="720" w:gutter="0"/>
      <w:pgNumType w:start="11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1DB" w14:textId="77777777" w:rsidR="00333764" w:rsidRDefault="00333764" w:rsidP="003B41C5">
      <w:r>
        <w:separator/>
      </w:r>
    </w:p>
  </w:endnote>
  <w:endnote w:type="continuationSeparator" w:id="0">
    <w:p w14:paraId="760F722B" w14:textId="77777777" w:rsidR="00333764" w:rsidRDefault="00333764"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MT_PDF_Subse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2A6" w14:textId="77777777" w:rsidR="003B41C5" w:rsidRDefault="003B41C5">
    <w:pPr>
      <w:pStyle w:val="Footer"/>
    </w:pPr>
  </w:p>
  <w:p w14:paraId="00FC2F82" w14:textId="77777777" w:rsidR="00F16629" w:rsidRDefault="00F16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p w14:paraId="337A7EF2" w14:textId="77777777" w:rsidR="00F16629" w:rsidRDefault="00F166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AC7A" w14:textId="17BABB78" w:rsidR="00511AFC" w:rsidRDefault="00511AFC">
    <w:pPr>
      <w:pStyle w:val="Footer"/>
      <w:jc w:val="center"/>
    </w:pPr>
  </w:p>
  <w:p w14:paraId="1F854C20" w14:textId="77777777" w:rsidR="00F16629" w:rsidRDefault="00F16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F9CA" w14:textId="77777777" w:rsidR="00333764" w:rsidRDefault="00333764" w:rsidP="003B41C5">
      <w:r>
        <w:separator/>
      </w:r>
    </w:p>
  </w:footnote>
  <w:footnote w:type="continuationSeparator" w:id="0">
    <w:p w14:paraId="20919058" w14:textId="77777777" w:rsidR="00333764" w:rsidRDefault="00333764" w:rsidP="003B41C5">
      <w:r>
        <w:continuationSeparator/>
      </w:r>
    </w:p>
  </w:footnote>
  <w:footnote w:id="1">
    <w:p w14:paraId="6EF2DC32" w14:textId="77777777" w:rsidR="009E6EF9" w:rsidRDefault="0052262B" w:rsidP="009E6EF9">
      <w:pPr>
        <w:pStyle w:val="FootnoteText"/>
        <w:rPr>
          <w:rFonts w:eastAsia="Calibri"/>
          <w:szCs w:val="16"/>
          <w:lang w:val="es-US"/>
        </w:rPr>
      </w:pPr>
      <w:r w:rsidRPr="00041E84">
        <w:rPr>
          <w:rStyle w:val="FootnoteReference"/>
          <w:szCs w:val="16"/>
        </w:rPr>
        <w:footnoteRef/>
      </w:r>
      <w:r w:rsidRPr="00041E84">
        <w:rPr>
          <w:szCs w:val="16"/>
          <w:lang w:val="es-US"/>
        </w:rPr>
        <w:t xml:space="preserve"> </w:t>
      </w:r>
      <w:r>
        <w:rPr>
          <w:rFonts w:eastAsia="Calibri"/>
          <w:szCs w:val="16"/>
          <w:lang w:val="es-US"/>
        </w:rPr>
        <w:t>L</w:t>
      </w:r>
      <w:r w:rsidRPr="00041E84">
        <w:rPr>
          <w:rFonts w:eastAsia="Calibri"/>
          <w:szCs w:val="16"/>
          <w:lang w:val="es-US"/>
        </w:rPr>
        <w:t>a distribución del programa presupuesto</w:t>
      </w:r>
      <w:r>
        <w:rPr>
          <w:rFonts w:eastAsia="Calibri"/>
          <w:szCs w:val="16"/>
          <w:lang w:val="es-US"/>
        </w:rPr>
        <w:t xml:space="preserve"> fue</w:t>
      </w:r>
      <w:r w:rsidRPr="00041E84">
        <w:rPr>
          <w:rFonts w:eastAsia="Calibri"/>
          <w:szCs w:val="16"/>
          <w:lang w:val="es-US"/>
        </w:rPr>
        <w:t xml:space="preserve"> aprobad</w:t>
      </w:r>
      <w:r>
        <w:rPr>
          <w:rFonts w:eastAsia="Calibri"/>
          <w:szCs w:val="16"/>
          <w:lang w:val="es-US"/>
        </w:rPr>
        <w:t>a</w:t>
      </w:r>
      <w:r w:rsidRPr="00041E84">
        <w:rPr>
          <w:rFonts w:eastAsia="Calibri"/>
          <w:szCs w:val="16"/>
          <w:lang w:val="es-US"/>
        </w:rPr>
        <w:t xml:space="preserve"> </w:t>
      </w:r>
      <w:r w:rsidRPr="00820EF5">
        <w:rPr>
          <w:rFonts w:eastAsia="Calibri"/>
          <w:szCs w:val="16"/>
          <w:lang w:val="es-US"/>
        </w:rPr>
        <w:t xml:space="preserve">por la </w:t>
      </w:r>
      <w:r>
        <w:rPr>
          <w:rFonts w:eastAsia="Calibri"/>
          <w:szCs w:val="16"/>
          <w:lang w:val="es-US"/>
        </w:rPr>
        <w:t>A</w:t>
      </w:r>
      <w:r w:rsidRPr="00820EF5">
        <w:rPr>
          <w:rFonts w:eastAsia="Calibri"/>
          <w:szCs w:val="16"/>
          <w:lang w:val="es-US"/>
        </w:rPr>
        <w:t xml:space="preserve">samblea </w:t>
      </w:r>
      <w:r>
        <w:rPr>
          <w:rFonts w:eastAsia="Calibri"/>
          <w:szCs w:val="16"/>
          <w:lang w:val="es-US"/>
        </w:rPr>
        <w:t>G</w:t>
      </w:r>
      <w:r w:rsidRPr="00820EF5">
        <w:rPr>
          <w:rFonts w:eastAsia="Calibri"/>
          <w:szCs w:val="16"/>
          <w:lang w:val="es-US"/>
        </w:rPr>
        <w:t>eneral</w:t>
      </w:r>
      <w:r>
        <w:rPr>
          <w:rFonts w:eastAsia="Calibri"/>
          <w:szCs w:val="16"/>
          <w:lang w:val="es-US"/>
        </w:rPr>
        <w:t xml:space="preserve"> en el </w:t>
      </w:r>
      <w:r w:rsidRPr="00820EF5">
        <w:rPr>
          <w:rFonts w:eastAsia="Calibri"/>
          <w:szCs w:val="16"/>
          <w:lang w:val="es-US"/>
        </w:rPr>
        <w:t>5</w:t>
      </w:r>
      <w:r>
        <w:rPr>
          <w:rFonts w:eastAsia="Calibri"/>
          <w:szCs w:val="16"/>
          <w:lang w:val="es-US"/>
        </w:rPr>
        <w:t>2</w:t>
      </w:r>
      <w:r w:rsidRPr="00820EF5">
        <w:rPr>
          <w:rFonts w:eastAsia="Calibri"/>
          <w:szCs w:val="16"/>
          <w:lang w:val="es-US"/>
        </w:rPr>
        <w:t xml:space="preserve"> periodo ordinario de sesiones </w:t>
      </w:r>
      <w:r>
        <w:rPr>
          <w:rFonts w:eastAsia="Calibri"/>
          <w:szCs w:val="16"/>
          <w:lang w:val="es-US"/>
        </w:rPr>
        <w:t>en octubre de</w:t>
      </w:r>
      <w:r w:rsidRPr="00820EF5">
        <w:rPr>
          <w:rFonts w:eastAsia="Calibri"/>
          <w:szCs w:val="16"/>
          <w:lang w:val="es-US"/>
        </w:rPr>
        <w:t xml:space="preserve"> 202</w:t>
      </w:r>
      <w:r>
        <w:rPr>
          <w:rFonts w:eastAsia="Calibri"/>
          <w:szCs w:val="16"/>
          <w:lang w:val="es-US"/>
        </w:rPr>
        <w:t xml:space="preserve">2 mediante la </w:t>
      </w:r>
      <w:r w:rsidRPr="00820EF5">
        <w:rPr>
          <w:rFonts w:eastAsia="Calibri"/>
          <w:szCs w:val="16"/>
          <w:lang w:val="es-US"/>
        </w:rPr>
        <w:t>AG/RES.29</w:t>
      </w:r>
      <w:r>
        <w:rPr>
          <w:rFonts w:eastAsia="Calibri"/>
          <w:szCs w:val="16"/>
          <w:lang w:val="es-US"/>
        </w:rPr>
        <w:t>85</w:t>
      </w:r>
      <w:r w:rsidRPr="00820EF5">
        <w:rPr>
          <w:rFonts w:eastAsia="Calibri"/>
          <w:szCs w:val="16"/>
          <w:lang w:val="es-US"/>
        </w:rPr>
        <w:t xml:space="preserve"> (L</w:t>
      </w:r>
      <w:r>
        <w:rPr>
          <w:rFonts w:eastAsia="Calibri"/>
          <w:szCs w:val="16"/>
          <w:lang w:val="es-US"/>
        </w:rPr>
        <w:t>I</w:t>
      </w:r>
      <w:r w:rsidRPr="00820EF5">
        <w:rPr>
          <w:rFonts w:eastAsia="Calibri"/>
          <w:szCs w:val="16"/>
          <w:lang w:val="es-US"/>
        </w:rPr>
        <w:t>-O/2</w:t>
      </w:r>
      <w:r>
        <w:rPr>
          <w:rFonts w:eastAsia="Calibri"/>
          <w:szCs w:val="16"/>
          <w:lang w:val="es-US"/>
        </w:rPr>
        <w:t>2</w:t>
      </w:r>
      <w:r w:rsidRPr="00820EF5">
        <w:rPr>
          <w:rFonts w:eastAsia="Calibri"/>
          <w:szCs w:val="16"/>
          <w:lang w:val="es-US"/>
        </w:rPr>
        <w:t>)</w:t>
      </w:r>
      <w:r w:rsidRPr="00041E84">
        <w:rPr>
          <w:rFonts w:eastAsia="Calibri"/>
          <w:szCs w:val="16"/>
          <w:lang w:val="es-US"/>
        </w:rPr>
        <w:t xml:space="preserve"> para el periodo del 1 de enero al 31 de diciembre de 202</w:t>
      </w:r>
      <w:r>
        <w:rPr>
          <w:rFonts w:eastAsia="Calibri"/>
          <w:szCs w:val="16"/>
          <w:lang w:val="es-US"/>
        </w:rPr>
        <w:t xml:space="preserve">3. </w:t>
      </w:r>
    </w:p>
    <w:p w14:paraId="478491B0" w14:textId="2600275D" w:rsidR="0052262B" w:rsidRPr="009E6EF9" w:rsidRDefault="0052262B" w:rsidP="009E6EF9">
      <w:pPr>
        <w:pStyle w:val="FootnoteText"/>
        <w:rPr>
          <w:rFonts w:eastAsia="Calibri"/>
          <w:szCs w:val="16"/>
          <w:lang w:val="es-US"/>
        </w:rPr>
      </w:pPr>
      <w:r w:rsidRPr="00041E84">
        <w:rPr>
          <w:rFonts w:eastAsia="Calibri"/>
          <w:szCs w:val="16"/>
          <w:lang w:val="es-US"/>
        </w:rPr>
        <w:t>El valor señalado bajo Administración corresponde a la Secretaria de Administración y Finanzas (Capítulo 11).</w:t>
      </w:r>
    </w:p>
  </w:footnote>
  <w:footnote w:id="2">
    <w:p w14:paraId="43D5E414" w14:textId="77777777" w:rsidR="0052262B" w:rsidRPr="00E75FA4" w:rsidRDefault="0052262B" w:rsidP="00E75FA4">
      <w:pPr>
        <w:pStyle w:val="FootnoteText"/>
        <w:rPr>
          <w:szCs w:val="16"/>
          <w:lang w:val="es-US"/>
        </w:rPr>
      </w:pPr>
      <w:r w:rsidRPr="00E75FA4">
        <w:rPr>
          <w:rStyle w:val="FootnoteReference"/>
          <w:szCs w:val="16"/>
        </w:rPr>
        <w:footnoteRef/>
      </w:r>
      <w:r w:rsidRPr="00E75FA4">
        <w:rPr>
          <w:rStyle w:val="FootnoteReference"/>
          <w:szCs w:val="16"/>
          <w:lang w:val="es-US"/>
        </w:rPr>
        <w:t xml:space="preserve"> </w:t>
      </w:r>
      <w:r w:rsidRPr="00E75FA4">
        <w:rPr>
          <w:szCs w:val="16"/>
          <w:lang w:val="es-US"/>
        </w:rPr>
        <w:t xml:space="preserve">La CIDH suscribió un acuerdo de asistencia con Estados Unidos por un valor de USD 14.2 millones para el periodo comprendido entre 2018 y 2023 y otro acuerdo por USD 14.8 millones para el periodo comprendido entre 2021 y 2025. Ambos acuerdos se implementan bajo la modalidad de envío de desembolsos contra la ejecución financiera del proyecto. </w:t>
      </w:r>
    </w:p>
    <w:p w14:paraId="7F9BB69E" w14:textId="77777777" w:rsidR="0052262B" w:rsidRPr="00E75FA4" w:rsidRDefault="0052262B" w:rsidP="00E75FA4">
      <w:pPr>
        <w:pStyle w:val="FootnoteText"/>
        <w:rPr>
          <w:rStyle w:val="FootnoteReference"/>
          <w:szCs w:val="16"/>
          <w:lang w:val="es-US"/>
        </w:rPr>
      </w:pPr>
      <w:r w:rsidRPr="00E75FA4">
        <w:rPr>
          <w:szCs w:val="16"/>
          <w:lang w:val="es-US"/>
        </w:rPr>
        <w:t xml:space="preserve">La Relatoría Especial para la Libertad de Expresión tiene una asignación de USD 1.3M (costos directos) dentro del primer acuerdo y USD 1.4 M (costos directos) dentro del segundo acuerdo. Los valores de las asignaciones no incluyen costos de auditoria o de evaluación del proyecto. </w:t>
      </w:r>
    </w:p>
  </w:footnote>
  <w:footnote w:id="3">
    <w:p w14:paraId="13B9C60F" w14:textId="77777777" w:rsidR="0052262B" w:rsidRPr="005E5DB7" w:rsidRDefault="0052262B" w:rsidP="00E75FA4">
      <w:pPr>
        <w:pStyle w:val="FootnoteText"/>
        <w:rPr>
          <w:lang w:val="es-CO"/>
        </w:rPr>
      </w:pPr>
      <w:r w:rsidRPr="00E75FA4">
        <w:rPr>
          <w:rStyle w:val="FootnoteReference"/>
          <w:szCs w:val="16"/>
        </w:rPr>
        <w:footnoteRef/>
      </w:r>
      <w:r w:rsidRPr="00E75FA4">
        <w:rPr>
          <w:szCs w:val="16"/>
          <w:lang w:val="es-CO"/>
        </w:rPr>
        <w:t xml:space="preserve"> El aporte de Canadá ($200.00) fue recibido antes del 31 de diciembre de 2022 y se encontraba en trámite en el Departamento de Servicios Financieros (DFS), razón por la cual no fue incluido al momento de emisión del informe 2022.</w:t>
      </w:r>
    </w:p>
  </w:footnote>
  <w:footnote w:id="4">
    <w:p w14:paraId="58EFEE43" w14:textId="77777777" w:rsidR="0052262B" w:rsidRPr="001315E1" w:rsidRDefault="0052262B" w:rsidP="001315E1">
      <w:pPr>
        <w:pStyle w:val="FootnoteText"/>
        <w:rPr>
          <w:szCs w:val="16"/>
          <w:lang w:val="es-CO"/>
        </w:rPr>
      </w:pPr>
      <w:r w:rsidRPr="001315E1">
        <w:rPr>
          <w:rStyle w:val="FootnoteReference"/>
          <w:szCs w:val="16"/>
        </w:rPr>
        <w:footnoteRef/>
      </w:r>
      <w:r w:rsidRPr="001315E1">
        <w:rPr>
          <w:szCs w:val="16"/>
          <w:lang w:val="es-CO"/>
        </w:rPr>
        <w:t xml:space="preserve"> Esta tabla es un resumen del Reporte “Estados de Variación en el Saldo de los Fondos” por actividad y donante, publicado por el Departamento de Servicios Financieros de la SG/OEA al 31 de diciembre de 2023.</w:t>
      </w:r>
    </w:p>
  </w:footnote>
  <w:footnote w:id="5">
    <w:p w14:paraId="07945EC1" w14:textId="77777777" w:rsidR="0052262B" w:rsidRPr="001315E1" w:rsidRDefault="0052262B" w:rsidP="001315E1">
      <w:pPr>
        <w:pStyle w:val="FootnoteText"/>
        <w:rPr>
          <w:szCs w:val="16"/>
          <w:lang w:val="es-CO"/>
        </w:rPr>
      </w:pPr>
      <w:r w:rsidRPr="001315E1">
        <w:rPr>
          <w:rStyle w:val="FootnoteReference"/>
          <w:szCs w:val="16"/>
        </w:rPr>
        <w:footnoteRef/>
      </w:r>
      <w:r w:rsidRPr="001315E1">
        <w:rPr>
          <w:szCs w:val="16"/>
          <w:lang w:val="es-CO"/>
        </w:rPr>
        <w:t xml:space="preserve"> Los saldos finales negativos se presentan dado que algunos convenios se implementan bajo la modalidad de envío de desembolsos contra la ejecución financiera del proyecto.  </w:t>
      </w:r>
    </w:p>
  </w:footnote>
  <w:footnote w:id="6">
    <w:p w14:paraId="6203C07E" w14:textId="77777777" w:rsidR="0052262B" w:rsidRPr="001315E1" w:rsidRDefault="0052262B" w:rsidP="001315E1">
      <w:pPr>
        <w:pStyle w:val="FootnoteText"/>
        <w:rPr>
          <w:lang w:val="es-US"/>
        </w:rPr>
      </w:pPr>
      <w:r w:rsidRPr="001315E1">
        <w:rPr>
          <w:rStyle w:val="FootnoteReference"/>
        </w:rPr>
        <w:footnoteRef/>
      </w:r>
      <w:r w:rsidRPr="001315E1">
        <w:rPr>
          <w:lang w:val="es-US"/>
        </w:rPr>
        <w:t xml:space="preserve"> </w:t>
      </w:r>
      <w:r w:rsidRPr="001315E1">
        <w:rPr>
          <w:szCs w:val="16"/>
          <w:lang w:val="es-CO"/>
        </w:rPr>
        <w:t xml:space="preserve">Esta tabla incluye el Fondo Oliver Jackman de la CIDH. </w:t>
      </w:r>
    </w:p>
  </w:footnote>
  <w:footnote w:id="7">
    <w:p w14:paraId="44FC8C52" w14:textId="77777777" w:rsidR="0052262B" w:rsidRDefault="0052262B" w:rsidP="001315E1">
      <w:pPr>
        <w:pStyle w:val="FootnoteText"/>
        <w:rPr>
          <w:szCs w:val="16"/>
          <w:lang w:val="es-CO"/>
        </w:rPr>
      </w:pPr>
      <w:r w:rsidRPr="001315E1">
        <w:rPr>
          <w:rStyle w:val="FootnoteReference"/>
        </w:rPr>
        <w:footnoteRef/>
      </w:r>
      <w:r w:rsidRPr="001315E1">
        <w:rPr>
          <w:lang w:val="es-US"/>
        </w:rPr>
        <w:t xml:space="preserve"> </w:t>
      </w:r>
      <w:r w:rsidRPr="001315E1">
        <w:rPr>
          <w:szCs w:val="16"/>
          <w:lang w:val="es-CO"/>
        </w:rPr>
        <w:t>La información reportada corresponde a la información financiera preliminar y no auditada publicada por el Departamento de Servicios Financieros de la SG/OEA.</w:t>
      </w:r>
    </w:p>
    <w:p w14:paraId="27A00ADE" w14:textId="77777777" w:rsidR="0052262B" w:rsidRPr="00D8258E" w:rsidRDefault="0052262B" w:rsidP="0052262B">
      <w:pPr>
        <w:pStyle w:val="FootnoteText"/>
        <w:rPr>
          <w:lang w:val="es-US"/>
        </w:rPr>
      </w:pPr>
    </w:p>
  </w:footnote>
  <w:footnote w:id="8">
    <w:p w14:paraId="41CDC1C3" w14:textId="77777777" w:rsidR="0052262B" w:rsidRPr="0096446E" w:rsidRDefault="0052262B" w:rsidP="0096446E">
      <w:pPr>
        <w:pStyle w:val="FootnoteText"/>
        <w:rPr>
          <w:szCs w:val="16"/>
          <w:lang w:val="es-CO"/>
        </w:rPr>
      </w:pPr>
      <w:r w:rsidRPr="00041E84">
        <w:rPr>
          <w:rStyle w:val="FootnoteReference"/>
          <w:szCs w:val="16"/>
        </w:rPr>
        <w:footnoteRef/>
      </w:r>
      <w:r w:rsidRPr="00041E84">
        <w:rPr>
          <w:szCs w:val="16"/>
          <w:lang w:val="es-CO"/>
        </w:rPr>
        <w:t xml:space="preserve"> La </w:t>
      </w:r>
      <w:r w:rsidRPr="0096446E">
        <w:rPr>
          <w:szCs w:val="16"/>
          <w:lang w:val="es-CO"/>
        </w:rPr>
        <w:t>distribución incluye sólo gastos al 31 de diciembre de 2023, los cuales fueron financiados con contribuciones recibidas durante el 2023 y años anteriores (en el caso de fondos específicos).</w:t>
      </w:r>
    </w:p>
  </w:footnote>
  <w:footnote w:id="9">
    <w:p w14:paraId="0D8F2AE3" w14:textId="77777777" w:rsidR="0052262B" w:rsidRPr="0096446E" w:rsidRDefault="0052262B" w:rsidP="0096446E">
      <w:pPr>
        <w:pStyle w:val="FootnoteText"/>
        <w:rPr>
          <w:szCs w:val="16"/>
          <w:lang w:val="es-CO"/>
        </w:rPr>
      </w:pPr>
      <w:r w:rsidRPr="0096446E">
        <w:rPr>
          <w:rStyle w:val="FootnoteReference"/>
          <w:szCs w:val="16"/>
        </w:rPr>
        <w:footnoteRef/>
      </w:r>
      <w:r w:rsidRPr="0096446E">
        <w:rPr>
          <w:szCs w:val="16"/>
          <w:lang w:val="es-CO"/>
        </w:rPr>
        <w:t xml:space="preserve"> En salarios se incluyen costos de Personal/Staff.</w:t>
      </w:r>
      <w:r w:rsidRPr="0096446E">
        <w:rPr>
          <w:b/>
          <w:noProof/>
          <w:lang w:val="es-ES_tradnl"/>
        </w:rPr>
        <w:t xml:space="preserve"> </w:t>
      </w:r>
    </w:p>
  </w:footnote>
  <w:footnote w:id="10">
    <w:p w14:paraId="486D0029" w14:textId="77777777" w:rsidR="0052262B" w:rsidRPr="0096446E" w:rsidRDefault="0052262B" w:rsidP="0096446E">
      <w:pPr>
        <w:pStyle w:val="FootnoteText"/>
        <w:rPr>
          <w:szCs w:val="16"/>
          <w:lang w:val="es-CO"/>
        </w:rPr>
      </w:pPr>
      <w:r w:rsidRPr="0096446E">
        <w:rPr>
          <w:rStyle w:val="FootnoteReference"/>
          <w:szCs w:val="16"/>
        </w:rPr>
        <w:footnoteRef/>
      </w:r>
      <w:r w:rsidRPr="0096446E">
        <w:rPr>
          <w:szCs w:val="16"/>
          <w:lang w:val="es-CO"/>
        </w:rPr>
        <w:t xml:space="preserve"> En Contratos por resultado se incluyen servicios de conferencias, honorarios, servicios especiales de los comisionados/as, interpretación, traducción, apoyo administrativo y profesional y consultores/as.</w:t>
      </w:r>
    </w:p>
  </w:footnote>
  <w:footnote w:id="11">
    <w:p w14:paraId="18ABF97E" w14:textId="77777777" w:rsidR="0052262B" w:rsidRDefault="0052262B" w:rsidP="0096446E">
      <w:pPr>
        <w:pStyle w:val="FootnoteText"/>
        <w:rPr>
          <w:szCs w:val="16"/>
          <w:lang w:val="es-CO"/>
        </w:rPr>
      </w:pPr>
      <w:r w:rsidRPr="0096446E">
        <w:rPr>
          <w:rStyle w:val="FootnoteReference"/>
          <w:szCs w:val="16"/>
        </w:rPr>
        <w:footnoteRef/>
      </w:r>
      <w:r w:rsidRPr="0096446E">
        <w:rPr>
          <w:szCs w:val="16"/>
          <w:lang w:val="es-CO"/>
        </w:rPr>
        <w:t xml:space="preserve"> Otros costos incluyen renta de oficinas y equipos, pago de courier, otros servicios de conferencias, red de área local (LAN), teléfono, transporte y gastos de oficina.</w:t>
      </w:r>
    </w:p>
    <w:p w14:paraId="188F0D06" w14:textId="77777777" w:rsidR="0052262B" w:rsidRDefault="0052262B" w:rsidP="0052262B">
      <w:pPr>
        <w:pStyle w:val="FootnoteText"/>
        <w:spacing w:after="120"/>
        <w:rPr>
          <w:szCs w:val="16"/>
          <w:lang w:val="es-CO"/>
        </w:rPr>
      </w:pPr>
    </w:p>
    <w:p w14:paraId="42F36623" w14:textId="77777777" w:rsidR="0052262B" w:rsidRPr="00041E84" w:rsidRDefault="0052262B" w:rsidP="0052262B">
      <w:pPr>
        <w:pStyle w:val="FootnoteText"/>
        <w:spacing w:after="120"/>
        <w:rPr>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05C5" w14:textId="77777777" w:rsidR="003B41C5" w:rsidRDefault="003B41C5">
    <w:pPr>
      <w:pStyle w:val="Header"/>
    </w:pPr>
  </w:p>
  <w:p w14:paraId="66FCC9B1" w14:textId="77777777" w:rsidR="00F16629" w:rsidRDefault="00F16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p w14:paraId="67078A84" w14:textId="77777777" w:rsidR="00F16629" w:rsidRDefault="00F166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p w14:paraId="1BA2A4DB" w14:textId="77777777" w:rsidR="00F16629" w:rsidRDefault="00F166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05164"/>
    <w:multiLevelType w:val="hybridMultilevel"/>
    <w:tmpl w:val="1C02F436"/>
    <w:lvl w:ilvl="0" w:tplc="6E4252F6">
      <w:start w:val="1"/>
      <w:numFmt w:val="decimal"/>
      <w:pStyle w:val="IAPrrafo"/>
      <w:lvlText w:val="%1."/>
      <w:lvlJc w:val="left"/>
      <w:pPr>
        <w:tabs>
          <w:tab w:val="num" w:pos="720"/>
        </w:tabs>
        <w:ind w:left="0" w:firstLine="720"/>
      </w:pPr>
      <w:rPr>
        <w:b w:val="0"/>
        <w:bCs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2EA2"/>
    <w:multiLevelType w:val="hybridMultilevel"/>
    <w:tmpl w:val="6EF08D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DD4F53"/>
    <w:multiLevelType w:val="multilevel"/>
    <w:tmpl w:val="8AD81018"/>
    <w:lvl w:ilvl="0">
      <w:start w:val="1"/>
      <w:numFmt w:val="upperLetter"/>
      <w:pStyle w:val="IASubttulo2"/>
      <w:lvlText w:val="%1."/>
      <w:lvlJc w:val="left"/>
      <w:pPr>
        <w:tabs>
          <w:tab w:val="num" w:pos="630"/>
        </w:tabs>
        <w:ind w:left="135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7A58A3"/>
    <w:multiLevelType w:val="hybridMultilevel"/>
    <w:tmpl w:val="C3764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E9074DC"/>
    <w:multiLevelType w:val="hybridMultilevel"/>
    <w:tmpl w:val="E22C60A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8A08D2"/>
    <w:multiLevelType w:val="multilevel"/>
    <w:tmpl w:val="938CC9DA"/>
    <w:lvl w:ilvl="0">
      <w:start w:val="1"/>
      <w:numFmt w:val="decimal"/>
      <w:pStyle w:val="IASubttulo3"/>
      <w:lvlText w:val="%1."/>
      <w:lvlJc w:val="left"/>
      <w:pPr>
        <w:tabs>
          <w:tab w:val="num" w:pos="720"/>
        </w:tabs>
        <w:ind w:left="1440" w:hanging="72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14300F"/>
    <w:multiLevelType w:val="hybridMultilevel"/>
    <w:tmpl w:val="9FC039F8"/>
    <w:lvl w:ilvl="0" w:tplc="FFFFFFFF">
      <w:start w:val="1"/>
      <w:numFmt w:val="decimal"/>
      <w:pStyle w:val="paragraphs"/>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35860"/>
    <w:multiLevelType w:val="hybridMultilevel"/>
    <w:tmpl w:val="F0429D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1956398699">
    <w:abstractNumId w:val="14"/>
  </w:num>
  <w:num w:numId="13" w16cid:durableId="2122874164">
    <w:abstractNumId w:val="22"/>
  </w:num>
  <w:num w:numId="14" w16cid:durableId="90856609">
    <w:abstractNumId w:val="21"/>
  </w:num>
  <w:num w:numId="15" w16cid:durableId="1236355313">
    <w:abstractNumId w:val="11"/>
  </w:num>
  <w:num w:numId="16" w16cid:durableId="99227850">
    <w:abstractNumId w:val="18"/>
  </w:num>
  <w:num w:numId="17" w16cid:durableId="601228724">
    <w:abstractNumId w:val="16"/>
  </w:num>
  <w:num w:numId="18" w16cid:durableId="2124570884">
    <w:abstractNumId w:val="19"/>
  </w:num>
  <w:num w:numId="19" w16cid:durableId="968319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897987">
    <w:abstractNumId w:val="10"/>
  </w:num>
  <w:num w:numId="21" w16cid:durableId="1968733372">
    <w:abstractNumId w:val="12"/>
  </w:num>
  <w:num w:numId="22" w16cid:durableId="113181151">
    <w:abstractNumId w:val="23"/>
  </w:num>
  <w:num w:numId="23" w16cid:durableId="57366615">
    <w:abstractNumId w:val="17"/>
  </w:num>
  <w:num w:numId="24" w16cid:durableId="1854147183">
    <w:abstractNumId w:val="20"/>
  </w:num>
  <w:num w:numId="25" w16cid:durableId="1892879685">
    <w:abstractNumId w:val="24"/>
  </w:num>
  <w:num w:numId="26" w16cid:durableId="219950524">
    <w:abstractNumId w:val="22"/>
  </w:num>
  <w:num w:numId="27" w16cid:durableId="973021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239C"/>
    <w:rsid w:val="000075FF"/>
    <w:rsid w:val="00011D30"/>
    <w:rsid w:val="00027A32"/>
    <w:rsid w:val="00035928"/>
    <w:rsid w:val="0003746E"/>
    <w:rsid w:val="0005274C"/>
    <w:rsid w:val="00061AC9"/>
    <w:rsid w:val="00083783"/>
    <w:rsid w:val="000B2C65"/>
    <w:rsid w:val="000B75CB"/>
    <w:rsid w:val="000E0BCC"/>
    <w:rsid w:val="000E5890"/>
    <w:rsid w:val="000E6CD1"/>
    <w:rsid w:val="0011174A"/>
    <w:rsid w:val="001315E1"/>
    <w:rsid w:val="001466D1"/>
    <w:rsid w:val="001519C9"/>
    <w:rsid w:val="00166256"/>
    <w:rsid w:val="001702B0"/>
    <w:rsid w:val="0017733A"/>
    <w:rsid w:val="001B593B"/>
    <w:rsid w:val="001C4713"/>
    <w:rsid w:val="001D00ED"/>
    <w:rsid w:val="001F1B22"/>
    <w:rsid w:val="002028E7"/>
    <w:rsid w:val="00206449"/>
    <w:rsid w:val="002117ED"/>
    <w:rsid w:val="00231A22"/>
    <w:rsid w:val="002361F0"/>
    <w:rsid w:val="002362E5"/>
    <w:rsid w:val="00244534"/>
    <w:rsid w:val="00281EBD"/>
    <w:rsid w:val="002D0093"/>
    <w:rsid w:val="002D123A"/>
    <w:rsid w:val="002E104E"/>
    <w:rsid w:val="002F3424"/>
    <w:rsid w:val="0031054A"/>
    <w:rsid w:val="003166FE"/>
    <w:rsid w:val="003278DF"/>
    <w:rsid w:val="00333764"/>
    <w:rsid w:val="003351D1"/>
    <w:rsid w:val="003372E2"/>
    <w:rsid w:val="00356253"/>
    <w:rsid w:val="00372823"/>
    <w:rsid w:val="003A3804"/>
    <w:rsid w:val="003A3B8A"/>
    <w:rsid w:val="003B41C5"/>
    <w:rsid w:val="003C3944"/>
    <w:rsid w:val="003E062B"/>
    <w:rsid w:val="003F0CE3"/>
    <w:rsid w:val="00405E4C"/>
    <w:rsid w:val="00405F5C"/>
    <w:rsid w:val="004077FB"/>
    <w:rsid w:val="00410F68"/>
    <w:rsid w:val="0041633F"/>
    <w:rsid w:val="00424F10"/>
    <w:rsid w:val="00426BBB"/>
    <w:rsid w:val="00436648"/>
    <w:rsid w:val="00444521"/>
    <w:rsid w:val="004565BD"/>
    <w:rsid w:val="00463418"/>
    <w:rsid w:val="00465EDF"/>
    <w:rsid w:val="0049664D"/>
    <w:rsid w:val="004A0D98"/>
    <w:rsid w:val="004C6DD5"/>
    <w:rsid w:val="004C797B"/>
    <w:rsid w:val="00511AFC"/>
    <w:rsid w:val="0052262B"/>
    <w:rsid w:val="00526A38"/>
    <w:rsid w:val="00537E90"/>
    <w:rsid w:val="00561F74"/>
    <w:rsid w:val="00564C20"/>
    <w:rsid w:val="00574752"/>
    <w:rsid w:val="00582E83"/>
    <w:rsid w:val="00591E0A"/>
    <w:rsid w:val="00594B34"/>
    <w:rsid w:val="005A46DB"/>
    <w:rsid w:val="005A5356"/>
    <w:rsid w:val="005B1E7F"/>
    <w:rsid w:val="005E270A"/>
    <w:rsid w:val="005E36F2"/>
    <w:rsid w:val="00604DC5"/>
    <w:rsid w:val="0061038F"/>
    <w:rsid w:val="00611B90"/>
    <w:rsid w:val="0063763B"/>
    <w:rsid w:val="006467A3"/>
    <w:rsid w:val="00655A5A"/>
    <w:rsid w:val="006636F3"/>
    <w:rsid w:val="00674311"/>
    <w:rsid w:val="00686B46"/>
    <w:rsid w:val="00692DA5"/>
    <w:rsid w:val="0069317E"/>
    <w:rsid w:val="006B22B7"/>
    <w:rsid w:val="006B59C7"/>
    <w:rsid w:val="006E0A68"/>
    <w:rsid w:val="006E1724"/>
    <w:rsid w:val="006E2B4E"/>
    <w:rsid w:val="006F0492"/>
    <w:rsid w:val="006F66DB"/>
    <w:rsid w:val="006F7EB1"/>
    <w:rsid w:val="00703AF4"/>
    <w:rsid w:val="0072402F"/>
    <w:rsid w:val="007761F5"/>
    <w:rsid w:val="00785318"/>
    <w:rsid w:val="00796F63"/>
    <w:rsid w:val="00797659"/>
    <w:rsid w:val="007B0491"/>
    <w:rsid w:val="007B6E88"/>
    <w:rsid w:val="007D5B70"/>
    <w:rsid w:val="007E05F2"/>
    <w:rsid w:val="007E45D9"/>
    <w:rsid w:val="007F659F"/>
    <w:rsid w:val="00825F34"/>
    <w:rsid w:val="0084100D"/>
    <w:rsid w:val="008556ED"/>
    <w:rsid w:val="00870562"/>
    <w:rsid w:val="00881DA7"/>
    <w:rsid w:val="00892050"/>
    <w:rsid w:val="00893CF4"/>
    <w:rsid w:val="008B200C"/>
    <w:rsid w:val="008E0DD8"/>
    <w:rsid w:val="00905F4C"/>
    <w:rsid w:val="00911BBF"/>
    <w:rsid w:val="009201BD"/>
    <w:rsid w:val="00931A0B"/>
    <w:rsid w:val="00953C99"/>
    <w:rsid w:val="00953DF6"/>
    <w:rsid w:val="00961F4F"/>
    <w:rsid w:val="0096446E"/>
    <w:rsid w:val="009758AB"/>
    <w:rsid w:val="00977565"/>
    <w:rsid w:val="00984318"/>
    <w:rsid w:val="00985133"/>
    <w:rsid w:val="009914EB"/>
    <w:rsid w:val="009A4155"/>
    <w:rsid w:val="009A4EEE"/>
    <w:rsid w:val="009B121C"/>
    <w:rsid w:val="009B2386"/>
    <w:rsid w:val="009B4BA5"/>
    <w:rsid w:val="009C34B8"/>
    <w:rsid w:val="009E6EF9"/>
    <w:rsid w:val="009F0CC1"/>
    <w:rsid w:val="009F2C7F"/>
    <w:rsid w:val="009F39E1"/>
    <w:rsid w:val="00A04AD2"/>
    <w:rsid w:val="00A105ED"/>
    <w:rsid w:val="00A165B8"/>
    <w:rsid w:val="00A35CEF"/>
    <w:rsid w:val="00A478D3"/>
    <w:rsid w:val="00A52657"/>
    <w:rsid w:val="00A571C1"/>
    <w:rsid w:val="00A7082F"/>
    <w:rsid w:val="00A71EFB"/>
    <w:rsid w:val="00A835B4"/>
    <w:rsid w:val="00A969AD"/>
    <w:rsid w:val="00AD0710"/>
    <w:rsid w:val="00AD49F1"/>
    <w:rsid w:val="00AF0EE9"/>
    <w:rsid w:val="00B221EE"/>
    <w:rsid w:val="00B4082C"/>
    <w:rsid w:val="00B4417D"/>
    <w:rsid w:val="00B4501F"/>
    <w:rsid w:val="00B46CA2"/>
    <w:rsid w:val="00B654EA"/>
    <w:rsid w:val="00B73789"/>
    <w:rsid w:val="00B76335"/>
    <w:rsid w:val="00B964CF"/>
    <w:rsid w:val="00BA21CA"/>
    <w:rsid w:val="00BC36D7"/>
    <w:rsid w:val="00BD2F10"/>
    <w:rsid w:val="00BF2140"/>
    <w:rsid w:val="00C00D79"/>
    <w:rsid w:val="00C232EB"/>
    <w:rsid w:val="00C3791D"/>
    <w:rsid w:val="00C475A1"/>
    <w:rsid w:val="00C52253"/>
    <w:rsid w:val="00C53352"/>
    <w:rsid w:val="00C64221"/>
    <w:rsid w:val="00C65E8D"/>
    <w:rsid w:val="00CA2DBE"/>
    <w:rsid w:val="00CE5E83"/>
    <w:rsid w:val="00CE6658"/>
    <w:rsid w:val="00CF0347"/>
    <w:rsid w:val="00D00D74"/>
    <w:rsid w:val="00D06ACD"/>
    <w:rsid w:val="00D1102F"/>
    <w:rsid w:val="00D1218D"/>
    <w:rsid w:val="00D2389F"/>
    <w:rsid w:val="00D26AD2"/>
    <w:rsid w:val="00D4590E"/>
    <w:rsid w:val="00D520E0"/>
    <w:rsid w:val="00D9585C"/>
    <w:rsid w:val="00DB02DC"/>
    <w:rsid w:val="00DB572A"/>
    <w:rsid w:val="00DC123B"/>
    <w:rsid w:val="00DC7A6F"/>
    <w:rsid w:val="00DE18A5"/>
    <w:rsid w:val="00DE1B59"/>
    <w:rsid w:val="00DE47B1"/>
    <w:rsid w:val="00DF3559"/>
    <w:rsid w:val="00E0697D"/>
    <w:rsid w:val="00E26720"/>
    <w:rsid w:val="00E75FA4"/>
    <w:rsid w:val="00E90248"/>
    <w:rsid w:val="00ED522D"/>
    <w:rsid w:val="00EF0CF1"/>
    <w:rsid w:val="00F0355F"/>
    <w:rsid w:val="00F16629"/>
    <w:rsid w:val="00F420B2"/>
    <w:rsid w:val="00F44016"/>
    <w:rsid w:val="00F51027"/>
    <w:rsid w:val="00F572D5"/>
    <w:rsid w:val="00FA3C6C"/>
    <w:rsid w:val="00FC518A"/>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unhideWhenUsed/>
    <w:rsid w:val="003B41C5"/>
    <w:pPr>
      <w:spacing w:after="100"/>
      <w:ind w:left="660"/>
    </w:p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tabs>
        <w:tab w:val="clear" w:pos="630"/>
        <w:tab w:val="num" w:pos="720"/>
      </w:tabs>
      <w:spacing w:after="240"/>
      <w:ind w:left="14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633F"/>
    <w:pPr>
      <w:suppressAutoHyphens w:val="0"/>
      <w:spacing w:after="160" w:line="240" w:lineRule="exact"/>
    </w:pPr>
    <w:rPr>
      <w:rFonts w:asciiTheme="minorHAnsi" w:hAnsiTheme="minorHAnsi"/>
      <w:vertAlign w:val="superscript"/>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41633F"/>
    <w:rPr>
      <w:rFonts w:ascii="Cambria" w:hAnsi="Cambria"/>
    </w:rPr>
  </w:style>
  <w:style w:type="paragraph" w:customStyle="1" w:styleId="style1">
    <w:name w:val="style1"/>
    <w:basedOn w:val="Normal"/>
    <w:rsid w:val="00526A38"/>
    <w:pPr>
      <w:suppressAutoHyphens w:val="0"/>
      <w:spacing w:before="100" w:beforeAutospacing="1" w:after="100" w:afterAutospacing="1"/>
    </w:pPr>
    <w:rPr>
      <w:rFonts w:ascii="Univers" w:eastAsia="Times New Roman" w:hAnsi="Univers" w:cs="Times New Roman"/>
      <w:sz w:val="24"/>
      <w:szCs w:val="24"/>
      <w:lang w:val="es-ES"/>
    </w:rPr>
  </w:style>
  <w:style w:type="table" w:styleId="GridTable1Light">
    <w:name w:val="Grid Table 1 Light"/>
    <w:basedOn w:val="TableNormal"/>
    <w:uiPriority w:val="46"/>
    <w:rsid w:val="005A535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5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5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basedOn w:val="DefaultParagraphFont"/>
    <w:rsid w:val="005A5356"/>
  </w:style>
  <w:style w:type="character" w:customStyle="1" w:styleId="normaltextrun">
    <w:name w:val="normaltextrun"/>
    <w:basedOn w:val="DefaultParagraphFont"/>
    <w:rsid w:val="005A5356"/>
  </w:style>
  <w:style w:type="paragraph" w:customStyle="1" w:styleId="paragraph">
    <w:name w:val="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A5356"/>
    <w:pPr>
      <w:widowControl w:val="0"/>
      <w:suppressAutoHyphens w:val="0"/>
    </w:pPr>
    <w:rPr>
      <w:rFonts w:asciiTheme="minorHAnsi" w:hAnsiTheme="minorHAnsi"/>
    </w:rPr>
  </w:style>
  <w:style w:type="paragraph" w:customStyle="1" w:styleId="msonormal0">
    <w:name w:val="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UY" w:eastAsia="es-MX"/>
    </w:rPr>
  </w:style>
  <w:style w:type="character" w:customStyle="1" w:styleId="findhit">
    <w:name w:val="findhit"/>
    <w:basedOn w:val="DefaultParagraphFont"/>
    <w:rsid w:val="005A5356"/>
  </w:style>
  <w:style w:type="paragraph" w:customStyle="1" w:styleId="Normal0">
    <w:name w:val="Normal0"/>
    <w:qFormat/>
    <w:rsid w:val="005A5356"/>
    <w:rPr>
      <w:rFonts w:ascii="Calibri" w:eastAsia="Calibri" w:hAnsi="Calibri" w:cs="Calibri"/>
      <w:lang w:val="es-CR" w:eastAsia="ja-JP"/>
    </w:rPr>
  </w:style>
  <w:style w:type="character" w:customStyle="1" w:styleId="superscript">
    <w:name w:val="superscript"/>
    <w:basedOn w:val="DefaultParagraphFont"/>
    <w:rsid w:val="005A5356"/>
  </w:style>
  <w:style w:type="character" w:customStyle="1" w:styleId="apple-converted-space">
    <w:name w:val="apple-converted-space"/>
    <w:basedOn w:val="DefaultParagraphFont"/>
    <w:rsid w:val="005A5356"/>
  </w:style>
  <w:style w:type="character" w:customStyle="1" w:styleId="scxw91395454">
    <w:name w:val="scxw91395454"/>
    <w:basedOn w:val="DefaultParagraphFont"/>
    <w:rsid w:val="005A5356"/>
  </w:style>
  <w:style w:type="character" w:customStyle="1" w:styleId="scxw224560220">
    <w:name w:val="scxw224560220"/>
    <w:basedOn w:val="DefaultParagraphFont"/>
    <w:rsid w:val="005A5356"/>
  </w:style>
  <w:style w:type="paragraph" w:customStyle="1" w:styleId="xmsonormal">
    <w:name w:val="x_msonormal"/>
    <w:basedOn w:val="Normal"/>
    <w:uiPriority w:val="1"/>
    <w:rsid w:val="005A5356"/>
    <w:pPr>
      <w:suppressAutoHyphens w:val="0"/>
      <w:spacing w:beforeAutospacing="1" w:afterAutospacing="1"/>
    </w:pPr>
    <w:rPr>
      <w:rFonts w:ascii="Times New Roman" w:eastAsia="Times New Roman" w:hAnsi="Times New Roman" w:cs="Times New Roman"/>
      <w:sz w:val="24"/>
      <w:szCs w:val="24"/>
      <w:lang w:val="es-UY" w:eastAsia="es-MX"/>
    </w:rPr>
  </w:style>
  <w:style w:type="paragraph" w:customStyle="1" w:styleId="Body">
    <w:name w:val="Body"/>
    <w:link w:val="BodyChar"/>
    <w:rsid w:val="005A53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5A535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5A5356"/>
    <w:pPr>
      <w:numPr>
        <w:numId w:val="16"/>
      </w:numPr>
    </w:pPr>
  </w:style>
  <w:style w:type="character" w:customStyle="1" w:styleId="None">
    <w:name w:val="None"/>
    <w:rsid w:val="005A5356"/>
  </w:style>
  <w:style w:type="character" w:customStyle="1" w:styleId="Hyperlink0">
    <w:name w:val="Hyperlink.0"/>
    <w:basedOn w:val="None"/>
    <w:rsid w:val="005A5356"/>
  </w:style>
  <w:style w:type="paragraph" w:customStyle="1" w:styleId="Default">
    <w:name w:val="Default"/>
    <w:rsid w:val="005A535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ink">
    <w:name w:val="Link"/>
    <w:rsid w:val="005A5356"/>
    <w:rPr>
      <w:outline w:val="0"/>
      <w:color w:val="0563C1"/>
      <w:u w:val="single" w:color="0563C1"/>
    </w:rPr>
  </w:style>
  <w:style w:type="character" w:customStyle="1" w:styleId="Hyperlink1">
    <w:name w:val="Hyperlink.1"/>
    <w:basedOn w:val="Link"/>
    <w:rsid w:val="005A5356"/>
    <w:rPr>
      <w:outline w:val="0"/>
      <w:color w:val="0563C1"/>
      <w:u w:val="single" w:color="0563C1"/>
    </w:rPr>
  </w:style>
  <w:style w:type="character" w:customStyle="1" w:styleId="Hyperlink2">
    <w:name w:val="Hyperlink.2"/>
    <w:basedOn w:val="None"/>
    <w:rsid w:val="005A5356"/>
  </w:style>
  <w:style w:type="character" w:customStyle="1" w:styleId="Hyperlink3">
    <w:name w:val="Hyperlink.3"/>
    <w:basedOn w:val="Link"/>
    <w:rsid w:val="005A5356"/>
    <w:rPr>
      <w:outline w:val="0"/>
      <w:color w:val="0563C1"/>
      <w:u w:val="single" w:color="0563C1"/>
    </w:rPr>
  </w:style>
  <w:style w:type="numbering" w:customStyle="1" w:styleId="ImportedStyle2">
    <w:name w:val="Imported Style 2"/>
    <w:rsid w:val="005A5356"/>
    <w:pPr>
      <w:numPr>
        <w:numId w:val="17"/>
      </w:numPr>
    </w:pPr>
  </w:style>
  <w:style w:type="numbering" w:customStyle="1" w:styleId="ImportedStyle3">
    <w:name w:val="Imported Style 3"/>
    <w:rsid w:val="005A5356"/>
    <w:pPr>
      <w:numPr>
        <w:numId w:val="18"/>
      </w:numPr>
    </w:pPr>
  </w:style>
  <w:style w:type="character" w:customStyle="1" w:styleId="Hyperlink4">
    <w:name w:val="Hyperlink.4"/>
    <w:basedOn w:val="Link"/>
    <w:rsid w:val="005A5356"/>
    <w:rPr>
      <w:outline w:val="0"/>
      <w:color w:val="0563C1"/>
      <w:u w:val="single" w:color="0563C1"/>
    </w:rPr>
  </w:style>
  <w:style w:type="table" w:customStyle="1" w:styleId="GridTable4-Accent51">
    <w:name w:val="Grid Table 4 - Accent 51"/>
    <w:basedOn w:val="TableNormal"/>
    <w:next w:val="GridTable4-Accent5"/>
    <w:uiPriority w:val="49"/>
    <w:rsid w:val="005A5356"/>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5A5356"/>
    <w:pPr>
      <w:spacing w:after="0" w:line="240" w:lineRule="auto"/>
    </w:pPr>
    <w:rPr>
      <w:rFonts w:ascii="Times New Roman" w:eastAsia="Arial Unicode MS" w:hAnsi="Times New Roman" w:cs="Times New Roman"/>
      <w:sz w:val="24"/>
      <w:szCs w:val="24"/>
      <w:bdr w:val="nil"/>
    </w:rPr>
  </w:style>
  <w:style w:type="table" w:styleId="GridTable4-Accent5">
    <w:name w:val="Grid Table 4 Accent 5"/>
    <w:basedOn w:val="TableNormal"/>
    <w:uiPriority w:val="49"/>
    <w:rsid w:val="005A535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5A5356"/>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5A5356"/>
    <w:rPr>
      <w:rFonts w:eastAsia="MS Mincho" w:cs="Arial"/>
      <w:sz w:val="22"/>
      <w:szCs w:val="22"/>
      <w:lang w:val="en-US" w:eastAsia="ja-JP"/>
    </w:rPr>
  </w:style>
  <w:style w:type="paragraph" w:customStyle="1" w:styleId="Appelnotedebasde">
    <w:name w:val="Appel note de bas de..."/>
    <w:basedOn w:val="Normal"/>
    <w:uiPriority w:val="99"/>
    <w:rsid w:val="005A5356"/>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A5356"/>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5A5356"/>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5A5356"/>
  </w:style>
  <w:style w:type="paragraph" w:customStyle="1" w:styleId="xlistparagraph">
    <w:name w:val="x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5A5356"/>
  </w:style>
  <w:style w:type="paragraph" w:customStyle="1" w:styleId="xmsonormal0">
    <w:name w:val="x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5A5356"/>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SpacingChar">
    <w:name w:val="No Spacing Char"/>
    <w:link w:val="NoSpacing"/>
    <w:uiPriority w:val="1"/>
    <w:rsid w:val="005A5356"/>
  </w:style>
  <w:style w:type="character" w:customStyle="1" w:styleId="Ninguno">
    <w:name w:val="Ninguno"/>
    <w:rsid w:val="005A5356"/>
    <w:rPr>
      <w:lang w:val="es-ES_tradnl"/>
    </w:rPr>
  </w:style>
  <w:style w:type="numbering" w:styleId="111111">
    <w:name w:val="Outline List 2"/>
    <w:basedOn w:val="NoList"/>
    <w:uiPriority w:val="99"/>
    <w:semiHidden/>
    <w:unhideWhenUsed/>
    <w:rsid w:val="005A5356"/>
    <w:pPr>
      <w:numPr>
        <w:numId w:val="20"/>
      </w:numPr>
    </w:pPr>
  </w:style>
  <w:style w:type="character" w:customStyle="1" w:styleId="Cuadrculamediana2Car">
    <w:name w:val="Cuadrícula mediana 2 Car"/>
    <w:aliases w:val="Informes Car"/>
    <w:uiPriority w:val="1"/>
    <w:rsid w:val="005A5356"/>
    <w:rPr>
      <w:rFonts w:ascii="Cambria" w:hAnsi="Cambria"/>
      <w:sz w:val="16"/>
      <w:lang w:bidi="ar-SA"/>
    </w:rPr>
  </w:style>
  <w:style w:type="paragraph" w:customStyle="1" w:styleId="SingleTxtG">
    <w:name w:val="_ Single Txt_G"/>
    <w:basedOn w:val="Normal"/>
    <w:link w:val="SingleTxtGChar"/>
    <w:rsid w:val="005A5356"/>
    <w:pPr>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5A5356"/>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5A5356"/>
    <w:rPr>
      <w:rFonts w:eastAsia="MS Mincho"/>
      <w:sz w:val="22"/>
      <w:szCs w:val="22"/>
      <w:lang w:val="es-AR" w:eastAsia="en-US"/>
    </w:rPr>
  </w:style>
  <w:style w:type="table" w:styleId="MediumShading1-Accent1">
    <w:name w:val="Medium Shading 1 Accent 1"/>
    <w:basedOn w:val="TableNormal"/>
    <w:link w:val="Sombreadomediano1-nfasis1Car"/>
    <w:rsid w:val="005A5356"/>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5A535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5A5356"/>
  </w:style>
  <w:style w:type="paragraph" w:customStyle="1" w:styleId="Standard">
    <w:name w:val="Standard"/>
    <w:qFormat/>
    <w:rsid w:val="005A5356"/>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character" w:customStyle="1" w:styleId="UnresolvedMention1">
    <w:name w:val="Unresolved Mention1"/>
    <w:uiPriority w:val="99"/>
    <w:semiHidden/>
    <w:unhideWhenUsed/>
    <w:rsid w:val="005A5356"/>
    <w:rPr>
      <w:color w:val="605E5C"/>
      <w:shd w:val="clear" w:color="auto" w:fill="E1DFDD"/>
    </w:rPr>
  </w:style>
  <w:style w:type="table" w:customStyle="1" w:styleId="TableGrid1">
    <w:name w:val="Table Grid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
    <w:name w:val="parrafos"/>
    <w:basedOn w:val="Normal"/>
    <w:link w:val="parrafosChar"/>
    <w:qFormat/>
    <w:rsid w:val="005A5356"/>
    <w:pPr>
      <w:suppressAutoHyphens w:val="0"/>
      <w:jc w:val="both"/>
    </w:pPr>
    <w:rPr>
      <w:rFonts w:eastAsia="Arial Unicode MS" w:cs="Times New Roman"/>
      <w:color w:val="000000"/>
      <w:sz w:val="20"/>
      <w:szCs w:val="20"/>
      <w:bdr w:val="nil"/>
      <w:lang w:val="es-VE"/>
    </w:rPr>
  </w:style>
  <w:style w:type="character" w:customStyle="1" w:styleId="parrafosChar">
    <w:name w:val="parrafos Char"/>
    <w:link w:val="parrafos"/>
    <w:rsid w:val="005A5356"/>
    <w:rPr>
      <w:rFonts w:ascii="Cambria" w:eastAsia="Arial Unicode MS" w:hAnsi="Cambria" w:cs="Times New Roman"/>
      <w:color w:val="000000"/>
      <w:sz w:val="20"/>
      <w:szCs w:val="20"/>
      <w:bdr w:val="nil"/>
      <w:lang w:val="es-VE"/>
    </w:rPr>
  </w:style>
  <w:style w:type="table" w:customStyle="1" w:styleId="TableGrid2">
    <w:name w:val="Table Grid2"/>
    <w:basedOn w:val="TableNormal"/>
    <w:next w:val="TableGrid"/>
    <w:uiPriority w:val="39"/>
    <w:rsid w:val="005A5356"/>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5A5356"/>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5A5356"/>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5A5356"/>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5A535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5A535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5A535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5A5356"/>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5A5356"/>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5A5356"/>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font5">
    <w:name w:val="font5"/>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xl63">
    <w:name w:val="xl63"/>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5">
    <w:name w:val="xl65"/>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6">
    <w:name w:val="xl6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5A5356"/>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5A5356"/>
    <w:pPr>
      <w:numPr>
        <w:numId w:val="19"/>
      </w:numPr>
      <w:suppressAutoHyphens w:val="0"/>
      <w:autoSpaceDE w:val="0"/>
      <w:autoSpaceDN w:val="0"/>
      <w:adjustRightInd w:val="0"/>
      <w:ind w:left="1440" w:hanging="720"/>
      <w:contextualSpacing w:val="0"/>
      <w:jc w:val="both"/>
    </w:pPr>
    <w:rPr>
      <w:rFonts w:eastAsia="Calibri" w:cs="Calibri"/>
      <w:sz w:val="20"/>
      <w:szCs w:val="20"/>
      <w:lang w:val="es-ES"/>
    </w:rPr>
  </w:style>
  <w:style w:type="character" w:customStyle="1" w:styleId="ListainformesChar">
    <w:name w:val="Lista informes Char"/>
    <w:link w:val="Listainformes"/>
    <w:rsid w:val="005A5356"/>
    <w:rPr>
      <w:rFonts w:ascii="Cambria" w:eastAsia="Calibri" w:hAnsi="Cambria" w:cs="Calibri"/>
      <w:sz w:val="20"/>
      <w:szCs w:val="20"/>
      <w:lang w:val="es-ES"/>
    </w:rPr>
  </w:style>
  <w:style w:type="character" w:customStyle="1" w:styleId="normaltextrun1">
    <w:name w:val="normaltextrun1"/>
    <w:basedOn w:val="DefaultParagraphFont"/>
    <w:rsid w:val="005A5356"/>
  </w:style>
  <w:style w:type="paragraph" w:customStyle="1" w:styleId="xmsolistparagraph">
    <w:name w:val="x_mso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5A5356"/>
    <w:rPr>
      <w:rFonts w:ascii="Calibri" w:hAnsi="Calibri" w:cs="Calibri" w:hint="default"/>
      <w:b/>
      <w:bCs/>
      <w:i/>
      <w:iCs/>
      <w:strike w:val="0"/>
      <w:dstrike w:val="0"/>
      <w:color w:val="FFFFFF"/>
      <w:sz w:val="22"/>
      <w:szCs w:val="22"/>
      <w:u w:val="none"/>
      <w:effect w:val="none"/>
    </w:rPr>
  </w:style>
  <w:style w:type="character" w:customStyle="1" w:styleId="font111">
    <w:name w:val="font111"/>
    <w:rsid w:val="005A5356"/>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5A5356"/>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5A5356"/>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5A5356"/>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5A5356"/>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75">
    <w:name w:val="xl7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5A5356"/>
    <w:pPr>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2">
    <w:name w:val="xl82"/>
    <w:basedOn w:val="Normal"/>
    <w:rsid w:val="005A53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5356"/>
    <w:pPr>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character" w:customStyle="1" w:styleId="BodyChar">
    <w:name w:val="Body Char"/>
    <w:link w:val="Body"/>
    <w:rsid w:val="005A5356"/>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5A5356"/>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5A5356"/>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5A5356"/>
    <w:pPr>
      <w:suppressAutoHyphens w:val="0"/>
      <w:spacing w:after="160" w:line="240" w:lineRule="exact"/>
    </w:pPr>
    <w:rPr>
      <w:rFonts w:asciiTheme="minorHAnsi" w:hAnsiTheme="minorHAnsi"/>
      <w:vertAlign w:val="superscript"/>
    </w:rPr>
  </w:style>
  <w:style w:type="table" w:customStyle="1" w:styleId="TableNormal1">
    <w:name w:val="Table Normal1"/>
    <w:rsid w:val="00E90248"/>
    <w:pPr>
      <w:spacing w:after="0" w:line="240" w:lineRule="auto"/>
    </w:pPr>
    <w:rPr>
      <w:rFonts w:ascii="Cambria" w:eastAsia="Cambria" w:hAnsi="Cambria" w:cs="Cambria"/>
      <w:lang w:val="es-ES"/>
    </w:rPr>
    <w:tblPr>
      <w:tblCellMar>
        <w:top w:w="0" w:type="dxa"/>
        <w:left w:w="0" w:type="dxa"/>
        <w:bottom w:w="0" w:type="dxa"/>
        <w:right w:w="0" w:type="dxa"/>
      </w:tblCellMar>
    </w:tblPr>
  </w:style>
  <w:style w:type="paragraph" w:customStyle="1" w:styleId="dou-paragraph">
    <w:name w:val="dou-paragraph"/>
    <w:basedOn w:val="Normal"/>
    <w:rsid w:val="00E90248"/>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lement-invisible">
    <w:name w:val="element-invisible"/>
    <w:basedOn w:val="DefaultParagraphFont"/>
    <w:rsid w:val="00E90248"/>
  </w:style>
  <w:style w:type="table" w:customStyle="1" w:styleId="93">
    <w:name w:val="9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E90248"/>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paragraph" w:customStyle="1" w:styleId="referencianotaalpi">
    <w:name w:val="referencia nota al pi..."/>
    <w:basedOn w:val="Normal"/>
    <w:uiPriority w:val="99"/>
    <w:rsid w:val="00E90248"/>
    <w:pPr>
      <w:suppressAutoHyphens w:val="0"/>
      <w:spacing w:before="200" w:after="160" w:line="240" w:lineRule="exact"/>
    </w:pPr>
    <w:rPr>
      <w:rFonts w:eastAsia="Cambria" w:cs="Cambria"/>
      <w:vertAlign w:val="superscript"/>
      <w:lang w:val="es-ES"/>
    </w:rPr>
  </w:style>
  <w:style w:type="paragraph" w:customStyle="1" w:styleId="xl88">
    <w:name w:val="xl88"/>
    <w:basedOn w:val="Normal"/>
    <w:rsid w:val="00B73789"/>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character" w:customStyle="1" w:styleId="scxw78121403">
    <w:name w:val="scxw78121403"/>
    <w:basedOn w:val="DefaultParagraphFont"/>
    <w:rsid w:val="00B73789"/>
  </w:style>
  <w:style w:type="paragraph" w:customStyle="1" w:styleId="elementtoproof">
    <w:name w:val="elementtoproof"/>
    <w:basedOn w:val="Normal"/>
    <w:rsid w:val="00B73789"/>
    <w:pPr>
      <w:suppressAutoHyphens w:val="0"/>
    </w:pPr>
    <w:rPr>
      <w:rFonts w:ascii="Calibri" w:hAnsi="Calibri" w:cs="Calibri"/>
    </w:rPr>
  </w:style>
  <w:style w:type="paragraph" w:customStyle="1" w:styleId="jsx-3954459878">
    <w:name w:val="jsx-3954459878"/>
    <w:basedOn w:val="Normal"/>
    <w:rsid w:val="006E0A68"/>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6E0A68"/>
    <w:pPr>
      <w:suppressAutoHyphens w:val="0"/>
      <w:spacing w:before="200" w:after="160" w:line="240" w:lineRule="exact"/>
    </w:pPr>
    <w:rPr>
      <w:rFonts w:asciiTheme="minorHAnsi" w:hAnsiTheme="minorHAnsi"/>
      <w:sz w:val="24"/>
      <w:szCs w:val="24"/>
      <w:vertAlign w:val="superscript"/>
      <w:lang w:val="es-MX"/>
    </w:rPr>
  </w:style>
  <w:style w:type="character" w:customStyle="1" w:styleId="selectable-text">
    <w:name w:val="selectable-text"/>
    <w:basedOn w:val="DefaultParagraphFont"/>
    <w:rsid w:val="006E0A6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E0A68"/>
    <w:pPr>
      <w:suppressAutoHyphens w:val="0"/>
      <w:spacing w:after="160" w:line="259" w:lineRule="auto"/>
      <w:jc w:val="both"/>
    </w:pPr>
    <w:rPr>
      <w:rFonts w:asciiTheme="minorHAnsi" w:hAnsiTheme="minorHAnsi"/>
      <w:vertAlign w:val="superscript"/>
      <w:lang w:val="es-MX"/>
    </w:rPr>
  </w:style>
  <w:style w:type="paragraph" w:customStyle="1" w:styleId="has-text-align-left">
    <w:name w:val="has-text-align-left"/>
    <w:basedOn w:val="Normal"/>
    <w:rsid w:val="006E0A68"/>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6E0A68"/>
  </w:style>
  <w:style w:type="paragraph" w:customStyle="1" w:styleId="paragraphs">
    <w:name w:val="paragraphs"/>
    <w:basedOn w:val="Normal"/>
    <w:link w:val="paragraphsChar"/>
    <w:qFormat/>
    <w:rsid w:val="0052262B"/>
    <w:pPr>
      <w:numPr>
        <w:numId w:val="22"/>
      </w:numPr>
      <w:suppressAutoHyphens w:val="0"/>
      <w:spacing w:after="240"/>
      <w:jc w:val="both"/>
    </w:pPr>
    <w:rPr>
      <w:rFonts w:eastAsia="Calibri" w:cs="Times New Roman"/>
      <w:sz w:val="20"/>
      <w:szCs w:val="20"/>
      <w:lang w:val="es-ES_tradnl"/>
    </w:rPr>
  </w:style>
  <w:style w:type="character" w:customStyle="1" w:styleId="paragraphsChar">
    <w:name w:val="paragraphs Char"/>
    <w:link w:val="paragraphs"/>
    <w:rsid w:val="0052262B"/>
    <w:rPr>
      <w:rFonts w:ascii="Cambria" w:eastAsia="Calibri" w:hAnsi="Cambria" w:cs="Times New Roman"/>
      <w:sz w:val="20"/>
      <w:szCs w:val="20"/>
      <w:lang w:val="es-ES_tradnl"/>
    </w:rPr>
  </w:style>
  <w:style w:type="table" w:customStyle="1" w:styleId="GridTable4-Accent11">
    <w:name w:val="Grid Table 4 - Accent 11"/>
    <w:basedOn w:val="TableNormal"/>
    <w:uiPriority w:val="49"/>
    <w:rsid w:val="0052262B"/>
    <w:pPr>
      <w:spacing w:after="0" w:line="240" w:lineRule="auto"/>
    </w:pPr>
    <w:rPr>
      <w:rFonts w:eastAsia="Helvetica"/>
      <w:sz w:val="21"/>
      <w:szCs w:val="21"/>
      <w:lang w:val="es-US" w:eastAsia="es-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52262B"/>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52262B"/>
    <w:pPr>
      <w:suppressAutoHyphens w:val="0"/>
      <w:spacing w:before="100" w:beforeAutospacing="1" w:after="100" w:afterAutospacing="1"/>
    </w:pPr>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ICifuentes\AppData\Local\Microsoft\Windows\INetCache\Content.Outlook\O4C03UVL\Informe%20Anual%20CIDH%20AL12-31-2023_Review%20DFS%202-21-2024%20(fina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2.xml"/><Relationship Id="rId4" Type="http://schemas.openxmlformats.org/officeDocument/2006/relationships/oleObject" Target="file:///C:\Users\ICifuentes\AppData\Local\Microsoft\Windows\INetCache\Content.Outlook\O4C03UVL\Informe%20Anual%20CIDH%20AL12-31-2023_Review%20DFS%202-21-2024%20(final).xls"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ICifuentes\AppData\Local\Microsoft\Windows\INetCache\Content.Outlook\O4C03UVL\Informe%20Anual%20CIDH%20AL12-31-2023_Review%20DFS%202-21-2024%20(final).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D5-43B4-A6E2-A20C8745C7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D5-43B4-A6E2-A20C8745C7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D5-43B4-A6E2-A20C8745C71D}"/>
              </c:ext>
            </c:extLst>
          </c:dPt>
          <c:dLbls>
            <c:dLbl>
              <c:idx val="0"/>
              <c:layout>
                <c:manualLayout>
                  <c:x val="4.0310799117915838E-2"/>
                  <c:y val="-0.12133276546521563"/>
                </c:manualLayout>
              </c:layout>
              <c:spPr>
                <a:noFill/>
                <a:ln w="25400">
                  <a:noFill/>
                </a:ln>
              </c:spPr>
              <c:txPr>
                <a:bodyPr/>
                <a:lstStyle/>
                <a:p>
                  <a:pPr>
                    <a:defRPr>
                      <a:latin typeface="Cambria" panose="02040503050406030204" pitchFamily="18" charset="0"/>
                      <a:ea typeface="Cambria" panose="02040503050406030204" pitchFamily="18" charset="0"/>
                    </a:defRPr>
                  </a:pPr>
                  <a:endParaRPr lang="en-US"/>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D5-43B4-A6E2-A20C8745C71D}"/>
                </c:ext>
              </c:extLst>
            </c:dLbl>
            <c:dLbl>
              <c:idx val="1"/>
              <c:layout>
                <c:manualLayout>
                  <c:x val="7.5661888417793935E-2"/>
                  <c:y val="-8.1933670496437946E-2"/>
                </c:manualLayout>
              </c:layout>
              <c:spPr>
                <a:noFill/>
                <a:ln w="25400">
                  <a:noFill/>
                </a:ln>
              </c:spPr>
              <c:txPr>
                <a:bodyPr/>
                <a:lstStyle/>
                <a:p>
                  <a:pPr>
                    <a:defRPr>
                      <a:latin typeface="Cambria" panose="02040503050406030204" pitchFamily="18" charset="0"/>
                      <a:ea typeface="Cambria" panose="02040503050406030204" pitchFamily="18" charset="0"/>
                    </a:defRPr>
                  </a:pPr>
                  <a:endParaRPr lang="en-US"/>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0D5-43B4-A6E2-A20C8745C71D}"/>
                </c:ext>
              </c:extLst>
            </c:dLbl>
            <c:dLbl>
              <c:idx val="2"/>
              <c:layout>
                <c:manualLayout>
                  <c:x val="0"/>
                  <c:y val="-0.10442441267468949"/>
                </c:manualLayout>
              </c:layout>
              <c:spPr>
                <a:noFill/>
                <a:ln w="25400">
                  <a:noFill/>
                </a:ln>
              </c:spPr>
              <c:txPr>
                <a:bodyPr/>
                <a:lstStyle/>
                <a:p>
                  <a:pPr>
                    <a:defRPr>
                      <a:latin typeface="Cambria" panose="02040503050406030204" pitchFamily="18" charset="0"/>
                      <a:ea typeface="Cambria" panose="02040503050406030204" pitchFamily="18" charset="0"/>
                    </a:defRPr>
                  </a:pPr>
                  <a:endParaRPr lang="en-US"/>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0D5-43B4-A6E2-A20C8745C71D}"/>
                </c:ext>
              </c:extLst>
            </c:dLbl>
            <c:spPr>
              <a:noFill/>
              <a:ln w="25400">
                <a:noFill/>
              </a:ln>
            </c:spPr>
            <c:txPr>
              <a:bodyPr wrap="square" lIns="38100" tIns="19050" rIns="38100" bIns="19050" anchor="ctr">
                <a:spAutoFit/>
              </a:bodyPr>
              <a:lstStyle/>
              <a:p>
                <a:pPr>
                  <a:defRPr>
                    <a:latin typeface="Cambria" panose="02040503050406030204" pitchFamily="18" charset="0"/>
                    <a:ea typeface="Cambria" panose="02040503050406030204" pitchFamily="18" charset="0"/>
                  </a:defRPr>
                </a:pPr>
                <a:endParaRPr lang="en-US"/>
              </a:p>
            </c:txPr>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'Figura 2-F recibidos 2O23 '!$L$3:$N$3</c:f>
              <c:strCache>
                <c:ptCount val="3"/>
                <c:pt idx="0">
                  <c:v>Fondo Regular / Regular fund</c:v>
                </c:pt>
                <c:pt idx="1">
                  <c:v>Fondo ICR / ICR Fund</c:v>
                </c:pt>
                <c:pt idx="2">
                  <c:v>Fondos Específicos / Specific Funds</c:v>
                </c:pt>
              </c:strCache>
            </c:strRef>
          </c:cat>
          <c:val>
            <c:numRef>
              <c:f>'Figura 2-F recibidos 2O23 '!$L$4:$N$4</c:f>
              <c:numCache>
                <c:formatCode>_(* #,##0.0_);_(* \(#,##0.0\);_(* "-"??_);_(@_)</c:formatCode>
                <c:ptCount val="3"/>
                <c:pt idx="0">
                  <c:v>9974.9325000000008</c:v>
                </c:pt>
                <c:pt idx="1">
                  <c:v>121.9663</c:v>
                </c:pt>
                <c:pt idx="2">
                  <c:v>12442.168659999998</c:v>
                </c:pt>
              </c:numCache>
            </c:numRef>
          </c:val>
          <c:extLst>
            <c:ext xmlns:c16="http://schemas.microsoft.com/office/drawing/2014/chart" uri="{C3380CC4-5D6E-409C-BE32-E72D297353CC}">
              <c16:uniqueId val="{00000006-30D5-43B4-A6E2-A20C8745C71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mj-lt"/>
          <a:ea typeface="Calibri"/>
          <a:cs typeface="Calibri"/>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7E-425B-B2CF-FA2ACA430CE1}"/>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447E-425B-B2CF-FA2ACA430CE1}"/>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447E-425B-B2CF-FA2ACA430CE1}"/>
              </c:ext>
            </c:extLst>
          </c:dPt>
          <c:dLbls>
            <c:dLbl>
              <c:idx val="1"/>
              <c:layout>
                <c:manualLayout>
                  <c:x val="-1.5702309638277134E-2"/>
                  <c:y val="6.542869931316484E-17"/>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j-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4104764199329048"/>
                      <c:h val="0.17444682369735903"/>
                    </c:manualLayout>
                  </c15:layout>
                </c:ext>
                <c:ext xmlns:c16="http://schemas.microsoft.com/office/drawing/2014/chart" uri="{C3380CC4-5D6E-409C-BE32-E72D297353CC}">
                  <c16:uniqueId val="{00000003-447E-425B-B2CF-FA2ACA430CE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'Figura 3-Gastos x S. Financ (2)'!$A$14:$C$14</c:f>
              <c:strCache>
                <c:ptCount val="3"/>
                <c:pt idx="0">
                  <c:v>Fondo Regular/Regular Fund</c:v>
                </c:pt>
                <c:pt idx="1">
                  <c:v>Fondo Específico/Specific Fund</c:v>
                </c:pt>
                <c:pt idx="2">
                  <c:v>Fondo ICR/ICR Fund</c:v>
                </c:pt>
              </c:strCache>
            </c:strRef>
          </c:cat>
          <c:val>
            <c:numRef>
              <c:f>'Figura 3-Gastos x S. Financ (2)'!$A$15:$C$15</c:f>
              <c:numCache>
                <c:formatCode>_("$"* #,##0.0_);_("$"* \(#,##0.0\);_("$"* "-"??_);_(@_)</c:formatCode>
                <c:ptCount val="3"/>
                <c:pt idx="0">
                  <c:v>9726.4883799999989</c:v>
                </c:pt>
                <c:pt idx="1">
                  <c:v>10982.281270000001</c:v>
                </c:pt>
                <c:pt idx="2">
                  <c:v>121.30330000000001</c:v>
                </c:pt>
              </c:numCache>
            </c:numRef>
          </c:val>
          <c:extLst>
            <c:ext xmlns:c16="http://schemas.microsoft.com/office/drawing/2014/chart" uri="{C3380CC4-5D6E-409C-BE32-E72D297353CC}">
              <c16:uniqueId val="{00000006-447E-425B-B2CF-FA2ACA430CE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061428396690611E-2"/>
          <c:y val="0.22252091491134243"/>
          <c:w val="0.92556123279760105"/>
          <c:h val="0.6391692482039349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59-4E2C-AAB2-44B016DB9A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59-4E2C-AAB2-44B016DB9A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59-4E2C-AAB2-44B016DB9A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59-4E2C-AAB2-44B016DB9A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59-4E2C-AAB2-44B016DB9A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459-4E2C-AAB2-44B016DB9A8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459-4E2C-AAB2-44B016DB9A8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459-4E2C-AAB2-44B016DB9A8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459-4E2C-AAB2-44B016DB9A8A}"/>
              </c:ext>
            </c:extLst>
          </c:dPt>
          <c:dLbls>
            <c:dLbl>
              <c:idx val="1"/>
              <c:layout>
                <c:manualLayout>
                  <c:x val="0.20108759365735321"/>
                  <c:y val="-0.16228789355229262"/>
                </c:manualLayout>
              </c:layout>
              <c:spPr>
                <a:noFill/>
                <a:ln w="25400">
                  <a:noFill/>
                </a:ln>
              </c:spPr>
              <c:txPr>
                <a:bodyPr/>
                <a:lstStyle/>
                <a:p>
                  <a:pPr>
                    <a:defRPr sz="1000" b="0" i="0" u="none" strike="noStrike" baseline="0">
                      <a:solidFill>
                        <a:srgbClr val="333333"/>
                      </a:solidFill>
                      <a:latin typeface="+mj-lt"/>
                      <a:ea typeface="Calibri"/>
                      <a:cs typeface="Calibri"/>
                    </a:defRPr>
                  </a:pPr>
                  <a:endParaRPr lang="en-US"/>
                </a:p>
              </c:txPr>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459-4E2C-AAB2-44B016DB9A8A}"/>
                </c:ext>
              </c:extLst>
            </c:dLbl>
            <c:dLbl>
              <c:idx val="2"/>
              <c:layout>
                <c:manualLayout>
                  <c:x val="-0.10852404266774346"/>
                  <c:y val="0.401622096379918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459-4E2C-AAB2-44B016DB9A8A}"/>
                </c:ext>
              </c:extLst>
            </c:dLbl>
            <c:dLbl>
              <c:idx val="3"/>
              <c:layout>
                <c:manualLayout>
                  <c:x val="-0.1334680160172286"/>
                  <c:y val="0.24339307430564938"/>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459-4E2C-AAB2-44B016DB9A8A}"/>
                </c:ext>
              </c:extLst>
            </c:dLbl>
            <c:dLbl>
              <c:idx val="5"/>
              <c:layout>
                <c:manualLayout>
                  <c:x val="-0.19362070125849654"/>
                  <c:y val="4.262389393213524E-2"/>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9459-4E2C-AAB2-44B016DB9A8A}"/>
                </c:ext>
              </c:extLst>
            </c:dLbl>
            <c:dLbl>
              <c:idx val="8"/>
              <c:layout>
                <c:manualLayout>
                  <c:x val="0.41494641294838147"/>
                  <c:y val="2.4118728528668705E-2"/>
                </c:manualLayout>
              </c:layout>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9459-4E2C-AAB2-44B016DB9A8A}"/>
                </c:ext>
              </c:extLst>
            </c:dLbl>
            <c:spPr>
              <a:noFill/>
              <a:ln w="25400">
                <a:noFill/>
              </a:ln>
            </c:spPr>
            <c:txPr>
              <a:bodyPr wrap="square" lIns="38100" tIns="19050" rIns="38100" bIns="19050" anchor="ctr">
                <a:spAutoFit/>
              </a:bodyPr>
              <a:lstStyle/>
              <a:p>
                <a:pPr>
                  <a:defRPr sz="1000" b="0" i="0" u="none" strike="noStrike" baseline="0">
                    <a:solidFill>
                      <a:srgbClr val="333333"/>
                    </a:solidFill>
                    <a:latin typeface="+mj-lt"/>
                    <a:ea typeface="Calibri"/>
                    <a:cs typeface="Calibri"/>
                  </a:defRPr>
                </a:pPr>
                <a:endParaRPr lang="en-US"/>
              </a:p>
            </c:txPr>
            <c:dLblPos val="bestFit"/>
            <c:showLegendKey val="1"/>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'Figura 3-Gastos x S. Financ (2)'!$I$3:$I$11</c:f>
              <c:strCache>
                <c:ptCount val="9"/>
                <c:pt idx="0">
                  <c:v>Salaries /Salary</c:v>
                </c:pt>
                <c:pt idx="1">
                  <c:v>Contratos por resultado / Result-Based Contracts </c:v>
                </c:pt>
                <c:pt idx="2">
                  <c:v>Becas / Fellowships</c:v>
                </c:pt>
                <c:pt idx="3">
                  <c:v>Viajes / Travel</c:v>
                </c:pt>
                <c:pt idx="4">
                  <c:v>Documentos / Documents</c:v>
                </c:pt>
                <c:pt idx="5">
                  <c:v>Equipos y suministros /Equipment and supplies </c:v>
                </c:pt>
                <c:pt idx="6">
                  <c:v>Edificio y Mantenimiento / Building Lease and Maintenance</c:v>
                </c:pt>
                <c:pt idx="7">
                  <c:v>Otros costos / Other Costs</c:v>
                </c:pt>
                <c:pt idx="8">
                  <c:v>Recuperación de costos indirectos (RCI)/ Indirect cost recovery (ICR)</c:v>
                </c:pt>
              </c:strCache>
            </c:strRef>
          </c:cat>
          <c:val>
            <c:numRef>
              <c:f>'Figura 3-Gastos x S. Financ (2)'!$M$3:$M$11</c:f>
              <c:numCache>
                <c:formatCode>_(* #,##0.0_);_(* \(#,##0.0\);_(* "-"??_);_(@_)</c:formatCode>
                <c:ptCount val="9"/>
                <c:pt idx="0">
                  <c:v>9462.5994200000005</c:v>
                </c:pt>
                <c:pt idx="1">
                  <c:v>8036.6706400000012</c:v>
                </c:pt>
                <c:pt idx="2">
                  <c:v>157.70459</c:v>
                </c:pt>
                <c:pt idx="3">
                  <c:v>909.86830000000032</c:v>
                </c:pt>
                <c:pt idx="4">
                  <c:v>40.376400000000004</c:v>
                </c:pt>
                <c:pt idx="5">
                  <c:v>97.903019999997781</c:v>
                </c:pt>
                <c:pt idx="6">
                  <c:v>67.24081000000001</c:v>
                </c:pt>
                <c:pt idx="7">
                  <c:v>267.92805999999933</c:v>
                </c:pt>
                <c:pt idx="8">
                  <c:v>1789.7814100000003</c:v>
                </c:pt>
              </c:numCache>
            </c:numRef>
          </c:val>
          <c:extLst>
            <c:ext xmlns:c16="http://schemas.microsoft.com/office/drawing/2014/chart" uri="{C3380CC4-5D6E-409C-BE32-E72D297353CC}">
              <c16:uniqueId val="{00000012-9459-4E2C-AAB2-44B016DB9A8A}"/>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0.05809</cdr:x>
      <cdr:y>0.00367</cdr:y>
    </cdr:from>
    <cdr:to>
      <cdr:x>0.05883</cdr:x>
      <cdr:y>0.00367</cdr:y>
    </cdr:to>
    <cdr:pic>
      <cdr:nvPicPr>
        <cdr:cNvPr id="4" name="chart">
          <a:extLst xmlns:a="http://schemas.openxmlformats.org/drawingml/2006/main">
            <a:ext uri="{FF2B5EF4-FFF2-40B4-BE49-F238E27FC236}">
              <a16:creationId xmlns:a16="http://schemas.microsoft.com/office/drawing/2014/main" id="{1DD477A0-8B8D-892C-C38B-50B2B0C5536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30036" y="0"/>
          <a:ext cx="4102964" cy="384081"/>
        </a:xfrm>
        <a:prstGeom xmlns:a="http://schemas.openxmlformats.org/drawingml/2006/main" prst="rect">
          <a:avLst/>
        </a:prstGeom>
      </cdr:spPr>
    </cdr:pic>
  </cdr:relSizeAnchor>
  <cdr:relSizeAnchor xmlns:cdr="http://schemas.openxmlformats.org/drawingml/2006/chartDrawing">
    <cdr:from>
      <cdr:x>0.71718</cdr:x>
      <cdr:y>0.93252</cdr:y>
    </cdr:from>
    <cdr:to>
      <cdr:x>1</cdr:x>
      <cdr:y>0.99689</cdr:y>
    </cdr:to>
    <cdr:sp macro="" textlink="">
      <cdr:nvSpPr>
        <cdr:cNvPr id="3" name="TextBox 2">
          <a:extLst xmlns:a="http://schemas.openxmlformats.org/drawingml/2006/main">
            <a:ext uri="{FF2B5EF4-FFF2-40B4-BE49-F238E27FC236}">
              <a16:creationId xmlns:a16="http://schemas.microsoft.com/office/drawing/2014/main" id="{C08CA330-276C-18E5-5AA1-92C85F4F9EDA}"/>
            </a:ext>
          </a:extLst>
        </cdr:cNvPr>
        <cdr:cNvSpPr txBox="1"/>
      </cdr:nvSpPr>
      <cdr:spPr>
        <a:xfrm xmlns:a="http://schemas.openxmlformats.org/drawingml/2006/main">
          <a:off x="4262630" y="3992880"/>
          <a:ext cx="1680970" cy="2755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mj-lt"/>
            </a:rPr>
            <a:t>Total USD</a:t>
          </a:r>
          <a:r>
            <a:rPr lang="en-US" sz="1100" b="1" baseline="0">
              <a:latin typeface="+mj-lt"/>
            </a:rPr>
            <a:t> 22,539.1</a:t>
          </a:r>
          <a:endParaRPr lang="en-US" sz="1100" b="1">
            <a:latin typeface="+mj-lt"/>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0.68333</cdr:x>
      <cdr:y>0.80441</cdr:y>
    </cdr:from>
    <cdr:to>
      <cdr:x>1</cdr:x>
      <cdr:y>0.90057</cdr:y>
    </cdr:to>
    <cdr:sp macro="" textlink="">
      <cdr:nvSpPr>
        <cdr:cNvPr id="2" name="TextBox 1">
          <a:extLst xmlns:a="http://schemas.openxmlformats.org/drawingml/2006/main">
            <a:ext uri="{FF2B5EF4-FFF2-40B4-BE49-F238E27FC236}">
              <a16:creationId xmlns:a16="http://schemas.microsoft.com/office/drawing/2014/main" id="{23DA437F-C401-D555-1727-0A94521E0AB8}"/>
            </a:ext>
          </a:extLst>
        </cdr:cNvPr>
        <cdr:cNvSpPr txBox="1"/>
      </cdr:nvSpPr>
      <cdr:spPr>
        <a:xfrm xmlns:a="http://schemas.openxmlformats.org/drawingml/2006/main">
          <a:off x="3124200" y="2206659"/>
          <a:ext cx="1447800" cy="2637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j-lt"/>
            </a:rPr>
            <a:t>Total USD</a:t>
          </a:r>
          <a:r>
            <a:rPr lang="en-US" sz="1100" b="1" baseline="0">
              <a:latin typeface="+mj-lt"/>
            </a:rPr>
            <a:t> 20,830.1</a:t>
          </a:r>
          <a:endParaRPr lang="en-US" sz="1100" b="1">
            <a:latin typeface="+mj-lt"/>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0.72821</cdr:x>
      <cdr:y>0.8744</cdr:y>
    </cdr:from>
    <cdr:to>
      <cdr:x>0.9977</cdr:x>
      <cdr:y>0.9064</cdr:y>
    </cdr:to>
    <cdr:sp macro="" textlink="">
      <cdr:nvSpPr>
        <cdr:cNvPr id="2" name="TextBox 1">
          <a:extLst xmlns:a="http://schemas.openxmlformats.org/drawingml/2006/main">
            <a:ext uri="{FF2B5EF4-FFF2-40B4-BE49-F238E27FC236}">
              <a16:creationId xmlns:a16="http://schemas.microsoft.com/office/drawing/2014/main" id="{AA610206-9EEB-7157-C812-9A8173072492}"/>
            </a:ext>
          </a:extLst>
        </cdr:cNvPr>
        <cdr:cNvSpPr txBox="1"/>
      </cdr:nvSpPr>
      <cdr:spPr>
        <a:xfrm xmlns:a="http://schemas.openxmlformats.org/drawingml/2006/main">
          <a:off x="4328160" y="4270919"/>
          <a:ext cx="1601782" cy="1563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mj-lt"/>
            </a:rPr>
            <a:t>Total USD</a:t>
          </a:r>
          <a:r>
            <a:rPr lang="en-US" sz="1100" b="1" baseline="0">
              <a:latin typeface="+mj-lt"/>
            </a:rPr>
            <a:t> 20,830.1</a:t>
          </a:r>
          <a:endParaRPr lang="en-US" sz="1100" b="1">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115B-8577-4542-B484-732E08C1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4946</Words>
  <Characters>28194</Characters>
  <Application>Microsoft Office Word</Application>
  <DocSecurity>0</DocSecurity>
  <Lines>234</Lines>
  <Paragraphs>66</Paragraphs>
  <ScaleCrop>false</ScaleCrop>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2024-04-05T18:50:00Z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6</vt:lpwstr>
  </property>
  <property fmtid="{D5CDD505-2E9C-101B-9397-08002B2CF9AE}" pid="4" name="Country">
    <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